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43D05D6" w14:textId="77777777" w:rsidTr="00DE264A">
        <w:trPr>
          <w:trHeight w:val="852"/>
          <w:jc w:val="center"/>
        </w:trPr>
        <w:tc>
          <w:tcPr>
            <w:tcW w:w="6946" w:type="dxa"/>
            <w:vMerge w:val="restart"/>
            <w:tcBorders>
              <w:right w:val="single" w:sz="4" w:space="0" w:color="auto"/>
            </w:tcBorders>
          </w:tcPr>
          <w:p w14:paraId="3625CE0F"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371DF302" wp14:editId="1300737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35EF462"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4CD232C3"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36F2308B" w14:textId="77777777" w:rsidR="000A03B2" w:rsidRPr="00B57B36" w:rsidRDefault="000A03B2" w:rsidP="00CD5FE2">
            <w:pPr>
              <w:jc w:val="right"/>
            </w:pPr>
            <w:r w:rsidRPr="00B57B36">
              <w:rPr>
                <w:noProof/>
                <w:lang w:val="it-IT" w:eastAsia="it-IT"/>
              </w:rPr>
              <w:drawing>
                <wp:inline distT="0" distB="0" distL="0" distR="0" wp14:anchorId="135B5223" wp14:editId="316AC66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260CBC38" w14:textId="77777777" w:rsidTr="00DE264A">
        <w:trPr>
          <w:trHeight w:val="567"/>
          <w:jc w:val="center"/>
        </w:trPr>
        <w:tc>
          <w:tcPr>
            <w:tcW w:w="6946" w:type="dxa"/>
            <w:vMerge/>
            <w:tcBorders>
              <w:right w:val="single" w:sz="4" w:space="0" w:color="auto"/>
            </w:tcBorders>
          </w:tcPr>
          <w:p w14:paraId="3415A534"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3D6F9A27"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D7990F9"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BBB933F"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014FE0A0" w14:textId="77777777" w:rsidTr="00DE264A">
        <w:trPr>
          <w:trHeight w:val="68"/>
          <w:jc w:val="center"/>
        </w:trPr>
        <w:tc>
          <w:tcPr>
            <w:tcW w:w="8789" w:type="dxa"/>
            <w:gridSpan w:val="2"/>
          </w:tcPr>
          <w:p w14:paraId="519D6C23" w14:textId="77777777"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F4A529C" w14:textId="77777777"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0690535"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07F9AD1B" w14:textId="25EE65CF" w:rsidR="00EA67EA" w:rsidRPr="00994645" w:rsidRDefault="007755A9" w:rsidP="00732C41">
      <w:pPr>
        <w:autoSpaceDE w:val="0"/>
        <w:autoSpaceDN w:val="0"/>
        <w:adjustRightInd w:val="0"/>
        <w:jc w:val="center"/>
        <w:rPr>
          <w:rFonts w:cs="Arial"/>
          <w:b/>
          <w:sz w:val="32"/>
          <w:szCs w:val="32"/>
        </w:rPr>
      </w:pPr>
      <w:r>
        <w:rPr>
          <w:rFonts w:cs="Arial"/>
          <w:b/>
          <w:sz w:val="32"/>
          <w:szCs w:val="32"/>
        </w:rPr>
        <w:t>On the Use of Agro-industrial Wastewaters to Promote Mixotrophic M</w:t>
      </w:r>
      <w:r w:rsidR="00EE6E88" w:rsidRPr="00994645">
        <w:rPr>
          <w:rFonts w:cs="Arial"/>
          <w:b/>
          <w:sz w:val="32"/>
          <w:szCs w:val="32"/>
        </w:rPr>
        <w:t xml:space="preserve">etabolism in </w:t>
      </w:r>
      <w:r w:rsidR="00EE6E88" w:rsidRPr="00994645">
        <w:rPr>
          <w:rFonts w:cs="Arial"/>
          <w:b/>
          <w:i/>
          <w:sz w:val="32"/>
          <w:szCs w:val="32"/>
        </w:rPr>
        <w:t>Chlorella vulgaris</w:t>
      </w:r>
      <w:r w:rsidR="00EE6E88" w:rsidRPr="00994645">
        <w:rPr>
          <w:rFonts w:cs="Arial"/>
          <w:b/>
          <w:sz w:val="32"/>
          <w:szCs w:val="32"/>
        </w:rPr>
        <w:t>:</w:t>
      </w:r>
    </w:p>
    <w:p w14:paraId="1072A493" w14:textId="77777777" w:rsidR="00732C41" w:rsidRPr="00994645" w:rsidRDefault="00EE6E88" w:rsidP="00732C41">
      <w:pPr>
        <w:autoSpaceDE w:val="0"/>
        <w:autoSpaceDN w:val="0"/>
        <w:adjustRightInd w:val="0"/>
        <w:jc w:val="center"/>
        <w:rPr>
          <w:rFonts w:cs="Arial"/>
          <w:b/>
          <w:sz w:val="32"/>
          <w:szCs w:val="32"/>
        </w:rPr>
      </w:pPr>
      <w:r w:rsidRPr="00994645">
        <w:rPr>
          <w:rFonts w:cs="Arial"/>
          <w:b/>
          <w:sz w:val="32"/>
          <w:szCs w:val="32"/>
        </w:rPr>
        <w:t>Effect on FAME</w:t>
      </w:r>
      <w:r w:rsidR="007755A9">
        <w:rPr>
          <w:rFonts w:cs="Arial"/>
          <w:b/>
          <w:sz w:val="32"/>
          <w:szCs w:val="32"/>
        </w:rPr>
        <w:t xml:space="preserve"> Profile and Biodiesel P</w:t>
      </w:r>
      <w:r w:rsidRPr="00994645">
        <w:rPr>
          <w:rFonts w:cs="Arial"/>
          <w:b/>
          <w:sz w:val="32"/>
          <w:szCs w:val="32"/>
        </w:rPr>
        <w:t>roperties</w:t>
      </w:r>
    </w:p>
    <w:p w14:paraId="192064FC" w14:textId="77777777" w:rsidR="00791705" w:rsidRPr="00732C41" w:rsidRDefault="00791705" w:rsidP="00732C41">
      <w:pPr>
        <w:autoSpaceDE w:val="0"/>
        <w:autoSpaceDN w:val="0"/>
        <w:adjustRightInd w:val="0"/>
        <w:jc w:val="center"/>
        <w:rPr>
          <w:sz w:val="32"/>
          <w:szCs w:val="32"/>
        </w:rPr>
      </w:pPr>
    </w:p>
    <w:p w14:paraId="0ACED943" w14:textId="4803D5EA" w:rsidR="00732C41" w:rsidRPr="00685852" w:rsidRDefault="00EE6E88" w:rsidP="00732C41">
      <w:pPr>
        <w:pStyle w:val="CETAuthors"/>
        <w:rPr>
          <w:vertAlign w:val="superscript"/>
          <w:lang w:val="it-IT"/>
        </w:rPr>
      </w:pPr>
      <w:r w:rsidRPr="00EE6E88">
        <w:rPr>
          <w:lang w:val="it-IT"/>
        </w:rPr>
        <w:t>Te</w:t>
      </w:r>
      <w:r>
        <w:rPr>
          <w:lang w:val="it-IT"/>
        </w:rPr>
        <w:t>a Miotti</w:t>
      </w:r>
      <w:r w:rsidRPr="00EE6E88">
        <w:rPr>
          <w:vertAlign w:val="superscript"/>
          <w:lang w:val="it-IT"/>
        </w:rPr>
        <w:t>a</w:t>
      </w:r>
      <w:r w:rsidR="00F60771">
        <w:rPr>
          <w:lang w:val="it-IT"/>
        </w:rPr>
        <w:t>, Luigi Pivett</w:t>
      </w:r>
      <w:r>
        <w:rPr>
          <w:lang w:val="it-IT"/>
        </w:rPr>
        <w:t>i</w:t>
      </w:r>
      <w:r w:rsidRPr="00EE6E88">
        <w:rPr>
          <w:vertAlign w:val="superscript"/>
          <w:lang w:val="it-IT"/>
        </w:rPr>
        <w:t>a</w:t>
      </w:r>
      <w:r>
        <w:rPr>
          <w:lang w:val="it-IT"/>
        </w:rPr>
        <w:t xml:space="preserve">, </w:t>
      </w:r>
      <w:r w:rsidR="00685852">
        <w:rPr>
          <w:lang w:val="it-IT"/>
        </w:rPr>
        <w:t>Veronica Lolli</w:t>
      </w:r>
      <w:r w:rsidR="00685852">
        <w:rPr>
          <w:vertAlign w:val="superscript"/>
          <w:lang w:val="it-IT"/>
        </w:rPr>
        <w:t>b</w:t>
      </w:r>
      <w:r w:rsidR="00EC7730">
        <w:rPr>
          <w:lang w:val="it-IT"/>
        </w:rPr>
        <w:t xml:space="preserve">, </w:t>
      </w:r>
      <w:r>
        <w:rPr>
          <w:lang w:val="it-IT"/>
        </w:rPr>
        <w:t>Francesco Sansone</w:t>
      </w:r>
      <w:r w:rsidRPr="00EE6E88">
        <w:rPr>
          <w:vertAlign w:val="superscript"/>
          <w:lang w:val="it-IT"/>
        </w:rPr>
        <w:t>a</w:t>
      </w:r>
      <w:r w:rsidR="00EC7730">
        <w:rPr>
          <w:lang w:val="it-IT"/>
        </w:rPr>
        <w:t xml:space="preserve">, </w:t>
      </w:r>
      <w:r w:rsidR="00685852">
        <w:rPr>
          <w:lang w:val="it-IT"/>
        </w:rPr>
        <w:t>Alessandro Concas</w:t>
      </w:r>
      <w:r w:rsidR="00685852">
        <w:rPr>
          <w:vertAlign w:val="superscript"/>
          <w:lang w:val="it-IT"/>
        </w:rPr>
        <w:t>c</w:t>
      </w:r>
      <w:r w:rsidR="00685852">
        <w:rPr>
          <w:lang w:val="it-IT"/>
        </w:rPr>
        <w:t xml:space="preserve">, </w:t>
      </w:r>
      <w:r w:rsidR="00732C41" w:rsidRPr="00552B8E">
        <w:rPr>
          <w:lang w:val="it-IT"/>
        </w:rPr>
        <w:t>Giovanni Antonio Lutzu</w:t>
      </w:r>
      <w:r w:rsidR="00685852">
        <w:rPr>
          <w:vertAlign w:val="superscript"/>
          <w:lang w:val="it-IT"/>
        </w:rPr>
        <w:t>d</w:t>
      </w:r>
      <w:r w:rsidR="00732C41" w:rsidRPr="00552B8E">
        <w:rPr>
          <w:lang w:val="it-IT"/>
        </w:rPr>
        <w:t>*</w:t>
      </w:r>
    </w:p>
    <w:p w14:paraId="3C719E48" w14:textId="77777777" w:rsidR="00EE6E88" w:rsidRDefault="00EE6E88" w:rsidP="00732C41">
      <w:pPr>
        <w:autoSpaceDE w:val="0"/>
        <w:autoSpaceDN w:val="0"/>
        <w:adjustRightInd w:val="0"/>
        <w:jc w:val="left"/>
        <w:rPr>
          <w:rFonts w:cs="Arial"/>
          <w:szCs w:val="18"/>
          <w:lang w:eastAsia="it-IT"/>
        </w:rPr>
      </w:pPr>
      <w:r w:rsidRPr="00EE6E88">
        <w:rPr>
          <w:rFonts w:cs="Arial"/>
          <w:szCs w:val="18"/>
          <w:vertAlign w:val="superscript"/>
          <w:lang w:eastAsia="it-IT"/>
        </w:rPr>
        <w:t>a</w:t>
      </w:r>
      <w:r w:rsidRPr="00EE6E88">
        <w:rPr>
          <w:rFonts w:cs="Arial"/>
          <w:szCs w:val="18"/>
          <w:lang w:eastAsia="it-IT"/>
        </w:rPr>
        <w:t>Department of Chemistry, Life Sciences and Environmental Sustainability, University of Parma, Parco Area delle Scienze 11/A, 43124 Parma (PR), Italy</w:t>
      </w:r>
    </w:p>
    <w:p w14:paraId="6DD1F9CF" w14:textId="77777777" w:rsidR="00685852" w:rsidRPr="00685852" w:rsidRDefault="00685852" w:rsidP="00685852">
      <w:pPr>
        <w:autoSpaceDE w:val="0"/>
        <w:autoSpaceDN w:val="0"/>
        <w:adjustRightInd w:val="0"/>
        <w:rPr>
          <w:rFonts w:cs="Arial"/>
          <w:color w:val="000000"/>
          <w:szCs w:val="18"/>
        </w:rPr>
      </w:pPr>
      <w:r w:rsidRPr="00685852">
        <w:rPr>
          <w:rFonts w:cs="Arial"/>
          <w:color w:val="000000"/>
          <w:szCs w:val="18"/>
          <w:vertAlign w:val="superscript"/>
        </w:rPr>
        <w:t>b</w:t>
      </w:r>
      <w:r w:rsidRPr="00685852">
        <w:rPr>
          <w:rFonts w:cs="Arial"/>
          <w:color w:val="000000"/>
          <w:szCs w:val="18"/>
        </w:rPr>
        <w:t>Department of Food and Drug, University of Parma, Parco Area delle Scienze 27/A, 43124 Parma (PR), Italy</w:t>
      </w:r>
    </w:p>
    <w:p w14:paraId="2B69693F" w14:textId="77777777" w:rsidR="00685852" w:rsidRPr="00C61158" w:rsidRDefault="00685852" w:rsidP="00685852">
      <w:pPr>
        <w:autoSpaceDE w:val="0"/>
        <w:autoSpaceDN w:val="0"/>
        <w:adjustRightInd w:val="0"/>
        <w:jc w:val="left"/>
      </w:pPr>
      <w:r>
        <w:rPr>
          <w:vertAlign w:val="superscript"/>
        </w:rPr>
        <w:t>c</w:t>
      </w:r>
      <w:r w:rsidRPr="00B02905">
        <w:t>Department of Mechanical, Chemical and Materials Engineering, University of Cagliari, Piazza d’Armi, 09123 Cagliari (CA), Italy</w:t>
      </w:r>
    </w:p>
    <w:p w14:paraId="05F750DC" w14:textId="6D90BCA7" w:rsidR="00732C41" w:rsidRPr="00C61158" w:rsidRDefault="00685852" w:rsidP="00732C41">
      <w:pPr>
        <w:autoSpaceDE w:val="0"/>
        <w:autoSpaceDN w:val="0"/>
        <w:adjustRightInd w:val="0"/>
        <w:jc w:val="left"/>
      </w:pPr>
      <w:r>
        <w:rPr>
          <w:vertAlign w:val="superscript"/>
        </w:rPr>
        <w:t>d</w:t>
      </w:r>
      <w:r w:rsidR="00EE6E88" w:rsidRPr="00EE6E88">
        <w:rPr>
          <w:rFonts w:cs="Arial"/>
          <w:szCs w:val="18"/>
        </w:rPr>
        <w:t>Teregroup Srl, via David Livingstone 37,</w:t>
      </w:r>
      <w:r w:rsidR="00EE6E88" w:rsidRPr="00EE6E88">
        <w:rPr>
          <w:rFonts w:cs="Arial"/>
          <w:szCs w:val="18"/>
          <w:vertAlign w:val="superscript"/>
        </w:rPr>
        <w:t xml:space="preserve"> </w:t>
      </w:r>
      <w:r w:rsidR="00EC7730">
        <w:rPr>
          <w:rFonts w:cs="Arial"/>
          <w:szCs w:val="18"/>
        </w:rPr>
        <w:t>41123</w:t>
      </w:r>
      <w:r w:rsidR="00EE6E88" w:rsidRPr="00EE6E88">
        <w:rPr>
          <w:rFonts w:cs="Arial"/>
          <w:szCs w:val="18"/>
        </w:rPr>
        <w:t xml:space="preserve"> Modena, (MO), Italy</w:t>
      </w:r>
    </w:p>
    <w:p w14:paraId="7BE5B985" w14:textId="77777777" w:rsidR="00732C41" w:rsidRPr="00B57B36" w:rsidRDefault="00732C41" w:rsidP="00732C41">
      <w:pPr>
        <w:pStyle w:val="CETemail"/>
        <w:spacing w:line="264" w:lineRule="auto"/>
        <w:jc w:val="both"/>
      </w:pPr>
      <w:r w:rsidRPr="00E505C7">
        <w:rPr>
          <w:lang w:val="en-US"/>
        </w:rPr>
        <w:t>*</w:t>
      </w:r>
      <w:r>
        <w:t xml:space="preserve">gianni.lutzu@teregroup.net </w:t>
      </w:r>
    </w:p>
    <w:p w14:paraId="370B2CF6" w14:textId="77777777" w:rsidR="00732C41" w:rsidRPr="00A90459" w:rsidRDefault="00EE6E88" w:rsidP="00A90459">
      <w:pPr>
        <w:rPr>
          <w:rFonts w:cs="Arial"/>
          <w:szCs w:val="18"/>
        </w:rPr>
      </w:pPr>
      <w:r w:rsidRPr="0008519E">
        <w:rPr>
          <w:rFonts w:cs="Arial"/>
          <w:szCs w:val="18"/>
          <w:lang w:eastAsia="it-IT"/>
        </w:rPr>
        <w:t>The</w:t>
      </w:r>
      <w:r w:rsidRPr="0008519E">
        <w:rPr>
          <w:rFonts w:ascii="Times New Roman" w:hAnsi="Times New Roman"/>
          <w:sz w:val="24"/>
          <w:szCs w:val="24"/>
          <w:lang w:eastAsia="it-IT"/>
        </w:rPr>
        <w:t xml:space="preserve"> </w:t>
      </w:r>
      <w:r w:rsidRPr="0008519E">
        <w:rPr>
          <w:rFonts w:cs="Arial"/>
          <w:szCs w:val="18"/>
          <w:lang w:eastAsia="it-IT"/>
        </w:rPr>
        <w:t>increase of greenhouse gases into the atmosphere, mainly due to industrialization, has affected all the ecosystems. Current worldwide living standards are still heavily dependent on non-renewable fuels. The inevitable depletion of fossil fuels and the adverse climate changes push the scientific community to seek renewable and sustainable sources of fuel. In this scenario microalgae can be potentially exploited as renewable and environmentally friendly fuel resources. Wastewaters (WW) can be used as culture media minimizing the costs associated to their cultivation. H</w:t>
      </w:r>
      <w:r w:rsidRPr="0008519E">
        <w:rPr>
          <w:rFonts w:cs="Arial"/>
          <w:szCs w:val="18"/>
        </w:rPr>
        <w:t xml:space="preserve">ence, the goal of this study was to examine the effect of agro-industrial WWs rich in organic nutrients on algal lipid content and fatty acid methyl esters (FAME) profile. For this purpose, the fresh water green algae </w:t>
      </w:r>
      <w:r w:rsidRPr="0008519E">
        <w:rPr>
          <w:rFonts w:cs="Arial"/>
          <w:i/>
          <w:szCs w:val="18"/>
        </w:rPr>
        <w:t>Chlorella vulgaris</w:t>
      </w:r>
      <w:r w:rsidRPr="0008519E">
        <w:rPr>
          <w:rFonts w:cs="Arial"/>
          <w:szCs w:val="18"/>
        </w:rPr>
        <w:t xml:space="preserve"> was selected. This strain is</w:t>
      </w:r>
      <w:r w:rsidRPr="0008519E">
        <w:rPr>
          <w:rFonts w:cs="Arial"/>
          <w:i/>
          <w:szCs w:val="18"/>
        </w:rPr>
        <w:t xml:space="preserve"> </w:t>
      </w:r>
      <w:r w:rsidRPr="0008519E">
        <w:rPr>
          <w:rFonts w:cs="Arial"/>
          <w:szCs w:val="18"/>
        </w:rPr>
        <w:t xml:space="preserve">able to thrive in a wide range of WWs with high biomass productivity and to shift its metabolism from autotrophic to hetero/mixotrophic one. </w:t>
      </w:r>
      <w:r w:rsidRPr="0008519E">
        <w:rPr>
          <w:rFonts w:cs="Arial"/>
          <w:i/>
          <w:szCs w:val="18"/>
        </w:rPr>
        <w:t>C. vulgaris</w:t>
      </w:r>
      <w:r w:rsidRPr="0008519E">
        <w:rPr>
          <w:rFonts w:cs="Arial"/>
          <w:szCs w:val="18"/>
        </w:rPr>
        <w:t xml:space="preserve"> was cultivated in brewery (BWW), dairy (DWW), oil mill WWs and media supplemented with sugarcane molasses. </w:t>
      </w:r>
      <w:r w:rsidRPr="002E1C90">
        <w:rPr>
          <w:rFonts w:cs="Arial"/>
          <w:szCs w:val="18"/>
        </w:rPr>
        <w:t xml:space="preserve">High biomass yields were obtained when </w:t>
      </w:r>
      <w:r w:rsidRPr="002E1C90">
        <w:rPr>
          <w:rFonts w:cs="Arial"/>
          <w:i/>
          <w:szCs w:val="18"/>
        </w:rPr>
        <w:t>C. vulgaris</w:t>
      </w:r>
      <w:r w:rsidRPr="002E1C90">
        <w:rPr>
          <w:rFonts w:cs="Arial"/>
          <w:szCs w:val="18"/>
        </w:rPr>
        <w:t xml:space="preserve"> was cultivated in BWW and DWW (1.76 g L</w:t>
      </w:r>
      <w:r w:rsidRPr="002E1C90">
        <w:rPr>
          <w:rFonts w:cs="Arial"/>
          <w:szCs w:val="18"/>
          <w:vertAlign w:val="superscript"/>
        </w:rPr>
        <w:t>-1</w:t>
      </w:r>
      <w:r w:rsidRPr="002E1C90">
        <w:rPr>
          <w:rFonts w:cs="Arial"/>
          <w:szCs w:val="18"/>
        </w:rPr>
        <w:t xml:space="preserve"> and 1.56 g L</w:t>
      </w:r>
      <w:r w:rsidRPr="002E1C90">
        <w:rPr>
          <w:rFonts w:cs="Arial"/>
          <w:szCs w:val="18"/>
          <w:vertAlign w:val="superscript"/>
        </w:rPr>
        <w:t>-1</w:t>
      </w:r>
      <w:r w:rsidRPr="002E1C90">
        <w:rPr>
          <w:rFonts w:cs="Arial"/>
          <w:szCs w:val="18"/>
        </w:rPr>
        <w:t xml:space="preserve">, respectively) compared to the control and the other WWs. </w:t>
      </w:r>
      <w:r w:rsidR="00A90459" w:rsidRPr="002E1C90">
        <w:rPr>
          <w:rFonts w:cs="Arial"/>
          <w:szCs w:val="18"/>
        </w:rPr>
        <w:t xml:space="preserve">The assessment of FAMEs composition </w:t>
      </w:r>
      <w:r w:rsidR="00B1179C">
        <w:rPr>
          <w:rFonts w:cs="Arial"/>
          <w:szCs w:val="18"/>
        </w:rPr>
        <w:t xml:space="preserve">(i.e. level of unsaturation) </w:t>
      </w:r>
      <w:r w:rsidR="00A90459" w:rsidRPr="002E1C90">
        <w:rPr>
          <w:rFonts w:cs="Arial"/>
          <w:szCs w:val="18"/>
        </w:rPr>
        <w:t>of algae cultivated under all the investigated conditions demonstrated that the former ones can be viably used as sources for producing biofuels.</w:t>
      </w:r>
      <w:r w:rsidR="00A90459" w:rsidRPr="002E1C90">
        <w:rPr>
          <w:rFonts w:cs="Arial"/>
          <w:color w:val="202124"/>
          <w:szCs w:val="18"/>
        </w:rPr>
        <w:t xml:space="preserve"> </w:t>
      </w:r>
    </w:p>
    <w:p w14:paraId="42C8A6C5" w14:textId="77777777" w:rsidR="00732C41" w:rsidRPr="00B57B36" w:rsidRDefault="00732C41" w:rsidP="00732C41">
      <w:pPr>
        <w:pStyle w:val="CETHeading1"/>
        <w:spacing w:line="264" w:lineRule="auto"/>
        <w:rPr>
          <w:lang w:val="en-GB"/>
        </w:rPr>
      </w:pPr>
      <w:r w:rsidRPr="00B57B36">
        <w:rPr>
          <w:lang w:val="en-GB"/>
        </w:rPr>
        <w:t>Introduction</w:t>
      </w:r>
    </w:p>
    <w:p w14:paraId="26B29F65" w14:textId="5A3D92C7" w:rsidR="00EA67EA" w:rsidRPr="0008519E" w:rsidRDefault="00EA67EA" w:rsidP="00EA67EA">
      <w:pPr>
        <w:pStyle w:val="Paragrafoelenco"/>
        <w:ind w:left="0"/>
        <w:rPr>
          <w:rFonts w:cs="Arial"/>
          <w:color w:val="000000" w:themeColor="text1"/>
          <w:szCs w:val="18"/>
        </w:rPr>
      </w:pPr>
      <w:r w:rsidRPr="0008519E">
        <w:rPr>
          <w:rFonts w:cs="Arial"/>
          <w:szCs w:val="18"/>
        </w:rPr>
        <w:t>In the last 100 years the exponential use of fossil fuels and the development of industrialization have emitted into the atmosphere tons of carbon dioxide (CO</w:t>
      </w:r>
      <w:r w:rsidRPr="0008519E">
        <w:rPr>
          <w:rFonts w:cs="Arial"/>
          <w:szCs w:val="18"/>
          <w:vertAlign w:val="subscript"/>
        </w:rPr>
        <w:t>2</w:t>
      </w:r>
      <w:r w:rsidRPr="0008519E">
        <w:rPr>
          <w:rFonts w:cs="Arial"/>
          <w:szCs w:val="18"/>
        </w:rPr>
        <w:t xml:space="preserve">) producing a sharp global increase in temperature. Human activities have generated huge amounts of greenhouse gases (GHG) producing disastrous consequences on ecosystems (Elias, 2020). Therefore, there is an urgent call at global level to seek renewable and sustainable sources of fuel (Malins, 2017). In this scenario, the scientific community emphasizes the </w:t>
      </w:r>
      <w:r w:rsidRPr="0008519E">
        <w:rPr>
          <w:rFonts w:eastAsia="AdvGulliv-R" w:cs="Arial"/>
          <w:szCs w:val="18"/>
        </w:rPr>
        <w:t xml:space="preserve">exploitation of environmentally friendly resources. To this aim, </w:t>
      </w:r>
      <w:r w:rsidRPr="0008519E">
        <w:rPr>
          <w:rFonts w:cs="Arial"/>
          <w:szCs w:val="18"/>
        </w:rPr>
        <w:t>microalgae show h</w:t>
      </w:r>
      <w:r w:rsidRPr="0008519E">
        <w:rPr>
          <w:rFonts w:cs="Arial"/>
          <w:color w:val="000000" w:themeColor="text1"/>
          <w:szCs w:val="18"/>
        </w:rPr>
        <w:t>igh productivities in terms of biomass and lipid content making them suitable for biofuels production (</w:t>
      </w:r>
      <w:r w:rsidR="0049484E">
        <w:rPr>
          <w:rFonts w:cs="Arial"/>
          <w:color w:val="000000" w:themeColor="text1"/>
          <w:szCs w:val="18"/>
        </w:rPr>
        <w:t xml:space="preserve">Soru et al., 2019, </w:t>
      </w:r>
      <w:r w:rsidRPr="0008519E">
        <w:rPr>
          <w:rFonts w:cs="Arial"/>
          <w:color w:val="000000" w:themeColor="text1"/>
          <w:szCs w:val="18"/>
        </w:rPr>
        <w:t>Concas et al., 2021</w:t>
      </w:r>
      <w:r w:rsidR="00A15A9F">
        <w:rPr>
          <w:rFonts w:cs="Arial"/>
          <w:color w:val="000000" w:themeColor="text1"/>
          <w:szCs w:val="18"/>
        </w:rPr>
        <w:t>a</w:t>
      </w:r>
      <w:r w:rsidRPr="0008519E">
        <w:rPr>
          <w:rFonts w:cs="Arial"/>
          <w:color w:val="000000" w:themeColor="text1"/>
          <w:szCs w:val="18"/>
        </w:rPr>
        <w:t xml:space="preserve">). </w:t>
      </w:r>
    </w:p>
    <w:p w14:paraId="7D4D21F9" w14:textId="34A3EE44" w:rsidR="00EA67EA" w:rsidRPr="00EA67EA" w:rsidRDefault="00EA67EA" w:rsidP="00EA67EA">
      <w:pPr>
        <w:pStyle w:val="Paragrafoelenco"/>
        <w:ind w:left="0"/>
        <w:rPr>
          <w:rFonts w:cs="Arial"/>
          <w:szCs w:val="18"/>
        </w:rPr>
      </w:pPr>
      <w:r w:rsidRPr="0008519E">
        <w:rPr>
          <w:rFonts w:eastAsia="SimSun" w:cs="Arial"/>
          <w:szCs w:val="18"/>
          <w:lang w:eastAsia="en-GB"/>
        </w:rPr>
        <w:t>Wastewaters (WWs) typically contain large amounts of nutrients, such as</w:t>
      </w:r>
      <w:r w:rsidRPr="0008519E">
        <w:rPr>
          <w:rFonts w:cs="Arial"/>
          <w:szCs w:val="18"/>
        </w:rPr>
        <w:t xml:space="preserve"> carbon (C), nitrogen (N), phosphorus (P) and trace elements</w:t>
      </w:r>
      <w:r w:rsidRPr="0008519E">
        <w:rPr>
          <w:rFonts w:eastAsia="SimSun" w:cs="Arial"/>
          <w:szCs w:val="18"/>
          <w:lang w:eastAsia="en-GB"/>
        </w:rPr>
        <w:t xml:space="preserve"> to sustain algal growth.</w:t>
      </w:r>
      <w:r w:rsidRPr="0008519E">
        <w:rPr>
          <w:rFonts w:eastAsia="AdvGulliv-R" w:cs="Arial"/>
          <w:szCs w:val="18"/>
        </w:rPr>
        <w:t xml:space="preserve"> It is well demonstrated the ability </w:t>
      </w:r>
      <w:r w:rsidRPr="0008519E">
        <w:rPr>
          <w:rFonts w:eastAsia="SimSun" w:cs="Arial"/>
          <w:szCs w:val="18"/>
        </w:rPr>
        <w:t>of m</w:t>
      </w:r>
      <w:r w:rsidRPr="0008519E">
        <w:rPr>
          <w:rFonts w:eastAsia="AdvGulliv-R" w:cs="Arial"/>
          <w:szCs w:val="18"/>
        </w:rPr>
        <w:t>icroalgae to combine their growth with the biological WW treatment and biofuels production (</w:t>
      </w:r>
      <w:r w:rsidR="00A15A9F">
        <w:rPr>
          <w:rFonts w:eastAsia="AdvGulliv-R" w:cs="Arial"/>
          <w:szCs w:val="18"/>
        </w:rPr>
        <w:t xml:space="preserve">Concas et al. 2021b, </w:t>
      </w:r>
      <w:r w:rsidRPr="0008519E">
        <w:rPr>
          <w:rFonts w:eastAsia="AdvGulliv-R" w:cs="Arial"/>
          <w:szCs w:val="18"/>
        </w:rPr>
        <w:t xml:space="preserve">Hussain et al., 2021, Lutzu et al., </w:t>
      </w:r>
      <w:r w:rsidR="006D32C6" w:rsidRPr="0008519E">
        <w:rPr>
          <w:rFonts w:eastAsia="AdvGulliv-R" w:cs="Arial"/>
          <w:szCs w:val="18"/>
        </w:rPr>
        <w:t>2020a</w:t>
      </w:r>
      <w:r w:rsidRPr="0008519E">
        <w:rPr>
          <w:rFonts w:eastAsia="AdvGulliv-R" w:cs="Arial"/>
          <w:szCs w:val="18"/>
        </w:rPr>
        <w:t xml:space="preserve">). The presence inside a WW of </w:t>
      </w:r>
      <w:r w:rsidRPr="0008519E">
        <w:rPr>
          <w:rFonts w:cs="Arial"/>
          <w:szCs w:val="18"/>
        </w:rPr>
        <w:t xml:space="preserve">inorganic and organic C makes some algae strains able to modulate their metabolism from autotrophic into a mixotrophic one depending on the carbon sources available. The use of food industry WWs, such as dairy </w:t>
      </w:r>
      <w:r w:rsidR="00F416AB" w:rsidRPr="0008519E">
        <w:rPr>
          <w:rFonts w:cs="Arial"/>
          <w:szCs w:val="18"/>
        </w:rPr>
        <w:t>(Khalaji et al., 2021)</w:t>
      </w:r>
      <w:r w:rsidRPr="0008519E">
        <w:rPr>
          <w:rFonts w:cs="Arial"/>
          <w:szCs w:val="18"/>
        </w:rPr>
        <w:t xml:space="preserve">, </w:t>
      </w:r>
      <w:r w:rsidR="002E167F" w:rsidRPr="0008519E">
        <w:rPr>
          <w:rFonts w:cs="Arial"/>
          <w:szCs w:val="18"/>
        </w:rPr>
        <w:t xml:space="preserve">molasses sugarcane </w:t>
      </w:r>
      <w:r w:rsidR="00E67F90" w:rsidRPr="0008519E">
        <w:rPr>
          <w:rFonts w:cs="Arial"/>
          <w:szCs w:val="18"/>
        </w:rPr>
        <w:t>(Piaseka et al., 2017)</w:t>
      </w:r>
      <w:r w:rsidRPr="0008519E">
        <w:rPr>
          <w:rFonts w:cs="Arial"/>
          <w:szCs w:val="18"/>
        </w:rPr>
        <w:t xml:space="preserve">, </w:t>
      </w:r>
      <w:r w:rsidRPr="0008519E">
        <w:rPr>
          <w:rFonts w:cs="Arial"/>
          <w:szCs w:val="18"/>
        </w:rPr>
        <w:lastRenderedPageBreak/>
        <w:t xml:space="preserve">brewery </w:t>
      </w:r>
      <w:r w:rsidR="005013F5" w:rsidRPr="0008519E">
        <w:rPr>
          <w:rFonts w:cs="Arial"/>
          <w:szCs w:val="18"/>
        </w:rPr>
        <w:t>(Ferreira et al., 2019)</w:t>
      </w:r>
      <w:r w:rsidRPr="0008519E">
        <w:rPr>
          <w:rFonts w:cs="Arial"/>
          <w:szCs w:val="18"/>
        </w:rPr>
        <w:t xml:space="preserve"> as a nutrient medium for microalgae cultivation is well established. </w:t>
      </w:r>
      <w:r w:rsidRPr="0008519E">
        <w:rPr>
          <w:rFonts w:cs="Arial"/>
          <w:i/>
          <w:szCs w:val="18"/>
        </w:rPr>
        <w:t>Chlorella vulgaris</w:t>
      </w:r>
      <w:r w:rsidRPr="0008519E">
        <w:rPr>
          <w:rFonts w:cs="Arial"/>
          <w:szCs w:val="18"/>
        </w:rPr>
        <w:t>, one of the well-known single-celled green microalgae</w:t>
      </w:r>
      <w:r w:rsidR="002B48CE" w:rsidRPr="0008519E">
        <w:rPr>
          <w:rFonts w:cs="Arial"/>
          <w:szCs w:val="18"/>
        </w:rPr>
        <w:t>,</w:t>
      </w:r>
      <w:r w:rsidRPr="0008519E">
        <w:rPr>
          <w:rFonts w:cs="Arial"/>
          <w:szCs w:val="18"/>
        </w:rPr>
        <w:t xml:space="preserve"> </w:t>
      </w:r>
      <w:r w:rsidR="002B48CE" w:rsidRPr="0008519E">
        <w:rPr>
          <w:rFonts w:cs="Arial"/>
          <w:szCs w:val="18"/>
        </w:rPr>
        <w:t>can</w:t>
      </w:r>
      <w:r w:rsidRPr="0008519E">
        <w:rPr>
          <w:rFonts w:cs="Arial"/>
          <w:szCs w:val="18"/>
        </w:rPr>
        <w:t xml:space="preserve"> accumulate lipids and produce</w:t>
      </w:r>
      <w:r w:rsidR="00B066B7" w:rsidRPr="0008519E">
        <w:rPr>
          <w:rFonts w:cs="Arial"/>
          <w:szCs w:val="18"/>
        </w:rPr>
        <w:t xml:space="preserve"> biodies</w:t>
      </w:r>
      <w:r w:rsidRPr="0008519E">
        <w:rPr>
          <w:rFonts w:cs="Arial"/>
          <w:szCs w:val="18"/>
        </w:rPr>
        <w:t xml:space="preserve">el under suitable stress conditions </w:t>
      </w:r>
      <w:r w:rsidR="00B066B7" w:rsidRPr="0008519E">
        <w:rPr>
          <w:rFonts w:cs="Arial"/>
          <w:szCs w:val="18"/>
        </w:rPr>
        <w:t>(Ratomski et Hawrot-Paw, 2021)</w:t>
      </w:r>
      <w:r w:rsidRPr="0008519E">
        <w:rPr>
          <w:rFonts w:cs="Arial"/>
          <w:szCs w:val="18"/>
        </w:rPr>
        <w:t xml:space="preserve">. This strain is also able to shift its exclusively autotrophic or heterotrophic metabolism into a mixotrophic one, </w:t>
      </w:r>
      <w:r w:rsidR="002B48CE" w:rsidRPr="0008519E">
        <w:rPr>
          <w:rFonts w:cs="Arial"/>
          <w:szCs w:val="18"/>
        </w:rPr>
        <w:t>leading to</w:t>
      </w:r>
      <w:r w:rsidRPr="0008519E">
        <w:rPr>
          <w:rFonts w:cs="Arial"/>
          <w:szCs w:val="18"/>
        </w:rPr>
        <w:t xml:space="preserve"> an</w:t>
      </w:r>
      <w:r w:rsidR="002B48CE" w:rsidRPr="0008519E">
        <w:rPr>
          <w:rFonts w:cs="Arial"/>
          <w:szCs w:val="18"/>
        </w:rPr>
        <w:t xml:space="preserve"> increase</w:t>
      </w:r>
      <w:r w:rsidRPr="0008519E">
        <w:rPr>
          <w:rFonts w:cs="Arial"/>
          <w:szCs w:val="18"/>
        </w:rPr>
        <w:t xml:space="preserve"> </w:t>
      </w:r>
      <w:r w:rsidR="002B48CE" w:rsidRPr="0008519E">
        <w:rPr>
          <w:rFonts w:cs="Arial"/>
          <w:szCs w:val="18"/>
        </w:rPr>
        <w:t xml:space="preserve">in biomass production. </w:t>
      </w:r>
      <w:r w:rsidRPr="0008519E">
        <w:rPr>
          <w:rFonts w:cs="Arial"/>
          <w:szCs w:val="18"/>
        </w:rPr>
        <w:t xml:space="preserve">The influence of mixotrophy on lipid content and FAME composition is well documented for many </w:t>
      </w:r>
      <w:r w:rsidRPr="0008519E">
        <w:rPr>
          <w:rFonts w:cs="Arial"/>
          <w:i/>
          <w:szCs w:val="18"/>
        </w:rPr>
        <w:t>Chlorella</w:t>
      </w:r>
      <w:r w:rsidRPr="0008519E">
        <w:rPr>
          <w:rFonts w:cs="Arial"/>
          <w:szCs w:val="18"/>
        </w:rPr>
        <w:t xml:space="preserve"> strains </w:t>
      </w:r>
      <w:r w:rsidR="002B48CE" w:rsidRPr="0008519E">
        <w:rPr>
          <w:rFonts w:cs="Arial"/>
          <w:szCs w:val="18"/>
        </w:rPr>
        <w:t xml:space="preserve">(Centeno </w:t>
      </w:r>
      <w:r w:rsidR="00F21C34" w:rsidRPr="0008519E">
        <w:rPr>
          <w:rFonts w:cs="Arial"/>
          <w:szCs w:val="18"/>
        </w:rPr>
        <w:t xml:space="preserve">de Rosa </w:t>
      </w:r>
      <w:r w:rsidR="002B48CE" w:rsidRPr="0008519E">
        <w:rPr>
          <w:rFonts w:cs="Arial"/>
          <w:szCs w:val="18"/>
        </w:rPr>
        <w:t>et al., 2020)</w:t>
      </w:r>
      <w:r w:rsidRPr="0008519E">
        <w:rPr>
          <w:rFonts w:cs="Arial"/>
          <w:szCs w:val="18"/>
        </w:rPr>
        <w:t xml:space="preserve">. </w:t>
      </w:r>
      <w:r w:rsidR="002E167F" w:rsidRPr="0008519E">
        <w:rPr>
          <w:rFonts w:cs="Arial"/>
          <w:szCs w:val="18"/>
        </w:rPr>
        <w:t>Molasses wastes are particularly rich in glucose which can enhance biomass productivity by microalgae once available in the culture medium (Yan et al., 2011</w:t>
      </w:r>
      <w:r w:rsidR="00E67F90" w:rsidRPr="0008519E">
        <w:rPr>
          <w:rFonts w:cs="Arial"/>
          <w:szCs w:val="18"/>
        </w:rPr>
        <w:t xml:space="preserve">). </w:t>
      </w:r>
      <w:r w:rsidRPr="0008519E">
        <w:rPr>
          <w:rFonts w:eastAsia="AdvGulliv-R" w:cs="Arial"/>
          <w:szCs w:val="18"/>
        </w:rPr>
        <w:t xml:space="preserve">Hence, by considering the </w:t>
      </w:r>
      <w:r w:rsidRPr="0008519E">
        <w:rPr>
          <w:rFonts w:cs="Arial"/>
          <w:szCs w:val="18"/>
        </w:rPr>
        <w:t>potential use of WWs as media for microalgae cultivation</w:t>
      </w:r>
      <w:r w:rsidRPr="0008519E">
        <w:rPr>
          <w:rFonts w:eastAsia="AdvGulliv-R" w:cs="Arial"/>
          <w:szCs w:val="18"/>
        </w:rPr>
        <w:t xml:space="preserve">, </w:t>
      </w:r>
      <w:r w:rsidR="0016677D" w:rsidRPr="0008519E">
        <w:rPr>
          <w:rFonts w:eastAsia="AdvGulliv-R" w:cs="Arial"/>
          <w:szCs w:val="18"/>
        </w:rPr>
        <w:t xml:space="preserve">such as dairy wastewater (DWW), brewery wastewater (BWW), oil wastewater (OWW), and sugarcane molasses effluent (MOL), </w:t>
      </w:r>
      <w:r w:rsidRPr="0008519E">
        <w:rPr>
          <w:rFonts w:eastAsia="AdvGulliv-R" w:cs="Arial"/>
          <w:szCs w:val="18"/>
        </w:rPr>
        <w:t xml:space="preserve">the effect of different organic wastes </w:t>
      </w:r>
      <w:r w:rsidRPr="0008519E">
        <w:rPr>
          <w:rFonts w:cs="Arial"/>
          <w:szCs w:val="18"/>
        </w:rPr>
        <w:t>from food industry</w:t>
      </w:r>
      <w:r w:rsidR="002B48CE" w:rsidRPr="0008519E">
        <w:rPr>
          <w:rFonts w:eastAsia="AdvGulliv-R" w:cs="Arial"/>
          <w:szCs w:val="18"/>
        </w:rPr>
        <w:t xml:space="preserve"> </w:t>
      </w:r>
      <w:r w:rsidRPr="0008519E">
        <w:rPr>
          <w:rFonts w:eastAsia="AdvGulliv-R" w:cs="Arial"/>
          <w:szCs w:val="18"/>
        </w:rPr>
        <w:t xml:space="preserve">on </w:t>
      </w:r>
      <w:r w:rsidRPr="0008519E">
        <w:rPr>
          <w:rFonts w:eastAsia="AdvGulliv-R" w:cs="Arial"/>
          <w:i/>
          <w:szCs w:val="18"/>
        </w:rPr>
        <w:t>C. vu</w:t>
      </w:r>
      <w:r w:rsidR="00A61F21">
        <w:rPr>
          <w:rFonts w:eastAsia="AdvGulliv-R" w:cs="Arial"/>
          <w:i/>
          <w:szCs w:val="18"/>
        </w:rPr>
        <w:t>l</w:t>
      </w:r>
      <w:r w:rsidRPr="0008519E">
        <w:rPr>
          <w:rFonts w:eastAsia="AdvGulliv-R" w:cs="Arial"/>
          <w:i/>
          <w:szCs w:val="18"/>
        </w:rPr>
        <w:t>garis</w:t>
      </w:r>
      <w:r w:rsidRPr="0008519E">
        <w:rPr>
          <w:rFonts w:eastAsia="AdvGulliv-R" w:cs="Arial"/>
          <w:szCs w:val="18"/>
        </w:rPr>
        <w:t xml:space="preserve"> lipid production is reported in this study. A close analysis of </w:t>
      </w:r>
      <w:r w:rsidRPr="0008519E">
        <w:rPr>
          <w:rFonts w:cs="Arial"/>
          <w:szCs w:val="18"/>
        </w:rPr>
        <w:t>FAMEs profile is also assessed in order to compare its compliance to standard directives for biodiesel.</w:t>
      </w:r>
      <w:r w:rsidRPr="00EA67EA">
        <w:rPr>
          <w:rFonts w:cs="Arial"/>
          <w:szCs w:val="18"/>
        </w:rPr>
        <w:t xml:space="preserve"> </w:t>
      </w:r>
    </w:p>
    <w:p w14:paraId="131D48B8" w14:textId="77777777" w:rsidR="00006EE6" w:rsidRDefault="00006EE6" w:rsidP="00006EE6">
      <w:pPr>
        <w:pStyle w:val="Paragrafoelenco"/>
        <w:autoSpaceDE w:val="0"/>
        <w:autoSpaceDN w:val="0"/>
        <w:adjustRightInd w:val="0"/>
        <w:ind w:left="0"/>
      </w:pPr>
    </w:p>
    <w:p w14:paraId="657B66AD" w14:textId="77777777" w:rsidR="00732C41" w:rsidRPr="00CC0EDD" w:rsidRDefault="00F14FA3" w:rsidP="00006EE6">
      <w:pPr>
        <w:pStyle w:val="Paragrafoelenco"/>
        <w:autoSpaceDE w:val="0"/>
        <w:autoSpaceDN w:val="0"/>
        <w:adjustRightInd w:val="0"/>
        <w:ind w:left="0"/>
        <w:rPr>
          <w:b/>
          <w:sz w:val="20"/>
        </w:rPr>
      </w:pPr>
      <w:r>
        <w:rPr>
          <w:b/>
          <w:sz w:val="20"/>
        </w:rPr>
        <w:t xml:space="preserve">2. </w:t>
      </w:r>
      <w:r w:rsidR="00732C41" w:rsidRPr="00CC0EDD">
        <w:rPr>
          <w:b/>
          <w:sz w:val="20"/>
        </w:rPr>
        <w:t>Material and Methods</w:t>
      </w:r>
    </w:p>
    <w:p w14:paraId="4A1EDEA7" w14:textId="77777777" w:rsidR="00732C41" w:rsidRPr="00E06EAC" w:rsidRDefault="00732C41" w:rsidP="00732C41">
      <w:pPr>
        <w:autoSpaceDE w:val="0"/>
        <w:autoSpaceDN w:val="0"/>
        <w:adjustRightInd w:val="0"/>
        <w:spacing w:after="120"/>
        <w:rPr>
          <w:rFonts w:cs="Arial"/>
          <w:b/>
          <w:szCs w:val="18"/>
        </w:rPr>
      </w:pPr>
      <w:r>
        <w:rPr>
          <w:rFonts w:cs="Arial"/>
          <w:b/>
          <w:szCs w:val="18"/>
        </w:rPr>
        <w:t xml:space="preserve">2.1 Inoculum, </w:t>
      </w:r>
      <w:r w:rsidRPr="00E06EAC">
        <w:rPr>
          <w:rFonts w:cs="Arial"/>
          <w:b/>
          <w:szCs w:val="18"/>
        </w:rPr>
        <w:t xml:space="preserve">culture medium </w:t>
      </w:r>
      <w:r>
        <w:rPr>
          <w:rFonts w:cs="Arial"/>
          <w:b/>
          <w:szCs w:val="18"/>
        </w:rPr>
        <w:t xml:space="preserve">and wastewater </w:t>
      </w:r>
      <w:r w:rsidRPr="00E06EAC">
        <w:rPr>
          <w:rFonts w:cs="Arial"/>
          <w:b/>
          <w:szCs w:val="18"/>
        </w:rPr>
        <w:t>preparation</w:t>
      </w:r>
    </w:p>
    <w:p w14:paraId="1D508469" w14:textId="77777777" w:rsidR="001F6852" w:rsidRPr="0008519E" w:rsidRDefault="000E0632" w:rsidP="000E0632">
      <w:pPr>
        <w:rPr>
          <w:szCs w:val="18"/>
        </w:rPr>
      </w:pPr>
      <w:r w:rsidRPr="0008519E">
        <w:rPr>
          <w:szCs w:val="18"/>
        </w:rPr>
        <w:t>Th</w:t>
      </w:r>
      <w:r w:rsidR="00B9065B" w:rsidRPr="0008519E">
        <w:rPr>
          <w:szCs w:val="18"/>
        </w:rPr>
        <w:t>e strain us</w:t>
      </w:r>
      <w:r w:rsidRPr="0008519E">
        <w:rPr>
          <w:szCs w:val="18"/>
        </w:rPr>
        <w:t xml:space="preserve">ed in this study, </w:t>
      </w:r>
      <w:r w:rsidR="00B9065B" w:rsidRPr="0008519E">
        <w:rPr>
          <w:i/>
          <w:szCs w:val="18"/>
        </w:rPr>
        <w:t>Chlorella vulgaris</w:t>
      </w:r>
      <w:r w:rsidR="00B9065B" w:rsidRPr="0008519E">
        <w:rPr>
          <w:szCs w:val="18"/>
        </w:rPr>
        <w:t xml:space="preserve"> SAG 211-12, was</w:t>
      </w:r>
      <w:r w:rsidRPr="0008519E">
        <w:rPr>
          <w:szCs w:val="18"/>
        </w:rPr>
        <w:t xml:space="preserve"> obtained from the culture collection of </w:t>
      </w:r>
      <w:r w:rsidR="00B9065B" w:rsidRPr="0008519E">
        <w:rPr>
          <w:szCs w:val="18"/>
        </w:rPr>
        <w:t xml:space="preserve">algae at </w:t>
      </w:r>
      <w:r w:rsidRPr="0008519E">
        <w:rPr>
          <w:szCs w:val="18"/>
        </w:rPr>
        <w:t>the U</w:t>
      </w:r>
      <w:r w:rsidR="00B9065B" w:rsidRPr="0008519E">
        <w:rPr>
          <w:szCs w:val="18"/>
        </w:rPr>
        <w:t>niversity of Gottingen, Germany</w:t>
      </w:r>
      <w:r w:rsidRPr="0008519E">
        <w:rPr>
          <w:szCs w:val="18"/>
        </w:rPr>
        <w:t xml:space="preserve"> (</w:t>
      </w:r>
      <w:r w:rsidR="00B9065B" w:rsidRPr="0008519E">
        <w:rPr>
          <w:szCs w:val="18"/>
        </w:rPr>
        <w:t xml:space="preserve">SAG, 2021). </w:t>
      </w:r>
      <w:r w:rsidRPr="0008519E">
        <w:rPr>
          <w:szCs w:val="18"/>
        </w:rPr>
        <w:t xml:space="preserve">Detailed chemical composition of the culture maintenance media is available on the </w:t>
      </w:r>
      <w:r w:rsidR="00B9065B" w:rsidRPr="0008519E">
        <w:rPr>
          <w:szCs w:val="18"/>
        </w:rPr>
        <w:t>SAG official website. The strain was</w:t>
      </w:r>
      <w:r w:rsidRPr="0008519E">
        <w:rPr>
          <w:szCs w:val="18"/>
        </w:rPr>
        <w:t xml:space="preserve"> maintained in </w:t>
      </w:r>
      <w:r w:rsidR="003F0B10" w:rsidRPr="0008519E">
        <w:rPr>
          <w:szCs w:val="18"/>
        </w:rPr>
        <w:t>1</w:t>
      </w:r>
      <w:r w:rsidRPr="0008519E">
        <w:rPr>
          <w:szCs w:val="18"/>
        </w:rPr>
        <w:t xml:space="preserve">50 mL glass tubes containing the growth medium recommended by </w:t>
      </w:r>
      <w:r w:rsidR="00B9065B" w:rsidRPr="0008519E">
        <w:rPr>
          <w:szCs w:val="18"/>
        </w:rPr>
        <w:t xml:space="preserve">SAG </w:t>
      </w:r>
      <w:r w:rsidRPr="0008519E">
        <w:rPr>
          <w:szCs w:val="18"/>
        </w:rPr>
        <w:t xml:space="preserve">at room temperature. Two 32 W white fluorescent tubes </w:t>
      </w:r>
      <w:r w:rsidR="003F0B10" w:rsidRPr="0008519E">
        <w:rPr>
          <w:szCs w:val="18"/>
        </w:rPr>
        <w:t xml:space="preserve">continuously </w:t>
      </w:r>
      <w:r w:rsidRPr="0008519E">
        <w:rPr>
          <w:szCs w:val="18"/>
        </w:rPr>
        <w:t>provided a photosynthetic</w:t>
      </w:r>
      <w:r w:rsidR="003F0B10" w:rsidRPr="0008519E">
        <w:rPr>
          <w:szCs w:val="18"/>
        </w:rPr>
        <w:t xml:space="preserve"> photon flux density (PPFD) of 5</w:t>
      </w:r>
      <w:r w:rsidRPr="0008519E">
        <w:rPr>
          <w:szCs w:val="18"/>
        </w:rPr>
        <w:t>0 µmol m</w:t>
      </w:r>
      <w:r w:rsidRPr="0008519E">
        <w:rPr>
          <w:szCs w:val="18"/>
          <w:vertAlign w:val="superscript"/>
        </w:rPr>
        <w:t>−2</w:t>
      </w:r>
      <w:r w:rsidRPr="0008519E">
        <w:rPr>
          <w:szCs w:val="18"/>
        </w:rPr>
        <w:t xml:space="preserve"> s</w:t>
      </w:r>
      <w:r w:rsidRPr="0008519E">
        <w:rPr>
          <w:szCs w:val="18"/>
          <w:vertAlign w:val="superscript"/>
        </w:rPr>
        <w:t>−1</w:t>
      </w:r>
      <w:r w:rsidR="006B3C0C" w:rsidRPr="0008519E">
        <w:rPr>
          <w:rFonts w:eastAsia="AdvGulliv-R" w:cs="Arial"/>
          <w:szCs w:val="18"/>
        </w:rPr>
        <w:t>.</w:t>
      </w:r>
      <w:r w:rsidR="00A07B1E" w:rsidRPr="0008519E">
        <w:rPr>
          <w:rFonts w:cs="Arial"/>
          <w:szCs w:val="18"/>
        </w:rPr>
        <w:t xml:space="preserve"> </w:t>
      </w:r>
      <w:r w:rsidR="003F0B10" w:rsidRPr="0008519E">
        <w:rPr>
          <w:rFonts w:eastAsia="AdvGulliv-R" w:cs="Arial"/>
          <w:szCs w:val="18"/>
        </w:rPr>
        <w:t xml:space="preserve">Inoculum was maintained in cultivation for about one week </w:t>
      </w:r>
      <w:r w:rsidR="003F0B10" w:rsidRPr="0008519E">
        <w:rPr>
          <w:rFonts w:cs="Arial"/>
          <w:szCs w:val="18"/>
        </w:rPr>
        <w:t>once it</w:t>
      </w:r>
      <w:r w:rsidR="003F0B10" w:rsidRPr="0008519E">
        <w:rPr>
          <w:rFonts w:eastAsia="AdvGulliv-R" w:cs="Arial"/>
          <w:szCs w:val="18"/>
        </w:rPr>
        <w:t xml:space="preserve"> reached the end of exponential growth phase. </w:t>
      </w:r>
      <w:r w:rsidRPr="0008519E">
        <w:rPr>
          <w:szCs w:val="18"/>
        </w:rPr>
        <w:t xml:space="preserve">WW samples were collected from </w:t>
      </w:r>
      <w:r w:rsidR="00B9065B" w:rsidRPr="0008519E">
        <w:rPr>
          <w:szCs w:val="18"/>
        </w:rPr>
        <w:t>br</w:t>
      </w:r>
      <w:r w:rsidR="0016677D" w:rsidRPr="0008519E">
        <w:rPr>
          <w:szCs w:val="18"/>
        </w:rPr>
        <w:t>ewery, dairy</w:t>
      </w:r>
      <w:r w:rsidR="00F0621A">
        <w:rPr>
          <w:szCs w:val="18"/>
        </w:rPr>
        <w:t>, oil mill</w:t>
      </w:r>
      <w:r w:rsidR="0016677D" w:rsidRPr="0008519E">
        <w:rPr>
          <w:szCs w:val="18"/>
        </w:rPr>
        <w:t xml:space="preserve"> and molasses sugar</w:t>
      </w:r>
      <w:r w:rsidR="00B9065B" w:rsidRPr="0008519E">
        <w:rPr>
          <w:szCs w:val="18"/>
        </w:rPr>
        <w:t xml:space="preserve">cane facilities </w:t>
      </w:r>
      <w:r w:rsidR="00E75F97" w:rsidRPr="0008519E">
        <w:rPr>
          <w:szCs w:val="18"/>
        </w:rPr>
        <w:t xml:space="preserve">located </w:t>
      </w:r>
      <w:r w:rsidR="00B9065B" w:rsidRPr="0008519E">
        <w:rPr>
          <w:szCs w:val="18"/>
        </w:rPr>
        <w:t xml:space="preserve">in </w:t>
      </w:r>
      <w:r w:rsidR="0016677D" w:rsidRPr="0008519E">
        <w:rPr>
          <w:szCs w:val="18"/>
        </w:rPr>
        <w:t>Modena, Italy</w:t>
      </w:r>
      <w:r w:rsidRPr="0008519E">
        <w:rPr>
          <w:szCs w:val="18"/>
        </w:rPr>
        <w:t xml:space="preserve">. </w:t>
      </w:r>
      <w:r w:rsidR="001F6852" w:rsidRPr="0008519E">
        <w:rPr>
          <w:rFonts w:cs="Arial"/>
          <w:szCs w:val="18"/>
        </w:rPr>
        <w:t xml:space="preserve">An average range of the main chemical-physical parameters for both effluents is shown in Table 1. Once collected WWs were </w:t>
      </w:r>
      <w:r w:rsidR="001F6852" w:rsidRPr="0008519E">
        <w:rPr>
          <w:rFonts w:eastAsia="AdvGulliv-R" w:cs="Arial"/>
          <w:szCs w:val="18"/>
        </w:rPr>
        <w:t>stored at 4</w:t>
      </w:r>
      <w:r w:rsidR="001F6852" w:rsidRPr="0008519E">
        <w:rPr>
          <w:rFonts w:cs="Arial"/>
          <w:szCs w:val="18"/>
        </w:rPr>
        <w:t>º C</w:t>
      </w:r>
      <w:r w:rsidR="001F6852" w:rsidRPr="0008519E">
        <w:rPr>
          <w:rFonts w:eastAsia="AdvGulliv-R" w:cs="Arial"/>
          <w:szCs w:val="18"/>
        </w:rPr>
        <w:t xml:space="preserve"> before their use. Later they were filtered using glass filter microfiber disks (</w:t>
      </w:r>
      <w:r w:rsidR="001F6852" w:rsidRPr="0008519E">
        <w:rPr>
          <w:rFonts w:cs="Arial"/>
          <w:szCs w:val="18"/>
        </w:rPr>
        <w:t>GF/C</w:t>
      </w:r>
      <w:r w:rsidR="001F6852" w:rsidRPr="0008519E">
        <w:rPr>
          <w:rFonts w:cs="Arial"/>
          <w:szCs w:val="18"/>
          <w:vertAlign w:val="superscript"/>
        </w:rPr>
        <w:t>TM</w:t>
      </w:r>
      <w:r w:rsidR="001F6852" w:rsidRPr="0008519E">
        <w:rPr>
          <w:rFonts w:cs="Arial"/>
          <w:szCs w:val="18"/>
        </w:rPr>
        <w:t xml:space="preserve"> 47 mm diameter, Whatman</w:t>
      </w:r>
      <w:r w:rsidR="001F6852" w:rsidRPr="0008519E">
        <w:rPr>
          <w:rFonts w:eastAsia="AdvGulliv-R" w:cs="Arial"/>
          <w:szCs w:val="18"/>
        </w:rPr>
        <w:t xml:space="preserve">, Incofar Srl, Modena, MO, Italy), deprived of solid materials and then sterilized </w:t>
      </w:r>
      <w:r w:rsidR="001F6852" w:rsidRPr="0008519E">
        <w:rPr>
          <w:rFonts w:cs="Arial"/>
          <w:szCs w:val="18"/>
        </w:rPr>
        <w:t xml:space="preserve">at 121º C </w:t>
      </w:r>
      <w:r w:rsidR="001F6852" w:rsidRPr="0008519E">
        <w:rPr>
          <w:szCs w:val="18"/>
        </w:rPr>
        <w:t xml:space="preserve">and 0.1 MPa </w:t>
      </w:r>
      <w:r w:rsidR="001F6852" w:rsidRPr="0008519E">
        <w:rPr>
          <w:rFonts w:cs="Arial"/>
          <w:szCs w:val="18"/>
        </w:rPr>
        <w:t>for 20 min</w:t>
      </w:r>
      <w:r w:rsidR="001F6852" w:rsidRPr="0008519E">
        <w:rPr>
          <w:rFonts w:eastAsia="AdvGulliv-R" w:cs="Arial"/>
          <w:szCs w:val="18"/>
        </w:rPr>
        <w:t xml:space="preserve"> before microalgal cultivation. </w:t>
      </w:r>
    </w:p>
    <w:p w14:paraId="34F47E85" w14:textId="77777777" w:rsidR="00732C41" w:rsidRPr="0008519E" w:rsidRDefault="00732C41" w:rsidP="00732C41">
      <w:pPr>
        <w:autoSpaceDE w:val="0"/>
        <w:autoSpaceDN w:val="0"/>
        <w:adjustRightInd w:val="0"/>
        <w:spacing w:before="120" w:after="120"/>
        <w:rPr>
          <w:rFonts w:cs="Arial"/>
          <w:b/>
          <w:szCs w:val="18"/>
        </w:rPr>
      </w:pPr>
      <w:r w:rsidRPr="0008519E">
        <w:rPr>
          <w:rFonts w:cs="Arial"/>
          <w:b/>
          <w:szCs w:val="18"/>
        </w:rPr>
        <w:t>2.2 Algae Cultivation</w:t>
      </w:r>
    </w:p>
    <w:p w14:paraId="22A68E02" w14:textId="77777777" w:rsidR="00732C41" w:rsidRPr="0008519E" w:rsidRDefault="006B3C0C" w:rsidP="000E0632">
      <w:pPr>
        <w:rPr>
          <w:rFonts w:ascii="Times New Roman" w:hAnsi="Times New Roman"/>
          <w:sz w:val="24"/>
          <w:szCs w:val="24"/>
        </w:rPr>
      </w:pPr>
      <w:r w:rsidRPr="0008519E">
        <w:rPr>
          <w:szCs w:val="18"/>
        </w:rPr>
        <w:t>500</w:t>
      </w:r>
      <w:r w:rsidR="000E0632" w:rsidRPr="0008519E">
        <w:rPr>
          <w:szCs w:val="18"/>
        </w:rPr>
        <w:t xml:space="preserve"> </w:t>
      </w:r>
      <w:r w:rsidRPr="0008519E">
        <w:rPr>
          <w:szCs w:val="18"/>
        </w:rPr>
        <w:t>ml glass flask</w:t>
      </w:r>
      <w:r w:rsidR="000E0632" w:rsidRPr="0008519E">
        <w:rPr>
          <w:szCs w:val="18"/>
        </w:rPr>
        <w:t>s, thereafter denominated PBRs, were used for algae cultivation</w:t>
      </w:r>
      <w:r w:rsidRPr="0008519E">
        <w:rPr>
          <w:szCs w:val="18"/>
        </w:rPr>
        <w:t xml:space="preserve">. PBRs </w:t>
      </w:r>
      <w:r w:rsidRPr="0008519E">
        <w:rPr>
          <w:rFonts w:eastAsia="AdvGulliv-R" w:cs="Arial"/>
          <w:szCs w:val="18"/>
        </w:rPr>
        <w:t>were covered with a cotton cup for air diffusion (0.03% CO</w:t>
      </w:r>
      <w:r w:rsidRPr="0008519E">
        <w:rPr>
          <w:rFonts w:eastAsia="AdvGulliv-R" w:cs="Arial"/>
          <w:szCs w:val="18"/>
          <w:vertAlign w:val="subscript"/>
        </w:rPr>
        <w:t>2</w:t>
      </w:r>
      <w:r w:rsidRPr="0008519E">
        <w:rPr>
          <w:rFonts w:eastAsia="AdvGulliv-R" w:cs="Arial"/>
          <w:szCs w:val="18"/>
        </w:rPr>
        <w:t xml:space="preserve"> v v</w:t>
      </w:r>
      <w:r w:rsidRPr="0008519E">
        <w:rPr>
          <w:rFonts w:eastAsia="AdvGulliv-R" w:cs="Arial"/>
          <w:szCs w:val="18"/>
          <w:vertAlign w:val="superscript"/>
        </w:rPr>
        <w:t>-1</w:t>
      </w:r>
      <w:r w:rsidRPr="0008519E">
        <w:rPr>
          <w:rFonts w:eastAsia="AdvGulliv-R" w:cs="Arial"/>
          <w:szCs w:val="18"/>
        </w:rPr>
        <w:t xml:space="preserve">) and daily shaken manually </w:t>
      </w:r>
      <w:r w:rsidRPr="0008519E">
        <w:rPr>
          <w:rFonts w:cs="Arial"/>
          <w:szCs w:val="18"/>
        </w:rPr>
        <w:t>at room temperature</w:t>
      </w:r>
      <w:r w:rsidRPr="0008519E">
        <w:rPr>
          <w:rFonts w:eastAsia="AdvGulliv-R" w:cs="Arial"/>
          <w:szCs w:val="18"/>
        </w:rPr>
        <w:t xml:space="preserve">. </w:t>
      </w:r>
      <w:r w:rsidRPr="0008519E">
        <w:rPr>
          <w:rFonts w:cs="Arial"/>
          <w:szCs w:val="18"/>
        </w:rPr>
        <w:t xml:space="preserve">They were illuminated with a photoperiod of 12 h light/12 h dark by white fluorescent lamps </w:t>
      </w:r>
      <w:r w:rsidRPr="0008519E">
        <w:rPr>
          <w:rFonts w:eastAsia="AdvGulliv-R" w:cs="Arial"/>
          <w:szCs w:val="18"/>
        </w:rPr>
        <w:t>providing a light intensity of 85 µmol m</w:t>
      </w:r>
      <w:r w:rsidRPr="0008519E">
        <w:rPr>
          <w:rFonts w:eastAsia="AdvGulliv-R" w:cs="Arial"/>
          <w:szCs w:val="18"/>
          <w:vertAlign w:val="superscript"/>
        </w:rPr>
        <w:t>-2</w:t>
      </w:r>
      <w:r w:rsidRPr="0008519E">
        <w:rPr>
          <w:rFonts w:eastAsia="AdvGulliv-R" w:cs="Arial"/>
          <w:szCs w:val="18"/>
        </w:rPr>
        <w:t xml:space="preserve"> s</w:t>
      </w:r>
      <w:r w:rsidRPr="0008519E">
        <w:rPr>
          <w:rFonts w:eastAsia="AdvGulliv-R" w:cs="Arial"/>
          <w:szCs w:val="18"/>
          <w:vertAlign w:val="superscript"/>
        </w:rPr>
        <w:t>-1</w:t>
      </w:r>
      <w:r w:rsidRPr="0008519E">
        <w:rPr>
          <w:rFonts w:eastAsia="AdvGulliv-R" w:cs="Arial"/>
          <w:szCs w:val="18"/>
        </w:rPr>
        <w:t>.</w:t>
      </w:r>
      <w:r w:rsidRPr="0008519E">
        <w:rPr>
          <w:szCs w:val="18"/>
        </w:rPr>
        <w:t xml:space="preserve"> </w:t>
      </w:r>
      <w:r w:rsidR="000E0632" w:rsidRPr="0008519E">
        <w:rPr>
          <w:szCs w:val="18"/>
        </w:rPr>
        <w:t>The initial working volume of the PBR</w:t>
      </w:r>
      <w:r w:rsidRPr="0008519E">
        <w:rPr>
          <w:szCs w:val="18"/>
        </w:rPr>
        <w:t>s</w:t>
      </w:r>
      <w:r w:rsidR="000E0632" w:rsidRPr="0008519E">
        <w:rPr>
          <w:szCs w:val="18"/>
        </w:rPr>
        <w:t xml:space="preserve"> and </w:t>
      </w:r>
      <w:r w:rsidR="000E0632" w:rsidRPr="0008519E">
        <w:rPr>
          <w:rFonts w:cs="Arial"/>
          <w:szCs w:val="18"/>
        </w:rPr>
        <w:t>cell concentration were</w:t>
      </w:r>
      <w:r w:rsidRPr="0008519E">
        <w:rPr>
          <w:szCs w:val="18"/>
        </w:rPr>
        <w:t xml:space="preserve"> 300 ml</w:t>
      </w:r>
      <w:r w:rsidR="000E0632" w:rsidRPr="0008519E">
        <w:rPr>
          <w:szCs w:val="18"/>
        </w:rPr>
        <w:t xml:space="preserve"> and </w:t>
      </w:r>
      <w:r w:rsidR="00732C41" w:rsidRPr="0008519E">
        <w:rPr>
          <w:rFonts w:cs="Arial"/>
          <w:szCs w:val="18"/>
        </w:rPr>
        <w:t>0.1 g L</w:t>
      </w:r>
      <w:r w:rsidR="00732C41" w:rsidRPr="0008519E">
        <w:rPr>
          <w:rFonts w:cs="Arial"/>
          <w:szCs w:val="18"/>
          <w:vertAlign w:val="superscript"/>
        </w:rPr>
        <w:t>-1</w:t>
      </w:r>
      <w:r w:rsidR="005075ED" w:rsidRPr="0008519E">
        <w:rPr>
          <w:rFonts w:cs="Arial"/>
          <w:szCs w:val="18"/>
        </w:rPr>
        <w:t>, respectively</w:t>
      </w:r>
      <w:r w:rsidR="000E0632" w:rsidRPr="0008519E">
        <w:rPr>
          <w:rFonts w:cs="Arial"/>
          <w:szCs w:val="18"/>
        </w:rPr>
        <w:t>.</w:t>
      </w:r>
      <w:r w:rsidR="00732C41" w:rsidRPr="0008519E">
        <w:rPr>
          <w:rFonts w:cs="Arial"/>
          <w:szCs w:val="18"/>
        </w:rPr>
        <w:t xml:space="preserve"> </w:t>
      </w:r>
      <w:r w:rsidR="001F6852" w:rsidRPr="0008519E">
        <w:rPr>
          <w:rFonts w:cs="Arial"/>
          <w:szCs w:val="18"/>
        </w:rPr>
        <w:t xml:space="preserve">The culture medium used as control was a modified Doucha whose composition </w:t>
      </w:r>
      <w:r w:rsidR="000051CD" w:rsidRPr="0008519E">
        <w:rPr>
          <w:rFonts w:cs="Arial"/>
          <w:szCs w:val="18"/>
        </w:rPr>
        <w:t xml:space="preserve">was obtained by adding to 1 L of distilled water 10 ml of five stock solutions, </w:t>
      </w:r>
      <w:r w:rsidR="00904361" w:rsidRPr="0008519E">
        <w:rPr>
          <w:rFonts w:cs="Arial"/>
          <w:szCs w:val="18"/>
        </w:rPr>
        <w:t>NaNO</w:t>
      </w:r>
      <w:r w:rsidR="00904361" w:rsidRPr="0008519E">
        <w:rPr>
          <w:rFonts w:cs="Arial"/>
          <w:szCs w:val="18"/>
          <w:vertAlign w:val="subscript"/>
        </w:rPr>
        <w:t xml:space="preserve">3 </w:t>
      </w:r>
      <w:r w:rsidR="000051CD" w:rsidRPr="0008519E">
        <w:rPr>
          <w:rFonts w:cs="Arial"/>
          <w:szCs w:val="18"/>
        </w:rPr>
        <w:t>(38.92</w:t>
      </w:r>
      <w:r w:rsidR="00904361" w:rsidRPr="0008519E">
        <w:rPr>
          <w:rFonts w:cs="Arial"/>
          <w:szCs w:val="18"/>
          <w:vertAlign w:val="subscript"/>
        </w:rPr>
        <w:t>g</w:t>
      </w:r>
      <w:r w:rsidR="000051CD" w:rsidRPr="0008519E">
        <w:rPr>
          <w:rFonts w:cs="Arial"/>
          <w:szCs w:val="18"/>
        </w:rPr>
        <w:t xml:space="preserve"> 25</w:t>
      </w:r>
      <w:r w:rsidR="00904361" w:rsidRPr="0008519E">
        <w:rPr>
          <w:rFonts w:cs="Arial"/>
          <w:szCs w:val="18"/>
        </w:rPr>
        <w:t>0</w:t>
      </w:r>
      <w:r w:rsidR="00904361" w:rsidRPr="0008519E">
        <w:rPr>
          <w:rFonts w:cs="Arial"/>
          <w:szCs w:val="18"/>
          <w:vertAlign w:val="subscript"/>
        </w:rPr>
        <w:t>mL</w:t>
      </w:r>
      <w:r w:rsidR="00904361" w:rsidRPr="0008519E">
        <w:rPr>
          <w:rFonts w:cs="Arial"/>
          <w:szCs w:val="18"/>
          <w:vertAlign w:val="superscript"/>
        </w:rPr>
        <w:t>-1</w:t>
      </w:r>
      <w:r w:rsidR="00904361" w:rsidRPr="0008519E">
        <w:rPr>
          <w:rFonts w:cs="Arial"/>
          <w:szCs w:val="18"/>
        </w:rPr>
        <w:t xml:space="preserve"> H</w:t>
      </w:r>
      <w:r w:rsidR="00904361" w:rsidRPr="0008519E">
        <w:rPr>
          <w:rFonts w:cs="Arial"/>
          <w:szCs w:val="18"/>
          <w:vertAlign w:val="subscript"/>
        </w:rPr>
        <w:t>2</w:t>
      </w:r>
      <w:r w:rsidR="00904361" w:rsidRPr="0008519E">
        <w:rPr>
          <w:rFonts w:cs="Arial"/>
          <w:szCs w:val="18"/>
        </w:rPr>
        <w:t xml:space="preserve">O), </w:t>
      </w:r>
      <w:r w:rsidR="00904361" w:rsidRPr="0008519E">
        <w:rPr>
          <w:rFonts w:eastAsia="SimSun" w:cs="Arial"/>
          <w:szCs w:val="18"/>
        </w:rPr>
        <w:t>KH</w:t>
      </w:r>
      <w:r w:rsidR="00904361" w:rsidRPr="0008519E">
        <w:rPr>
          <w:rFonts w:eastAsia="SimSun" w:cs="Arial"/>
          <w:szCs w:val="18"/>
          <w:vertAlign w:val="subscript"/>
        </w:rPr>
        <w:t>2</w:t>
      </w:r>
      <w:r w:rsidR="00904361" w:rsidRPr="0008519E">
        <w:rPr>
          <w:rFonts w:eastAsia="SimSun" w:cs="Arial"/>
          <w:szCs w:val="18"/>
        </w:rPr>
        <w:t>PO</w:t>
      </w:r>
      <w:r w:rsidR="00904361" w:rsidRPr="0008519E">
        <w:rPr>
          <w:rFonts w:eastAsia="SimSun" w:cs="Arial"/>
          <w:szCs w:val="18"/>
          <w:vertAlign w:val="subscript"/>
        </w:rPr>
        <w:t xml:space="preserve">4 </w:t>
      </w:r>
      <w:r w:rsidR="000051CD" w:rsidRPr="0008519E">
        <w:rPr>
          <w:rFonts w:cs="Arial"/>
          <w:szCs w:val="18"/>
        </w:rPr>
        <w:t>(2.96</w:t>
      </w:r>
      <w:r w:rsidR="00904361" w:rsidRPr="0008519E">
        <w:rPr>
          <w:rFonts w:cs="Arial"/>
          <w:szCs w:val="18"/>
          <w:vertAlign w:val="subscript"/>
        </w:rPr>
        <w:t>g</w:t>
      </w:r>
      <w:r w:rsidR="000051CD" w:rsidRPr="0008519E">
        <w:rPr>
          <w:rFonts w:cs="Arial"/>
          <w:szCs w:val="18"/>
        </w:rPr>
        <w:t xml:space="preserve"> 25</w:t>
      </w:r>
      <w:r w:rsidR="00904361" w:rsidRPr="0008519E">
        <w:rPr>
          <w:rFonts w:cs="Arial"/>
          <w:szCs w:val="18"/>
        </w:rPr>
        <w:t>0</w:t>
      </w:r>
      <w:r w:rsidR="00904361" w:rsidRPr="0008519E">
        <w:rPr>
          <w:rFonts w:cs="Arial"/>
          <w:szCs w:val="18"/>
          <w:vertAlign w:val="subscript"/>
        </w:rPr>
        <w:t>mL</w:t>
      </w:r>
      <w:r w:rsidR="00904361" w:rsidRPr="0008519E">
        <w:rPr>
          <w:rFonts w:cs="Arial"/>
          <w:szCs w:val="18"/>
          <w:vertAlign w:val="superscript"/>
        </w:rPr>
        <w:t>-1</w:t>
      </w:r>
      <w:r w:rsidR="00904361" w:rsidRPr="0008519E">
        <w:rPr>
          <w:rFonts w:cs="Arial"/>
          <w:szCs w:val="18"/>
        </w:rPr>
        <w:t xml:space="preserve"> H</w:t>
      </w:r>
      <w:r w:rsidR="00904361" w:rsidRPr="0008519E">
        <w:rPr>
          <w:rFonts w:cs="Arial"/>
          <w:szCs w:val="18"/>
          <w:vertAlign w:val="subscript"/>
        </w:rPr>
        <w:t>2</w:t>
      </w:r>
      <w:r w:rsidR="00904361" w:rsidRPr="0008519E">
        <w:rPr>
          <w:rFonts w:cs="Arial"/>
          <w:szCs w:val="18"/>
        </w:rPr>
        <w:t>O), MgSO</w:t>
      </w:r>
      <w:r w:rsidR="00904361" w:rsidRPr="0008519E">
        <w:rPr>
          <w:rFonts w:cs="Arial"/>
          <w:szCs w:val="18"/>
          <w:vertAlign w:val="subscript"/>
        </w:rPr>
        <w:t>4</w:t>
      </w:r>
      <m:oMath>
        <m:r>
          <w:rPr>
            <w:rFonts w:ascii="Cambria Math" w:cs="Arial"/>
            <w:szCs w:val="18"/>
            <w:vertAlign w:val="subscript"/>
          </w:rPr>
          <m:t xml:space="preserve"> </m:t>
        </m:r>
        <m:r>
          <w:rPr>
            <w:rFonts w:eastAsia="SimSun" w:cs="Arial"/>
            <w:szCs w:val="18"/>
            <w:vertAlign w:val="subscript"/>
          </w:rPr>
          <m:t>∙</m:t>
        </m:r>
        <m:r>
          <w:rPr>
            <w:rFonts w:ascii="Cambria Math" w:eastAsia="SimSun" w:cs="Arial"/>
            <w:szCs w:val="18"/>
            <w:vertAlign w:val="subscript"/>
          </w:rPr>
          <m:t xml:space="preserve"> </m:t>
        </m:r>
      </m:oMath>
      <w:r w:rsidR="00904361" w:rsidRPr="0008519E">
        <w:rPr>
          <w:rFonts w:cs="Arial"/>
          <w:szCs w:val="18"/>
        </w:rPr>
        <w:t>7H</w:t>
      </w:r>
      <w:r w:rsidR="00904361" w:rsidRPr="0008519E">
        <w:rPr>
          <w:rFonts w:cs="Arial"/>
          <w:szCs w:val="18"/>
          <w:vertAlign w:val="subscript"/>
        </w:rPr>
        <w:t>2</w:t>
      </w:r>
      <w:r w:rsidR="000051CD" w:rsidRPr="0008519E">
        <w:rPr>
          <w:rFonts w:cs="Arial"/>
          <w:szCs w:val="18"/>
        </w:rPr>
        <w:t>O (2.55</w:t>
      </w:r>
      <w:r w:rsidR="00904361" w:rsidRPr="0008519E">
        <w:rPr>
          <w:rFonts w:cs="Arial"/>
          <w:szCs w:val="18"/>
          <w:vertAlign w:val="subscript"/>
        </w:rPr>
        <w:t>g</w:t>
      </w:r>
      <w:r w:rsidR="000051CD" w:rsidRPr="0008519E">
        <w:rPr>
          <w:rFonts w:cs="Arial"/>
          <w:szCs w:val="18"/>
        </w:rPr>
        <w:t xml:space="preserve"> 25</w:t>
      </w:r>
      <w:r w:rsidR="00904361" w:rsidRPr="0008519E">
        <w:rPr>
          <w:rFonts w:cs="Arial"/>
          <w:szCs w:val="18"/>
        </w:rPr>
        <w:t>0</w:t>
      </w:r>
      <w:r w:rsidR="00904361" w:rsidRPr="0008519E">
        <w:rPr>
          <w:rFonts w:cs="Arial"/>
          <w:szCs w:val="18"/>
          <w:vertAlign w:val="subscript"/>
        </w:rPr>
        <w:t>mL</w:t>
      </w:r>
      <w:r w:rsidR="00904361" w:rsidRPr="0008519E">
        <w:rPr>
          <w:rFonts w:cs="Arial"/>
          <w:szCs w:val="18"/>
          <w:vertAlign w:val="superscript"/>
        </w:rPr>
        <w:t>-1</w:t>
      </w:r>
      <w:r w:rsidR="00904361" w:rsidRPr="0008519E">
        <w:rPr>
          <w:rFonts w:cs="Arial"/>
          <w:szCs w:val="18"/>
        </w:rPr>
        <w:t xml:space="preserve"> H</w:t>
      </w:r>
      <w:r w:rsidR="00904361" w:rsidRPr="0008519E">
        <w:rPr>
          <w:rFonts w:cs="Arial"/>
          <w:szCs w:val="18"/>
          <w:vertAlign w:val="subscript"/>
        </w:rPr>
        <w:t>2</w:t>
      </w:r>
      <w:r w:rsidR="00904361" w:rsidRPr="0008519E">
        <w:rPr>
          <w:rFonts w:cs="Arial"/>
          <w:szCs w:val="18"/>
        </w:rPr>
        <w:t>O), CaCl</w:t>
      </w:r>
      <w:r w:rsidR="00904361" w:rsidRPr="0008519E">
        <w:rPr>
          <w:rFonts w:cs="Arial"/>
          <w:szCs w:val="18"/>
          <w:vertAlign w:val="subscript"/>
        </w:rPr>
        <w:t>2</w:t>
      </w:r>
      <m:oMath>
        <m:r>
          <w:rPr>
            <w:rFonts w:ascii="Cambria Math" w:cs="Arial"/>
            <w:szCs w:val="18"/>
            <w:vertAlign w:val="subscript"/>
          </w:rPr>
          <m:t xml:space="preserve"> </m:t>
        </m:r>
        <m:r>
          <w:rPr>
            <w:rFonts w:eastAsia="SimSun" w:cs="Arial"/>
            <w:szCs w:val="18"/>
            <w:vertAlign w:val="subscript"/>
          </w:rPr>
          <m:t>∙</m:t>
        </m:r>
        <m:r>
          <w:rPr>
            <w:rFonts w:ascii="Cambria Math" w:eastAsia="SimSun" w:cs="Arial"/>
            <w:szCs w:val="18"/>
            <w:vertAlign w:val="subscript"/>
          </w:rPr>
          <m:t xml:space="preserve"> </m:t>
        </m:r>
      </m:oMath>
      <w:r w:rsidR="000051CD" w:rsidRPr="0008519E">
        <w:rPr>
          <w:rFonts w:eastAsia="SimSun" w:cs="Arial"/>
          <w:szCs w:val="18"/>
        </w:rPr>
        <w:t>6</w:t>
      </w:r>
      <w:r w:rsidR="00904361" w:rsidRPr="0008519E">
        <w:rPr>
          <w:rFonts w:eastAsia="SimSun" w:cs="Arial"/>
          <w:szCs w:val="18"/>
        </w:rPr>
        <w:t>H</w:t>
      </w:r>
      <w:r w:rsidR="00904361" w:rsidRPr="0008519E">
        <w:rPr>
          <w:rFonts w:eastAsia="SimSun" w:cs="Arial"/>
          <w:szCs w:val="18"/>
          <w:vertAlign w:val="subscript"/>
        </w:rPr>
        <w:t>2</w:t>
      </w:r>
      <w:r w:rsidR="00904361" w:rsidRPr="0008519E">
        <w:rPr>
          <w:rFonts w:eastAsia="SimSun" w:cs="Arial"/>
          <w:szCs w:val="18"/>
        </w:rPr>
        <w:t xml:space="preserve">O </w:t>
      </w:r>
      <w:r w:rsidR="000051CD" w:rsidRPr="0008519E">
        <w:rPr>
          <w:rFonts w:cs="Arial"/>
          <w:szCs w:val="18"/>
        </w:rPr>
        <w:t>(2.17</w:t>
      </w:r>
      <w:r w:rsidR="00904361" w:rsidRPr="0008519E">
        <w:rPr>
          <w:rFonts w:cs="Arial"/>
          <w:szCs w:val="18"/>
          <w:vertAlign w:val="subscript"/>
        </w:rPr>
        <w:t>g</w:t>
      </w:r>
      <w:r w:rsidR="000051CD" w:rsidRPr="0008519E">
        <w:rPr>
          <w:rFonts w:cs="Arial"/>
          <w:szCs w:val="18"/>
        </w:rPr>
        <w:t xml:space="preserve"> 25</w:t>
      </w:r>
      <w:r w:rsidR="00904361" w:rsidRPr="0008519E">
        <w:rPr>
          <w:rFonts w:cs="Arial"/>
          <w:szCs w:val="18"/>
        </w:rPr>
        <w:t>0</w:t>
      </w:r>
      <w:r w:rsidR="00904361" w:rsidRPr="0008519E">
        <w:rPr>
          <w:rFonts w:cs="Arial"/>
          <w:szCs w:val="18"/>
          <w:vertAlign w:val="subscript"/>
        </w:rPr>
        <w:t>mL</w:t>
      </w:r>
      <w:r w:rsidR="00904361" w:rsidRPr="0008519E">
        <w:rPr>
          <w:rFonts w:cs="Arial"/>
          <w:szCs w:val="18"/>
          <w:vertAlign w:val="superscript"/>
        </w:rPr>
        <w:t>-1</w:t>
      </w:r>
      <w:r w:rsidR="00904361" w:rsidRPr="0008519E">
        <w:rPr>
          <w:rFonts w:cs="Arial"/>
          <w:szCs w:val="18"/>
        </w:rPr>
        <w:t xml:space="preserve"> H</w:t>
      </w:r>
      <w:r w:rsidR="00904361" w:rsidRPr="0008519E">
        <w:rPr>
          <w:rFonts w:cs="Arial"/>
          <w:szCs w:val="18"/>
          <w:vertAlign w:val="subscript"/>
        </w:rPr>
        <w:t>2</w:t>
      </w:r>
      <w:r w:rsidR="00904361" w:rsidRPr="0008519E">
        <w:rPr>
          <w:rFonts w:cs="Arial"/>
          <w:szCs w:val="18"/>
        </w:rPr>
        <w:t>O)</w:t>
      </w:r>
      <w:r w:rsidR="00904361" w:rsidRPr="0008519E">
        <w:rPr>
          <w:rFonts w:eastAsia="SimSun" w:cs="Arial"/>
          <w:szCs w:val="18"/>
        </w:rPr>
        <w:t xml:space="preserve">, </w:t>
      </w:r>
      <w:r w:rsidR="000051CD" w:rsidRPr="0008519E">
        <w:rPr>
          <w:rFonts w:eastAsia="SimSun" w:cs="Arial"/>
          <w:szCs w:val="18"/>
        </w:rPr>
        <w:t>EDTA-FeNa (0.5</w:t>
      </w:r>
      <w:r w:rsidR="000051CD" w:rsidRPr="0008519E">
        <w:rPr>
          <w:rFonts w:eastAsia="SimSun" w:cs="Arial"/>
          <w:szCs w:val="18"/>
          <w:vertAlign w:val="subscript"/>
        </w:rPr>
        <w:t>g</w:t>
      </w:r>
      <w:r w:rsidR="000051CD" w:rsidRPr="0008519E">
        <w:rPr>
          <w:rFonts w:eastAsia="SimSun" w:cs="Arial"/>
          <w:szCs w:val="18"/>
        </w:rPr>
        <w:t xml:space="preserve"> </w:t>
      </w:r>
      <w:r w:rsidR="000051CD" w:rsidRPr="0008519E">
        <w:rPr>
          <w:rFonts w:cs="Arial"/>
          <w:szCs w:val="18"/>
        </w:rPr>
        <w:t>25</w:t>
      </w:r>
      <w:r w:rsidR="00904361" w:rsidRPr="0008519E">
        <w:rPr>
          <w:rFonts w:cs="Arial"/>
          <w:szCs w:val="18"/>
        </w:rPr>
        <w:t>0</w:t>
      </w:r>
      <w:r w:rsidR="00904361" w:rsidRPr="0008519E">
        <w:rPr>
          <w:rFonts w:cs="Arial"/>
          <w:szCs w:val="18"/>
          <w:vertAlign w:val="subscript"/>
        </w:rPr>
        <w:t>mL</w:t>
      </w:r>
      <w:r w:rsidR="00904361" w:rsidRPr="0008519E">
        <w:rPr>
          <w:rFonts w:cs="Arial"/>
          <w:szCs w:val="18"/>
          <w:vertAlign w:val="superscript"/>
        </w:rPr>
        <w:t>-1</w:t>
      </w:r>
      <w:r w:rsidR="00904361" w:rsidRPr="0008519E">
        <w:rPr>
          <w:rFonts w:cs="Arial"/>
          <w:szCs w:val="18"/>
        </w:rPr>
        <w:t xml:space="preserve"> H</w:t>
      </w:r>
      <w:r w:rsidR="00904361" w:rsidRPr="0008519E">
        <w:rPr>
          <w:rFonts w:cs="Arial"/>
          <w:szCs w:val="18"/>
          <w:vertAlign w:val="subscript"/>
        </w:rPr>
        <w:t>2</w:t>
      </w:r>
      <w:r w:rsidR="00904361" w:rsidRPr="0008519E">
        <w:rPr>
          <w:rFonts w:cs="Arial"/>
          <w:szCs w:val="18"/>
        </w:rPr>
        <w:t>O)</w:t>
      </w:r>
      <w:r w:rsidR="000051CD" w:rsidRPr="0008519E">
        <w:rPr>
          <w:rFonts w:cs="Arial"/>
          <w:szCs w:val="18"/>
        </w:rPr>
        <w:t>, 1 ml of microelements solutions I and II, and 0.5 ml of NaOH 1 M. Microelements solution</w:t>
      </w:r>
      <w:r w:rsidR="002D1BCE" w:rsidRPr="0008519E">
        <w:rPr>
          <w:rFonts w:cs="Arial"/>
          <w:szCs w:val="18"/>
        </w:rPr>
        <w:t xml:space="preserve"> I was</w:t>
      </w:r>
      <w:r w:rsidR="000051CD" w:rsidRPr="0008519E">
        <w:rPr>
          <w:rFonts w:cs="Arial"/>
          <w:szCs w:val="18"/>
        </w:rPr>
        <w:t xml:space="preserve"> prepared </w:t>
      </w:r>
      <w:r w:rsidR="000051CD" w:rsidRPr="0008519E">
        <w:rPr>
          <w:rFonts w:eastAsia="SimSun" w:cs="Arial"/>
          <w:szCs w:val="18"/>
        </w:rPr>
        <w:t>in the following manner (mg L</w:t>
      </w:r>
      <w:r w:rsidR="000051CD" w:rsidRPr="0008519E">
        <w:rPr>
          <w:rFonts w:eastAsia="SimSun" w:cs="Arial"/>
          <w:szCs w:val="18"/>
          <w:vertAlign w:val="superscript"/>
        </w:rPr>
        <w:t>-1</w:t>
      </w:r>
      <w:r w:rsidR="000051CD" w:rsidRPr="0008519E">
        <w:rPr>
          <w:rFonts w:eastAsia="SimSun" w:cs="Arial"/>
          <w:szCs w:val="18"/>
        </w:rPr>
        <w:t>): H</w:t>
      </w:r>
      <w:r w:rsidR="000051CD" w:rsidRPr="0008519E">
        <w:rPr>
          <w:rFonts w:eastAsia="SimSun" w:cs="Arial"/>
          <w:szCs w:val="18"/>
          <w:vertAlign w:val="subscript"/>
        </w:rPr>
        <w:t>3</w:t>
      </w:r>
      <w:r w:rsidR="000051CD" w:rsidRPr="0008519E">
        <w:rPr>
          <w:rFonts w:eastAsia="SimSun" w:cs="Arial"/>
          <w:szCs w:val="18"/>
        </w:rPr>
        <w:t>BO</w:t>
      </w:r>
      <w:r w:rsidR="000051CD" w:rsidRPr="0008519E">
        <w:rPr>
          <w:rFonts w:eastAsia="SimSun" w:cs="Arial"/>
          <w:szCs w:val="18"/>
          <w:vertAlign w:val="subscript"/>
        </w:rPr>
        <w:t>3</w:t>
      </w:r>
      <w:r w:rsidR="000051CD" w:rsidRPr="0008519E">
        <w:rPr>
          <w:rFonts w:eastAsia="SimSun" w:cs="Arial"/>
          <w:szCs w:val="18"/>
        </w:rPr>
        <w:t xml:space="preserve"> 415, MnCl</w:t>
      </w:r>
      <w:r w:rsidR="000051CD" w:rsidRPr="0008519E">
        <w:rPr>
          <w:rFonts w:eastAsia="SimSun" w:cs="Arial"/>
          <w:szCs w:val="18"/>
          <w:vertAlign w:val="subscript"/>
        </w:rPr>
        <w:t>4</w:t>
      </w:r>
      <m:oMath>
        <m:r>
          <w:rPr>
            <w:rFonts w:eastAsia="SimSun" w:cs="Arial"/>
            <w:szCs w:val="18"/>
            <w:vertAlign w:val="subscript"/>
          </w:rPr>
          <m:t>∙</m:t>
        </m:r>
        <m:r>
          <w:rPr>
            <w:rFonts w:ascii="Cambria Math" w:eastAsia="SimSun" w:cs="Arial"/>
            <w:szCs w:val="18"/>
            <w:vertAlign w:val="subscript"/>
          </w:rPr>
          <m:t xml:space="preserve"> </m:t>
        </m:r>
      </m:oMath>
      <w:r w:rsidR="000051CD" w:rsidRPr="0008519E">
        <w:rPr>
          <w:rFonts w:eastAsia="SimSun" w:cs="Arial"/>
          <w:szCs w:val="18"/>
        </w:rPr>
        <w:t>4H</w:t>
      </w:r>
      <w:r w:rsidR="000051CD" w:rsidRPr="0008519E">
        <w:rPr>
          <w:rFonts w:eastAsia="SimSun" w:cs="Arial"/>
          <w:szCs w:val="18"/>
          <w:vertAlign w:val="subscript"/>
        </w:rPr>
        <w:t>2</w:t>
      </w:r>
      <w:r w:rsidR="000051CD" w:rsidRPr="0008519E">
        <w:rPr>
          <w:rFonts w:eastAsia="SimSun" w:cs="Arial"/>
          <w:szCs w:val="18"/>
        </w:rPr>
        <w:t>O 1650, ZnSO</w:t>
      </w:r>
      <w:r w:rsidR="000051CD" w:rsidRPr="0008519E">
        <w:rPr>
          <w:rFonts w:eastAsia="SimSun" w:cs="Arial"/>
          <w:szCs w:val="18"/>
          <w:vertAlign w:val="subscript"/>
        </w:rPr>
        <w:t>4</w:t>
      </w:r>
      <m:oMath>
        <m:r>
          <w:rPr>
            <w:rFonts w:ascii="Cambria Math" w:eastAsia="SimSun" w:cs="Arial"/>
            <w:szCs w:val="18"/>
            <w:vertAlign w:val="subscript"/>
          </w:rPr>
          <m:t>∙</m:t>
        </m:r>
        <m:r>
          <w:rPr>
            <w:rFonts w:ascii="Cambria Math" w:eastAsia="SimSun" w:cs="Arial"/>
            <w:szCs w:val="18"/>
            <w:vertAlign w:val="subscript"/>
          </w:rPr>
          <m:t xml:space="preserve"> </m:t>
        </m:r>
      </m:oMath>
      <w:r w:rsidR="002D1BCE" w:rsidRPr="0008519E">
        <w:rPr>
          <w:rFonts w:eastAsia="SimSun" w:cs="Arial"/>
          <w:szCs w:val="18"/>
        </w:rPr>
        <w:t>7H</w:t>
      </w:r>
      <w:r w:rsidR="002D1BCE" w:rsidRPr="0008519E">
        <w:rPr>
          <w:rFonts w:eastAsia="SimSun" w:cs="Arial"/>
          <w:szCs w:val="18"/>
          <w:vertAlign w:val="subscript"/>
        </w:rPr>
        <w:t>2</w:t>
      </w:r>
      <w:r w:rsidR="002D1BCE" w:rsidRPr="0008519E">
        <w:rPr>
          <w:rFonts w:eastAsia="SimSun" w:cs="Arial"/>
          <w:szCs w:val="18"/>
        </w:rPr>
        <w:t>O 13</w:t>
      </w:r>
      <w:r w:rsidR="000051CD" w:rsidRPr="0008519E">
        <w:rPr>
          <w:rFonts w:eastAsia="SimSun" w:cs="Arial"/>
          <w:szCs w:val="18"/>
        </w:rPr>
        <w:t>5</w:t>
      </w:r>
      <w:r w:rsidR="002D1BCE" w:rsidRPr="0008519E">
        <w:rPr>
          <w:rFonts w:eastAsia="SimSun" w:cs="Arial"/>
          <w:szCs w:val="18"/>
        </w:rPr>
        <w:t>0</w:t>
      </w:r>
      <w:r w:rsidR="000051CD" w:rsidRPr="0008519E">
        <w:rPr>
          <w:rFonts w:eastAsia="SimSun" w:cs="Arial"/>
          <w:szCs w:val="18"/>
        </w:rPr>
        <w:t>, Co</w:t>
      </w:r>
      <w:r w:rsidR="002D1BCE" w:rsidRPr="0008519E">
        <w:rPr>
          <w:rFonts w:eastAsia="SimSun" w:cs="Arial"/>
          <w:szCs w:val="18"/>
        </w:rPr>
        <w:t>SO</w:t>
      </w:r>
      <w:r w:rsidR="002D1BCE" w:rsidRPr="0008519E">
        <w:rPr>
          <w:rFonts w:eastAsia="SimSun" w:cs="Arial"/>
          <w:szCs w:val="18"/>
          <w:vertAlign w:val="subscript"/>
        </w:rPr>
        <w:t>4</w:t>
      </w:r>
      <m:oMath>
        <m:r>
          <w:rPr>
            <w:rFonts w:ascii="Cambria Math" w:eastAsia="SimSun" w:cs="Arial"/>
            <w:szCs w:val="18"/>
            <w:vertAlign w:val="subscript"/>
          </w:rPr>
          <m:t>∙</m:t>
        </m:r>
        <m:r>
          <w:rPr>
            <w:rFonts w:ascii="Cambria Math" w:eastAsia="SimSun" w:cs="Arial"/>
            <w:szCs w:val="18"/>
            <w:vertAlign w:val="subscript"/>
          </w:rPr>
          <m:t xml:space="preserve"> </m:t>
        </m:r>
      </m:oMath>
      <w:r w:rsidR="002D1BCE" w:rsidRPr="0008519E">
        <w:rPr>
          <w:rFonts w:eastAsia="SimSun" w:cs="Arial"/>
          <w:szCs w:val="18"/>
        </w:rPr>
        <w:t>7H</w:t>
      </w:r>
      <w:r w:rsidR="002D1BCE" w:rsidRPr="0008519E">
        <w:rPr>
          <w:rFonts w:eastAsia="SimSun" w:cs="Arial"/>
          <w:szCs w:val="18"/>
          <w:vertAlign w:val="subscript"/>
        </w:rPr>
        <w:t>2</w:t>
      </w:r>
      <w:r w:rsidR="002D1BCE" w:rsidRPr="0008519E">
        <w:rPr>
          <w:rFonts w:eastAsia="SimSun" w:cs="Arial"/>
          <w:szCs w:val="18"/>
        </w:rPr>
        <w:t>O 300</w:t>
      </w:r>
      <w:r w:rsidR="000051CD" w:rsidRPr="0008519E">
        <w:rPr>
          <w:rFonts w:eastAsia="SimSun" w:cs="Arial"/>
          <w:szCs w:val="18"/>
        </w:rPr>
        <w:t xml:space="preserve">, and </w:t>
      </w:r>
      <w:r w:rsidR="002D1BCE" w:rsidRPr="0008519E">
        <w:rPr>
          <w:rFonts w:cs="Arial"/>
          <w:szCs w:val="18"/>
          <w:shd w:val="clear" w:color="auto" w:fill="FFFFFF"/>
        </w:rPr>
        <w:t>CuSO</w:t>
      </w:r>
      <w:r w:rsidR="002D1BCE" w:rsidRPr="0008519E">
        <w:rPr>
          <w:rFonts w:cs="Arial"/>
          <w:szCs w:val="18"/>
          <w:shd w:val="clear" w:color="auto" w:fill="FFFFFF"/>
          <w:vertAlign w:val="subscript"/>
        </w:rPr>
        <w:t>4</w:t>
      </w:r>
      <m:oMath>
        <m:r>
          <w:rPr>
            <w:rFonts w:ascii="Cambria Math" w:eastAsia="SimSun" w:cs="Arial"/>
            <w:szCs w:val="18"/>
            <w:vertAlign w:val="subscript"/>
          </w:rPr>
          <m:t>∙</m:t>
        </m:r>
        <m:r>
          <w:rPr>
            <w:rFonts w:ascii="Cambria Math" w:eastAsia="SimSun" w:cs="Arial"/>
            <w:szCs w:val="18"/>
            <w:vertAlign w:val="subscript"/>
          </w:rPr>
          <m:t xml:space="preserve"> </m:t>
        </m:r>
      </m:oMath>
      <w:r w:rsidR="002D1BCE" w:rsidRPr="0008519E">
        <w:rPr>
          <w:rFonts w:eastAsia="SimSun" w:cs="Arial"/>
          <w:szCs w:val="18"/>
        </w:rPr>
        <w:t>5H</w:t>
      </w:r>
      <w:r w:rsidR="002D1BCE" w:rsidRPr="0008519E">
        <w:rPr>
          <w:rFonts w:eastAsia="SimSun" w:cs="Arial"/>
          <w:szCs w:val="18"/>
          <w:vertAlign w:val="subscript"/>
        </w:rPr>
        <w:t>2</w:t>
      </w:r>
      <w:r w:rsidR="002D1BCE" w:rsidRPr="0008519E">
        <w:rPr>
          <w:rFonts w:eastAsia="SimSun" w:cs="Arial"/>
          <w:szCs w:val="18"/>
        </w:rPr>
        <w:t>O. For solution II (mg L</w:t>
      </w:r>
      <w:r w:rsidR="002D1BCE" w:rsidRPr="0008519E">
        <w:rPr>
          <w:rFonts w:eastAsia="SimSun" w:cs="Arial"/>
          <w:szCs w:val="18"/>
          <w:vertAlign w:val="superscript"/>
        </w:rPr>
        <w:t>-1</w:t>
      </w:r>
      <w:r w:rsidR="002D1BCE" w:rsidRPr="0008519E">
        <w:rPr>
          <w:rFonts w:eastAsia="SimSun" w:cs="Arial"/>
          <w:szCs w:val="18"/>
        </w:rPr>
        <w:t xml:space="preserve">): </w:t>
      </w:r>
      <w:r w:rsidR="002D1BCE" w:rsidRPr="0008519E">
        <w:rPr>
          <w:rFonts w:cs="Arial"/>
          <w:szCs w:val="18"/>
          <w:shd w:val="clear" w:color="auto" w:fill="FFFFFF"/>
        </w:rPr>
        <w:t>(NH</w:t>
      </w:r>
      <w:r w:rsidR="002D1BCE" w:rsidRPr="0008519E">
        <w:rPr>
          <w:rFonts w:cs="Arial"/>
          <w:szCs w:val="18"/>
          <w:shd w:val="clear" w:color="auto" w:fill="FFFFFF"/>
          <w:vertAlign w:val="subscript"/>
        </w:rPr>
        <w:t>4</w:t>
      </w:r>
      <w:r w:rsidR="002D1BCE" w:rsidRPr="0008519E">
        <w:rPr>
          <w:rFonts w:cs="Arial"/>
          <w:szCs w:val="18"/>
          <w:shd w:val="clear" w:color="auto" w:fill="FFFFFF"/>
        </w:rPr>
        <w:t>)</w:t>
      </w:r>
      <w:r w:rsidR="002D1BCE" w:rsidRPr="0008519E">
        <w:rPr>
          <w:rFonts w:cs="Arial"/>
          <w:szCs w:val="18"/>
          <w:shd w:val="clear" w:color="auto" w:fill="FFFFFF"/>
          <w:vertAlign w:val="subscript"/>
        </w:rPr>
        <w:t>6</w:t>
      </w:r>
      <w:r w:rsidR="002D1BCE" w:rsidRPr="0008519E">
        <w:rPr>
          <w:rFonts w:cs="Arial"/>
          <w:szCs w:val="18"/>
          <w:shd w:val="clear" w:color="auto" w:fill="FFFFFF"/>
        </w:rPr>
        <w:t>Mo</w:t>
      </w:r>
      <w:r w:rsidR="002D1BCE" w:rsidRPr="0008519E">
        <w:rPr>
          <w:rFonts w:cs="Arial"/>
          <w:szCs w:val="18"/>
          <w:shd w:val="clear" w:color="auto" w:fill="FFFFFF"/>
          <w:vertAlign w:val="subscript"/>
        </w:rPr>
        <w:t>7</w:t>
      </w:r>
      <w:r w:rsidR="002D1BCE" w:rsidRPr="0008519E">
        <w:rPr>
          <w:rFonts w:cs="Arial"/>
          <w:szCs w:val="18"/>
          <w:shd w:val="clear" w:color="auto" w:fill="FFFFFF"/>
        </w:rPr>
        <w:t>O</w:t>
      </w:r>
      <w:r w:rsidR="002D1BCE" w:rsidRPr="0008519E">
        <w:rPr>
          <w:rFonts w:cs="Arial"/>
          <w:szCs w:val="18"/>
          <w:shd w:val="clear" w:color="auto" w:fill="FFFFFF"/>
          <w:vertAlign w:val="subscript"/>
        </w:rPr>
        <w:t>24</w:t>
      </w:r>
      <m:oMath>
        <m:r>
          <w:rPr>
            <w:rFonts w:ascii="Cambria Math" w:eastAsia="SimSun" w:cs="Arial"/>
            <w:szCs w:val="18"/>
            <w:vertAlign w:val="subscript"/>
          </w:rPr>
          <m:t>∙</m:t>
        </m:r>
        <m:r>
          <w:rPr>
            <w:rFonts w:ascii="Cambria Math" w:eastAsia="SimSun" w:cs="Arial"/>
            <w:szCs w:val="18"/>
            <w:vertAlign w:val="subscript"/>
          </w:rPr>
          <m:t xml:space="preserve"> </m:t>
        </m:r>
      </m:oMath>
      <w:r w:rsidR="002D1BCE" w:rsidRPr="0008519E">
        <w:rPr>
          <w:rFonts w:eastAsia="SimSun" w:cs="Arial"/>
          <w:szCs w:val="18"/>
        </w:rPr>
        <w:t>4H</w:t>
      </w:r>
      <w:r w:rsidR="002D1BCE" w:rsidRPr="0008519E">
        <w:rPr>
          <w:rFonts w:eastAsia="SimSun" w:cs="Arial"/>
          <w:szCs w:val="18"/>
          <w:vertAlign w:val="subscript"/>
        </w:rPr>
        <w:t>2</w:t>
      </w:r>
      <w:r w:rsidR="002D1BCE" w:rsidRPr="0008519E">
        <w:rPr>
          <w:rFonts w:eastAsia="SimSun" w:cs="Arial"/>
          <w:szCs w:val="18"/>
        </w:rPr>
        <w:t>O 85 and NH</w:t>
      </w:r>
      <w:r w:rsidR="002D1BCE" w:rsidRPr="0008519E">
        <w:rPr>
          <w:rFonts w:eastAsia="SimSun" w:cs="Arial"/>
          <w:szCs w:val="18"/>
          <w:vertAlign w:val="subscript"/>
        </w:rPr>
        <w:t>4</w:t>
      </w:r>
      <w:r w:rsidR="002D1BCE" w:rsidRPr="0008519E">
        <w:rPr>
          <w:rFonts w:eastAsia="SimSun" w:cs="Arial"/>
          <w:szCs w:val="18"/>
        </w:rPr>
        <w:t>VO</w:t>
      </w:r>
      <w:r w:rsidR="002D1BCE" w:rsidRPr="0008519E">
        <w:rPr>
          <w:rFonts w:eastAsia="SimSun" w:cs="Arial"/>
          <w:szCs w:val="18"/>
          <w:vertAlign w:val="subscript"/>
        </w:rPr>
        <w:t xml:space="preserve">3 </w:t>
      </w:r>
      <w:r w:rsidR="002D1BCE" w:rsidRPr="0008519E">
        <w:rPr>
          <w:rFonts w:eastAsia="SimSun" w:cs="Arial"/>
          <w:szCs w:val="18"/>
        </w:rPr>
        <w:t>7.</w:t>
      </w:r>
      <w:r w:rsidR="002D1BCE" w:rsidRPr="0008519E">
        <w:rPr>
          <w:rFonts w:ascii="Times New Roman" w:hAnsi="Times New Roman"/>
          <w:sz w:val="24"/>
          <w:szCs w:val="24"/>
        </w:rPr>
        <w:t xml:space="preserve"> </w:t>
      </w:r>
      <w:r w:rsidR="00732C41" w:rsidRPr="0008519E">
        <w:rPr>
          <w:rFonts w:cs="Arial"/>
          <w:szCs w:val="18"/>
        </w:rPr>
        <w:t xml:space="preserve">After </w:t>
      </w:r>
      <w:r w:rsidRPr="0008519E">
        <w:rPr>
          <w:rFonts w:cs="Arial"/>
          <w:szCs w:val="18"/>
        </w:rPr>
        <w:t xml:space="preserve">two weeks </w:t>
      </w:r>
      <w:r w:rsidR="00732C41" w:rsidRPr="0008519E">
        <w:rPr>
          <w:rFonts w:cs="Arial"/>
          <w:szCs w:val="18"/>
        </w:rPr>
        <w:t>of cell growth, the cult</w:t>
      </w:r>
      <w:r w:rsidR="000E0632" w:rsidRPr="0008519E">
        <w:rPr>
          <w:rFonts w:cs="Arial"/>
          <w:szCs w:val="18"/>
        </w:rPr>
        <w:t xml:space="preserve">ures were centrifuged at 9722 g </w:t>
      </w:r>
      <w:r w:rsidR="00732C41" w:rsidRPr="0008519E">
        <w:rPr>
          <w:rFonts w:cs="Arial"/>
          <w:szCs w:val="18"/>
        </w:rPr>
        <w:t>RCF</w:t>
      </w:r>
      <w:r w:rsidR="000E0632" w:rsidRPr="0008519E">
        <w:rPr>
          <w:rFonts w:cs="Arial"/>
          <w:szCs w:val="18"/>
          <w:vertAlign w:val="superscript"/>
        </w:rPr>
        <w:t>-1</w:t>
      </w:r>
      <w:r w:rsidR="00732C41" w:rsidRPr="0008519E">
        <w:rPr>
          <w:rFonts w:cs="Arial"/>
          <w:szCs w:val="18"/>
        </w:rPr>
        <w:t xml:space="preserve"> for 10 min. The liquid phase was separated </w:t>
      </w:r>
      <w:r w:rsidRPr="0008519E">
        <w:rPr>
          <w:rFonts w:cs="Arial"/>
          <w:szCs w:val="18"/>
        </w:rPr>
        <w:t xml:space="preserve">from the pellet and the latter used </w:t>
      </w:r>
      <w:r w:rsidR="00732C41" w:rsidRPr="0008519E">
        <w:rPr>
          <w:rFonts w:cs="Arial"/>
          <w:szCs w:val="18"/>
        </w:rPr>
        <w:t xml:space="preserve">for </w:t>
      </w:r>
      <w:r w:rsidR="001F6852" w:rsidRPr="0008519E">
        <w:rPr>
          <w:rFonts w:cs="Arial"/>
          <w:szCs w:val="18"/>
        </w:rPr>
        <w:t>fatty acids methyl esters (FAME)</w:t>
      </w:r>
      <w:r w:rsidR="000E0632" w:rsidRPr="0008519E">
        <w:rPr>
          <w:rFonts w:cs="Arial"/>
          <w:szCs w:val="18"/>
        </w:rPr>
        <w:t xml:space="preserve"> analysis</w:t>
      </w:r>
      <w:r w:rsidR="00732C41" w:rsidRPr="0008519E">
        <w:rPr>
          <w:rFonts w:cs="Arial"/>
          <w:szCs w:val="18"/>
        </w:rPr>
        <w:t xml:space="preserve">. </w:t>
      </w:r>
    </w:p>
    <w:p w14:paraId="6AA2A676" w14:textId="77777777" w:rsidR="00732C41" w:rsidRPr="0008519E" w:rsidRDefault="00732C41" w:rsidP="00732C41">
      <w:pPr>
        <w:autoSpaceDE w:val="0"/>
        <w:autoSpaceDN w:val="0"/>
        <w:adjustRightInd w:val="0"/>
        <w:spacing w:before="120" w:after="120"/>
        <w:rPr>
          <w:rFonts w:cs="Arial"/>
          <w:b/>
          <w:szCs w:val="18"/>
        </w:rPr>
      </w:pPr>
      <w:r w:rsidRPr="0008519E">
        <w:rPr>
          <w:rFonts w:cs="Arial"/>
          <w:b/>
          <w:szCs w:val="18"/>
        </w:rPr>
        <w:t>2.3 Characterization of microalgae growth pattern</w:t>
      </w:r>
      <w:r w:rsidR="00CE21E9" w:rsidRPr="0008519E">
        <w:rPr>
          <w:rFonts w:cs="Arial"/>
          <w:b/>
          <w:szCs w:val="18"/>
        </w:rPr>
        <w:t xml:space="preserve">   </w:t>
      </w:r>
    </w:p>
    <w:p w14:paraId="7CD8DE7F" w14:textId="77777777" w:rsidR="001F6852" w:rsidRPr="0008519E" w:rsidRDefault="00770A6B" w:rsidP="00904361">
      <w:pPr>
        <w:rPr>
          <w:rFonts w:cs="Arial"/>
          <w:szCs w:val="18"/>
        </w:rPr>
      </w:pPr>
      <w:r w:rsidRPr="0008519E">
        <w:rPr>
          <w:rFonts w:cs="Arial"/>
          <w:szCs w:val="18"/>
        </w:rPr>
        <w:t xml:space="preserve">Microalgae growth in the culture was monitored by measuring the optical density (OD) at </w:t>
      </w:r>
      <w:r w:rsidR="00392148" w:rsidRPr="0008519E">
        <w:rPr>
          <w:rFonts w:cs="Arial"/>
          <w:szCs w:val="18"/>
        </w:rPr>
        <w:t>680 nm</w:t>
      </w:r>
      <w:r w:rsidRPr="0008519E">
        <w:rPr>
          <w:rFonts w:cs="Arial"/>
          <w:szCs w:val="18"/>
        </w:rPr>
        <w:t>. The detailed procedure adopted to monitor algal growth was re</w:t>
      </w:r>
      <w:r w:rsidR="00BC6104" w:rsidRPr="0008519E">
        <w:rPr>
          <w:rFonts w:cs="Arial"/>
          <w:szCs w:val="18"/>
        </w:rPr>
        <w:t xml:space="preserve">ported in Lutzu et al. (2020b). </w:t>
      </w:r>
      <w:r w:rsidR="00B306D3" w:rsidRPr="0008519E">
        <w:rPr>
          <w:rFonts w:cs="Arial"/>
          <w:szCs w:val="18"/>
        </w:rPr>
        <w:t>The cell concentration (dry weight V</w:t>
      </w:r>
      <w:r w:rsidR="00B306D3" w:rsidRPr="0008519E">
        <w:rPr>
          <w:rFonts w:cs="Arial"/>
          <w:szCs w:val="18"/>
          <w:vertAlign w:val="superscript"/>
        </w:rPr>
        <w:t>-1</w:t>
      </w:r>
      <w:r w:rsidR="00B306D3" w:rsidRPr="0008519E">
        <w:rPr>
          <w:rFonts w:cs="Arial"/>
          <w:szCs w:val="18"/>
        </w:rPr>
        <w:t>), X</w:t>
      </w:r>
      <w:r w:rsidR="00B306D3" w:rsidRPr="0008519E">
        <w:rPr>
          <w:rFonts w:cs="Arial"/>
          <w:szCs w:val="18"/>
          <w:vertAlign w:val="subscript"/>
        </w:rPr>
        <w:t>dw</w:t>
      </w:r>
      <w:r w:rsidR="00B306D3" w:rsidRPr="0008519E">
        <w:rPr>
          <w:rFonts w:cs="Arial"/>
          <w:szCs w:val="18"/>
        </w:rPr>
        <w:t xml:space="preserve"> (g L</w:t>
      </w:r>
      <w:r w:rsidR="00B306D3" w:rsidRPr="0008519E">
        <w:rPr>
          <w:rFonts w:eastAsia="AdvOT8608a8d1+22" w:cs="Arial"/>
          <w:szCs w:val="18"/>
          <w:vertAlign w:val="superscript"/>
        </w:rPr>
        <w:t>−</w:t>
      </w:r>
      <w:r w:rsidR="00B306D3" w:rsidRPr="0008519E">
        <w:rPr>
          <w:rFonts w:cs="Arial"/>
          <w:szCs w:val="18"/>
          <w:vertAlign w:val="superscript"/>
        </w:rPr>
        <w:t>1</w:t>
      </w:r>
      <w:r w:rsidR="00B306D3" w:rsidRPr="0008519E">
        <w:rPr>
          <w:rFonts w:cs="Arial"/>
          <w:szCs w:val="18"/>
        </w:rPr>
        <w:t>), specific growth rate (μ), doubling time (t</w:t>
      </w:r>
      <w:r w:rsidR="00B306D3" w:rsidRPr="0008519E">
        <w:rPr>
          <w:rFonts w:cs="Arial"/>
          <w:szCs w:val="18"/>
          <w:vertAlign w:val="subscript"/>
        </w:rPr>
        <w:t>d</w:t>
      </w:r>
      <w:r w:rsidR="00B306D3" w:rsidRPr="0008519E">
        <w:rPr>
          <w:rFonts w:cs="Arial"/>
          <w:szCs w:val="18"/>
        </w:rPr>
        <w:t xml:space="preserve">) calculations </w:t>
      </w:r>
      <w:r w:rsidRPr="0008519E">
        <w:rPr>
          <w:rFonts w:cs="Arial"/>
          <w:szCs w:val="18"/>
        </w:rPr>
        <w:t xml:space="preserve">were performed according to the procedures reported </w:t>
      </w:r>
      <w:r w:rsidR="00B306D3" w:rsidRPr="0008519E">
        <w:rPr>
          <w:rFonts w:cs="Arial"/>
          <w:szCs w:val="18"/>
        </w:rPr>
        <w:t xml:space="preserve">in detail </w:t>
      </w:r>
      <w:r w:rsidRPr="0008519E">
        <w:rPr>
          <w:rFonts w:cs="Arial"/>
          <w:szCs w:val="18"/>
        </w:rPr>
        <w:t>elsewhere (</w:t>
      </w:r>
      <w:r w:rsidR="00BC6104" w:rsidRPr="0008519E">
        <w:rPr>
          <w:rFonts w:cs="Arial"/>
          <w:noProof/>
          <w:szCs w:val="18"/>
        </w:rPr>
        <w:t>Zhou and Dunford,</w:t>
      </w:r>
      <w:r w:rsidRPr="0008519E">
        <w:rPr>
          <w:rFonts w:cs="Arial"/>
          <w:szCs w:val="18"/>
        </w:rPr>
        <w:t xml:space="preserve"> </w:t>
      </w:r>
      <w:r w:rsidR="00757647" w:rsidRPr="0008519E">
        <w:rPr>
          <w:rFonts w:cs="Arial"/>
          <w:szCs w:val="18"/>
        </w:rPr>
        <w:fldChar w:fldCharType="begin" w:fldLock="1"/>
      </w:r>
      <w:r w:rsidRPr="0008519E">
        <w:rPr>
          <w:rFonts w:cs="Arial"/>
          <w:szCs w:val="18"/>
        </w:rPr>
        <w:instrText>ADDIN CSL_CITATION {"citationItems":[{"id":"ITEM-1","itemData":{"DOI":"10.1007/s11746-013-2225-0","ISSN":"0003021X","abstract":"Biofuels derived from microalgae are considered a viable alternative energy resource that eliminates the major drawbacks associated with biofuels produced from land crops. Strain selection is a critical factor for the success of microalgal production systems. This study evaluates Picochlorum oklahomensis (PO) as a potential microalga strain for biofuel and bioproduct applications. Nannochloropsis oculata (NO) was included in the study as a well-studied reference strain with biomass properties suitable for commercial applications. Growth pattern including specific growth rates, generation time and maximum biomass concentrations in culture media were determined for both PO and NO. Oil and protein contents and fatty acid composition of both strains were analyzed. PO had a higher biomass concentration in the medium and shorter generation time than NO. Both strains were rich in oil, protein and polyunsaturated fatty acids. This study indicates that PO can be a viable strain for bioproduct manufacturing because of its high oil and protein content and biomass productivity. © 2013 AOCS.","author":[{"dropping-particle":"","family":"Zhu","given":"Yan","non-dropping-particle":"","parse-names":false,"suffix":""},{"dropping-particle":"","family":"Dunford","given":"Nurhan Turgut","non-dropping-particle":"","parse-names":false,"suffix":""}],"container-title":"JAOCS, Journal of the American Oil Chemists' Society","id":"ITEM-1","issued":{"date-parts":[["2013"]]},"title":"Growth and biomass characteristics of picochlorum oklahomensis and nannochloropsis oculata","type":"article-journal"},"suppress-author":1,"uris":["http://www.mendeley.com/documents/?uuid=e79766ab-f6e8-49ce-b331-4f0851bfb4ce"]},{"id":"ITEM-2","itemData":{"DOI":"10.13031/trans.12136","ISSN":"21510032","abstract":"The objective of this study was to characterize the growth pattern, lipid content, fatty acid profile, and biomass characteristics of seven algae strains isolated from the same environment and grown in standard media under similar conditions. Proximate composition of the algae biomass was determined using a thermogravimetric analysis method. The growth profile of a selected strain (SP22) in wastewater generated during hydraulic fracturing for natural gas production (frac water) was also examined. Average biomass productivities of SP20, SP46, and SP50 were similar and significantly higher than the other strains examined in this study. Maximum biomass concentration in the culture medium (1.32 g L-1) was achieved with SP46. Green algae strains SP20 and SP22 accumulated significantly higher amounts of lipids than all the cyanobacteria investigated in this study. Saturated fatty acid contents of the algal oils varied between 32.5% and 39.9%. The highest mono-And polyunsaturated fatty acid contents were observed in SP46 and SP22, respectively. Total FAME content was highest in SP22 and second highest in SP20. Growth potential of SP22 in wastewater was also examined. This study demonstrated that SP22 can grow in frac water. Furthermore, enrichment of frac water with nutrients resulted in about 20 times more biomass productivity than that of the frac water as is, with no nutrient addition.","author":[{"dropping-particle":"","family":"Zhou","given":"N.","non-dropping-particle":"","parse-names":false,"suffix":""},{"dropping-particle":"","family":"Dunford","given":"N. T.","non-dropping-particle":"","parse-names":false,"suffix":""}],"container-title":"Transactions of the ASABE","id":"ITEM-2","issued":{"date-parts":[["2017"]]},"title":"Characterization of green microalgae and cyanobacteria isolated from the great salt plains","type":"article-journal"},"suppress-author":1,"uris":["http://www.mendeley.com/documents/?uuid=6fd77588-2e22-4917-8ef0-cf915adf0fe1"]}],"mendeley":{"formattedCitation":"(2017; 2013)","plainTextFormattedCitation":"(2017; 2013)","previouslyFormattedCitation":"(2017; 2013)"},"properties":{"noteIndex":0},"schema":"https://github.com/citation-style-language/schema/raw/master/csl-citation.json"}</w:instrText>
      </w:r>
      <w:r w:rsidR="00757647" w:rsidRPr="0008519E">
        <w:rPr>
          <w:rFonts w:cs="Arial"/>
          <w:szCs w:val="18"/>
        </w:rPr>
        <w:fldChar w:fldCharType="separate"/>
      </w:r>
      <w:r w:rsidRPr="0008519E">
        <w:rPr>
          <w:rFonts w:cs="Arial"/>
          <w:noProof/>
          <w:szCs w:val="18"/>
        </w:rPr>
        <w:t>2017)</w:t>
      </w:r>
      <w:r w:rsidR="00757647" w:rsidRPr="0008519E">
        <w:rPr>
          <w:rFonts w:cs="Arial"/>
          <w:szCs w:val="18"/>
        </w:rPr>
        <w:fldChar w:fldCharType="end"/>
      </w:r>
      <w:r w:rsidRPr="0008519E">
        <w:rPr>
          <w:rFonts w:cs="Arial"/>
          <w:szCs w:val="18"/>
        </w:rPr>
        <w:t xml:space="preserve">. </w:t>
      </w:r>
      <w:r w:rsidR="001F6852" w:rsidRPr="0008519E">
        <w:rPr>
          <w:rFonts w:cs="Arial"/>
          <w:szCs w:val="18"/>
        </w:rPr>
        <w:t>The average biomass productivity (∆X) was expressed as:</w:t>
      </w:r>
    </w:p>
    <w:p w14:paraId="26DCA1FA" w14:textId="77777777" w:rsidR="001F6852" w:rsidRPr="0008519E" w:rsidRDefault="001F6852" w:rsidP="001F6852">
      <w:pPr>
        <w:autoSpaceDE w:val="0"/>
        <w:autoSpaceDN w:val="0"/>
        <w:adjustRightInd w:val="0"/>
        <w:rPr>
          <w:rFonts w:cs="Arial"/>
          <w:i/>
          <w:szCs w:val="18"/>
          <w:vertAlign w:val="subscript"/>
        </w:rPr>
      </w:pPr>
      <w:r w:rsidRPr="0008519E">
        <w:rPr>
          <w:rFonts w:cs="Arial"/>
          <w:position w:val="-30"/>
          <w:szCs w:val="18"/>
        </w:rPr>
        <w:object w:dxaOrig="1840" w:dyaOrig="680" w14:anchorId="68496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3pt" o:ole="">
            <v:imagedata r:id="rId10" o:title=""/>
          </v:shape>
          <o:OLEObject Type="Embed" ProgID="Equation.DSMT4" ShapeID="_x0000_i1025" DrawAspect="Content" ObjectID="_1708864447" r:id="rId11"/>
        </w:object>
      </w:r>
      <w:r w:rsidRPr="0008519E">
        <w:rPr>
          <w:rFonts w:cs="Arial"/>
          <w:szCs w:val="18"/>
        </w:rPr>
        <w:tab/>
        <w:t>(1)</w:t>
      </w:r>
    </w:p>
    <w:p w14:paraId="793EC6C3" w14:textId="77777777" w:rsidR="00770A6B" w:rsidRPr="001F6852" w:rsidRDefault="00B306D3" w:rsidP="00770A6B">
      <w:pPr>
        <w:rPr>
          <w:rFonts w:cs="Arial"/>
          <w:szCs w:val="18"/>
        </w:rPr>
      </w:pPr>
      <w:r w:rsidRPr="0008519E">
        <w:rPr>
          <w:rFonts w:cs="Arial"/>
          <w:szCs w:val="18"/>
        </w:rPr>
        <w:t xml:space="preserve">where the </w:t>
      </w:r>
      <m:oMath>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0</m:t>
            </m:r>
          </m:sub>
        </m:sSub>
      </m:oMath>
      <w:r w:rsidRPr="0008519E">
        <w:rPr>
          <w:rFonts w:cs="Arial"/>
          <w:szCs w:val="18"/>
        </w:rPr>
        <w:t xml:space="preserve"> represent initial time of the cultivation period. </w:t>
      </w:r>
      <w:r w:rsidR="001F6852" w:rsidRPr="0008519E">
        <w:rPr>
          <w:rFonts w:cs="Arial"/>
          <w:szCs w:val="18"/>
        </w:rPr>
        <w:t xml:space="preserve">The pH of the cultures was </w:t>
      </w:r>
      <w:r w:rsidR="00770A6B" w:rsidRPr="0008519E">
        <w:rPr>
          <w:rFonts w:cs="Arial"/>
          <w:szCs w:val="18"/>
        </w:rPr>
        <w:t>recorded using a pH-meter (</w:t>
      </w:r>
      <w:r w:rsidR="001F6852" w:rsidRPr="0008519E">
        <w:rPr>
          <w:rFonts w:cs="Arial"/>
          <w:szCs w:val="18"/>
        </w:rPr>
        <w:t>HI 2210, Hanna Instruments, Woonsocket, RI, US</w:t>
      </w:r>
      <w:r w:rsidR="00770A6B" w:rsidRPr="0008519E">
        <w:rPr>
          <w:rFonts w:cs="Arial"/>
          <w:szCs w:val="18"/>
        </w:rPr>
        <w:t>).</w:t>
      </w:r>
      <w:r w:rsidR="00770A6B" w:rsidRPr="001F6852">
        <w:rPr>
          <w:rFonts w:cs="Arial"/>
          <w:szCs w:val="18"/>
        </w:rPr>
        <w:t xml:space="preserve"> </w:t>
      </w:r>
    </w:p>
    <w:p w14:paraId="785C29F6" w14:textId="77777777" w:rsidR="00732C41" w:rsidRPr="00AA1FB7" w:rsidRDefault="00732C41" w:rsidP="00732C41">
      <w:pPr>
        <w:autoSpaceDE w:val="0"/>
        <w:autoSpaceDN w:val="0"/>
        <w:adjustRightInd w:val="0"/>
        <w:rPr>
          <w:rFonts w:cs="Arial"/>
          <w:szCs w:val="18"/>
        </w:rPr>
      </w:pPr>
      <w:r w:rsidRPr="00AA1FB7">
        <w:rPr>
          <w:rFonts w:cs="Arial"/>
          <w:szCs w:val="18"/>
        </w:rPr>
        <w:t xml:space="preserve"> </w:t>
      </w:r>
    </w:p>
    <w:p w14:paraId="02C2BDC7" w14:textId="77777777" w:rsidR="00732C41" w:rsidRPr="00AA1FB7" w:rsidRDefault="009D0379" w:rsidP="00732C41">
      <w:pPr>
        <w:autoSpaceDE w:val="0"/>
        <w:autoSpaceDN w:val="0"/>
        <w:adjustRightInd w:val="0"/>
        <w:spacing w:before="120" w:after="120"/>
        <w:rPr>
          <w:rFonts w:cs="Arial"/>
          <w:b/>
          <w:szCs w:val="18"/>
        </w:rPr>
      </w:pPr>
      <w:r>
        <w:rPr>
          <w:rFonts w:cs="Arial"/>
          <w:b/>
          <w:szCs w:val="18"/>
        </w:rPr>
        <w:t>2.4</w:t>
      </w:r>
      <w:r w:rsidR="00904361">
        <w:rPr>
          <w:rFonts w:cs="Arial"/>
          <w:b/>
          <w:szCs w:val="18"/>
        </w:rPr>
        <w:t xml:space="preserve"> FAMEs determination</w:t>
      </w:r>
      <w:r w:rsidR="00732C41" w:rsidRPr="00AA1FB7">
        <w:rPr>
          <w:rFonts w:cs="Arial"/>
          <w:b/>
          <w:szCs w:val="18"/>
        </w:rPr>
        <w:t xml:space="preserve"> </w:t>
      </w:r>
    </w:p>
    <w:p w14:paraId="03F73511" w14:textId="77777777" w:rsidR="00732C41" w:rsidRPr="00C758CB" w:rsidRDefault="00904361" w:rsidP="0016677D">
      <w:pPr>
        <w:rPr>
          <w:rFonts w:eastAsia="SimSun" w:cs="Arial"/>
          <w:szCs w:val="18"/>
        </w:rPr>
      </w:pPr>
      <w:r w:rsidRPr="00C758CB">
        <w:rPr>
          <w:rFonts w:eastAsia="AdvGulliv-R" w:cs="Arial"/>
          <w:szCs w:val="18"/>
        </w:rPr>
        <w:t xml:space="preserve">FAMEs were prepared according to a modified protocol reported by </w:t>
      </w:r>
      <w:r w:rsidRPr="00C758CB">
        <w:rPr>
          <w:rFonts w:cs="Arial"/>
          <w:szCs w:val="18"/>
        </w:rPr>
        <w:t>Lage and Gentili (2018)</w:t>
      </w:r>
      <w:r w:rsidRPr="00C758CB">
        <w:rPr>
          <w:rFonts w:eastAsia="AdvGulliv-R" w:cs="Arial"/>
          <w:szCs w:val="18"/>
        </w:rPr>
        <w:t xml:space="preserve">. Briefly, </w:t>
      </w:r>
      <w:r w:rsidR="00C758CB" w:rsidRPr="00C758CB">
        <w:rPr>
          <w:rFonts w:eastAsia="AdvGulliv-R" w:cs="Arial"/>
          <w:szCs w:val="18"/>
        </w:rPr>
        <w:t>a toluene solution and a 1% H</w:t>
      </w:r>
      <w:r w:rsidR="00C758CB" w:rsidRPr="00C758CB">
        <w:rPr>
          <w:rFonts w:eastAsia="AdvGulliv-R" w:cs="Arial"/>
          <w:szCs w:val="18"/>
          <w:vertAlign w:val="subscript"/>
        </w:rPr>
        <w:t>2</w:t>
      </w:r>
      <w:r w:rsidR="00C758CB" w:rsidRPr="00C758CB">
        <w:rPr>
          <w:rFonts w:eastAsia="AdvGulliv-R" w:cs="Arial"/>
          <w:szCs w:val="18"/>
        </w:rPr>
        <w:t>SO</w:t>
      </w:r>
      <w:r w:rsidR="00C758CB" w:rsidRPr="00C758CB">
        <w:rPr>
          <w:rFonts w:eastAsia="AdvGulliv-R" w:cs="Arial"/>
          <w:szCs w:val="18"/>
          <w:vertAlign w:val="subscript"/>
        </w:rPr>
        <w:t>4</w:t>
      </w:r>
      <w:r w:rsidR="00C758CB" w:rsidRPr="00C758CB">
        <w:rPr>
          <w:rFonts w:eastAsia="AdvGulliv-R" w:cs="Arial"/>
          <w:szCs w:val="18"/>
        </w:rPr>
        <w:t xml:space="preserve"> solution in anhydrous methanol were used to re-suspend freeze-dried cells </w:t>
      </w:r>
      <w:r w:rsidRPr="00C758CB">
        <w:rPr>
          <w:rFonts w:eastAsia="AdvGulliv-R" w:cs="Arial"/>
          <w:szCs w:val="18"/>
        </w:rPr>
        <w:t>to improve the methylation of non-polar lipids and the</w:t>
      </w:r>
      <w:r w:rsidR="00C758CB" w:rsidRPr="00C758CB">
        <w:rPr>
          <w:rFonts w:eastAsia="AdvGulliv-R" w:cs="Arial"/>
          <w:szCs w:val="18"/>
        </w:rPr>
        <w:t xml:space="preserve">ir </w:t>
      </w:r>
      <w:r w:rsidRPr="00C758CB">
        <w:rPr>
          <w:rFonts w:eastAsia="AdvGulliv-R" w:cs="Arial"/>
          <w:szCs w:val="18"/>
        </w:rPr>
        <w:t>trans-methylat</w:t>
      </w:r>
      <w:r w:rsidR="00C758CB" w:rsidRPr="00C758CB">
        <w:rPr>
          <w:rFonts w:eastAsia="AdvGulliv-R" w:cs="Arial"/>
          <w:szCs w:val="18"/>
        </w:rPr>
        <w:t>ion, respectively</w:t>
      </w:r>
      <w:r w:rsidRPr="00C758CB">
        <w:rPr>
          <w:rFonts w:eastAsia="AdvGulliv-R" w:cs="Arial"/>
          <w:szCs w:val="18"/>
        </w:rPr>
        <w:t>. A</w:t>
      </w:r>
      <w:r w:rsidR="00C758CB" w:rsidRPr="00C758CB">
        <w:rPr>
          <w:rFonts w:eastAsia="AdvGulliv-R" w:cs="Arial"/>
          <w:szCs w:val="18"/>
        </w:rPr>
        <w:t xml:space="preserve"> </w:t>
      </w:r>
      <w:r w:rsidRPr="00C758CB">
        <w:rPr>
          <w:rFonts w:eastAsia="AdvGulliv-R" w:cs="Arial"/>
          <w:szCs w:val="18"/>
        </w:rPr>
        <w:t xml:space="preserve">tricosanoic acid methyl ester </w:t>
      </w:r>
      <w:r w:rsidR="00C758CB" w:rsidRPr="00C758CB">
        <w:rPr>
          <w:rFonts w:eastAsia="AdvGulliv-R" w:cs="Arial"/>
          <w:szCs w:val="18"/>
        </w:rPr>
        <w:lastRenderedPageBreak/>
        <w:t xml:space="preserve">(TAME) </w:t>
      </w:r>
      <w:r w:rsidRPr="00C758CB">
        <w:rPr>
          <w:rFonts w:eastAsia="AdvGulliv-R" w:cs="Arial"/>
          <w:szCs w:val="18"/>
        </w:rPr>
        <w:t>(CH</w:t>
      </w:r>
      <w:r w:rsidRPr="00C758CB">
        <w:rPr>
          <w:rFonts w:eastAsia="AdvGulliv-R" w:cs="Arial"/>
          <w:szCs w:val="18"/>
          <w:vertAlign w:val="subscript"/>
        </w:rPr>
        <w:t>3</w:t>
      </w:r>
      <w:r w:rsidRPr="00C758CB">
        <w:rPr>
          <w:rFonts w:eastAsia="AdvGulliv-R" w:cs="Arial"/>
          <w:szCs w:val="18"/>
        </w:rPr>
        <w:t>(CH</w:t>
      </w:r>
      <w:r w:rsidRPr="00C758CB">
        <w:rPr>
          <w:rFonts w:eastAsia="AdvGulliv-R" w:cs="Arial"/>
          <w:szCs w:val="18"/>
          <w:vertAlign w:val="subscript"/>
        </w:rPr>
        <w:t>2</w:t>
      </w:r>
      <w:r w:rsidRPr="00C758CB">
        <w:rPr>
          <w:rFonts w:eastAsia="AdvGulliv-R" w:cs="Arial"/>
          <w:szCs w:val="18"/>
        </w:rPr>
        <w:t>)</w:t>
      </w:r>
      <w:r w:rsidRPr="00C758CB">
        <w:rPr>
          <w:rFonts w:eastAsia="AdvGulliv-R" w:cs="Arial"/>
          <w:szCs w:val="18"/>
          <w:vertAlign w:val="subscript"/>
        </w:rPr>
        <w:t>21</w:t>
      </w:r>
      <w:r w:rsidRPr="00C758CB">
        <w:rPr>
          <w:rFonts w:eastAsia="AdvGulliv-R" w:cs="Arial"/>
          <w:szCs w:val="18"/>
        </w:rPr>
        <w:t>COOCH</w:t>
      </w:r>
      <w:r w:rsidRPr="00C758CB">
        <w:rPr>
          <w:rFonts w:eastAsia="AdvGulliv-R" w:cs="Arial"/>
          <w:szCs w:val="18"/>
          <w:vertAlign w:val="subscript"/>
        </w:rPr>
        <w:t>3</w:t>
      </w:r>
      <w:r w:rsidR="00C758CB" w:rsidRPr="00C758CB">
        <w:rPr>
          <w:rFonts w:eastAsia="AdvGulliv-R" w:cs="Arial"/>
          <w:szCs w:val="18"/>
        </w:rPr>
        <w:t>) in hexane was</w:t>
      </w:r>
      <w:r w:rsidRPr="00C758CB">
        <w:rPr>
          <w:rFonts w:eastAsia="AdvGulliv-R" w:cs="Arial"/>
          <w:szCs w:val="18"/>
        </w:rPr>
        <w:t xml:space="preserve"> added as an internal standard. The FAMEs were then extr</w:t>
      </w:r>
      <w:r w:rsidR="00C758CB" w:rsidRPr="00C758CB">
        <w:rPr>
          <w:rFonts w:eastAsia="AdvGulliv-R" w:cs="Arial"/>
          <w:szCs w:val="18"/>
        </w:rPr>
        <w:t xml:space="preserve">acted with </w:t>
      </w:r>
      <w:r w:rsidRPr="00C758CB">
        <w:rPr>
          <w:rFonts w:eastAsia="SimSun" w:cs="Arial"/>
          <w:szCs w:val="18"/>
        </w:rPr>
        <w:t>an extractive solution (</w:t>
      </w:r>
      <w:r w:rsidRPr="00C758CB">
        <w:rPr>
          <w:rFonts w:eastAsia="AdvGulliv-R" w:cs="Arial"/>
          <w:szCs w:val="18"/>
        </w:rPr>
        <w:t>5 ml 5% NaCl + 7 ml hexane) and after phase separation, the organic phase was quantitatively analyzed by a 7820A Gas Chromatopraph (</w:t>
      </w:r>
      <w:r w:rsidRPr="00C758CB">
        <w:rPr>
          <w:rFonts w:cs="Arial"/>
          <w:szCs w:val="18"/>
        </w:rPr>
        <w:t>Agilent Technologies, Palo alto, CA, US</w:t>
      </w:r>
      <w:r w:rsidRPr="00C758CB">
        <w:rPr>
          <w:rFonts w:eastAsia="AdvGulliv-R" w:cs="Arial"/>
          <w:szCs w:val="18"/>
        </w:rPr>
        <w:t xml:space="preserve">) </w:t>
      </w:r>
      <w:r w:rsidRPr="00C758CB">
        <w:rPr>
          <w:rFonts w:cs="Arial"/>
          <w:szCs w:val="18"/>
        </w:rPr>
        <w:t>coupled to a 5977B Mass Spectrometer</w:t>
      </w:r>
      <w:r w:rsidRPr="00C758CB">
        <w:rPr>
          <w:rFonts w:eastAsia="AdvGulliv-R" w:cs="Arial"/>
          <w:szCs w:val="18"/>
        </w:rPr>
        <w:t xml:space="preserve"> (</w:t>
      </w:r>
      <w:r w:rsidRPr="00C758CB">
        <w:rPr>
          <w:rFonts w:cs="Arial"/>
          <w:szCs w:val="18"/>
        </w:rPr>
        <w:t>Agilent Technologies Palo alto, CA, US). The system GC-MS systems (split mode 20:1, split flow 19.6 ml min</w:t>
      </w:r>
      <w:r w:rsidRPr="00C758CB">
        <w:rPr>
          <w:rFonts w:cs="Arial"/>
          <w:szCs w:val="18"/>
          <w:vertAlign w:val="superscript"/>
        </w:rPr>
        <w:t>-1</w:t>
      </w:r>
      <w:r w:rsidRPr="00C758CB">
        <w:rPr>
          <w:rFonts w:cs="Arial"/>
          <w:szCs w:val="18"/>
        </w:rPr>
        <w:t xml:space="preserve">) was equipped with a low polarity Supelco SLB-5 GC capillary column (30 m x 0.25 mm x 0.25 µm). Helium was used as carrier gas. The injector and detector temperatures were set at 280 </w:t>
      </w:r>
      <w:r w:rsidRPr="00C758CB">
        <w:rPr>
          <w:rFonts w:eastAsia="SimSun" w:cs="Arial"/>
          <w:szCs w:val="18"/>
        </w:rPr>
        <w:t>°C and 230 °C, respectively. The chromatogram was recorded in the scan mode (40-500 m z</w:t>
      </w:r>
      <w:r w:rsidRPr="00C758CB">
        <w:rPr>
          <w:rFonts w:eastAsia="SimSun" w:cs="Arial"/>
          <w:szCs w:val="18"/>
          <w:vertAlign w:val="superscript"/>
        </w:rPr>
        <w:t>-1</w:t>
      </w:r>
      <w:r w:rsidRPr="00C758CB">
        <w:rPr>
          <w:rFonts w:eastAsia="SimSun" w:cs="Arial"/>
          <w:szCs w:val="18"/>
        </w:rPr>
        <w:t>) with a programmed temperature from 60 °C to 280 °C. The identification and quantification of individual FAMEs were performed by using a standard reference solution</w:t>
      </w:r>
      <w:r w:rsidR="00C758CB" w:rsidRPr="00C758CB">
        <w:rPr>
          <w:rFonts w:eastAsia="SimSun" w:cs="Arial"/>
          <w:szCs w:val="18"/>
        </w:rPr>
        <w:t xml:space="preserve"> obtained by mixing </w:t>
      </w:r>
      <w:r w:rsidRPr="00C758CB">
        <w:rPr>
          <w:rFonts w:eastAsia="SimSun" w:cs="Arial"/>
          <w:szCs w:val="18"/>
        </w:rPr>
        <w:t xml:space="preserve">Supelco 37 Component FAME </w:t>
      </w:r>
      <w:r w:rsidRPr="00C758CB">
        <w:rPr>
          <w:rFonts w:cs="Arial"/>
          <w:szCs w:val="18"/>
        </w:rPr>
        <w:t>Mix® (Sigm</w:t>
      </w:r>
      <w:r w:rsidR="00C758CB" w:rsidRPr="00C758CB">
        <w:rPr>
          <w:rFonts w:cs="Arial"/>
          <w:szCs w:val="18"/>
        </w:rPr>
        <w:t xml:space="preserve">a Aldrich, Saint Louis, MO, US), </w:t>
      </w:r>
      <w:r w:rsidR="00C758CB" w:rsidRPr="00C758CB">
        <w:rPr>
          <w:rFonts w:eastAsia="SimSun" w:cs="Arial"/>
          <w:szCs w:val="18"/>
        </w:rPr>
        <w:t xml:space="preserve">TAME </w:t>
      </w:r>
      <w:r w:rsidRPr="00C758CB">
        <w:rPr>
          <w:rFonts w:eastAsia="SimSun" w:cs="Arial"/>
          <w:szCs w:val="18"/>
        </w:rPr>
        <w:t>inter</w:t>
      </w:r>
      <w:r w:rsidR="00C758CB" w:rsidRPr="00C758CB">
        <w:rPr>
          <w:rFonts w:eastAsia="SimSun" w:cs="Arial"/>
          <w:szCs w:val="18"/>
        </w:rPr>
        <w:t xml:space="preserve">nal standard solution and </w:t>
      </w:r>
      <w:r w:rsidRPr="00C758CB">
        <w:rPr>
          <w:rFonts w:cs="Arial"/>
          <w:szCs w:val="18"/>
        </w:rPr>
        <w:t xml:space="preserve">hexane. The content of FAMEs was calculated by manually integrating their peak areas with respect to the internal standard </w:t>
      </w:r>
      <w:r w:rsidR="00C758CB" w:rsidRPr="00C758CB">
        <w:rPr>
          <w:rFonts w:cs="Arial"/>
          <w:szCs w:val="18"/>
        </w:rPr>
        <w:t>TAME</w:t>
      </w:r>
      <w:r w:rsidRPr="00C758CB">
        <w:rPr>
          <w:rFonts w:cs="Arial"/>
          <w:szCs w:val="18"/>
        </w:rPr>
        <w:t>, after calculation of the response factor (RF) using the standard reference solution. Finally, fatty acid (FA) levels were expressed as g 100 g</w:t>
      </w:r>
      <w:r w:rsidRPr="00C758CB">
        <w:rPr>
          <w:rFonts w:cs="Arial"/>
          <w:szCs w:val="18"/>
          <w:vertAlign w:val="superscript"/>
        </w:rPr>
        <w:t xml:space="preserve">-1 </w:t>
      </w:r>
      <w:r w:rsidRPr="00C758CB">
        <w:rPr>
          <w:rFonts w:cs="Arial"/>
          <w:szCs w:val="18"/>
        </w:rPr>
        <w:t>total FAs.</w:t>
      </w:r>
    </w:p>
    <w:p w14:paraId="3DBB8261" w14:textId="77777777" w:rsidR="00732C41" w:rsidRPr="00AA1FB7" w:rsidRDefault="009D0379" w:rsidP="00732C41">
      <w:pPr>
        <w:autoSpaceDE w:val="0"/>
        <w:autoSpaceDN w:val="0"/>
        <w:adjustRightInd w:val="0"/>
        <w:spacing w:before="120" w:after="120"/>
        <w:rPr>
          <w:rFonts w:cs="Arial"/>
          <w:b/>
          <w:szCs w:val="18"/>
        </w:rPr>
      </w:pPr>
      <w:r>
        <w:rPr>
          <w:rFonts w:cs="Arial"/>
          <w:b/>
          <w:szCs w:val="18"/>
        </w:rPr>
        <w:t>2.5</w:t>
      </w:r>
      <w:r w:rsidR="00732C41" w:rsidRPr="00AA1FB7">
        <w:rPr>
          <w:rFonts w:cs="Arial"/>
          <w:b/>
          <w:szCs w:val="18"/>
        </w:rPr>
        <w:t xml:space="preserve"> Data Analysis</w:t>
      </w:r>
    </w:p>
    <w:p w14:paraId="5D858C5C" w14:textId="77777777" w:rsidR="00F93C5F" w:rsidRPr="00F93C5F" w:rsidRDefault="00F93C5F" w:rsidP="00F93C5F">
      <w:pPr>
        <w:pStyle w:val="Paragrafoelenco"/>
        <w:ind w:left="0"/>
        <w:rPr>
          <w:szCs w:val="18"/>
        </w:rPr>
      </w:pPr>
      <w:r w:rsidRPr="00C758CB">
        <w:rPr>
          <w:szCs w:val="18"/>
        </w:rPr>
        <w:t>All the experiments with algae and analytical tests were carried out at least in duplicate, typically in triplicate, and for all of them the mean values were reported. SAS 9.3 (SAS Institute Inc., Cary, NC, US) was used for the statistical analyses of the data. The regression equations correlating dr</w:t>
      </w:r>
      <w:r w:rsidR="00392148" w:rsidRPr="00C758CB">
        <w:rPr>
          <w:szCs w:val="18"/>
        </w:rPr>
        <w:t xml:space="preserve">y biomass concentration to OD, </w:t>
      </w:r>
      <w:r w:rsidRPr="00C758CB">
        <w:rPr>
          <w:szCs w:val="18"/>
        </w:rPr>
        <w:t xml:space="preserve">and </w:t>
      </w:r>
      <w:r w:rsidR="00392148" w:rsidRPr="00C758CB">
        <w:rPr>
          <w:szCs w:val="18"/>
        </w:rPr>
        <w:t xml:space="preserve">to </w:t>
      </w:r>
      <w:r w:rsidRPr="00C758CB">
        <w:rPr>
          <w:szCs w:val="18"/>
        </w:rPr>
        <w:t>µ were calculated using Microsoft Office Excel program (Excel 2016 Ink, Microsoft, US).</w:t>
      </w:r>
    </w:p>
    <w:p w14:paraId="67667AC3" w14:textId="77777777" w:rsidR="00732C41" w:rsidRPr="008567FA" w:rsidRDefault="00732C41" w:rsidP="008C40CA">
      <w:pPr>
        <w:pStyle w:val="CETHeading1"/>
        <w:numPr>
          <w:ilvl w:val="1"/>
          <w:numId w:val="23"/>
        </w:numPr>
        <w:spacing w:line="264" w:lineRule="auto"/>
      </w:pPr>
      <w:r w:rsidRPr="008567FA">
        <w:t>Results and Discussion</w:t>
      </w:r>
    </w:p>
    <w:p w14:paraId="618086C5" w14:textId="77777777" w:rsidR="00B306D3" w:rsidRDefault="00B306D3" w:rsidP="00B306D3">
      <w:pPr>
        <w:pStyle w:val="CETheadingx"/>
      </w:pPr>
      <w:r w:rsidRPr="00B306D3">
        <w:rPr>
          <w:i/>
        </w:rPr>
        <w:t>C. vulgaris</w:t>
      </w:r>
      <w:r w:rsidRPr="009D0379">
        <w:t xml:space="preserve"> growth in </w:t>
      </w:r>
      <w:r>
        <w:t>agro-industrial waste</w:t>
      </w:r>
      <w:r w:rsidRPr="009D0379">
        <w:t>water</w:t>
      </w:r>
    </w:p>
    <w:p w14:paraId="1ABF1E0B" w14:textId="77777777" w:rsidR="0016677D" w:rsidRPr="001B3BAB" w:rsidRDefault="0016677D" w:rsidP="00B306D3">
      <w:pPr>
        <w:autoSpaceDE w:val="0"/>
        <w:autoSpaceDN w:val="0"/>
        <w:adjustRightInd w:val="0"/>
        <w:spacing w:before="120" w:after="120"/>
        <w:rPr>
          <w:rFonts w:cs="Arial"/>
          <w:szCs w:val="18"/>
        </w:rPr>
      </w:pPr>
      <w:r w:rsidRPr="001B3BAB">
        <w:rPr>
          <w:rFonts w:cs="Arial"/>
          <w:szCs w:val="18"/>
        </w:rPr>
        <w:t xml:space="preserve">Agro-industrial WWs are characterized by huge amount of organic matter as </w:t>
      </w:r>
      <w:r w:rsidR="00CD68BC" w:rsidRPr="001B3BAB">
        <w:rPr>
          <w:rFonts w:cs="Arial"/>
          <w:szCs w:val="18"/>
        </w:rPr>
        <w:t xml:space="preserve">demonstrated by the high </w:t>
      </w:r>
      <w:r w:rsidRPr="001B3BAB">
        <w:rPr>
          <w:rFonts w:cs="Arial"/>
          <w:szCs w:val="18"/>
        </w:rPr>
        <w:t>BOD and COD values reported for DWW, BWW</w:t>
      </w:r>
      <w:r w:rsidR="00CD68BC" w:rsidRPr="001B3BAB">
        <w:rPr>
          <w:rFonts w:cs="Arial"/>
          <w:szCs w:val="18"/>
        </w:rPr>
        <w:t>, OMW</w:t>
      </w:r>
      <w:r w:rsidRPr="001B3BAB">
        <w:rPr>
          <w:rFonts w:cs="Arial"/>
          <w:szCs w:val="18"/>
        </w:rPr>
        <w:t xml:space="preserve"> and M</w:t>
      </w:r>
      <w:r w:rsidR="00301AA8" w:rsidRPr="001B3BAB">
        <w:rPr>
          <w:rFonts w:cs="Arial"/>
          <w:szCs w:val="18"/>
        </w:rPr>
        <w:t>OL</w:t>
      </w:r>
      <w:r w:rsidR="00CD68BC" w:rsidRPr="001B3BAB">
        <w:rPr>
          <w:rFonts w:cs="Arial"/>
          <w:szCs w:val="18"/>
        </w:rPr>
        <w:t xml:space="preserve"> (Table 1)</w:t>
      </w:r>
      <w:r w:rsidRPr="001B3BAB">
        <w:rPr>
          <w:rFonts w:cs="Arial"/>
          <w:szCs w:val="18"/>
        </w:rPr>
        <w:t xml:space="preserve">. </w:t>
      </w:r>
      <w:r w:rsidR="00CD68BC" w:rsidRPr="001B3BAB">
        <w:rPr>
          <w:rFonts w:cs="Arial"/>
          <w:szCs w:val="18"/>
        </w:rPr>
        <w:t xml:space="preserve">On the other hands, these waters are poor in N and P. To verify whether the organic load is able to enhance </w:t>
      </w:r>
      <w:r w:rsidR="00CD68BC" w:rsidRPr="001B3BAB">
        <w:rPr>
          <w:rFonts w:cs="Arial"/>
          <w:i/>
          <w:szCs w:val="18"/>
        </w:rPr>
        <w:t>C. vulgaris</w:t>
      </w:r>
      <w:r w:rsidR="00CD68BC" w:rsidRPr="001B3BAB">
        <w:rPr>
          <w:rFonts w:cs="Arial"/>
          <w:szCs w:val="18"/>
        </w:rPr>
        <w:t xml:space="preserve"> biomass production a series of growth experiments were carried out using three different agro-industrial WWs </w:t>
      </w:r>
      <w:r w:rsidR="001B3BAB" w:rsidRPr="001B3BAB">
        <w:rPr>
          <w:rFonts w:cs="Arial"/>
          <w:szCs w:val="18"/>
        </w:rPr>
        <w:t>and regular Doucha medium as control.</w:t>
      </w:r>
      <w:r w:rsidR="00CD68BC" w:rsidRPr="001B3BAB">
        <w:rPr>
          <w:rFonts w:cs="Arial"/>
          <w:szCs w:val="18"/>
        </w:rPr>
        <w:t xml:space="preserve">   </w:t>
      </w:r>
    </w:p>
    <w:p w14:paraId="30F043BE" w14:textId="77777777" w:rsidR="008C40CA" w:rsidRPr="00F0621A" w:rsidRDefault="008C40CA" w:rsidP="008C40CA">
      <w:pPr>
        <w:pStyle w:val="CETTabletitle"/>
        <w:spacing w:line="264" w:lineRule="auto"/>
        <w:rPr>
          <w:rFonts w:cs="Arial"/>
          <w:szCs w:val="18"/>
          <w:lang w:val="en-US"/>
        </w:rPr>
      </w:pPr>
      <w:r w:rsidRPr="00F0621A">
        <w:t xml:space="preserve">Table 1: </w:t>
      </w:r>
      <w:r w:rsidR="008515EC" w:rsidRPr="00F0621A">
        <w:rPr>
          <w:rFonts w:cs="Arial"/>
          <w:szCs w:val="18"/>
          <w:lang w:val="en-US"/>
        </w:rPr>
        <w:t>Range of</w:t>
      </w:r>
      <w:r w:rsidR="00E75F97" w:rsidRPr="00F0621A">
        <w:rPr>
          <w:rFonts w:cs="Arial"/>
          <w:szCs w:val="18"/>
          <w:lang w:val="en-US"/>
        </w:rPr>
        <w:t xml:space="preserve"> main chemical-physica</w:t>
      </w:r>
      <w:r w:rsidR="00D45504" w:rsidRPr="00F0621A">
        <w:rPr>
          <w:rFonts w:cs="Arial"/>
          <w:szCs w:val="18"/>
          <w:lang w:val="en-US"/>
        </w:rPr>
        <w:t xml:space="preserve">l parameters reported for </w:t>
      </w:r>
      <w:r w:rsidR="00E75F97" w:rsidRPr="00F0621A">
        <w:rPr>
          <w:rFonts w:cs="Arial"/>
          <w:szCs w:val="18"/>
          <w:lang w:val="en-US"/>
        </w:rPr>
        <w:t>wastewater</w:t>
      </w:r>
      <w:r w:rsidR="00D45504" w:rsidRPr="00F0621A">
        <w:rPr>
          <w:rFonts w:cs="Arial"/>
          <w:szCs w:val="18"/>
          <w:lang w:val="en-US"/>
        </w:rPr>
        <w:t xml:space="preserve"> and effluents tested</w:t>
      </w:r>
    </w:p>
    <w:tbl>
      <w:tblPr>
        <w:tblW w:w="5001" w:type="pct"/>
        <w:tblLayout w:type="fixed"/>
        <w:tblCellMar>
          <w:left w:w="70" w:type="dxa"/>
          <w:right w:w="70" w:type="dxa"/>
        </w:tblCellMar>
        <w:tblLook w:val="04A0" w:firstRow="1" w:lastRow="0" w:firstColumn="1" w:lastColumn="0" w:noHBand="0" w:noVBand="1"/>
      </w:tblPr>
      <w:tblGrid>
        <w:gridCol w:w="2911"/>
        <w:gridCol w:w="1018"/>
        <w:gridCol w:w="1176"/>
        <w:gridCol w:w="3684"/>
      </w:tblGrid>
      <w:tr w:rsidR="00D86C61" w:rsidRPr="00B306D3" w14:paraId="166679B2" w14:textId="77777777" w:rsidTr="00D86C61">
        <w:trPr>
          <w:trHeight w:val="284"/>
        </w:trPr>
        <w:tc>
          <w:tcPr>
            <w:tcW w:w="1656" w:type="pct"/>
            <w:tcBorders>
              <w:top w:val="single" w:sz="12" w:space="0" w:color="00B050"/>
              <w:bottom w:val="single" w:sz="12" w:space="0" w:color="00B050"/>
            </w:tcBorders>
            <w:shd w:val="clear" w:color="auto" w:fill="auto"/>
            <w:noWrap/>
            <w:vAlign w:val="center"/>
            <w:hideMark/>
          </w:tcPr>
          <w:p w14:paraId="0C63AF43" w14:textId="0CD7D4CA" w:rsidR="00F436BF" w:rsidRPr="00B306D3" w:rsidRDefault="00F436BF" w:rsidP="00F03F86">
            <w:pPr>
              <w:tabs>
                <w:tab w:val="clear" w:pos="7100"/>
              </w:tabs>
              <w:jc w:val="left"/>
              <w:rPr>
                <w:rFonts w:cs="Arial"/>
                <w:b/>
                <w:bCs/>
                <w:color w:val="000000"/>
                <w:szCs w:val="18"/>
                <w:lang w:val="en-US" w:eastAsia="it-IT"/>
              </w:rPr>
            </w:pPr>
            <w:r w:rsidRPr="00B306D3">
              <w:rPr>
                <w:rFonts w:cs="Arial"/>
                <w:b/>
                <w:bCs/>
                <w:color w:val="000000"/>
                <w:szCs w:val="18"/>
                <w:lang w:val="en-US" w:eastAsia="it-IT"/>
              </w:rPr>
              <w:t xml:space="preserve">              </w:t>
            </w:r>
            <w:r w:rsidRPr="00B306D3">
              <w:rPr>
                <w:rFonts w:cs="Arial"/>
                <w:bCs/>
                <w:i/>
                <w:color w:val="000000"/>
              </w:rPr>
              <w:t>BOD</w:t>
            </w:r>
            <w:r w:rsidRPr="00B306D3">
              <w:rPr>
                <w:rFonts w:cs="Arial"/>
                <w:bCs/>
                <w:i/>
                <w:color w:val="000000"/>
                <w:vertAlign w:val="subscript"/>
              </w:rPr>
              <w:t>5</w:t>
            </w:r>
            <w:r w:rsidRPr="00B306D3">
              <w:rPr>
                <w:rFonts w:cs="Arial"/>
                <w:bCs/>
                <w:i/>
                <w:color w:val="000000"/>
              </w:rPr>
              <w:t xml:space="preserve"> (g L</w:t>
            </w:r>
            <w:r w:rsidRPr="00B306D3">
              <w:rPr>
                <w:rFonts w:cs="Arial"/>
                <w:bCs/>
                <w:i/>
                <w:color w:val="000000"/>
                <w:vertAlign w:val="superscript"/>
              </w:rPr>
              <w:t>-1</w:t>
            </w:r>
            <w:r w:rsidRPr="00B306D3">
              <w:rPr>
                <w:rFonts w:cs="Arial"/>
                <w:bCs/>
                <w:i/>
                <w:color w:val="000000"/>
              </w:rPr>
              <w:t>)</w:t>
            </w:r>
            <w:r w:rsidRPr="00B306D3">
              <w:rPr>
                <w:rFonts w:cs="Arial"/>
                <w:b/>
                <w:bCs/>
                <w:color w:val="000000"/>
                <w:szCs w:val="18"/>
                <w:lang w:val="en-US" w:eastAsia="it-IT"/>
              </w:rPr>
              <w:t xml:space="preserve">    </w:t>
            </w:r>
            <w:r w:rsidRPr="00B306D3">
              <w:rPr>
                <w:rFonts w:cs="Arial"/>
                <w:bCs/>
                <w:i/>
                <w:color w:val="000000"/>
              </w:rPr>
              <w:t>COD (g L</w:t>
            </w:r>
            <w:r w:rsidRPr="00B306D3">
              <w:rPr>
                <w:rFonts w:cs="Arial"/>
                <w:bCs/>
                <w:i/>
                <w:color w:val="000000"/>
                <w:vertAlign w:val="superscript"/>
              </w:rPr>
              <w:t>1</w:t>
            </w:r>
            <w:r w:rsidRPr="00B306D3">
              <w:rPr>
                <w:rFonts w:cs="Arial"/>
                <w:bCs/>
                <w:i/>
                <w:color w:val="000000"/>
              </w:rPr>
              <w:t>)</w:t>
            </w:r>
            <w:r w:rsidRPr="00B306D3">
              <w:rPr>
                <w:rFonts w:cs="Arial"/>
                <w:i/>
              </w:rPr>
              <w:t xml:space="preserve">     </w:t>
            </w:r>
          </w:p>
        </w:tc>
        <w:tc>
          <w:tcPr>
            <w:tcW w:w="579" w:type="pct"/>
            <w:tcBorders>
              <w:top w:val="single" w:sz="12" w:space="0" w:color="00B050"/>
              <w:bottom w:val="single" w:sz="12" w:space="0" w:color="00B050"/>
            </w:tcBorders>
            <w:shd w:val="clear" w:color="auto" w:fill="auto"/>
            <w:noWrap/>
            <w:vAlign w:val="center"/>
            <w:hideMark/>
          </w:tcPr>
          <w:p w14:paraId="67474BA5" w14:textId="77777777" w:rsidR="00F436BF" w:rsidRPr="00B306D3" w:rsidRDefault="00F436BF" w:rsidP="00F03F86">
            <w:pPr>
              <w:tabs>
                <w:tab w:val="clear" w:pos="7100"/>
              </w:tabs>
              <w:ind w:right="-160"/>
              <w:jc w:val="left"/>
              <w:rPr>
                <w:rFonts w:cs="Arial"/>
                <w:b/>
                <w:bCs/>
                <w:color w:val="000000"/>
                <w:szCs w:val="18"/>
                <w:lang w:val="it-IT" w:eastAsia="it-IT"/>
              </w:rPr>
            </w:pPr>
            <w:r w:rsidRPr="00B306D3">
              <w:rPr>
                <w:rFonts w:cs="Arial"/>
                <w:bCs/>
                <w:i/>
                <w:color w:val="000000"/>
              </w:rPr>
              <w:t>TSS (g L</w:t>
            </w:r>
            <w:r w:rsidRPr="00B306D3">
              <w:rPr>
                <w:rFonts w:cs="Arial"/>
                <w:bCs/>
                <w:i/>
                <w:color w:val="000000"/>
                <w:vertAlign w:val="superscript"/>
              </w:rPr>
              <w:t>-1</w:t>
            </w:r>
            <w:r w:rsidRPr="00B306D3">
              <w:rPr>
                <w:rFonts w:cs="Arial"/>
                <w:bCs/>
                <w:i/>
                <w:color w:val="000000"/>
              </w:rPr>
              <w:t>)</w:t>
            </w:r>
            <w:r w:rsidRPr="00B306D3">
              <w:rPr>
                <w:rFonts w:cs="Arial"/>
                <w:i/>
              </w:rPr>
              <w:t xml:space="preserve">    </w:t>
            </w:r>
          </w:p>
        </w:tc>
        <w:tc>
          <w:tcPr>
            <w:tcW w:w="669" w:type="pct"/>
            <w:tcBorders>
              <w:top w:val="single" w:sz="12" w:space="0" w:color="00B050"/>
              <w:bottom w:val="single" w:sz="12" w:space="0" w:color="00B050"/>
            </w:tcBorders>
            <w:shd w:val="clear" w:color="auto" w:fill="auto"/>
            <w:noWrap/>
            <w:vAlign w:val="center"/>
            <w:hideMark/>
          </w:tcPr>
          <w:p w14:paraId="352DDC86" w14:textId="77777777" w:rsidR="00F436BF" w:rsidRPr="00B306D3" w:rsidRDefault="00F436BF" w:rsidP="00F03F86">
            <w:pPr>
              <w:tabs>
                <w:tab w:val="clear" w:pos="7100"/>
              </w:tabs>
              <w:ind w:left="-514" w:right="178"/>
              <w:jc w:val="left"/>
              <w:rPr>
                <w:rFonts w:cs="Arial"/>
                <w:b/>
                <w:bCs/>
                <w:color w:val="000000"/>
                <w:szCs w:val="18"/>
                <w:lang w:val="it-IT" w:eastAsia="it-IT"/>
              </w:rPr>
            </w:pPr>
            <w:r w:rsidRPr="00B306D3">
              <w:rPr>
                <w:rFonts w:cs="Arial"/>
                <w:bCs/>
                <w:i/>
                <w:color w:val="000000"/>
              </w:rPr>
              <w:t>TN (g TN (g L</w:t>
            </w:r>
            <w:r w:rsidRPr="00B306D3">
              <w:rPr>
                <w:rFonts w:cs="Arial"/>
                <w:bCs/>
                <w:i/>
                <w:color w:val="000000"/>
                <w:vertAlign w:val="superscript"/>
              </w:rPr>
              <w:t>-1</w:t>
            </w:r>
            <w:r w:rsidRPr="00B306D3">
              <w:rPr>
                <w:rFonts w:cs="Arial"/>
                <w:bCs/>
                <w:i/>
                <w:color w:val="000000"/>
              </w:rPr>
              <w:t>)</w:t>
            </w:r>
            <w:r w:rsidRPr="00B306D3">
              <w:rPr>
                <w:rFonts w:cs="Arial"/>
                <w:i/>
              </w:rPr>
              <w:t xml:space="preserve">     </w:t>
            </w:r>
          </w:p>
        </w:tc>
        <w:tc>
          <w:tcPr>
            <w:tcW w:w="2096" w:type="pct"/>
            <w:tcBorders>
              <w:top w:val="single" w:sz="12" w:space="0" w:color="00B050"/>
              <w:bottom w:val="single" w:sz="12" w:space="0" w:color="00B050"/>
            </w:tcBorders>
            <w:shd w:val="clear" w:color="auto" w:fill="auto"/>
            <w:noWrap/>
            <w:vAlign w:val="center"/>
            <w:hideMark/>
          </w:tcPr>
          <w:p w14:paraId="3B71C384" w14:textId="77777777" w:rsidR="00F436BF" w:rsidRPr="00B306D3" w:rsidRDefault="00F436BF" w:rsidP="00F03F86">
            <w:pPr>
              <w:tabs>
                <w:tab w:val="clear" w:pos="7100"/>
              </w:tabs>
              <w:jc w:val="left"/>
              <w:rPr>
                <w:rFonts w:cs="Arial"/>
                <w:b/>
                <w:bCs/>
                <w:color w:val="000000"/>
                <w:szCs w:val="18"/>
                <w:lang w:val="it-IT" w:eastAsia="it-IT"/>
              </w:rPr>
            </w:pPr>
            <w:r w:rsidRPr="00B306D3">
              <w:rPr>
                <w:rFonts w:cs="Arial"/>
                <w:bCs/>
                <w:i/>
                <w:color w:val="000000"/>
              </w:rPr>
              <w:t>TP (g L</w:t>
            </w:r>
            <w:r w:rsidRPr="00B306D3">
              <w:rPr>
                <w:rFonts w:cs="Arial"/>
                <w:bCs/>
                <w:i/>
                <w:color w:val="000000"/>
                <w:vertAlign w:val="superscript"/>
              </w:rPr>
              <w:t>-1</w:t>
            </w:r>
            <w:r w:rsidRPr="00B306D3">
              <w:rPr>
                <w:rFonts w:cs="Arial"/>
                <w:bCs/>
                <w:i/>
                <w:color w:val="000000"/>
              </w:rPr>
              <w:t>)</w:t>
            </w:r>
            <w:r w:rsidRPr="00B306D3">
              <w:rPr>
                <w:rFonts w:cs="Arial"/>
                <w:i/>
              </w:rPr>
              <w:t xml:space="preserve">     </w:t>
            </w:r>
            <w:r w:rsidRPr="00B306D3">
              <w:rPr>
                <w:rFonts w:cs="Arial"/>
                <w:bCs/>
                <w:i/>
                <w:color w:val="000000"/>
              </w:rPr>
              <w:t>pH            Ref.</w:t>
            </w:r>
          </w:p>
        </w:tc>
      </w:tr>
      <w:tr w:rsidR="00D86C61" w:rsidRPr="00B306D3" w14:paraId="52FA69B5" w14:textId="77777777" w:rsidTr="00D86C61">
        <w:trPr>
          <w:trHeight w:val="284"/>
        </w:trPr>
        <w:tc>
          <w:tcPr>
            <w:tcW w:w="1656" w:type="pct"/>
            <w:tcBorders>
              <w:top w:val="single" w:sz="12" w:space="0" w:color="00B050"/>
            </w:tcBorders>
            <w:shd w:val="clear" w:color="auto" w:fill="auto"/>
            <w:noWrap/>
            <w:hideMark/>
          </w:tcPr>
          <w:p w14:paraId="745753DD" w14:textId="77777777" w:rsidR="00F436BF" w:rsidRPr="00B306D3" w:rsidRDefault="00F436BF" w:rsidP="00F03F86">
            <w:pPr>
              <w:rPr>
                <w:rFonts w:cs="Arial"/>
                <w:color w:val="000000"/>
                <w:lang w:val="it-IT"/>
              </w:rPr>
            </w:pPr>
            <w:r w:rsidRPr="00B306D3">
              <w:rPr>
                <w:lang w:val="it-IT"/>
              </w:rPr>
              <w:t xml:space="preserve">DWW    </w:t>
            </w:r>
            <w:r w:rsidRPr="00B306D3">
              <w:rPr>
                <w:rFonts w:cs="Arial"/>
                <w:color w:val="000000"/>
                <w:lang w:val="it-IT"/>
              </w:rPr>
              <w:t>0.24-5.90</w:t>
            </w:r>
            <w:r w:rsidRPr="00B306D3">
              <w:rPr>
                <w:rFonts w:cs="Arial"/>
                <w:lang w:val="it-IT"/>
              </w:rPr>
              <w:t xml:space="preserve">         </w:t>
            </w:r>
            <w:r w:rsidRPr="00B306D3">
              <w:rPr>
                <w:rFonts w:cs="Arial"/>
                <w:color w:val="000000"/>
                <w:lang w:val="it-IT"/>
              </w:rPr>
              <w:t>0.50-10.40</w:t>
            </w:r>
          </w:p>
        </w:tc>
        <w:tc>
          <w:tcPr>
            <w:tcW w:w="579" w:type="pct"/>
            <w:tcBorders>
              <w:top w:val="single" w:sz="12" w:space="0" w:color="00B050"/>
            </w:tcBorders>
            <w:shd w:val="clear" w:color="auto" w:fill="auto"/>
            <w:noWrap/>
            <w:hideMark/>
          </w:tcPr>
          <w:p w14:paraId="553939F3" w14:textId="77777777" w:rsidR="00F436BF" w:rsidRPr="00B306D3" w:rsidRDefault="00F436BF" w:rsidP="00F03F86">
            <w:pPr>
              <w:rPr>
                <w:rFonts w:cs="Arial"/>
                <w:color w:val="000000"/>
                <w:lang w:val="it-IT"/>
              </w:rPr>
            </w:pPr>
            <w:r w:rsidRPr="00B306D3">
              <w:rPr>
                <w:rFonts w:cs="Arial"/>
                <w:color w:val="000000"/>
                <w:lang w:val="it-IT"/>
              </w:rPr>
              <w:t>0.06-5.80</w:t>
            </w:r>
            <w:r w:rsidRPr="00B306D3">
              <w:rPr>
                <w:rFonts w:cs="Arial"/>
                <w:lang w:val="it-IT"/>
              </w:rPr>
              <w:t xml:space="preserve">   </w:t>
            </w:r>
            <w:r w:rsidRPr="00B306D3">
              <w:rPr>
                <w:rFonts w:cs="Arial"/>
                <w:color w:val="000000"/>
                <w:lang w:val="it-IT"/>
              </w:rPr>
              <w:t xml:space="preserve"> </w:t>
            </w:r>
          </w:p>
        </w:tc>
        <w:tc>
          <w:tcPr>
            <w:tcW w:w="669" w:type="pct"/>
            <w:tcBorders>
              <w:top w:val="single" w:sz="12" w:space="0" w:color="00B050"/>
            </w:tcBorders>
            <w:shd w:val="clear" w:color="auto" w:fill="auto"/>
            <w:noWrap/>
            <w:hideMark/>
          </w:tcPr>
          <w:p w14:paraId="0F70F214" w14:textId="4268CB19" w:rsidR="00F436BF" w:rsidRPr="00B306D3" w:rsidRDefault="00F436BF" w:rsidP="00F03F86">
            <w:pPr>
              <w:rPr>
                <w:rFonts w:cs="Arial"/>
                <w:color w:val="000000"/>
                <w:lang w:val="it-IT"/>
              </w:rPr>
            </w:pPr>
            <w:r w:rsidRPr="00B306D3">
              <w:rPr>
                <w:rFonts w:cs="Arial"/>
                <w:color w:val="000000"/>
                <w:lang w:val="it-IT"/>
              </w:rPr>
              <w:t>0.01-0.66</w:t>
            </w:r>
            <w:r w:rsidRPr="00B306D3">
              <w:rPr>
                <w:rFonts w:cs="Arial"/>
                <w:lang w:val="it-IT"/>
              </w:rPr>
              <w:t xml:space="preserve"> </w:t>
            </w:r>
          </w:p>
        </w:tc>
        <w:tc>
          <w:tcPr>
            <w:tcW w:w="2096" w:type="pct"/>
            <w:tcBorders>
              <w:top w:val="single" w:sz="12" w:space="0" w:color="00B050"/>
            </w:tcBorders>
            <w:shd w:val="clear" w:color="auto" w:fill="auto"/>
            <w:noWrap/>
            <w:hideMark/>
          </w:tcPr>
          <w:p w14:paraId="7B0391B9" w14:textId="77777777" w:rsidR="00F436BF" w:rsidRPr="00B306D3" w:rsidRDefault="00F436BF" w:rsidP="00F03F86">
            <w:pPr>
              <w:rPr>
                <w:rFonts w:cs="Arial"/>
                <w:color w:val="000000"/>
                <w:lang w:val="it-IT"/>
              </w:rPr>
            </w:pPr>
            <w:r w:rsidRPr="00B306D3">
              <w:rPr>
                <w:rFonts w:cs="Arial"/>
                <w:color w:val="000000"/>
                <w:lang w:val="it-IT"/>
              </w:rPr>
              <w:t>0-0.060</w:t>
            </w:r>
            <w:r w:rsidRPr="00B306D3">
              <w:rPr>
                <w:rFonts w:cs="Arial"/>
                <w:lang w:val="it-IT"/>
              </w:rPr>
              <w:t xml:space="preserve">       </w:t>
            </w:r>
            <w:r w:rsidRPr="00B306D3">
              <w:rPr>
                <w:rFonts w:cs="Arial"/>
                <w:color w:val="000000"/>
                <w:lang w:val="it-IT"/>
              </w:rPr>
              <w:t>4.0-11.0</w:t>
            </w:r>
            <w:r w:rsidRPr="00B306D3">
              <w:rPr>
                <w:rFonts w:ascii="Times New Roman" w:hAnsi="Times New Roman"/>
                <w:color w:val="000000"/>
                <w:lang w:val="it-IT"/>
              </w:rPr>
              <w:t xml:space="preserve"> </w:t>
            </w:r>
            <w:r w:rsidRPr="00B306D3">
              <w:rPr>
                <w:lang w:val="it-IT"/>
              </w:rPr>
              <w:t xml:space="preserve">   </w:t>
            </w:r>
            <w:r w:rsidR="00301AA8">
              <w:rPr>
                <w:lang w:val="it-IT"/>
              </w:rPr>
              <w:t xml:space="preserve"> </w:t>
            </w:r>
            <w:r w:rsidRPr="00B306D3">
              <w:rPr>
                <w:rFonts w:cs="Arial"/>
                <w:szCs w:val="18"/>
                <w:shd w:val="clear" w:color="auto" w:fill="FFFFFF"/>
                <w:lang w:val="it-IT"/>
              </w:rPr>
              <w:t>Turinayo,</w:t>
            </w:r>
            <w:r w:rsidRPr="00B306D3">
              <w:rPr>
                <w:rFonts w:ascii="Times New Roman" w:hAnsi="Times New Roman"/>
                <w:sz w:val="24"/>
                <w:szCs w:val="24"/>
                <w:shd w:val="clear" w:color="auto" w:fill="FFFFFF"/>
                <w:lang w:val="it-IT"/>
              </w:rPr>
              <w:t xml:space="preserve"> </w:t>
            </w:r>
            <w:r w:rsidRPr="00B306D3">
              <w:rPr>
                <w:rFonts w:cs="Arial"/>
                <w:szCs w:val="18"/>
                <w:shd w:val="clear" w:color="auto" w:fill="FFFFFF"/>
                <w:lang w:val="it-IT"/>
              </w:rPr>
              <w:t>2017</w:t>
            </w:r>
            <w:r w:rsidRPr="00B306D3">
              <w:rPr>
                <w:lang w:val="it-IT"/>
              </w:rPr>
              <w:t xml:space="preserve">       </w:t>
            </w:r>
          </w:p>
        </w:tc>
      </w:tr>
      <w:tr w:rsidR="00D86C61" w:rsidRPr="00B306D3" w14:paraId="2B810B3F" w14:textId="77777777" w:rsidTr="00D86C61">
        <w:trPr>
          <w:trHeight w:val="284"/>
        </w:trPr>
        <w:tc>
          <w:tcPr>
            <w:tcW w:w="1656" w:type="pct"/>
            <w:shd w:val="clear" w:color="auto" w:fill="auto"/>
            <w:noWrap/>
            <w:vAlign w:val="center"/>
          </w:tcPr>
          <w:p w14:paraId="6BB61633" w14:textId="77777777" w:rsidR="00F436BF" w:rsidRPr="00B306D3" w:rsidRDefault="00F436BF" w:rsidP="00F03F86">
            <w:pPr>
              <w:tabs>
                <w:tab w:val="clear" w:pos="7100"/>
              </w:tabs>
              <w:jc w:val="left"/>
              <w:rPr>
                <w:rFonts w:cs="Arial"/>
                <w:color w:val="000000"/>
                <w:szCs w:val="18"/>
                <w:lang w:val="it-IT" w:eastAsia="it-IT"/>
              </w:rPr>
            </w:pPr>
            <w:r w:rsidRPr="00B306D3">
              <w:rPr>
                <w:rFonts w:cs="Arial"/>
                <w:color w:val="000000"/>
                <w:szCs w:val="18"/>
                <w:lang w:val="it-IT" w:eastAsia="it-IT"/>
              </w:rPr>
              <w:t>BWW</w:t>
            </w:r>
            <w:r w:rsidR="009C424F" w:rsidRPr="00B306D3">
              <w:rPr>
                <w:rFonts w:cs="Arial"/>
                <w:color w:val="000000"/>
                <w:szCs w:val="18"/>
                <w:lang w:val="it-IT" w:eastAsia="it-IT"/>
              </w:rPr>
              <w:t xml:space="preserve">    1.61-3.98         1.09-8.92          </w:t>
            </w:r>
          </w:p>
        </w:tc>
        <w:tc>
          <w:tcPr>
            <w:tcW w:w="579" w:type="pct"/>
            <w:shd w:val="clear" w:color="auto" w:fill="auto"/>
            <w:noWrap/>
            <w:vAlign w:val="center"/>
          </w:tcPr>
          <w:p w14:paraId="437E8D60" w14:textId="77777777" w:rsidR="00F436BF" w:rsidRPr="00B306D3" w:rsidRDefault="009C424F" w:rsidP="00F03F86">
            <w:pPr>
              <w:tabs>
                <w:tab w:val="clear" w:pos="7100"/>
              </w:tabs>
              <w:jc w:val="left"/>
              <w:rPr>
                <w:rFonts w:cs="Arial"/>
                <w:color w:val="000000"/>
                <w:szCs w:val="18"/>
                <w:lang w:val="it-IT" w:eastAsia="it-IT"/>
              </w:rPr>
            </w:pPr>
            <w:r w:rsidRPr="00B306D3">
              <w:rPr>
                <w:rFonts w:cs="Arial"/>
                <w:color w:val="000000"/>
                <w:szCs w:val="18"/>
                <w:lang w:val="it-IT" w:eastAsia="it-IT"/>
              </w:rPr>
              <w:t xml:space="preserve">0.53-3.73     </w:t>
            </w:r>
          </w:p>
        </w:tc>
        <w:tc>
          <w:tcPr>
            <w:tcW w:w="669" w:type="pct"/>
            <w:shd w:val="clear" w:color="auto" w:fill="auto"/>
            <w:noWrap/>
            <w:vAlign w:val="center"/>
          </w:tcPr>
          <w:p w14:paraId="6902769C" w14:textId="49445107" w:rsidR="00F436BF" w:rsidRPr="00B306D3" w:rsidRDefault="009C424F" w:rsidP="00F03F86">
            <w:pPr>
              <w:tabs>
                <w:tab w:val="clear" w:pos="7100"/>
              </w:tabs>
              <w:jc w:val="left"/>
              <w:rPr>
                <w:rFonts w:cs="Arial"/>
                <w:color w:val="000000"/>
                <w:szCs w:val="18"/>
                <w:lang w:val="it-IT" w:eastAsia="it-IT"/>
              </w:rPr>
            </w:pPr>
            <w:r w:rsidRPr="00B306D3">
              <w:rPr>
                <w:rFonts w:cs="Arial"/>
                <w:color w:val="000000"/>
                <w:szCs w:val="18"/>
                <w:lang w:val="it-IT" w:eastAsia="it-IT"/>
              </w:rPr>
              <w:t>0.11</w:t>
            </w:r>
            <w:r w:rsidR="007053B8" w:rsidRPr="00B306D3">
              <w:rPr>
                <w:rFonts w:cs="Arial"/>
                <w:color w:val="000000"/>
                <w:szCs w:val="18"/>
                <w:lang w:val="it-IT" w:eastAsia="it-IT"/>
              </w:rPr>
              <w:t>-0.</w:t>
            </w:r>
            <w:r w:rsidRPr="00B306D3">
              <w:rPr>
                <w:rFonts w:cs="Arial"/>
                <w:color w:val="000000"/>
                <w:szCs w:val="18"/>
                <w:lang w:val="it-IT" w:eastAsia="it-IT"/>
              </w:rPr>
              <w:t>5</w:t>
            </w:r>
            <w:r w:rsidR="007053B8" w:rsidRPr="00B306D3">
              <w:rPr>
                <w:rFonts w:cs="Arial"/>
                <w:color w:val="000000"/>
                <w:szCs w:val="18"/>
                <w:lang w:val="it-IT" w:eastAsia="it-IT"/>
              </w:rPr>
              <w:t>0</w:t>
            </w:r>
            <w:r w:rsidRPr="00B306D3">
              <w:rPr>
                <w:rFonts w:cs="Arial"/>
                <w:color w:val="000000"/>
                <w:szCs w:val="18"/>
                <w:lang w:val="it-IT" w:eastAsia="it-IT"/>
              </w:rPr>
              <w:t xml:space="preserve">  </w:t>
            </w:r>
          </w:p>
        </w:tc>
        <w:tc>
          <w:tcPr>
            <w:tcW w:w="2096" w:type="pct"/>
            <w:shd w:val="clear" w:color="auto" w:fill="auto"/>
            <w:noWrap/>
            <w:vAlign w:val="center"/>
          </w:tcPr>
          <w:p w14:paraId="1E8D3D9A" w14:textId="77777777" w:rsidR="00234C79" w:rsidRPr="00B306D3" w:rsidRDefault="009C424F" w:rsidP="00F03F86">
            <w:pPr>
              <w:tabs>
                <w:tab w:val="clear" w:pos="7100"/>
              </w:tabs>
              <w:jc w:val="left"/>
              <w:rPr>
                <w:rFonts w:cs="Arial"/>
                <w:color w:val="000000"/>
                <w:szCs w:val="18"/>
                <w:lang w:val="it-IT" w:eastAsia="it-IT"/>
              </w:rPr>
            </w:pPr>
            <w:r w:rsidRPr="00B306D3">
              <w:rPr>
                <w:rFonts w:cs="Arial"/>
                <w:color w:val="000000"/>
                <w:szCs w:val="18"/>
                <w:lang w:val="it-IT" w:eastAsia="it-IT"/>
              </w:rPr>
              <w:t>0.</w:t>
            </w:r>
            <w:r w:rsidR="007053B8" w:rsidRPr="00B306D3">
              <w:rPr>
                <w:rFonts w:cs="Arial"/>
                <w:color w:val="000000"/>
                <w:szCs w:val="18"/>
                <w:lang w:val="it-IT" w:eastAsia="it-IT"/>
              </w:rPr>
              <w:t>0</w:t>
            </w:r>
            <w:r w:rsidRPr="00B306D3">
              <w:rPr>
                <w:rFonts w:cs="Arial"/>
                <w:color w:val="000000"/>
                <w:szCs w:val="18"/>
                <w:lang w:val="it-IT" w:eastAsia="it-IT"/>
              </w:rPr>
              <w:t>75-</w:t>
            </w:r>
            <w:r w:rsidR="007053B8" w:rsidRPr="00B306D3">
              <w:rPr>
                <w:rFonts w:cs="Arial"/>
                <w:color w:val="000000"/>
                <w:szCs w:val="18"/>
                <w:lang w:val="it-IT" w:eastAsia="it-IT"/>
              </w:rPr>
              <w:t xml:space="preserve">0.07  </w:t>
            </w:r>
            <w:r w:rsidRPr="00B306D3">
              <w:rPr>
                <w:rFonts w:cs="Arial"/>
                <w:color w:val="000000"/>
                <w:szCs w:val="18"/>
                <w:lang w:val="it-IT" w:eastAsia="it-IT"/>
              </w:rPr>
              <w:t xml:space="preserve">4.6-7.3      </w:t>
            </w:r>
            <w:r w:rsidR="00301AA8">
              <w:rPr>
                <w:rFonts w:cs="Arial"/>
                <w:color w:val="000000"/>
                <w:szCs w:val="18"/>
                <w:lang w:val="it-IT" w:eastAsia="it-IT"/>
              </w:rPr>
              <w:t xml:space="preserve"> </w:t>
            </w:r>
            <w:r w:rsidR="007755A9">
              <w:rPr>
                <w:rFonts w:cs="Arial"/>
                <w:color w:val="000000"/>
                <w:szCs w:val="18"/>
                <w:lang w:val="it-IT" w:eastAsia="it-IT"/>
              </w:rPr>
              <w:t>Erin</w:t>
            </w:r>
            <w:r w:rsidRPr="00B306D3">
              <w:rPr>
                <w:rFonts w:cs="Arial"/>
                <w:color w:val="000000"/>
                <w:szCs w:val="18"/>
                <w:lang w:val="it-IT" w:eastAsia="it-IT"/>
              </w:rPr>
              <w:t>an et al., 2015</w:t>
            </w:r>
          </w:p>
        </w:tc>
      </w:tr>
      <w:tr w:rsidR="00D86C61" w:rsidRPr="00B306D3" w14:paraId="68B3697E" w14:textId="77777777" w:rsidTr="00D86C61">
        <w:trPr>
          <w:trHeight w:val="284"/>
        </w:trPr>
        <w:tc>
          <w:tcPr>
            <w:tcW w:w="1656" w:type="pct"/>
            <w:shd w:val="clear" w:color="auto" w:fill="auto"/>
            <w:noWrap/>
            <w:vAlign w:val="center"/>
          </w:tcPr>
          <w:p w14:paraId="1099429C" w14:textId="77777777" w:rsidR="00F436BF" w:rsidRPr="00B306D3" w:rsidRDefault="00F436BF" w:rsidP="00F03F86">
            <w:pPr>
              <w:tabs>
                <w:tab w:val="clear" w:pos="7100"/>
              </w:tabs>
              <w:jc w:val="left"/>
              <w:rPr>
                <w:rFonts w:cs="Arial"/>
                <w:color w:val="000000"/>
                <w:szCs w:val="18"/>
                <w:lang w:val="it-IT" w:eastAsia="it-IT"/>
              </w:rPr>
            </w:pPr>
            <w:r w:rsidRPr="00B306D3">
              <w:rPr>
                <w:rFonts w:cs="Arial"/>
                <w:color w:val="000000"/>
                <w:szCs w:val="18"/>
                <w:lang w:val="it-IT" w:eastAsia="it-IT"/>
              </w:rPr>
              <w:t xml:space="preserve">MOL      </w:t>
            </w:r>
            <w:r w:rsidRPr="00B306D3">
              <w:rPr>
                <w:rFonts w:cs="Arial"/>
                <w:color w:val="000000"/>
                <w:lang w:val="it-IT"/>
              </w:rPr>
              <w:t>1.30-4.70</w:t>
            </w:r>
            <w:r w:rsidRPr="00B306D3">
              <w:rPr>
                <w:rFonts w:cs="Arial"/>
                <w:lang w:val="it-IT"/>
              </w:rPr>
              <w:t xml:space="preserve">     </w:t>
            </w:r>
            <w:r w:rsidRPr="00B306D3">
              <w:rPr>
                <w:rFonts w:cs="Arial"/>
                <w:color w:val="000000"/>
                <w:szCs w:val="18"/>
                <w:lang w:val="it-IT" w:eastAsia="it-IT"/>
              </w:rPr>
              <w:t xml:space="preserve">    </w:t>
            </w:r>
            <w:r w:rsidRPr="00B306D3">
              <w:rPr>
                <w:rFonts w:cs="Arial"/>
                <w:color w:val="000000"/>
                <w:lang w:val="it-IT"/>
              </w:rPr>
              <w:t>0.80-3.80</w:t>
            </w:r>
            <w:r w:rsidRPr="00B306D3">
              <w:rPr>
                <w:rFonts w:cs="Arial"/>
                <w:lang w:val="it-IT"/>
              </w:rPr>
              <w:t xml:space="preserve">    </w:t>
            </w:r>
            <w:r w:rsidRPr="00B306D3">
              <w:rPr>
                <w:rFonts w:cs="Arial"/>
                <w:color w:val="000000"/>
                <w:szCs w:val="18"/>
                <w:lang w:val="it-IT" w:eastAsia="it-IT"/>
              </w:rPr>
              <w:t xml:space="preserve">                 </w:t>
            </w:r>
          </w:p>
        </w:tc>
        <w:tc>
          <w:tcPr>
            <w:tcW w:w="579" w:type="pct"/>
            <w:shd w:val="clear" w:color="auto" w:fill="auto"/>
            <w:noWrap/>
            <w:vAlign w:val="center"/>
          </w:tcPr>
          <w:p w14:paraId="629D2287" w14:textId="77777777" w:rsidR="00F436BF" w:rsidRPr="00B306D3" w:rsidRDefault="00F436BF" w:rsidP="00F03F86">
            <w:pPr>
              <w:tabs>
                <w:tab w:val="clear" w:pos="7100"/>
              </w:tabs>
              <w:jc w:val="left"/>
              <w:rPr>
                <w:rFonts w:cs="Arial"/>
                <w:color w:val="000000"/>
                <w:szCs w:val="18"/>
                <w:lang w:val="it-IT" w:eastAsia="it-IT"/>
              </w:rPr>
            </w:pPr>
            <w:r w:rsidRPr="00B306D3">
              <w:rPr>
                <w:rFonts w:cs="Arial"/>
                <w:color w:val="000000"/>
                <w:lang w:val="it-IT"/>
              </w:rPr>
              <w:t>1.50-9.10</w:t>
            </w:r>
            <w:r w:rsidRPr="00B306D3">
              <w:rPr>
                <w:rFonts w:cs="Arial"/>
                <w:lang w:val="it-IT"/>
              </w:rPr>
              <w:t xml:space="preserve">    </w:t>
            </w:r>
          </w:p>
        </w:tc>
        <w:tc>
          <w:tcPr>
            <w:tcW w:w="669" w:type="pct"/>
            <w:shd w:val="clear" w:color="auto" w:fill="auto"/>
            <w:noWrap/>
            <w:vAlign w:val="center"/>
          </w:tcPr>
          <w:p w14:paraId="4142764D" w14:textId="5CE5564E" w:rsidR="00F436BF" w:rsidRPr="00B306D3" w:rsidRDefault="00F436BF" w:rsidP="00F03F86">
            <w:pPr>
              <w:tabs>
                <w:tab w:val="clear" w:pos="7100"/>
              </w:tabs>
              <w:jc w:val="left"/>
              <w:rPr>
                <w:rFonts w:cs="Arial"/>
                <w:color w:val="000000"/>
                <w:szCs w:val="18"/>
                <w:lang w:val="it-IT" w:eastAsia="it-IT"/>
              </w:rPr>
            </w:pPr>
            <w:r w:rsidRPr="00B306D3">
              <w:rPr>
                <w:rFonts w:cs="Arial"/>
                <w:color w:val="000000"/>
                <w:lang w:val="it-IT"/>
              </w:rPr>
              <w:t>0.04-0.07</w:t>
            </w:r>
            <w:r w:rsidRPr="00B306D3">
              <w:rPr>
                <w:rFonts w:cs="Arial"/>
                <w:lang w:val="it-IT"/>
              </w:rPr>
              <w:t xml:space="preserve"> </w:t>
            </w:r>
          </w:p>
        </w:tc>
        <w:tc>
          <w:tcPr>
            <w:tcW w:w="2096" w:type="pct"/>
            <w:shd w:val="clear" w:color="auto" w:fill="auto"/>
            <w:noWrap/>
            <w:vAlign w:val="center"/>
          </w:tcPr>
          <w:p w14:paraId="2DC138F9" w14:textId="77777777" w:rsidR="00F436BF" w:rsidRPr="00B306D3" w:rsidRDefault="00F436BF" w:rsidP="00F03F86">
            <w:pPr>
              <w:tabs>
                <w:tab w:val="clear" w:pos="7100"/>
              </w:tabs>
              <w:jc w:val="left"/>
              <w:rPr>
                <w:rFonts w:cs="Arial"/>
                <w:color w:val="000000"/>
                <w:szCs w:val="18"/>
                <w:lang w:val="it-IT" w:eastAsia="it-IT"/>
              </w:rPr>
            </w:pPr>
            <w:r w:rsidRPr="00B306D3">
              <w:rPr>
                <w:rFonts w:cs="Arial"/>
                <w:color w:val="000000"/>
                <w:lang w:val="it-IT"/>
              </w:rPr>
              <w:t>0.01-0.02</w:t>
            </w:r>
            <w:r w:rsidRPr="00B306D3">
              <w:rPr>
                <w:rFonts w:cs="Arial"/>
                <w:lang w:val="it-IT"/>
              </w:rPr>
              <w:t xml:space="preserve">    </w:t>
            </w:r>
            <w:r w:rsidRPr="00B306D3">
              <w:rPr>
                <w:rFonts w:cs="Arial"/>
                <w:color w:val="000000"/>
                <w:lang w:val="it-IT"/>
              </w:rPr>
              <w:t>3.8-4.3</w:t>
            </w:r>
            <w:r w:rsidRPr="00B306D3">
              <w:rPr>
                <w:lang w:val="it-IT"/>
              </w:rPr>
              <w:t xml:space="preserve">      </w:t>
            </w:r>
            <w:r w:rsidR="00B306D3">
              <w:rPr>
                <w:lang w:val="it-IT"/>
              </w:rPr>
              <w:t xml:space="preserve"> </w:t>
            </w:r>
            <w:r w:rsidRPr="00B306D3">
              <w:rPr>
                <w:lang w:val="it-IT"/>
              </w:rPr>
              <w:t>Brazzale et al., 2019</w:t>
            </w:r>
          </w:p>
        </w:tc>
      </w:tr>
      <w:tr w:rsidR="00D86C61" w:rsidRPr="00B306D3" w14:paraId="5EAAE355" w14:textId="77777777" w:rsidTr="00D86C61">
        <w:trPr>
          <w:trHeight w:val="284"/>
        </w:trPr>
        <w:tc>
          <w:tcPr>
            <w:tcW w:w="1656" w:type="pct"/>
            <w:tcBorders>
              <w:bottom w:val="single" w:sz="12" w:space="0" w:color="00B050"/>
            </w:tcBorders>
            <w:shd w:val="clear" w:color="auto" w:fill="auto"/>
            <w:noWrap/>
            <w:vAlign w:val="center"/>
          </w:tcPr>
          <w:p w14:paraId="45E2FA17" w14:textId="77777777" w:rsidR="00234C79" w:rsidRPr="00B306D3" w:rsidRDefault="00234C79" w:rsidP="00F03F86">
            <w:pPr>
              <w:tabs>
                <w:tab w:val="clear" w:pos="7100"/>
              </w:tabs>
              <w:jc w:val="left"/>
              <w:rPr>
                <w:rFonts w:cs="Arial"/>
                <w:color w:val="000000"/>
                <w:szCs w:val="18"/>
                <w:lang w:val="it-IT" w:eastAsia="it-IT"/>
              </w:rPr>
            </w:pPr>
            <w:r>
              <w:rPr>
                <w:rFonts w:cs="Arial"/>
                <w:color w:val="000000"/>
                <w:szCs w:val="18"/>
                <w:lang w:val="it-IT" w:eastAsia="it-IT"/>
              </w:rPr>
              <w:t xml:space="preserve">OMW     35-110             40-220            </w:t>
            </w:r>
          </w:p>
        </w:tc>
        <w:tc>
          <w:tcPr>
            <w:tcW w:w="579" w:type="pct"/>
            <w:tcBorders>
              <w:bottom w:val="single" w:sz="12" w:space="0" w:color="00B050"/>
            </w:tcBorders>
            <w:shd w:val="clear" w:color="auto" w:fill="auto"/>
            <w:noWrap/>
            <w:vAlign w:val="center"/>
          </w:tcPr>
          <w:p w14:paraId="2FA10CBD" w14:textId="77777777" w:rsidR="00234C79" w:rsidRPr="00B306D3" w:rsidRDefault="00234C79" w:rsidP="00F03F86">
            <w:pPr>
              <w:tabs>
                <w:tab w:val="clear" w:pos="7100"/>
              </w:tabs>
              <w:jc w:val="left"/>
              <w:rPr>
                <w:rFonts w:cs="Arial"/>
                <w:color w:val="000000"/>
                <w:lang w:val="it-IT"/>
              </w:rPr>
            </w:pPr>
            <w:r>
              <w:rPr>
                <w:rFonts w:cs="Arial"/>
                <w:color w:val="000000"/>
                <w:lang w:val="it-IT"/>
              </w:rPr>
              <w:t>-</w:t>
            </w:r>
          </w:p>
        </w:tc>
        <w:tc>
          <w:tcPr>
            <w:tcW w:w="669" w:type="pct"/>
            <w:tcBorders>
              <w:bottom w:val="single" w:sz="12" w:space="0" w:color="00B050"/>
            </w:tcBorders>
            <w:shd w:val="clear" w:color="auto" w:fill="auto"/>
            <w:noWrap/>
            <w:vAlign w:val="center"/>
          </w:tcPr>
          <w:p w14:paraId="507273F8" w14:textId="77777777" w:rsidR="00234C79" w:rsidRPr="00B306D3" w:rsidRDefault="00234C79" w:rsidP="00F03F86">
            <w:pPr>
              <w:tabs>
                <w:tab w:val="clear" w:pos="7100"/>
              </w:tabs>
              <w:jc w:val="left"/>
              <w:rPr>
                <w:rFonts w:cs="Arial"/>
                <w:color w:val="000000"/>
                <w:lang w:val="it-IT"/>
              </w:rPr>
            </w:pPr>
            <w:r>
              <w:rPr>
                <w:rFonts w:cs="Arial"/>
                <w:color w:val="000000"/>
                <w:lang w:val="it-IT"/>
              </w:rPr>
              <w:t>0.60-2.10</w:t>
            </w:r>
          </w:p>
        </w:tc>
        <w:tc>
          <w:tcPr>
            <w:tcW w:w="2096" w:type="pct"/>
            <w:tcBorders>
              <w:bottom w:val="single" w:sz="12" w:space="0" w:color="00B050"/>
            </w:tcBorders>
            <w:shd w:val="clear" w:color="auto" w:fill="auto"/>
            <w:noWrap/>
            <w:vAlign w:val="center"/>
          </w:tcPr>
          <w:p w14:paraId="51D7CB9B" w14:textId="77777777" w:rsidR="00234C79" w:rsidRPr="00B306D3" w:rsidRDefault="00234C79" w:rsidP="00F03F86">
            <w:pPr>
              <w:tabs>
                <w:tab w:val="clear" w:pos="7100"/>
              </w:tabs>
              <w:jc w:val="left"/>
              <w:rPr>
                <w:rFonts w:cs="Arial"/>
                <w:color w:val="000000"/>
                <w:lang w:val="it-IT"/>
              </w:rPr>
            </w:pPr>
            <w:r>
              <w:rPr>
                <w:rFonts w:cs="Arial"/>
                <w:color w:val="000000"/>
                <w:lang w:val="it-IT"/>
              </w:rPr>
              <w:t xml:space="preserve">0.15-0.30    4.0-6.0       </w:t>
            </w:r>
            <w:r w:rsidRPr="00234C79">
              <w:rPr>
                <w:rFonts w:cs="Arial"/>
                <w:color w:val="000000"/>
                <w:szCs w:val="18"/>
                <w:lang w:val="it-IT"/>
              </w:rPr>
              <w:t>Khdair et al., 2020</w:t>
            </w:r>
          </w:p>
        </w:tc>
      </w:tr>
    </w:tbl>
    <w:p w14:paraId="5CE00E8A" w14:textId="77777777" w:rsidR="00F436BF" w:rsidRPr="0078793E" w:rsidRDefault="00F436BF" w:rsidP="00F436BF">
      <w:pPr>
        <w:rPr>
          <w:rFonts w:eastAsia="Calibri" w:cs="Arial"/>
          <w:sz w:val="16"/>
          <w:szCs w:val="16"/>
        </w:rPr>
      </w:pPr>
      <w:r w:rsidRPr="00B306D3">
        <w:rPr>
          <w:rFonts w:eastAsia="Calibri" w:cs="Arial"/>
          <w:sz w:val="16"/>
          <w:szCs w:val="16"/>
        </w:rPr>
        <w:t xml:space="preserve">Note: </w:t>
      </w:r>
      <w:r w:rsidRPr="00B306D3">
        <w:rPr>
          <w:rFonts w:cs="Arial"/>
          <w:sz w:val="16"/>
          <w:szCs w:val="16"/>
          <w:lang w:val="en-US"/>
        </w:rPr>
        <w:t xml:space="preserve">DWW = dairy wastewater, BWW = brewery wastewater, MOL = molasses effluent, </w:t>
      </w:r>
      <w:r w:rsidR="00234C79">
        <w:rPr>
          <w:rFonts w:cs="Arial"/>
          <w:sz w:val="16"/>
          <w:szCs w:val="16"/>
          <w:lang w:val="en-US"/>
        </w:rPr>
        <w:t xml:space="preserve">OMW = oil mill wastewater, </w:t>
      </w:r>
      <w:r w:rsidRPr="00B306D3">
        <w:rPr>
          <w:rFonts w:cs="Arial"/>
          <w:sz w:val="16"/>
          <w:szCs w:val="16"/>
          <w:lang w:val="en-US"/>
        </w:rPr>
        <w:t>BOD = Biological Oxygen Demand, COD = Chemical Oxygen Demand, TSS = Total Suspended Solids, TN = Total Nitrogen, TP = Total Phosphorous</w:t>
      </w:r>
      <w:r w:rsidRPr="00B306D3">
        <w:rPr>
          <w:rFonts w:ascii="Times New Roman" w:hAnsi="Times New Roman"/>
          <w:sz w:val="20"/>
          <w:lang w:val="en-US"/>
        </w:rPr>
        <w:t>.</w:t>
      </w:r>
    </w:p>
    <w:p w14:paraId="1A9ABC18" w14:textId="77777777" w:rsidR="001B3BAB" w:rsidRPr="00073966" w:rsidRDefault="001B3BAB" w:rsidP="0016677D">
      <w:pPr>
        <w:autoSpaceDE w:val="0"/>
        <w:autoSpaceDN w:val="0"/>
        <w:adjustRightInd w:val="0"/>
        <w:spacing w:before="120" w:after="120"/>
        <w:rPr>
          <w:rFonts w:cs="Arial"/>
          <w:szCs w:val="18"/>
        </w:rPr>
      </w:pPr>
      <w:r w:rsidRPr="001B3BAB">
        <w:rPr>
          <w:rFonts w:cs="Arial"/>
          <w:szCs w:val="18"/>
        </w:rPr>
        <w:t xml:space="preserve">As it can be seen in </w:t>
      </w:r>
      <w:r>
        <w:rPr>
          <w:rFonts w:cs="Arial"/>
          <w:szCs w:val="18"/>
        </w:rPr>
        <w:t xml:space="preserve">Table </w:t>
      </w:r>
      <w:r w:rsidRPr="001B3BAB">
        <w:rPr>
          <w:rFonts w:cs="Arial"/>
          <w:szCs w:val="18"/>
        </w:rPr>
        <w:t xml:space="preserve">2 </w:t>
      </w:r>
      <w:r>
        <w:rPr>
          <w:rFonts w:cs="Arial"/>
          <w:szCs w:val="18"/>
        </w:rPr>
        <w:t>DWW, BWW and C+MOL</w:t>
      </w:r>
      <w:r w:rsidRPr="001B3BAB">
        <w:rPr>
          <w:rFonts w:cs="Arial"/>
          <w:szCs w:val="18"/>
        </w:rPr>
        <w:t xml:space="preserve"> greatly increased</w:t>
      </w:r>
      <w:r>
        <w:rPr>
          <w:rFonts w:cs="Arial"/>
          <w:szCs w:val="18"/>
        </w:rPr>
        <w:t xml:space="preserve"> the biomass concentration (1.76</w:t>
      </w:r>
      <w:r w:rsidRPr="001B3BAB">
        <w:rPr>
          <w:rFonts w:cs="Arial"/>
          <w:szCs w:val="18"/>
        </w:rPr>
        <w:t xml:space="preserve"> g L</w:t>
      </w:r>
      <w:r>
        <w:rPr>
          <w:rFonts w:cs="Arial"/>
          <w:szCs w:val="18"/>
          <w:vertAlign w:val="superscript"/>
        </w:rPr>
        <w:t>-</w:t>
      </w:r>
      <w:r w:rsidRPr="001B3BAB">
        <w:rPr>
          <w:rFonts w:cs="Arial"/>
          <w:szCs w:val="18"/>
          <w:vertAlign w:val="superscript"/>
        </w:rPr>
        <w:t>1</w:t>
      </w:r>
      <w:r>
        <w:rPr>
          <w:rFonts w:cs="Arial"/>
          <w:szCs w:val="18"/>
        </w:rPr>
        <w:t>, 1.56</w:t>
      </w:r>
      <w:r w:rsidRPr="001B3BAB">
        <w:rPr>
          <w:rFonts w:cs="Arial"/>
          <w:szCs w:val="18"/>
        </w:rPr>
        <w:t xml:space="preserve"> g L</w:t>
      </w:r>
      <w:r w:rsidRPr="001B3BAB">
        <w:rPr>
          <w:rFonts w:cs="Arial"/>
          <w:szCs w:val="18"/>
          <w:vertAlign w:val="superscript"/>
        </w:rPr>
        <w:t>-1</w:t>
      </w:r>
      <w:r w:rsidRPr="001B3BAB">
        <w:rPr>
          <w:rFonts w:cs="Arial"/>
          <w:szCs w:val="18"/>
        </w:rPr>
        <w:t>,</w:t>
      </w:r>
      <w:r>
        <w:rPr>
          <w:rFonts w:cs="Arial"/>
          <w:szCs w:val="18"/>
          <w:vertAlign w:val="superscript"/>
        </w:rPr>
        <w:t xml:space="preserve"> </w:t>
      </w:r>
      <w:r>
        <w:rPr>
          <w:rFonts w:cs="Arial"/>
          <w:szCs w:val="18"/>
        </w:rPr>
        <w:t>1.47</w:t>
      </w:r>
      <w:r w:rsidRPr="001B3BAB">
        <w:rPr>
          <w:rFonts w:cs="Arial"/>
          <w:szCs w:val="18"/>
        </w:rPr>
        <w:t xml:space="preserve"> g L</w:t>
      </w:r>
      <w:r w:rsidRPr="001B3BAB">
        <w:rPr>
          <w:rFonts w:cs="Arial"/>
          <w:szCs w:val="18"/>
          <w:vertAlign w:val="superscript"/>
        </w:rPr>
        <w:t>-1</w:t>
      </w:r>
      <w:r w:rsidR="00672D2A">
        <w:rPr>
          <w:rFonts w:cs="Arial"/>
          <w:szCs w:val="18"/>
        </w:rPr>
        <w:t>, respectively)</w:t>
      </w:r>
      <w:r>
        <w:rPr>
          <w:rFonts w:cs="Arial"/>
          <w:szCs w:val="18"/>
        </w:rPr>
        <w:t xml:space="preserve"> </w:t>
      </w:r>
      <w:r w:rsidRPr="001B3BAB">
        <w:rPr>
          <w:rFonts w:cs="Arial"/>
          <w:szCs w:val="18"/>
        </w:rPr>
        <w:t xml:space="preserve">compared to the control </w:t>
      </w:r>
      <w:r>
        <w:rPr>
          <w:rFonts w:cs="Arial"/>
          <w:szCs w:val="18"/>
        </w:rPr>
        <w:t>(1.37</w:t>
      </w:r>
      <w:r w:rsidRPr="001B3BAB">
        <w:rPr>
          <w:rFonts w:cs="Arial"/>
          <w:szCs w:val="18"/>
        </w:rPr>
        <w:t xml:space="preserve"> g L</w:t>
      </w:r>
      <w:r w:rsidRPr="001B3BAB">
        <w:rPr>
          <w:rFonts w:cs="Arial"/>
          <w:szCs w:val="18"/>
          <w:vertAlign w:val="superscript"/>
        </w:rPr>
        <w:t>-1</w:t>
      </w:r>
      <w:r w:rsidRPr="001B3BAB">
        <w:rPr>
          <w:rFonts w:cs="Arial"/>
          <w:szCs w:val="18"/>
        </w:rPr>
        <w:t>), while when O</w:t>
      </w:r>
      <w:r>
        <w:rPr>
          <w:rFonts w:cs="Arial"/>
          <w:szCs w:val="18"/>
        </w:rPr>
        <w:t>MW medium was</w:t>
      </w:r>
      <w:r w:rsidRPr="001B3BAB">
        <w:rPr>
          <w:rFonts w:cs="Arial"/>
          <w:szCs w:val="18"/>
        </w:rPr>
        <w:t xml:space="preserve"> used, </w:t>
      </w:r>
      <w:r w:rsidR="00672D2A">
        <w:rPr>
          <w:rFonts w:cs="Arial"/>
          <w:szCs w:val="18"/>
        </w:rPr>
        <w:t xml:space="preserve">there was </w:t>
      </w:r>
      <w:r>
        <w:rPr>
          <w:rFonts w:cs="Arial"/>
          <w:szCs w:val="18"/>
        </w:rPr>
        <w:t xml:space="preserve">not </w:t>
      </w:r>
      <w:r w:rsidR="00672D2A">
        <w:rPr>
          <w:rFonts w:cs="Arial"/>
          <w:szCs w:val="18"/>
        </w:rPr>
        <w:t xml:space="preserve">any </w:t>
      </w:r>
      <w:r>
        <w:rPr>
          <w:rFonts w:cs="Arial"/>
          <w:szCs w:val="18"/>
        </w:rPr>
        <w:t>growth at all prob</w:t>
      </w:r>
      <w:r w:rsidR="00073966">
        <w:rPr>
          <w:rFonts w:cs="Arial"/>
          <w:szCs w:val="18"/>
        </w:rPr>
        <w:t xml:space="preserve">ably due both to the high density and </w:t>
      </w:r>
      <w:r>
        <w:rPr>
          <w:rFonts w:cs="Arial"/>
          <w:szCs w:val="18"/>
        </w:rPr>
        <w:t>the very dark colour of the solution that prevented light penetration (data not shown)</w:t>
      </w:r>
      <w:r w:rsidRPr="001B3BAB">
        <w:rPr>
          <w:rFonts w:cs="Arial"/>
          <w:szCs w:val="18"/>
        </w:rPr>
        <w:t xml:space="preserve">. </w:t>
      </w:r>
      <w:r w:rsidR="00D80736">
        <w:rPr>
          <w:rFonts w:cs="Arial"/>
          <w:szCs w:val="18"/>
        </w:rPr>
        <w:t xml:space="preserve">The addition of </w:t>
      </w:r>
      <w:r w:rsidR="00073966">
        <w:rPr>
          <w:rFonts w:cs="Arial"/>
          <w:szCs w:val="18"/>
        </w:rPr>
        <w:t>molasses to the control produced</w:t>
      </w:r>
      <w:r w:rsidR="00D80736">
        <w:rPr>
          <w:rFonts w:cs="Arial"/>
          <w:szCs w:val="18"/>
        </w:rPr>
        <w:t xml:space="preserve"> a little increase both in terms of biomass production and biomass productivity. This trend was more evident with BWW and DWW.</w:t>
      </w:r>
      <w:r w:rsidR="00672D2A">
        <w:rPr>
          <w:rFonts w:cs="Arial"/>
          <w:szCs w:val="18"/>
        </w:rPr>
        <w:t xml:space="preserve"> This aspect</w:t>
      </w:r>
      <w:r w:rsidR="00073966">
        <w:rPr>
          <w:rFonts w:cs="Arial"/>
          <w:szCs w:val="18"/>
        </w:rPr>
        <w:t xml:space="preserve"> can be related to </w:t>
      </w:r>
      <w:r w:rsidR="00D80736">
        <w:rPr>
          <w:rFonts w:cs="Arial"/>
          <w:szCs w:val="18"/>
        </w:rPr>
        <w:t>t</w:t>
      </w:r>
      <w:r w:rsidR="00073966">
        <w:rPr>
          <w:rFonts w:cs="Arial"/>
          <w:szCs w:val="18"/>
        </w:rPr>
        <w:t xml:space="preserve">he addition </w:t>
      </w:r>
      <w:r w:rsidR="00D80736">
        <w:rPr>
          <w:rFonts w:cs="Arial"/>
          <w:szCs w:val="18"/>
        </w:rPr>
        <w:t>to the culture medium of more C by the organic matter contained in these WWs</w:t>
      </w:r>
      <w:r w:rsidR="00073966">
        <w:rPr>
          <w:rFonts w:cs="Arial"/>
          <w:szCs w:val="18"/>
        </w:rPr>
        <w:t xml:space="preserve">. </w:t>
      </w:r>
    </w:p>
    <w:p w14:paraId="3D2EB724" w14:textId="77777777" w:rsidR="001B3BAB" w:rsidRPr="00A61F21" w:rsidRDefault="001B3BAB" w:rsidP="001B3BAB">
      <w:pPr>
        <w:pStyle w:val="CETTabletitle"/>
        <w:spacing w:line="264" w:lineRule="auto"/>
        <w:rPr>
          <w:rFonts w:eastAsia="Calibri" w:cs="Arial"/>
          <w:szCs w:val="18"/>
        </w:rPr>
      </w:pPr>
      <w:r w:rsidRPr="00A61F21">
        <w:t xml:space="preserve">Table 2: </w:t>
      </w:r>
      <w:r w:rsidRPr="00A61F21">
        <w:rPr>
          <w:rFonts w:eastAsia="Calibri" w:cs="Arial"/>
          <w:szCs w:val="18"/>
        </w:rPr>
        <w:t>Growth characteristics of C. vulgaris cultivated in different media</w:t>
      </w:r>
    </w:p>
    <w:tbl>
      <w:tblPr>
        <w:tblW w:w="4828" w:type="pct"/>
        <w:tblCellMar>
          <w:left w:w="70" w:type="dxa"/>
          <w:right w:w="70" w:type="dxa"/>
        </w:tblCellMar>
        <w:tblLook w:val="04A0" w:firstRow="1" w:lastRow="0" w:firstColumn="1" w:lastColumn="0" w:noHBand="0" w:noVBand="1"/>
      </w:tblPr>
      <w:tblGrid>
        <w:gridCol w:w="1971"/>
        <w:gridCol w:w="1454"/>
        <w:gridCol w:w="1456"/>
        <w:gridCol w:w="3604"/>
      </w:tblGrid>
      <w:tr w:rsidR="001B3BAB" w:rsidRPr="00CB748D" w14:paraId="2A3983A8" w14:textId="77777777" w:rsidTr="00D86C61">
        <w:trPr>
          <w:trHeight w:val="284"/>
        </w:trPr>
        <w:tc>
          <w:tcPr>
            <w:tcW w:w="1161" w:type="pct"/>
            <w:tcBorders>
              <w:top w:val="single" w:sz="12" w:space="0" w:color="00B050"/>
              <w:bottom w:val="single" w:sz="12" w:space="0" w:color="00B050"/>
            </w:tcBorders>
            <w:shd w:val="clear" w:color="auto" w:fill="auto"/>
            <w:noWrap/>
            <w:vAlign w:val="center"/>
            <w:hideMark/>
          </w:tcPr>
          <w:p w14:paraId="4434B26D" w14:textId="77777777" w:rsidR="001B3BAB" w:rsidRPr="00A61F21" w:rsidRDefault="001B3BAB" w:rsidP="00753675">
            <w:pPr>
              <w:tabs>
                <w:tab w:val="clear" w:pos="7100"/>
              </w:tabs>
              <w:jc w:val="left"/>
              <w:rPr>
                <w:rFonts w:cs="Arial"/>
                <w:bCs/>
                <w:color w:val="000000"/>
                <w:szCs w:val="18"/>
                <w:lang w:val="it-IT" w:eastAsia="it-IT"/>
              </w:rPr>
            </w:pPr>
            <w:r w:rsidRPr="00A61F21">
              <w:rPr>
                <w:rFonts w:cs="Arial"/>
                <w:bCs/>
                <w:color w:val="000000"/>
                <w:szCs w:val="18"/>
                <w:lang w:val="it-IT" w:eastAsia="it-IT"/>
              </w:rPr>
              <w:t>Growth medium</w:t>
            </w:r>
          </w:p>
        </w:tc>
        <w:tc>
          <w:tcPr>
            <w:tcW w:w="857" w:type="pct"/>
            <w:tcBorders>
              <w:top w:val="single" w:sz="12" w:space="0" w:color="00B050"/>
              <w:bottom w:val="single" w:sz="12" w:space="0" w:color="00B050"/>
            </w:tcBorders>
            <w:shd w:val="clear" w:color="auto" w:fill="auto"/>
            <w:noWrap/>
            <w:vAlign w:val="center"/>
            <w:hideMark/>
          </w:tcPr>
          <w:p w14:paraId="34ADCAFA" w14:textId="77777777" w:rsidR="001B3BAB" w:rsidRPr="00A61F21" w:rsidRDefault="00A61F21" w:rsidP="00753675">
            <w:pPr>
              <w:tabs>
                <w:tab w:val="clear" w:pos="7100"/>
              </w:tabs>
              <w:ind w:left="-71" w:right="-69" w:firstLine="1"/>
              <w:jc w:val="left"/>
              <w:rPr>
                <w:rFonts w:cs="Arial"/>
                <w:bCs/>
                <w:color w:val="000000"/>
                <w:szCs w:val="18"/>
                <w:lang w:val="it-IT" w:eastAsia="it-IT"/>
              </w:rPr>
            </w:pPr>
            <w:r>
              <w:rPr>
                <w:rFonts w:cs="Arial"/>
                <w:bCs/>
                <w:color w:val="000000"/>
                <w:szCs w:val="18"/>
                <w:lang w:val="it-IT" w:eastAsia="it-IT"/>
              </w:rPr>
              <w:t xml:space="preserve"> </w:t>
            </w:r>
            <w:r w:rsidR="001B3BAB" w:rsidRPr="00A61F21">
              <w:rPr>
                <w:rFonts w:cs="Arial"/>
                <w:bCs/>
                <w:color w:val="000000"/>
                <w:szCs w:val="18"/>
                <w:lang w:val="it-IT" w:eastAsia="it-IT"/>
              </w:rPr>
              <w:t>µ (day</w:t>
            </w:r>
            <w:r w:rsidR="001B3BAB" w:rsidRPr="00A61F21">
              <w:rPr>
                <w:rFonts w:cs="Arial"/>
                <w:bCs/>
                <w:color w:val="000000"/>
                <w:szCs w:val="18"/>
                <w:vertAlign w:val="superscript"/>
                <w:lang w:val="it-IT" w:eastAsia="it-IT"/>
              </w:rPr>
              <w:t>-1</w:t>
            </w:r>
            <w:r w:rsidR="001B3BAB" w:rsidRPr="00A61F21">
              <w:rPr>
                <w:rFonts w:cs="Arial"/>
                <w:bCs/>
                <w:color w:val="000000"/>
                <w:szCs w:val="18"/>
                <w:lang w:val="it-IT" w:eastAsia="it-IT"/>
              </w:rPr>
              <w:t>)</w:t>
            </w:r>
          </w:p>
        </w:tc>
        <w:tc>
          <w:tcPr>
            <w:tcW w:w="858" w:type="pct"/>
            <w:tcBorders>
              <w:top w:val="single" w:sz="12" w:space="0" w:color="00B050"/>
              <w:bottom w:val="single" w:sz="12" w:space="0" w:color="00B050"/>
            </w:tcBorders>
            <w:shd w:val="clear" w:color="auto" w:fill="auto"/>
            <w:noWrap/>
            <w:vAlign w:val="center"/>
            <w:hideMark/>
          </w:tcPr>
          <w:p w14:paraId="0A50A853" w14:textId="77777777" w:rsidR="001B3BAB" w:rsidRPr="00A61F21" w:rsidRDefault="001B3BAB" w:rsidP="00753675">
            <w:pPr>
              <w:tabs>
                <w:tab w:val="clear" w:pos="7100"/>
              </w:tabs>
              <w:jc w:val="left"/>
              <w:rPr>
                <w:rFonts w:cs="Arial"/>
                <w:bCs/>
                <w:color w:val="000000"/>
                <w:szCs w:val="18"/>
                <w:lang w:val="it-IT" w:eastAsia="it-IT"/>
              </w:rPr>
            </w:pPr>
            <w:r w:rsidRPr="00A61F21">
              <w:rPr>
                <w:rFonts w:cs="Arial"/>
                <w:bCs/>
                <w:color w:val="000000"/>
                <w:szCs w:val="18"/>
                <w:lang w:val="it-IT" w:eastAsia="it-IT"/>
              </w:rPr>
              <w:t>t</w:t>
            </w:r>
            <w:r w:rsidRPr="00A61F21">
              <w:rPr>
                <w:rFonts w:cs="Arial"/>
                <w:bCs/>
                <w:color w:val="000000"/>
                <w:szCs w:val="18"/>
                <w:vertAlign w:val="subscript"/>
                <w:lang w:val="it-IT" w:eastAsia="it-IT"/>
              </w:rPr>
              <w:t>d</w:t>
            </w:r>
            <w:r w:rsidRPr="00A61F21">
              <w:rPr>
                <w:rFonts w:cs="Arial"/>
                <w:bCs/>
                <w:color w:val="000000"/>
                <w:szCs w:val="18"/>
                <w:lang w:val="it-IT" w:eastAsia="it-IT"/>
              </w:rPr>
              <w:t xml:space="preserve"> (day)</w:t>
            </w:r>
          </w:p>
        </w:tc>
        <w:tc>
          <w:tcPr>
            <w:tcW w:w="2124" w:type="pct"/>
            <w:tcBorders>
              <w:top w:val="single" w:sz="12" w:space="0" w:color="00B050"/>
              <w:bottom w:val="single" w:sz="12" w:space="0" w:color="00B050"/>
            </w:tcBorders>
            <w:shd w:val="clear" w:color="auto" w:fill="auto"/>
            <w:noWrap/>
            <w:vAlign w:val="center"/>
            <w:hideMark/>
          </w:tcPr>
          <w:p w14:paraId="535620EA" w14:textId="77777777" w:rsidR="001B3BAB" w:rsidRPr="00A61F21" w:rsidRDefault="001B3BAB" w:rsidP="00753675">
            <w:pPr>
              <w:tabs>
                <w:tab w:val="clear" w:pos="7100"/>
              </w:tabs>
              <w:jc w:val="left"/>
              <w:rPr>
                <w:rFonts w:cs="Arial"/>
                <w:bCs/>
                <w:color w:val="000000"/>
                <w:szCs w:val="18"/>
                <w:lang w:val="en-US" w:eastAsia="it-IT"/>
              </w:rPr>
            </w:pPr>
            <w:r w:rsidRPr="00A61F21">
              <w:rPr>
                <w:rFonts w:cs="Arial"/>
                <w:bCs/>
                <w:color w:val="000000"/>
                <w:szCs w:val="18"/>
                <w:lang w:val="en-US" w:eastAsia="it-IT"/>
              </w:rPr>
              <w:t>X</w:t>
            </w:r>
            <w:r w:rsidRPr="00A61F21">
              <w:rPr>
                <w:rFonts w:cs="Arial"/>
                <w:bCs/>
                <w:color w:val="000000"/>
                <w:szCs w:val="18"/>
                <w:vertAlign w:val="subscript"/>
                <w:lang w:val="en-US" w:eastAsia="it-IT"/>
              </w:rPr>
              <w:t>max</w:t>
            </w:r>
            <w:r w:rsidRPr="00A61F21">
              <w:rPr>
                <w:rFonts w:cs="Arial"/>
                <w:bCs/>
                <w:color w:val="000000"/>
                <w:szCs w:val="18"/>
                <w:lang w:val="en-US" w:eastAsia="it-IT"/>
              </w:rPr>
              <w:t xml:space="preserve"> (g L</w:t>
            </w:r>
            <w:r w:rsidRPr="00A61F21">
              <w:rPr>
                <w:rFonts w:cs="Arial"/>
                <w:bCs/>
                <w:color w:val="000000"/>
                <w:szCs w:val="18"/>
                <w:vertAlign w:val="superscript"/>
                <w:lang w:val="en-US" w:eastAsia="it-IT"/>
              </w:rPr>
              <w:t>-1</w:t>
            </w:r>
            <w:r w:rsidRPr="00A61F21">
              <w:rPr>
                <w:rFonts w:cs="Arial"/>
                <w:bCs/>
                <w:color w:val="000000"/>
                <w:szCs w:val="18"/>
                <w:lang w:val="en-US" w:eastAsia="it-IT"/>
              </w:rPr>
              <w:t xml:space="preserve">)            </w:t>
            </w:r>
            <w:r w:rsidR="00A61F21">
              <w:rPr>
                <w:rFonts w:cs="Arial"/>
                <w:bCs/>
                <w:color w:val="000000"/>
                <w:szCs w:val="18"/>
                <w:lang w:val="en-US" w:eastAsia="it-IT"/>
              </w:rPr>
              <w:t xml:space="preserve">  </w:t>
            </w:r>
            <w:r w:rsidRPr="00A61F21">
              <w:rPr>
                <w:rFonts w:ascii="Times New Roman" w:eastAsia="Calibri" w:hAnsi="Times New Roman"/>
              </w:rPr>
              <w:t>∆X (mg L</w:t>
            </w:r>
            <w:r w:rsidRPr="00A61F21">
              <w:rPr>
                <w:rFonts w:ascii="Times New Roman" w:eastAsia="Calibri" w:hAnsi="Times New Roman"/>
                <w:vertAlign w:val="superscript"/>
              </w:rPr>
              <w:t>-1</w:t>
            </w:r>
            <w:r w:rsidRPr="00A61F21">
              <w:rPr>
                <w:rFonts w:ascii="Times New Roman" w:eastAsia="Calibri" w:hAnsi="Times New Roman"/>
              </w:rPr>
              <w:t xml:space="preserve"> day</w:t>
            </w:r>
            <w:r w:rsidRPr="00A61F21">
              <w:rPr>
                <w:rFonts w:ascii="Times New Roman" w:eastAsia="Calibri" w:hAnsi="Times New Roman"/>
                <w:vertAlign w:val="superscript"/>
              </w:rPr>
              <w:t>-1</w:t>
            </w:r>
            <w:r w:rsidRPr="00A61F21">
              <w:rPr>
                <w:rFonts w:ascii="Times New Roman" w:eastAsia="Calibri" w:hAnsi="Times New Roman"/>
              </w:rPr>
              <w:t>)</w:t>
            </w:r>
          </w:p>
        </w:tc>
      </w:tr>
      <w:tr w:rsidR="001B3BAB" w:rsidRPr="00CB748D" w14:paraId="77070EB7" w14:textId="77777777" w:rsidTr="00D86C61">
        <w:trPr>
          <w:trHeight w:val="284"/>
        </w:trPr>
        <w:tc>
          <w:tcPr>
            <w:tcW w:w="1161" w:type="pct"/>
            <w:tcBorders>
              <w:top w:val="single" w:sz="12" w:space="0" w:color="00B050"/>
            </w:tcBorders>
            <w:shd w:val="clear" w:color="auto" w:fill="auto"/>
            <w:noWrap/>
            <w:vAlign w:val="center"/>
            <w:hideMark/>
          </w:tcPr>
          <w:p w14:paraId="7B7C84EA" w14:textId="77777777" w:rsidR="001B3BAB" w:rsidRPr="00CB748D" w:rsidRDefault="008515EC" w:rsidP="00753675">
            <w:pPr>
              <w:tabs>
                <w:tab w:val="clear" w:pos="7100"/>
              </w:tabs>
              <w:jc w:val="left"/>
              <w:rPr>
                <w:rFonts w:cs="Arial"/>
                <w:color w:val="000000"/>
                <w:szCs w:val="18"/>
                <w:lang w:val="it-IT" w:eastAsia="it-IT"/>
              </w:rPr>
            </w:pPr>
            <w:r>
              <w:rPr>
                <w:rFonts w:cs="Arial"/>
                <w:color w:val="000000"/>
                <w:szCs w:val="18"/>
                <w:lang w:val="it-IT" w:eastAsia="it-IT"/>
              </w:rPr>
              <w:t>Doucha</w:t>
            </w:r>
          </w:p>
        </w:tc>
        <w:tc>
          <w:tcPr>
            <w:tcW w:w="857" w:type="pct"/>
            <w:tcBorders>
              <w:top w:val="single" w:sz="12" w:space="0" w:color="00B050"/>
            </w:tcBorders>
            <w:shd w:val="clear" w:color="auto" w:fill="auto"/>
            <w:noWrap/>
            <w:vAlign w:val="center"/>
            <w:hideMark/>
          </w:tcPr>
          <w:p w14:paraId="730410BF"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0.195 ± 0.03</w:t>
            </w:r>
          </w:p>
        </w:tc>
        <w:tc>
          <w:tcPr>
            <w:tcW w:w="858" w:type="pct"/>
            <w:tcBorders>
              <w:top w:val="single" w:sz="12" w:space="0" w:color="00B050"/>
            </w:tcBorders>
            <w:shd w:val="clear" w:color="auto" w:fill="auto"/>
            <w:noWrap/>
            <w:vAlign w:val="center"/>
            <w:hideMark/>
          </w:tcPr>
          <w:p w14:paraId="7E036672"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 xml:space="preserve">3.62 ± 0.53          </w:t>
            </w:r>
          </w:p>
        </w:tc>
        <w:tc>
          <w:tcPr>
            <w:tcW w:w="2124" w:type="pct"/>
            <w:tcBorders>
              <w:top w:val="single" w:sz="12" w:space="0" w:color="00B050"/>
            </w:tcBorders>
            <w:shd w:val="clear" w:color="auto" w:fill="auto"/>
            <w:noWrap/>
            <w:vAlign w:val="center"/>
            <w:hideMark/>
          </w:tcPr>
          <w:p w14:paraId="637E1561"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1.37 ± 0.06              91 ± 0.004</w:t>
            </w:r>
            <w:r w:rsidRPr="00F11097">
              <w:rPr>
                <w:rFonts w:ascii="Times New Roman" w:hAnsi="Times New Roman"/>
                <w:color w:val="000000"/>
                <w:lang w:val="it-IT"/>
              </w:rPr>
              <w:t xml:space="preserve"> </w:t>
            </w:r>
            <w:r w:rsidRPr="00F11097">
              <w:rPr>
                <w:lang w:val="it-IT"/>
              </w:rPr>
              <w:t xml:space="preserve">   </w:t>
            </w:r>
            <w:r>
              <w:rPr>
                <w:rFonts w:cs="Arial"/>
                <w:color w:val="000000"/>
                <w:szCs w:val="18"/>
                <w:lang w:val="it-IT" w:eastAsia="it-IT"/>
              </w:rPr>
              <w:t xml:space="preserve">      </w:t>
            </w:r>
          </w:p>
        </w:tc>
      </w:tr>
      <w:tr w:rsidR="001B3BAB" w:rsidRPr="00CB748D" w14:paraId="382A883C" w14:textId="77777777" w:rsidTr="00D86C61">
        <w:trPr>
          <w:trHeight w:val="284"/>
        </w:trPr>
        <w:tc>
          <w:tcPr>
            <w:tcW w:w="1161" w:type="pct"/>
            <w:shd w:val="clear" w:color="auto" w:fill="auto"/>
            <w:noWrap/>
            <w:vAlign w:val="center"/>
            <w:hideMark/>
          </w:tcPr>
          <w:p w14:paraId="64CC7292"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BWW</w:t>
            </w:r>
          </w:p>
        </w:tc>
        <w:tc>
          <w:tcPr>
            <w:tcW w:w="857" w:type="pct"/>
            <w:shd w:val="clear" w:color="auto" w:fill="auto"/>
            <w:noWrap/>
            <w:vAlign w:val="center"/>
            <w:hideMark/>
          </w:tcPr>
          <w:p w14:paraId="1254410E"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en-US" w:eastAsia="it-IT"/>
              </w:rPr>
              <w:t>0.113 ± 0.02</w:t>
            </w:r>
          </w:p>
        </w:tc>
        <w:tc>
          <w:tcPr>
            <w:tcW w:w="858" w:type="pct"/>
            <w:shd w:val="clear" w:color="auto" w:fill="auto"/>
            <w:noWrap/>
            <w:vAlign w:val="center"/>
            <w:hideMark/>
          </w:tcPr>
          <w:p w14:paraId="45506CC9"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 xml:space="preserve">5.63 </w:t>
            </w:r>
            <w:r w:rsidRPr="00CB748D">
              <w:rPr>
                <w:rFonts w:cs="Arial"/>
                <w:color w:val="000000"/>
                <w:szCs w:val="18"/>
                <w:lang w:val="it-IT" w:eastAsia="it-IT"/>
              </w:rPr>
              <w:t>±</w:t>
            </w:r>
            <w:r>
              <w:rPr>
                <w:rFonts w:cs="Arial"/>
                <w:color w:val="000000"/>
                <w:szCs w:val="18"/>
                <w:lang w:val="it-IT" w:eastAsia="it-IT"/>
              </w:rPr>
              <w:t xml:space="preserve"> </w:t>
            </w:r>
            <w:r w:rsidRPr="00CB748D">
              <w:rPr>
                <w:rFonts w:cs="Arial"/>
                <w:color w:val="000000"/>
                <w:szCs w:val="18"/>
                <w:lang w:val="it-IT" w:eastAsia="it-IT"/>
              </w:rPr>
              <w:t>0.</w:t>
            </w:r>
            <w:r>
              <w:rPr>
                <w:rFonts w:cs="Arial"/>
                <w:color w:val="000000"/>
                <w:szCs w:val="18"/>
                <w:lang w:val="it-IT" w:eastAsia="it-IT"/>
              </w:rPr>
              <w:t>06</w:t>
            </w:r>
          </w:p>
        </w:tc>
        <w:tc>
          <w:tcPr>
            <w:tcW w:w="2124" w:type="pct"/>
            <w:shd w:val="clear" w:color="auto" w:fill="auto"/>
            <w:noWrap/>
            <w:vAlign w:val="center"/>
            <w:hideMark/>
          </w:tcPr>
          <w:p w14:paraId="396A256D"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1.76 ± 0</w:t>
            </w:r>
            <w:r w:rsidRPr="00CB748D">
              <w:rPr>
                <w:rFonts w:cs="Arial"/>
                <w:color w:val="000000"/>
                <w:szCs w:val="18"/>
                <w:lang w:val="it-IT" w:eastAsia="it-IT"/>
              </w:rPr>
              <w:t>.</w:t>
            </w:r>
            <w:r>
              <w:rPr>
                <w:rFonts w:cs="Arial"/>
                <w:color w:val="000000"/>
                <w:szCs w:val="18"/>
                <w:lang w:val="it-IT" w:eastAsia="it-IT"/>
              </w:rPr>
              <w:t>25              111 ± 0.02</w:t>
            </w:r>
            <w:r w:rsidRPr="00F11097">
              <w:rPr>
                <w:rFonts w:ascii="Times New Roman" w:hAnsi="Times New Roman"/>
                <w:color w:val="000000"/>
                <w:lang w:val="it-IT"/>
              </w:rPr>
              <w:t xml:space="preserve"> </w:t>
            </w:r>
            <w:r w:rsidRPr="00F11097">
              <w:rPr>
                <w:lang w:val="it-IT"/>
              </w:rPr>
              <w:t xml:space="preserve">   </w:t>
            </w:r>
            <w:r>
              <w:rPr>
                <w:rFonts w:cs="Arial"/>
                <w:color w:val="000000"/>
                <w:szCs w:val="18"/>
                <w:lang w:val="it-IT" w:eastAsia="it-IT"/>
              </w:rPr>
              <w:t xml:space="preserve">      </w:t>
            </w:r>
          </w:p>
        </w:tc>
      </w:tr>
      <w:tr w:rsidR="001B3BAB" w:rsidRPr="00CB748D" w14:paraId="4DBE51E9" w14:textId="77777777" w:rsidTr="00D86C61">
        <w:trPr>
          <w:trHeight w:val="284"/>
        </w:trPr>
        <w:tc>
          <w:tcPr>
            <w:tcW w:w="1161" w:type="pct"/>
            <w:shd w:val="clear" w:color="auto" w:fill="auto"/>
            <w:noWrap/>
            <w:vAlign w:val="center"/>
            <w:hideMark/>
          </w:tcPr>
          <w:p w14:paraId="52B94421"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DWW</w:t>
            </w:r>
          </w:p>
        </w:tc>
        <w:tc>
          <w:tcPr>
            <w:tcW w:w="857" w:type="pct"/>
            <w:shd w:val="clear" w:color="auto" w:fill="auto"/>
            <w:noWrap/>
            <w:vAlign w:val="center"/>
            <w:hideMark/>
          </w:tcPr>
          <w:p w14:paraId="28779A21" w14:textId="77777777" w:rsidR="001B3BAB" w:rsidRPr="00CB748D" w:rsidRDefault="001B3BAB" w:rsidP="00753675">
            <w:pPr>
              <w:tabs>
                <w:tab w:val="clear" w:pos="7100"/>
              </w:tabs>
              <w:jc w:val="left"/>
              <w:rPr>
                <w:rFonts w:cs="Arial"/>
                <w:color w:val="000000"/>
                <w:szCs w:val="18"/>
                <w:lang w:val="it-IT" w:eastAsia="it-IT"/>
              </w:rPr>
            </w:pPr>
            <w:r w:rsidRPr="00CB748D">
              <w:rPr>
                <w:rFonts w:cs="Arial"/>
                <w:color w:val="000000"/>
                <w:szCs w:val="18"/>
                <w:lang w:val="it-IT" w:eastAsia="it-IT"/>
              </w:rPr>
              <w:t>0.1</w:t>
            </w:r>
            <w:r>
              <w:rPr>
                <w:rFonts w:cs="Arial"/>
                <w:color w:val="000000"/>
                <w:szCs w:val="18"/>
                <w:lang w:val="it-IT" w:eastAsia="it-IT"/>
              </w:rPr>
              <w:t xml:space="preserve">41 </w:t>
            </w:r>
            <w:r w:rsidRPr="00CB748D">
              <w:rPr>
                <w:rFonts w:cs="Arial"/>
                <w:color w:val="000000"/>
                <w:szCs w:val="18"/>
                <w:lang w:val="it-IT" w:eastAsia="it-IT"/>
              </w:rPr>
              <w:t>±</w:t>
            </w:r>
            <w:r>
              <w:rPr>
                <w:rFonts w:cs="Arial"/>
                <w:color w:val="000000"/>
                <w:szCs w:val="18"/>
                <w:lang w:val="it-IT" w:eastAsia="it-IT"/>
              </w:rPr>
              <w:t xml:space="preserve"> </w:t>
            </w:r>
            <w:r w:rsidRPr="00CB748D">
              <w:rPr>
                <w:rFonts w:cs="Arial"/>
                <w:color w:val="000000"/>
                <w:szCs w:val="18"/>
                <w:lang w:val="it-IT" w:eastAsia="it-IT"/>
              </w:rPr>
              <w:t>0.0</w:t>
            </w:r>
            <w:r>
              <w:rPr>
                <w:rFonts w:cs="Arial"/>
                <w:color w:val="000000"/>
                <w:szCs w:val="18"/>
                <w:lang w:val="it-IT" w:eastAsia="it-IT"/>
              </w:rPr>
              <w:t>3</w:t>
            </w:r>
          </w:p>
        </w:tc>
        <w:tc>
          <w:tcPr>
            <w:tcW w:w="858" w:type="pct"/>
            <w:shd w:val="clear" w:color="auto" w:fill="auto"/>
            <w:noWrap/>
            <w:vAlign w:val="center"/>
            <w:hideMark/>
          </w:tcPr>
          <w:p w14:paraId="0F60AC4C"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5.01 ± 0</w:t>
            </w:r>
            <w:r w:rsidRPr="00CB748D">
              <w:rPr>
                <w:rFonts w:cs="Arial"/>
                <w:color w:val="000000"/>
                <w:szCs w:val="18"/>
                <w:lang w:val="it-IT" w:eastAsia="it-IT"/>
              </w:rPr>
              <w:t>.</w:t>
            </w:r>
            <w:r>
              <w:rPr>
                <w:rFonts w:cs="Arial"/>
                <w:color w:val="000000"/>
                <w:szCs w:val="18"/>
                <w:lang w:val="it-IT" w:eastAsia="it-IT"/>
              </w:rPr>
              <w:t>54</w:t>
            </w:r>
          </w:p>
        </w:tc>
        <w:tc>
          <w:tcPr>
            <w:tcW w:w="2124" w:type="pct"/>
            <w:shd w:val="clear" w:color="auto" w:fill="auto"/>
            <w:noWrap/>
            <w:vAlign w:val="center"/>
            <w:hideMark/>
          </w:tcPr>
          <w:p w14:paraId="0ABE9DF4"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1.56 ± 0.40              119 ± 0.005</w:t>
            </w:r>
            <w:r w:rsidRPr="00F11097">
              <w:rPr>
                <w:rFonts w:ascii="Times New Roman" w:hAnsi="Times New Roman"/>
                <w:color w:val="000000"/>
                <w:lang w:val="it-IT"/>
              </w:rPr>
              <w:t xml:space="preserve"> </w:t>
            </w:r>
            <w:r w:rsidRPr="00F11097">
              <w:rPr>
                <w:lang w:val="it-IT"/>
              </w:rPr>
              <w:t xml:space="preserve">   </w:t>
            </w:r>
            <w:r>
              <w:rPr>
                <w:rFonts w:cs="Arial"/>
                <w:color w:val="000000"/>
                <w:szCs w:val="18"/>
                <w:lang w:val="it-IT" w:eastAsia="it-IT"/>
              </w:rPr>
              <w:t xml:space="preserve">      </w:t>
            </w:r>
          </w:p>
        </w:tc>
      </w:tr>
      <w:tr w:rsidR="001B3BAB" w:rsidRPr="00CB748D" w14:paraId="39201BCB" w14:textId="77777777" w:rsidTr="00D86C61">
        <w:trPr>
          <w:trHeight w:val="284"/>
        </w:trPr>
        <w:tc>
          <w:tcPr>
            <w:tcW w:w="1161" w:type="pct"/>
            <w:tcBorders>
              <w:bottom w:val="single" w:sz="12" w:space="0" w:color="00B050"/>
            </w:tcBorders>
            <w:shd w:val="clear" w:color="auto" w:fill="auto"/>
            <w:noWrap/>
            <w:vAlign w:val="center"/>
            <w:hideMark/>
          </w:tcPr>
          <w:p w14:paraId="1959414C"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C+MOL</w:t>
            </w:r>
          </w:p>
        </w:tc>
        <w:tc>
          <w:tcPr>
            <w:tcW w:w="857" w:type="pct"/>
            <w:tcBorders>
              <w:bottom w:val="single" w:sz="12" w:space="0" w:color="00B050"/>
            </w:tcBorders>
            <w:shd w:val="clear" w:color="auto" w:fill="auto"/>
            <w:noWrap/>
            <w:vAlign w:val="center"/>
            <w:hideMark/>
          </w:tcPr>
          <w:p w14:paraId="102AB86F" w14:textId="77777777" w:rsidR="001B3BAB" w:rsidRPr="00CB748D" w:rsidRDefault="001B3BAB" w:rsidP="00753675">
            <w:pPr>
              <w:tabs>
                <w:tab w:val="clear" w:pos="7100"/>
              </w:tabs>
              <w:jc w:val="left"/>
              <w:rPr>
                <w:rFonts w:cs="Arial"/>
                <w:color w:val="000000"/>
                <w:szCs w:val="18"/>
                <w:lang w:val="it-IT" w:eastAsia="it-IT"/>
              </w:rPr>
            </w:pPr>
            <w:r w:rsidRPr="00CB748D">
              <w:rPr>
                <w:rFonts w:cs="Arial"/>
                <w:color w:val="000000"/>
                <w:szCs w:val="18"/>
                <w:lang w:val="it-IT" w:eastAsia="it-IT"/>
              </w:rPr>
              <w:t>0.</w:t>
            </w:r>
            <w:r>
              <w:rPr>
                <w:rFonts w:cs="Arial"/>
                <w:color w:val="000000"/>
                <w:szCs w:val="18"/>
                <w:lang w:val="it-IT" w:eastAsia="it-IT"/>
              </w:rPr>
              <w:t>215 ± 0.2</w:t>
            </w:r>
            <w:r w:rsidRPr="00CB748D">
              <w:rPr>
                <w:rFonts w:cs="Arial"/>
                <w:color w:val="000000"/>
                <w:szCs w:val="18"/>
                <w:lang w:val="it-IT" w:eastAsia="it-IT"/>
              </w:rPr>
              <w:t>1</w:t>
            </w:r>
          </w:p>
        </w:tc>
        <w:tc>
          <w:tcPr>
            <w:tcW w:w="858" w:type="pct"/>
            <w:tcBorders>
              <w:bottom w:val="single" w:sz="12" w:space="0" w:color="00B050"/>
            </w:tcBorders>
            <w:shd w:val="clear" w:color="auto" w:fill="auto"/>
            <w:noWrap/>
            <w:vAlign w:val="center"/>
            <w:hideMark/>
          </w:tcPr>
          <w:p w14:paraId="51F23A2A"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3.25 ± 0</w:t>
            </w:r>
            <w:r w:rsidRPr="00CB748D">
              <w:rPr>
                <w:rFonts w:cs="Arial"/>
                <w:color w:val="000000"/>
                <w:szCs w:val="18"/>
                <w:lang w:val="it-IT" w:eastAsia="it-IT"/>
              </w:rPr>
              <w:t>.3</w:t>
            </w:r>
            <w:r>
              <w:rPr>
                <w:rFonts w:cs="Arial"/>
                <w:color w:val="000000"/>
                <w:szCs w:val="18"/>
                <w:lang w:val="it-IT" w:eastAsia="it-IT"/>
              </w:rPr>
              <w:t>4</w:t>
            </w:r>
          </w:p>
        </w:tc>
        <w:tc>
          <w:tcPr>
            <w:tcW w:w="2124" w:type="pct"/>
            <w:tcBorders>
              <w:bottom w:val="single" w:sz="12" w:space="0" w:color="00B050"/>
            </w:tcBorders>
            <w:shd w:val="clear" w:color="auto" w:fill="auto"/>
            <w:noWrap/>
            <w:vAlign w:val="center"/>
            <w:hideMark/>
          </w:tcPr>
          <w:p w14:paraId="54AE2DCE" w14:textId="77777777" w:rsidR="001B3BAB" w:rsidRPr="00CB748D" w:rsidRDefault="001B3BAB" w:rsidP="00753675">
            <w:pPr>
              <w:tabs>
                <w:tab w:val="clear" w:pos="7100"/>
              </w:tabs>
              <w:jc w:val="left"/>
              <w:rPr>
                <w:rFonts w:cs="Arial"/>
                <w:color w:val="000000"/>
                <w:szCs w:val="18"/>
                <w:lang w:val="it-IT" w:eastAsia="it-IT"/>
              </w:rPr>
            </w:pPr>
            <w:r>
              <w:rPr>
                <w:rFonts w:cs="Arial"/>
                <w:color w:val="000000"/>
                <w:szCs w:val="18"/>
                <w:lang w:val="it-IT" w:eastAsia="it-IT"/>
              </w:rPr>
              <w:t>1.47 ± 0</w:t>
            </w:r>
            <w:r w:rsidRPr="00CB748D">
              <w:rPr>
                <w:rFonts w:cs="Arial"/>
                <w:color w:val="000000"/>
                <w:szCs w:val="18"/>
                <w:lang w:val="it-IT" w:eastAsia="it-IT"/>
              </w:rPr>
              <w:t>.</w:t>
            </w:r>
            <w:r>
              <w:rPr>
                <w:rFonts w:cs="Arial"/>
                <w:color w:val="000000"/>
                <w:szCs w:val="18"/>
                <w:lang w:val="it-IT" w:eastAsia="it-IT"/>
              </w:rPr>
              <w:t>12              94 ± 0.008</w:t>
            </w:r>
            <w:r w:rsidRPr="00F11097">
              <w:rPr>
                <w:rFonts w:ascii="Times New Roman" w:hAnsi="Times New Roman"/>
                <w:color w:val="000000"/>
                <w:lang w:val="it-IT"/>
              </w:rPr>
              <w:t xml:space="preserve"> </w:t>
            </w:r>
            <w:r w:rsidRPr="00F11097">
              <w:rPr>
                <w:lang w:val="it-IT"/>
              </w:rPr>
              <w:t xml:space="preserve">   </w:t>
            </w:r>
            <w:r>
              <w:rPr>
                <w:rFonts w:cs="Arial"/>
                <w:color w:val="000000"/>
                <w:szCs w:val="18"/>
                <w:lang w:val="it-IT" w:eastAsia="it-IT"/>
              </w:rPr>
              <w:t xml:space="preserve">      </w:t>
            </w:r>
          </w:p>
        </w:tc>
      </w:tr>
    </w:tbl>
    <w:p w14:paraId="1FD6FA10" w14:textId="77777777" w:rsidR="001B3BAB" w:rsidRDefault="001B3BAB" w:rsidP="001B3BAB">
      <w:pPr>
        <w:widowControl w:val="0"/>
        <w:autoSpaceDE w:val="0"/>
        <w:autoSpaceDN w:val="0"/>
        <w:adjustRightInd w:val="0"/>
        <w:ind w:left="480" w:hanging="480"/>
        <w:jc w:val="left"/>
        <w:rPr>
          <w:rFonts w:eastAsia="Calibri" w:cs="Arial"/>
          <w:sz w:val="16"/>
          <w:szCs w:val="16"/>
        </w:rPr>
      </w:pPr>
      <w:r w:rsidRPr="00D1535E">
        <w:rPr>
          <w:rFonts w:eastAsia="Calibri" w:cs="Arial"/>
          <w:sz w:val="16"/>
          <w:szCs w:val="16"/>
        </w:rPr>
        <w:t>Note: µ: specific growth rate, t</w:t>
      </w:r>
      <w:r w:rsidRPr="00D1535E">
        <w:rPr>
          <w:rFonts w:eastAsia="Calibri" w:cs="Arial"/>
          <w:sz w:val="16"/>
          <w:szCs w:val="16"/>
          <w:vertAlign w:val="subscript"/>
        </w:rPr>
        <w:t>d</w:t>
      </w:r>
      <w:r w:rsidRPr="00D1535E">
        <w:rPr>
          <w:rFonts w:eastAsia="Calibri" w:cs="Arial"/>
          <w:sz w:val="16"/>
          <w:szCs w:val="16"/>
        </w:rPr>
        <w:t>:</w:t>
      </w:r>
      <w:r w:rsidRPr="00D1535E">
        <w:rPr>
          <w:rFonts w:eastAsia="Calibri" w:cs="Arial"/>
          <w:sz w:val="16"/>
          <w:szCs w:val="16"/>
          <w:vertAlign w:val="subscript"/>
        </w:rPr>
        <w:t xml:space="preserve">  </w:t>
      </w:r>
      <w:r w:rsidRPr="00D1535E">
        <w:rPr>
          <w:rFonts w:eastAsia="Calibri" w:cs="Arial"/>
          <w:sz w:val="16"/>
          <w:szCs w:val="16"/>
        </w:rPr>
        <w:t>doubling time, X</w:t>
      </w:r>
      <w:r w:rsidRPr="00D1535E">
        <w:rPr>
          <w:rFonts w:eastAsia="Calibri" w:cs="Arial"/>
          <w:sz w:val="16"/>
          <w:szCs w:val="16"/>
          <w:vertAlign w:val="subscript"/>
        </w:rPr>
        <w:t>max</w:t>
      </w:r>
      <w:r w:rsidRPr="00D1535E">
        <w:rPr>
          <w:rFonts w:eastAsia="Calibri" w:cs="Arial"/>
          <w:sz w:val="16"/>
          <w:szCs w:val="16"/>
        </w:rPr>
        <w:t>:</w:t>
      </w:r>
      <w:r w:rsidRPr="00D1535E">
        <w:rPr>
          <w:rFonts w:eastAsia="Calibri" w:cs="Arial"/>
          <w:sz w:val="16"/>
          <w:szCs w:val="16"/>
          <w:vertAlign w:val="subscript"/>
        </w:rPr>
        <w:t xml:space="preserve">  </w:t>
      </w:r>
      <w:r w:rsidRPr="00D1535E">
        <w:rPr>
          <w:rFonts w:eastAsia="Calibri" w:cs="Arial"/>
          <w:sz w:val="16"/>
          <w:szCs w:val="16"/>
        </w:rPr>
        <w:t>maximum biomass concentration, ∆X</w:t>
      </w:r>
      <w:r>
        <w:rPr>
          <w:rFonts w:eastAsia="Calibri" w:cs="Arial"/>
          <w:sz w:val="16"/>
          <w:szCs w:val="16"/>
        </w:rPr>
        <w:t>: average biomass productivity.</w:t>
      </w:r>
    </w:p>
    <w:p w14:paraId="1543FDF3" w14:textId="77777777" w:rsidR="001B3BAB" w:rsidRPr="00745AC9" w:rsidRDefault="001B3BAB" w:rsidP="001B3BAB">
      <w:pPr>
        <w:widowControl w:val="0"/>
        <w:autoSpaceDE w:val="0"/>
        <w:autoSpaceDN w:val="0"/>
        <w:adjustRightInd w:val="0"/>
        <w:ind w:left="480" w:hanging="480"/>
        <w:jc w:val="left"/>
        <w:rPr>
          <w:rFonts w:eastAsia="Calibri" w:cs="Arial"/>
          <w:sz w:val="16"/>
          <w:szCs w:val="16"/>
        </w:rPr>
      </w:pPr>
      <w:r>
        <w:rPr>
          <w:rFonts w:eastAsia="Calibri" w:cs="Arial"/>
          <w:sz w:val="16"/>
          <w:szCs w:val="16"/>
        </w:rPr>
        <w:t>Doucha medium</w:t>
      </w:r>
      <w:r w:rsidR="008515EC" w:rsidRPr="00D1535E">
        <w:rPr>
          <w:rFonts w:eastAsia="Calibri" w:cs="Arial"/>
          <w:sz w:val="16"/>
          <w:szCs w:val="16"/>
        </w:rPr>
        <w:t>:</w:t>
      </w:r>
      <w:r w:rsidR="008515EC" w:rsidRPr="008515EC">
        <w:rPr>
          <w:rFonts w:eastAsia="Calibri" w:cs="Arial"/>
          <w:sz w:val="16"/>
          <w:szCs w:val="16"/>
        </w:rPr>
        <w:t xml:space="preserve"> </w:t>
      </w:r>
      <w:r w:rsidR="008515EC">
        <w:rPr>
          <w:rFonts w:eastAsia="Calibri" w:cs="Arial"/>
          <w:sz w:val="16"/>
          <w:szCs w:val="16"/>
        </w:rPr>
        <w:t>Control</w:t>
      </w:r>
      <w:r w:rsidRPr="00D1535E">
        <w:rPr>
          <w:rFonts w:eastAsia="Calibri" w:cs="Arial"/>
          <w:sz w:val="16"/>
          <w:szCs w:val="16"/>
        </w:rPr>
        <w:t xml:space="preserve">, </w:t>
      </w:r>
      <w:r>
        <w:rPr>
          <w:rFonts w:eastAsia="Calibri" w:cs="Arial"/>
          <w:sz w:val="16"/>
          <w:szCs w:val="16"/>
        </w:rPr>
        <w:t>BWW: brewery wastewater</w:t>
      </w:r>
      <w:r w:rsidRPr="00D1535E">
        <w:rPr>
          <w:rFonts w:eastAsia="Calibri" w:cs="Arial"/>
          <w:sz w:val="16"/>
          <w:szCs w:val="16"/>
        </w:rPr>
        <w:t xml:space="preserve">, </w:t>
      </w:r>
      <w:r>
        <w:rPr>
          <w:rFonts w:eastAsia="Calibri" w:cs="Arial"/>
          <w:sz w:val="16"/>
          <w:szCs w:val="16"/>
        </w:rPr>
        <w:t xml:space="preserve">DWW: dairy </w:t>
      </w:r>
      <w:r w:rsidRPr="00D1535E">
        <w:rPr>
          <w:rFonts w:eastAsia="Calibri" w:cs="Arial"/>
          <w:sz w:val="16"/>
          <w:szCs w:val="16"/>
        </w:rPr>
        <w:t>wastewater</w:t>
      </w:r>
      <w:r>
        <w:rPr>
          <w:rFonts w:eastAsia="Calibri" w:cs="Arial"/>
          <w:sz w:val="16"/>
          <w:szCs w:val="16"/>
        </w:rPr>
        <w:t>, C+MOL</w:t>
      </w:r>
      <w:r w:rsidRPr="00745AC9">
        <w:rPr>
          <w:rFonts w:eastAsia="Calibri" w:cs="Arial"/>
          <w:sz w:val="16"/>
          <w:szCs w:val="16"/>
        </w:rPr>
        <w:t>:</w:t>
      </w:r>
      <w:r>
        <w:rPr>
          <w:rFonts w:eastAsia="Calibri" w:cs="Arial"/>
          <w:sz w:val="16"/>
          <w:szCs w:val="16"/>
        </w:rPr>
        <w:t xml:space="preserve"> </w:t>
      </w:r>
      <w:r w:rsidRPr="00745AC9">
        <w:rPr>
          <w:rFonts w:eastAsia="Calibri" w:cs="Arial"/>
          <w:sz w:val="16"/>
          <w:szCs w:val="16"/>
        </w:rPr>
        <w:t>Control</w:t>
      </w:r>
      <w:r>
        <w:rPr>
          <w:rFonts w:eastAsia="Calibri" w:cs="Arial"/>
          <w:sz w:val="16"/>
          <w:szCs w:val="16"/>
        </w:rPr>
        <w:t xml:space="preserve"> + molasses effluent</w:t>
      </w:r>
    </w:p>
    <w:p w14:paraId="6C72075A" w14:textId="77777777" w:rsidR="006B0E62" w:rsidRPr="003D39BB" w:rsidRDefault="00026FA3" w:rsidP="006B0E62">
      <w:pPr>
        <w:autoSpaceDE w:val="0"/>
        <w:autoSpaceDN w:val="0"/>
        <w:adjustRightInd w:val="0"/>
        <w:spacing w:before="120" w:after="120"/>
        <w:rPr>
          <w:rFonts w:cs="Arial"/>
          <w:szCs w:val="18"/>
        </w:rPr>
      </w:pPr>
      <w:r w:rsidRPr="006B0E62">
        <w:rPr>
          <w:rFonts w:cs="Arial"/>
          <w:szCs w:val="18"/>
        </w:rPr>
        <w:lastRenderedPageBreak/>
        <w:t xml:space="preserve">Many studies reported that </w:t>
      </w:r>
      <w:r w:rsidRPr="006B0E62">
        <w:rPr>
          <w:rFonts w:cs="Arial"/>
          <w:i/>
          <w:szCs w:val="18"/>
        </w:rPr>
        <w:t>C. vulgaris</w:t>
      </w:r>
      <w:r w:rsidRPr="006B0E62">
        <w:rPr>
          <w:rFonts w:cs="Arial"/>
          <w:szCs w:val="18"/>
        </w:rPr>
        <w:t xml:space="preserve"> can live at lower N concentration while it is very difficult that it can survive in absence of P. In this way, P represents the limiting factor for its growth. The optimum N/P ratio for </w:t>
      </w:r>
      <w:r w:rsidRPr="006B0E62">
        <w:rPr>
          <w:rFonts w:cs="Arial"/>
          <w:i/>
          <w:szCs w:val="18"/>
        </w:rPr>
        <w:t>C. vulgaris</w:t>
      </w:r>
      <w:r w:rsidRPr="006B0E62">
        <w:rPr>
          <w:rFonts w:cs="Arial"/>
          <w:szCs w:val="18"/>
        </w:rPr>
        <w:t xml:space="preserve">’s growth is set as 16:1 (Wu et al. 2014). </w:t>
      </w:r>
      <w:r w:rsidR="0045396C" w:rsidRPr="006B0E62">
        <w:rPr>
          <w:rFonts w:cs="Arial"/>
          <w:szCs w:val="18"/>
        </w:rPr>
        <w:t xml:space="preserve">In our growth test, N/P ratios of </w:t>
      </w:r>
      <w:r w:rsidR="009027A5">
        <w:rPr>
          <w:rFonts w:cs="Arial"/>
          <w:szCs w:val="18"/>
        </w:rPr>
        <w:t xml:space="preserve">WW </w:t>
      </w:r>
      <w:r w:rsidR="0045396C" w:rsidRPr="006B0E62">
        <w:rPr>
          <w:rFonts w:cs="Arial"/>
          <w:szCs w:val="18"/>
        </w:rPr>
        <w:t xml:space="preserve">are far away from this optimum. In DWW the N/P ratio is 13:1, while in BWW, OMW and C-MOL </w:t>
      </w:r>
      <w:r w:rsidR="009027A5">
        <w:rPr>
          <w:rFonts w:cs="Arial"/>
          <w:szCs w:val="18"/>
        </w:rPr>
        <w:t>is</w:t>
      </w:r>
      <w:r w:rsidR="0045396C" w:rsidRPr="006B0E62">
        <w:rPr>
          <w:rFonts w:cs="Arial"/>
          <w:szCs w:val="18"/>
        </w:rPr>
        <w:t xml:space="preserve"> 7:1, 7:1, and 3.5:1, respectively. Only the control is close to the optimum, with a N/P ratio of 13:1. It has been also reported that algal specific growth rate can be significantly improved by nutrient supplementation</w:t>
      </w:r>
      <w:r w:rsidR="006B0E62" w:rsidRPr="006B0E62">
        <w:rPr>
          <w:rFonts w:cs="Arial"/>
          <w:szCs w:val="18"/>
        </w:rPr>
        <w:t xml:space="preserve"> (Lutzu et al., 2020b).</w:t>
      </w:r>
      <w:r w:rsidR="006B0E62">
        <w:rPr>
          <w:rFonts w:cs="Arial"/>
          <w:szCs w:val="18"/>
        </w:rPr>
        <w:t xml:space="preserve"> In our study </w:t>
      </w:r>
      <w:r w:rsidR="006B0E62" w:rsidRPr="00073966">
        <w:rPr>
          <w:rFonts w:eastAsia="Calibri" w:cs="Arial"/>
          <w:szCs w:val="18"/>
        </w:rPr>
        <w:t>µ</w:t>
      </w:r>
      <w:r w:rsidR="006B0E62" w:rsidRPr="001B3BAB">
        <w:rPr>
          <w:rFonts w:cs="Arial"/>
          <w:szCs w:val="18"/>
        </w:rPr>
        <w:t xml:space="preserve"> </w:t>
      </w:r>
      <w:r w:rsidR="006B0E62">
        <w:rPr>
          <w:rFonts w:cs="Arial"/>
          <w:szCs w:val="18"/>
        </w:rPr>
        <w:t xml:space="preserve">was lowered in BWW and DWW, while when the control was amended with molasses </w:t>
      </w:r>
      <w:r w:rsidR="006B0E62" w:rsidRPr="00073966">
        <w:rPr>
          <w:rFonts w:eastAsia="Calibri" w:cs="Arial"/>
          <w:szCs w:val="18"/>
        </w:rPr>
        <w:t>µ</w:t>
      </w:r>
      <w:r w:rsidR="006B0E62">
        <w:rPr>
          <w:rFonts w:eastAsia="Calibri" w:cs="Arial"/>
          <w:szCs w:val="18"/>
        </w:rPr>
        <w:t xml:space="preserve"> increased.</w:t>
      </w:r>
      <w:r w:rsidR="006B0E62">
        <w:rPr>
          <w:rFonts w:cs="Arial"/>
          <w:szCs w:val="18"/>
        </w:rPr>
        <w:t xml:space="preserve"> O</w:t>
      </w:r>
      <w:r w:rsidR="006B0E62" w:rsidRPr="008F5E37">
        <w:rPr>
          <w:rFonts w:cs="Arial"/>
          <w:szCs w:val="18"/>
        </w:rPr>
        <w:t xml:space="preserve">rganic sources can </w:t>
      </w:r>
      <w:r w:rsidR="006B0E62">
        <w:rPr>
          <w:rFonts w:cs="Arial"/>
          <w:szCs w:val="18"/>
        </w:rPr>
        <w:t xml:space="preserve">be used by microalgae to </w:t>
      </w:r>
      <w:r w:rsidR="006B0E62" w:rsidRPr="008F5E37">
        <w:rPr>
          <w:rFonts w:cs="Arial"/>
          <w:szCs w:val="18"/>
        </w:rPr>
        <w:t xml:space="preserve">shift their metabolism from autotrophy to mixothophy. This can explain why </w:t>
      </w:r>
      <w:r w:rsidR="006B0E62">
        <w:rPr>
          <w:rFonts w:cs="Arial"/>
          <w:i/>
          <w:szCs w:val="18"/>
        </w:rPr>
        <w:t>C. vulgar</w:t>
      </w:r>
      <w:r w:rsidR="006B0E62" w:rsidRPr="008F5E37">
        <w:rPr>
          <w:rFonts w:cs="Arial"/>
          <w:i/>
          <w:szCs w:val="18"/>
        </w:rPr>
        <w:t>is</w:t>
      </w:r>
      <w:r w:rsidR="006B0E62">
        <w:rPr>
          <w:rFonts w:cs="Arial"/>
          <w:szCs w:val="18"/>
        </w:rPr>
        <w:t>,</w:t>
      </w:r>
      <w:r w:rsidR="006B0E62" w:rsidRPr="008F5E37">
        <w:rPr>
          <w:rFonts w:cs="Arial"/>
          <w:szCs w:val="18"/>
        </w:rPr>
        <w:t xml:space="preserve"> </w:t>
      </w:r>
      <w:r w:rsidR="006B0E62">
        <w:rPr>
          <w:rFonts w:cs="Arial"/>
          <w:szCs w:val="18"/>
        </w:rPr>
        <w:t xml:space="preserve">when </w:t>
      </w:r>
      <w:r w:rsidR="006B0E62" w:rsidRPr="008F5E37">
        <w:rPr>
          <w:rFonts w:cs="Arial"/>
          <w:szCs w:val="18"/>
        </w:rPr>
        <w:t xml:space="preserve">cultivated in </w:t>
      </w:r>
      <w:r w:rsidR="006B0E62">
        <w:rPr>
          <w:rFonts w:cs="Arial"/>
          <w:szCs w:val="18"/>
        </w:rPr>
        <w:t xml:space="preserve">BWW, DWW and </w:t>
      </w:r>
      <w:r w:rsidR="006B0E62" w:rsidRPr="008F5E37">
        <w:rPr>
          <w:rFonts w:cs="Arial"/>
          <w:szCs w:val="18"/>
        </w:rPr>
        <w:t>MOL</w:t>
      </w:r>
      <w:r w:rsidR="006B0E62">
        <w:rPr>
          <w:rFonts w:cs="Arial"/>
          <w:szCs w:val="18"/>
        </w:rPr>
        <w:t xml:space="preserve"> </w:t>
      </w:r>
      <w:r w:rsidR="006B0E62" w:rsidRPr="008F5E37">
        <w:rPr>
          <w:rFonts w:cs="Arial"/>
          <w:szCs w:val="18"/>
        </w:rPr>
        <w:t xml:space="preserve">media, attained a better biomass concentration compared to </w:t>
      </w:r>
      <w:r w:rsidR="006B0E62">
        <w:rPr>
          <w:rFonts w:cs="Arial"/>
          <w:szCs w:val="18"/>
        </w:rPr>
        <w:t>the control alone</w:t>
      </w:r>
      <w:r w:rsidR="006B0E62" w:rsidRPr="008F5E37">
        <w:rPr>
          <w:rFonts w:cs="Arial"/>
          <w:szCs w:val="18"/>
        </w:rPr>
        <w:t xml:space="preserve"> where there are not at all organic compounds. On the other hand, the scarcity of N and P, typical of wastes rich in organic matter, leads to an imbalance between the ratios C:N:P with respect to the optimal values for algae. This </w:t>
      </w:r>
      <w:r w:rsidR="006B0E62">
        <w:rPr>
          <w:rFonts w:cs="Arial"/>
          <w:szCs w:val="18"/>
        </w:rPr>
        <w:t xml:space="preserve">would lead to an </w:t>
      </w:r>
      <w:r w:rsidR="006B0E62" w:rsidRPr="008F5E37">
        <w:rPr>
          <w:rFonts w:cs="Arial"/>
          <w:szCs w:val="18"/>
        </w:rPr>
        <w:t>excess</w:t>
      </w:r>
      <w:r w:rsidR="006B0E62">
        <w:rPr>
          <w:rFonts w:cs="Arial"/>
          <w:szCs w:val="18"/>
        </w:rPr>
        <w:t xml:space="preserve">ive intracellular storage of C </w:t>
      </w:r>
      <w:r w:rsidR="006B0E62" w:rsidRPr="008F5E37">
        <w:rPr>
          <w:rFonts w:cs="Arial"/>
          <w:szCs w:val="18"/>
        </w:rPr>
        <w:t xml:space="preserve">in the form of neutral lipids such </w:t>
      </w:r>
      <w:r w:rsidR="006B0E62" w:rsidRPr="00AB3944">
        <w:rPr>
          <w:rFonts w:cs="Arial"/>
          <w:szCs w:val="18"/>
        </w:rPr>
        <w:t xml:space="preserve">as </w:t>
      </w:r>
      <w:r w:rsidR="00AB3944" w:rsidRPr="00AB3944">
        <w:rPr>
          <w:rFonts w:cs="Arial"/>
          <w:szCs w:val="18"/>
        </w:rPr>
        <w:t>triacy</w:t>
      </w:r>
      <w:r w:rsidR="006B0E62" w:rsidRPr="00AB3944">
        <w:rPr>
          <w:rFonts w:cs="Arial"/>
          <w:szCs w:val="18"/>
        </w:rPr>
        <w:t>lglycerols</w:t>
      </w:r>
      <w:r w:rsidR="006B0E62">
        <w:rPr>
          <w:rFonts w:cs="Arial"/>
          <w:szCs w:val="18"/>
        </w:rPr>
        <w:t xml:space="preserve"> </w:t>
      </w:r>
      <w:r w:rsidR="006B0E62" w:rsidRPr="008F5E37">
        <w:rPr>
          <w:rFonts w:cs="Arial"/>
          <w:szCs w:val="18"/>
        </w:rPr>
        <w:t>rather than as proteins which would require N.</w:t>
      </w:r>
    </w:p>
    <w:p w14:paraId="6D90EAC0" w14:textId="77777777" w:rsidR="009D0379" w:rsidRPr="009D0379" w:rsidRDefault="009D0379" w:rsidP="009D0379">
      <w:pPr>
        <w:autoSpaceDE w:val="0"/>
        <w:autoSpaceDN w:val="0"/>
        <w:adjustRightInd w:val="0"/>
        <w:spacing w:before="120" w:after="120"/>
        <w:rPr>
          <w:rFonts w:cs="Arial"/>
          <w:b/>
          <w:szCs w:val="18"/>
        </w:rPr>
      </w:pPr>
      <w:r>
        <w:rPr>
          <w:rFonts w:cs="Arial"/>
          <w:b/>
          <w:szCs w:val="18"/>
        </w:rPr>
        <w:t xml:space="preserve">3.2 </w:t>
      </w:r>
      <w:r w:rsidR="008F5E37">
        <w:rPr>
          <w:rFonts w:cs="Arial"/>
          <w:b/>
          <w:szCs w:val="18"/>
        </w:rPr>
        <w:t xml:space="preserve">FAME profile of </w:t>
      </w:r>
      <w:r w:rsidR="008F5E37" w:rsidRPr="008F5E37">
        <w:rPr>
          <w:rFonts w:cs="Arial"/>
          <w:b/>
          <w:i/>
          <w:szCs w:val="18"/>
        </w:rPr>
        <w:t>C. vulgaris</w:t>
      </w:r>
      <w:r w:rsidR="008F5E37">
        <w:rPr>
          <w:rFonts w:cs="Arial"/>
          <w:b/>
          <w:szCs w:val="18"/>
        </w:rPr>
        <w:t xml:space="preserve"> under agro-industrial waste</w:t>
      </w:r>
      <w:r w:rsidRPr="009D0379">
        <w:rPr>
          <w:rFonts w:cs="Arial"/>
          <w:b/>
          <w:szCs w:val="18"/>
        </w:rPr>
        <w:t>water</w:t>
      </w:r>
      <w:r w:rsidR="008F5E37">
        <w:rPr>
          <w:rFonts w:cs="Arial"/>
          <w:b/>
          <w:szCs w:val="18"/>
        </w:rPr>
        <w:t>s</w:t>
      </w:r>
    </w:p>
    <w:p w14:paraId="412966CF" w14:textId="71311723" w:rsidR="00267450" w:rsidRPr="00306D47" w:rsidRDefault="00267450" w:rsidP="00584390">
      <w:pPr>
        <w:pStyle w:val="EndNoteBibliographyTitle"/>
        <w:spacing w:line="264" w:lineRule="auto"/>
        <w:jc w:val="both"/>
        <w:rPr>
          <w:rStyle w:val="fontstyle01"/>
          <w:rFonts w:ascii="Arial" w:eastAsiaTheme="minorHAnsi" w:hAnsi="Arial" w:cs="Arial" w:hint="default"/>
          <w:color w:val="auto"/>
          <w:sz w:val="18"/>
          <w:szCs w:val="18"/>
        </w:rPr>
      </w:pPr>
      <w:r>
        <w:rPr>
          <w:rFonts w:ascii="Arial" w:hAnsi="Arial" w:cs="Arial"/>
          <w:sz w:val="18"/>
          <w:szCs w:val="18"/>
        </w:rPr>
        <w:t>T</w:t>
      </w:r>
      <w:r w:rsidRPr="00267450">
        <w:rPr>
          <w:rFonts w:ascii="Arial" w:hAnsi="Arial" w:cs="Arial"/>
          <w:sz w:val="18"/>
          <w:szCs w:val="18"/>
        </w:rPr>
        <w:t>he com</w:t>
      </w:r>
      <w:r>
        <w:rPr>
          <w:rFonts w:ascii="Arial" w:hAnsi="Arial" w:cs="Arial"/>
          <w:sz w:val="18"/>
          <w:szCs w:val="18"/>
        </w:rPr>
        <w:t>position</w:t>
      </w:r>
      <w:r w:rsidRPr="00267450">
        <w:rPr>
          <w:rFonts w:ascii="Arial" w:hAnsi="Arial" w:cs="Arial"/>
          <w:sz w:val="18"/>
          <w:szCs w:val="18"/>
        </w:rPr>
        <w:t xml:space="preserve"> of </w:t>
      </w:r>
      <w:r w:rsidR="00306D47">
        <w:rPr>
          <w:rFonts w:ascii="Arial" w:hAnsi="Arial" w:cs="Arial"/>
          <w:sz w:val="18"/>
          <w:szCs w:val="18"/>
        </w:rPr>
        <w:t>FAs</w:t>
      </w:r>
      <w:r>
        <w:rPr>
          <w:rFonts w:ascii="Arial" w:hAnsi="Arial" w:cs="Arial"/>
          <w:sz w:val="18"/>
          <w:szCs w:val="18"/>
        </w:rPr>
        <w:t xml:space="preserve"> in terms of length and</w:t>
      </w:r>
      <w:r w:rsidRPr="00267450">
        <w:rPr>
          <w:rFonts w:ascii="Arial" w:hAnsi="Arial" w:cs="Arial"/>
          <w:sz w:val="18"/>
          <w:szCs w:val="18"/>
        </w:rPr>
        <w:t xml:space="preserve"> branching </w:t>
      </w:r>
      <w:r>
        <w:rPr>
          <w:rFonts w:ascii="Arial" w:hAnsi="Arial" w:cs="Arial"/>
          <w:sz w:val="18"/>
          <w:szCs w:val="18"/>
        </w:rPr>
        <w:t xml:space="preserve">of the </w:t>
      </w:r>
      <w:r w:rsidRPr="00267450">
        <w:rPr>
          <w:rFonts w:ascii="Arial" w:hAnsi="Arial" w:cs="Arial"/>
          <w:sz w:val="18"/>
          <w:szCs w:val="18"/>
        </w:rPr>
        <w:t>carbon chai</w:t>
      </w:r>
      <w:r>
        <w:rPr>
          <w:rFonts w:ascii="Arial" w:hAnsi="Arial" w:cs="Arial"/>
          <w:sz w:val="18"/>
          <w:szCs w:val="18"/>
        </w:rPr>
        <w:t>n</w:t>
      </w:r>
      <w:r w:rsidRPr="00267450">
        <w:rPr>
          <w:rFonts w:ascii="Arial" w:hAnsi="Arial" w:cs="Arial"/>
          <w:sz w:val="18"/>
          <w:szCs w:val="18"/>
        </w:rPr>
        <w:t xml:space="preserve">, and degree </w:t>
      </w:r>
      <w:r>
        <w:rPr>
          <w:rFonts w:ascii="Arial" w:hAnsi="Arial" w:cs="Arial"/>
          <w:sz w:val="18"/>
          <w:szCs w:val="18"/>
        </w:rPr>
        <w:t>of unsaturation</w:t>
      </w:r>
      <w:r w:rsidRPr="00267450">
        <w:rPr>
          <w:rFonts w:ascii="Arial" w:hAnsi="Arial" w:cs="Arial"/>
          <w:sz w:val="18"/>
          <w:szCs w:val="18"/>
        </w:rPr>
        <w:t xml:space="preserve"> </w:t>
      </w:r>
      <w:r>
        <w:rPr>
          <w:rFonts w:ascii="Arial" w:hAnsi="Arial" w:cs="Arial"/>
          <w:sz w:val="18"/>
          <w:szCs w:val="18"/>
        </w:rPr>
        <w:t>is</w:t>
      </w:r>
      <w:r w:rsidRPr="00267450">
        <w:rPr>
          <w:rFonts w:ascii="Arial" w:hAnsi="Arial" w:cs="Arial"/>
          <w:sz w:val="18"/>
          <w:szCs w:val="18"/>
        </w:rPr>
        <w:t xml:space="preserve"> a fundamental prerequisite for considering microalgal biomass a</w:t>
      </w:r>
      <w:r>
        <w:rPr>
          <w:rFonts w:ascii="Arial" w:hAnsi="Arial" w:cs="Arial"/>
          <w:sz w:val="18"/>
          <w:szCs w:val="18"/>
        </w:rPr>
        <w:t xml:space="preserve">s a </w:t>
      </w:r>
      <w:r w:rsidRPr="00267450">
        <w:rPr>
          <w:rFonts w:ascii="Arial" w:hAnsi="Arial" w:cs="Arial"/>
          <w:sz w:val="18"/>
          <w:szCs w:val="18"/>
        </w:rPr>
        <w:t>feedstock for biodiesel production.</w:t>
      </w:r>
      <w:r>
        <w:rPr>
          <w:rFonts w:ascii="Arial" w:hAnsi="Arial" w:cs="Arial"/>
          <w:sz w:val="18"/>
          <w:szCs w:val="18"/>
        </w:rPr>
        <w:t xml:space="preserve"> Therefore,</w:t>
      </w:r>
      <w:r w:rsidRPr="00267450">
        <w:rPr>
          <w:rFonts w:ascii="Arial" w:hAnsi="Arial" w:cs="Arial"/>
          <w:sz w:val="18"/>
          <w:szCs w:val="18"/>
        </w:rPr>
        <w:t xml:space="preserve"> </w:t>
      </w:r>
      <w:r>
        <w:rPr>
          <w:rFonts w:ascii="Arial" w:hAnsi="Arial" w:cs="Arial"/>
          <w:sz w:val="18"/>
          <w:szCs w:val="18"/>
        </w:rPr>
        <w:t xml:space="preserve">the FAME profile of </w:t>
      </w:r>
      <w:r w:rsidRPr="00267450">
        <w:rPr>
          <w:rFonts w:ascii="Arial" w:hAnsi="Arial" w:cs="Arial"/>
          <w:i/>
          <w:sz w:val="18"/>
          <w:szCs w:val="18"/>
        </w:rPr>
        <w:t>C. vulgaris</w:t>
      </w:r>
      <w:r>
        <w:rPr>
          <w:rFonts w:ascii="Arial" w:hAnsi="Arial" w:cs="Arial"/>
          <w:sz w:val="18"/>
          <w:szCs w:val="18"/>
        </w:rPr>
        <w:t xml:space="preserve">, obtained after the esterification of </w:t>
      </w:r>
      <w:r w:rsidR="005518CA">
        <w:rPr>
          <w:rFonts w:ascii="Arial" w:hAnsi="Arial" w:cs="Arial"/>
          <w:sz w:val="18"/>
          <w:szCs w:val="18"/>
        </w:rPr>
        <w:t>FAs</w:t>
      </w:r>
      <w:r w:rsidR="00306D47">
        <w:rPr>
          <w:rFonts w:ascii="Arial" w:hAnsi="Arial" w:cs="Arial"/>
          <w:sz w:val="18"/>
          <w:szCs w:val="18"/>
        </w:rPr>
        <w:t>, is reported i</w:t>
      </w:r>
      <w:r>
        <w:rPr>
          <w:rFonts w:ascii="Arial" w:hAnsi="Arial" w:cs="Arial"/>
          <w:sz w:val="18"/>
          <w:szCs w:val="18"/>
        </w:rPr>
        <w:t xml:space="preserve">n Figure </w:t>
      </w:r>
      <w:r w:rsidRPr="005518CA">
        <w:rPr>
          <w:rFonts w:ascii="Arial" w:hAnsi="Arial" w:cs="Arial"/>
          <w:sz w:val="18"/>
          <w:szCs w:val="18"/>
        </w:rPr>
        <w:t>1</w:t>
      </w:r>
      <w:r w:rsidR="00694061" w:rsidRPr="005518CA">
        <w:rPr>
          <w:rFonts w:ascii="Arial" w:hAnsi="Arial" w:cs="Arial"/>
          <w:sz w:val="18"/>
          <w:szCs w:val="18"/>
        </w:rPr>
        <w:t xml:space="preserve">. </w:t>
      </w:r>
      <w:r w:rsidR="005518CA" w:rsidRPr="005518CA">
        <w:rPr>
          <w:rFonts w:ascii="Arial" w:hAnsi="Arial" w:cs="Arial"/>
          <w:sz w:val="18"/>
          <w:szCs w:val="18"/>
        </w:rPr>
        <w:t xml:space="preserve">Both the two organic media and the control </w:t>
      </w:r>
      <w:r w:rsidR="00083A3A" w:rsidRPr="00083A3A">
        <w:rPr>
          <w:rFonts w:ascii="Arial" w:hAnsi="Arial" w:cs="Arial"/>
          <w:sz w:val="18"/>
          <w:szCs w:val="18"/>
        </w:rPr>
        <w:t>exh</w:t>
      </w:r>
      <w:r w:rsidR="005518CA" w:rsidRPr="00083A3A">
        <w:rPr>
          <w:rFonts w:ascii="Arial" w:hAnsi="Arial" w:cs="Arial"/>
          <w:sz w:val="18"/>
          <w:szCs w:val="18"/>
        </w:rPr>
        <w:t>ibithed</w:t>
      </w:r>
      <w:r w:rsidR="005518CA" w:rsidRPr="005518CA">
        <w:rPr>
          <w:rFonts w:ascii="Arial" w:hAnsi="Arial" w:cs="Arial"/>
          <w:sz w:val="18"/>
          <w:szCs w:val="18"/>
        </w:rPr>
        <w:t xml:space="preserve"> an high perentage of </w:t>
      </w:r>
      <w:r w:rsidRPr="00267450">
        <w:rPr>
          <w:rFonts w:ascii="Arial" w:hAnsi="Arial" w:cs="Arial"/>
          <w:sz w:val="18"/>
          <w:szCs w:val="18"/>
        </w:rPr>
        <w:t xml:space="preserve">long-chain compounds </w:t>
      </w:r>
      <w:r w:rsidR="005518CA">
        <w:rPr>
          <w:rFonts w:ascii="Arial" w:hAnsi="Arial" w:cs="Arial"/>
          <w:sz w:val="18"/>
          <w:szCs w:val="18"/>
        </w:rPr>
        <w:t>C16-C18</w:t>
      </w:r>
      <w:r w:rsidR="00083A3A">
        <w:rPr>
          <w:rFonts w:ascii="Arial" w:hAnsi="Arial" w:cs="Arial"/>
          <w:sz w:val="18"/>
          <w:szCs w:val="18"/>
        </w:rPr>
        <w:t xml:space="preserve"> (91.5%-95.3%</w:t>
      </w:r>
      <w:r w:rsidR="005518CA">
        <w:rPr>
          <w:rFonts w:ascii="Arial" w:hAnsi="Arial" w:cs="Arial"/>
          <w:sz w:val="18"/>
          <w:szCs w:val="18"/>
        </w:rPr>
        <w:t>)</w:t>
      </w:r>
      <w:r w:rsidRPr="00267450">
        <w:rPr>
          <w:rFonts w:ascii="Arial" w:hAnsi="Arial" w:cs="Arial"/>
          <w:sz w:val="18"/>
          <w:szCs w:val="18"/>
        </w:rPr>
        <w:t>. The most represented</w:t>
      </w:r>
      <w:r w:rsidR="005518CA">
        <w:rPr>
          <w:rFonts w:ascii="Arial" w:hAnsi="Arial" w:cs="Arial"/>
          <w:sz w:val="18"/>
          <w:szCs w:val="18"/>
        </w:rPr>
        <w:t xml:space="preserve"> FA</w:t>
      </w:r>
      <w:r w:rsidRPr="00267450">
        <w:rPr>
          <w:rFonts w:ascii="Arial" w:hAnsi="Arial" w:cs="Arial"/>
          <w:sz w:val="18"/>
          <w:szCs w:val="18"/>
        </w:rPr>
        <w:t xml:space="preserve">s </w:t>
      </w:r>
      <w:r w:rsidR="005518CA">
        <w:rPr>
          <w:rFonts w:ascii="Arial" w:hAnsi="Arial" w:cs="Arial"/>
          <w:sz w:val="18"/>
          <w:szCs w:val="18"/>
        </w:rPr>
        <w:t xml:space="preserve">for the three media </w:t>
      </w:r>
      <w:r w:rsidRPr="00267450">
        <w:rPr>
          <w:rFonts w:ascii="Arial" w:hAnsi="Arial" w:cs="Arial"/>
          <w:sz w:val="18"/>
          <w:szCs w:val="18"/>
        </w:rPr>
        <w:t xml:space="preserve">were oleic (C18:1), </w:t>
      </w:r>
      <w:r w:rsidR="005518CA" w:rsidRPr="00267450">
        <w:rPr>
          <w:rFonts w:ascii="Arial" w:hAnsi="Arial" w:cs="Arial"/>
          <w:sz w:val="18"/>
          <w:szCs w:val="18"/>
        </w:rPr>
        <w:t>palmitoleic (C16:0)</w:t>
      </w:r>
      <w:r w:rsidR="005518CA">
        <w:rPr>
          <w:rFonts w:ascii="Arial" w:hAnsi="Arial" w:cs="Arial"/>
          <w:sz w:val="18"/>
          <w:szCs w:val="18"/>
        </w:rPr>
        <w:t xml:space="preserve"> and </w:t>
      </w:r>
      <w:r w:rsidRPr="00267450">
        <w:rPr>
          <w:rFonts w:ascii="Arial" w:hAnsi="Arial" w:cs="Arial"/>
          <w:sz w:val="18"/>
          <w:szCs w:val="18"/>
        </w:rPr>
        <w:t>linoleic (C18:2)</w:t>
      </w:r>
      <w:r w:rsidR="005518CA">
        <w:rPr>
          <w:rFonts w:ascii="Arial" w:hAnsi="Arial" w:cs="Arial"/>
          <w:sz w:val="18"/>
          <w:szCs w:val="18"/>
        </w:rPr>
        <w:t xml:space="preserve"> one</w:t>
      </w:r>
      <w:r w:rsidRPr="00267450">
        <w:rPr>
          <w:rFonts w:ascii="Arial" w:hAnsi="Arial" w:cs="Arial"/>
          <w:sz w:val="18"/>
          <w:szCs w:val="18"/>
        </w:rPr>
        <w:t xml:space="preserve">s. In particular </w:t>
      </w:r>
      <w:r w:rsidR="005518CA">
        <w:rPr>
          <w:rFonts w:ascii="Arial" w:hAnsi="Arial" w:cs="Arial"/>
          <w:sz w:val="18"/>
          <w:szCs w:val="18"/>
        </w:rPr>
        <w:t>C18:1</w:t>
      </w:r>
      <w:r w:rsidRPr="00267450">
        <w:rPr>
          <w:rFonts w:ascii="Arial" w:hAnsi="Arial" w:cs="Arial"/>
          <w:sz w:val="18"/>
          <w:szCs w:val="18"/>
        </w:rPr>
        <w:t xml:space="preserve"> in</w:t>
      </w:r>
      <w:r w:rsidR="005518CA">
        <w:rPr>
          <w:rFonts w:ascii="Arial" w:hAnsi="Arial" w:cs="Arial"/>
          <w:sz w:val="18"/>
          <w:szCs w:val="18"/>
        </w:rPr>
        <w:t xml:space="preserve"> BWW and in DWW </w:t>
      </w:r>
      <w:r w:rsidRPr="00267450">
        <w:rPr>
          <w:rFonts w:ascii="Arial" w:hAnsi="Arial" w:cs="Arial"/>
          <w:sz w:val="18"/>
          <w:szCs w:val="18"/>
        </w:rPr>
        <w:t xml:space="preserve">resulted </w:t>
      </w:r>
      <w:r w:rsidR="005518CA">
        <w:rPr>
          <w:rFonts w:ascii="Arial" w:hAnsi="Arial" w:cs="Arial"/>
          <w:sz w:val="18"/>
          <w:szCs w:val="18"/>
        </w:rPr>
        <w:t xml:space="preserve">almsot doubled (42%) and greatly increased (34%) </w:t>
      </w:r>
      <w:r w:rsidRPr="00267450">
        <w:rPr>
          <w:rFonts w:ascii="Arial" w:hAnsi="Arial" w:cs="Arial"/>
          <w:sz w:val="18"/>
          <w:szCs w:val="18"/>
        </w:rPr>
        <w:t>compared to the contro</w:t>
      </w:r>
      <w:r w:rsidR="005518CA">
        <w:rPr>
          <w:rFonts w:ascii="Arial" w:hAnsi="Arial" w:cs="Arial"/>
          <w:sz w:val="18"/>
          <w:szCs w:val="18"/>
        </w:rPr>
        <w:t>l (23%)</w:t>
      </w:r>
      <w:r w:rsidRPr="00267450">
        <w:rPr>
          <w:rFonts w:ascii="Arial" w:hAnsi="Arial" w:cs="Arial"/>
          <w:sz w:val="18"/>
          <w:szCs w:val="18"/>
        </w:rPr>
        <w:t xml:space="preserve">, respectively. </w:t>
      </w:r>
      <w:r w:rsidR="00B51CA6" w:rsidRPr="00267450">
        <w:rPr>
          <w:rFonts w:ascii="Arial" w:hAnsi="Arial" w:cs="Arial"/>
          <w:sz w:val="18"/>
          <w:szCs w:val="18"/>
        </w:rPr>
        <w:t>Interestingly</w:t>
      </w:r>
      <w:r w:rsidR="00B51CA6">
        <w:rPr>
          <w:rFonts w:ascii="Arial" w:hAnsi="Arial" w:cs="Arial"/>
          <w:sz w:val="18"/>
          <w:szCs w:val="18"/>
        </w:rPr>
        <w:t xml:space="preserve">, </w:t>
      </w:r>
      <w:r w:rsidR="00083A3A" w:rsidRPr="00083A3A">
        <w:rPr>
          <w:rFonts w:ascii="Arial" w:hAnsi="Arial" w:cs="Arial"/>
          <w:sz w:val="18"/>
          <w:szCs w:val="18"/>
        </w:rPr>
        <w:t>linolenic</w:t>
      </w:r>
      <w:r w:rsidRPr="00083A3A">
        <w:rPr>
          <w:rFonts w:ascii="Arial" w:hAnsi="Arial" w:cs="Arial"/>
          <w:sz w:val="18"/>
          <w:szCs w:val="18"/>
        </w:rPr>
        <w:t xml:space="preserve"> </w:t>
      </w:r>
      <w:r w:rsidRPr="00267450">
        <w:rPr>
          <w:rFonts w:ascii="Arial" w:hAnsi="Arial" w:cs="Arial"/>
          <w:sz w:val="18"/>
          <w:szCs w:val="18"/>
        </w:rPr>
        <w:t>acid (C18</w:t>
      </w:r>
      <w:r w:rsidR="00083A3A">
        <w:rPr>
          <w:rFonts w:ascii="Arial" w:hAnsi="Arial" w:cs="Arial"/>
          <w:sz w:val="18"/>
          <w:szCs w:val="18"/>
        </w:rPr>
        <w:t>:3</w:t>
      </w:r>
      <w:r w:rsidRPr="00267450">
        <w:rPr>
          <w:rFonts w:ascii="Arial" w:hAnsi="Arial" w:cs="Arial"/>
          <w:sz w:val="18"/>
          <w:szCs w:val="18"/>
        </w:rPr>
        <w:t xml:space="preserve">) was the highest </w:t>
      </w:r>
      <w:r w:rsidR="00B51CA6">
        <w:rPr>
          <w:rFonts w:ascii="Arial" w:hAnsi="Arial" w:cs="Arial"/>
          <w:sz w:val="18"/>
          <w:szCs w:val="18"/>
        </w:rPr>
        <w:t xml:space="preserve">(13.6%) </w:t>
      </w:r>
      <w:r w:rsidRPr="00267450">
        <w:rPr>
          <w:rFonts w:ascii="Arial" w:hAnsi="Arial" w:cs="Arial"/>
          <w:sz w:val="18"/>
          <w:szCs w:val="18"/>
        </w:rPr>
        <w:t xml:space="preserve">only in </w:t>
      </w:r>
      <w:r w:rsidR="00083A3A">
        <w:rPr>
          <w:rFonts w:ascii="Arial" w:hAnsi="Arial" w:cs="Arial"/>
          <w:sz w:val="18"/>
          <w:szCs w:val="18"/>
        </w:rPr>
        <w:t xml:space="preserve">the control </w:t>
      </w:r>
      <w:r w:rsidR="00B51CA6">
        <w:rPr>
          <w:rFonts w:ascii="Arial" w:hAnsi="Arial" w:cs="Arial"/>
          <w:sz w:val="18"/>
          <w:szCs w:val="18"/>
        </w:rPr>
        <w:t xml:space="preserve">while it </w:t>
      </w:r>
      <w:r w:rsidR="00083A3A">
        <w:rPr>
          <w:rFonts w:ascii="Arial" w:hAnsi="Arial" w:cs="Arial"/>
          <w:sz w:val="18"/>
          <w:szCs w:val="18"/>
        </w:rPr>
        <w:t>was absent in the two organic media</w:t>
      </w:r>
      <w:r w:rsidR="00B51CA6">
        <w:rPr>
          <w:rFonts w:ascii="Arial" w:hAnsi="Arial" w:cs="Arial"/>
          <w:sz w:val="18"/>
          <w:szCs w:val="18"/>
        </w:rPr>
        <w:t>. T</w:t>
      </w:r>
      <w:r w:rsidRPr="00267450">
        <w:rPr>
          <w:rFonts w:ascii="Arial" w:hAnsi="Arial" w:cs="Arial"/>
          <w:sz w:val="18"/>
          <w:szCs w:val="18"/>
        </w:rPr>
        <w:t xml:space="preserve">he </w:t>
      </w:r>
      <w:r w:rsidR="00083A3A" w:rsidRPr="00083A3A">
        <w:rPr>
          <w:rFonts w:ascii="Arial" w:hAnsi="Arial" w:cs="Arial"/>
          <w:sz w:val="18"/>
          <w:szCs w:val="18"/>
          <w:shd w:val="clear" w:color="auto" w:fill="FFFFFF"/>
        </w:rPr>
        <w:t>stear</w:t>
      </w:r>
      <w:r w:rsidRPr="00083A3A">
        <w:rPr>
          <w:rFonts w:ascii="Arial" w:hAnsi="Arial" w:cs="Arial"/>
          <w:sz w:val="18"/>
          <w:szCs w:val="18"/>
          <w:shd w:val="clear" w:color="auto" w:fill="FFFFFF"/>
        </w:rPr>
        <w:t>ic</w:t>
      </w:r>
      <w:r w:rsidRPr="00267450">
        <w:rPr>
          <w:rFonts w:ascii="Arial" w:hAnsi="Arial" w:cs="Arial"/>
          <w:sz w:val="18"/>
          <w:szCs w:val="18"/>
          <w:shd w:val="clear" w:color="auto" w:fill="FFFFFF"/>
        </w:rPr>
        <w:t xml:space="preserve"> acid</w:t>
      </w:r>
      <w:r w:rsidRPr="00267450">
        <w:rPr>
          <w:rFonts w:ascii="Arial" w:hAnsi="Arial" w:cs="Arial"/>
          <w:sz w:val="18"/>
          <w:szCs w:val="18"/>
        </w:rPr>
        <w:t xml:space="preserve"> (C1</w:t>
      </w:r>
      <w:r w:rsidR="00083A3A">
        <w:rPr>
          <w:rFonts w:ascii="Arial" w:hAnsi="Arial" w:cs="Arial"/>
          <w:sz w:val="18"/>
          <w:szCs w:val="18"/>
        </w:rPr>
        <w:t>8</w:t>
      </w:r>
      <w:r w:rsidRPr="00267450">
        <w:rPr>
          <w:rFonts w:ascii="Arial" w:hAnsi="Arial" w:cs="Arial"/>
          <w:sz w:val="18"/>
          <w:szCs w:val="18"/>
        </w:rPr>
        <w:t>:</w:t>
      </w:r>
      <w:r w:rsidR="00083A3A">
        <w:rPr>
          <w:rFonts w:ascii="Arial" w:hAnsi="Arial" w:cs="Arial"/>
          <w:sz w:val="18"/>
          <w:szCs w:val="18"/>
        </w:rPr>
        <w:t>0</w:t>
      </w:r>
      <w:r w:rsidRPr="00267450">
        <w:rPr>
          <w:rFonts w:ascii="Arial" w:hAnsi="Arial" w:cs="Arial"/>
          <w:sz w:val="18"/>
          <w:szCs w:val="18"/>
        </w:rPr>
        <w:t xml:space="preserve">) resulted </w:t>
      </w:r>
      <w:r w:rsidR="00083A3A">
        <w:rPr>
          <w:rFonts w:ascii="Arial" w:hAnsi="Arial" w:cs="Arial"/>
          <w:sz w:val="18"/>
          <w:szCs w:val="18"/>
        </w:rPr>
        <w:t xml:space="preserve">higher </w:t>
      </w:r>
      <w:r w:rsidRPr="00267450">
        <w:rPr>
          <w:rFonts w:ascii="Arial" w:hAnsi="Arial" w:cs="Arial"/>
          <w:sz w:val="18"/>
          <w:szCs w:val="18"/>
        </w:rPr>
        <w:t>in DWW</w:t>
      </w:r>
      <w:r w:rsidR="00B51CA6">
        <w:rPr>
          <w:rFonts w:ascii="Arial" w:hAnsi="Arial" w:cs="Arial"/>
          <w:sz w:val="18"/>
          <w:szCs w:val="18"/>
        </w:rPr>
        <w:t xml:space="preserve"> </w:t>
      </w:r>
      <w:r w:rsidR="00083A3A">
        <w:rPr>
          <w:rFonts w:ascii="Arial" w:hAnsi="Arial" w:cs="Arial"/>
          <w:sz w:val="18"/>
          <w:szCs w:val="18"/>
        </w:rPr>
        <w:t>and BWW than the control</w:t>
      </w:r>
      <w:r w:rsidR="00B51CA6">
        <w:rPr>
          <w:rFonts w:ascii="Arial" w:hAnsi="Arial" w:cs="Arial"/>
          <w:sz w:val="18"/>
          <w:szCs w:val="18"/>
        </w:rPr>
        <w:t>,</w:t>
      </w:r>
      <w:r w:rsidRPr="00267450">
        <w:rPr>
          <w:rFonts w:ascii="Arial" w:hAnsi="Arial" w:cs="Arial"/>
          <w:sz w:val="18"/>
          <w:szCs w:val="18"/>
        </w:rPr>
        <w:t xml:space="preserve"> </w:t>
      </w:r>
      <w:r w:rsidR="00B51CA6" w:rsidRPr="00267450">
        <w:rPr>
          <w:rFonts w:ascii="Arial" w:hAnsi="Arial" w:cs="Arial"/>
          <w:sz w:val="18"/>
          <w:szCs w:val="18"/>
        </w:rPr>
        <w:t xml:space="preserve">high percentages of C16:3 were found in </w:t>
      </w:r>
      <w:r w:rsidR="00B51CA6">
        <w:rPr>
          <w:rFonts w:ascii="Arial" w:hAnsi="Arial" w:cs="Arial"/>
          <w:sz w:val="18"/>
          <w:szCs w:val="18"/>
        </w:rPr>
        <w:t>BWW</w:t>
      </w:r>
      <w:r w:rsidR="003D39BB">
        <w:rPr>
          <w:rFonts w:ascii="Arial" w:hAnsi="Arial" w:cs="Arial"/>
          <w:sz w:val="18"/>
          <w:szCs w:val="18"/>
        </w:rPr>
        <w:t xml:space="preserve"> (5.82%)</w:t>
      </w:r>
      <w:r w:rsidR="00B51CA6" w:rsidRPr="00267450">
        <w:rPr>
          <w:rFonts w:ascii="Arial" w:hAnsi="Arial" w:cs="Arial"/>
          <w:sz w:val="18"/>
          <w:szCs w:val="18"/>
        </w:rPr>
        <w:t xml:space="preserve">. On the other hand, C18:2 was reduced in </w:t>
      </w:r>
      <w:r w:rsidR="00B51CA6">
        <w:rPr>
          <w:rFonts w:ascii="Arial" w:hAnsi="Arial" w:cs="Arial"/>
          <w:sz w:val="18"/>
          <w:szCs w:val="18"/>
        </w:rPr>
        <w:t xml:space="preserve">DWW </w:t>
      </w:r>
      <w:r w:rsidR="003D39BB">
        <w:rPr>
          <w:rFonts w:ascii="Arial" w:hAnsi="Arial" w:cs="Arial"/>
          <w:sz w:val="18"/>
          <w:szCs w:val="18"/>
        </w:rPr>
        <w:t xml:space="preserve">(13.2%) </w:t>
      </w:r>
      <w:r w:rsidR="00B51CA6" w:rsidRPr="00267450">
        <w:rPr>
          <w:rFonts w:ascii="Arial" w:hAnsi="Arial" w:cs="Arial"/>
          <w:sz w:val="18"/>
          <w:szCs w:val="18"/>
        </w:rPr>
        <w:t xml:space="preserve">and increased </w:t>
      </w:r>
      <w:r w:rsidR="00B51CA6">
        <w:rPr>
          <w:rFonts w:ascii="Arial" w:hAnsi="Arial" w:cs="Arial"/>
          <w:sz w:val="18"/>
          <w:szCs w:val="18"/>
        </w:rPr>
        <w:t xml:space="preserve">in BWW </w:t>
      </w:r>
      <w:r w:rsidR="003D39BB">
        <w:rPr>
          <w:rFonts w:ascii="Arial" w:hAnsi="Arial" w:cs="Arial"/>
          <w:sz w:val="18"/>
          <w:szCs w:val="18"/>
        </w:rPr>
        <w:t xml:space="preserve">(17.1%) </w:t>
      </w:r>
      <w:r w:rsidR="00B51CA6" w:rsidRPr="00267450">
        <w:rPr>
          <w:rFonts w:ascii="Arial" w:hAnsi="Arial" w:cs="Arial"/>
          <w:sz w:val="18"/>
          <w:szCs w:val="18"/>
        </w:rPr>
        <w:t>compared to the control</w:t>
      </w:r>
      <w:r w:rsidR="003D39BB">
        <w:rPr>
          <w:rFonts w:ascii="Arial" w:hAnsi="Arial" w:cs="Arial"/>
          <w:sz w:val="18"/>
          <w:szCs w:val="18"/>
        </w:rPr>
        <w:t xml:space="preserve"> (15%)</w:t>
      </w:r>
      <w:r w:rsidR="00B51CA6" w:rsidRPr="00267450">
        <w:rPr>
          <w:rFonts w:ascii="Arial" w:hAnsi="Arial" w:cs="Arial"/>
          <w:sz w:val="18"/>
          <w:szCs w:val="18"/>
        </w:rPr>
        <w:t>, respectively</w:t>
      </w:r>
      <w:r w:rsidR="00154B9B">
        <w:rPr>
          <w:rFonts w:ascii="Arial" w:hAnsi="Arial" w:cs="Arial"/>
          <w:sz w:val="18"/>
          <w:szCs w:val="18"/>
        </w:rPr>
        <w:t>.</w:t>
      </w:r>
      <w:r w:rsidR="003D39BB">
        <w:rPr>
          <w:rFonts w:ascii="Arial" w:hAnsi="Arial" w:cs="Arial"/>
          <w:sz w:val="18"/>
          <w:szCs w:val="18"/>
        </w:rPr>
        <w:t xml:space="preserve"> </w:t>
      </w:r>
      <w:r w:rsidRPr="00267450">
        <w:rPr>
          <w:rFonts w:ascii="Arial" w:hAnsi="Arial" w:cs="Arial"/>
          <w:sz w:val="18"/>
          <w:szCs w:val="18"/>
        </w:rPr>
        <w:t>In te</w:t>
      </w:r>
      <w:r w:rsidR="003D39BB">
        <w:rPr>
          <w:rFonts w:ascii="Arial" w:hAnsi="Arial" w:cs="Arial"/>
          <w:sz w:val="18"/>
          <w:szCs w:val="18"/>
        </w:rPr>
        <w:t xml:space="preserve">rms of degree of saturation and </w:t>
      </w:r>
      <w:r w:rsidRPr="00267450">
        <w:rPr>
          <w:rFonts w:ascii="Arial" w:hAnsi="Arial" w:cs="Arial"/>
          <w:sz w:val="18"/>
          <w:szCs w:val="18"/>
        </w:rPr>
        <w:t xml:space="preserve">unsaturation the unsaturated fatty acids (UFA) represented the main components of FAMEs </w:t>
      </w:r>
      <w:r w:rsidR="003D39BB">
        <w:rPr>
          <w:rFonts w:ascii="Arial" w:hAnsi="Arial" w:cs="Arial"/>
          <w:sz w:val="18"/>
          <w:szCs w:val="18"/>
        </w:rPr>
        <w:t xml:space="preserve">in BWW (74%), the </w:t>
      </w:r>
      <w:r w:rsidRPr="00267450">
        <w:rPr>
          <w:rFonts w:ascii="Arial" w:hAnsi="Arial" w:cs="Arial"/>
          <w:sz w:val="18"/>
          <w:szCs w:val="18"/>
        </w:rPr>
        <w:t>saturated fatty acids (SFA)</w:t>
      </w:r>
      <w:r w:rsidR="003D39BB">
        <w:rPr>
          <w:rFonts w:ascii="Arial" w:hAnsi="Arial" w:cs="Arial"/>
          <w:sz w:val="18"/>
          <w:szCs w:val="18"/>
        </w:rPr>
        <w:t xml:space="preserve"> in DWW (40%)</w:t>
      </w:r>
      <w:r w:rsidRPr="00267450">
        <w:rPr>
          <w:rFonts w:ascii="Arial" w:hAnsi="Arial" w:cs="Arial"/>
          <w:sz w:val="18"/>
          <w:szCs w:val="18"/>
        </w:rPr>
        <w:t xml:space="preserve">, </w:t>
      </w:r>
      <w:r w:rsidR="003D39BB">
        <w:rPr>
          <w:rFonts w:ascii="Arial" w:hAnsi="Arial" w:cs="Arial"/>
          <w:sz w:val="18"/>
          <w:szCs w:val="18"/>
        </w:rPr>
        <w:t xml:space="preserve">the </w:t>
      </w:r>
      <w:r w:rsidRPr="00267450">
        <w:rPr>
          <w:rFonts w:ascii="Arial" w:hAnsi="Arial" w:cs="Arial"/>
          <w:sz w:val="18"/>
          <w:szCs w:val="18"/>
        </w:rPr>
        <w:t>monunsaturated fatty acids (MUFA)</w:t>
      </w:r>
      <w:r w:rsidR="003D39BB">
        <w:rPr>
          <w:rFonts w:ascii="Arial" w:hAnsi="Arial" w:cs="Arial"/>
          <w:sz w:val="18"/>
          <w:szCs w:val="18"/>
        </w:rPr>
        <w:t xml:space="preserve"> in BWW (44%)</w:t>
      </w:r>
      <w:r w:rsidRPr="00267450">
        <w:rPr>
          <w:rFonts w:ascii="Arial" w:hAnsi="Arial" w:cs="Arial"/>
          <w:sz w:val="18"/>
          <w:szCs w:val="18"/>
        </w:rPr>
        <w:t xml:space="preserve">, and polyunsaturated fatty acids (PUFA) </w:t>
      </w:r>
      <w:r w:rsidR="003D39BB">
        <w:rPr>
          <w:rFonts w:ascii="Arial" w:hAnsi="Arial" w:cs="Arial"/>
          <w:sz w:val="18"/>
          <w:szCs w:val="18"/>
        </w:rPr>
        <w:t>in the control (</w:t>
      </w:r>
      <w:r w:rsidR="003D39BB" w:rsidRPr="00745B85">
        <w:rPr>
          <w:rFonts w:ascii="Arial" w:hAnsi="Arial" w:cs="Arial"/>
          <w:sz w:val="18"/>
          <w:szCs w:val="18"/>
        </w:rPr>
        <w:t>38%)</w:t>
      </w:r>
      <w:r w:rsidRPr="00745B85">
        <w:rPr>
          <w:rFonts w:ascii="Arial" w:hAnsi="Arial" w:cs="Arial"/>
          <w:sz w:val="18"/>
          <w:szCs w:val="18"/>
        </w:rPr>
        <w:t xml:space="preserve">. </w:t>
      </w:r>
      <w:r w:rsidR="00745B85" w:rsidRPr="00745B85">
        <w:rPr>
          <w:rFonts w:ascii="Arial" w:hAnsi="Arial" w:cs="Arial"/>
          <w:color w:val="000000"/>
          <w:spacing w:val="1"/>
          <w:sz w:val="18"/>
          <w:szCs w:val="18"/>
        </w:rPr>
        <w:t xml:space="preserve">The content of total SFA (25.07%), total UFA (73.92%) and C16:0 (14.48%) found in BWW for </w:t>
      </w:r>
      <w:r w:rsidR="00745B85" w:rsidRPr="00745B85">
        <w:rPr>
          <w:rFonts w:ascii="Arial" w:hAnsi="Arial" w:cs="Arial"/>
          <w:i/>
          <w:color w:val="000000"/>
          <w:spacing w:val="1"/>
          <w:sz w:val="18"/>
          <w:szCs w:val="18"/>
        </w:rPr>
        <w:t>C. vulgaris</w:t>
      </w:r>
      <w:r w:rsidR="00745B85" w:rsidRPr="00745B85">
        <w:rPr>
          <w:rFonts w:ascii="Arial" w:hAnsi="Arial" w:cs="Arial"/>
          <w:color w:val="000000"/>
          <w:spacing w:val="1"/>
          <w:sz w:val="18"/>
          <w:szCs w:val="18"/>
        </w:rPr>
        <w:t xml:space="preserve"> was in agreement with those reported by Choi (2016) for the same strain cultivated in DWW (22.65%, 77.35%, and 14.32%, respectively).</w:t>
      </w:r>
      <w:r w:rsidR="00584390">
        <w:rPr>
          <w:rFonts w:ascii="Arial" w:hAnsi="Arial" w:cs="Arial"/>
          <w:color w:val="000000"/>
          <w:spacing w:val="1"/>
          <w:sz w:val="18"/>
          <w:szCs w:val="18"/>
        </w:rPr>
        <w:t xml:space="preserve"> </w:t>
      </w:r>
      <w:r w:rsidRPr="00267450">
        <w:rPr>
          <w:rFonts w:ascii="Arial" w:hAnsi="Arial" w:cs="Arial"/>
          <w:sz w:val="18"/>
          <w:szCs w:val="18"/>
        </w:rPr>
        <w:t>The high UFA/SFA ra</w:t>
      </w:r>
      <w:r w:rsidR="00154B9B">
        <w:rPr>
          <w:rFonts w:ascii="Arial" w:hAnsi="Arial" w:cs="Arial"/>
          <w:sz w:val="18"/>
          <w:szCs w:val="18"/>
        </w:rPr>
        <w:t>tio (</w:t>
      </w:r>
      <w:r w:rsidRPr="00267450">
        <w:rPr>
          <w:rFonts w:ascii="Arial" w:hAnsi="Arial" w:cs="Arial"/>
          <w:sz w:val="18"/>
          <w:szCs w:val="18"/>
        </w:rPr>
        <w:t>2</w:t>
      </w:r>
      <w:r w:rsidR="00154B9B">
        <w:rPr>
          <w:rFonts w:ascii="Arial" w:hAnsi="Arial" w:cs="Arial"/>
          <w:sz w:val="18"/>
          <w:szCs w:val="18"/>
        </w:rPr>
        <w:t>.95</w:t>
      </w:r>
      <w:r w:rsidRPr="00267450">
        <w:rPr>
          <w:rFonts w:ascii="Arial" w:hAnsi="Arial" w:cs="Arial"/>
          <w:sz w:val="18"/>
          <w:szCs w:val="18"/>
        </w:rPr>
        <w:t xml:space="preserve">) was obtained when </w:t>
      </w:r>
      <w:r w:rsidR="00154B9B">
        <w:rPr>
          <w:rFonts w:ascii="Arial" w:hAnsi="Arial" w:cs="Arial"/>
          <w:i/>
          <w:sz w:val="18"/>
          <w:szCs w:val="18"/>
        </w:rPr>
        <w:t>C. vulgar</w:t>
      </w:r>
      <w:r w:rsidRPr="00267450">
        <w:rPr>
          <w:rFonts w:ascii="Arial" w:hAnsi="Arial" w:cs="Arial"/>
          <w:i/>
          <w:sz w:val="18"/>
          <w:szCs w:val="18"/>
        </w:rPr>
        <w:t>is</w:t>
      </w:r>
      <w:r w:rsidR="00154B9B">
        <w:rPr>
          <w:rFonts w:ascii="Arial" w:hAnsi="Arial" w:cs="Arial"/>
          <w:sz w:val="18"/>
          <w:szCs w:val="18"/>
        </w:rPr>
        <w:t xml:space="preserve"> was cultivated in BWW</w:t>
      </w:r>
      <w:r w:rsidRPr="00267450">
        <w:rPr>
          <w:rFonts w:ascii="Arial" w:hAnsi="Arial" w:cs="Arial"/>
          <w:sz w:val="18"/>
          <w:szCs w:val="18"/>
        </w:rPr>
        <w:t xml:space="preserve">, being the saturation degree the lowest found </w:t>
      </w:r>
      <w:r w:rsidR="00154B9B">
        <w:rPr>
          <w:rFonts w:ascii="Arial" w:hAnsi="Arial" w:cs="Arial"/>
          <w:sz w:val="18"/>
          <w:szCs w:val="18"/>
        </w:rPr>
        <w:t>for this culture medium</w:t>
      </w:r>
      <w:r w:rsidRPr="00267450">
        <w:rPr>
          <w:rFonts w:ascii="Arial" w:hAnsi="Arial" w:cs="Arial"/>
          <w:sz w:val="18"/>
          <w:szCs w:val="18"/>
        </w:rPr>
        <w:t>.</w:t>
      </w:r>
      <w:r w:rsidR="00306D47">
        <w:rPr>
          <w:rFonts w:ascii="Arial" w:hAnsi="Arial" w:cs="Arial"/>
          <w:sz w:val="18"/>
          <w:szCs w:val="18"/>
        </w:rPr>
        <w:t xml:space="preserve"> </w:t>
      </w:r>
      <w:r w:rsidR="00154B9B" w:rsidRPr="00306D47">
        <w:rPr>
          <w:rFonts w:ascii="Arial" w:hAnsi="Arial" w:cs="Arial"/>
          <w:sz w:val="18"/>
          <w:szCs w:val="18"/>
        </w:rPr>
        <w:t xml:space="preserve">UFA/SFA ratio describes how SFA and UFA are distributed </w:t>
      </w:r>
      <w:r w:rsidRPr="00306D47">
        <w:rPr>
          <w:rFonts w:ascii="Arial" w:hAnsi="Arial" w:cs="Arial"/>
          <w:sz w:val="18"/>
          <w:szCs w:val="18"/>
        </w:rPr>
        <w:t>inside the cells</w:t>
      </w:r>
      <w:r w:rsidR="00154B9B" w:rsidRPr="00306D47">
        <w:rPr>
          <w:rFonts w:ascii="Arial" w:hAnsi="Arial" w:cs="Arial"/>
          <w:sz w:val="18"/>
          <w:szCs w:val="18"/>
        </w:rPr>
        <w:t>. This ratio is strictly</w:t>
      </w:r>
      <w:r w:rsidR="00306D47">
        <w:rPr>
          <w:rFonts w:ascii="Arial" w:hAnsi="Arial" w:cs="Arial"/>
          <w:sz w:val="18"/>
          <w:szCs w:val="18"/>
        </w:rPr>
        <w:t xml:space="preserve"> linked to the </w:t>
      </w:r>
      <w:r w:rsidRPr="00306D47">
        <w:rPr>
          <w:rFonts w:ascii="Arial" w:hAnsi="Arial" w:cs="Arial"/>
          <w:sz w:val="18"/>
          <w:szCs w:val="18"/>
        </w:rPr>
        <w:t>nutritional requirements of microalgae</w:t>
      </w:r>
      <w:r w:rsidR="00154B9B" w:rsidRPr="00306D47">
        <w:rPr>
          <w:rFonts w:ascii="Arial" w:hAnsi="Arial" w:cs="Arial"/>
          <w:sz w:val="18"/>
          <w:szCs w:val="18"/>
        </w:rPr>
        <w:t xml:space="preserve">, therefore to the </w:t>
      </w:r>
      <w:r w:rsidRPr="00306D47">
        <w:rPr>
          <w:rFonts w:ascii="Arial" w:hAnsi="Arial" w:cs="Arial"/>
          <w:sz w:val="18"/>
          <w:szCs w:val="18"/>
        </w:rPr>
        <w:t>culture medium</w:t>
      </w:r>
      <w:r w:rsidR="00624686" w:rsidRPr="00306D47">
        <w:rPr>
          <w:rFonts w:ascii="Arial" w:hAnsi="Arial" w:cs="Arial"/>
          <w:sz w:val="18"/>
          <w:szCs w:val="18"/>
        </w:rPr>
        <w:t xml:space="preserve">. </w:t>
      </w:r>
      <w:r w:rsidR="00BC0EFB" w:rsidRPr="00306D47">
        <w:rPr>
          <w:rFonts w:ascii="Arial" w:hAnsi="Arial" w:cs="Arial"/>
          <w:sz w:val="18"/>
          <w:szCs w:val="18"/>
        </w:rPr>
        <w:t xml:space="preserve">Microalgal metabolism can be modulated depending on the </w:t>
      </w:r>
      <w:r w:rsidRPr="00306D47">
        <w:rPr>
          <w:rFonts w:ascii="Arial" w:hAnsi="Arial" w:cs="Arial"/>
          <w:sz w:val="18"/>
          <w:szCs w:val="18"/>
        </w:rPr>
        <w:t xml:space="preserve">conditions </w:t>
      </w:r>
      <w:r w:rsidR="00BC0EFB" w:rsidRPr="00306D47">
        <w:rPr>
          <w:rFonts w:ascii="Arial" w:hAnsi="Arial" w:cs="Arial"/>
          <w:sz w:val="18"/>
          <w:szCs w:val="18"/>
        </w:rPr>
        <w:t xml:space="preserve">in which </w:t>
      </w:r>
      <w:r w:rsidRPr="00306D47">
        <w:rPr>
          <w:rFonts w:ascii="Arial" w:hAnsi="Arial" w:cs="Arial"/>
          <w:sz w:val="18"/>
          <w:szCs w:val="18"/>
        </w:rPr>
        <w:t xml:space="preserve">microalgae </w:t>
      </w:r>
      <w:r w:rsidR="00BC0EFB" w:rsidRPr="00306D47">
        <w:rPr>
          <w:rFonts w:ascii="Arial" w:hAnsi="Arial" w:cs="Arial"/>
          <w:sz w:val="18"/>
          <w:szCs w:val="18"/>
        </w:rPr>
        <w:t xml:space="preserve">are grown. In particular, lipid </w:t>
      </w:r>
      <w:r w:rsidR="00624686" w:rsidRPr="00306D47">
        <w:rPr>
          <w:rFonts w:ascii="Arial" w:hAnsi="Arial" w:cs="Arial"/>
          <w:sz w:val="18"/>
          <w:szCs w:val="18"/>
        </w:rPr>
        <w:t>composition in</w:t>
      </w:r>
      <w:r w:rsidR="00BC0EFB" w:rsidRPr="00306D47">
        <w:rPr>
          <w:rFonts w:ascii="Arial" w:hAnsi="Arial" w:cs="Arial"/>
          <w:sz w:val="18"/>
          <w:szCs w:val="18"/>
        </w:rPr>
        <w:t xml:space="preserve"> algal </w:t>
      </w:r>
      <w:r w:rsidR="00624686" w:rsidRPr="00306D47">
        <w:rPr>
          <w:rFonts w:ascii="Arial" w:hAnsi="Arial" w:cs="Arial"/>
          <w:sz w:val="18"/>
          <w:szCs w:val="18"/>
        </w:rPr>
        <w:t>membrane and cytoplasm</w:t>
      </w:r>
      <w:r w:rsidR="00BC0EFB" w:rsidRPr="00306D47">
        <w:rPr>
          <w:rFonts w:ascii="Arial" w:hAnsi="Arial" w:cs="Arial"/>
          <w:sz w:val="18"/>
          <w:szCs w:val="18"/>
        </w:rPr>
        <w:t xml:space="preserve"> </w:t>
      </w:r>
      <w:r w:rsidRPr="00306D47">
        <w:rPr>
          <w:rFonts w:ascii="Arial" w:hAnsi="Arial" w:cs="Arial"/>
          <w:sz w:val="18"/>
          <w:szCs w:val="18"/>
        </w:rPr>
        <w:t xml:space="preserve">can </w:t>
      </w:r>
      <w:r w:rsidR="00BC0EFB" w:rsidRPr="00306D47">
        <w:rPr>
          <w:rFonts w:ascii="Arial" w:hAnsi="Arial" w:cs="Arial"/>
          <w:sz w:val="18"/>
          <w:szCs w:val="18"/>
        </w:rPr>
        <w:t>be rearranged in terms</w:t>
      </w:r>
      <w:r w:rsidRPr="00306D47">
        <w:rPr>
          <w:rFonts w:ascii="Arial" w:hAnsi="Arial" w:cs="Arial"/>
          <w:sz w:val="18"/>
          <w:szCs w:val="18"/>
        </w:rPr>
        <w:t xml:space="preserve"> of </w:t>
      </w:r>
      <w:r w:rsidR="00624686" w:rsidRPr="00306D47">
        <w:rPr>
          <w:rFonts w:ascii="Arial" w:hAnsi="Arial" w:cs="Arial"/>
          <w:sz w:val="18"/>
          <w:szCs w:val="18"/>
        </w:rPr>
        <w:t>SFA</w:t>
      </w:r>
      <w:r w:rsidRPr="00306D47">
        <w:rPr>
          <w:rFonts w:ascii="Arial" w:hAnsi="Arial" w:cs="Arial"/>
          <w:sz w:val="18"/>
          <w:szCs w:val="18"/>
        </w:rPr>
        <w:t xml:space="preserve"> and </w:t>
      </w:r>
      <w:r w:rsidR="00624686" w:rsidRPr="00306D47">
        <w:rPr>
          <w:rFonts w:ascii="Arial" w:hAnsi="Arial" w:cs="Arial"/>
          <w:sz w:val="18"/>
          <w:szCs w:val="18"/>
        </w:rPr>
        <w:t>UFA</w:t>
      </w:r>
      <w:r w:rsidRPr="00306D47">
        <w:rPr>
          <w:rFonts w:ascii="Arial" w:hAnsi="Arial" w:cs="Arial"/>
          <w:sz w:val="18"/>
          <w:szCs w:val="18"/>
        </w:rPr>
        <w:t xml:space="preserve">. For example, a </w:t>
      </w:r>
      <w:r w:rsidR="00624686" w:rsidRPr="00306D47">
        <w:rPr>
          <w:rFonts w:ascii="Arial" w:hAnsi="Arial" w:cs="Arial"/>
          <w:sz w:val="18"/>
          <w:szCs w:val="18"/>
        </w:rPr>
        <w:t xml:space="preserve">redistribution, which lead to an increased SFA portion, can </w:t>
      </w:r>
      <w:r w:rsidR="0052431A" w:rsidRPr="00306D47">
        <w:rPr>
          <w:rFonts w:ascii="Arial" w:hAnsi="Arial" w:cs="Arial"/>
          <w:sz w:val="18"/>
          <w:szCs w:val="18"/>
        </w:rPr>
        <w:t xml:space="preserve">be obtained </w:t>
      </w:r>
      <w:r w:rsidR="00624686" w:rsidRPr="00306D47">
        <w:rPr>
          <w:rFonts w:ascii="Arial" w:hAnsi="Arial" w:cs="Arial"/>
          <w:sz w:val="18"/>
          <w:szCs w:val="18"/>
        </w:rPr>
        <w:t>by increasing</w:t>
      </w:r>
      <w:r w:rsidRPr="00306D47">
        <w:rPr>
          <w:rFonts w:ascii="Arial" w:hAnsi="Arial" w:cs="Arial"/>
          <w:sz w:val="18"/>
          <w:szCs w:val="18"/>
        </w:rPr>
        <w:t xml:space="preserve"> the synthesis of neutral triglycerides at the expense of polar membrane lipids (rich in UFA) which can be partially degraded</w:t>
      </w:r>
      <w:r w:rsidR="00211DB1" w:rsidRPr="00306D47">
        <w:rPr>
          <w:rFonts w:ascii="Arial" w:hAnsi="Arial" w:cs="Arial"/>
          <w:sz w:val="18"/>
          <w:szCs w:val="18"/>
        </w:rPr>
        <w:t xml:space="preserve"> (Xin et al., 2018)</w:t>
      </w:r>
      <w:r w:rsidRPr="00306D47">
        <w:rPr>
          <w:rFonts w:ascii="Arial" w:hAnsi="Arial" w:cs="Arial"/>
          <w:sz w:val="18"/>
          <w:szCs w:val="18"/>
        </w:rPr>
        <w:t xml:space="preserve">. </w:t>
      </w:r>
      <w:r w:rsidR="0052431A" w:rsidRPr="00306D47">
        <w:rPr>
          <w:rFonts w:ascii="Arial" w:hAnsi="Arial" w:cs="Arial"/>
          <w:sz w:val="18"/>
          <w:szCs w:val="18"/>
        </w:rPr>
        <w:t xml:space="preserve">This </w:t>
      </w:r>
      <w:r w:rsidRPr="00306D47">
        <w:rPr>
          <w:rFonts w:ascii="Arial" w:hAnsi="Arial" w:cs="Arial"/>
          <w:sz w:val="18"/>
          <w:szCs w:val="18"/>
        </w:rPr>
        <w:t xml:space="preserve">rearrangement of FAMEs can </w:t>
      </w:r>
      <w:r w:rsidR="0052431A" w:rsidRPr="00306D47">
        <w:rPr>
          <w:rFonts w:ascii="Arial" w:hAnsi="Arial" w:cs="Arial"/>
          <w:sz w:val="18"/>
          <w:szCs w:val="18"/>
        </w:rPr>
        <w:t xml:space="preserve">be enhanced </w:t>
      </w:r>
      <w:r w:rsidRPr="00306D47">
        <w:rPr>
          <w:rFonts w:ascii="Arial" w:hAnsi="Arial" w:cs="Arial"/>
          <w:sz w:val="18"/>
          <w:szCs w:val="18"/>
        </w:rPr>
        <w:t xml:space="preserve">under condition of nutrients starvation, such as those that can be found </w:t>
      </w:r>
      <w:r w:rsidR="0052431A" w:rsidRPr="00306D47">
        <w:rPr>
          <w:rFonts w:ascii="Arial" w:hAnsi="Arial" w:cs="Arial"/>
          <w:sz w:val="18"/>
          <w:szCs w:val="18"/>
        </w:rPr>
        <w:t xml:space="preserve">when </w:t>
      </w:r>
      <w:r w:rsidR="0052431A" w:rsidRPr="00306D47">
        <w:rPr>
          <w:rFonts w:ascii="Arial" w:hAnsi="Arial" w:cs="Arial"/>
          <w:i/>
          <w:sz w:val="18"/>
          <w:szCs w:val="18"/>
        </w:rPr>
        <w:t>C. vulgaris</w:t>
      </w:r>
      <w:r w:rsidR="0052431A" w:rsidRPr="00306D47">
        <w:rPr>
          <w:rFonts w:ascii="Arial" w:hAnsi="Arial" w:cs="Arial"/>
          <w:sz w:val="18"/>
          <w:szCs w:val="18"/>
        </w:rPr>
        <w:t xml:space="preserve"> is grown </w:t>
      </w:r>
      <w:r w:rsidRPr="00306D47">
        <w:rPr>
          <w:rFonts w:ascii="Arial" w:hAnsi="Arial" w:cs="Arial"/>
          <w:sz w:val="18"/>
          <w:szCs w:val="18"/>
        </w:rPr>
        <w:t xml:space="preserve">in DWW and </w:t>
      </w:r>
      <w:r w:rsidR="0052431A" w:rsidRPr="00306D47">
        <w:rPr>
          <w:rFonts w:ascii="Arial" w:hAnsi="Arial" w:cs="Arial"/>
          <w:sz w:val="18"/>
          <w:szCs w:val="18"/>
        </w:rPr>
        <w:t>BWW</w:t>
      </w:r>
      <w:r w:rsidRPr="00306D47">
        <w:rPr>
          <w:rFonts w:ascii="Arial" w:hAnsi="Arial" w:cs="Arial"/>
          <w:sz w:val="18"/>
          <w:szCs w:val="18"/>
        </w:rPr>
        <w:t xml:space="preserve"> media. </w:t>
      </w:r>
      <w:r w:rsidR="0052431A" w:rsidRPr="00306D47">
        <w:rPr>
          <w:rFonts w:ascii="Arial" w:hAnsi="Arial" w:cs="Arial"/>
          <w:color w:val="000000"/>
          <w:spacing w:val="1"/>
          <w:sz w:val="18"/>
          <w:szCs w:val="18"/>
        </w:rPr>
        <w:t>One of the FAs suitable</w:t>
      </w:r>
      <w:r w:rsidR="0052431A">
        <w:rPr>
          <w:rFonts w:cs="Arial"/>
          <w:color w:val="000000"/>
          <w:spacing w:val="1"/>
          <w:szCs w:val="18"/>
        </w:rPr>
        <w:t xml:space="preserve"> </w:t>
      </w:r>
      <w:r w:rsidR="0052431A" w:rsidRPr="00267450">
        <w:rPr>
          <w:rStyle w:val="fontstyle01"/>
          <w:rFonts w:ascii="Arial" w:cs="Arial" w:hint="default"/>
          <w:sz w:val="18"/>
          <w:szCs w:val="18"/>
        </w:rPr>
        <w:t xml:space="preserve">for making biodiesel </w:t>
      </w:r>
      <w:r w:rsidR="0052431A">
        <w:rPr>
          <w:rStyle w:val="fontstyle01"/>
          <w:rFonts w:ascii="Arial" w:cs="Arial" w:hint="default"/>
          <w:sz w:val="18"/>
          <w:szCs w:val="18"/>
        </w:rPr>
        <w:t>is C16:0</w:t>
      </w:r>
      <w:r w:rsidRPr="00267450">
        <w:rPr>
          <w:rStyle w:val="fontstyle01"/>
          <w:rFonts w:ascii="Arial" w:cs="Arial" w:hint="default"/>
          <w:sz w:val="18"/>
          <w:szCs w:val="18"/>
        </w:rPr>
        <w:t>. The</w:t>
      </w:r>
      <w:r w:rsidR="0052431A">
        <w:rPr>
          <w:rStyle w:val="fontstyle01"/>
          <w:rFonts w:ascii="Arial" w:cs="Arial" w:hint="default"/>
          <w:sz w:val="18"/>
          <w:szCs w:val="18"/>
        </w:rPr>
        <w:t xml:space="preserve"> content of this FA remained high in DWW while decreased in the BWW </w:t>
      </w:r>
      <w:r w:rsidRPr="00267450">
        <w:rPr>
          <w:rStyle w:val="fontstyle01"/>
          <w:rFonts w:ascii="Arial" w:cs="Arial" w:hint="default"/>
          <w:sz w:val="18"/>
          <w:szCs w:val="18"/>
        </w:rPr>
        <w:t xml:space="preserve">suggesting that the </w:t>
      </w:r>
      <w:r w:rsidR="0052431A">
        <w:rPr>
          <w:rStyle w:val="fontstyle01"/>
          <w:rFonts w:ascii="Arial" w:cs="Arial" w:hint="default"/>
          <w:sz w:val="18"/>
          <w:szCs w:val="18"/>
        </w:rPr>
        <w:t xml:space="preserve">reduced availability of macronutrients (such as N and P) in </w:t>
      </w:r>
      <w:r w:rsidR="00046DF2">
        <w:rPr>
          <w:rStyle w:val="fontstyle01"/>
          <w:rFonts w:ascii="Arial" w:cs="Arial" w:hint="default"/>
          <w:sz w:val="18"/>
          <w:szCs w:val="18"/>
        </w:rPr>
        <w:t xml:space="preserve">organic media compared to the control could influence </w:t>
      </w:r>
      <w:r w:rsidRPr="00267450">
        <w:rPr>
          <w:rStyle w:val="fontstyle01"/>
          <w:rFonts w:ascii="Arial" w:cs="Arial" w:hint="default"/>
          <w:sz w:val="18"/>
          <w:szCs w:val="18"/>
        </w:rPr>
        <w:t xml:space="preserve">the accumulation of specific </w:t>
      </w:r>
      <w:r w:rsidR="00046DF2">
        <w:rPr>
          <w:rStyle w:val="fontstyle01"/>
          <w:rFonts w:ascii="Arial" w:cs="Arial" w:hint="default"/>
          <w:sz w:val="18"/>
          <w:szCs w:val="18"/>
        </w:rPr>
        <w:t>FAs</w:t>
      </w:r>
      <w:r w:rsidRPr="00267450">
        <w:rPr>
          <w:rStyle w:val="fontstyle01"/>
          <w:rFonts w:ascii="Arial" w:cs="Arial" w:hint="default"/>
          <w:sz w:val="18"/>
          <w:szCs w:val="18"/>
        </w:rPr>
        <w:t>, such as those involved in biodiesel synthesis.</w:t>
      </w:r>
    </w:p>
    <w:p w14:paraId="6C59E7F1" w14:textId="502A1DC5" w:rsidR="00D1617E" w:rsidRPr="008515EC" w:rsidRDefault="00584390" w:rsidP="00584390">
      <w:pPr>
        <w:pStyle w:val="EndNoteBibliographyTitle"/>
        <w:spacing w:line="264" w:lineRule="auto"/>
        <w:jc w:val="left"/>
        <w:rPr>
          <w:rFonts w:ascii="Arial" w:hAnsi="Arial" w:cs="Arial"/>
          <w:sz w:val="18"/>
          <w:szCs w:val="18"/>
          <w:lang w:val="en-GB"/>
        </w:rPr>
      </w:pPr>
      <w:r>
        <w:object w:dxaOrig="7891" w:dyaOrig="5860" w14:anchorId="6289BD7A">
          <v:shape id="_x0000_i1026" type="#_x0000_t75" style="width:3in;height:161.25pt;mso-position-vertical:absolute" o:ole="">
            <v:imagedata r:id="rId12" o:title="" cropright="471f"/>
          </v:shape>
          <o:OLEObject Type="Embed" ProgID="Origin95.Graph" ShapeID="_x0000_i1026" DrawAspect="Content" ObjectID="_1708864448" r:id="rId13"/>
        </w:object>
      </w:r>
      <w:r>
        <w:object w:dxaOrig="7307" w:dyaOrig="5860" w14:anchorId="5936CC22">
          <v:shape id="_x0000_i1027" type="#_x0000_t75" style="width:195pt;height:162pt;mso-position-horizontal:absolute" o:ole="">
            <v:imagedata r:id="rId14" o:title="" cropleft="1017f" cropright="1017f"/>
          </v:shape>
          <o:OLEObject Type="Embed" ProgID="Origin95.Graph" ShapeID="_x0000_i1027" DrawAspect="Content" ObjectID="_1708864449" r:id="rId15"/>
        </w:object>
      </w:r>
    </w:p>
    <w:p w14:paraId="5023F319" w14:textId="77777777" w:rsidR="00791705" w:rsidRPr="00A61F21" w:rsidRDefault="008515EC" w:rsidP="00584390">
      <w:pPr>
        <w:pStyle w:val="EndNoteBibliographyTitle"/>
        <w:spacing w:line="264" w:lineRule="auto"/>
        <w:jc w:val="left"/>
        <w:rPr>
          <w:rFonts w:ascii="Arial" w:hAnsi="Arial" w:cs="Arial"/>
          <w:sz w:val="18"/>
          <w:szCs w:val="18"/>
        </w:rPr>
      </w:pPr>
      <w:r w:rsidRPr="00A61F21">
        <w:rPr>
          <w:rFonts w:ascii="Arial" w:hAnsi="Arial" w:cs="Arial"/>
          <w:i/>
          <w:iCs/>
          <w:sz w:val="18"/>
          <w:szCs w:val="18"/>
        </w:rPr>
        <w:t xml:space="preserve">Figure 1. </w:t>
      </w:r>
      <w:r w:rsidRPr="00A61F21">
        <w:rPr>
          <w:rFonts w:ascii="Arial" w:hAnsi="Arial" w:cs="Arial"/>
          <w:bCs/>
          <w:i/>
          <w:iCs/>
          <w:sz w:val="18"/>
          <w:szCs w:val="18"/>
        </w:rPr>
        <w:t xml:space="preserve">Fatty acids methyl ester profile (a) and general characteristics of fatty acids </w:t>
      </w:r>
      <w:r w:rsidRPr="00A61F21">
        <w:rPr>
          <w:rFonts w:ascii="Arial" w:hAnsi="Arial" w:cs="Arial"/>
          <w:i/>
          <w:iCs/>
          <w:sz w:val="18"/>
          <w:szCs w:val="18"/>
        </w:rPr>
        <w:t>(b) of C.vulgaris</w:t>
      </w:r>
    </w:p>
    <w:p w14:paraId="0E31EB50" w14:textId="77777777" w:rsidR="00732C41" w:rsidRPr="009D0379" w:rsidRDefault="009D0379" w:rsidP="00584390">
      <w:pPr>
        <w:pStyle w:val="EndNoteBibliographyTitle"/>
        <w:spacing w:line="264" w:lineRule="auto"/>
        <w:jc w:val="both"/>
        <w:rPr>
          <w:b/>
          <w:i/>
          <w:szCs w:val="24"/>
        </w:rPr>
      </w:pPr>
      <w:r w:rsidRPr="009D0379">
        <w:rPr>
          <w:rFonts w:ascii="Arial" w:hAnsi="Arial" w:cs="Arial"/>
          <w:b/>
          <w:iCs/>
          <w:sz w:val="18"/>
          <w:szCs w:val="18"/>
        </w:rPr>
        <w:lastRenderedPageBreak/>
        <w:t>3.3</w:t>
      </w:r>
      <w:r>
        <w:rPr>
          <w:rFonts w:cs="Arial"/>
          <w:b/>
          <w:iCs/>
          <w:szCs w:val="18"/>
        </w:rPr>
        <w:t xml:space="preserve"> </w:t>
      </w:r>
      <w:r w:rsidR="009027A5">
        <w:rPr>
          <w:rFonts w:ascii="Arial" w:hAnsi="Arial" w:cs="Arial"/>
          <w:b/>
          <w:iCs/>
          <w:sz w:val="18"/>
          <w:szCs w:val="18"/>
        </w:rPr>
        <w:t>Biodiesel properties based on FAME profile</w:t>
      </w:r>
    </w:p>
    <w:p w14:paraId="2C1D1EC0" w14:textId="77777777" w:rsidR="009027A5" w:rsidRDefault="009027A5" w:rsidP="00584390">
      <w:pPr>
        <w:autoSpaceDE w:val="0"/>
        <w:autoSpaceDN w:val="0"/>
        <w:adjustRightInd w:val="0"/>
        <w:rPr>
          <w:rFonts w:cs="Arial"/>
          <w:szCs w:val="18"/>
          <w:lang w:val="en-US"/>
        </w:rPr>
      </w:pPr>
      <w:r w:rsidRPr="00EF2B99">
        <w:rPr>
          <w:rFonts w:cs="Arial"/>
          <w:szCs w:val="18"/>
          <w:lang w:val="en-US"/>
        </w:rPr>
        <w:t xml:space="preserve">The possibility of using the </w:t>
      </w:r>
      <w:r w:rsidR="00EF2B99" w:rsidRPr="00EF2B99">
        <w:rPr>
          <w:rFonts w:cs="Arial"/>
          <w:szCs w:val="18"/>
          <w:lang w:val="en-US"/>
        </w:rPr>
        <w:t xml:space="preserve">FAMEs profile </w:t>
      </w:r>
      <w:r w:rsidRPr="00EF2B99">
        <w:rPr>
          <w:rFonts w:cs="Arial"/>
          <w:szCs w:val="18"/>
          <w:lang w:val="en-US"/>
        </w:rPr>
        <w:t xml:space="preserve">for </w:t>
      </w:r>
      <w:r w:rsidR="00EF2B99" w:rsidRPr="00EF2B99">
        <w:rPr>
          <w:rFonts w:cs="Arial"/>
          <w:i/>
          <w:szCs w:val="18"/>
          <w:lang w:val="en-US"/>
        </w:rPr>
        <w:t>C. vulgaris</w:t>
      </w:r>
      <w:r w:rsidR="00EF2B99">
        <w:rPr>
          <w:rFonts w:cs="Arial"/>
          <w:szCs w:val="18"/>
          <w:lang w:val="en-US"/>
        </w:rPr>
        <w:t xml:space="preserve"> cultivated under organic media </w:t>
      </w:r>
      <w:r w:rsidR="00550390">
        <w:rPr>
          <w:rFonts w:cs="Arial"/>
          <w:szCs w:val="18"/>
          <w:lang w:val="en-US"/>
        </w:rPr>
        <w:t>to evaluate</w:t>
      </w:r>
      <w:r w:rsidR="00EF2B99" w:rsidRPr="00EF2B99">
        <w:rPr>
          <w:rFonts w:cs="Arial"/>
          <w:szCs w:val="18"/>
          <w:lang w:val="en-US"/>
        </w:rPr>
        <w:t xml:space="preserve"> the feasible </w:t>
      </w:r>
      <w:r w:rsidRPr="00EF2B99">
        <w:rPr>
          <w:rFonts w:cs="Arial"/>
          <w:szCs w:val="18"/>
          <w:lang w:val="en-US"/>
        </w:rPr>
        <w:t>produc</w:t>
      </w:r>
      <w:r w:rsidR="00EF2B99" w:rsidRPr="00EF2B99">
        <w:rPr>
          <w:rFonts w:cs="Arial"/>
          <w:szCs w:val="18"/>
          <w:lang w:val="en-US"/>
        </w:rPr>
        <w:t>tion of</w:t>
      </w:r>
      <w:r w:rsidRPr="00EF2B99">
        <w:rPr>
          <w:rFonts w:cs="Arial"/>
          <w:szCs w:val="18"/>
          <w:lang w:val="en-US"/>
        </w:rPr>
        <w:t xml:space="preserve"> bio</w:t>
      </w:r>
      <w:r w:rsidR="00550390">
        <w:rPr>
          <w:rFonts w:cs="Arial"/>
          <w:szCs w:val="18"/>
          <w:lang w:val="en-US"/>
        </w:rPr>
        <w:t>diesel was further investig</w:t>
      </w:r>
      <w:r w:rsidR="00EF2B99" w:rsidRPr="00EF2B99">
        <w:rPr>
          <w:rFonts w:cs="Arial"/>
          <w:szCs w:val="18"/>
          <w:lang w:val="en-US"/>
        </w:rPr>
        <w:t xml:space="preserve">ated </w:t>
      </w:r>
      <w:r w:rsidRPr="00EF2B99">
        <w:rPr>
          <w:rFonts w:cs="Arial"/>
          <w:szCs w:val="18"/>
          <w:lang w:val="en-US"/>
        </w:rPr>
        <w:t xml:space="preserve">by taking advantage of the software Biodiesel Analyzer© Ver. 2.2. The results of such </w:t>
      </w:r>
      <w:r w:rsidR="00EF2B99" w:rsidRPr="00EF2B99">
        <w:rPr>
          <w:rFonts w:cs="Arial"/>
          <w:szCs w:val="18"/>
          <w:lang w:val="en-US"/>
        </w:rPr>
        <w:t>analysis are reported in Table 3</w:t>
      </w:r>
      <w:r w:rsidRPr="00EF2B99">
        <w:rPr>
          <w:rFonts w:cs="Arial"/>
          <w:szCs w:val="18"/>
          <w:lang w:val="en-US"/>
        </w:rPr>
        <w:t xml:space="preserve"> only with reference to the parameters for which specific prescriptions of international standards existed (cf. Table 3).</w:t>
      </w:r>
    </w:p>
    <w:p w14:paraId="7431788C" w14:textId="77777777" w:rsidR="002E1C90" w:rsidRDefault="002E1C90" w:rsidP="008515EC">
      <w:pPr>
        <w:widowControl w:val="0"/>
        <w:autoSpaceDE w:val="0"/>
        <w:autoSpaceDN w:val="0"/>
        <w:adjustRightInd w:val="0"/>
        <w:ind w:left="640" w:hanging="640"/>
        <w:rPr>
          <w:rFonts w:cs="Arial"/>
          <w:b/>
          <w:i/>
          <w:iCs/>
          <w:szCs w:val="18"/>
          <w:lang w:val="en-US"/>
        </w:rPr>
      </w:pPr>
    </w:p>
    <w:p w14:paraId="4B23F275" w14:textId="1E5311E1" w:rsidR="006870B9" w:rsidRPr="00A61F21" w:rsidRDefault="008515EC" w:rsidP="00EC7730">
      <w:pPr>
        <w:widowControl w:val="0"/>
        <w:autoSpaceDE w:val="0"/>
        <w:autoSpaceDN w:val="0"/>
        <w:adjustRightInd w:val="0"/>
        <w:ind w:left="640" w:hanging="640"/>
        <w:rPr>
          <w:rFonts w:cs="Arial"/>
          <w:i/>
          <w:iCs/>
          <w:szCs w:val="18"/>
          <w:lang w:val="en-US"/>
        </w:rPr>
      </w:pPr>
      <w:r w:rsidRPr="00A61F21">
        <w:rPr>
          <w:rFonts w:cs="Arial"/>
          <w:i/>
          <w:iCs/>
          <w:szCs w:val="18"/>
          <w:lang w:val="en-US"/>
        </w:rPr>
        <w:t>Table 3. Composition of biodi</w:t>
      </w:r>
      <w:r w:rsidR="00101EE2" w:rsidRPr="00A61F21">
        <w:rPr>
          <w:rFonts w:cs="Arial"/>
          <w:i/>
          <w:iCs/>
          <w:szCs w:val="18"/>
          <w:lang w:val="en-US"/>
        </w:rPr>
        <w:t xml:space="preserve">esels obtainable from </w:t>
      </w:r>
      <w:r w:rsidRPr="00A61F21">
        <w:rPr>
          <w:rFonts w:cs="Arial"/>
          <w:i/>
          <w:iCs/>
          <w:szCs w:val="18"/>
          <w:lang w:val="en-US"/>
        </w:rPr>
        <w:t>C.</w:t>
      </w:r>
      <w:r w:rsidR="00101EE2" w:rsidRPr="00A61F21">
        <w:rPr>
          <w:rFonts w:cs="Arial"/>
          <w:i/>
          <w:iCs/>
          <w:szCs w:val="18"/>
          <w:lang w:val="en-US"/>
        </w:rPr>
        <w:t xml:space="preserve"> </w:t>
      </w:r>
      <w:r w:rsidRPr="00A61F21">
        <w:rPr>
          <w:rFonts w:cs="Arial"/>
          <w:i/>
          <w:iCs/>
          <w:szCs w:val="18"/>
          <w:lang w:val="en-US"/>
        </w:rPr>
        <w:t>vulgaris cul</w:t>
      </w:r>
      <w:r w:rsidR="00A61F21">
        <w:rPr>
          <w:rFonts w:cs="Arial"/>
          <w:i/>
          <w:iCs/>
          <w:szCs w:val="18"/>
          <w:lang w:val="en-US"/>
        </w:rPr>
        <w:t>tivated in Doucha, BWW and, DWW</w:t>
      </w:r>
    </w:p>
    <w:tbl>
      <w:tblPr>
        <w:tblW w:w="5000" w:type="pct"/>
        <w:tblLook w:val="04E0" w:firstRow="1" w:lastRow="1" w:firstColumn="1" w:lastColumn="0" w:noHBand="0" w:noVBand="1"/>
      </w:tblPr>
      <w:tblGrid>
        <w:gridCol w:w="2367"/>
        <w:gridCol w:w="916"/>
        <w:gridCol w:w="916"/>
        <w:gridCol w:w="916"/>
        <w:gridCol w:w="863"/>
        <w:gridCol w:w="973"/>
        <w:gridCol w:w="917"/>
        <w:gridCol w:w="919"/>
      </w:tblGrid>
      <w:tr w:rsidR="008515EC" w:rsidRPr="009C1CC3" w14:paraId="7FF63CAE" w14:textId="77777777" w:rsidTr="00CA4E9A">
        <w:trPr>
          <w:trHeight w:val="284"/>
        </w:trPr>
        <w:tc>
          <w:tcPr>
            <w:tcW w:w="1077" w:type="pct"/>
            <w:tcBorders>
              <w:top w:val="single" w:sz="8" w:space="0" w:color="00B050"/>
              <w:left w:val="nil"/>
              <w:bottom w:val="single" w:sz="8" w:space="0" w:color="00B050"/>
              <w:right w:val="nil"/>
            </w:tcBorders>
            <w:shd w:val="clear" w:color="auto" w:fill="auto"/>
            <w:noWrap/>
            <w:vAlign w:val="center"/>
            <w:hideMark/>
          </w:tcPr>
          <w:p w14:paraId="3D194C45" w14:textId="77777777" w:rsidR="008515EC" w:rsidRPr="009C1CC3" w:rsidRDefault="008515EC" w:rsidP="006930B5">
            <w:pPr>
              <w:tabs>
                <w:tab w:val="clear" w:pos="7100"/>
              </w:tabs>
              <w:spacing w:line="240" w:lineRule="auto"/>
              <w:jc w:val="left"/>
              <w:rPr>
                <w:rFonts w:ascii="Times New Roman" w:hAnsi="Times New Roman"/>
                <w:szCs w:val="18"/>
                <w:lang w:val="en-US"/>
              </w:rPr>
            </w:pPr>
          </w:p>
        </w:tc>
        <w:tc>
          <w:tcPr>
            <w:tcW w:w="560" w:type="pct"/>
            <w:tcBorders>
              <w:top w:val="single" w:sz="8" w:space="0" w:color="00B050"/>
              <w:left w:val="nil"/>
              <w:bottom w:val="single" w:sz="8" w:space="0" w:color="00B050"/>
              <w:right w:val="nil"/>
            </w:tcBorders>
            <w:shd w:val="clear" w:color="auto" w:fill="auto"/>
            <w:noWrap/>
            <w:vAlign w:val="center"/>
            <w:hideMark/>
          </w:tcPr>
          <w:p w14:paraId="0E8FBDC6" w14:textId="77777777" w:rsidR="008515EC" w:rsidRPr="009C1CC3" w:rsidRDefault="008515EC" w:rsidP="006930B5">
            <w:pPr>
              <w:tabs>
                <w:tab w:val="clear" w:pos="7100"/>
              </w:tabs>
              <w:spacing w:line="240" w:lineRule="auto"/>
              <w:jc w:val="left"/>
              <w:rPr>
                <w:rFonts w:ascii="Times New Roman" w:hAnsi="Times New Roman"/>
                <w:szCs w:val="18"/>
                <w:lang w:val="en-US"/>
              </w:rPr>
            </w:pPr>
          </w:p>
        </w:tc>
        <w:tc>
          <w:tcPr>
            <w:tcW w:w="560" w:type="pct"/>
            <w:tcBorders>
              <w:top w:val="single" w:sz="8" w:space="0" w:color="00B050"/>
              <w:left w:val="nil"/>
              <w:bottom w:val="single" w:sz="8" w:space="0" w:color="00B050"/>
              <w:right w:val="nil"/>
            </w:tcBorders>
            <w:shd w:val="clear" w:color="auto" w:fill="auto"/>
            <w:noWrap/>
            <w:vAlign w:val="center"/>
            <w:hideMark/>
          </w:tcPr>
          <w:p w14:paraId="3B700C14" w14:textId="77777777" w:rsidR="008515EC" w:rsidRPr="009C1CC3" w:rsidRDefault="008515EC" w:rsidP="006930B5">
            <w:pPr>
              <w:tabs>
                <w:tab w:val="clear" w:pos="7100"/>
              </w:tabs>
              <w:spacing w:line="240" w:lineRule="auto"/>
              <w:jc w:val="left"/>
              <w:rPr>
                <w:rFonts w:ascii="Times New Roman" w:hAnsi="Times New Roman"/>
                <w:szCs w:val="18"/>
                <w:lang w:val="en-US"/>
              </w:rPr>
            </w:pPr>
          </w:p>
        </w:tc>
        <w:tc>
          <w:tcPr>
            <w:tcW w:w="560" w:type="pct"/>
            <w:tcBorders>
              <w:top w:val="single" w:sz="8" w:space="0" w:color="00B050"/>
              <w:left w:val="nil"/>
              <w:bottom w:val="single" w:sz="8" w:space="0" w:color="00B050"/>
              <w:right w:val="nil"/>
            </w:tcBorders>
            <w:shd w:val="clear" w:color="auto" w:fill="auto"/>
            <w:noWrap/>
            <w:vAlign w:val="center"/>
            <w:hideMark/>
          </w:tcPr>
          <w:p w14:paraId="548C291D" w14:textId="77777777" w:rsidR="008515EC" w:rsidRPr="009C1CC3" w:rsidRDefault="008515EC" w:rsidP="006930B5">
            <w:pPr>
              <w:tabs>
                <w:tab w:val="clear" w:pos="7100"/>
              </w:tabs>
              <w:spacing w:line="240" w:lineRule="auto"/>
              <w:jc w:val="left"/>
              <w:rPr>
                <w:rFonts w:ascii="Times New Roman" w:hAnsi="Times New Roman"/>
                <w:szCs w:val="18"/>
                <w:lang w:val="en-US"/>
              </w:rPr>
            </w:pPr>
          </w:p>
        </w:tc>
        <w:tc>
          <w:tcPr>
            <w:tcW w:w="1121" w:type="pct"/>
            <w:gridSpan w:val="2"/>
            <w:tcBorders>
              <w:top w:val="single" w:sz="8" w:space="0" w:color="00B050"/>
              <w:left w:val="nil"/>
              <w:bottom w:val="single" w:sz="8" w:space="0" w:color="00B050"/>
              <w:right w:val="nil"/>
            </w:tcBorders>
            <w:shd w:val="clear" w:color="auto" w:fill="auto"/>
            <w:noWrap/>
            <w:vAlign w:val="center"/>
            <w:hideMark/>
          </w:tcPr>
          <w:p w14:paraId="2012332D" w14:textId="77777777" w:rsidR="008515EC" w:rsidRPr="00A61F21" w:rsidRDefault="008515EC" w:rsidP="006930B5">
            <w:pPr>
              <w:tabs>
                <w:tab w:val="clear" w:pos="7100"/>
              </w:tabs>
              <w:spacing w:line="240" w:lineRule="auto"/>
              <w:jc w:val="center"/>
              <w:rPr>
                <w:rFonts w:cs="Arial"/>
                <w:bCs/>
                <w:color w:val="000000"/>
                <w:szCs w:val="18"/>
                <w:lang w:val="en-US"/>
              </w:rPr>
            </w:pPr>
            <w:r w:rsidRPr="00A61F21">
              <w:rPr>
                <w:rFonts w:cs="Arial"/>
                <w:bCs/>
                <w:color w:val="000000"/>
                <w:szCs w:val="18"/>
                <w:lang w:val="en-US" w:eastAsia="it-IT"/>
              </w:rPr>
              <w:t>ASTM  6751-12</w:t>
            </w:r>
          </w:p>
        </w:tc>
        <w:tc>
          <w:tcPr>
            <w:tcW w:w="1121" w:type="pct"/>
            <w:gridSpan w:val="2"/>
            <w:tcBorders>
              <w:top w:val="single" w:sz="8" w:space="0" w:color="00B050"/>
              <w:left w:val="nil"/>
              <w:bottom w:val="single" w:sz="8" w:space="0" w:color="00B050"/>
              <w:right w:val="nil"/>
            </w:tcBorders>
            <w:shd w:val="clear" w:color="auto" w:fill="auto"/>
            <w:noWrap/>
            <w:vAlign w:val="center"/>
            <w:hideMark/>
          </w:tcPr>
          <w:p w14:paraId="7541FF90" w14:textId="77777777" w:rsidR="008515EC" w:rsidRPr="00A61F21" w:rsidRDefault="008515EC" w:rsidP="006930B5">
            <w:pPr>
              <w:tabs>
                <w:tab w:val="clear" w:pos="7100"/>
              </w:tabs>
              <w:spacing w:line="240" w:lineRule="auto"/>
              <w:jc w:val="center"/>
              <w:rPr>
                <w:rFonts w:cs="Arial"/>
                <w:bCs/>
                <w:color w:val="000000"/>
                <w:szCs w:val="18"/>
                <w:lang w:val="en-US"/>
              </w:rPr>
            </w:pPr>
            <w:r w:rsidRPr="00A61F21">
              <w:rPr>
                <w:rFonts w:cs="Arial"/>
                <w:bCs/>
                <w:color w:val="000000"/>
                <w:szCs w:val="18"/>
                <w:lang w:val="en-US" w:eastAsia="it-IT"/>
              </w:rPr>
              <w:t>EN 14214</w:t>
            </w:r>
          </w:p>
        </w:tc>
      </w:tr>
      <w:tr w:rsidR="008515EC" w:rsidRPr="00D1775B" w14:paraId="2790E39E" w14:textId="77777777" w:rsidTr="00CA4E9A">
        <w:trPr>
          <w:trHeight w:val="284"/>
        </w:trPr>
        <w:tc>
          <w:tcPr>
            <w:tcW w:w="1077" w:type="pct"/>
            <w:tcBorders>
              <w:top w:val="single" w:sz="8" w:space="0" w:color="00B050"/>
              <w:left w:val="nil"/>
              <w:bottom w:val="single" w:sz="8" w:space="0" w:color="00B050"/>
              <w:right w:val="nil"/>
            </w:tcBorders>
            <w:shd w:val="clear" w:color="000000" w:fill="FFFFFF"/>
            <w:noWrap/>
            <w:vAlign w:val="center"/>
            <w:hideMark/>
          </w:tcPr>
          <w:p w14:paraId="2482EBB4" w14:textId="77777777" w:rsidR="008515EC" w:rsidRPr="00A61F21" w:rsidRDefault="008515EC" w:rsidP="006930B5">
            <w:pPr>
              <w:tabs>
                <w:tab w:val="clear" w:pos="7100"/>
              </w:tabs>
              <w:spacing w:line="240" w:lineRule="auto"/>
              <w:jc w:val="left"/>
              <w:rPr>
                <w:rFonts w:cs="Arial"/>
                <w:bCs/>
                <w:color w:val="000000"/>
                <w:szCs w:val="18"/>
                <w:lang w:val="en-US"/>
              </w:rPr>
            </w:pPr>
            <w:r w:rsidRPr="00A61F21">
              <w:rPr>
                <w:rFonts w:cs="Arial"/>
                <w:bCs/>
                <w:color w:val="000000"/>
                <w:szCs w:val="18"/>
                <w:lang w:val="en-US"/>
              </w:rPr>
              <w:t>Parameter</w:t>
            </w:r>
          </w:p>
        </w:tc>
        <w:tc>
          <w:tcPr>
            <w:tcW w:w="560" w:type="pct"/>
            <w:tcBorders>
              <w:top w:val="single" w:sz="8" w:space="0" w:color="00B050"/>
              <w:left w:val="nil"/>
              <w:bottom w:val="single" w:sz="8" w:space="0" w:color="00B050"/>
              <w:right w:val="nil"/>
            </w:tcBorders>
            <w:shd w:val="clear" w:color="000000" w:fill="FFFFFF"/>
            <w:noWrap/>
            <w:vAlign w:val="center"/>
            <w:hideMark/>
          </w:tcPr>
          <w:p w14:paraId="4D99220B" w14:textId="77777777" w:rsidR="008515EC" w:rsidRPr="00A61F21" w:rsidRDefault="008515EC" w:rsidP="006930B5">
            <w:pPr>
              <w:tabs>
                <w:tab w:val="clear" w:pos="7100"/>
              </w:tabs>
              <w:spacing w:line="240" w:lineRule="auto"/>
              <w:jc w:val="center"/>
              <w:rPr>
                <w:rFonts w:cs="Arial"/>
                <w:bCs/>
                <w:color w:val="000000"/>
                <w:szCs w:val="18"/>
                <w:lang w:val="en-US"/>
              </w:rPr>
            </w:pPr>
            <w:r w:rsidRPr="00A61F21">
              <w:rPr>
                <w:rFonts w:cs="Arial"/>
                <w:bCs/>
                <w:color w:val="000000"/>
                <w:szCs w:val="18"/>
                <w:lang w:val="en-US"/>
              </w:rPr>
              <w:t>Doucha</w:t>
            </w:r>
          </w:p>
        </w:tc>
        <w:tc>
          <w:tcPr>
            <w:tcW w:w="560" w:type="pct"/>
            <w:tcBorders>
              <w:top w:val="single" w:sz="8" w:space="0" w:color="00B050"/>
              <w:left w:val="nil"/>
              <w:bottom w:val="single" w:sz="8" w:space="0" w:color="00B050"/>
              <w:right w:val="nil"/>
            </w:tcBorders>
            <w:shd w:val="clear" w:color="000000" w:fill="FFFFFF"/>
            <w:noWrap/>
            <w:vAlign w:val="center"/>
            <w:hideMark/>
          </w:tcPr>
          <w:p w14:paraId="06BBEF0B" w14:textId="77777777" w:rsidR="008515EC" w:rsidRPr="00A61F21" w:rsidRDefault="008515EC" w:rsidP="006930B5">
            <w:pPr>
              <w:tabs>
                <w:tab w:val="clear" w:pos="7100"/>
              </w:tabs>
              <w:spacing w:line="240" w:lineRule="auto"/>
              <w:jc w:val="center"/>
              <w:rPr>
                <w:rFonts w:cs="Arial"/>
                <w:bCs/>
                <w:color w:val="000000"/>
                <w:szCs w:val="18"/>
                <w:lang w:val="en-US"/>
              </w:rPr>
            </w:pPr>
            <w:r w:rsidRPr="00A61F21">
              <w:rPr>
                <w:rFonts w:cs="Arial"/>
                <w:bCs/>
                <w:color w:val="000000"/>
                <w:szCs w:val="18"/>
                <w:lang w:val="en-US"/>
              </w:rPr>
              <w:t>BWW</w:t>
            </w:r>
          </w:p>
        </w:tc>
        <w:tc>
          <w:tcPr>
            <w:tcW w:w="560" w:type="pct"/>
            <w:tcBorders>
              <w:top w:val="single" w:sz="8" w:space="0" w:color="00B050"/>
              <w:left w:val="nil"/>
              <w:bottom w:val="single" w:sz="8" w:space="0" w:color="00B050"/>
              <w:right w:val="nil"/>
            </w:tcBorders>
            <w:shd w:val="clear" w:color="auto" w:fill="auto"/>
            <w:noWrap/>
            <w:vAlign w:val="center"/>
            <w:hideMark/>
          </w:tcPr>
          <w:p w14:paraId="72CE33D0" w14:textId="77777777" w:rsidR="008515EC" w:rsidRPr="00A61F21" w:rsidRDefault="008515EC" w:rsidP="006930B5">
            <w:pPr>
              <w:tabs>
                <w:tab w:val="clear" w:pos="7100"/>
              </w:tabs>
              <w:spacing w:line="240" w:lineRule="auto"/>
              <w:jc w:val="center"/>
              <w:rPr>
                <w:rFonts w:cs="Arial"/>
                <w:bCs/>
                <w:color w:val="000000"/>
                <w:szCs w:val="18"/>
                <w:lang w:val="en-US"/>
              </w:rPr>
            </w:pPr>
            <w:r w:rsidRPr="00A61F21">
              <w:rPr>
                <w:rFonts w:cs="Arial"/>
                <w:bCs/>
                <w:color w:val="000000"/>
                <w:szCs w:val="18"/>
                <w:lang w:val="en-US"/>
              </w:rPr>
              <w:t>DWW</w:t>
            </w:r>
          </w:p>
        </w:tc>
        <w:tc>
          <w:tcPr>
            <w:tcW w:w="529" w:type="pct"/>
            <w:tcBorders>
              <w:top w:val="single" w:sz="8" w:space="0" w:color="00B050"/>
              <w:left w:val="nil"/>
              <w:bottom w:val="single" w:sz="8" w:space="0" w:color="00B050"/>
              <w:right w:val="nil"/>
            </w:tcBorders>
            <w:shd w:val="clear" w:color="auto" w:fill="auto"/>
            <w:noWrap/>
            <w:vAlign w:val="center"/>
            <w:hideMark/>
          </w:tcPr>
          <w:p w14:paraId="6BA6A2F4" w14:textId="77777777" w:rsidR="008515EC" w:rsidRPr="00A61F21" w:rsidRDefault="008515EC" w:rsidP="006930B5">
            <w:pPr>
              <w:tabs>
                <w:tab w:val="clear" w:pos="7100"/>
              </w:tabs>
              <w:spacing w:line="240" w:lineRule="auto"/>
              <w:jc w:val="left"/>
              <w:rPr>
                <w:rFonts w:cs="Arial"/>
                <w:bCs/>
                <w:color w:val="000000"/>
                <w:szCs w:val="18"/>
                <w:lang w:val="en-US"/>
              </w:rPr>
            </w:pPr>
            <w:r w:rsidRPr="00A61F21">
              <w:rPr>
                <w:rFonts w:cs="Arial"/>
                <w:bCs/>
                <w:color w:val="000000"/>
                <w:szCs w:val="18"/>
                <w:lang w:val="en-US"/>
              </w:rPr>
              <w:t xml:space="preserve">Min </w:t>
            </w:r>
          </w:p>
        </w:tc>
        <w:tc>
          <w:tcPr>
            <w:tcW w:w="592" w:type="pct"/>
            <w:tcBorders>
              <w:top w:val="single" w:sz="8" w:space="0" w:color="00B050"/>
              <w:left w:val="nil"/>
              <w:bottom w:val="single" w:sz="8" w:space="0" w:color="00B050"/>
              <w:right w:val="nil"/>
            </w:tcBorders>
            <w:shd w:val="clear" w:color="000000" w:fill="FFFFFF"/>
            <w:noWrap/>
            <w:vAlign w:val="center"/>
            <w:hideMark/>
          </w:tcPr>
          <w:p w14:paraId="72C65629" w14:textId="77777777" w:rsidR="008515EC" w:rsidRPr="00A61F21" w:rsidRDefault="008515EC" w:rsidP="006930B5">
            <w:pPr>
              <w:tabs>
                <w:tab w:val="clear" w:pos="7100"/>
              </w:tabs>
              <w:spacing w:line="240" w:lineRule="auto"/>
              <w:jc w:val="center"/>
              <w:rPr>
                <w:rFonts w:cs="Arial"/>
                <w:bCs/>
                <w:color w:val="000000"/>
                <w:szCs w:val="18"/>
                <w:lang w:val="en-US"/>
              </w:rPr>
            </w:pPr>
            <w:r w:rsidRPr="00A61F21">
              <w:rPr>
                <w:rFonts w:cs="Arial"/>
                <w:bCs/>
                <w:color w:val="000000"/>
                <w:szCs w:val="18"/>
                <w:lang w:val="en-US"/>
              </w:rPr>
              <w:t xml:space="preserve">Max </w:t>
            </w:r>
          </w:p>
        </w:tc>
        <w:tc>
          <w:tcPr>
            <w:tcW w:w="560" w:type="pct"/>
            <w:tcBorders>
              <w:top w:val="single" w:sz="8" w:space="0" w:color="00B050"/>
              <w:left w:val="nil"/>
              <w:bottom w:val="single" w:sz="8" w:space="0" w:color="00B050"/>
              <w:right w:val="nil"/>
            </w:tcBorders>
            <w:shd w:val="clear" w:color="000000" w:fill="FFFFFF"/>
            <w:noWrap/>
            <w:vAlign w:val="center"/>
            <w:hideMark/>
          </w:tcPr>
          <w:p w14:paraId="3DE455E9" w14:textId="77777777" w:rsidR="008515EC" w:rsidRPr="00A61F21" w:rsidRDefault="008515EC" w:rsidP="006930B5">
            <w:pPr>
              <w:tabs>
                <w:tab w:val="clear" w:pos="7100"/>
              </w:tabs>
              <w:spacing w:line="240" w:lineRule="auto"/>
              <w:jc w:val="center"/>
              <w:rPr>
                <w:rFonts w:cs="Arial"/>
                <w:bCs/>
                <w:color w:val="000000"/>
                <w:szCs w:val="18"/>
                <w:lang w:val="en-US"/>
              </w:rPr>
            </w:pPr>
            <w:r w:rsidRPr="00A61F21">
              <w:rPr>
                <w:rFonts w:cs="Arial"/>
                <w:bCs/>
                <w:color w:val="000000"/>
                <w:szCs w:val="18"/>
                <w:lang w:val="en-US"/>
              </w:rPr>
              <w:t xml:space="preserve">Min </w:t>
            </w:r>
          </w:p>
        </w:tc>
        <w:tc>
          <w:tcPr>
            <w:tcW w:w="560" w:type="pct"/>
            <w:tcBorders>
              <w:top w:val="single" w:sz="8" w:space="0" w:color="00B050"/>
              <w:left w:val="nil"/>
              <w:bottom w:val="single" w:sz="8" w:space="0" w:color="00B050"/>
              <w:right w:val="nil"/>
            </w:tcBorders>
            <w:shd w:val="clear" w:color="000000" w:fill="FFFFFF"/>
            <w:noWrap/>
            <w:vAlign w:val="center"/>
            <w:hideMark/>
          </w:tcPr>
          <w:p w14:paraId="7BC09E96" w14:textId="77777777" w:rsidR="008515EC" w:rsidRPr="00A61F21" w:rsidRDefault="008515EC" w:rsidP="006930B5">
            <w:pPr>
              <w:tabs>
                <w:tab w:val="clear" w:pos="7100"/>
              </w:tabs>
              <w:spacing w:line="240" w:lineRule="auto"/>
              <w:jc w:val="center"/>
              <w:rPr>
                <w:rFonts w:cs="Arial"/>
                <w:bCs/>
                <w:color w:val="000000"/>
                <w:szCs w:val="18"/>
                <w:lang w:val="en-US"/>
              </w:rPr>
            </w:pPr>
            <w:r w:rsidRPr="00A61F21">
              <w:rPr>
                <w:rFonts w:cs="Arial"/>
                <w:bCs/>
                <w:color w:val="000000"/>
                <w:szCs w:val="18"/>
                <w:lang w:val="en-US"/>
              </w:rPr>
              <w:t>Max</w:t>
            </w:r>
          </w:p>
        </w:tc>
      </w:tr>
      <w:tr w:rsidR="008515EC" w:rsidRPr="00D1775B" w14:paraId="71CB2E08" w14:textId="77777777" w:rsidTr="00CA4E9A">
        <w:trPr>
          <w:trHeight w:val="284"/>
        </w:trPr>
        <w:tc>
          <w:tcPr>
            <w:tcW w:w="1077" w:type="pct"/>
            <w:tcBorders>
              <w:top w:val="nil"/>
              <w:left w:val="nil"/>
              <w:bottom w:val="nil"/>
              <w:right w:val="nil"/>
            </w:tcBorders>
            <w:shd w:val="clear" w:color="000000" w:fill="FFFFFF"/>
            <w:noWrap/>
            <w:vAlign w:val="center"/>
            <w:hideMark/>
          </w:tcPr>
          <w:p w14:paraId="7C78F970" w14:textId="77777777" w:rsidR="008515EC" w:rsidRPr="009C1CC3" w:rsidRDefault="00550390" w:rsidP="006930B5">
            <w:pPr>
              <w:tabs>
                <w:tab w:val="clear" w:pos="7100"/>
              </w:tabs>
              <w:spacing w:line="240" w:lineRule="auto"/>
              <w:jc w:val="left"/>
              <w:rPr>
                <w:rFonts w:cs="Arial"/>
                <w:color w:val="000000"/>
                <w:szCs w:val="18"/>
                <w:lang w:val="en-US"/>
              </w:rPr>
            </w:pPr>
            <w:r>
              <w:rPr>
                <w:rFonts w:cs="Arial"/>
                <w:color w:val="000000"/>
                <w:szCs w:val="18"/>
                <w:lang w:val="en-US"/>
              </w:rPr>
              <w:t xml:space="preserve">C18:3 </w:t>
            </w:r>
            <w:r w:rsidR="008515EC" w:rsidRPr="009C1CC3">
              <w:rPr>
                <w:rFonts w:cs="Arial"/>
                <w:color w:val="000000"/>
                <w:szCs w:val="18"/>
                <w:lang w:val="en-US"/>
              </w:rPr>
              <w:t>Linolenic Acid (%wt)</w:t>
            </w:r>
          </w:p>
        </w:tc>
        <w:tc>
          <w:tcPr>
            <w:tcW w:w="560" w:type="pct"/>
            <w:tcBorders>
              <w:top w:val="nil"/>
              <w:left w:val="nil"/>
              <w:bottom w:val="nil"/>
              <w:right w:val="nil"/>
            </w:tcBorders>
            <w:shd w:val="clear" w:color="000000" w:fill="FFFFFF"/>
            <w:noWrap/>
            <w:vAlign w:val="center"/>
            <w:hideMark/>
          </w:tcPr>
          <w:p w14:paraId="4806441C"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13.62</w:t>
            </w:r>
          </w:p>
        </w:tc>
        <w:tc>
          <w:tcPr>
            <w:tcW w:w="560" w:type="pct"/>
            <w:tcBorders>
              <w:top w:val="nil"/>
              <w:left w:val="nil"/>
              <w:bottom w:val="nil"/>
              <w:right w:val="nil"/>
            </w:tcBorders>
            <w:shd w:val="clear" w:color="000000" w:fill="FFFFFF"/>
            <w:noWrap/>
            <w:vAlign w:val="center"/>
            <w:hideMark/>
          </w:tcPr>
          <w:p w14:paraId="336FBAEB"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0.33</w:t>
            </w:r>
          </w:p>
        </w:tc>
        <w:tc>
          <w:tcPr>
            <w:tcW w:w="560" w:type="pct"/>
            <w:tcBorders>
              <w:top w:val="nil"/>
              <w:left w:val="nil"/>
              <w:bottom w:val="nil"/>
              <w:right w:val="nil"/>
            </w:tcBorders>
            <w:shd w:val="clear" w:color="000000" w:fill="FFFFFF"/>
            <w:noWrap/>
            <w:vAlign w:val="center"/>
            <w:hideMark/>
          </w:tcPr>
          <w:p w14:paraId="60628D8E"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0.00</w:t>
            </w:r>
          </w:p>
        </w:tc>
        <w:tc>
          <w:tcPr>
            <w:tcW w:w="529" w:type="pct"/>
            <w:tcBorders>
              <w:top w:val="nil"/>
              <w:left w:val="nil"/>
              <w:bottom w:val="nil"/>
              <w:right w:val="nil"/>
            </w:tcBorders>
            <w:shd w:val="clear" w:color="000000" w:fill="FFFFFF"/>
            <w:noWrap/>
            <w:vAlign w:val="center"/>
            <w:hideMark/>
          </w:tcPr>
          <w:p w14:paraId="3FDD65AA"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 -</w:t>
            </w:r>
          </w:p>
        </w:tc>
        <w:tc>
          <w:tcPr>
            <w:tcW w:w="592" w:type="pct"/>
            <w:tcBorders>
              <w:top w:val="nil"/>
              <w:left w:val="nil"/>
              <w:bottom w:val="nil"/>
              <w:right w:val="nil"/>
            </w:tcBorders>
            <w:shd w:val="clear" w:color="000000" w:fill="FFFFFF"/>
            <w:noWrap/>
            <w:vAlign w:val="center"/>
            <w:hideMark/>
          </w:tcPr>
          <w:p w14:paraId="2B9205DF"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w:t>
            </w:r>
          </w:p>
        </w:tc>
        <w:tc>
          <w:tcPr>
            <w:tcW w:w="560" w:type="pct"/>
            <w:tcBorders>
              <w:top w:val="nil"/>
              <w:left w:val="nil"/>
              <w:bottom w:val="nil"/>
              <w:right w:val="nil"/>
            </w:tcBorders>
            <w:shd w:val="clear" w:color="000000" w:fill="FFFFFF"/>
            <w:noWrap/>
            <w:vAlign w:val="center"/>
            <w:hideMark/>
          </w:tcPr>
          <w:p w14:paraId="1BF8110F"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w:t>
            </w:r>
          </w:p>
        </w:tc>
        <w:tc>
          <w:tcPr>
            <w:tcW w:w="560" w:type="pct"/>
            <w:tcBorders>
              <w:top w:val="nil"/>
              <w:left w:val="nil"/>
              <w:bottom w:val="nil"/>
              <w:right w:val="nil"/>
            </w:tcBorders>
            <w:shd w:val="clear" w:color="000000" w:fill="FFFFFF"/>
            <w:noWrap/>
            <w:vAlign w:val="center"/>
            <w:hideMark/>
          </w:tcPr>
          <w:p w14:paraId="16B32626"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12</w:t>
            </w:r>
          </w:p>
        </w:tc>
      </w:tr>
      <w:tr w:rsidR="008515EC" w:rsidRPr="00D1775B" w14:paraId="48C7358E" w14:textId="77777777" w:rsidTr="00CA4E9A">
        <w:trPr>
          <w:trHeight w:val="284"/>
        </w:trPr>
        <w:tc>
          <w:tcPr>
            <w:tcW w:w="1077" w:type="pct"/>
            <w:tcBorders>
              <w:top w:val="nil"/>
              <w:left w:val="nil"/>
              <w:bottom w:val="nil"/>
              <w:right w:val="nil"/>
            </w:tcBorders>
            <w:shd w:val="clear" w:color="000000" w:fill="FFFFFF"/>
            <w:noWrap/>
            <w:vAlign w:val="center"/>
            <w:hideMark/>
          </w:tcPr>
          <w:p w14:paraId="1AB1EBE2" w14:textId="77777777" w:rsidR="008515EC" w:rsidRPr="009C1CC3" w:rsidRDefault="008515EC" w:rsidP="006930B5">
            <w:pPr>
              <w:tabs>
                <w:tab w:val="clear" w:pos="7100"/>
              </w:tabs>
              <w:spacing w:line="240" w:lineRule="auto"/>
              <w:jc w:val="left"/>
              <w:rPr>
                <w:rFonts w:cs="Arial"/>
                <w:color w:val="000000"/>
                <w:szCs w:val="18"/>
                <w:lang w:val="en-US"/>
              </w:rPr>
            </w:pPr>
            <w:r w:rsidRPr="009C1CC3">
              <w:rPr>
                <w:rFonts w:cs="Arial"/>
                <w:color w:val="000000"/>
                <w:szCs w:val="18"/>
                <w:lang w:val="en-US"/>
              </w:rPr>
              <w:t>Iodine Value (/)</w:t>
            </w:r>
          </w:p>
        </w:tc>
        <w:tc>
          <w:tcPr>
            <w:tcW w:w="560" w:type="pct"/>
            <w:tcBorders>
              <w:top w:val="nil"/>
              <w:left w:val="nil"/>
              <w:bottom w:val="nil"/>
              <w:right w:val="nil"/>
            </w:tcBorders>
            <w:shd w:val="clear" w:color="000000" w:fill="FFFFFF"/>
            <w:noWrap/>
            <w:vAlign w:val="center"/>
            <w:hideMark/>
          </w:tcPr>
          <w:p w14:paraId="36B3040F"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85.16</w:t>
            </w:r>
          </w:p>
        </w:tc>
        <w:tc>
          <w:tcPr>
            <w:tcW w:w="560" w:type="pct"/>
            <w:tcBorders>
              <w:top w:val="nil"/>
              <w:left w:val="nil"/>
              <w:bottom w:val="nil"/>
              <w:right w:val="nil"/>
            </w:tcBorders>
            <w:shd w:val="clear" w:color="000000" w:fill="FFFFFF"/>
            <w:noWrap/>
            <w:vAlign w:val="center"/>
            <w:hideMark/>
          </w:tcPr>
          <w:p w14:paraId="0CAF8DD1"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75.48</w:t>
            </w:r>
          </w:p>
        </w:tc>
        <w:tc>
          <w:tcPr>
            <w:tcW w:w="560" w:type="pct"/>
            <w:tcBorders>
              <w:top w:val="nil"/>
              <w:left w:val="nil"/>
              <w:bottom w:val="nil"/>
              <w:right w:val="nil"/>
            </w:tcBorders>
            <w:shd w:val="clear" w:color="000000" w:fill="FFFFFF"/>
            <w:noWrap/>
            <w:vAlign w:val="center"/>
            <w:hideMark/>
          </w:tcPr>
          <w:p w14:paraId="45E040A6"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56.44</w:t>
            </w:r>
          </w:p>
        </w:tc>
        <w:tc>
          <w:tcPr>
            <w:tcW w:w="529" w:type="pct"/>
            <w:tcBorders>
              <w:top w:val="nil"/>
              <w:left w:val="nil"/>
              <w:bottom w:val="nil"/>
              <w:right w:val="nil"/>
            </w:tcBorders>
            <w:shd w:val="clear" w:color="000000" w:fill="FFFFFF"/>
            <w:noWrap/>
            <w:vAlign w:val="center"/>
            <w:hideMark/>
          </w:tcPr>
          <w:p w14:paraId="471D0336"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 -</w:t>
            </w:r>
          </w:p>
        </w:tc>
        <w:tc>
          <w:tcPr>
            <w:tcW w:w="592" w:type="pct"/>
            <w:tcBorders>
              <w:top w:val="nil"/>
              <w:left w:val="nil"/>
              <w:bottom w:val="nil"/>
              <w:right w:val="nil"/>
            </w:tcBorders>
            <w:shd w:val="clear" w:color="000000" w:fill="FFFFFF"/>
            <w:noWrap/>
            <w:vAlign w:val="center"/>
            <w:hideMark/>
          </w:tcPr>
          <w:p w14:paraId="3F10FF77"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w:t>
            </w:r>
          </w:p>
        </w:tc>
        <w:tc>
          <w:tcPr>
            <w:tcW w:w="560" w:type="pct"/>
            <w:tcBorders>
              <w:top w:val="nil"/>
              <w:left w:val="nil"/>
              <w:bottom w:val="nil"/>
              <w:right w:val="nil"/>
            </w:tcBorders>
            <w:shd w:val="clear" w:color="000000" w:fill="FFFFFF"/>
            <w:noWrap/>
            <w:vAlign w:val="center"/>
            <w:hideMark/>
          </w:tcPr>
          <w:p w14:paraId="0A2551B3"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w:t>
            </w:r>
          </w:p>
        </w:tc>
        <w:tc>
          <w:tcPr>
            <w:tcW w:w="560" w:type="pct"/>
            <w:tcBorders>
              <w:top w:val="nil"/>
              <w:left w:val="nil"/>
              <w:bottom w:val="nil"/>
              <w:right w:val="nil"/>
            </w:tcBorders>
            <w:shd w:val="clear" w:color="000000" w:fill="FFFFFF"/>
            <w:noWrap/>
            <w:vAlign w:val="center"/>
            <w:hideMark/>
          </w:tcPr>
          <w:p w14:paraId="54BBEEDB"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120</w:t>
            </w:r>
          </w:p>
        </w:tc>
      </w:tr>
      <w:tr w:rsidR="008515EC" w:rsidRPr="00D1775B" w14:paraId="53060F5D" w14:textId="77777777" w:rsidTr="00CA4E9A">
        <w:trPr>
          <w:trHeight w:val="284"/>
        </w:trPr>
        <w:tc>
          <w:tcPr>
            <w:tcW w:w="1077" w:type="pct"/>
            <w:tcBorders>
              <w:top w:val="nil"/>
              <w:left w:val="nil"/>
              <w:bottom w:val="nil"/>
              <w:right w:val="nil"/>
            </w:tcBorders>
            <w:shd w:val="clear" w:color="000000" w:fill="FFFFFF"/>
            <w:noWrap/>
            <w:vAlign w:val="center"/>
            <w:hideMark/>
          </w:tcPr>
          <w:p w14:paraId="1D5E54F1" w14:textId="77777777" w:rsidR="008515EC" w:rsidRPr="009C1CC3" w:rsidRDefault="008515EC" w:rsidP="006930B5">
            <w:pPr>
              <w:tabs>
                <w:tab w:val="clear" w:pos="7100"/>
              </w:tabs>
              <w:spacing w:line="240" w:lineRule="auto"/>
              <w:jc w:val="left"/>
              <w:rPr>
                <w:rFonts w:cs="Arial"/>
                <w:color w:val="000000"/>
                <w:szCs w:val="18"/>
                <w:lang w:val="en-US"/>
              </w:rPr>
            </w:pPr>
            <w:r w:rsidRPr="009C1CC3">
              <w:rPr>
                <w:rFonts w:cs="Arial"/>
                <w:color w:val="000000"/>
                <w:szCs w:val="18"/>
                <w:lang w:val="en-US"/>
              </w:rPr>
              <w:t>Cetane number (/)</w:t>
            </w:r>
          </w:p>
        </w:tc>
        <w:tc>
          <w:tcPr>
            <w:tcW w:w="560" w:type="pct"/>
            <w:tcBorders>
              <w:top w:val="nil"/>
              <w:left w:val="nil"/>
              <w:bottom w:val="nil"/>
              <w:right w:val="nil"/>
            </w:tcBorders>
            <w:shd w:val="clear" w:color="000000" w:fill="FFFFFF"/>
            <w:noWrap/>
            <w:vAlign w:val="center"/>
            <w:hideMark/>
          </w:tcPr>
          <w:p w14:paraId="46ED588C"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56.84</w:t>
            </w:r>
          </w:p>
        </w:tc>
        <w:tc>
          <w:tcPr>
            <w:tcW w:w="560" w:type="pct"/>
            <w:tcBorders>
              <w:top w:val="nil"/>
              <w:left w:val="nil"/>
              <w:bottom w:val="nil"/>
              <w:right w:val="nil"/>
            </w:tcBorders>
            <w:shd w:val="clear" w:color="000000" w:fill="FFFFFF"/>
            <w:noWrap/>
            <w:vAlign w:val="center"/>
            <w:hideMark/>
          </w:tcPr>
          <w:p w14:paraId="1A6AD924"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60.38</w:t>
            </w:r>
          </w:p>
        </w:tc>
        <w:tc>
          <w:tcPr>
            <w:tcW w:w="560" w:type="pct"/>
            <w:tcBorders>
              <w:top w:val="nil"/>
              <w:left w:val="nil"/>
              <w:bottom w:val="nil"/>
              <w:right w:val="nil"/>
            </w:tcBorders>
            <w:shd w:val="clear" w:color="000000" w:fill="FFFFFF"/>
            <w:noWrap/>
            <w:vAlign w:val="center"/>
            <w:hideMark/>
          </w:tcPr>
          <w:p w14:paraId="1018EB3C"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63.46</w:t>
            </w:r>
          </w:p>
        </w:tc>
        <w:tc>
          <w:tcPr>
            <w:tcW w:w="529" w:type="pct"/>
            <w:tcBorders>
              <w:top w:val="nil"/>
              <w:left w:val="nil"/>
              <w:bottom w:val="nil"/>
              <w:right w:val="nil"/>
            </w:tcBorders>
            <w:shd w:val="clear" w:color="000000" w:fill="FFFFFF"/>
            <w:noWrap/>
            <w:vAlign w:val="center"/>
            <w:hideMark/>
          </w:tcPr>
          <w:p w14:paraId="27051645"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47</w:t>
            </w:r>
          </w:p>
        </w:tc>
        <w:tc>
          <w:tcPr>
            <w:tcW w:w="592" w:type="pct"/>
            <w:tcBorders>
              <w:top w:val="nil"/>
              <w:left w:val="nil"/>
              <w:bottom w:val="nil"/>
              <w:right w:val="nil"/>
            </w:tcBorders>
            <w:shd w:val="clear" w:color="000000" w:fill="FFFFFF"/>
            <w:noWrap/>
            <w:vAlign w:val="center"/>
            <w:hideMark/>
          </w:tcPr>
          <w:p w14:paraId="093414C2"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w:t>
            </w:r>
          </w:p>
        </w:tc>
        <w:tc>
          <w:tcPr>
            <w:tcW w:w="560" w:type="pct"/>
            <w:tcBorders>
              <w:top w:val="nil"/>
              <w:left w:val="nil"/>
              <w:bottom w:val="nil"/>
              <w:right w:val="nil"/>
            </w:tcBorders>
            <w:shd w:val="clear" w:color="000000" w:fill="FFFFFF"/>
            <w:noWrap/>
            <w:vAlign w:val="center"/>
            <w:hideMark/>
          </w:tcPr>
          <w:p w14:paraId="2E0D1917"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51</w:t>
            </w:r>
          </w:p>
        </w:tc>
        <w:tc>
          <w:tcPr>
            <w:tcW w:w="560" w:type="pct"/>
            <w:tcBorders>
              <w:top w:val="nil"/>
              <w:left w:val="nil"/>
              <w:bottom w:val="nil"/>
              <w:right w:val="nil"/>
            </w:tcBorders>
            <w:shd w:val="clear" w:color="000000" w:fill="FFFFFF"/>
            <w:noWrap/>
            <w:vAlign w:val="center"/>
            <w:hideMark/>
          </w:tcPr>
          <w:p w14:paraId="47884D30"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w:t>
            </w:r>
          </w:p>
        </w:tc>
      </w:tr>
      <w:tr w:rsidR="008515EC" w:rsidRPr="00D1775B" w14:paraId="312B5B2B" w14:textId="77777777" w:rsidTr="00CA4E9A">
        <w:trPr>
          <w:trHeight w:val="284"/>
        </w:trPr>
        <w:tc>
          <w:tcPr>
            <w:tcW w:w="1077" w:type="pct"/>
            <w:tcBorders>
              <w:top w:val="nil"/>
              <w:left w:val="nil"/>
              <w:bottom w:val="nil"/>
              <w:right w:val="nil"/>
            </w:tcBorders>
            <w:shd w:val="clear" w:color="000000" w:fill="FFFFFF"/>
            <w:noWrap/>
            <w:vAlign w:val="center"/>
            <w:hideMark/>
          </w:tcPr>
          <w:p w14:paraId="2A885654" w14:textId="77777777" w:rsidR="008515EC" w:rsidRPr="009C1CC3" w:rsidRDefault="008515EC" w:rsidP="006930B5">
            <w:pPr>
              <w:tabs>
                <w:tab w:val="clear" w:pos="7100"/>
              </w:tabs>
              <w:spacing w:line="240" w:lineRule="auto"/>
              <w:jc w:val="left"/>
              <w:rPr>
                <w:rFonts w:cs="Arial"/>
                <w:color w:val="000000"/>
                <w:szCs w:val="18"/>
                <w:lang w:val="en-US"/>
              </w:rPr>
            </w:pPr>
            <w:r w:rsidRPr="009C1CC3">
              <w:rPr>
                <w:rFonts w:cs="Arial"/>
                <w:color w:val="000000"/>
                <w:szCs w:val="18"/>
                <w:lang w:val="en-US"/>
              </w:rPr>
              <w:t>Oxidation Stability (hr)</w:t>
            </w:r>
          </w:p>
        </w:tc>
        <w:tc>
          <w:tcPr>
            <w:tcW w:w="560" w:type="pct"/>
            <w:tcBorders>
              <w:top w:val="nil"/>
              <w:left w:val="nil"/>
              <w:bottom w:val="nil"/>
              <w:right w:val="nil"/>
            </w:tcBorders>
            <w:shd w:val="clear" w:color="000000" w:fill="FFFFFF"/>
            <w:noWrap/>
            <w:vAlign w:val="center"/>
            <w:hideMark/>
          </w:tcPr>
          <w:p w14:paraId="4B648B70"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6.70</w:t>
            </w:r>
          </w:p>
        </w:tc>
        <w:tc>
          <w:tcPr>
            <w:tcW w:w="560" w:type="pct"/>
            <w:tcBorders>
              <w:top w:val="nil"/>
              <w:left w:val="nil"/>
              <w:bottom w:val="nil"/>
              <w:right w:val="nil"/>
            </w:tcBorders>
            <w:shd w:val="clear" w:color="000000" w:fill="FFFFFF"/>
            <w:noWrap/>
            <w:vAlign w:val="center"/>
            <w:hideMark/>
          </w:tcPr>
          <w:p w14:paraId="6B4626FE"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9.28</w:t>
            </w:r>
          </w:p>
        </w:tc>
        <w:tc>
          <w:tcPr>
            <w:tcW w:w="560" w:type="pct"/>
            <w:tcBorders>
              <w:top w:val="nil"/>
              <w:left w:val="nil"/>
              <w:bottom w:val="nil"/>
              <w:right w:val="nil"/>
            </w:tcBorders>
            <w:shd w:val="clear" w:color="000000" w:fill="FFFFFF"/>
            <w:noWrap/>
            <w:vAlign w:val="center"/>
            <w:hideMark/>
          </w:tcPr>
          <w:p w14:paraId="7D52E045"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11.35</w:t>
            </w:r>
          </w:p>
        </w:tc>
        <w:tc>
          <w:tcPr>
            <w:tcW w:w="529" w:type="pct"/>
            <w:tcBorders>
              <w:top w:val="nil"/>
              <w:left w:val="nil"/>
              <w:bottom w:val="nil"/>
              <w:right w:val="nil"/>
            </w:tcBorders>
            <w:shd w:val="clear" w:color="000000" w:fill="FFFFFF"/>
            <w:noWrap/>
            <w:vAlign w:val="center"/>
            <w:hideMark/>
          </w:tcPr>
          <w:p w14:paraId="6F72BCF6"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6</w:t>
            </w:r>
          </w:p>
        </w:tc>
        <w:tc>
          <w:tcPr>
            <w:tcW w:w="592" w:type="pct"/>
            <w:tcBorders>
              <w:top w:val="nil"/>
              <w:left w:val="nil"/>
              <w:bottom w:val="nil"/>
              <w:right w:val="nil"/>
            </w:tcBorders>
            <w:shd w:val="clear" w:color="000000" w:fill="FFFFFF"/>
            <w:noWrap/>
            <w:vAlign w:val="center"/>
            <w:hideMark/>
          </w:tcPr>
          <w:p w14:paraId="1FC819FD"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 -</w:t>
            </w:r>
          </w:p>
        </w:tc>
        <w:tc>
          <w:tcPr>
            <w:tcW w:w="560" w:type="pct"/>
            <w:tcBorders>
              <w:top w:val="nil"/>
              <w:left w:val="nil"/>
              <w:bottom w:val="nil"/>
              <w:right w:val="nil"/>
            </w:tcBorders>
            <w:shd w:val="clear" w:color="000000" w:fill="FFFFFF"/>
            <w:noWrap/>
            <w:vAlign w:val="center"/>
            <w:hideMark/>
          </w:tcPr>
          <w:p w14:paraId="5A99B2AF"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8</w:t>
            </w:r>
          </w:p>
        </w:tc>
        <w:tc>
          <w:tcPr>
            <w:tcW w:w="560" w:type="pct"/>
            <w:tcBorders>
              <w:top w:val="nil"/>
              <w:left w:val="nil"/>
              <w:bottom w:val="nil"/>
              <w:right w:val="nil"/>
            </w:tcBorders>
            <w:shd w:val="clear" w:color="000000" w:fill="FFFFFF"/>
            <w:noWrap/>
            <w:vAlign w:val="center"/>
            <w:hideMark/>
          </w:tcPr>
          <w:p w14:paraId="5568D11E"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w:t>
            </w:r>
          </w:p>
        </w:tc>
      </w:tr>
      <w:tr w:rsidR="008515EC" w:rsidRPr="00D1775B" w14:paraId="415E53B1" w14:textId="77777777" w:rsidTr="00CA4E9A">
        <w:trPr>
          <w:trHeight w:val="284"/>
        </w:trPr>
        <w:tc>
          <w:tcPr>
            <w:tcW w:w="1077" w:type="pct"/>
            <w:tcBorders>
              <w:top w:val="nil"/>
              <w:left w:val="nil"/>
              <w:bottom w:val="nil"/>
              <w:right w:val="nil"/>
            </w:tcBorders>
            <w:shd w:val="clear" w:color="000000" w:fill="FFFFFF"/>
            <w:noWrap/>
            <w:vAlign w:val="center"/>
            <w:hideMark/>
          </w:tcPr>
          <w:p w14:paraId="67555058" w14:textId="77777777" w:rsidR="008515EC" w:rsidRPr="009C1CC3" w:rsidRDefault="008515EC" w:rsidP="006930B5">
            <w:pPr>
              <w:tabs>
                <w:tab w:val="clear" w:pos="7100"/>
              </w:tabs>
              <w:spacing w:line="240" w:lineRule="auto"/>
              <w:jc w:val="left"/>
              <w:rPr>
                <w:rFonts w:cs="Arial"/>
                <w:color w:val="000000"/>
                <w:szCs w:val="18"/>
                <w:lang w:val="en-US"/>
              </w:rPr>
            </w:pPr>
            <w:r w:rsidRPr="009C1CC3">
              <w:rPr>
                <w:rFonts w:cs="Arial"/>
                <w:color w:val="000000"/>
                <w:szCs w:val="18"/>
                <w:lang w:val="en-US"/>
              </w:rPr>
              <w:t>Viscosity (mm</w:t>
            </w:r>
            <w:r w:rsidRPr="009C1CC3">
              <w:rPr>
                <w:rFonts w:cs="Arial"/>
                <w:color w:val="000000"/>
                <w:szCs w:val="18"/>
                <w:vertAlign w:val="superscript"/>
                <w:lang w:val="en-US"/>
              </w:rPr>
              <w:t>2</w:t>
            </w:r>
            <w:r w:rsidRPr="009C1CC3">
              <w:rPr>
                <w:rFonts w:cs="Arial"/>
                <w:color w:val="000000"/>
                <w:szCs w:val="18"/>
                <w:lang w:val="en-US"/>
              </w:rPr>
              <w:t xml:space="preserve"> s</w:t>
            </w:r>
            <w:r w:rsidRPr="009C1CC3">
              <w:rPr>
                <w:rFonts w:cs="Arial"/>
                <w:color w:val="000000"/>
                <w:szCs w:val="18"/>
                <w:vertAlign w:val="superscript"/>
                <w:lang w:val="en-US"/>
              </w:rPr>
              <w:t>-1</w:t>
            </w:r>
            <w:r w:rsidRPr="009C1CC3">
              <w:rPr>
                <w:rFonts w:cs="Arial"/>
                <w:color w:val="000000"/>
                <w:szCs w:val="18"/>
                <w:lang w:val="en-US"/>
              </w:rPr>
              <w:t>)</w:t>
            </w:r>
          </w:p>
        </w:tc>
        <w:tc>
          <w:tcPr>
            <w:tcW w:w="560" w:type="pct"/>
            <w:tcBorders>
              <w:top w:val="nil"/>
              <w:left w:val="nil"/>
              <w:bottom w:val="nil"/>
              <w:right w:val="nil"/>
            </w:tcBorders>
            <w:shd w:val="clear" w:color="000000" w:fill="FFFFFF"/>
            <w:noWrap/>
            <w:vAlign w:val="center"/>
            <w:hideMark/>
          </w:tcPr>
          <w:p w14:paraId="4EF823FF"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3.19</w:t>
            </w:r>
          </w:p>
        </w:tc>
        <w:tc>
          <w:tcPr>
            <w:tcW w:w="560" w:type="pct"/>
            <w:tcBorders>
              <w:top w:val="nil"/>
              <w:left w:val="nil"/>
              <w:bottom w:val="nil"/>
              <w:right w:val="nil"/>
            </w:tcBorders>
            <w:shd w:val="clear" w:color="000000" w:fill="FFFFFF"/>
            <w:noWrap/>
            <w:vAlign w:val="center"/>
            <w:hideMark/>
          </w:tcPr>
          <w:p w14:paraId="2089DA49"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3.30</w:t>
            </w:r>
          </w:p>
        </w:tc>
        <w:tc>
          <w:tcPr>
            <w:tcW w:w="560" w:type="pct"/>
            <w:tcBorders>
              <w:top w:val="nil"/>
              <w:left w:val="nil"/>
              <w:bottom w:val="nil"/>
              <w:right w:val="nil"/>
            </w:tcBorders>
            <w:shd w:val="clear" w:color="000000" w:fill="FFFFFF"/>
            <w:noWrap/>
            <w:vAlign w:val="center"/>
            <w:hideMark/>
          </w:tcPr>
          <w:p w14:paraId="6387E488"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3.38</w:t>
            </w:r>
          </w:p>
        </w:tc>
        <w:tc>
          <w:tcPr>
            <w:tcW w:w="529" w:type="pct"/>
            <w:tcBorders>
              <w:top w:val="nil"/>
              <w:left w:val="nil"/>
              <w:bottom w:val="nil"/>
              <w:right w:val="nil"/>
            </w:tcBorders>
            <w:shd w:val="clear" w:color="000000" w:fill="FFFFFF"/>
            <w:noWrap/>
            <w:vAlign w:val="center"/>
            <w:hideMark/>
          </w:tcPr>
          <w:p w14:paraId="6F571037"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1.9</w:t>
            </w:r>
          </w:p>
        </w:tc>
        <w:tc>
          <w:tcPr>
            <w:tcW w:w="592" w:type="pct"/>
            <w:tcBorders>
              <w:top w:val="nil"/>
              <w:left w:val="nil"/>
              <w:bottom w:val="nil"/>
              <w:right w:val="nil"/>
            </w:tcBorders>
            <w:shd w:val="clear" w:color="000000" w:fill="FFFFFF"/>
            <w:noWrap/>
            <w:vAlign w:val="center"/>
            <w:hideMark/>
          </w:tcPr>
          <w:p w14:paraId="7A1613E0"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6</w:t>
            </w:r>
          </w:p>
        </w:tc>
        <w:tc>
          <w:tcPr>
            <w:tcW w:w="560" w:type="pct"/>
            <w:tcBorders>
              <w:top w:val="nil"/>
              <w:left w:val="nil"/>
              <w:bottom w:val="nil"/>
              <w:right w:val="nil"/>
            </w:tcBorders>
            <w:shd w:val="clear" w:color="000000" w:fill="FFFFFF"/>
            <w:noWrap/>
            <w:vAlign w:val="center"/>
            <w:hideMark/>
          </w:tcPr>
          <w:p w14:paraId="3C0568FE"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3.5</w:t>
            </w:r>
          </w:p>
        </w:tc>
        <w:tc>
          <w:tcPr>
            <w:tcW w:w="560" w:type="pct"/>
            <w:tcBorders>
              <w:top w:val="nil"/>
              <w:left w:val="nil"/>
              <w:bottom w:val="nil"/>
              <w:right w:val="nil"/>
            </w:tcBorders>
            <w:shd w:val="clear" w:color="000000" w:fill="FFFFFF"/>
            <w:noWrap/>
            <w:vAlign w:val="center"/>
            <w:hideMark/>
          </w:tcPr>
          <w:p w14:paraId="3699B26A"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5</w:t>
            </w:r>
          </w:p>
        </w:tc>
      </w:tr>
      <w:tr w:rsidR="008515EC" w:rsidRPr="00D1775B" w14:paraId="3EC443C2" w14:textId="77777777" w:rsidTr="00CA4E9A">
        <w:trPr>
          <w:trHeight w:val="284"/>
        </w:trPr>
        <w:tc>
          <w:tcPr>
            <w:tcW w:w="1077" w:type="pct"/>
            <w:tcBorders>
              <w:top w:val="nil"/>
              <w:left w:val="nil"/>
              <w:bottom w:val="single" w:sz="8" w:space="0" w:color="00B050"/>
              <w:right w:val="nil"/>
            </w:tcBorders>
            <w:shd w:val="clear" w:color="000000" w:fill="FFFFFF"/>
            <w:noWrap/>
            <w:vAlign w:val="center"/>
            <w:hideMark/>
          </w:tcPr>
          <w:p w14:paraId="5ABD7634" w14:textId="77777777" w:rsidR="008515EC" w:rsidRPr="009C1CC3" w:rsidRDefault="008515EC" w:rsidP="006930B5">
            <w:pPr>
              <w:tabs>
                <w:tab w:val="clear" w:pos="7100"/>
              </w:tabs>
              <w:spacing w:line="240" w:lineRule="auto"/>
              <w:jc w:val="left"/>
              <w:rPr>
                <w:rFonts w:cs="Arial"/>
                <w:color w:val="000000"/>
                <w:szCs w:val="18"/>
                <w:lang w:val="en-US"/>
              </w:rPr>
            </w:pPr>
            <w:r w:rsidRPr="009C1CC3">
              <w:rPr>
                <w:rFonts w:cs="Arial"/>
                <w:color w:val="000000"/>
                <w:szCs w:val="18"/>
                <w:lang w:val="en-US"/>
              </w:rPr>
              <w:t>Density (kg m</w:t>
            </w:r>
            <w:r w:rsidRPr="009C1CC3">
              <w:rPr>
                <w:rFonts w:cs="Arial"/>
                <w:color w:val="000000"/>
                <w:szCs w:val="18"/>
                <w:vertAlign w:val="superscript"/>
                <w:lang w:val="en-US"/>
              </w:rPr>
              <w:t>-3</w:t>
            </w:r>
            <w:r w:rsidRPr="009C1CC3">
              <w:rPr>
                <w:rFonts w:cs="Arial"/>
                <w:color w:val="000000"/>
                <w:szCs w:val="18"/>
                <w:lang w:val="en-US"/>
              </w:rPr>
              <w:t xml:space="preserve"> )</w:t>
            </w:r>
          </w:p>
        </w:tc>
        <w:tc>
          <w:tcPr>
            <w:tcW w:w="560" w:type="pct"/>
            <w:tcBorders>
              <w:top w:val="nil"/>
              <w:left w:val="nil"/>
              <w:bottom w:val="single" w:sz="8" w:space="0" w:color="00B050"/>
              <w:right w:val="nil"/>
            </w:tcBorders>
            <w:shd w:val="clear" w:color="000000" w:fill="FFFFFF"/>
            <w:noWrap/>
            <w:vAlign w:val="center"/>
            <w:hideMark/>
          </w:tcPr>
          <w:p w14:paraId="316C9EFB"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0.78</w:t>
            </w:r>
          </w:p>
        </w:tc>
        <w:tc>
          <w:tcPr>
            <w:tcW w:w="560" w:type="pct"/>
            <w:tcBorders>
              <w:top w:val="nil"/>
              <w:left w:val="nil"/>
              <w:bottom w:val="single" w:sz="8" w:space="0" w:color="00B050"/>
              <w:right w:val="nil"/>
            </w:tcBorders>
            <w:shd w:val="clear" w:color="000000" w:fill="FFFFFF"/>
            <w:noWrap/>
            <w:vAlign w:val="center"/>
            <w:hideMark/>
          </w:tcPr>
          <w:p w14:paraId="2F1BC0DA"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0.76</w:t>
            </w:r>
          </w:p>
        </w:tc>
        <w:tc>
          <w:tcPr>
            <w:tcW w:w="560" w:type="pct"/>
            <w:tcBorders>
              <w:top w:val="nil"/>
              <w:left w:val="nil"/>
              <w:bottom w:val="single" w:sz="8" w:space="0" w:color="00B050"/>
              <w:right w:val="nil"/>
            </w:tcBorders>
            <w:shd w:val="clear" w:color="000000" w:fill="FFFFFF"/>
            <w:noWrap/>
            <w:vAlign w:val="center"/>
            <w:hideMark/>
          </w:tcPr>
          <w:p w14:paraId="56C2317A"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0.78</w:t>
            </w:r>
          </w:p>
        </w:tc>
        <w:tc>
          <w:tcPr>
            <w:tcW w:w="529" w:type="pct"/>
            <w:tcBorders>
              <w:top w:val="nil"/>
              <w:left w:val="nil"/>
              <w:bottom w:val="single" w:sz="8" w:space="0" w:color="00B050"/>
              <w:right w:val="nil"/>
            </w:tcBorders>
            <w:shd w:val="clear" w:color="000000" w:fill="FFFFFF"/>
            <w:noWrap/>
            <w:vAlign w:val="center"/>
            <w:hideMark/>
          </w:tcPr>
          <w:p w14:paraId="72F0FDB1"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 -</w:t>
            </w:r>
          </w:p>
        </w:tc>
        <w:tc>
          <w:tcPr>
            <w:tcW w:w="592" w:type="pct"/>
            <w:tcBorders>
              <w:top w:val="nil"/>
              <w:left w:val="nil"/>
              <w:bottom w:val="single" w:sz="8" w:space="0" w:color="00B050"/>
              <w:right w:val="nil"/>
            </w:tcBorders>
            <w:shd w:val="clear" w:color="000000" w:fill="FFFFFF"/>
            <w:noWrap/>
            <w:vAlign w:val="center"/>
            <w:hideMark/>
          </w:tcPr>
          <w:p w14:paraId="2241707B"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w:t>
            </w:r>
          </w:p>
        </w:tc>
        <w:tc>
          <w:tcPr>
            <w:tcW w:w="560" w:type="pct"/>
            <w:tcBorders>
              <w:top w:val="nil"/>
              <w:left w:val="nil"/>
              <w:bottom w:val="single" w:sz="8" w:space="0" w:color="00B050"/>
              <w:right w:val="nil"/>
            </w:tcBorders>
            <w:shd w:val="clear" w:color="000000" w:fill="FFFFFF"/>
            <w:noWrap/>
            <w:vAlign w:val="center"/>
            <w:hideMark/>
          </w:tcPr>
          <w:p w14:paraId="4384D7DB"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0.86</w:t>
            </w:r>
          </w:p>
        </w:tc>
        <w:tc>
          <w:tcPr>
            <w:tcW w:w="560" w:type="pct"/>
            <w:tcBorders>
              <w:top w:val="nil"/>
              <w:left w:val="nil"/>
              <w:bottom w:val="single" w:sz="8" w:space="0" w:color="00B050"/>
              <w:right w:val="nil"/>
            </w:tcBorders>
            <w:shd w:val="clear" w:color="000000" w:fill="FFFFFF"/>
            <w:noWrap/>
            <w:vAlign w:val="center"/>
            <w:hideMark/>
          </w:tcPr>
          <w:p w14:paraId="5A59B6BC" w14:textId="77777777" w:rsidR="008515EC" w:rsidRPr="009C1CC3" w:rsidRDefault="008515EC" w:rsidP="006930B5">
            <w:pPr>
              <w:tabs>
                <w:tab w:val="clear" w:pos="7100"/>
              </w:tabs>
              <w:spacing w:line="240" w:lineRule="auto"/>
              <w:jc w:val="center"/>
              <w:rPr>
                <w:rFonts w:cs="Arial"/>
                <w:color w:val="000000"/>
                <w:szCs w:val="18"/>
                <w:lang w:val="en-US"/>
              </w:rPr>
            </w:pPr>
            <w:r w:rsidRPr="009C1CC3">
              <w:rPr>
                <w:rFonts w:cs="Arial"/>
                <w:color w:val="000000"/>
                <w:szCs w:val="18"/>
                <w:lang w:val="en-US"/>
              </w:rPr>
              <w:t>0.9</w:t>
            </w:r>
          </w:p>
        </w:tc>
      </w:tr>
    </w:tbl>
    <w:p w14:paraId="59B25137" w14:textId="77777777" w:rsidR="002E1C90" w:rsidRPr="00A90459" w:rsidRDefault="002E1C90" w:rsidP="00A90459">
      <w:pPr>
        <w:tabs>
          <w:tab w:val="clear" w:pos="7100"/>
        </w:tabs>
        <w:autoSpaceDE w:val="0"/>
        <w:autoSpaceDN w:val="0"/>
        <w:adjustRightInd w:val="0"/>
        <w:spacing w:before="120" w:after="120"/>
        <w:rPr>
          <w:rFonts w:cs="Arial"/>
          <w:szCs w:val="18"/>
        </w:rPr>
      </w:pPr>
      <w:r w:rsidRPr="002E1C90">
        <w:rPr>
          <w:rFonts w:cs="Arial"/>
          <w:szCs w:val="18"/>
        </w:rPr>
        <w:t xml:space="preserve">When </w:t>
      </w:r>
      <w:r w:rsidRPr="002E1C90">
        <w:rPr>
          <w:rFonts w:cs="Arial"/>
          <w:i/>
          <w:szCs w:val="18"/>
        </w:rPr>
        <w:t>C. vulgaris</w:t>
      </w:r>
      <w:r w:rsidRPr="002E1C90">
        <w:rPr>
          <w:rFonts w:cs="Arial"/>
          <w:szCs w:val="18"/>
        </w:rPr>
        <w:t xml:space="preserve"> was cultivated in DWW and BWW most of all the parameter values related to the biodiesel obtainable complied with the range of values prescribed by the ASTM standards (ASTM  6751-12) for unblended biodiesel. In addition, most of the prescriptions of European regulation for quality biodiesel (EN 14214 and EN 590) were fulfilled by the biodiesel obtained using </w:t>
      </w:r>
      <w:r w:rsidRPr="002E1C90">
        <w:rPr>
          <w:rFonts w:cs="Arial"/>
          <w:i/>
          <w:szCs w:val="18"/>
        </w:rPr>
        <w:t>C. vulgaris</w:t>
      </w:r>
      <w:r w:rsidRPr="002E1C90">
        <w:rPr>
          <w:rFonts w:cs="Arial"/>
          <w:szCs w:val="18"/>
        </w:rPr>
        <w:t>, except for density values which were slightly lower than the prescribed ones. In fact, according to the European standard should be in the range 0.86 – 0.9 ton m</w:t>
      </w:r>
      <w:r w:rsidRPr="002E1C90">
        <w:rPr>
          <w:rFonts w:cs="Arial"/>
          <w:szCs w:val="18"/>
          <w:vertAlign w:val="superscript"/>
        </w:rPr>
        <w:t>-3</w:t>
      </w:r>
      <w:r w:rsidR="00A90459">
        <w:rPr>
          <w:rFonts w:cs="Arial"/>
          <w:szCs w:val="18"/>
          <w:lang w:val="en-US"/>
        </w:rPr>
        <w:t xml:space="preserve">. </w:t>
      </w:r>
      <w:r w:rsidRPr="002E1C90">
        <w:rPr>
          <w:rFonts w:cs="Arial"/>
          <w:szCs w:val="18"/>
          <w:lang w:val="en-US"/>
        </w:rPr>
        <w:t xml:space="preserve">Therefore, it can be stated that the biodiesel obtainable from </w:t>
      </w:r>
      <w:r w:rsidRPr="002E1C90">
        <w:rPr>
          <w:rFonts w:cs="Arial"/>
          <w:i/>
          <w:szCs w:val="18"/>
          <w:lang w:val="en-US"/>
        </w:rPr>
        <w:t>C. vulgaris</w:t>
      </w:r>
      <w:r w:rsidRPr="002E1C90">
        <w:rPr>
          <w:rFonts w:cs="Arial"/>
          <w:szCs w:val="18"/>
          <w:lang w:val="en-US"/>
        </w:rPr>
        <w:t xml:space="preserve"> cultivated under organic media would be of particularly good quality even without blending with fossil diesel. </w:t>
      </w:r>
    </w:p>
    <w:p w14:paraId="28E27DDA" w14:textId="77777777" w:rsidR="00732C41" w:rsidRPr="008567FA" w:rsidRDefault="00732C41" w:rsidP="00732C41">
      <w:pPr>
        <w:tabs>
          <w:tab w:val="clear" w:pos="7100"/>
        </w:tabs>
        <w:autoSpaceDE w:val="0"/>
        <w:autoSpaceDN w:val="0"/>
        <w:adjustRightInd w:val="0"/>
        <w:spacing w:before="120" w:after="120"/>
        <w:rPr>
          <w:rFonts w:cs="Arial"/>
          <w:b/>
          <w:szCs w:val="18"/>
        </w:rPr>
      </w:pPr>
      <w:r w:rsidRPr="008567FA">
        <w:rPr>
          <w:rFonts w:cs="Arial"/>
          <w:b/>
          <w:szCs w:val="18"/>
        </w:rPr>
        <w:t>Conclusions</w:t>
      </w:r>
    </w:p>
    <w:p w14:paraId="1402E9FE" w14:textId="77777777" w:rsidR="00757647" w:rsidRPr="00A90459" w:rsidRDefault="00183380" w:rsidP="00A90459">
      <w:pPr>
        <w:rPr>
          <w:rFonts w:cs="Arial"/>
          <w:szCs w:val="18"/>
        </w:rPr>
      </w:pPr>
      <w:r>
        <w:rPr>
          <w:rFonts w:cs="Arial"/>
          <w:szCs w:val="18"/>
        </w:rPr>
        <w:t>Two o</w:t>
      </w:r>
      <w:r w:rsidR="002E1C90" w:rsidRPr="002E1C90">
        <w:rPr>
          <w:rFonts w:cs="Arial"/>
          <w:szCs w:val="18"/>
        </w:rPr>
        <w:t xml:space="preserve">rganic sources of waste have been investigated to improve </w:t>
      </w:r>
      <w:r>
        <w:rPr>
          <w:rFonts w:cs="Arial"/>
          <w:szCs w:val="18"/>
        </w:rPr>
        <w:t>biomass</w:t>
      </w:r>
      <w:r w:rsidR="002E1C90" w:rsidRPr="002E1C90">
        <w:rPr>
          <w:rFonts w:cs="Arial"/>
          <w:szCs w:val="18"/>
        </w:rPr>
        <w:t xml:space="preserve"> </w:t>
      </w:r>
      <w:r>
        <w:rPr>
          <w:rFonts w:cs="Arial"/>
          <w:szCs w:val="18"/>
        </w:rPr>
        <w:t>production</w:t>
      </w:r>
      <w:r w:rsidR="002E1C90" w:rsidRPr="002E1C90">
        <w:rPr>
          <w:rFonts w:cs="Arial"/>
          <w:szCs w:val="18"/>
        </w:rPr>
        <w:t xml:space="preserve"> and FAME profile by </w:t>
      </w:r>
      <w:r>
        <w:rPr>
          <w:rFonts w:cs="Arial"/>
          <w:i/>
          <w:szCs w:val="18"/>
        </w:rPr>
        <w:t>C. vulgar</w:t>
      </w:r>
      <w:r w:rsidR="002E1C90" w:rsidRPr="002E1C90">
        <w:rPr>
          <w:rFonts w:cs="Arial"/>
          <w:i/>
          <w:szCs w:val="18"/>
        </w:rPr>
        <w:t>is</w:t>
      </w:r>
      <w:r w:rsidR="002E1C90" w:rsidRPr="002E1C90">
        <w:rPr>
          <w:rFonts w:cs="Arial"/>
          <w:szCs w:val="18"/>
        </w:rPr>
        <w:t xml:space="preserve">. The results demonstrated that </w:t>
      </w:r>
      <w:r>
        <w:rPr>
          <w:rFonts w:cs="Arial"/>
          <w:szCs w:val="18"/>
        </w:rPr>
        <w:t>B</w:t>
      </w:r>
      <w:r w:rsidR="002E1C90" w:rsidRPr="002E1C90">
        <w:rPr>
          <w:rFonts w:cs="Arial"/>
          <w:szCs w:val="18"/>
        </w:rPr>
        <w:t xml:space="preserve">WW and </w:t>
      </w:r>
      <w:r>
        <w:rPr>
          <w:rFonts w:cs="Arial"/>
          <w:szCs w:val="18"/>
        </w:rPr>
        <w:t>DWW</w:t>
      </w:r>
      <w:r w:rsidR="002E1C90" w:rsidRPr="002E1C90">
        <w:rPr>
          <w:rFonts w:cs="Arial"/>
          <w:szCs w:val="18"/>
        </w:rPr>
        <w:t xml:space="preserve"> media could represent a costless resource </w:t>
      </w:r>
      <w:r>
        <w:rPr>
          <w:rFonts w:cs="Arial"/>
          <w:szCs w:val="18"/>
        </w:rPr>
        <w:t xml:space="preserve">of organic nutrients </w:t>
      </w:r>
      <w:r w:rsidR="002E1C90" w:rsidRPr="002E1C90">
        <w:rPr>
          <w:rFonts w:cs="Arial"/>
          <w:szCs w:val="18"/>
        </w:rPr>
        <w:t xml:space="preserve">able to </w:t>
      </w:r>
      <w:r>
        <w:rPr>
          <w:rFonts w:cs="Arial"/>
          <w:szCs w:val="18"/>
        </w:rPr>
        <w:t>trigger biomass production</w:t>
      </w:r>
      <w:r w:rsidR="002E1C90" w:rsidRPr="002E1C90">
        <w:rPr>
          <w:rFonts w:cs="Arial"/>
          <w:szCs w:val="18"/>
        </w:rPr>
        <w:t xml:space="preserve"> </w:t>
      </w:r>
      <w:r w:rsidRPr="002E1C90">
        <w:rPr>
          <w:rFonts w:cs="Arial"/>
          <w:szCs w:val="18"/>
        </w:rPr>
        <w:t>(1.76 g L</w:t>
      </w:r>
      <w:r w:rsidRPr="002E1C90">
        <w:rPr>
          <w:rFonts w:cs="Arial"/>
          <w:szCs w:val="18"/>
          <w:vertAlign w:val="superscript"/>
        </w:rPr>
        <w:t>-1</w:t>
      </w:r>
      <w:r w:rsidRPr="002E1C90">
        <w:rPr>
          <w:rFonts w:cs="Arial"/>
          <w:szCs w:val="18"/>
        </w:rPr>
        <w:t xml:space="preserve"> and 1.56 g L</w:t>
      </w:r>
      <w:r w:rsidRPr="002E1C90">
        <w:rPr>
          <w:rFonts w:cs="Arial"/>
          <w:szCs w:val="18"/>
          <w:vertAlign w:val="superscript"/>
        </w:rPr>
        <w:t>-1</w:t>
      </w:r>
      <w:r w:rsidRPr="00183380">
        <w:rPr>
          <w:rFonts w:cs="Arial"/>
          <w:szCs w:val="18"/>
        </w:rPr>
        <w:t>)</w:t>
      </w:r>
      <w:r>
        <w:rPr>
          <w:rFonts w:cs="Arial"/>
          <w:szCs w:val="18"/>
          <w:vertAlign w:val="superscript"/>
        </w:rPr>
        <w:t xml:space="preserve"> </w:t>
      </w:r>
      <w:r w:rsidR="002E1C90" w:rsidRPr="002E1C90">
        <w:rPr>
          <w:rFonts w:cs="Arial"/>
          <w:szCs w:val="18"/>
        </w:rPr>
        <w:t xml:space="preserve">of this microalgal strain. As far as the FAME profile is concerned, </w:t>
      </w:r>
      <w:r>
        <w:rPr>
          <w:rFonts w:cs="Arial"/>
          <w:i/>
          <w:szCs w:val="18"/>
        </w:rPr>
        <w:t>C. vulgar</w:t>
      </w:r>
      <w:r w:rsidR="002E1C90" w:rsidRPr="002E1C90">
        <w:rPr>
          <w:rFonts w:cs="Arial"/>
          <w:i/>
          <w:szCs w:val="18"/>
        </w:rPr>
        <w:t xml:space="preserve">is </w:t>
      </w:r>
      <w:r w:rsidR="002E1C90" w:rsidRPr="002E1C90">
        <w:rPr>
          <w:rFonts w:cs="Arial"/>
          <w:szCs w:val="18"/>
        </w:rPr>
        <w:t xml:space="preserve">was able to modify its internal metabolism to achieve an improvement in </w:t>
      </w:r>
      <w:r>
        <w:rPr>
          <w:rFonts w:cs="Arial"/>
          <w:szCs w:val="18"/>
        </w:rPr>
        <w:t>terms of unsaturation</w:t>
      </w:r>
      <w:r w:rsidR="002E1C90" w:rsidRPr="002E1C90">
        <w:rPr>
          <w:rFonts w:cs="Arial"/>
          <w:szCs w:val="18"/>
        </w:rPr>
        <w:t xml:space="preserve"> based on the </w:t>
      </w:r>
      <w:r>
        <w:rPr>
          <w:rFonts w:cs="Arial"/>
          <w:szCs w:val="18"/>
        </w:rPr>
        <w:t>two organic media</w:t>
      </w:r>
      <w:r w:rsidR="002E1C90" w:rsidRPr="002E1C90">
        <w:rPr>
          <w:rFonts w:cs="Arial"/>
          <w:szCs w:val="18"/>
        </w:rPr>
        <w:t xml:space="preserve"> used. </w:t>
      </w:r>
      <w:r>
        <w:rPr>
          <w:rFonts w:cs="Arial"/>
          <w:szCs w:val="18"/>
        </w:rPr>
        <w:t xml:space="preserve">In particular, mixotrophy </w:t>
      </w:r>
      <w:r w:rsidR="00E035C7" w:rsidRPr="00183380">
        <w:rPr>
          <w:rFonts w:cs="Arial"/>
          <w:bCs/>
          <w:szCs w:val="18"/>
        </w:rPr>
        <w:t xml:space="preserve">condition reduced the saturation of </w:t>
      </w:r>
      <w:r>
        <w:rPr>
          <w:rFonts w:cs="Arial"/>
          <w:bCs/>
          <w:szCs w:val="18"/>
        </w:rPr>
        <w:t>FAs</w:t>
      </w:r>
      <w:r w:rsidR="00E035C7" w:rsidRPr="00183380">
        <w:rPr>
          <w:rFonts w:cs="Arial"/>
          <w:bCs/>
          <w:szCs w:val="18"/>
        </w:rPr>
        <w:t xml:space="preserve"> </w:t>
      </w:r>
      <w:r w:rsidR="00A90459">
        <w:rPr>
          <w:rFonts w:cs="Arial"/>
          <w:bCs/>
          <w:szCs w:val="18"/>
        </w:rPr>
        <w:t xml:space="preserve">by </w:t>
      </w:r>
      <w:r w:rsidR="00E035C7" w:rsidRPr="00183380">
        <w:rPr>
          <w:rFonts w:cs="Arial"/>
          <w:bCs/>
          <w:szCs w:val="18"/>
        </w:rPr>
        <w:t>inc</w:t>
      </w:r>
      <w:r>
        <w:rPr>
          <w:rFonts w:cs="Arial"/>
          <w:bCs/>
          <w:szCs w:val="18"/>
        </w:rPr>
        <w:t>reasing the unsaturation level, with t</w:t>
      </w:r>
      <w:r w:rsidR="00E035C7" w:rsidRPr="00183380">
        <w:rPr>
          <w:rFonts w:cs="Arial"/>
          <w:bCs/>
          <w:szCs w:val="18"/>
        </w:rPr>
        <w:t>he high</w:t>
      </w:r>
      <w:r>
        <w:rPr>
          <w:rFonts w:cs="Arial"/>
          <w:bCs/>
          <w:szCs w:val="18"/>
        </w:rPr>
        <w:t xml:space="preserve">est MUFA and PUFA contents </w:t>
      </w:r>
      <w:r w:rsidR="00E035C7" w:rsidRPr="00183380">
        <w:rPr>
          <w:rFonts w:cs="Arial"/>
          <w:bCs/>
          <w:szCs w:val="18"/>
        </w:rPr>
        <w:t xml:space="preserve">obtained under </w:t>
      </w:r>
      <w:r>
        <w:rPr>
          <w:rFonts w:cs="Arial"/>
          <w:bCs/>
          <w:szCs w:val="18"/>
        </w:rPr>
        <w:t>BWW</w:t>
      </w:r>
      <w:r w:rsidR="00E035C7" w:rsidRPr="00183380">
        <w:rPr>
          <w:rFonts w:cs="Arial"/>
          <w:bCs/>
          <w:szCs w:val="18"/>
        </w:rPr>
        <w:t xml:space="preserve">. </w:t>
      </w:r>
      <w:r w:rsidR="00E035C7" w:rsidRPr="00101EE2">
        <w:rPr>
          <w:rFonts w:eastAsiaTheme="minorHAnsi" w:cs="Arial"/>
          <w:bCs/>
          <w:szCs w:val="18"/>
          <w:lang w:val="en-US"/>
        </w:rPr>
        <w:t xml:space="preserve">The final microalgae biomass, considering its </w:t>
      </w:r>
      <w:r>
        <w:rPr>
          <w:rFonts w:cs="Arial"/>
          <w:bCs/>
          <w:szCs w:val="18"/>
        </w:rPr>
        <w:t>FAME profile</w:t>
      </w:r>
      <w:r w:rsidR="00E035C7" w:rsidRPr="00101EE2">
        <w:rPr>
          <w:rFonts w:eastAsiaTheme="minorHAnsi" w:cs="Arial"/>
          <w:bCs/>
          <w:szCs w:val="18"/>
          <w:lang w:val="en-US"/>
        </w:rPr>
        <w:t xml:space="preserve"> as well as its compliance with the standards for the quality of biodiesel, makes </w:t>
      </w:r>
      <w:r w:rsidR="00A90459">
        <w:rPr>
          <w:rFonts w:cs="Arial"/>
          <w:bCs/>
          <w:szCs w:val="18"/>
        </w:rPr>
        <w:t xml:space="preserve">BWW and DWW </w:t>
      </w:r>
      <w:r w:rsidR="00E035C7" w:rsidRPr="00101EE2">
        <w:rPr>
          <w:rFonts w:eastAsiaTheme="minorHAnsi" w:cs="Arial"/>
          <w:bCs/>
          <w:szCs w:val="18"/>
          <w:lang w:val="en-US"/>
        </w:rPr>
        <w:t>viable option</w:t>
      </w:r>
      <w:r w:rsidR="00A90459">
        <w:rPr>
          <w:rFonts w:cs="Arial"/>
          <w:bCs/>
          <w:szCs w:val="18"/>
        </w:rPr>
        <w:t>s</w:t>
      </w:r>
      <w:r w:rsidR="00E035C7" w:rsidRPr="00101EE2">
        <w:rPr>
          <w:rFonts w:eastAsiaTheme="minorHAnsi" w:cs="Arial"/>
          <w:bCs/>
          <w:szCs w:val="18"/>
          <w:lang w:val="en-US"/>
        </w:rPr>
        <w:t xml:space="preserve"> </w:t>
      </w:r>
      <w:r w:rsidR="00A90459">
        <w:rPr>
          <w:rFonts w:cs="Arial"/>
          <w:bCs/>
          <w:szCs w:val="18"/>
        </w:rPr>
        <w:t>as priceless media</w:t>
      </w:r>
      <w:r w:rsidR="00E035C7" w:rsidRPr="00101EE2">
        <w:rPr>
          <w:rFonts w:eastAsiaTheme="minorHAnsi" w:cs="Arial"/>
          <w:bCs/>
          <w:szCs w:val="18"/>
          <w:lang w:val="en-US"/>
        </w:rPr>
        <w:t xml:space="preserve"> for the cultivation of </w:t>
      </w:r>
      <w:r w:rsidR="00A90459" w:rsidRPr="00A90459">
        <w:rPr>
          <w:rFonts w:cs="Arial"/>
          <w:bCs/>
          <w:i/>
          <w:szCs w:val="18"/>
        </w:rPr>
        <w:t>C. vulgaris</w:t>
      </w:r>
      <w:r w:rsidR="00A90459">
        <w:rPr>
          <w:rFonts w:cs="Arial"/>
          <w:bCs/>
          <w:szCs w:val="18"/>
        </w:rPr>
        <w:t>.</w:t>
      </w:r>
    </w:p>
    <w:p w14:paraId="4ED767ED" w14:textId="77777777" w:rsidR="00732C41" w:rsidRDefault="00732C41" w:rsidP="00732C41">
      <w:pPr>
        <w:autoSpaceDE w:val="0"/>
        <w:autoSpaceDN w:val="0"/>
        <w:adjustRightInd w:val="0"/>
        <w:spacing w:before="120" w:after="120"/>
        <w:rPr>
          <w:rFonts w:eastAsia="AdvGulliv-R" w:cs="Arial"/>
          <w:b/>
          <w:szCs w:val="18"/>
        </w:rPr>
      </w:pPr>
      <w:r w:rsidRPr="00923A8A">
        <w:rPr>
          <w:rFonts w:eastAsia="AdvGulliv-R" w:cs="Arial"/>
          <w:b/>
          <w:szCs w:val="18"/>
        </w:rPr>
        <w:t>References</w:t>
      </w:r>
    </w:p>
    <w:p w14:paraId="38BAC0D8" w14:textId="77777777" w:rsidR="005A023E" w:rsidRDefault="007755A9" w:rsidP="005A023E">
      <w:pPr>
        <w:shd w:val="clear" w:color="auto" w:fill="FCFCFC"/>
        <w:tabs>
          <w:tab w:val="left" w:pos="720"/>
        </w:tabs>
        <w:ind w:left="720" w:hanging="720"/>
        <w:textAlignment w:val="center"/>
        <w:rPr>
          <w:rFonts w:cs="Arial"/>
          <w:szCs w:val="18"/>
          <w:lang w:eastAsia="it-IT"/>
        </w:rPr>
      </w:pPr>
      <w:r>
        <w:rPr>
          <w:rFonts w:cs="Arial"/>
          <w:szCs w:val="18"/>
          <w:lang w:val="en-US" w:eastAsia="it-IT"/>
        </w:rPr>
        <w:t>Brazzale P., Bourbon B., Barrucand P., Febelon M., Guercini S., Tiarca</w:t>
      </w:r>
      <w:r w:rsidR="005A023E" w:rsidRPr="00685852">
        <w:rPr>
          <w:rFonts w:cs="Arial"/>
          <w:szCs w:val="18"/>
          <w:lang w:val="en-US" w:eastAsia="it-IT"/>
        </w:rPr>
        <w:t xml:space="preserve"> R., </w:t>
      </w:r>
      <w:r>
        <w:rPr>
          <w:rFonts w:cs="Arial"/>
          <w:szCs w:val="18"/>
          <w:lang w:val="en-US" w:eastAsia="it-IT"/>
        </w:rPr>
        <w:t xml:space="preserve">2019, </w:t>
      </w:r>
      <w:r w:rsidR="005A023E" w:rsidRPr="00791705">
        <w:rPr>
          <w:rFonts w:cs="Arial"/>
          <w:szCs w:val="18"/>
          <w:lang w:eastAsia="it-IT"/>
        </w:rPr>
        <w:t>Wastewater treatment in dairy processing. Bulletin of the International Dairy Federation 500, 67</w:t>
      </w:r>
    </w:p>
    <w:p w14:paraId="6F84FED3" w14:textId="77777777" w:rsidR="005A023E" w:rsidRDefault="007755A9" w:rsidP="005A023E">
      <w:pPr>
        <w:shd w:val="clear" w:color="auto" w:fill="FCFCFC"/>
        <w:tabs>
          <w:tab w:val="left" w:pos="720"/>
        </w:tabs>
        <w:ind w:left="720" w:hanging="720"/>
        <w:textAlignment w:val="center"/>
      </w:pPr>
      <w:r>
        <w:rPr>
          <w:rFonts w:cs="Arial"/>
          <w:szCs w:val="18"/>
        </w:rPr>
        <w:t>Centeno de Rosa A.P., Moraes L., Greque de Morais E., Vieira Costa</w:t>
      </w:r>
      <w:r w:rsidR="005A023E" w:rsidRPr="00685852">
        <w:rPr>
          <w:rFonts w:cs="Arial"/>
          <w:szCs w:val="18"/>
        </w:rPr>
        <w:t xml:space="preserve"> J.A., 2020</w:t>
      </w:r>
      <w:r>
        <w:rPr>
          <w:rFonts w:cs="Arial"/>
          <w:szCs w:val="18"/>
        </w:rPr>
        <w:t>,</w:t>
      </w:r>
      <w:r w:rsidR="005A023E" w:rsidRPr="00685852">
        <w:rPr>
          <w:rFonts w:cs="Arial"/>
          <w:szCs w:val="18"/>
        </w:rPr>
        <w:t xml:space="preserve"> </w:t>
      </w:r>
      <w:r w:rsidR="005A023E" w:rsidRPr="00791705">
        <w:rPr>
          <w:rFonts w:cs="Arial"/>
          <w:szCs w:val="18"/>
        </w:rPr>
        <w:t xml:space="preserve">Fatty acids biosynthesis from </w:t>
      </w:r>
      <w:r w:rsidR="005A023E" w:rsidRPr="00791705">
        <w:rPr>
          <w:rFonts w:cs="Arial"/>
          <w:i/>
          <w:szCs w:val="18"/>
        </w:rPr>
        <w:t>Chlorella</w:t>
      </w:r>
      <w:r w:rsidR="005A023E" w:rsidRPr="00791705">
        <w:rPr>
          <w:rFonts w:cs="Arial"/>
          <w:szCs w:val="18"/>
        </w:rPr>
        <w:t xml:space="preserve"> in autotrophic and mixotropic cultivation, Braz</w:t>
      </w:r>
      <w:r w:rsidR="00745B85">
        <w:rPr>
          <w:rFonts w:cs="Arial"/>
          <w:szCs w:val="18"/>
        </w:rPr>
        <w:t>ilian</w:t>
      </w:r>
      <w:r w:rsidR="005A023E" w:rsidRPr="00791705">
        <w:rPr>
          <w:rFonts w:cs="Arial"/>
          <w:szCs w:val="18"/>
        </w:rPr>
        <w:t xml:space="preserve"> Arch</w:t>
      </w:r>
      <w:r w:rsidR="00745B85">
        <w:rPr>
          <w:rFonts w:cs="Arial"/>
          <w:szCs w:val="18"/>
        </w:rPr>
        <w:t>ives of</w:t>
      </w:r>
      <w:r w:rsidR="005A023E" w:rsidRPr="00791705">
        <w:rPr>
          <w:rFonts w:cs="Arial"/>
          <w:szCs w:val="18"/>
        </w:rPr>
        <w:t xml:space="preserve"> Biol</w:t>
      </w:r>
      <w:r w:rsidR="00745B85">
        <w:rPr>
          <w:rFonts w:cs="Arial"/>
          <w:szCs w:val="18"/>
        </w:rPr>
        <w:t>ogy and</w:t>
      </w:r>
      <w:r w:rsidR="005A023E" w:rsidRPr="00791705">
        <w:rPr>
          <w:rFonts w:cs="Arial"/>
          <w:szCs w:val="18"/>
        </w:rPr>
        <w:t xml:space="preserve"> Technol</w:t>
      </w:r>
      <w:r w:rsidR="00745B85">
        <w:rPr>
          <w:rFonts w:cs="Arial"/>
          <w:szCs w:val="18"/>
        </w:rPr>
        <w:t>ogy</w:t>
      </w:r>
      <w:r w:rsidR="005A023E" w:rsidRPr="00791705">
        <w:rPr>
          <w:rFonts w:cs="Arial"/>
          <w:szCs w:val="18"/>
        </w:rPr>
        <w:t xml:space="preserve"> 63, e20180534, </w:t>
      </w:r>
      <w:r w:rsidR="005A023E" w:rsidRPr="00791705">
        <w:rPr>
          <w:rFonts w:cs="Arial"/>
          <w:szCs w:val="18"/>
          <w:shd w:val="clear" w:color="auto" w:fill="FFFFFF"/>
        </w:rPr>
        <w:t>doi:</w:t>
      </w:r>
      <w:hyperlink r:id="rId16" w:tgtFrame="_blank" w:history="1">
        <w:r w:rsidR="005A023E" w:rsidRPr="00791705">
          <w:rPr>
            <w:rStyle w:val="Collegamentoipertestuale"/>
            <w:rFonts w:cs="Arial"/>
            <w:color w:val="auto"/>
            <w:szCs w:val="18"/>
            <w:u w:val="none"/>
            <w:bdr w:val="none" w:sz="0" w:space="0" w:color="auto" w:frame="1"/>
            <w:shd w:val="clear" w:color="auto" w:fill="FFFFFF"/>
          </w:rPr>
          <w:t>10.1590/1678-4324-2020180534</w:t>
        </w:r>
      </w:hyperlink>
    </w:p>
    <w:p w14:paraId="5C30D51E" w14:textId="77777777" w:rsidR="00745B85" w:rsidRPr="00745B85" w:rsidRDefault="007755A9" w:rsidP="005A023E">
      <w:pPr>
        <w:shd w:val="clear" w:color="auto" w:fill="FCFCFC"/>
        <w:tabs>
          <w:tab w:val="left" w:pos="720"/>
        </w:tabs>
        <w:ind w:left="720" w:hanging="720"/>
        <w:textAlignment w:val="center"/>
        <w:rPr>
          <w:rFonts w:cs="Arial"/>
          <w:szCs w:val="18"/>
        </w:rPr>
      </w:pPr>
      <w:r>
        <w:rPr>
          <w:rFonts w:cs="Arial"/>
          <w:szCs w:val="18"/>
          <w:lang w:eastAsia="it-IT"/>
        </w:rPr>
        <w:t>Choi</w:t>
      </w:r>
      <w:r w:rsidR="00EF2B99">
        <w:rPr>
          <w:rFonts w:cs="Arial"/>
          <w:szCs w:val="18"/>
          <w:lang w:eastAsia="it-IT"/>
        </w:rPr>
        <w:t xml:space="preserve"> </w:t>
      </w:r>
      <w:r w:rsidR="00745B85">
        <w:rPr>
          <w:rFonts w:cs="Arial"/>
          <w:szCs w:val="18"/>
          <w:lang w:eastAsia="it-IT"/>
        </w:rPr>
        <w:t>H-J, 2016</w:t>
      </w:r>
      <w:r>
        <w:rPr>
          <w:rFonts w:cs="Arial"/>
          <w:szCs w:val="18"/>
          <w:lang w:eastAsia="it-IT"/>
        </w:rPr>
        <w:t>,</w:t>
      </w:r>
      <w:r w:rsidR="00745B85">
        <w:rPr>
          <w:rFonts w:cs="Arial"/>
          <w:szCs w:val="18"/>
          <w:lang w:eastAsia="it-IT"/>
        </w:rPr>
        <w:t xml:space="preserve"> </w:t>
      </w:r>
      <w:r w:rsidR="00745B85" w:rsidRPr="00745B85">
        <w:rPr>
          <w:rFonts w:cs="Arial"/>
          <w:color w:val="000000"/>
          <w:spacing w:val="1"/>
          <w:szCs w:val="18"/>
        </w:rPr>
        <w:t>Dairy wastewater treatment using microalgae for potential biodiesel application</w:t>
      </w:r>
      <w:r w:rsidR="00745B85">
        <w:rPr>
          <w:rFonts w:cs="Arial"/>
          <w:color w:val="000000"/>
          <w:spacing w:val="1"/>
          <w:szCs w:val="18"/>
        </w:rPr>
        <w:t>.</w:t>
      </w:r>
      <w:r w:rsidR="00745B85" w:rsidRPr="00745B85">
        <w:rPr>
          <w:rFonts w:cs="Arial"/>
          <w:color w:val="000000"/>
          <w:spacing w:val="1"/>
          <w:szCs w:val="18"/>
        </w:rPr>
        <w:t xml:space="preserve"> Environ</w:t>
      </w:r>
      <w:r w:rsidR="00745B85">
        <w:rPr>
          <w:rFonts w:cs="Arial"/>
          <w:color w:val="000000"/>
          <w:spacing w:val="1"/>
          <w:szCs w:val="18"/>
        </w:rPr>
        <w:t>mental</w:t>
      </w:r>
      <w:r w:rsidR="00745B85" w:rsidRPr="00745B85">
        <w:rPr>
          <w:rFonts w:cs="Arial"/>
          <w:color w:val="000000"/>
          <w:spacing w:val="1"/>
          <w:szCs w:val="18"/>
        </w:rPr>
        <w:t xml:space="preserve"> Eng</w:t>
      </w:r>
      <w:r w:rsidR="00745B85">
        <w:rPr>
          <w:rFonts w:cs="Arial"/>
          <w:color w:val="000000"/>
          <w:spacing w:val="1"/>
          <w:szCs w:val="18"/>
        </w:rPr>
        <w:t>ineering</w:t>
      </w:r>
      <w:r w:rsidR="00745B85" w:rsidRPr="00745B85">
        <w:rPr>
          <w:rFonts w:cs="Arial"/>
          <w:color w:val="000000"/>
          <w:spacing w:val="1"/>
          <w:szCs w:val="18"/>
        </w:rPr>
        <w:t xml:space="preserve"> Res</w:t>
      </w:r>
      <w:r w:rsidR="00745B85">
        <w:rPr>
          <w:rFonts w:cs="Arial"/>
          <w:color w:val="000000"/>
          <w:spacing w:val="1"/>
          <w:szCs w:val="18"/>
        </w:rPr>
        <w:t>earch</w:t>
      </w:r>
      <w:r w:rsidR="00745B85" w:rsidRPr="00745B85">
        <w:rPr>
          <w:rFonts w:cs="Arial"/>
          <w:color w:val="000000"/>
          <w:spacing w:val="1"/>
          <w:szCs w:val="18"/>
        </w:rPr>
        <w:t xml:space="preserve"> </w:t>
      </w:r>
      <w:r w:rsidR="00745B85">
        <w:rPr>
          <w:rFonts w:cs="Arial"/>
          <w:color w:val="000000"/>
          <w:spacing w:val="1"/>
          <w:szCs w:val="18"/>
        </w:rPr>
        <w:t xml:space="preserve">21, </w:t>
      </w:r>
      <w:r w:rsidR="00745B85" w:rsidRPr="00745B85">
        <w:rPr>
          <w:rFonts w:cs="Arial"/>
          <w:color w:val="000000"/>
          <w:spacing w:val="1"/>
          <w:szCs w:val="18"/>
        </w:rPr>
        <w:t>393-400,</w:t>
      </w:r>
      <w:r w:rsidR="00745B85" w:rsidRPr="00745B85">
        <w:rPr>
          <w:rFonts w:cs="Arial"/>
          <w:spacing w:val="1"/>
          <w:szCs w:val="18"/>
        </w:rPr>
        <w:t xml:space="preserve"> </w:t>
      </w:r>
      <w:hyperlink r:id="rId17" w:history="1">
        <w:r w:rsidR="00745B85" w:rsidRPr="00745B85">
          <w:rPr>
            <w:rStyle w:val="Collegamentoipertestuale"/>
            <w:rFonts w:cs="Arial"/>
            <w:color w:val="auto"/>
            <w:spacing w:val="1"/>
            <w:szCs w:val="18"/>
            <w:u w:val="none"/>
          </w:rPr>
          <w:t>doi.org/10.4491/eer.2015.151</w:t>
        </w:r>
      </w:hyperlink>
    </w:p>
    <w:p w14:paraId="586CD276" w14:textId="778A154F" w:rsidR="005A023E" w:rsidRDefault="007755A9" w:rsidP="005A023E">
      <w:pPr>
        <w:shd w:val="clear" w:color="auto" w:fill="FCFCFC"/>
        <w:tabs>
          <w:tab w:val="left" w:pos="720"/>
        </w:tabs>
        <w:ind w:left="720" w:hanging="720"/>
        <w:textAlignment w:val="center"/>
        <w:rPr>
          <w:rFonts w:cs="Arial"/>
          <w:szCs w:val="18"/>
          <w:lang w:eastAsia="it-IT"/>
        </w:rPr>
      </w:pPr>
      <w:r>
        <w:rPr>
          <w:rFonts w:cs="Arial"/>
          <w:szCs w:val="18"/>
          <w:lang w:val="en-US" w:eastAsia="it-IT"/>
        </w:rPr>
        <w:t>Concas A., Steriti A., Pisu M., Cao</w:t>
      </w:r>
      <w:r w:rsidR="005A023E" w:rsidRPr="00791705">
        <w:rPr>
          <w:rFonts w:cs="Arial"/>
          <w:szCs w:val="18"/>
          <w:lang w:val="en-US" w:eastAsia="it-IT"/>
        </w:rPr>
        <w:t xml:space="preserve"> G., 2021</w:t>
      </w:r>
      <w:r w:rsidR="0049484E">
        <w:rPr>
          <w:rFonts w:cs="Arial"/>
          <w:szCs w:val="18"/>
          <w:lang w:val="en-US" w:eastAsia="it-IT"/>
        </w:rPr>
        <w:t>a</w:t>
      </w:r>
      <w:r>
        <w:rPr>
          <w:rFonts w:cs="Arial"/>
          <w:szCs w:val="18"/>
          <w:lang w:val="en-US" w:eastAsia="it-IT"/>
        </w:rPr>
        <w:t>,</w:t>
      </w:r>
      <w:r w:rsidR="005A023E" w:rsidRPr="00791705">
        <w:rPr>
          <w:rFonts w:cs="Arial"/>
          <w:szCs w:val="18"/>
          <w:lang w:val="en-US" w:eastAsia="it-IT"/>
        </w:rPr>
        <w:t xml:space="preserve"> </w:t>
      </w:r>
      <w:r w:rsidR="005A023E" w:rsidRPr="00791705">
        <w:rPr>
          <w:rFonts w:cs="Arial"/>
          <w:szCs w:val="18"/>
          <w:lang w:eastAsia="it-IT"/>
        </w:rPr>
        <w:t>Experimental and theoretical investigation of the effects of iron on growth and lipid synthesis of microalgae in view of their use to produce biofuels. Journal of Environmental Chemical Engineering 9, 105349, doi:10.1016/j.jece.2021.105349.</w:t>
      </w:r>
    </w:p>
    <w:p w14:paraId="076062C7" w14:textId="55AA81F9" w:rsidR="0049484E" w:rsidRPr="00791705" w:rsidRDefault="0049484E" w:rsidP="005A023E">
      <w:pPr>
        <w:shd w:val="clear" w:color="auto" w:fill="FCFCFC"/>
        <w:tabs>
          <w:tab w:val="left" w:pos="720"/>
        </w:tabs>
        <w:ind w:left="720" w:hanging="720"/>
        <w:textAlignment w:val="center"/>
        <w:rPr>
          <w:rFonts w:cs="Arial"/>
          <w:szCs w:val="18"/>
          <w:lang w:eastAsia="it-IT"/>
        </w:rPr>
      </w:pPr>
      <w:r w:rsidRPr="0049484E">
        <w:rPr>
          <w:rFonts w:cs="Arial"/>
          <w:szCs w:val="18"/>
          <w:lang w:eastAsia="it-IT"/>
        </w:rPr>
        <w:t>Concas, A., Lutzu, G.A., Dunford, N.T., 2021</w:t>
      </w:r>
      <w:r>
        <w:rPr>
          <w:rFonts w:cs="Arial"/>
          <w:szCs w:val="18"/>
          <w:lang w:eastAsia="it-IT"/>
        </w:rPr>
        <w:t>b</w:t>
      </w:r>
      <w:r w:rsidRPr="0049484E">
        <w:rPr>
          <w:rFonts w:cs="Arial"/>
          <w:szCs w:val="18"/>
          <w:lang w:eastAsia="it-IT"/>
        </w:rPr>
        <w:t>, Experiments and mode</w:t>
      </w:r>
      <w:r w:rsidR="00784A36">
        <w:rPr>
          <w:rFonts w:cs="Arial"/>
          <w:szCs w:val="18"/>
          <w:lang w:eastAsia="it-IT"/>
        </w:rPr>
        <w:t>l</w:t>
      </w:r>
      <w:r w:rsidRPr="0049484E">
        <w:rPr>
          <w:rFonts w:cs="Arial"/>
          <w:szCs w:val="18"/>
          <w:lang w:eastAsia="it-IT"/>
        </w:rPr>
        <w:t xml:space="preserve">ling of </w:t>
      </w:r>
      <w:r w:rsidRPr="00784A36">
        <w:rPr>
          <w:rFonts w:cs="Arial"/>
          <w:i/>
          <w:szCs w:val="18"/>
          <w:lang w:eastAsia="it-IT"/>
        </w:rPr>
        <w:t>Komvophoron</w:t>
      </w:r>
      <w:r w:rsidRPr="0049484E">
        <w:rPr>
          <w:rFonts w:cs="Arial"/>
          <w:szCs w:val="18"/>
          <w:lang w:eastAsia="it-IT"/>
        </w:rPr>
        <w:t xml:space="preserve"> sp. growth in hydraulic fracturing wastewater. Chemical E</w:t>
      </w:r>
      <w:r w:rsidR="00D06945">
        <w:rPr>
          <w:rFonts w:cs="Arial"/>
          <w:szCs w:val="18"/>
          <w:lang w:eastAsia="it-IT"/>
        </w:rPr>
        <w:t xml:space="preserve">ngineering Journal, 426: 131299, doi </w:t>
      </w:r>
      <w:hyperlink r:id="rId18" w:tgtFrame="_blank" w:history="1">
        <w:r w:rsidR="00D06945" w:rsidRPr="00D06945">
          <w:rPr>
            <w:rStyle w:val="Collegamentoipertestuale"/>
            <w:rFonts w:cs="Arial"/>
            <w:iCs/>
            <w:color w:val="auto"/>
            <w:szCs w:val="18"/>
            <w:u w:val="none"/>
            <w:shd w:val="clear" w:color="auto" w:fill="FFFFFF"/>
          </w:rPr>
          <w:t>10.1016/j.cej.2021.131299</w:t>
        </w:r>
      </w:hyperlink>
    </w:p>
    <w:p w14:paraId="61D2EEA7" w14:textId="77777777" w:rsidR="002B48CE" w:rsidRDefault="007755A9" w:rsidP="00F21C34">
      <w:pPr>
        <w:shd w:val="clear" w:color="auto" w:fill="FCFCFC"/>
        <w:tabs>
          <w:tab w:val="left" w:pos="720"/>
        </w:tabs>
        <w:ind w:left="720" w:hanging="720"/>
        <w:textAlignment w:val="center"/>
        <w:rPr>
          <w:rFonts w:cs="Arial"/>
          <w:szCs w:val="18"/>
          <w:lang w:eastAsia="it-IT"/>
        </w:rPr>
      </w:pPr>
      <w:r>
        <w:rPr>
          <w:rFonts w:eastAsia="AdvGulliv-R" w:cs="Arial"/>
          <w:szCs w:val="18"/>
        </w:rPr>
        <w:t>Elias</w:t>
      </w:r>
      <w:r w:rsidR="002B48CE" w:rsidRPr="00791705">
        <w:rPr>
          <w:rFonts w:eastAsia="AdvGulliv-R" w:cs="Arial"/>
          <w:szCs w:val="18"/>
        </w:rPr>
        <w:t xml:space="preserve"> </w:t>
      </w:r>
      <w:r w:rsidR="00F2368C" w:rsidRPr="00791705">
        <w:rPr>
          <w:rFonts w:eastAsia="AdvGulliv-R" w:cs="Arial"/>
          <w:szCs w:val="18"/>
        </w:rPr>
        <w:t>S.A., 2020</w:t>
      </w:r>
      <w:r>
        <w:rPr>
          <w:rFonts w:eastAsia="AdvGulliv-R" w:cs="Arial"/>
          <w:szCs w:val="18"/>
        </w:rPr>
        <w:t>,</w:t>
      </w:r>
      <w:r w:rsidR="00F2368C" w:rsidRPr="00791705">
        <w:rPr>
          <w:rFonts w:eastAsia="AdvGulliv-R" w:cs="Arial"/>
          <w:szCs w:val="18"/>
        </w:rPr>
        <w:t xml:space="preserve"> </w:t>
      </w:r>
      <w:r w:rsidR="002B48CE" w:rsidRPr="00791705">
        <w:rPr>
          <w:rFonts w:eastAsia="AdvGulliv-R" w:cs="Arial"/>
          <w:szCs w:val="18"/>
        </w:rPr>
        <w:t>History of greenhouse gas warming: CO</w:t>
      </w:r>
      <w:r w:rsidR="002B48CE" w:rsidRPr="00791705">
        <w:rPr>
          <w:rFonts w:eastAsia="AdvGulliv-R" w:cs="Arial"/>
          <w:szCs w:val="18"/>
          <w:vertAlign w:val="subscript"/>
        </w:rPr>
        <w:t>2</w:t>
      </w:r>
      <w:r w:rsidR="002B48CE" w:rsidRPr="00791705">
        <w:rPr>
          <w:rFonts w:eastAsia="AdvGulliv-R" w:cs="Arial"/>
          <w:szCs w:val="18"/>
        </w:rPr>
        <w:t>,</w:t>
      </w:r>
      <w:r w:rsidR="002B48CE" w:rsidRPr="00791705">
        <w:rPr>
          <w:rFonts w:eastAsia="AdvGulliv-R" w:cs="Arial"/>
          <w:szCs w:val="18"/>
          <w:vertAlign w:val="superscript"/>
        </w:rPr>
        <w:t xml:space="preserve"> </w:t>
      </w:r>
      <w:r w:rsidR="002B48CE" w:rsidRPr="00791705">
        <w:rPr>
          <w:rFonts w:eastAsia="AdvGulliv-R" w:cs="Arial"/>
          <w:szCs w:val="18"/>
        </w:rPr>
        <w:t>in: S. Elias, D. Alderton, (Eds), Encyclopedia of Geology, 2</w:t>
      </w:r>
      <w:r w:rsidR="002B48CE" w:rsidRPr="00791705">
        <w:rPr>
          <w:rFonts w:eastAsia="AdvGulliv-R" w:cs="Arial"/>
          <w:szCs w:val="18"/>
          <w:vertAlign w:val="superscript"/>
        </w:rPr>
        <w:t>nd</w:t>
      </w:r>
      <w:r w:rsidR="00F2368C" w:rsidRPr="00791705">
        <w:rPr>
          <w:rFonts w:eastAsia="AdvGulliv-R" w:cs="Arial"/>
          <w:szCs w:val="18"/>
        </w:rPr>
        <w:t xml:space="preserve"> Edition, Academic Press</w:t>
      </w:r>
      <w:r w:rsidR="002B48CE" w:rsidRPr="00791705">
        <w:rPr>
          <w:rFonts w:eastAsia="AdvGulliv-R" w:cs="Arial"/>
          <w:szCs w:val="18"/>
        </w:rPr>
        <w:t>, pp. 444-455.</w:t>
      </w:r>
      <w:r w:rsidR="002B48CE" w:rsidRPr="00791705">
        <w:rPr>
          <w:rFonts w:cs="Arial"/>
          <w:szCs w:val="18"/>
          <w:lang w:eastAsia="it-IT"/>
        </w:rPr>
        <w:t xml:space="preserve"> </w:t>
      </w:r>
    </w:p>
    <w:p w14:paraId="741A6B2F" w14:textId="77777777" w:rsidR="005A023E" w:rsidRDefault="007755A9" w:rsidP="00784A36">
      <w:pPr>
        <w:widowControl w:val="0"/>
        <w:autoSpaceDE w:val="0"/>
        <w:autoSpaceDN w:val="0"/>
        <w:adjustRightInd w:val="0"/>
        <w:ind w:left="709" w:hanging="709"/>
        <w:rPr>
          <w:rFonts w:cs="Arial"/>
          <w:szCs w:val="18"/>
        </w:rPr>
      </w:pPr>
      <w:r>
        <w:rPr>
          <w:rFonts w:cs="Arial"/>
          <w:szCs w:val="18"/>
        </w:rPr>
        <w:t>Erinan A.M., Adeyemo J., Kumari S., Swalaha F.M., Bux</w:t>
      </w:r>
      <w:r w:rsidR="005A023E" w:rsidRPr="00791705">
        <w:rPr>
          <w:rFonts w:cs="Arial"/>
          <w:szCs w:val="18"/>
        </w:rPr>
        <w:t xml:space="preserve"> F., 2015</w:t>
      </w:r>
      <w:r>
        <w:rPr>
          <w:rFonts w:cs="Arial"/>
          <w:szCs w:val="18"/>
        </w:rPr>
        <w:t>,</w:t>
      </w:r>
      <w:r w:rsidR="005A023E" w:rsidRPr="00791705">
        <w:rPr>
          <w:rFonts w:cs="Arial"/>
          <w:szCs w:val="18"/>
        </w:rPr>
        <w:t xml:space="preserve"> Characterization of brewery wastewater composition. International Journal of Environmental and Ecological Engineering 9(9), 1073-1076</w:t>
      </w:r>
    </w:p>
    <w:p w14:paraId="348EE735" w14:textId="77777777" w:rsidR="005A023E" w:rsidRPr="005A023E" w:rsidRDefault="007755A9" w:rsidP="00784A36">
      <w:pPr>
        <w:widowControl w:val="0"/>
        <w:autoSpaceDE w:val="0"/>
        <w:autoSpaceDN w:val="0"/>
        <w:adjustRightInd w:val="0"/>
        <w:ind w:left="851" w:hanging="851"/>
        <w:rPr>
          <w:noProof/>
          <w:szCs w:val="18"/>
          <w:lang w:val="en-US"/>
        </w:rPr>
      </w:pPr>
      <w:r w:rsidRPr="00A15A9F">
        <w:rPr>
          <w:lang w:val="en-US"/>
        </w:rPr>
        <w:t>Ferreira A., Ribeiro B., Ferreira A.F., Tavares M.L.A., Vladic J., Vid</w:t>
      </w:r>
      <w:bookmarkStart w:id="0" w:name="_GoBack"/>
      <w:bookmarkEnd w:id="0"/>
      <w:r w:rsidRPr="00A15A9F">
        <w:rPr>
          <w:lang w:val="en-US"/>
        </w:rPr>
        <w:t>ovic</w:t>
      </w:r>
      <w:r w:rsidR="005A023E" w:rsidRPr="00A15A9F">
        <w:rPr>
          <w:lang w:val="en-US"/>
        </w:rPr>
        <w:t xml:space="preserve"> S.,</w:t>
      </w:r>
      <w:r w:rsidR="00A61F21" w:rsidRPr="00A15A9F">
        <w:rPr>
          <w:lang w:val="en-US"/>
        </w:rPr>
        <w:t xml:space="preserve"> Cvetkovic D., Melkonyan L., Avetisova G., Goginyan V., Gouveia L.,</w:t>
      </w:r>
      <w:r w:rsidR="005A023E" w:rsidRPr="00A15A9F">
        <w:rPr>
          <w:lang w:val="en-US"/>
        </w:rPr>
        <w:t xml:space="preserve"> 2019</w:t>
      </w:r>
      <w:r w:rsidRPr="00A15A9F">
        <w:rPr>
          <w:lang w:val="en-US"/>
        </w:rPr>
        <w:t>,</w:t>
      </w:r>
      <w:r w:rsidR="005A023E" w:rsidRPr="00A15A9F">
        <w:rPr>
          <w:lang w:val="en-US"/>
        </w:rPr>
        <w:t xml:space="preserve"> </w:t>
      </w:r>
      <w:r w:rsidR="005A023E" w:rsidRPr="00791705">
        <w:rPr>
          <w:i/>
        </w:rPr>
        <w:t>Scenedesmus obliquus</w:t>
      </w:r>
      <w:r w:rsidR="005A023E" w:rsidRPr="00791705">
        <w:t xml:space="preserve"> microalga-based biorefinery – from brewery effluent to bioactive compounds, biofuels, and biofertilizers – aiming at a circular bioeconomy. Biofuels, Bioproducts and BiorefIning 13:1169–1186. doi: 10.1002/bbb.2032</w:t>
      </w:r>
    </w:p>
    <w:p w14:paraId="69489CEA" w14:textId="77777777" w:rsidR="005A023E" w:rsidRPr="00791705" w:rsidRDefault="007755A9" w:rsidP="005A023E">
      <w:pPr>
        <w:shd w:val="clear" w:color="auto" w:fill="FCFCFC"/>
        <w:tabs>
          <w:tab w:val="left" w:pos="720"/>
        </w:tabs>
        <w:ind w:left="720" w:hanging="720"/>
        <w:textAlignment w:val="center"/>
        <w:rPr>
          <w:rFonts w:cs="Arial"/>
          <w:szCs w:val="18"/>
          <w:lang w:eastAsia="it-IT"/>
        </w:rPr>
      </w:pPr>
      <w:r>
        <w:rPr>
          <w:rFonts w:cs="Arial"/>
          <w:szCs w:val="18"/>
          <w:lang w:eastAsia="it-IT"/>
        </w:rPr>
        <w:lastRenderedPageBreak/>
        <w:t>Hussain F., Shah S.Z., Ahmad H., Abubshait S.A., Abubshait</w:t>
      </w:r>
      <w:r w:rsidR="005A023E" w:rsidRPr="00791705">
        <w:rPr>
          <w:rFonts w:cs="Arial"/>
          <w:szCs w:val="18"/>
          <w:lang w:eastAsia="it-IT"/>
        </w:rPr>
        <w:t xml:space="preserve"> H.A., Laref A</w:t>
      </w:r>
      <w:r w:rsidR="00A61F21">
        <w:rPr>
          <w:rFonts w:cs="Arial"/>
          <w:szCs w:val="18"/>
          <w:lang w:eastAsia="it-IT"/>
        </w:rPr>
        <w:t>., Manikandan A., Kusama H.S., Iqbal M.,</w:t>
      </w:r>
      <w:r w:rsidR="005A023E" w:rsidRPr="00791705">
        <w:rPr>
          <w:rFonts w:cs="Arial"/>
          <w:szCs w:val="18"/>
          <w:lang w:eastAsia="it-IT"/>
        </w:rPr>
        <w:t xml:space="preserve"> 2021</w:t>
      </w:r>
      <w:r>
        <w:rPr>
          <w:rFonts w:cs="Arial"/>
          <w:szCs w:val="18"/>
          <w:lang w:eastAsia="it-IT"/>
        </w:rPr>
        <w:t>,</w:t>
      </w:r>
      <w:r w:rsidR="005A023E" w:rsidRPr="00791705">
        <w:rPr>
          <w:rFonts w:cs="Arial"/>
          <w:szCs w:val="18"/>
          <w:lang w:eastAsia="it-IT"/>
        </w:rPr>
        <w:t xml:space="preserve"> Microalgae an ecofriendly and sustainable wastewater treatment option: Biomass application in biofuel and bio-fertilizer production. A review. Renewable Sustainable Energy Review 137, 110603, </w:t>
      </w:r>
      <w:r w:rsidR="005A023E" w:rsidRPr="00791705">
        <w:rPr>
          <w:rFonts w:cs="Arial"/>
          <w:szCs w:val="18"/>
          <w:shd w:val="clear" w:color="auto" w:fill="FFFFFF"/>
        </w:rPr>
        <w:t>doi:</w:t>
      </w:r>
      <w:hyperlink r:id="rId19" w:tgtFrame="_blank" w:history="1">
        <w:r w:rsidR="005A023E" w:rsidRPr="00791705">
          <w:rPr>
            <w:rStyle w:val="Collegamentoipertestuale"/>
            <w:rFonts w:cs="Arial"/>
            <w:color w:val="auto"/>
            <w:szCs w:val="18"/>
            <w:u w:val="none"/>
            <w:bdr w:val="none" w:sz="0" w:space="0" w:color="auto" w:frame="1"/>
            <w:shd w:val="clear" w:color="auto" w:fill="FFFFFF"/>
          </w:rPr>
          <w:t>10.1016/j.rser.2020.110603</w:t>
        </w:r>
      </w:hyperlink>
    </w:p>
    <w:p w14:paraId="21B8B3D9" w14:textId="77777777" w:rsidR="005A023E" w:rsidRPr="00791705" w:rsidRDefault="007755A9" w:rsidP="005A023E">
      <w:pPr>
        <w:pStyle w:val="EndNoteBibliography"/>
        <w:spacing w:after="0" w:line="264" w:lineRule="auto"/>
        <w:ind w:left="709" w:hanging="709"/>
        <w:jc w:val="both"/>
        <w:rPr>
          <w:rFonts w:ascii="Arial" w:hAnsi="Arial" w:cs="Arial"/>
          <w:sz w:val="18"/>
          <w:szCs w:val="18"/>
        </w:rPr>
      </w:pPr>
      <w:r>
        <w:rPr>
          <w:rFonts w:ascii="Arial" w:hAnsi="Arial" w:cs="Arial"/>
          <w:color w:val="000000"/>
          <w:sz w:val="18"/>
          <w:szCs w:val="18"/>
        </w:rPr>
        <w:t>Lage S., Gentili</w:t>
      </w:r>
      <w:r w:rsidR="005A023E" w:rsidRPr="00685852">
        <w:rPr>
          <w:rFonts w:ascii="Arial" w:hAnsi="Arial" w:cs="Arial"/>
          <w:color w:val="000000"/>
          <w:sz w:val="18"/>
          <w:szCs w:val="18"/>
        </w:rPr>
        <w:t xml:space="preserve"> F.G., 2018</w:t>
      </w:r>
      <w:r>
        <w:rPr>
          <w:rFonts w:ascii="Arial" w:hAnsi="Arial" w:cs="Arial"/>
          <w:color w:val="000000"/>
          <w:sz w:val="18"/>
          <w:szCs w:val="18"/>
        </w:rPr>
        <w:t>,</w:t>
      </w:r>
      <w:r w:rsidR="005A023E" w:rsidRPr="00685852">
        <w:rPr>
          <w:rFonts w:ascii="Arial" w:hAnsi="Arial" w:cs="Arial"/>
          <w:color w:val="000000"/>
          <w:sz w:val="18"/>
          <w:szCs w:val="18"/>
        </w:rPr>
        <w:t xml:space="preserve"> </w:t>
      </w:r>
      <w:r w:rsidR="005A023E" w:rsidRPr="00791705">
        <w:rPr>
          <w:rFonts w:ascii="Arial" w:hAnsi="Arial" w:cs="Arial"/>
          <w:color w:val="000000"/>
          <w:sz w:val="18"/>
          <w:szCs w:val="18"/>
        </w:rPr>
        <w:t xml:space="preserve">Quantification and characterization of fatty acid methyl esters in microalgae: Comparison of pretreatment and purification methods. Bioresource Technology 257, 257:121-128, </w:t>
      </w:r>
      <w:r w:rsidR="005A023E" w:rsidRPr="00791705">
        <w:rPr>
          <w:rStyle w:val="id-label"/>
          <w:rFonts w:ascii="Arial" w:hAnsi="Arial" w:cs="Arial"/>
          <w:sz w:val="18"/>
          <w:szCs w:val="18"/>
        </w:rPr>
        <w:t>doi: </w:t>
      </w:r>
      <w:hyperlink r:id="rId20" w:tgtFrame="_blank" w:history="1">
        <w:r w:rsidR="005A023E" w:rsidRPr="00791705">
          <w:rPr>
            <w:rStyle w:val="Collegamentoipertestuale"/>
            <w:rFonts w:ascii="Arial" w:hAnsi="Arial" w:cs="Arial"/>
            <w:color w:val="auto"/>
            <w:sz w:val="18"/>
            <w:szCs w:val="18"/>
            <w:u w:val="none"/>
          </w:rPr>
          <w:t>10.1016/j.biortech.2018.01.153</w:t>
        </w:r>
      </w:hyperlink>
    </w:p>
    <w:p w14:paraId="45D84274" w14:textId="77777777" w:rsidR="005A023E" w:rsidRDefault="007755A9" w:rsidP="005A023E">
      <w:pPr>
        <w:pStyle w:val="EndNoteBibliography"/>
        <w:spacing w:after="0" w:line="264" w:lineRule="auto"/>
        <w:ind w:left="709" w:hanging="709"/>
        <w:jc w:val="both"/>
        <w:rPr>
          <w:rFonts w:ascii="Arial" w:hAnsi="Arial" w:cs="Arial"/>
          <w:sz w:val="18"/>
          <w:szCs w:val="18"/>
        </w:rPr>
      </w:pPr>
      <w:r>
        <w:rPr>
          <w:rFonts w:ascii="Arial" w:hAnsi="Arial" w:cs="Arial"/>
          <w:sz w:val="18"/>
          <w:szCs w:val="18"/>
        </w:rPr>
        <w:t>Lutzu G.A., Ciurli A., Chiellini</w:t>
      </w:r>
      <w:r w:rsidR="005A023E" w:rsidRPr="005A023E">
        <w:rPr>
          <w:rFonts w:ascii="Arial" w:hAnsi="Arial" w:cs="Arial"/>
          <w:sz w:val="18"/>
          <w:szCs w:val="18"/>
        </w:rPr>
        <w:t xml:space="preserve"> </w:t>
      </w:r>
      <w:r>
        <w:rPr>
          <w:rFonts w:ascii="Arial" w:hAnsi="Arial" w:cs="Arial"/>
          <w:sz w:val="18"/>
          <w:szCs w:val="18"/>
        </w:rPr>
        <w:t>C., Di Caprio F., Concas A., Dunford</w:t>
      </w:r>
      <w:r w:rsidR="005A023E" w:rsidRPr="00791705">
        <w:rPr>
          <w:rFonts w:ascii="Arial" w:hAnsi="Arial" w:cs="Arial"/>
          <w:sz w:val="18"/>
          <w:szCs w:val="18"/>
        </w:rPr>
        <w:t xml:space="preserve"> N.</w:t>
      </w:r>
      <w:r>
        <w:rPr>
          <w:rFonts w:ascii="Arial" w:hAnsi="Arial" w:cs="Arial"/>
          <w:sz w:val="18"/>
          <w:szCs w:val="18"/>
        </w:rPr>
        <w:t>T</w:t>
      </w:r>
      <w:r w:rsidR="005A023E" w:rsidRPr="00791705">
        <w:rPr>
          <w:rFonts w:ascii="Arial" w:hAnsi="Arial" w:cs="Arial"/>
          <w:sz w:val="18"/>
          <w:szCs w:val="18"/>
        </w:rPr>
        <w:t>., 2020a, Latest developments in wastewater treatment and biopolymer production by microalgae, Journal of Environmental Chemical Engineering, 9(1), 104926.</w:t>
      </w:r>
    </w:p>
    <w:p w14:paraId="147A45F1" w14:textId="77777777" w:rsidR="005A023E" w:rsidRPr="00791705" w:rsidRDefault="007755A9" w:rsidP="005A023E">
      <w:pPr>
        <w:pStyle w:val="EndNoteBibliography"/>
        <w:spacing w:after="0" w:line="264" w:lineRule="auto"/>
        <w:ind w:left="709" w:hanging="709"/>
        <w:jc w:val="both"/>
        <w:rPr>
          <w:rFonts w:ascii="Arial" w:hAnsi="Arial" w:cs="Arial"/>
          <w:sz w:val="18"/>
          <w:szCs w:val="18"/>
        </w:rPr>
      </w:pPr>
      <w:r>
        <w:rPr>
          <w:rFonts w:ascii="Arial" w:hAnsi="Arial" w:cs="Arial"/>
          <w:sz w:val="18"/>
          <w:szCs w:val="18"/>
        </w:rPr>
        <w:t>Lutzu G.A., Marin M.A., Concas</w:t>
      </w:r>
      <w:r w:rsidR="005A023E" w:rsidRPr="00791705">
        <w:rPr>
          <w:rFonts w:ascii="Arial" w:hAnsi="Arial" w:cs="Arial"/>
          <w:sz w:val="18"/>
          <w:szCs w:val="18"/>
        </w:rPr>
        <w:t xml:space="preserve"> A.</w:t>
      </w:r>
      <w:r>
        <w:rPr>
          <w:rFonts w:ascii="Arial" w:hAnsi="Arial" w:cs="Arial"/>
          <w:sz w:val="18"/>
          <w:szCs w:val="18"/>
        </w:rPr>
        <w:t>, Dunford N.</w:t>
      </w:r>
      <w:r w:rsidR="005A023E" w:rsidRPr="00791705">
        <w:rPr>
          <w:rFonts w:ascii="Arial" w:hAnsi="Arial" w:cs="Arial"/>
          <w:sz w:val="18"/>
          <w:szCs w:val="18"/>
        </w:rPr>
        <w:t>T., 2020b, Growing </w:t>
      </w:r>
      <w:r w:rsidR="005A023E" w:rsidRPr="00791705">
        <w:rPr>
          <w:rFonts w:ascii="Arial" w:hAnsi="Arial" w:cs="Arial"/>
          <w:i/>
          <w:sz w:val="18"/>
          <w:szCs w:val="18"/>
        </w:rPr>
        <w:t>Picochlorum oklahomensis</w:t>
      </w:r>
      <w:r w:rsidR="005A023E" w:rsidRPr="00791705">
        <w:rPr>
          <w:rFonts w:ascii="Arial" w:hAnsi="Arial" w:cs="Arial"/>
          <w:sz w:val="18"/>
          <w:szCs w:val="18"/>
        </w:rPr>
        <w:t> in hydraulic fracturing wastewater supplemented with animal wastewater. Water Air &amp; Soil Pollution, 231, 457.</w:t>
      </w:r>
    </w:p>
    <w:p w14:paraId="31D9F44F" w14:textId="77777777" w:rsidR="005A023E" w:rsidRPr="00791705" w:rsidRDefault="007755A9" w:rsidP="005A023E">
      <w:pPr>
        <w:shd w:val="clear" w:color="auto" w:fill="FCFCFC"/>
        <w:tabs>
          <w:tab w:val="left" w:pos="720"/>
        </w:tabs>
        <w:ind w:left="720" w:hanging="720"/>
        <w:textAlignment w:val="center"/>
        <w:rPr>
          <w:rFonts w:cs="Arial"/>
          <w:szCs w:val="18"/>
        </w:rPr>
      </w:pPr>
      <w:r>
        <w:rPr>
          <w:rFonts w:cs="Arial"/>
          <w:szCs w:val="18"/>
          <w:lang w:val="en-US"/>
        </w:rPr>
        <w:t>Khalaji M., Hosseini</w:t>
      </w:r>
      <w:r w:rsidR="005A023E" w:rsidRPr="00791705">
        <w:rPr>
          <w:rFonts w:cs="Arial"/>
          <w:szCs w:val="18"/>
          <w:lang w:val="en-US"/>
        </w:rPr>
        <w:t xml:space="preserve"> S.A.</w:t>
      </w:r>
      <w:r>
        <w:rPr>
          <w:rFonts w:cs="Arial"/>
          <w:szCs w:val="18"/>
          <w:lang w:val="en-US"/>
        </w:rPr>
        <w:t>,</w:t>
      </w:r>
      <w:r w:rsidR="005A023E" w:rsidRPr="00791705">
        <w:rPr>
          <w:rFonts w:cs="Arial"/>
          <w:szCs w:val="18"/>
          <w:lang w:val="en-US"/>
        </w:rPr>
        <w:t xml:space="preserve"> Ghorbani</w:t>
      </w:r>
      <w:r>
        <w:rPr>
          <w:rFonts w:cs="Arial"/>
          <w:szCs w:val="18"/>
          <w:lang w:val="en-US"/>
        </w:rPr>
        <w:t xml:space="preserve"> R., Agh N., Rezaei H., Kornaros M., Koutra E., 2021,</w:t>
      </w:r>
      <w:r w:rsidR="005A023E" w:rsidRPr="00791705">
        <w:rPr>
          <w:rFonts w:cs="Arial"/>
          <w:szCs w:val="18"/>
          <w:lang w:val="en-US"/>
        </w:rPr>
        <w:t xml:space="preserve"> </w:t>
      </w:r>
      <w:r w:rsidR="005A023E" w:rsidRPr="00791705">
        <w:rPr>
          <w:rFonts w:cs="Arial"/>
          <w:szCs w:val="18"/>
        </w:rPr>
        <w:t xml:space="preserve">Treatment of dairy wastewater by microalgae </w:t>
      </w:r>
      <w:r w:rsidR="005A023E" w:rsidRPr="00791705">
        <w:rPr>
          <w:rFonts w:cs="Arial"/>
          <w:i/>
          <w:szCs w:val="18"/>
        </w:rPr>
        <w:t>Chlorella vulgaris</w:t>
      </w:r>
      <w:r w:rsidR="005A023E" w:rsidRPr="00791705">
        <w:rPr>
          <w:rFonts w:cs="Arial"/>
          <w:szCs w:val="18"/>
        </w:rPr>
        <w:t xml:space="preserve"> for biofuels production. Biomass Conversion and Biorefinery, </w:t>
      </w:r>
      <w:r w:rsidR="005A023E" w:rsidRPr="005A023E">
        <w:rPr>
          <w:rFonts w:cs="Arial"/>
          <w:szCs w:val="18"/>
          <w:shd w:val="clear" w:color="auto" w:fill="FCFCFC"/>
        </w:rPr>
        <w:t>doi.org/10.1007/s13399-021-01287-2</w:t>
      </w:r>
    </w:p>
    <w:p w14:paraId="117E58AA" w14:textId="77777777" w:rsidR="005A023E" w:rsidRPr="00685852" w:rsidRDefault="007755A9" w:rsidP="005A023E">
      <w:pPr>
        <w:shd w:val="clear" w:color="auto" w:fill="FFFFFF"/>
        <w:ind w:left="720" w:hanging="720"/>
        <w:rPr>
          <w:rStyle w:val="ws1d"/>
          <w:rFonts w:ascii="ff4" w:hAnsi="ff4"/>
          <w:color w:val="000000"/>
          <w:sz w:val="32"/>
          <w:szCs w:val="32"/>
          <w:lang w:val="en-US"/>
        </w:rPr>
      </w:pPr>
      <w:r>
        <w:rPr>
          <w:rFonts w:cs="Arial"/>
          <w:szCs w:val="18"/>
          <w:lang w:eastAsia="it-IT"/>
        </w:rPr>
        <w:t>Khdair A., Abu-Rumman G., 2020,</w:t>
      </w:r>
      <w:r w:rsidR="005A023E" w:rsidRPr="00791705">
        <w:rPr>
          <w:rFonts w:cs="Arial"/>
          <w:szCs w:val="18"/>
          <w:lang w:eastAsia="it-IT"/>
        </w:rPr>
        <w:t xml:space="preserve"> Sustainable environmental management and valorization option for olive mill byproducts in the Middle east and North Africa (MENA) region. </w:t>
      </w:r>
      <w:r w:rsidR="005A023E" w:rsidRPr="00685852">
        <w:rPr>
          <w:rFonts w:cs="Arial"/>
          <w:szCs w:val="18"/>
          <w:lang w:val="en-US" w:eastAsia="it-IT"/>
        </w:rPr>
        <w:t xml:space="preserve">Processes 8, 671, </w:t>
      </w:r>
      <w:r w:rsidR="005A023E" w:rsidRPr="00685852">
        <w:rPr>
          <w:rStyle w:val="ff4"/>
          <w:rFonts w:cs="Arial"/>
          <w:color w:val="000000"/>
          <w:szCs w:val="18"/>
          <w:lang w:val="en-US"/>
        </w:rPr>
        <w:t>doi:10.3390</w:t>
      </w:r>
      <w:r w:rsidR="005A023E" w:rsidRPr="00685852">
        <w:rPr>
          <w:rStyle w:val="ff8"/>
          <w:rFonts w:cs="Arial"/>
          <w:color w:val="000000"/>
          <w:szCs w:val="18"/>
          <w:lang w:val="en-US"/>
        </w:rPr>
        <w:t>/</w:t>
      </w:r>
      <w:r w:rsidR="005A023E" w:rsidRPr="00685852">
        <w:rPr>
          <w:rStyle w:val="ws1d"/>
          <w:rFonts w:cs="Arial"/>
          <w:color w:val="000000"/>
          <w:szCs w:val="18"/>
          <w:lang w:val="en-US"/>
        </w:rPr>
        <w:t>pr8060671</w:t>
      </w:r>
      <w:r w:rsidR="005A023E" w:rsidRPr="00685852">
        <w:rPr>
          <w:rStyle w:val="ws1d"/>
          <w:rFonts w:ascii="ff4" w:hAnsi="ff4"/>
          <w:color w:val="000000"/>
          <w:sz w:val="32"/>
          <w:szCs w:val="32"/>
          <w:lang w:val="en-US"/>
        </w:rPr>
        <w:t xml:space="preserve"> </w:t>
      </w:r>
    </w:p>
    <w:p w14:paraId="371C1CB1" w14:textId="77777777" w:rsidR="002B48CE" w:rsidRPr="00791705" w:rsidRDefault="007755A9" w:rsidP="00F21C34">
      <w:pPr>
        <w:shd w:val="clear" w:color="auto" w:fill="FCFCFC"/>
        <w:tabs>
          <w:tab w:val="left" w:pos="720"/>
        </w:tabs>
        <w:ind w:left="720" w:hanging="720"/>
        <w:textAlignment w:val="center"/>
        <w:rPr>
          <w:rFonts w:eastAsia="AdvGulliv-R" w:cs="Arial"/>
          <w:szCs w:val="18"/>
        </w:rPr>
      </w:pPr>
      <w:r>
        <w:rPr>
          <w:rFonts w:eastAsia="AdvGulliv-R" w:cs="Arial"/>
          <w:szCs w:val="18"/>
        </w:rPr>
        <w:t>Malins</w:t>
      </w:r>
      <w:r w:rsidR="00F2368C" w:rsidRPr="00791705">
        <w:rPr>
          <w:rFonts w:eastAsia="AdvGulliv-R" w:cs="Arial"/>
          <w:szCs w:val="18"/>
        </w:rPr>
        <w:t xml:space="preserve"> C., 2017</w:t>
      </w:r>
      <w:r>
        <w:rPr>
          <w:rFonts w:eastAsia="AdvGulliv-R" w:cs="Arial"/>
          <w:szCs w:val="18"/>
        </w:rPr>
        <w:t>,</w:t>
      </w:r>
      <w:r w:rsidR="002B48CE" w:rsidRPr="00791705">
        <w:rPr>
          <w:rFonts w:eastAsia="AdvGulliv-R" w:cs="Arial"/>
          <w:szCs w:val="18"/>
        </w:rPr>
        <w:t xml:space="preserve"> What role is there for electrofuel technologies in European transport’s low carbon future? Transport and </w:t>
      </w:r>
      <w:r w:rsidR="00F2368C" w:rsidRPr="00791705">
        <w:rPr>
          <w:rFonts w:eastAsia="AdvGulliv-R" w:cs="Arial"/>
          <w:szCs w:val="18"/>
        </w:rPr>
        <w:t>Environment, Brussels, Belgium</w:t>
      </w:r>
      <w:r w:rsidR="002B48CE" w:rsidRPr="00791705">
        <w:rPr>
          <w:rFonts w:eastAsia="AdvGulliv-R" w:cs="Arial"/>
          <w:szCs w:val="18"/>
        </w:rPr>
        <w:t>, pp. 1-86.</w:t>
      </w:r>
    </w:p>
    <w:p w14:paraId="4C858F36" w14:textId="77777777" w:rsidR="002B48CE" w:rsidRDefault="007755A9" w:rsidP="00F21C34">
      <w:pPr>
        <w:shd w:val="clear" w:color="auto" w:fill="FCFCFC"/>
        <w:tabs>
          <w:tab w:val="left" w:pos="720"/>
        </w:tabs>
        <w:ind w:left="720" w:hanging="720"/>
        <w:textAlignment w:val="center"/>
      </w:pPr>
      <w:r>
        <w:rPr>
          <w:rFonts w:cs="Arial"/>
          <w:bCs/>
          <w:szCs w:val="18"/>
        </w:rPr>
        <w:t>Piaseka</w:t>
      </w:r>
      <w:r w:rsidR="002B48CE" w:rsidRPr="00791705">
        <w:rPr>
          <w:rFonts w:cs="Arial"/>
          <w:bCs/>
          <w:szCs w:val="18"/>
        </w:rPr>
        <w:t xml:space="preserve"> </w:t>
      </w:r>
      <w:r w:rsidR="00F21C34" w:rsidRPr="00791705">
        <w:rPr>
          <w:rFonts w:cs="Arial"/>
          <w:bCs/>
          <w:szCs w:val="18"/>
        </w:rPr>
        <w:t xml:space="preserve">A., </w:t>
      </w:r>
      <w:r>
        <w:rPr>
          <w:rFonts w:cs="Arial"/>
          <w:bCs/>
          <w:szCs w:val="18"/>
        </w:rPr>
        <w:t>Kreminska</w:t>
      </w:r>
      <w:r w:rsidR="00F21C34" w:rsidRPr="00791705">
        <w:rPr>
          <w:rFonts w:cs="Arial"/>
          <w:bCs/>
          <w:szCs w:val="18"/>
        </w:rPr>
        <w:t xml:space="preserve"> I., </w:t>
      </w:r>
      <w:r>
        <w:rPr>
          <w:rFonts w:cs="Arial"/>
          <w:bCs/>
          <w:szCs w:val="18"/>
        </w:rPr>
        <w:t>Tys</w:t>
      </w:r>
      <w:r w:rsidR="00F21C34" w:rsidRPr="00791705">
        <w:rPr>
          <w:rFonts w:cs="Arial"/>
          <w:bCs/>
          <w:szCs w:val="18"/>
        </w:rPr>
        <w:t xml:space="preserve"> J.,</w:t>
      </w:r>
      <w:r w:rsidR="002B48CE" w:rsidRPr="00791705">
        <w:rPr>
          <w:rFonts w:cs="Arial"/>
          <w:bCs/>
          <w:szCs w:val="18"/>
        </w:rPr>
        <w:t xml:space="preserve"> </w:t>
      </w:r>
      <w:r w:rsidR="00F2368C" w:rsidRPr="00791705">
        <w:rPr>
          <w:rFonts w:cs="Arial"/>
          <w:bCs/>
          <w:szCs w:val="18"/>
        </w:rPr>
        <w:t>2017</w:t>
      </w:r>
      <w:r>
        <w:rPr>
          <w:rFonts w:cs="Arial"/>
          <w:bCs/>
          <w:szCs w:val="18"/>
        </w:rPr>
        <w:t>,</w:t>
      </w:r>
      <w:r w:rsidR="00F2368C" w:rsidRPr="00791705">
        <w:rPr>
          <w:rFonts w:cs="Arial"/>
          <w:bCs/>
          <w:szCs w:val="18"/>
        </w:rPr>
        <w:t xml:space="preserve"> </w:t>
      </w:r>
      <w:r w:rsidR="002B48CE" w:rsidRPr="00791705">
        <w:rPr>
          <w:rFonts w:cs="Arial"/>
          <w:bCs/>
          <w:szCs w:val="18"/>
        </w:rPr>
        <w:t xml:space="preserve">Enrichment of </w:t>
      </w:r>
      <w:r w:rsidR="002B48CE" w:rsidRPr="00791705">
        <w:rPr>
          <w:rFonts w:cs="Arial"/>
          <w:bCs/>
          <w:i/>
          <w:szCs w:val="18"/>
        </w:rPr>
        <w:t>Parachlorella kessleri</w:t>
      </w:r>
      <w:r w:rsidR="002B48CE" w:rsidRPr="00791705">
        <w:rPr>
          <w:rFonts w:cs="Arial"/>
          <w:bCs/>
          <w:szCs w:val="18"/>
        </w:rPr>
        <w:t xml:space="preserve"> biomass with bio-products: oil and protein by utilizati</w:t>
      </w:r>
      <w:r w:rsidR="00F21C34" w:rsidRPr="00791705">
        <w:rPr>
          <w:rFonts w:cs="Arial"/>
          <w:bCs/>
          <w:szCs w:val="18"/>
        </w:rPr>
        <w:t>on of beet molasses.</w:t>
      </w:r>
      <w:r w:rsidR="002B48CE" w:rsidRPr="00791705">
        <w:rPr>
          <w:rFonts w:cs="Arial"/>
          <w:bCs/>
          <w:szCs w:val="18"/>
        </w:rPr>
        <w:t xml:space="preserve"> J</w:t>
      </w:r>
      <w:r w:rsidR="00F2368C" w:rsidRPr="00791705">
        <w:rPr>
          <w:rFonts w:cs="Arial"/>
          <w:bCs/>
          <w:szCs w:val="18"/>
        </w:rPr>
        <w:t>ournal of</w:t>
      </w:r>
      <w:r w:rsidR="002B48CE" w:rsidRPr="00791705">
        <w:rPr>
          <w:rFonts w:cs="Arial"/>
          <w:bCs/>
          <w:szCs w:val="18"/>
        </w:rPr>
        <w:t xml:space="preserve"> Appl</w:t>
      </w:r>
      <w:r w:rsidR="00F2368C" w:rsidRPr="00791705">
        <w:rPr>
          <w:rFonts w:cs="Arial"/>
          <w:bCs/>
          <w:szCs w:val="18"/>
        </w:rPr>
        <w:t>ied</w:t>
      </w:r>
      <w:r w:rsidR="002B48CE" w:rsidRPr="00791705">
        <w:rPr>
          <w:rFonts w:cs="Arial"/>
          <w:bCs/>
          <w:szCs w:val="18"/>
        </w:rPr>
        <w:t xml:space="preserve"> Phycol</w:t>
      </w:r>
      <w:r w:rsidR="00F2368C" w:rsidRPr="00791705">
        <w:rPr>
          <w:rFonts w:cs="Arial"/>
          <w:bCs/>
          <w:szCs w:val="18"/>
        </w:rPr>
        <w:t>ogy</w:t>
      </w:r>
      <w:r w:rsidR="00F21C34" w:rsidRPr="00791705">
        <w:rPr>
          <w:rFonts w:cs="Arial"/>
          <w:bCs/>
          <w:szCs w:val="18"/>
        </w:rPr>
        <w:t xml:space="preserve"> 29, </w:t>
      </w:r>
      <w:r w:rsidR="002B48CE" w:rsidRPr="00791705">
        <w:rPr>
          <w:rFonts w:cs="Arial"/>
          <w:bCs/>
          <w:szCs w:val="18"/>
        </w:rPr>
        <w:t xml:space="preserve">1735-1743, </w:t>
      </w:r>
      <w:hyperlink r:id="rId21" w:history="1">
        <w:r w:rsidR="002B48CE" w:rsidRPr="00791705">
          <w:rPr>
            <w:rStyle w:val="Collegamentoipertestuale"/>
            <w:rFonts w:cs="Arial"/>
            <w:color w:val="auto"/>
            <w:szCs w:val="18"/>
            <w:u w:val="none"/>
            <w:shd w:val="clear" w:color="auto" w:fill="FCFCFC"/>
          </w:rPr>
          <w:t>doi.org/10.1007/s10811-017-1081-y</w:t>
        </w:r>
      </w:hyperlink>
    </w:p>
    <w:p w14:paraId="29A0277B" w14:textId="77777777" w:rsidR="00EC7730" w:rsidRPr="005A023E" w:rsidRDefault="00EC7730" w:rsidP="00EC7730">
      <w:pPr>
        <w:widowControl w:val="0"/>
        <w:autoSpaceDE w:val="0"/>
        <w:autoSpaceDN w:val="0"/>
        <w:adjustRightInd w:val="0"/>
        <w:ind w:left="480" w:hanging="480"/>
        <w:rPr>
          <w:noProof/>
          <w:szCs w:val="18"/>
        </w:rPr>
      </w:pPr>
      <w:r>
        <w:t>Ratomski P., Hawrot-Paw</w:t>
      </w:r>
      <w:r w:rsidRPr="00791705">
        <w:t xml:space="preserve"> M., 2021</w:t>
      </w:r>
      <w:r>
        <w:t>,</w:t>
      </w:r>
      <w:r w:rsidRPr="00791705">
        <w:t xml:space="preserve"> Influence of nutrient-stress conditions on </w:t>
      </w:r>
      <w:r w:rsidRPr="00791705">
        <w:rPr>
          <w:i/>
        </w:rPr>
        <w:t>Chlorella vulgaris</w:t>
      </w:r>
      <w:r w:rsidRPr="00791705">
        <w:t xml:space="preserve"> biomass production and lipid content. Catalysts, 11, 573. https:// doi.org/10.3390/catal11050573</w:t>
      </w:r>
    </w:p>
    <w:p w14:paraId="3AD3ED73" w14:textId="73B9FD38" w:rsidR="005A023E" w:rsidRDefault="005A023E" w:rsidP="005A023E">
      <w:pPr>
        <w:pStyle w:val="EndNoteBibliography"/>
        <w:spacing w:after="0" w:line="264" w:lineRule="auto"/>
        <w:ind w:left="709" w:hanging="709"/>
        <w:jc w:val="both"/>
        <w:rPr>
          <w:rFonts w:ascii="Arial" w:hAnsi="Arial" w:cs="Arial"/>
          <w:sz w:val="18"/>
          <w:szCs w:val="18"/>
        </w:rPr>
      </w:pPr>
      <w:r w:rsidRPr="00791705">
        <w:rPr>
          <w:rFonts w:ascii="Arial" w:hAnsi="Arial" w:cs="Arial"/>
          <w:sz w:val="18"/>
          <w:szCs w:val="18"/>
        </w:rPr>
        <w:t xml:space="preserve">SAG, The Culture Collection of Algae at the University of Göttingen, Germany. </w:t>
      </w:r>
      <w:hyperlink r:id="rId22" w:history="1">
        <w:r w:rsidRPr="00791705">
          <w:rPr>
            <w:rStyle w:val="Collegamentoipertestuale"/>
            <w:rFonts w:ascii="Arial" w:hAnsi="Arial" w:cs="Arial"/>
            <w:color w:val="auto"/>
            <w:sz w:val="18"/>
            <w:szCs w:val="18"/>
            <w:u w:val="none"/>
          </w:rPr>
          <w:t>https://sagdb.uni-goettingen.de/</w:t>
        </w:r>
      </w:hyperlink>
      <w:r w:rsidRPr="00791705">
        <w:rPr>
          <w:rFonts w:ascii="Arial" w:hAnsi="Arial" w:cs="Arial"/>
          <w:sz w:val="18"/>
          <w:szCs w:val="18"/>
        </w:rPr>
        <w:t>. Accessed on 04.04.2021.</w:t>
      </w:r>
    </w:p>
    <w:p w14:paraId="41343B1D" w14:textId="6E6D6F1D" w:rsidR="005F11AA" w:rsidRPr="00791705" w:rsidRDefault="005F11AA" w:rsidP="005A023E">
      <w:pPr>
        <w:pStyle w:val="EndNoteBibliography"/>
        <w:spacing w:after="0" w:line="264" w:lineRule="auto"/>
        <w:ind w:left="709" w:hanging="709"/>
        <w:jc w:val="both"/>
        <w:rPr>
          <w:rFonts w:ascii="Arial" w:hAnsi="Arial" w:cs="Arial"/>
          <w:sz w:val="18"/>
          <w:szCs w:val="18"/>
        </w:rPr>
      </w:pPr>
      <w:r w:rsidRPr="00052340">
        <w:rPr>
          <w:rFonts w:ascii="Arial" w:hAnsi="Arial" w:cs="Arial"/>
          <w:sz w:val="18"/>
          <w:szCs w:val="18"/>
          <w:lang w:val="it-IT"/>
        </w:rPr>
        <w:t xml:space="preserve">Soru S., Malavasi V., Caboni P., </w:t>
      </w:r>
      <w:r w:rsidR="00052340" w:rsidRPr="00052340">
        <w:rPr>
          <w:rFonts w:ascii="Arial" w:hAnsi="Arial" w:cs="Arial"/>
          <w:sz w:val="18"/>
          <w:szCs w:val="18"/>
          <w:lang w:val="it-IT"/>
        </w:rPr>
        <w:t>Concas,A</w:t>
      </w:r>
      <w:r w:rsidR="00052340">
        <w:rPr>
          <w:rFonts w:ascii="Arial" w:hAnsi="Arial" w:cs="Arial"/>
          <w:sz w:val="18"/>
          <w:szCs w:val="18"/>
          <w:lang w:val="it-IT"/>
        </w:rPr>
        <w:t xml:space="preserve">., </w:t>
      </w:r>
      <w:r w:rsidR="00052340" w:rsidRPr="00052340">
        <w:rPr>
          <w:rFonts w:ascii="Arial" w:hAnsi="Arial" w:cs="Arial"/>
          <w:sz w:val="18"/>
          <w:szCs w:val="18"/>
          <w:lang w:val="it-IT"/>
        </w:rPr>
        <w:t xml:space="preserve"> </w:t>
      </w:r>
      <w:r w:rsidRPr="00052340">
        <w:rPr>
          <w:rFonts w:ascii="Arial" w:hAnsi="Arial" w:cs="Arial"/>
          <w:sz w:val="18"/>
          <w:szCs w:val="18"/>
          <w:lang w:val="it-IT"/>
        </w:rPr>
        <w:t xml:space="preserve">and Cao G. 2019. </w:t>
      </w:r>
      <w:r w:rsidRPr="005F11AA">
        <w:rPr>
          <w:rFonts w:ascii="Arial" w:hAnsi="Arial" w:cs="Arial"/>
          <w:sz w:val="18"/>
          <w:szCs w:val="18"/>
        </w:rPr>
        <w:t xml:space="preserve">Behavior of the extremophile green alga </w:t>
      </w:r>
      <w:r w:rsidRPr="005F11AA">
        <w:rPr>
          <w:rFonts w:ascii="Arial" w:hAnsi="Arial" w:cs="Arial"/>
          <w:i/>
          <w:iCs/>
          <w:sz w:val="18"/>
          <w:szCs w:val="18"/>
        </w:rPr>
        <w:t>Coccomyxa melkonianii</w:t>
      </w:r>
      <w:r w:rsidRPr="005F11AA">
        <w:rPr>
          <w:rFonts w:ascii="Arial" w:hAnsi="Arial" w:cs="Arial"/>
          <w:sz w:val="18"/>
          <w:szCs w:val="18"/>
        </w:rPr>
        <w:t xml:space="preserve"> SCCA 048 in terms of lipids production and morphology at different pH values</w:t>
      </w:r>
      <w:r>
        <w:rPr>
          <w:rFonts w:ascii="Arial" w:hAnsi="Arial" w:cs="Arial"/>
          <w:sz w:val="18"/>
          <w:szCs w:val="18"/>
        </w:rPr>
        <w:t xml:space="preserve">. </w:t>
      </w:r>
      <w:r w:rsidRPr="005F11AA">
        <w:rPr>
          <w:rFonts w:ascii="Arial" w:hAnsi="Arial" w:cs="Arial"/>
          <w:sz w:val="18"/>
          <w:szCs w:val="18"/>
        </w:rPr>
        <w:t>Extremophiles 23, 79–89</w:t>
      </w:r>
      <w:r>
        <w:rPr>
          <w:rFonts w:ascii="Arial" w:hAnsi="Arial" w:cs="Arial"/>
          <w:sz w:val="18"/>
          <w:szCs w:val="18"/>
        </w:rPr>
        <w:t xml:space="preserve">, </w:t>
      </w:r>
      <w:r w:rsidRPr="005F11AA">
        <w:rPr>
          <w:rFonts w:ascii="Arial" w:hAnsi="Arial" w:cs="Arial"/>
          <w:sz w:val="18"/>
          <w:szCs w:val="18"/>
        </w:rPr>
        <w:t>doi.org/10.1007/s00792-018-1062-3</w:t>
      </w:r>
      <w:r>
        <w:rPr>
          <w:rFonts w:ascii="Arial" w:hAnsi="Arial" w:cs="Arial"/>
          <w:sz w:val="18"/>
          <w:szCs w:val="18"/>
        </w:rPr>
        <w:t xml:space="preserve">. </w:t>
      </w:r>
    </w:p>
    <w:p w14:paraId="6329F09D" w14:textId="77777777" w:rsidR="005A023E" w:rsidRPr="00791705" w:rsidRDefault="007755A9" w:rsidP="005A023E">
      <w:pPr>
        <w:shd w:val="clear" w:color="auto" w:fill="FCFCFC"/>
        <w:tabs>
          <w:tab w:val="left" w:pos="720"/>
        </w:tabs>
        <w:ind w:left="720" w:hanging="720"/>
        <w:textAlignment w:val="center"/>
        <w:rPr>
          <w:rFonts w:cs="Arial"/>
          <w:szCs w:val="18"/>
        </w:rPr>
      </w:pPr>
      <w:r>
        <w:rPr>
          <w:rFonts w:cs="Arial"/>
          <w:szCs w:val="18"/>
          <w:shd w:val="clear" w:color="auto" w:fill="FFFFFF"/>
        </w:rPr>
        <w:t>Turinayo</w:t>
      </w:r>
      <w:r w:rsidR="00EF2B99">
        <w:rPr>
          <w:rFonts w:cs="Arial"/>
          <w:szCs w:val="18"/>
          <w:shd w:val="clear" w:color="auto" w:fill="FFFFFF"/>
        </w:rPr>
        <w:t xml:space="preserve"> </w:t>
      </w:r>
      <w:r>
        <w:rPr>
          <w:rFonts w:cs="Arial"/>
          <w:szCs w:val="18"/>
          <w:shd w:val="clear" w:color="auto" w:fill="FFFFFF"/>
        </w:rPr>
        <w:t>K., 2017,</w:t>
      </w:r>
      <w:r w:rsidR="005A023E" w:rsidRPr="00791705">
        <w:rPr>
          <w:rFonts w:cs="Arial"/>
          <w:szCs w:val="18"/>
          <w:shd w:val="clear" w:color="auto" w:fill="FFFFFF"/>
        </w:rPr>
        <w:t xml:space="preserve"> Physicochemical properties of sugar industry and molasses based distillery effluent and its effect on water quality of river Musamya in Uganda. International Journal of Environment, Agriculture and Biotechnology 2(3), 1064-1069, </w:t>
      </w:r>
      <w:r w:rsidR="005A023E" w:rsidRPr="00791705">
        <w:rPr>
          <w:rFonts w:cs="Arial"/>
          <w:szCs w:val="18"/>
        </w:rPr>
        <w:t>doi.org/10.22161/ijeab/2.3.8</w:t>
      </w:r>
    </w:p>
    <w:p w14:paraId="5B00B24A" w14:textId="77777777" w:rsidR="005F1C52" w:rsidRPr="005F1C52" w:rsidRDefault="007755A9" w:rsidP="0008519E">
      <w:pPr>
        <w:shd w:val="clear" w:color="auto" w:fill="FFFFFF"/>
        <w:ind w:left="720" w:hanging="720"/>
        <w:rPr>
          <w:rFonts w:cs="Arial"/>
          <w:color w:val="000000"/>
          <w:szCs w:val="18"/>
          <w:lang w:val="en-US"/>
        </w:rPr>
      </w:pPr>
      <w:r w:rsidRPr="00A15A9F">
        <w:rPr>
          <w:rStyle w:val="ws1d"/>
          <w:rFonts w:cs="Arial"/>
          <w:color w:val="000000"/>
          <w:szCs w:val="18"/>
          <w:lang w:val="en-US"/>
        </w:rPr>
        <w:t>Wu J.S., Jia R.B., Li B., Liu C.C., 2014,</w:t>
      </w:r>
      <w:r w:rsidR="005F1C52" w:rsidRPr="00A15A9F">
        <w:rPr>
          <w:rStyle w:val="ws1d"/>
          <w:rFonts w:cs="Arial"/>
          <w:color w:val="000000"/>
          <w:szCs w:val="18"/>
          <w:lang w:val="en-US"/>
        </w:rPr>
        <w:t xml:space="preserve"> </w:t>
      </w:r>
      <w:r w:rsidR="005F1C52" w:rsidRPr="00791705">
        <w:rPr>
          <w:rStyle w:val="ws1d"/>
          <w:rFonts w:cs="Arial"/>
          <w:color w:val="000000"/>
          <w:szCs w:val="18"/>
          <w:lang w:val="en-US"/>
        </w:rPr>
        <w:t xml:space="preserve">Study on the correlation of N, P nutrients and </w:t>
      </w:r>
      <w:r w:rsidR="005F1C52" w:rsidRPr="00791705">
        <w:rPr>
          <w:rStyle w:val="ws1d"/>
          <w:rFonts w:cs="Arial"/>
          <w:i/>
          <w:color w:val="000000"/>
          <w:szCs w:val="18"/>
          <w:lang w:val="en-US"/>
        </w:rPr>
        <w:t>Chlorella</w:t>
      </w:r>
      <w:r w:rsidR="005F1C52" w:rsidRPr="00791705">
        <w:rPr>
          <w:rStyle w:val="ws1d"/>
          <w:rFonts w:cs="Arial"/>
          <w:color w:val="000000"/>
          <w:szCs w:val="18"/>
          <w:lang w:val="en-US"/>
        </w:rPr>
        <w:t xml:space="preserve"> growth. Applied Mechanics and Materials 641-642, 1183-1186.</w:t>
      </w:r>
    </w:p>
    <w:p w14:paraId="44C4B95E" w14:textId="77777777" w:rsidR="00732C41" w:rsidRDefault="007755A9" w:rsidP="00791705">
      <w:pPr>
        <w:pStyle w:val="EndNoteBibliography"/>
        <w:spacing w:after="0" w:line="264" w:lineRule="auto"/>
        <w:ind w:left="720" w:hanging="72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Xin</w:t>
      </w:r>
      <w:r w:rsidR="00211DB1" w:rsidRPr="00EF2B99">
        <w:rPr>
          <w:rFonts w:ascii="Arial" w:hAnsi="Arial" w:cs="Arial"/>
          <w:color w:val="000000"/>
          <w:sz w:val="18"/>
          <w:szCs w:val="18"/>
          <w:shd w:val="clear" w:color="auto" w:fill="FFFFFF"/>
        </w:rPr>
        <w:t xml:space="preserve"> </w:t>
      </w:r>
      <w:r w:rsidR="00EF2B99" w:rsidRPr="00EF2B99">
        <w:rPr>
          <w:rFonts w:ascii="Arial" w:hAnsi="Arial" w:cs="Arial"/>
          <w:color w:val="000000"/>
          <w:sz w:val="18"/>
          <w:szCs w:val="18"/>
          <w:shd w:val="clear" w:color="auto" w:fill="FFFFFF"/>
        </w:rPr>
        <w:t xml:space="preserve">Y., </w:t>
      </w:r>
      <w:r>
        <w:rPr>
          <w:rFonts w:ascii="Arial" w:hAnsi="Arial" w:cs="Arial"/>
          <w:color w:val="000000"/>
          <w:sz w:val="18"/>
          <w:szCs w:val="18"/>
          <w:shd w:val="clear" w:color="auto" w:fill="FFFFFF"/>
        </w:rPr>
        <w:t>Shen</w:t>
      </w:r>
      <w:r w:rsidR="00211DB1" w:rsidRPr="00EF2B99">
        <w:rPr>
          <w:rFonts w:ascii="Arial" w:hAnsi="Arial" w:cs="Arial"/>
          <w:color w:val="000000"/>
          <w:sz w:val="18"/>
          <w:szCs w:val="18"/>
          <w:shd w:val="clear" w:color="auto" w:fill="FFFFFF"/>
        </w:rPr>
        <w:t xml:space="preserve"> </w:t>
      </w:r>
      <w:r w:rsidR="00EF2B99" w:rsidRPr="00EF2B99">
        <w:rPr>
          <w:rFonts w:ascii="Arial" w:hAnsi="Arial" w:cs="Arial"/>
          <w:color w:val="000000"/>
          <w:sz w:val="18"/>
          <w:szCs w:val="18"/>
          <w:shd w:val="clear" w:color="auto" w:fill="FFFFFF"/>
        </w:rPr>
        <w:t xml:space="preserve">C., </w:t>
      </w:r>
      <w:r>
        <w:rPr>
          <w:rFonts w:ascii="Arial" w:hAnsi="Arial" w:cs="Arial"/>
          <w:color w:val="000000"/>
          <w:sz w:val="18"/>
          <w:szCs w:val="18"/>
          <w:shd w:val="clear" w:color="auto" w:fill="FFFFFF"/>
        </w:rPr>
        <w:t>She</w:t>
      </w:r>
      <w:r w:rsidR="00211DB1" w:rsidRPr="00EF2B99">
        <w:rPr>
          <w:rFonts w:ascii="Arial" w:hAnsi="Arial" w:cs="Arial"/>
          <w:color w:val="000000"/>
          <w:sz w:val="18"/>
          <w:szCs w:val="18"/>
          <w:shd w:val="clear" w:color="auto" w:fill="FFFFFF"/>
        </w:rPr>
        <w:t xml:space="preserve"> </w:t>
      </w:r>
      <w:r w:rsidR="00EF2B99" w:rsidRPr="00EF2B99">
        <w:rPr>
          <w:rFonts w:ascii="Arial" w:hAnsi="Arial" w:cs="Arial"/>
          <w:color w:val="000000"/>
          <w:sz w:val="18"/>
          <w:szCs w:val="18"/>
          <w:shd w:val="clear" w:color="auto" w:fill="FFFFFF"/>
        </w:rPr>
        <w:t xml:space="preserve">Y., </w:t>
      </w:r>
      <w:r>
        <w:rPr>
          <w:rFonts w:ascii="Arial" w:hAnsi="Arial" w:cs="Arial"/>
          <w:color w:val="000000"/>
          <w:sz w:val="18"/>
          <w:szCs w:val="18"/>
          <w:shd w:val="clear" w:color="auto" w:fill="FFFFFF"/>
        </w:rPr>
        <w:t>Chen</w:t>
      </w:r>
      <w:r w:rsidR="00211DB1" w:rsidRPr="00EF2B99">
        <w:rPr>
          <w:rFonts w:ascii="Arial" w:hAnsi="Arial" w:cs="Arial"/>
          <w:color w:val="000000"/>
          <w:sz w:val="18"/>
          <w:szCs w:val="18"/>
          <w:shd w:val="clear" w:color="auto" w:fill="FFFFFF"/>
        </w:rPr>
        <w:t xml:space="preserve"> </w:t>
      </w:r>
      <w:r w:rsidR="00EF2B99" w:rsidRPr="00EF2B99">
        <w:rPr>
          <w:rFonts w:ascii="Arial" w:hAnsi="Arial" w:cs="Arial"/>
          <w:color w:val="000000"/>
          <w:sz w:val="18"/>
          <w:szCs w:val="18"/>
          <w:shd w:val="clear" w:color="auto" w:fill="FFFFFF"/>
        </w:rPr>
        <w:t xml:space="preserve">H., </w:t>
      </w:r>
      <w:r>
        <w:rPr>
          <w:rFonts w:ascii="Arial" w:hAnsi="Arial" w:cs="Arial"/>
          <w:color w:val="000000"/>
          <w:sz w:val="18"/>
          <w:szCs w:val="18"/>
          <w:shd w:val="clear" w:color="auto" w:fill="FFFFFF"/>
        </w:rPr>
        <w:t>Wang</w:t>
      </w:r>
      <w:r w:rsidR="00211DB1" w:rsidRPr="00EF2B99">
        <w:rPr>
          <w:rFonts w:ascii="Arial" w:hAnsi="Arial" w:cs="Arial"/>
          <w:color w:val="000000"/>
          <w:sz w:val="18"/>
          <w:szCs w:val="18"/>
          <w:shd w:val="clear" w:color="auto" w:fill="FFFFFF"/>
        </w:rPr>
        <w:t xml:space="preserve"> </w:t>
      </w:r>
      <w:r w:rsidR="00EF2B99" w:rsidRPr="00EF2B99">
        <w:rPr>
          <w:rFonts w:ascii="Arial" w:hAnsi="Arial" w:cs="Arial"/>
          <w:color w:val="000000"/>
          <w:sz w:val="18"/>
          <w:szCs w:val="18"/>
          <w:shd w:val="clear" w:color="auto" w:fill="FFFFFF"/>
        </w:rPr>
        <w:t xml:space="preserve">C., </w:t>
      </w:r>
      <w:r>
        <w:rPr>
          <w:rFonts w:ascii="Arial" w:hAnsi="Arial" w:cs="Arial"/>
          <w:color w:val="000000"/>
          <w:sz w:val="18"/>
          <w:szCs w:val="18"/>
          <w:shd w:val="clear" w:color="auto" w:fill="FFFFFF"/>
        </w:rPr>
        <w:t>Wei</w:t>
      </w:r>
      <w:r w:rsidR="00211DB1" w:rsidRPr="00EF2B99">
        <w:rPr>
          <w:rFonts w:ascii="Arial" w:hAnsi="Arial" w:cs="Arial"/>
          <w:color w:val="000000"/>
          <w:sz w:val="18"/>
          <w:szCs w:val="18"/>
          <w:shd w:val="clear" w:color="auto" w:fill="FFFFFF"/>
        </w:rPr>
        <w:t xml:space="preserve"> </w:t>
      </w:r>
      <w:r w:rsidR="00EF2B99" w:rsidRPr="00EF2B99">
        <w:rPr>
          <w:rFonts w:ascii="Arial" w:hAnsi="Arial" w:cs="Arial"/>
          <w:color w:val="000000"/>
          <w:sz w:val="18"/>
          <w:szCs w:val="18"/>
          <w:shd w:val="clear" w:color="auto" w:fill="FFFFFF"/>
        </w:rPr>
        <w:t xml:space="preserve">L., </w:t>
      </w:r>
      <w:r w:rsidR="00A61F21">
        <w:rPr>
          <w:rFonts w:ascii="Arial" w:hAnsi="Arial" w:cs="Arial"/>
          <w:color w:val="000000"/>
          <w:sz w:val="18"/>
          <w:szCs w:val="18"/>
          <w:shd w:val="clear" w:color="auto" w:fill="FFFFFF"/>
        </w:rPr>
        <w:t>Yoon K., Han D., Hu Q., Xu J.</w:t>
      </w:r>
      <w:r w:rsidR="00211DB1" w:rsidRPr="00EF2B99">
        <w:rPr>
          <w:rFonts w:ascii="Arial" w:hAnsi="Arial" w:cs="Arial"/>
          <w:color w:val="000000"/>
          <w:sz w:val="18"/>
          <w:szCs w:val="18"/>
          <w:shd w:val="clear" w:color="auto" w:fill="FFFFFF"/>
        </w:rPr>
        <w:t>,</w:t>
      </w:r>
      <w:r w:rsidR="00EF2B99" w:rsidRPr="00EF2B99">
        <w:rPr>
          <w:rFonts w:ascii="Arial" w:hAnsi="Arial" w:cs="Arial"/>
          <w:color w:val="000000"/>
          <w:sz w:val="18"/>
          <w:szCs w:val="18"/>
          <w:shd w:val="clear" w:color="auto" w:fill="FFFFFF"/>
        </w:rPr>
        <w:t xml:space="preserve"> 2018</w:t>
      </w:r>
      <w:r>
        <w:rPr>
          <w:rFonts w:ascii="Arial" w:hAnsi="Arial" w:cs="Arial"/>
          <w:color w:val="000000"/>
          <w:sz w:val="18"/>
          <w:szCs w:val="18"/>
          <w:shd w:val="clear" w:color="auto" w:fill="FFFFFF"/>
        </w:rPr>
        <w:t>,</w:t>
      </w:r>
      <w:r w:rsidR="00211DB1" w:rsidRPr="00EF2B99">
        <w:rPr>
          <w:rFonts w:ascii="Arial" w:hAnsi="Arial" w:cs="Arial"/>
          <w:color w:val="000000"/>
          <w:sz w:val="18"/>
          <w:szCs w:val="18"/>
          <w:shd w:val="clear" w:color="auto" w:fill="FFFFFF"/>
        </w:rPr>
        <w:t xml:space="preserve"> </w:t>
      </w:r>
      <w:r w:rsidR="00EF2B99" w:rsidRPr="00EF2B99">
        <w:rPr>
          <w:rFonts w:ascii="Arial" w:hAnsi="Arial" w:cs="Arial"/>
          <w:iCs/>
          <w:color w:val="000000"/>
          <w:sz w:val="18"/>
          <w:szCs w:val="18"/>
          <w:shd w:val="clear" w:color="auto" w:fill="FFFFFF"/>
        </w:rPr>
        <w:t>Biosynthesis of triacylglycerol molecules with a tailored PUFA profile in industrial m</w:t>
      </w:r>
      <w:r w:rsidR="00211DB1" w:rsidRPr="00EF2B99">
        <w:rPr>
          <w:rFonts w:ascii="Arial" w:hAnsi="Arial" w:cs="Arial"/>
          <w:iCs/>
          <w:color w:val="000000"/>
          <w:sz w:val="18"/>
          <w:szCs w:val="18"/>
          <w:shd w:val="clear" w:color="auto" w:fill="FFFFFF"/>
        </w:rPr>
        <w:t>icroalgae.</w:t>
      </w:r>
      <w:r w:rsidR="00211DB1" w:rsidRPr="00EF2B99">
        <w:rPr>
          <w:rFonts w:ascii="Arial" w:hAnsi="Arial" w:cs="Arial"/>
          <w:i/>
          <w:iCs/>
          <w:color w:val="000000"/>
          <w:sz w:val="18"/>
          <w:szCs w:val="18"/>
          <w:shd w:val="clear" w:color="auto" w:fill="FFFFFF"/>
        </w:rPr>
        <w:t xml:space="preserve"> </w:t>
      </w:r>
      <w:r w:rsidR="00EF2B99" w:rsidRPr="00EF2B99">
        <w:rPr>
          <w:rFonts w:ascii="Arial" w:hAnsi="Arial" w:cs="Arial"/>
          <w:iCs/>
          <w:color w:val="000000"/>
          <w:sz w:val="18"/>
          <w:szCs w:val="18"/>
          <w:shd w:val="clear" w:color="auto" w:fill="FFFFFF"/>
        </w:rPr>
        <w:t>Molecular Plant 12</w:t>
      </w:r>
      <w:r w:rsidR="00211DB1" w:rsidRPr="00EF2B99">
        <w:rPr>
          <w:rFonts w:ascii="Arial" w:hAnsi="Arial" w:cs="Arial"/>
          <w:iCs/>
          <w:color w:val="000000"/>
          <w:sz w:val="18"/>
          <w:szCs w:val="18"/>
          <w:shd w:val="clear" w:color="auto" w:fill="FFFFFF"/>
        </w:rPr>
        <w:t>,</w:t>
      </w:r>
      <w:r w:rsidR="00211DB1" w:rsidRPr="00EF2B99">
        <w:rPr>
          <w:rFonts w:ascii="Arial" w:hAnsi="Arial" w:cs="Arial"/>
          <w:i/>
          <w:iCs/>
          <w:color w:val="000000"/>
          <w:sz w:val="18"/>
          <w:szCs w:val="18"/>
          <w:shd w:val="clear" w:color="auto" w:fill="FFFFFF"/>
        </w:rPr>
        <w:t> </w:t>
      </w:r>
      <w:r w:rsidR="00211DB1" w:rsidRPr="00EF2B99">
        <w:rPr>
          <w:rFonts w:ascii="Arial" w:hAnsi="Arial" w:cs="Arial"/>
          <w:color w:val="000000"/>
          <w:sz w:val="18"/>
          <w:szCs w:val="18"/>
          <w:shd w:val="clear" w:color="auto" w:fill="FFFFFF"/>
        </w:rPr>
        <w:t>doi:10.1016/j.molp.2018.12.007</w:t>
      </w:r>
      <w:r w:rsidR="00EF2B99">
        <w:rPr>
          <w:rFonts w:ascii="Arial" w:hAnsi="Arial" w:cs="Arial"/>
          <w:color w:val="000000"/>
          <w:sz w:val="18"/>
          <w:szCs w:val="18"/>
          <w:shd w:val="clear" w:color="auto" w:fill="FFFFFF"/>
        </w:rPr>
        <w:t>.</w:t>
      </w:r>
    </w:p>
    <w:p w14:paraId="4A0827FC" w14:textId="77777777" w:rsidR="00EF2B99" w:rsidRPr="005A023E" w:rsidRDefault="007755A9" w:rsidP="00EF2B99">
      <w:pPr>
        <w:widowControl w:val="0"/>
        <w:autoSpaceDE w:val="0"/>
        <w:autoSpaceDN w:val="0"/>
        <w:adjustRightInd w:val="0"/>
        <w:ind w:left="720" w:hanging="720"/>
        <w:rPr>
          <w:noProof/>
          <w:szCs w:val="18"/>
          <w:lang w:val="en-US"/>
        </w:rPr>
      </w:pPr>
      <w:r>
        <w:rPr>
          <w:noProof/>
          <w:szCs w:val="18"/>
          <w:lang w:val="en-US"/>
        </w:rPr>
        <w:t>Yan D., Lu Y., Chen Y-F., Wu</w:t>
      </w:r>
      <w:r w:rsidR="00EF2B99" w:rsidRPr="00791705">
        <w:rPr>
          <w:noProof/>
          <w:szCs w:val="18"/>
          <w:lang w:val="en-US"/>
        </w:rPr>
        <w:t xml:space="preserve"> Q., 2011</w:t>
      </w:r>
      <w:r>
        <w:rPr>
          <w:noProof/>
          <w:szCs w:val="18"/>
          <w:lang w:val="en-US"/>
        </w:rPr>
        <w:t>,</w:t>
      </w:r>
      <w:r w:rsidR="00EF2B99" w:rsidRPr="00791705">
        <w:rPr>
          <w:noProof/>
          <w:szCs w:val="18"/>
          <w:lang w:val="en-US"/>
        </w:rPr>
        <w:t xml:space="preserve"> Waste molasses alone displaces glucose-based media formicroalgal fermentation towards cost savings biodiesel production. Bioresource Technology 102(11), 6487-6493, </w:t>
      </w:r>
      <w:r w:rsidR="00EF2B99" w:rsidRPr="00791705">
        <w:rPr>
          <w:rFonts w:cs="Arial"/>
          <w:szCs w:val="18"/>
          <w:shd w:val="clear" w:color="auto" w:fill="FFFFFF"/>
        </w:rPr>
        <w:t>doi:</w:t>
      </w:r>
      <w:hyperlink r:id="rId23" w:tgtFrame="_blank" w:history="1">
        <w:r w:rsidR="00EF2B99" w:rsidRPr="00791705">
          <w:rPr>
            <w:rStyle w:val="Collegamentoipertestuale"/>
            <w:rFonts w:cs="Arial"/>
            <w:color w:val="auto"/>
            <w:szCs w:val="18"/>
            <w:u w:val="none"/>
            <w:bdr w:val="none" w:sz="0" w:space="0" w:color="auto" w:frame="1"/>
            <w:shd w:val="clear" w:color="auto" w:fill="FFFFFF"/>
          </w:rPr>
          <w:t>10.1016/j.biortech.2011.03.036</w:t>
        </w:r>
      </w:hyperlink>
    </w:p>
    <w:p w14:paraId="35F2CA69" w14:textId="77777777" w:rsidR="00EF2B99" w:rsidRPr="00791705" w:rsidRDefault="007755A9" w:rsidP="00EF2B99">
      <w:pPr>
        <w:pStyle w:val="EndNoteBibliography"/>
        <w:spacing w:after="0" w:line="264" w:lineRule="auto"/>
        <w:ind w:left="709" w:hanging="709"/>
        <w:jc w:val="both"/>
        <w:rPr>
          <w:rFonts w:ascii="Arial" w:hAnsi="Arial" w:cs="Arial"/>
          <w:sz w:val="18"/>
          <w:szCs w:val="18"/>
        </w:rPr>
      </w:pPr>
      <w:r>
        <w:rPr>
          <w:rFonts w:ascii="Arial" w:hAnsi="Arial" w:cs="Arial"/>
          <w:sz w:val="18"/>
          <w:szCs w:val="18"/>
        </w:rPr>
        <w:t>Zhou N., Dunford N.</w:t>
      </w:r>
      <w:r w:rsidR="00EF2B99" w:rsidRPr="00791705">
        <w:rPr>
          <w:rFonts w:ascii="Arial" w:hAnsi="Arial" w:cs="Arial"/>
          <w:sz w:val="18"/>
          <w:szCs w:val="18"/>
        </w:rPr>
        <w:t>T., 2017, Characterization of green microalgae and cyanobacteria isolated from Great Salt Plains. Transaction of the ASABE, 60(2), 283-290.</w:t>
      </w:r>
    </w:p>
    <w:p w14:paraId="3E4BEC25" w14:textId="4106CF19" w:rsidR="00EF2B99" w:rsidRDefault="00EF2B99" w:rsidP="00791705">
      <w:pPr>
        <w:pStyle w:val="EndNoteBibliography"/>
        <w:spacing w:after="0" w:line="264" w:lineRule="auto"/>
        <w:ind w:left="720" w:hanging="720"/>
        <w:jc w:val="both"/>
        <w:rPr>
          <w:rFonts w:ascii="Arial" w:hAnsi="Arial" w:cs="Arial"/>
          <w:sz w:val="18"/>
          <w:szCs w:val="18"/>
        </w:rPr>
      </w:pPr>
    </w:p>
    <w:p w14:paraId="3D43CE2B" w14:textId="6D492A86" w:rsidR="007F42E3" w:rsidRDefault="007F42E3" w:rsidP="00791705">
      <w:pPr>
        <w:pStyle w:val="EndNoteBibliography"/>
        <w:spacing w:after="0" w:line="264" w:lineRule="auto"/>
        <w:ind w:left="720" w:hanging="720"/>
        <w:jc w:val="both"/>
        <w:rPr>
          <w:rFonts w:ascii="Arial" w:hAnsi="Arial" w:cs="Arial"/>
          <w:sz w:val="18"/>
          <w:szCs w:val="18"/>
        </w:rPr>
      </w:pPr>
    </w:p>
    <w:p w14:paraId="2AF14DE4" w14:textId="0645FD5F" w:rsidR="007F42E3" w:rsidRDefault="007F42E3" w:rsidP="00791705">
      <w:pPr>
        <w:pStyle w:val="EndNoteBibliography"/>
        <w:spacing w:after="0" w:line="264" w:lineRule="auto"/>
        <w:ind w:left="720" w:hanging="720"/>
        <w:jc w:val="both"/>
        <w:rPr>
          <w:rFonts w:ascii="Arial" w:hAnsi="Arial" w:cs="Arial"/>
          <w:sz w:val="18"/>
          <w:szCs w:val="18"/>
        </w:rPr>
      </w:pPr>
    </w:p>
    <w:p w14:paraId="4615DB4F" w14:textId="4F8B4F93" w:rsidR="007F42E3" w:rsidRDefault="007F42E3" w:rsidP="00791705">
      <w:pPr>
        <w:pStyle w:val="EndNoteBibliography"/>
        <w:spacing w:after="0" w:line="264" w:lineRule="auto"/>
        <w:ind w:left="720" w:hanging="720"/>
        <w:jc w:val="both"/>
        <w:rPr>
          <w:rFonts w:ascii="Arial" w:hAnsi="Arial" w:cs="Arial"/>
          <w:sz w:val="18"/>
          <w:szCs w:val="18"/>
        </w:rPr>
      </w:pPr>
    </w:p>
    <w:p w14:paraId="2E788721" w14:textId="60E4D6D3" w:rsidR="007F42E3" w:rsidRDefault="007F42E3" w:rsidP="00791705">
      <w:pPr>
        <w:pStyle w:val="EndNoteBibliography"/>
        <w:spacing w:after="0" w:line="264" w:lineRule="auto"/>
        <w:ind w:left="720" w:hanging="720"/>
        <w:jc w:val="both"/>
        <w:rPr>
          <w:rFonts w:ascii="Arial" w:hAnsi="Arial" w:cs="Arial"/>
          <w:sz w:val="18"/>
          <w:szCs w:val="18"/>
        </w:rPr>
      </w:pPr>
    </w:p>
    <w:p w14:paraId="461254B0" w14:textId="4847BD54" w:rsidR="007F42E3" w:rsidRDefault="007F42E3" w:rsidP="00791705">
      <w:pPr>
        <w:pStyle w:val="EndNoteBibliography"/>
        <w:spacing w:after="0" w:line="264" w:lineRule="auto"/>
        <w:ind w:left="720" w:hanging="720"/>
        <w:jc w:val="both"/>
        <w:rPr>
          <w:rFonts w:ascii="Arial" w:hAnsi="Arial" w:cs="Arial"/>
          <w:sz w:val="18"/>
          <w:szCs w:val="18"/>
        </w:rPr>
      </w:pPr>
    </w:p>
    <w:p w14:paraId="03370DBF" w14:textId="7216FDC6" w:rsidR="007F42E3" w:rsidRDefault="007F42E3" w:rsidP="00791705">
      <w:pPr>
        <w:pStyle w:val="EndNoteBibliography"/>
        <w:spacing w:after="0" w:line="264" w:lineRule="auto"/>
        <w:ind w:left="720" w:hanging="720"/>
        <w:jc w:val="both"/>
        <w:rPr>
          <w:rFonts w:ascii="Arial" w:hAnsi="Arial" w:cs="Arial"/>
          <w:sz w:val="18"/>
          <w:szCs w:val="18"/>
        </w:rPr>
      </w:pPr>
    </w:p>
    <w:p w14:paraId="77128745" w14:textId="1CDC5A07" w:rsidR="007F42E3" w:rsidRDefault="007F42E3" w:rsidP="00791705">
      <w:pPr>
        <w:pStyle w:val="EndNoteBibliography"/>
        <w:spacing w:after="0" w:line="264" w:lineRule="auto"/>
        <w:ind w:left="720" w:hanging="720"/>
        <w:jc w:val="both"/>
        <w:rPr>
          <w:rFonts w:ascii="Arial" w:hAnsi="Arial" w:cs="Arial"/>
          <w:sz w:val="18"/>
          <w:szCs w:val="18"/>
        </w:rPr>
      </w:pPr>
    </w:p>
    <w:p w14:paraId="4C76910A" w14:textId="7BA705F2" w:rsidR="007F42E3" w:rsidRDefault="007F42E3" w:rsidP="00791705">
      <w:pPr>
        <w:pStyle w:val="EndNoteBibliography"/>
        <w:spacing w:after="0" w:line="264" w:lineRule="auto"/>
        <w:ind w:left="720" w:hanging="720"/>
        <w:jc w:val="both"/>
        <w:rPr>
          <w:rFonts w:ascii="Arial" w:hAnsi="Arial" w:cs="Arial"/>
          <w:sz w:val="18"/>
          <w:szCs w:val="18"/>
        </w:rPr>
      </w:pPr>
    </w:p>
    <w:p w14:paraId="519C0289" w14:textId="691A11B7" w:rsidR="007F42E3" w:rsidRDefault="007F42E3" w:rsidP="00791705">
      <w:pPr>
        <w:pStyle w:val="EndNoteBibliography"/>
        <w:spacing w:after="0" w:line="264" w:lineRule="auto"/>
        <w:ind w:left="720" w:hanging="720"/>
        <w:jc w:val="both"/>
        <w:rPr>
          <w:rFonts w:ascii="Arial" w:hAnsi="Arial" w:cs="Arial"/>
          <w:sz w:val="18"/>
          <w:szCs w:val="18"/>
        </w:rPr>
      </w:pPr>
    </w:p>
    <w:p w14:paraId="2826926B" w14:textId="6ACBCCCA" w:rsidR="007F42E3" w:rsidRDefault="007F42E3" w:rsidP="00791705">
      <w:pPr>
        <w:pStyle w:val="EndNoteBibliography"/>
        <w:spacing w:after="0" w:line="264" w:lineRule="auto"/>
        <w:ind w:left="720" w:hanging="720"/>
        <w:jc w:val="both"/>
        <w:rPr>
          <w:rFonts w:ascii="Arial" w:hAnsi="Arial" w:cs="Arial"/>
          <w:sz w:val="18"/>
          <w:szCs w:val="18"/>
        </w:rPr>
      </w:pPr>
    </w:p>
    <w:p w14:paraId="277C4AE2" w14:textId="66519059" w:rsidR="007F42E3" w:rsidRDefault="007F42E3" w:rsidP="00791705">
      <w:pPr>
        <w:pStyle w:val="EndNoteBibliography"/>
        <w:spacing w:after="0" w:line="264" w:lineRule="auto"/>
        <w:ind w:left="720" w:hanging="720"/>
        <w:jc w:val="both"/>
        <w:rPr>
          <w:rFonts w:ascii="Arial" w:hAnsi="Arial" w:cs="Arial"/>
          <w:sz w:val="18"/>
          <w:szCs w:val="18"/>
        </w:rPr>
      </w:pPr>
    </w:p>
    <w:p w14:paraId="621B94C6" w14:textId="57276617" w:rsidR="007F42E3" w:rsidRDefault="007F42E3" w:rsidP="00791705">
      <w:pPr>
        <w:pStyle w:val="EndNoteBibliography"/>
        <w:spacing w:after="0" w:line="264" w:lineRule="auto"/>
        <w:ind w:left="720" w:hanging="720"/>
        <w:jc w:val="both"/>
        <w:rPr>
          <w:rFonts w:ascii="Arial" w:hAnsi="Arial" w:cs="Arial"/>
          <w:sz w:val="18"/>
          <w:szCs w:val="18"/>
        </w:rPr>
      </w:pPr>
    </w:p>
    <w:p w14:paraId="1D846B5B" w14:textId="7C174438" w:rsidR="007F42E3" w:rsidRDefault="007F42E3" w:rsidP="00791705">
      <w:pPr>
        <w:pStyle w:val="EndNoteBibliography"/>
        <w:spacing w:after="0" w:line="264" w:lineRule="auto"/>
        <w:ind w:left="720" w:hanging="720"/>
        <w:jc w:val="both"/>
        <w:rPr>
          <w:rFonts w:ascii="Arial" w:hAnsi="Arial" w:cs="Arial"/>
          <w:sz w:val="18"/>
          <w:szCs w:val="18"/>
        </w:rPr>
      </w:pPr>
    </w:p>
    <w:p w14:paraId="23A10118" w14:textId="72B3CD28" w:rsidR="007F42E3" w:rsidRDefault="007F42E3" w:rsidP="00791705">
      <w:pPr>
        <w:pStyle w:val="EndNoteBibliography"/>
        <w:spacing w:after="0" w:line="264" w:lineRule="auto"/>
        <w:ind w:left="720" w:hanging="720"/>
        <w:jc w:val="both"/>
        <w:rPr>
          <w:rFonts w:ascii="Arial" w:hAnsi="Arial" w:cs="Arial"/>
          <w:sz w:val="18"/>
          <w:szCs w:val="18"/>
        </w:rPr>
      </w:pPr>
    </w:p>
    <w:p w14:paraId="76D276C2" w14:textId="0322DACE" w:rsidR="007F42E3" w:rsidRDefault="007F42E3" w:rsidP="00791705">
      <w:pPr>
        <w:pStyle w:val="EndNoteBibliography"/>
        <w:spacing w:after="0" w:line="264" w:lineRule="auto"/>
        <w:ind w:left="720" w:hanging="720"/>
        <w:jc w:val="both"/>
        <w:rPr>
          <w:rFonts w:ascii="Arial" w:hAnsi="Arial" w:cs="Arial"/>
          <w:sz w:val="18"/>
          <w:szCs w:val="18"/>
        </w:rPr>
      </w:pPr>
    </w:p>
    <w:p w14:paraId="6B30BAB8" w14:textId="2ED78DDD" w:rsidR="007F42E3" w:rsidRDefault="007F42E3" w:rsidP="00791705">
      <w:pPr>
        <w:pStyle w:val="EndNoteBibliography"/>
        <w:spacing w:after="0" w:line="264" w:lineRule="auto"/>
        <w:ind w:left="720" w:hanging="720"/>
        <w:jc w:val="both"/>
        <w:rPr>
          <w:rFonts w:ascii="Arial" w:hAnsi="Arial" w:cs="Arial"/>
          <w:sz w:val="18"/>
          <w:szCs w:val="18"/>
        </w:rPr>
      </w:pPr>
      <w:r>
        <w:rPr>
          <w:rFonts w:ascii="Arial" w:hAnsi="Arial" w:cs="Arial"/>
          <w:sz w:val="18"/>
          <w:szCs w:val="18"/>
        </w:rPr>
        <w:lastRenderedPageBreak/>
        <w:t>Answer to reviewer comments</w:t>
      </w:r>
    </w:p>
    <w:p w14:paraId="1E6A1CF9" w14:textId="77777777" w:rsidR="007F42E3" w:rsidRDefault="007F42E3" w:rsidP="00791705">
      <w:pPr>
        <w:pStyle w:val="EndNoteBibliography"/>
        <w:spacing w:after="0" w:line="264" w:lineRule="auto"/>
        <w:ind w:left="720" w:hanging="720"/>
        <w:jc w:val="both"/>
        <w:rPr>
          <w:rFonts w:ascii="Arial" w:hAnsi="Arial" w:cs="Arial"/>
          <w:sz w:val="18"/>
          <w:szCs w:val="18"/>
        </w:rPr>
      </w:pPr>
    </w:p>
    <w:p w14:paraId="6FCD1DCE"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REVIEWER # 1</w:t>
      </w:r>
    </w:p>
    <w:p w14:paraId="30C03BD3" w14:textId="045C7A6A"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decision: accept after minor revisions</w:t>
      </w:r>
    </w:p>
    <w:p w14:paraId="59C3E9E3"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 xml:space="preserve"> </w:t>
      </w:r>
    </w:p>
    <w:p w14:paraId="4BF09A4E"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Comments by reviewer</w:t>
      </w:r>
    </w:p>
    <w:p w14:paraId="685C914D"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6E9CBC7C" w14:textId="165AFED5"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This study examines the effect of agro-industrial WWs rich in organic nutrients on algal lipid content and fatty acid methyl esters (FAME) profile. Chlorella vulgaris was cultivated in brewery (BWW), dairy (DWW), oil mill WWs and media supplemented with sugarcane molasses. Chlorella vulgaris is able to thrive in a wide range of WWs with high biomass productivity shifting its metabolism from autotrophic to hetero/mixotrophic one. Best biomass yields were obtained when C. vulgaris was cultivated in BWW and DWW yielding 1.76 g L-1 and 1.56 g L-1 respectively when compared to the control. The FAMEs composition obtained under all the investigated conditions demonstrated the viability of using C. vulgaris in WWs as sources for producing biofuels. Authors found that when C. vulgaris was cultivated in DWW and BWW most of all the parameter values related to the biodiesel obtainable complied with the range of values prescribed by the ASTM</w:t>
      </w:r>
      <w:r>
        <w:rPr>
          <w:rFonts w:cs="Arial"/>
          <w:color w:val="000000"/>
          <w:szCs w:val="18"/>
          <w:lang w:eastAsia="it-IT"/>
        </w:rPr>
        <w:t xml:space="preserve"> </w:t>
      </w:r>
      <w:r w:rsidRPr="007F42E3">
        <w:rPr>
          <w:rFonts w:cs="Arial"/>
          <w:color w:val="000000"/>
          <w:szCs w:val="18"/>
          <w:lang w:eastAsia="it-IT"/>
        </w:rPr>
        <w:t>standards (ASTM  6751-12) and European regulation for quality biodiesel (EN 14214 and EN 590)</w:t>
      </w:r>
      <w:r>
        <w:rPr>
          <w:rFonts w:cs="Arial"/>
          <w:color w:val="000000"/>
          <w:szCs w:val="18"/>
          <w:lang w:eastAsia="it-IT"/>
        </w:rPr>
        <w:t xml:space="preserve"> </w:t>
      </w:r>
      <w:r w:rsidRPr="007F42E3">
        <w:rPr>
          <w:rFonts w:cs="Arial"/>
          <w:color w:val="000000"/>
          <w:szCs w:val="18"/>
          <w:lang w:eastAsia="it-IT"/>
        </w:rPr>
        <w:t>except for density values which were slightly lower than the prescribed ones. Experimental approach is correct and appropriate, results very interesting to CET audience and scientific community in the bio-diesel sector. The manuscript deserves publication after minor revisions.</w:t>
      </w:r>
    </w:p>
    <w:p w14:paraId="0DF7D7A9"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7819368C"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Introduction</w:t>
      </w:r>
    </w:p>
    <w:p w14:paraId="7A4E95FD"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Please correct the spelling of “vugaris” at the end of introduction section.</w:t>
      </w:r>
    </w:p>
    <w:p w14:paraId="33DCF1F0"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3E3A54BC"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b/>
          <w:i/>
          <w:color w:val="000000"/>
          <w:szCs w:val="18"/>
          <w:lang w:eastAsia="it-IT"/>
        </w:rPr>
      </w:pPr>
      <w:r w:rsidRPr="007F42E3">
        <w:rPr>
          <w:rFonts w:cs="Arial"/>
          <w:b/>
          <w:i/>
          <w:color w:val="000000"/>
          <w:szCs w:val="18"/>
          <w:lang w:eastAsia="it-IT"/>
        </w:rPr>
        <w:t>Answer: the term has been corrected accordingly</w:t>
      </w:r>
    </w:p>
    <w:p w14:paraId="5ED19440"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293140EE"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Material and methods</w:t>
      </w:r>
    </w:p>
    <w:p w14:paraId="6194B098"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Author do not include the source of Oil mill wastewater used in this study. Please include it in the material and method section. When referring to oil mill wastewater do the authors mean olive oil mill wastewater?</w:t>
      </w:r>
    </w:p>
    <w:p w14:paraId="204791A9"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74ABBD15"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b/>
          <w:i/>
          <w:color w:val="000000"/>
          <w:szCs w:val="18"/>
          <w:lang w:eastAsia="it-IT"/>
        </w:rPr>
      </w:pPr>
      <w:r w:rsidRPr="007F42E3">
        <w:rPr>
          <w:rFonts w:cs="Arial"/>
          <w:b/>
          <w:i/>
          <w:color w:val="000000"/>
          <w:szCs w:val="18"/>
          <w:lang w:eastAsia="it-IT"/>
        </w:rPr>
        <w:t>Answer: the source of oil mill has been included, as for the other three has been collected from a facility in Modena, and yes it is olive oil mill wastewater</w:t>
      </w:r>
    </w:p>
    <w:p w14:paraId="7B81D3C6"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3EA64A97"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Results</w:t>
      </w:r>
    </w:p>
    <w:p w14:paraId="0C885FD8"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Table 1: please correct the layout of the table. Authors do not report the TSS range for OMW, why? Authors should explain why they report the data ranges for the properties of the WWs and do not report the actual properties of the WWs used in their experiments, different values in BOD, COD TSS, TN, TP could differently influence microalgae growth, right?</w:t>
      </w:r>
    </w:p>
    <w:p w14:paraId="66D1A4E7"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13B01E0B"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b/>
          <w:i/>
          <w:color w:val="000000"/>
          <w:szCs w:val="18"/>
          <w:lang w:eastAsia="it-IT"/>
        </w:rPr>
      </w:pPr>
      <w:r w:rsidRPr="007F42E3">
        <w:rPr>
          <w:rFonts w:cs="Arial"/>
          <w:b/>
          <w:i/>
          <w:color w:val="000000"/>
          <w:szCs w:val="18"/>
          <w:lang w:eastAsia="it-IT"/>
        </w:rPr>
        <w:t>Answer: We have not made a chemcial analysis of our wastewater samples that is why in the Table 1 we have reported the ranges of the main propeties for the cited wastewater. For the OMW in the reference cited is not reported the value of the TSS</w:t>
      </w:r>
    </w:p>
    <w:p w14:paraId="667D4397"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6E96EF83"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Please correct “triacyclglycerols” to “triacylglycerols”</w:t>
      </w:r>
    </w:p>
    <w:p w14:paraId="2F6F77DE"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b/>
          <w:i/>
          <w:color w:val="000000"/>
          <w:szCs w:val="18"/>
          <w:lang w:eastAsia="it-IT"/>
        </w:rPr>
      </w:pPr>
      <w:r w:rsidRPr="007F42E3">
        <w:rPr>
          <w:rFonts w:cs="Arial"/>
          <w:b/>
          <w:i/>
          <w:color w:val="000000"/>
          <w:szCs w:val="18"/>
          <w:lang w:eastAsia="it-IT"/>
        </w:rPr>
        <w:t>Answer: the term has been corrected accordingly</w:t>
      </w:r>
    </w:p>
    <w:p w14:paraId="62563C1D"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214D14C8"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3.2 FAME profile of C. vulgaris under agro-industrial wastewaters</w:t>
      </w:r>
    </w:p>
    <w:p w14:paraId="2522F3E1"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Please check spelling</w:t>
      </w:r>
    </w:p>
    <w:p w14:paraId="48F2D38F"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 xml:space="preserve"> </w:t>
      </w:r>
    </w:p>
    <w:p w14:paraId="26AAE01B"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 xml:space="preserve"> </w:t>
      </w:r>
    </w:p>
    <w:p w14:paraId="04642668"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 xml:space="preserve"> </w:t>
      </w:r>
    </w:p>
    <w:p w14:paraId="112218E9"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REVIEWER # 2</w:t>
      </w:r>
    </w:p>
    <w:p w14:paraId="0CA5B50D" w14:textId="6BC7FB90"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decision: accept after minor revisions</w:t>
      </w:r>
    </w:p>
    <w:p w14:paraId="4C1F7117"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 xml:space="preserve"> </w:t>
      </w:r>
    </w:p>
    <w:p w14:paraId="6D425020"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Comments by reviewer</w:t>
      </w:r>
    </w:p>
    <w:p w14:paraId="2408D47D"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I have carefully read the paper and I suggest to accept it for publication after very minor</w:t>
      </w:r>
    </w:p>
    <w:p w14:paraId="01CC7271"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revisions: Experimental approach is correct and appropriate, the text is readable and clear.</w:t>
      </w:r>
    </w:p>
    <w:p w14:paraId="1B4F00EA"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40E2DCC3"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Please use "CET title" style for Title, and adopt the Capital letter for initials.</w:t>
      </w:r>
    </w:p>
    <w:p w14:paraId="5A3C07D2"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4C04DB1B"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"On the Use of Agro-industrial Wastewaters to Promote Mixotrophic Metabolism in Chlorella Vulgaris:</w:t>
      </w:r>
    </w:p>
    <w:p w14:paraId="71567026"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Effect on FAME Profile and Biodiesel Properties"</w:t>
      </w:r>
    </w:p>
    <w:p w14:paraId="1C195DBD"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142DDFEC"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Use "CET caption" style, for figures caption and "CET table title" for Tables title.</w:t>
      </w:r>
    </w:p>
    <w:p w14:paraId="3EF4266B"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3772ADDD"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the following reference is not cited in the text:</w:t>
      </w:r>
    </w:p>
    <w:p w14:paraId="4584CCB4"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12ADF1EE" w14:textId="3BEEFCFB" w:rsid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Erinan, A.M., Adeyemo, J., Kumari, S., Swalaha, F.M., Bux, F., 2015. Characterization of brewery..............</w:t>
      </w:r>
    </w:p>
    <w:p w14:paraId="5A6C0D96" w14:textId="7E521C9D" w:rsid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2F20AD2B" w14:textId="0C97561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b/>
          <w:i/>
          <w:color w:val="000000"/>
          <w:szCs w:val="18"/>
          <w:lang w:eastAsia="it-IT"/>
        </w:rPr>
      </w:pPr>
      <w:r w:rsidRPr="007F42E3">
        <w:rPr>
          <w:rFonts w:cs="Arial"/>
          <w:b/>
          <w:i/>
          <w:color w:val="000000"/>
          <w:szCs w:val="18"/>
          <w:lang w:eastAsia="it-IT"/>
        </w:rPr>
        <w:t>Answer: it was cited in the Table 1 but it was reported in a wrong way that has been corrected</w:t>
      </w:r>
    </w:p>
    <w:p w14:paraId="3626F773"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0FEFD544"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DO NOT separate names with comma</w:t>
      </w:r>
    </w:p>
    <w:p w14:paraId="7ED5470C"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Brazzale, P., Bourbon, B., Barrucand, P.,</w:t>
      </w:r>
    </w:p>
    <w:p w14:paraId="5713A426"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becomes</w:t>
      </w:r>
    </w:p>
    <w:p w14:paraId="278D2B56"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Brazzale P., Bourbon B., Barrucand P.,</w:t>
      </w:r>
    </w:p>
    <w:p w14:paraId="6DC43A70"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1C02BD5F"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LIST all the AUTHORS' names ( do not use et al.)</w:t>
      </w:r>
    </w:p>
    <w:p w14:paraId="3027A188"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7B6CA4D6"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Ferreira, A., Ribeiro, B., Ferreira, A. F., Tavares, M. L. A., Vladic, J., Vidovic, S., et</w:t>
      </w:r>
    </w:p>
    <w:p w14:paraId="11FC9C0F"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r w:rsidRPr="007F42E3">
        <w:rPr>
          <w:rFonts w:cs="Arial"/>
          <w:color w:val="000000"/>
          <w:szCs w:val="18"/>
          <w:lang w:eastAsia="it-IT"/>
        </w:rPr>
        <w:t>Al</w:t>
      </w:r>
    </w:p>
    <w:p w14:paraId="22FB97BC" w14:textId="77777777"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18"/>
          <w:lang w:eastAsia="it-IT"/>
        </w:rPr>
      </w:pPr>
    </w:p>
    <w:p w14:paraId="28F8C830" w14:textId="720AA1F2" w:rsidR="007F42E3" w:rsidRPr="007F42E3" w:rsidRDefault="007F42E3" w:rsidP="007F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b/>
          <w:i/>
          <w:color w:val="000000"/>
          <w:szCs w:val="18"/>
          <w:lang w:eastAsia="it-IT"/>
        </w:rPr>
      </w:pPr>
      <w:r w:rsidRPr="007F42E3">
        <w:rPr>
          <w:rFonts w:cs="Arial"/>
          <w:b/>
          <w:i/>
          <w:color w:val="000000"/>
          <w:szCs w:val="18"/>
          <w:lang w:eastAsia="it-IT"/>
        </w:rPr>
        <w:t>Answer: all the imperfections in terms of CET stile in Title, Figures and Table captions as well as References have been corrected accordingly</w:t>
      </w:r>
    </w:p>
    <w:p w14:paraId="506C7B1A" w14:textId="6CBB7D91" w:rsidR="007F42E3" w:rsidRPr="007F42E3" w:rsidRDefault="007F42E3" w:rsidP="00791705">
      <w:pPr>
        <w:pStyle w:val="EndNoteBibliography"/>
        <w:spacing w:after="0" w:line="264" w:lineRule="auto"/>
        <w:ind w:left="720" w:hanging="720"/>
        <w:jc w:val="both"/>
        <w:rPr>
          <w:rFonts w:ascii="Arial" w:hAnsi="Arial" w:cs="Arial"/>
          <w:sz w:val="18"/>
          <w:szCs w:val="18"/>
        </w:rPr>
      </w:pPr>
    </w:p>
    <w:p w14:paraId="01AF24A8" w14:textId="77777777" w:rsidR="00332A9B" w:rsidRPr="007F42E3" w:rsidRDefault="00332A9B" w:rsidP="00332A9B">
      <w:pPr>
        <w:widowControl w:val="0"/>
        <w:autoSpaceDE w:val="0"/>
        <w:autoSpaceDN w:val="0"/>
        <w:adjustRightInd w:val="0"/>
        <w:ind w:left="480" w:hanging="480"/>
        <w:jc w:val="left"/>
        <w:rPr>
          <w:rFonts w:cs="Arial"/>
          <w:noProof/>
          <w:szCs w:val="18"/>
        </w:rPr>
      </w:pPr>
    </w:p>
    <w:sectPr w:rsidR="00332A9B" w:rsidRPr="007F42E3"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CCD4" w14:textId="77777777" w:rsidR="004C172B" w:rsidRDefault="004C172B" w:rsidP="004F5E36">
      <w:r>
        <w:separator/>
      </w:r>
    </w:p>
  </w:endnote>
  <w:endnote w:type="continuationSeparator" w:id="0">
    <w:p w14:paraId="61A026BF" w14:textId="77777777" w:rsidR="004C172B" w:rsidRDefault="004C172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Gulliv-R">
    <w:altName w:val="Yu Gothic UI"/>
    <w:panose1 w:val="00000000000000000000"/>
    <w:charset w:val="80"/>
    <w:family w:val="auto"/>
    <w:notTrueType/>
    <w:pitch w:val="default"/>
    <w:sig w:usb0="00000001" w:usb1="08070000" w:usb2="00000010" w:usb3="00000000" w:csb0="00020000" w:csb1="00000000"/>
  </w:font>
  <w:font w:name="AdvGulliv-I">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dvOT8608a8d1+22">
    <w:altName w:val="Malgun Gothic Semilight"/>
    <w:panose1 w:val="00000000000000000000"/>
    <w:charset w:val="86"/>
    <w:family w:val="auto"/>
    <w:notTrueType/>
    <w:pitch w:val="default"/>
    <w:sig w:usb0="00000001" w:usb1="080E0000" w:usb2="00000010" w:usb3="00000000" w:csb0="00040000" w:csb1="00000000"/>
  </w:font>
  <w:font w:name="ff4">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57474" w14:textId="77777777" w:rsidR="004C172B" w:rsidRDefault="004C172B" w:rsidP="004F5E36">
      <w:r>
        <w:separator/>
      </w:r>
    </w:p>
  </w:footnote>
  <w:footnote w:type="continuationSeparator" w:id="0">
    <w:p w14:paraId="28D6B4A5" w14:textId="77777777" w:rsidR="004C172B" w:rsidRDefault="004C172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90376"/>
    <w:multiLevelType w:val="hybridMultilevel"/>
    <w:tmpl w:val="E2DCC36A"/>
    <w:lvl w:ilvl="0" w:tplc="53B6E5A6">
      <w:start w:val="1"/>
      <w:numFmt w:val="bullet"/>
      <w:lvlText w:val="-"/>
      <w:lvlJc w:val="left"/>
      <w:pPr>
        <w:tabs>
          <w:tab w:val="num" w:pos="720"/>
        </w:tabs>
        <w:ind w:left="720" w:hanging="360"/>
      </w:pPr>
      <w:rPr>
        <w:rFonts w:ascii="Times New Roman" w:hAnsi="Times New Roman" w:hint="default"/>
      </w:rPr>
    </w:lvl>
    <w:lvl w:ilvl="1" w:tplc="8F8C9540" w:tentative="1">
      <w:start w:val="1"/>
      <w:numFmt w:val="bullet"/>
      <w:lvlText w:val="-"/>
      <w:lvlJc w:val="left"/>
      <w:pPr>
        <w:tabs>
          <w:tab w:val="num" w:pos="1440"/>
        </w:tabs>
        <w:ind w:left="1440" w:hanging="360"/>
      </w:pPr>
      <w:rPr>
        <w:rFonts w:ascii="Times New Roman" w:hAnsi="Times New Roman" w:hint="default"/>
      </w:rPr>
    </w:lvl>
    <w:lvl w:ilvl="2" w:tplc="3910791E" w:tentative="1">
      <w:start w:val="1"/>
      <w:numFmt w:val="bullet"/>
      <w:lvlText w:val="-"/>
      <w:lvlJc w:val="left"/>
      <w:pPr>
        <w:tabs>
          <w:tab w:val="num" w:pos="2160"/>
        </w:tabs>
        <w:ind w:left="2160" w:hanging="360"/>
      </w:pPr>
      <w:rPr>
        <w:rFonts w:ascii="Times New Roman" w:hAnsi="Times New Roman" w:hint="default"/>
      </w:rPr>
    </w:lvl>
    <w:lvl w:ilvl="3" w:tplc="EE4A17BC" w:tentative="1">
      <w:start w:val="1"/>
      <w:numFmt w:val="bullet"/>
      <w:lvlText w:val="-"/>
      <w:lvlJc w:val="left"/>
      <w:pPr>
        <w:tabs>
          <w:tab w:val="num" w:pos="2880"/>
        </w:tabs>
        <w:ind w:left="2880" w:hanging="360"/>
      </w:pPr>
      <w:rPr>
        <w:rFonts w:ascii="Times New Roman" w:hAnsi="Times New Roman" w:hint="default"/>
      </w:rPr>
    </w:lvl>
    <w:lvl w:ilvl="4" w:tplc="DC90081A" w:tentative="1">
      <w:start w:val="1"/>
      <w:numFmt w:val="bullet"/>
      <w:lvlText w:val="-"/>
      <w:lvlJc w:val="left"/>
      <w:pPr>
        <w:tabs>
          <w:tab w:val="num" w:pos="3600"/>
        </w:tabs>
        <w:ind w:left="3600" w:hanging="360"/>
      </w:pPr>
      <w:rPr>
        <w:rFonts w:ascii="Times New Roman" w:hAnsi="Times New Roman" w:hint="default"/>
      </w:rPr>
    </w:lvl>
    <w:lvl w:ilvl="5" w:tplc="528E7DA6" w:tentative="1">
      <w:start w:val="1"/>
      <w:numFmt w:val="bullet"/>
      <w:lvlText w:val="-"/>
      <w:lvlJc w:val="left"/>
      <w:pPr>
        <w:tabs>
          <w:tab w:val="num" w:pos="4320"/>
        </w:tabs>
        <w:ind w:left="4320" w:hanging="360"/>
      </w:pPr>
      <w:rPr>
        <w:rFonts w:ascii="Times New Roman" w:hAnsi="Times New Roman" w:hint="default"/>
      </w:rPr>
    </w:lvl>
    <w:lvl w:ilvl="6" w:tplc="EB70C5F6" w:tentative="1">
      <w:start w:val="1"/>
      <w:numFmt w:val="bullet"/>
      <w:lvlText w:val="-"/>
      <w:lvlJc w:val="left"/>
      <w:pPr>
        <w:tabs>
          <w:tab w:val="num" w:pos="5040"/>
        </w:tabs>
        <w:ind w:left="5040" w:hanging="360"/>
      </w:pPr>
      <w:rPr>
        <w:rFonts w:ascii="Times New Roman" w:hAnsi="Times New Roman" w:hint="default"/>
      </w:rPr>
    </w:lvl>
    <w:lvl w:ilvl="7" w:tplc="EDD00DAE" w:tentative="1">
      <w:start w:val="1"/>
      <w:numFmt w:val="bullet"/>
      <w:lvlText w:val="-"/>
      <w:lvlJc w:val="left"/>
      <w:pPr>
        <w:tabs>
          <w:tab w:val="num" w:pos="5760"/>
        </w:tabs>
        <w:ind w:left="5760" w:hanging="360"/>
      </w:pPr>
      <w:rPr>
        <w:rFonts w:ascii="Times New Roman" w:hAnsi="Times New Roman" w:hint="default"/>
      </w:rPr>
    </w:lvl>
    <w:lvl w:ilvl="8" w:tplc="0EB6C6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EC420BE"/>
    <w:multiLevelType w:val="hybridMultilevel"/>
    <w:tmpl w:val="B2E45412"/>
    <w:lvl w:ilvl="0" w:tplc="9C3AC4F8">
      <w:start w:val="1"/>
      <w:numFmt w:val="bullet"/>
      <w:lvlText w:val="-"/>
      <w:lvlJc w:val="left"/>
      <w:pPr>
        <w:tabs>
          <w:tab w:val="num" w:pos="720"/>
        </w:tabs>
        <w:ind w:left="720" w:hanging="360"/>
      </w:pPr>
      <w:rPr>
        <w:rFonts w:ascii="Times New Roman" w:hAnsi="Times New Roman" w:hint="default"/>
      </w:rPr>
    </w:lvl>
    <w:lvl w:ilvl="1" w:tplc="03D423F4" w:tentative="1">
      <w:start w:val="1"/>
      <w:numFmt w:val="bullet"/>
      <w:lvlText w:val="-"/>
      <w:lvlJc w:val="left"/>
      <w:pPr>
        <w:tabs>
          <w:tab w:val="num" w:pos="1440"/>
        </w:tabs>
        <w:ind w:left="1440" w:hanging="360"/>
      </w:pPr>
      <w:rPr>
        <w:rFonts w:ascii="Times New Roman" w:hAnsi="Times New Roman" w:hint="default"/>
      </w:rPr>
    </w:lvl>
    <w:lvl w:ilvl="2" w:tplc="8E32A40C" w:tentative="1">
      <w:start w:val="1"/>
      <w:numFmt w:val="bullet"/>
      <w:lvlText w:val="-"/>
      <w:lvlJc w:val="left"/>
      <w:pPr>
        <w:tabs>
          <w:tab w:val="num" w:pos="2160"/>
        </w:tabs>
        <w:ind w:left="2160" w:hanging="360"/>
      </w:pPr>
      <w:rPr>
        <w:rFonts w:ascii="Times New Roman" w:hAnsi="Times New Roman" w:hint="default"/>
      </w:rPr>
    </w:lvl>
    <w:lvl w:ilvl="3" w:tplc="F558BAB4" w:tentative="1">
      <w:start w:val="1"/>
      <w:numFmt w:val="bullet"/>
      <w:lvlText w:val="-"/>
      <w:lvlJc w:val="left"/>
      <w:pPr>
        <w:tabs>
          <w:tab w:val="num" w:pos="2880"/>
        </w:tabs>
        <w:ind w:left="2880" w:hanging="360"/>
      </w:pPr>
      <w:rPr>
        <w:rFonts w:ascii="Times New Roman" w:hAnsi="Times New Roman" w:hint="default"/>
      </w:rPr>
    </w:lvl>
    <w:lvl w:ilvl="4" w:tplc="06068702" w:tentative="1">
      <w:start w:val="1"/>
      <w:numFmt w:val="bullet"/>
      <w:lvlText w:val="-"/>
      <w:lvlJc w:val="left"/>
      <w:pPr>
        <w:tabs>
          <w:tab w:val="num" w:pos="3600"/>
        </w:tabs>
        <w:ind w:left="3600" w:hanging="360"/>
      </w:pPr>
      <w:rPr>
        <w:rFonts w:ascii="Times New Roman" w:hAnsi="Times New Roman" w:hint="default"/>
      </w:rPr>
    </w:lvl>
    <w:lvl w:ilvl="5" w:tplc="CC6867E0" w:tentative="1">
      <w:start w:val="1"/>
      <w:numFmt w:val="bullet"/>
      <w:lvlText w:val="-"/>
      <w:lvlJc w:val="left"/>
      <w:pPr>
        <w:tabs>
          <w:tab w:val="num" w:pos="4320"/>
        </w:tabs>
        <w:ind w:left="4320" w:hanging="360"/>
      </w:pPr>
      <w:rPr>
        <w:rFonts w:ascii="Times New Roman" w:hAnsi="Times New Roman" w:hint="default"/>
      </w:rPr>
    </w:lvl>
    <w:lvl w:ilvl="6" w:tplc="9A1CBE04" w:tentative="1">
      <w:start w:val="1"/>
      <w:numFmt w:val="bullet"/>
      <w:lvlText w:val="-"/>
      <w:lvlJc w:val="left"/>
      <w:pPr>
        <w:tabs>
          <w:tab w:val="num" w:pos="5040"/>
        </w:tabs>
        <w:ind w:left="5040" w:hanging="360"/>
      </w:pPr>
      <w:rPr>
        <w:rFonts w:ascii="Times New Roman" w:hAnsi="Times New Roman" w:hint="default"/>
      </w:rPr>
    </w:lvl>
    <w:lvl w:ilvl="7" w:tplc="5560B014" w:tentative="1">
      <w:start w:val="1"/>
      <w:numFmt w:val="bullet"/>
      <w:lvlText w:val="-"/>
      <w:lvlJc w:val="left"/>
      <w:pPr>
        <w:tabs>
          <w:tab w:val="num" w:pos="5760"/>
        </w:tabs>
        <w:ind w:left="5760" w:hanging="360"/>
      </w:pPr>
      <w:rPr>
        <w:rFonts w:ascii="Times New Roman" w:hAnsi="Times New Roman" w:hint="default"/>
      </w:rPr>
    </w:lvl>
    <w:lvl w:ilvl="8" w:tplc="5FC6C75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B51143"/>
    <w:multiLevelType w:val="multilevel"/>
    <w:tmpl w:val="B594A7C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2"/>
  </w:num>
  <w:num w:numId="14">
    <w:abstractNumId w:val="20"/>
  </w:num>
  <w:num w:numId="15">
    <w:abstractNumId w:val="22"/>
  </w:num>
  <w:num w:numId="16">
    <w:abstractNumId w:val="21"/>
  </w:num>
  <w:num w:numId="17">
    <w:abstractNumId w:val="11"/>
  </w:num>
  <w:num w:numId="18">
    <w:abstractNumId w:val="12"/>
    <w:lvlOverride w:ilvl="0">
      <w:startOverride w:val="1"/>
    </w:lvlOverride>
  </w:num>
  <w:num w:numId="19">
    <w:abstractNumId w:val="18"/>
  </w:num>
  <w:num w:numId="20">
    <w:abstractNumId w:val="17"/>
  </w:num>
  <w:num w:numId="21">
    <w:abstractNumId w:val="15"/>
  </w:num>
  <w:num w:numId="22">
    <w:abstractNumId w:val="13"/>
  </w:num>
  <w:num w:numId="23">
    <w:abstractNumId w:val="10"/>
    <w:lvlOverride w:ilvl="0">
      <w:startOverride w:val="1"/>
    </w:lvlOverride>
    <w:lvlOverride w:ilvl="1">
      <w:startOverride w:val="3"/>
    </w:lvlOverride>
  </w:num>
  <w:num w:numId="24">
    <w:abstractNumId w:val="23"/>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1CD"/>
    <w:rsid w:val="000052FB"/>
    <w:rsid w:val="00006EE6"/>
    <w:rsid w:val="000117CB"/>
    <w:rsid w:val="00026FA3"/>
    <w:rsid w:val="0003148D"/>
    <w:rsid w:val="00031EEC"/>
    <w:rsid w:val="00036E00"/>
    <w:rsid w:val="00042B5C"/>
    <w:rsid w:val="00046DF2"/>
    <w:rsid w:val="00047C35"/>
    <w:rsid w:val="00051566"/>
    <w:rsid w:val="00052340"/>
    <w:rsid w:val="00062A9A"/>
    <w:rsid w:val="00065058"/>
    <w:rsid w:val="00073966"/>
    <w:rsid w:val="000771F0"/>
    <w:rsid w:val="00083A3A"/>
    <w:rsid w:val="0008519E"/>
    <w:rsid w:val="00086C39"/>
    <w:rsid w:val="000A03B2"/>
    <w:rsid w:val="000B3209"/>
    <w:rsid w:val="000D0268"/>
    <w:rsid w:val="000D34BE"/>
    <w:rsid w:val="000D46B5"/>
    <w:rsid w:val="000E0632"/>
    <w:rsid w:val="000E102F"/>
    <w:rsid w:val="000E18D0"/>
    <w:rsid w:val="000E36F1"/>
    <w:rsid w:val="000E3A73"/>
    <w:rsid w:val="000E414A"/>
    <w:rsid w:val="000F093C"/>
    <w:rsid w:val="000F7796"/>
    <w:rsid w:val="000F787B"/>
    <w:rsid w:val="00101EE2"/>
    <w:rsid w:val="00110BF5"/>
    <w:rsid w:val="001113B0"/>
    <w:rsid w:val="0012091F"/>
    <w:rsid w:val="001232C8"/>
    <w:rsid w:val="00126BC2"/>
    <w:rsid w:val="001308B6"/>
    <w:rsid w:val="0013121F"/>
    <w:rsid w:val="00131FE6"/>
    <w:rsid w:val="0013263F"/>
    <w:rsid w:val="001331DF"/>
    <w:rsid w:val="00134DE4"/>
    <w:rsid w:val="0014034D"/>
    <w:rsid w:val="00144D16"/>
    <w:rsid w:val="00150E59"/>
    <w:rsid w:val="00152DE3"/>
    <w:rsid w:val="00154B9B"/>
    <w:rsid w:val="00164CF9"/>
    <w:rsid w:val="0016677D"/>
    <w:rsid w:val="001667A6"/>
    <w:rsid w:val="00175095"/>
    <w:rsid w:val="00183380"/>
    <w:rsid w:val="00184AD6"/>
    <w:rsid w:val="00187C55"/>
    <w:rsid w:val="001A089B"/>
    <w:rsid w:val="001A4AF7"/>
    <w:rsid w:val="001B0349"/>
    <w:rsid w:val="001B1E93"/>
    <w:rsid w:val="001B3BAB"/>
    <w:rsid w:val="001B65C1"/>
    <w:rsid w:val="001C684B"/>
    <w:rsid w:val="001D0CFB"/>
    <w:rsid w:val="001D21AF"/>
    <w:rsid w:val="001D53FC"/>
    <w:rsid w:val="001F01FD"/>
    <w:rsid w:val="001F42A5"/>
    <w:rsid w:val="001F6852"/>
    <w:rsid w:val="001F7B9D"/>
    <w:rsid w:val="00201C93"/>
    <w:rsid w:val="00211DB1"/>
    <w:rsid w:val="002224B4"/>
    <w:rsid w:val="00231AF1"/>
    <w:rsid w:val="00234C79"/>
    <w:rsid w:val="002447EF"/>
    <w:rsid w:val="00251550"/>
    <w:rsid w:val="00263B05"/>
    <w:rsid w:val="002662CD"/>
    <w:rsid w:val="00267450"/>
    <w:rsid w:val="0027221A"/>
    <w:rsid w:val="002752F0"/>
    <w:rsid w:val="00275B61"/>
    <w:rsid w:val="00280FAF"/>
    <w:rsid w:val="00282656"/>
    <w:rsid w:val="00295E0B"/>
    <w:rsid w:val="00296B83"/>
    <w:rsid w:val="002A4CFA"/>
    <w:rsid w:val="002B4015"/>
    <w:rsid w:val="002B48CE"/>
    <w:rsid w:val="002B78CE"/>
    <w:rsid w:val="002C2FB6"/>
    <w:rsid w:val="002D003E"/>
    <w:rsid w:val="002D1BCE"/>
    <w:rsid w:val="002D3786"/>
    <w:rsid w:val="002E167F"/>
    <w:rsid w:val="002E1C90"/>
    <w:rsid w:val="002E5FA7"/>
    <w:rsid w:val="002F3309"/>
    <w:rsid w:val="003008CE"/>
    <w:rsid w:val="003009B7"/>
    <w:rsid w:val="00300E56"/>
    <w:rsid w:val="00301AA8"/>
    <w:rsid w:val="0030469C"/>
    <w:rsid w:val="00306D47"/>
    <w:rsid w:val="00321CA6"/>
    <w:rsid w:val="00323763"/>
    <w:rsid w:val="00332A9B"/>
    <w:rsid w:val="00334C09"/>
    <w:rsid w:val="00367C48"/>
    <w:rsid w:val="003723D4"/>
    <w:rsid w:val="0037452A"/>
    <w:rsid w:val="00381905"/>
    <w:rsid w:val="00384CC8"/>
    <w:rsid w:val="003871FD"/>
    <w:rsid w:val="00392148"/>
    <w:rsid w:val="003A1E30"/>
    <w:rsid w:val="003A2829"/>
    <w:rsid w:val="003A7D1C"/>
    <w:rsid w:val="003B304B"/>
    <w:rsid w:val="003B3146"/>
    <w:rsid w:val="003B4F52"/>
    <w:rsid w:val="003D39BB"/>
    <w:rsid w:val="003D6272"/>
    <w:rsid w:val="003F015E"/>
    <w:rsid w:val="003F0B10"/>
    <w:rsid w:val="00400414"/>
    <w:rsid w:val="00407188"/>
    <w:rsid w:val="0041385B"/>
    <w:rsid w:val="0041394A"/>
    <w:rsid w:val="0041446B"/>
    <w:rsid w:val="0044071E"/>
    <w:rsid w:val="0044329C"/>
    <w:rsid w:val="004511FE"/>
    <w:rsid w:val="0045396C"/>
    <w:rsid w:val="00453E24"/>
    <w:rsid w:val="00457456"/>
    <w:rsid w:val="004577FE"/>
    <w:rsid w:val="00457B9C"/>
    <w:rsid w:val="0046164A"/>
    <w:rsid w:val="004628D2"/>
    <w:rsid w:val="00462DCD"/>
    <w:rsid w:val="004648AD"/>
    <w:rsid w:val="004703A9"/>
    <w:rsid w:val="004760DE"/>
    <w:rsid w:val="004763D7"/>
    <w:rsid w:val="00483C49"/>
    <w:rsid w:val="0049484E"/>
    <w:rsid w:val="004A004E"/>
    <w:rsid w:val="004A24CF"/>
    <w:rsid w:val="004B2F3E"/>
    <w:rsid w:val="004B7C0C"/>
    <w:rsid w:val="004C172B"/>
    <w:rsid w:val="004C3D1D"/>
    <w:rsid w:val="004C5AAC"/>
    <w:rsid w:val="004C7913"/>
    <w:rsid w:val="004D2324"/>
    <w:rsid w:val="004E4DD6"/>
    <w:rsid w:val="004F5E36"/>
    <w:rsid w:val="005013F5"/>
    <w:rsid w:val="005075ED"/>
    <w:rsid w:val="00507B47"/>
    <w:rsid w:val="00507BEF"/>
    <w:rsid w:val="00507CC9"/>
    <w:rsid w:val="005119A5"/>
    <w:rsid w:val="0052431A"/>
    <w:rsid w:val="005278B7"/>
    <w:rsid w:val="00532016"/>
    <w:rsid w:val="005346C8"/>
    <w:rsid w:val="00543E7D"/>
    <w:rsid w:val="00547A68"/>
    <w:rsid w:val="00550390"/>
    <w:rsid w:val="005518CA"/>
    <w:rsid w:val="005531C9"/>
    <w:rsid w:val="00570C43"/>
    <w:rsid w:val="00584390"/>
    <w:rsid w:val="00591C1D"/>
    <w:rsid w:val="005A023E"/>
    <w:rsid w:val="005B2110"/>
    <w:rsid w:val="005B61E6"/>
    <w:rsid w:val="005C77E1"/>
    <w:rsid w:val="005D668A"/>
    <w:rsid w:val="005D6A2F"/>
    <w:rsid w:val="005E1A82"/>
    <w:rsid w:val="005E794C"/>
    <w:rsid w:val="005F0A28"/>
    <w:rsid w:val="005F0E5E"/>
    <w:rsid w:val="005F11AA"/>
    <w:rsid w:val="005F1C52"/>
    <w:rsid w:val="005F7FB5"/>
    <w:rsid w:val="00600535"/>
    <w:rsid w:val="00610CD6"/>
    <w:rsid w:val="00620DEE"/>
    <w:rsid w:val="00621F92"/>
    <w:rsid w:val="0062280A"/>
    <w:rsid w:val="00624686"/>
    <w:rsid w:val="00625639"/>
    <w:rsid w:val="00631B33"/>
    <w:rsid w:val="0064184D"/>
    <w:rsid w:val="006422CC"/>
    <w:rsid w:val="00660E3E"/>
    <w:rsid w:val="00662E74"/>
    <w:rsid w:val="00666FF4"/>
    <w:rsid w:val="00672D2A"/>
    <w:rsid w:val="00680C23"/>
    <w:rsid w:val="00685852"/>
    <w:rsid w:val="006870B9"/>
    <w:rsid w:val="00693766"/>
    <w:rsid w:val="00694061"/>
    <w:rsid w:val="006A3281"/>
    <w:rsid w:val="006B0E62"/>
    <w:rsid w:val="006B3C0C"/>
    <w:rsid w:val="006B4888"/>
    <w:rsid w:val="006C2E45"/>
    <w:rsid w:val="006C359C"/>
    <w:rsid w:val="006C5579"/>
    <w:rsid w:val="006D32C6"/>
    <w:rsid w:val="006D6E8B"/>
    <w:rsid w:val="006E737D"/>
    <w:rsid w:val="006F732E"/>
    <w:rsid w:val="007053B8"/>
    <w:rsid w:val="00713973"/>
    <w:rsid w:val="00720A24"/>
    <w:rsid w:val="0072586D"/>
    <w:rsid w:val="00732386"/>
    <w:rsid w:val="00732C41"/>
    <w:rsid w:val="0073514D"/>
    <w:rsid w:val="007447F3"/>
    <w:rsid w:val="00745AC9"/>
    <w:rsid w:val="00745B85"/>
    <w:rsid w:val="0075499F"/>
    <w:rsid w:val="00757647"/>
    <w:rsid w:val="00757ED9"/>
    <w:rsid w:val="007661C8"/>
    <w:rsid w:val="007676AF"/>
    <w:rsid w:val="0077098D"/>
    <w:rsid w:val="00770A6B"/>
    <w:rsid w:val="00770F63"/>
    <w:rsid w:val="007751B2"/>
    <w:rsid w:val="007755A9"/>
    <w:rsid w:val="007816D9"/>
    <w:rsid w:val="00784A36"/>
    <w:rsid w:val="00791705"/>
    <w:rsid w:val="007931FA"/>
    <w:rsid w:val="007A4861"/>
    <w:rsid w:val="007A7BBA"/>
    <w:rsid w:val="007B0C50"/>
    <w:rsid w:val="007B48F9"/>
    <w:rsid w:val="007B7ECC"/>
    <w:rsid w:val="007C1A43"/>
    <w:rsid w:val="007F42E3"/>
    <w:rsid w:val="0080013E"/>
    <w:rsid w:val="00813288"/>
    <w:rsid w:val="008168FC"/>
    <w:rsid w:val="00830996"/>
    <w:rsid w:val="008345F1"/>
    <w:rsid w:val="008515EC"/>
    <w:rsid w:val="00854C77"/>
    <w:rsid w:val="00865B07"/>
    <w:rsid w:val="008667EA"/>
    <w:rsid w:val="00875D0C"/>
    <w:rsid w:val="0087637F"/>
    <w:rsid w:val="00892AD5"/>
    <w:rsid w:val="008A1512"/>
    <w:rsid w:val="008A4D03"/>
    <w:rsid w:val="008B3914"/>
    <w:rsid w:val="008C40CA"/>
    <w:rsid w:val="008D32B9"/>
    <w:rsid w:val="008D433B"/>
    <w:rsid w:val="008E3EC2"/>
    <w:rsid w:val="008E566E"/>
    <w:rsid w:val="008F5E37"/>
    <w:rsid w:val="0090161A"/>
    <w:rsid w:val="00901EB6"/>
    <w:rsid w:val="009027A5"/>
    <w:rsid w:val="00904361"/>
    <w:rsid w:val="00904C62"/>
    <w:rsid w:val="00914F8A"/>
    <w:rsid w:val="00922BA8"/>
    <w:rsid w:val="00924DAC"/>
    <w:rsid w:val="00927058"/>
    <w:rsid w:val="00927794"/>
    <w:rsid w:val="00932009"/>
    <w:rsid w:val="00942750"/>
    <w:rsid w:val="009450CE"/>
    <w:rsid w:val="00947179"/>
    <w:rsid w:val="0095164B"/>
    <w:rsid w:val="00954090"/>
    <w:rsid w:val="009573E7"/>
    <w:rsid w:val="00963E05"/>
    <w:rsid w:val="00964A45"/>
    <w:rsid w:val="00967843"/>
    <w:rsid w:val="00967D54"/>
    <w:rsid w:val="00971028"/>
    <w:rsid w:val="00993B84"/>
    <w:rsid w:val="00993E76"/>
    <w:rsid w:val="00994645"/>
    <w:rsid w:val="00996483"/>
    <w:rsid w:val="00996F5A"/>
    <w:rsid w:val="009976B6"/>
    <w:rsid w:val="009B041A"/>
    <w:rsid w:val="009C37C3"/>
    <w:rsid w:val="009C424F"/>
    <w:rsid w:val="009C7C86"/>
    <w:rsid w:val="009D0379"/>
    <w:rsid w:val="009D2FF7"/>
    <w:rsid w:val="009D5395"/>
    <w:rsid w:val="009E7884"/>
    <w:rsid w:val="009E788A"/>
    <w:rsid w:val="009F0E08"/>
    <w:rsid w:val="00A07B1E"/>
    <w:rsid w:val="00A15358"/>
    <w:rsid w:val="00A15A9F"/>
    <w:rsid w:val="00A1763D"/>
    <w:rsid w:val="00A17CEC"/>
    <w:rsid w:val="00A27EF0"/>
    <w:rsid w:val="00A42361"/>
    <w:rsid w:val="00A4766E"/>
    <w:rsid w:val="00A50B20"/>
    <w:rsid w:val="00A51390"/>
    <w:rsid w:val="00A60D13"/>
    <w:rsid w:val="00A61F21"/>
    <w:rsid w:val="00A648C9"/>
    <w:rsid w:val="00A72745"/>
    <w:rsid w:val="00A74B9A"/>
    <w:rsid w:val="00A76EFC"/>
    <w:rsid w:val="00A85F98"/>
    <w:rsid w:val="00A90459"/>
    <w:rsid w:val="00A91010"/>
    <w:rsid w:val="00A97F29"/>
    <w:rsid w:val="00AA702E"/>
    <w:rsid w:val="00AB0964"/>
    <w:rsid w:val="00AB3944"/>
    <w:rsid w:val="00AB5011"/>
    <w:rsid w:val="00AC7368"/>
    <w:rsid w:val="00AD16B9"/>
    <w:rsid w:val="00AD4229"/>
    <w:rsid w:val="00AE377D"/>
    <w:rsid w:val="00AF088E"/>
    <w:rsid w:val="00AF0EBA"/>
    <w:rsid w:val="00B02C8A"/>
    <w:rsid w:val="00B066B7"/>
    <w:rsid w:val="00B072F7"/>
    <w:rsid w:val="00B1179C"/>
    <w:rsid w:val="00B17FBD"/>
    <w:rsid w:val="00B21A37"/>
    <w:rsid w:val="00B306D3"/>
    <w:rsid w:val="00B315A6"/>
    <w:rsid w:val="00B31813"/>
    <w:rsid w:val="00B33365"/>
    <w:rsid w:val="00B50B1E"/>
    <w:rsid w:val="00B51CA6"/>
    <w:rsid w:val="00B520AE"/>
    <w:rsid w:val="00B57B36"/>
    <w:rsid w:val="00B57E6F"/>
    <w:rsid w:val="00B8686D"/>
    <w:rsid w:val="00B9065B"/>
    <w:rsid w:val="00B93F69"/>
    <w:rsid w:val="00B96D79"/>
    <w:rsid w:val="00BA2147"/>
    <w:rsid w:val="00BB1DDC"/>
    <w:rsid w:val="00BC0EFB"/>
    <w:rsid w:val="00BC30C9"/>
    <w:rsid w:val="00BC6104"/>
    <w:rsid w:val="00BD077D"/>
    <w:rsid w:val="00BE2057"/>
    <w:rsid w:val="00BE3E58"/>
    <w:rsid w:val="00C01616"/>
    <w:rsid w:val="00C0162B"/>
    <w:rsid w:val="00C05F92"/>
    <w:rsid w:val="00C068ED"/>
    <w:rsid w:val="00C22E0C"/>
    <w:rsid w:val="00C3236B"/>
    <w:rsid w:val="00C345B1"/>
    <w:rsid w:val="00C40142"/>
    <w:rsid w:val="00C446E0"/>
    <w:rsid w:val="00C52C3C"/>
    <w:rsid w:val="00C57182"/>
    <w:rsid w:val="00C57863"/>
    <w:rsid w:val="00C655FD"/>
    <w:rsid w:val="00C67CDE"/>
    <w:rsid w:val="00C75407"/>
    <w:rsid w:val="00C758CB"/>
    <w:rsid w:val="00C858FD"/>
    <w:rsid w:val="00C870A8"/>
    <w:rsid w:val="00C94434"/>
    <w:rsid w:val="00CA031C"/>
    <w:rsid w:val="00CA0D75"/>
    <w:rsid w:val="00CA1C95"/>
    <w:rsid w:val="00CA4E9A"/>
    <w:rsid w:val="00CA5A9C"/>
    <w:rsid w:val="00CC0EDD"/>
    <w:rsid w:val="00CC4C20"/>
    <w:rsid w:val="00CD3517"/>
    <w:rsid w:val="00CD5FE2"/>
    <w:rsid w:val="00CD68BC"/>
    <w:rsid w:val="00CE21E9"/>
    <w:rsid w:val="00CE7C68"/>
    <w:rsid w:val="00CE7DBB"/>
    <w:rsid w:val="00D02B4C"/>
    <w:rsid w:val="00D040C4"/>
    <w:rsid w:val="00D048CD"/>
    <w:rsid w:val="00D06945"/>
    <w:rsid w:val="00D1535E"/>
    <w:rsid w:val="00D1617E"/>
    <w:rsid w:val="00D35425"/>
    <w:rsid w:val="00D45504"/>
    <w:rsid w:val="00D46B7E"/>
    <w:rsid w:val="00D57C84"/>
    <w:rsid w:val="00D6057D"/>
    <w:rsid w:val="00D62F77"/>
    <w:rsid w:val="00D65992"/>
    <w:rsid w:val="00D71640"/>
    <w:rsid w:val="00D80736"/>
    <w:rsid w:val="00D836C5"/>
    <w:rsid w:val="00D84576"/>
    <w:rsid w:val="00D86C61"/>
    <w:rsid w:val="00DA1399"/>
    <w:rsid w:val="00DA24C6"/>
    <w:rsid w:val="00DA4D7B"/>
    <w:rsid w:val="00DE264A"/>
    <w:rsid w:val="00DE41B0"/>
    <w:rsid w:val="00DF5072"/>
    <w:rsid w:val="00DF5504"/>
    <w:rsid w:val="00E02D18"/>
    <w:rsid w:val="00E035C7"/>
    <w:rsid w:val="00E041E7"/>
    <w:rsid w:val="00E23CA1"/>
    <w:rsid w:val="00E409A8"/>
    <w:rsid w:val="00E50AF8"/>
    <w:rsid w:val="00E50C12"/>
    <w:rsid w:val="00E65B91"/>
    <w:rsid w:val="00E67F90"/>
    <w:rsid w:val="00E7209D"/>
    <w:rsid w:val="00E72EAD"/>
    <w:rsid w:val="00E734D5"/>
    <w:rsid w:val="00E75F97"/>
    <w:rsid w:val="00E77223"/>
    <w:rsid w:val="00E8528B"/>
    <w:rsid w:val="00E85B94"/>
    <w:rsid w:val="00E978D0"/>
    <w:rsid w:val="00E9796C"/>
    <w:rsid w:val="00EA4613"/>
    <w:rsid w:val="00EA67EA"/>
    <w:rsid w:val="00EA7F91"/>
    <w:rsid w:val="00EB1523"/>
    <w:rsid w:val="00EB3EDD"/>
    <w:rsid w:val="00EC0E49"/>
    <w:rsid w:val="00EC101F"/>
    <w:rsid w:val="00EC1D9F"/>
    <w:rsid w:val="00EC76A9"/>
    <w:rsid w:val="00EC7730"/>
    <w:rsid w:val="00EC7A54"/>
    <w:rsid w:val="00ED1FED"/>
    <w:rsid w:val="00ED6E25"/>
    <w:rsid w:val="00EE0131"/>
    <w:rsid w:val="00EE17B0"/>
    <w:rsid w:val="00EE6E88"/>
    <w:rsid w:val="00EF06D9"/>
    <w:rsid w:val="00EF2B99"/>
    <w:rsid w:val="00EF7AC6"/>
    <w:rsid w:val="00F0621A"/>
    <w:rsid w:val="00F11097"/>
    <w:rsid w:val="00F14FA3"/>
    <w:rsid w:val="00F21C34"/>
    <w:rsid w:val="00F2368C"/>
    <w:rsid w:val="00F30C64"/>
    <w:rsid w:val="00F32BA2"/>
    <w:rsid w:val="00F32CDB"/>
    <w:rsid w:val="00F416AB"/>
    <w:rsid w:val="00F436BF"/>
    <w:rsid w:val="00F44AAE"/>
    <w:rsid w:val="00F565FE"/>
    <w:rsid w:val="00F60771"/>
    <w:rsid w:val="00F63A70"/>
    <w:rsid w:val="00F70213"/>
    <w:rsid w:val="00F7534E"/>
    <w:rsid w:val="00F93C5F"/>
    <w:rsid w:val="00FA1802"/>
    <w:rsid w:val="00FA21D0"/>
    <w:rsid w:val="00FA5F5F"/>
    <w:rsid w:val="00FB56A8"/>
    <w:rsid w:val="00FB730C"/>
    <w:rsid w:val="00FC2695"/>
    <w:rsid w:val="00FC3E03"/>
    <w:rsid w:val="00FC3FC1"/>
    <w:rsid w:val="00FC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8A0C66"/>
  <w15:docId w15:val="{89DBDB08-A3D7-4681-A73E-3431FE0F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99"/>
    <w:qFormat/>
    <w:rsid w:val="00280FAF"/>
    <w:pPr>
      <w:ind w:left="720"/>
      <w:contextualSpacing/>
    </w:pPr>
  </w:style>
  <w:style w:type="paragraph" w:customStyle="1" w:styleId="Default">
    <w:name w:val="Default"/>
    <w:rsid w:val="00732C4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EndNoteBibliography">
    <w:name w:val="EndNote Bibliography"/>
    <w:basedOn w:val="Normale"/>
    <w:link w:val="EndNoteBibliographyChar"/>
    <w:rsid w:val="00732C41"/>
    <w:pPr>
      <w:tabs>
        <w:tab w:val="clear" w:pos="7100"/>
      </w:tabs>
      <w:spacing w:after="160" w:line="480" w:lineRule="auto"/>
      <w:jc w:val="left"/>
    </w:pPr>
    <w:rPr>
      <w:rFonts w:ascii="Times New Roman" w:eastAsiaTheme="minorHAnsi" w:hAnsi="Times New Roman"/>
      <w:noProof/>
      <w:sz w:val="24"/>
      <w:szCs w:val="22"/>
      <w:lang w:val="en-US"/>
    </w:rPr>
  </w:style>
  <w:style w:type="character" w:customStyle="1" w:styleId="EndNoteBibliographyChar">
    <w:name w:val="EndNote Bibliography Char"/>
    <w:basedOn w:val="Carpredefinitoparagrafo"/>
    <w:link w:val="EndNoteBibliography"/>
    <w:rsid w:val="00732C41"/>
    <w:rPr>
      <w:rFonts w:ascii="Times New Roman" w:hAnsi="Times New Roman" w:cs="Times New Roman"/>
      <w:noProof/>
      <w:sz w:val="24"/>
      <w:lang w:val="en-US"/>
    </w:rPr>
  </w:style>
  <w:style w:type="paragraph" w:customStyle="1" w:styleId="EndNoteBibliographyTitle">
    <w:name w:val="EndNote Bibliography Title"/>
    <w:basedOn w:val="Normale"/>
    <w:link w:val="EndNoteBibliographyTitleChar"/>
    <w:rsid w:val="00770A6B"/>
    <w:pPr>
      <w:tabs>
        <w:tab w:val="clear" w:pos="7100"/>
      </w:tabs>
      <w:spacing w:before="120" w:line="480" w:lineRule="auto"/>
      <w:jc w:val="center"/>
    </w:pPr>
    <w:rPr>
      <w:rFonts w:ascii="Times New Roman" w:eastAsiaTheme="minorHAnsi" w:hAnsi="Times New Roman"/>
      <w:noProof/>
      <w:sz w:val="24"/>
      <w:szCs w:val="22"/>
      <w:lang w:val="en-US"/>
    </w:rPr>
  </w:style>
  <w:style w:type="character" w:customStyle="1" w:styleId="EndNoteBibliographyTitleChar">
    <w:name w:val="EndNote Bibliography Title Char"/>
    <w:basedOn w:val="Carpredefinitoparagrafo"/>
    <w:link w:val="EndNoteBibliographyTitle"/>
    <w:rsid w:val="00770A6B"/>
    <w:rPr>
      <w:rFonts w:ascii="Times New Roman" w:hAnsi="Times New Roman" w:cs="Times New Roman"/>
      <w:noProof/>
      <w:sz w:val="24"/>
      <w:lang w:val="en-US"/>
    </w:rPr>
  </w:style>
  <w:style w:type="character" w:customStyle="1" w:styleId="ref-title">
    <w:name w:val="ref-title"/>
    <w:basedOn w:val="Carpredefinitoparagrafo"/>
    <w:rsid w:val="00BC6104"/>
  </w:style>
  <w:style w:type="character" w:customStyle="1" w:styleId="ref-journal">
    <w:name w:val="ref-journal"/>
    <w:basedOn w:val="Carpredefinitoparagrafo"/>
    <w:rsid w:val="00BC6104"/>
  </w:style>
  <w:style w:type="character" w:customStyle="1" w:styleId="ref-vol">
    <w:name w:val="ref-vol"/>
    <w:basedOn w:val="Carpredefinitoparagrafo"/>
    <w:rsid w:val="00BC6104"/>
  </w:style>
  <w:style w:type="character" w:styleId="Testosegnaposto">
    <w:name w:val="Placeholder Text"/>
    <w:basedOn w:val="Carpredefinitoparagrafo"/>
    <w:uiPriority w:val="99"/>
    <w:semiHidden/>
    <w:rsid w:val="000051CD"/>
    <w:rPr>
      <w:color w:val="808080"/>
    </w:rPr>
  </w:style>
  <w:style w:type="character" w:customStyle="1" w:styleId="ff4">
    <w:name w:val="ff4"/>
    <w:basedOn w:val="Carpredefinitoparagrafo"/>
    <w:rsid w:val="00234C79"/>
  </w:style>
  <w:style w:type="character" w:customStyle="1" w:styleId="ff8">
    <w:name w:val="ff8"/>
    <w:basedOn w:val="Carpredefinitoparagrafo"/>
    <w:rsid w:val="00234C79"/>
  </w:style>
  <w:style w:type="character" w:customStyle="1" w:styleId="ws1d">
    <w:name w:val="ws1d"/>
    <w:basedOn w:val="Carpredefinitoparagrafo"/>
    <w:rsid w:val="00234C79"/>
  </w:style>
  <w:style w:type="character" w:customStyle="1" w:styleId="ws1b">
    <w:name w:val="ws1b"/>
    <w:basedOn w:val="Carpredefinitoparagrafo"/>
    <w:rsid w:val="00234C79"/>
  </w:style>
  <w:style w:type="character" w:customStyle="1" w:styleId="id-label">
    <w:name w:val="id-label"/>
    <w:basedOn w:val="Carpredefinitoparagrafo"/>
    <w:rsid w:val="0008519E"/>
  </w:style>
  <w:style w:type="character" w:styleId="Enfasicorsivo">
    <w:name w:val="Emphasis"/>
    <w:basedOn w:val="Carpredefinitoparagrafo"/>
    <w:uiPriority w:val="20"/>
    <w:qFormat/>
    <w:rsid w:val="00A4766E"/>
    <w:rPr>
      <w:i/>
      <w:iCs/>
    </w:rPr>
  </w:style>
  <w:style w:type="character" w:customStyle="1" w:styleId="fontstyle01">
    <w:name w:val="fontstyle01"/>
    <w:basedOn w:val="Carpredefinitoparagrafo"/>
    <w:rsid w:val="00267450"/>
    <w:rPr>
      <w:rFonts w:ascii="AdvGulliv-R" w:eastAsia="AdvGulliv-R" w:hint="eastAsia"/>
      <w:b w:val="0"/>
      <w:bCs w:val="0"/>
      <w:i w:val="0"/>
      <w:iCs w:val="0"/>
      <w:color w:val="000000"/>
      <w:sz w:val="16"/>
      <w:szCs w:val="16"/>
    </w:rPr>
  </w:style>
  <w:style w:type="character" w:customStyle="1" w:styleId="fontstyle21">
    <w:name w:val="fontstyle21"/>
    <w:basedOn w:val="Carpredefinitoparagrafo"/>
    <w:rsid w:val="00267450"/>
    <w:rPr>
      <w:rFonts w:ascii="AdvGulliv-I" w:hAnsi="AdvGulliv-I"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8397">
      <w:bodyDiv w:val="1"/>
      <w:marLeft w:val="0"/>
      <w:marRight w:val="0"/>
      <w:marTop w:val="0"/>
      <w:marBottom w:val="0"/>
      <w:divBdr>
        <w:top w:val="none" w:sz="0" w:space="0" w:color="auto"/>
        <w:left w:val="none" w:sz="0" w:space="0" w:color="auto"/>
        <w:bottom w:val="none" w:sz="0" w:space="0" w:color="auto"/>
        <w:right w:val="none" w:sz="0" w:space="0" w:color="auto"/>
      </w:divBdr>
      <w:divsChild>
        <w:div w:id="1578052221">
          <w:marLeft w:val="-2400"/>
          <w:marRight w:val="-480"/>
          <w:marTop w:val="0"/>
          <w:marBottom w:val="0"/>
          <w:divBdr>
            <w:top w:val="none" w:sz="0" w:space="0" w:color="auto"/>
            <w:left w:val="none" w:sz="0" w:space="0" w:color="auto"/>
            <w:bottom w:val="none" w:sz="0" w:space="0" w:color="auto"/>
            <w:right w:val="none" w:sz="0" w:space="0" w:color="auto"/>
          </w:divBdr>
        </w:div>
        <w:div w:id="237521792">
          <w:marLeft w:val="-2400"/>
          <w:marRight w:val="-480"/>
          <w:marTop w:val="0"/>
          <w:marBottom w:val="0"/>
          <w:divBdr>
            <w:top w:val="none" w:sz="0" w:space="0" w:color="auto"/>
            <w:left w:val="none" w:sz="0" w:space="0" w:color="auto"/>
            <w:bottom w:val="none" w:sz="0" w:space="0" w:color="auto"/>
            <w:right w:val="none" w:sz="0" w:space="0" w:color="auto"/>
          </w:divBdr>
        </w:div>
        <w:div w:id="164327911">
          <w:marLeft w:val="-2400"/>
          <w:marRight w:val="-480"/>
          <w:marTop w:val="0"/>
          <w:marBottom w:val="0"/>
          <w:divBdr>
            <w:top w:val="none" w:sz="0" w:space="0" w:color="auto"/>
            <w:left w:val="none" w:sz="0" w:space="0" w:color="auto"/>
            <w:bottom w:val="none" w:sz="0" w:space="0" w:color="auto"/>
            <w:right w:val="none" w:sz="0" w:space="0" w:color="auto"/>
          </w:divBdr>
        </w:div>
        <w:div w:id="1355302626">
          <w:marLeft w:val="-2400"/>
          <w:marRight w:val="-480"/>
          <w:marTop w:val="0"/>
          <w:marBottom w:val="0"/>
          <w:divBdr>
            <w:top w:val="none" w:sz="0" w:space="0" w:color="auto"/>
            <w:left w:val="none" w:sz="0" w:space="0" w:color="auto"/>
            <w:bottom w:val="none" w:sz="0" w:space="0" w:color="auto"/>
            <w:right w:val="none" w:sz="0" w:space="0" w:color="auto"/>
          </w:divBdr>
        </w:div>
        <w:div w:id="2036541287">
          <w:marLeft w:val="-2400"/>
          <w:marRight w:val="-480"/>
          <w:marTop w:val="0"/>
          <w:marBottom w:val="0"/>
          <w:divBdr>
            <w:top w:val="none" w:sz="0" w:space="0" w:color="auto"/>
            <w:left w:val="none" w:sz="0" w:space="0" w:color="auto"/>
            <w:bottom w:val="none" w:sz="0" w:space="0" w:color="auto"/>
            <w:right w:val="none" w:sz="0" w:space="0" w:color="auto"/>
          </w:divBdr>
        </w:div>
        <w:div w:id="800460418">
          <w:marLeft w:val="-2400"/>
          <w:marRight w:val="-480"/>
          <w:marTop w:val="0"/>
          <w:marBottom w:val="0"/>
          <w:divBdr>
            <w:top w:val="none" w:sz="0" w:space="0" w:color="auto"/>
            <w:left w:val="none" w:sz="0" w:space="0" w:color="auto"/>
            <w:bottom w:val="none" w:sz="0" w:space="0" w:color="auto"/>
            <w:right w:val="none" w:sz="0" w:space="0" w:color="auto"/>
          </w:divBdr>
        </w:div>
        <w:div w:id="289095392">
          <w:marLeft w:val="-2400"/>
          <w:marRight w:val="-480"/>
          <w:marTop w:val="0"/>
          <w:marBottom w:val="0"/>
          <w:divBdr>
            <w:top w:val="none" w:sz="0" w:space="0" w:color="auto"/>
            <w:left w:val="none" w:sz="0" w:space="0" w:color="auto"/>
            <w:bottom w:val="none" w:sz="0" w:space="0" w:color="auto"/>
            <w:right w:val="none" w:sz="0" w:space="0" w:color="auto"/>
          </w:divBdr>
        </w:div>
        <w:div w:id="519198913">
          <w:marLeft w:val="-2400"/>
          <w:marRight w:val="-480"/>
          <w:marTop w:val="0"/>
          <w:marBottom w:val="0"/>
          <w:divBdr>
            <w:top w:val="none" w:sz="0" w:space="0" w:color="auto"/>
            <w:left w:val="none" w:sz="0" w:space="0" w:color="auto"/>
            <w:bottom w:val="none" w:sz="0" w:space="0" w:color="auto"/>
            <w:right w:val="none" w:sz="0" w:space="0" w:color="auto"/>
          </w:divBdr>
        </w:div>
      </w:divsChild>
    </w:div>
    <w:div w:id="563613113">
      <w:bodyDiv w:val="1"/>
      <w:marLeft w:val="0"/>
      <w:marRight w:val="0"/>
      <w:marTop w:val="0"/>
      <w:marBottom w:val="0"/>
      <w:divBdr>
        <w:top w:val="none" w:sz="0" w:space="0" w:color="auto"/>
        <w:left w:val="none" w:sz="0" w:space="0" w:color="auto"/>
        <w:bottom w:val="none" w:sz="0" w:space="0" w:color="auto"/>
        <w:right w:val="none" w:sz="0" w:space="0" w:color="auto"/>
      </w:divBdr>
      <w:divsChild>
        <w:div w:id="832375172">
          <w:marLeft w:val="547"/>
          <w:marRight w:val="0"/>
          <w:marTop w:val="0"/>
          <w:marBottom w:val="0"/>
          <w:divBdr>
            <w:top w:val="none" w:sz="0" w:space="0" w:color="auto"/>
            <w:left w:val="none" w:sz="0" w:space="0" w:color="auto"/>
            <w:bottom w:val="none" w:sz="0" w:space="0" w:color="auto"/>
            <w:right w:val="none" w:sz="0" w:space="0" w:color="auto"/>
          </w:divBdr>
        </w:div>
        <w:div w:id="102379664">
          <w:marLeft w:val="547"/>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658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8780">
      <w:bodyDiv w:val="1"/>
      <w:marLeft w:val="0"/>
      <w:marRight w:val="0"/>
      <w:marTop w:val="0"/>
      <w:marBottom w:val="0"/>
      <w:divBdr>
        <w:top w:val="none" w:sz="0" w:space="0" w:color="auto"/>
        <w:left w:val="none" w:sz="0" w:space="0" w:color="auto"/>
        <w:bottom w:val="none" w:sz="0" w:space="0" w:color="auto"/>
        <w:right w:val="none" w:sz="0" w:space="0" w:color="auto"/>
      </w:divBdr>
      <w:divsChild>
        <w:div w:id="2111242409">
          <w:marLeft w:val="547"/>
          <w:marRight w:val="0"/>
          <w:marTop w:val="0"/>
          <w:marBottom w:val="0"/>
          <w:divBdr>
            <w:top w:val="none" w:sz="0" w:space="0" w:color="auto"/>
            <w:left w:val="none" w:sz="0" w:space="0" w:color="auto"/>
            <w:bottom w:val="none" w:sz="0" w:space="0" w:color="auto"/>
            <w:right w:val="none" w:sz="0" w:space="0" w:color="auto"/>
          </w:divBdr>
        </w:div>
        <w:div w:id="1825851497">
          <w:marLeft w:val="547"/>
          <w:marRight w:val="0"/>
          <w:marTop w:val="0"/>
          <w:marBottom w:val="0"/>
          <w:divBdr>
            <w:top w:val="none" w:sz="0" w:space="0" w:color="auto"/>
            <w:left w:val="none" w:sz="0" w:space="0" w:color="auto"/>
            <w:bottom w:val="none" w:sz="0" w:space="0" w:color="auto"/>
            <w:right w:val="none" w:sz="0" w:space="0" w:color="auto"/>
          </w:divBdr>
        </w:div>
      </w:divsChild>
    </w:div>
    <w:div w:id="2127652520">
      <w:bodyDiv w:val="1"/>
      <w:marLeft w:val="0"/>
      <w:marRight w:val="0"/>
      <w:marTop w:val="0"/>
      <w:marBottom w:val="0"/>
      <w:divBdr>
        <w:top w:val="none" w:sz="0" w:space="0" w:color="auto"/>
        <w:left w:val="none" w:sz="0" w:space="0" w:color="auto"/>
        <w:bottom w:val="none" w:sz="0" w:space="0" w:color="auto"/>
        <w:right w:val="none" w:sz="0" w:space="0" w:color="auto"/>
      </w:divBdr>
      <w:divsChild>
        <w:div w:id="28649772">
          <w:marLeft w:val="547"/>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doi.org/10.1016/j.cej.2021.131299" TargetMode="External"/><Relationship Id="rId3" Type="http://schemas.openxmlformats.org/officeDocument/2006/relationships/styles" Target="styles.xml"/><Relationship Id="rId21" Type="http://schemas.openxmlformats.org/officeDocument/2006/relationships/hyperlink" Target="https://doi.org/10.1007/s10811-017-1081-y"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doi.org/10.4491/eer.2015.1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590/1678-4324-2020180534" TargetMode="External"/><Relationship Id="rId20" Type="http://schemas.openxmlformats.org/officeDocument/2006/relationships/hyperlink" Target="https://doi.org/10.1016/j.biortech.2018.01.1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dx.doi.org/10.1016/j.biortech.2011.03.036" TargetMode="External"/><Relationship Id="rId10" Type="http://schemas.openxmlformats.org/officeDocument/2006/relationships/image" Target="media/image3.wmf"/><Relationship Id="rId19" Type="http://schemas.openxmlformats.org/officeDocument/2006/relationships/hyperlink" Target="http://dx.doi.org/10.1016/j.rser.2020.11060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hyperlink" Target="https://sagdb.uni-goettingen.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2C79E-3913-4DB7-BB36-94D16067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5135</Words>
  <Characters>29273</Characters>
  <Application>Microsoft Office Word</Application>
  <DocSecurity>0</DocSecurity>
  <Lines>243</Lines>
  <Paragraphs>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ACER</cp:lastModifiedBy>
  <cp:revision>5</cp:revision>
  <cp:lastPrinted>2015-05-12T18:31:00Z</cp:lastPrinted>
  <dcterms:created xsi:type="dcterms:W3CDTF">2022-03-15T12:49:00Z</dcterms:created>
  <dcterms:modified xsi:type="dcterms:W3CDTF">2022-03-15T14:48:00Z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