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381D57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8F20D6" w:rsidRDefault="00AA7D26" w:rsidP="00AA7D26">
            <w:pPr>
              <w:ind w:left="-107"/>
              <w:outlineLvl w:val="2"/>
              <w:rPr>
                <w:rFonts w:ascii="Tahoma" w:hAnsi="Tahoma" w:cs="Tahoma"/>
                <w:bCs/>
                <w:color w:val="000000"/>
                <w:sz w:val="14"/>
                <w:szCs w:val="14"/>
                <w:lang w:eastAsia="it-IT"/>
              </w:rPr>
            </w:pPr>
            <w:r w:rsidRPr="008F20D6">
              <w:rPr>
                <w:rFonts w:ascii="Tahoma" w:hAnsi="Tahoma" w:cs="Tahoma"/>
                <w:iCs/>
                <w:color w:val="333333"/>
                <w:sz w:val="14"/>
                <w:szCs w:val="14"/>
                <w:lang w:eastAsia="it-IT"/>
              </w:rPr>
              <w:t>Guest Editors:</w:t>
            </w:r>
            <w:r w:rsidRPr="008F20D6">
              <w:rPr>
                <w:rFonts w:ascii="Tahoma" w:hAnsi="Tahoma" w:cs="Tahoma"/>
                <w:color w:val="000000"/>
                <w:sz w:val="14"/>
                <w:szCs w:val="14"/>
                <w:shd w:val="clear" w:color="auto" w:fill="FFFFFF"/>
              </w:rPr>
              <w:t xml:space="preserve"> </w:t>
            </w:r>
            <w:r w:rsidR="006A23E9" w:rsidRPr="008F20D6">
              <w:rPr>
                <w:rFonts w:ascii="Tahoma" w:hAnsi="Tahoma" w:cs="Tahoma"/>
                <w:color w:val="000000"/>
                <w:sz w:val="14"/>
                <w:szCs w:val="14"/>
                <w:shd w:val="clear" w:color="auto" w:fill="FFFFFF"/>
              </w:rPr>
              <w:t xml:space="preserve">Leonardo Tognotti, </w:t>
            </w:r>
            <w:r w:rsidR="006A23E9" w:rsidRPr="008F20D6">
              <w:rPr>
                <w:rFonts w:ascii="Tahoma" w:hAnsi="Tahoma" w:cs="Tahoma"/>
                <w:color w:val="000000"/>
                <w:sz w:val="14"/>
                <w:szCs w:val="14"/>
              </w:rPr>
              <w:t>Rubens Maciel Filho</w:t>
            </w:r>
            <w:r w:rsidR="006A23E9" w:rsidRPr="008F20D6">
              <w:rPr>
                <w:rFonts w:ascii="Tahoma" w:hAnsi="Tahoma" w:cs="Tahoma"/>
                <w:color w:val="000000"/>
                <w:sz w:val="14"/>
                <w:szCs w:val="14"/>
                <w:shd w:val="clear" w:color="auto" w:fill="FFFFFF"/>
              </w:rPr>
              <w:t xml:space="preserve">, </w:t>
            </w:r>
            <w:r w:rsidR="006A23E9" w:rsidRPr="008F20D6">
              <w:rPr>
                <w:rFonts w:ascii="Tahoma" w:hAnsi="Tahoma" w:cs="Tahoma"/>
                <w:color w:val="000000"/>
                <w:sz w:val="14"/>
                <w:szCs w:val="14"/>
              </w:rPr>
              <w:t>Viatcheslav Kafarov</w:t>
            </w:r>
          </w:p>
          <w:p w14:paraId="1B0F1814" w14:textId="78121263"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902EDA">
              <w:rPr>
                <w:rFonts w:ascii="Tahoma" w:hAnsi="Tahoma" w:cs="Tahoma"/>
                <w:sz w:val="14"/>
                <w:szCs w:val="14"/>
              </w:rPr>
              <w:t>10</w:t>
            </w:r>
            <w:r>
              <w:rPr>
                <w:rFonts w:ascii="Tahoma" w:hAnsi="Tahoma" w:cs="Tahoma"/>
                <w:sz w:val="14"/>
                <w:szCs w:val="14"/>
              </w:rPr>
              <w:t>-</w:t>
            </w:r>
            <w:r w:rsidR="00902EDA">
              <w:rPr>
                <w:rFonts w:ascii="Tahoma" w:hAnsi="Tahoma" w:cs="Tahoma"/>
                <w:sz w:val="14"/>
                <w:szCs w:val="14"/>
              </w:rPr>
              <w:t>1</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E12F7CE" w:rsidR="00E978D0" w:rsidRPr="00B57B36" w:rsidRDefault="00B21FD3" w:rsidP="00E978D0">
      <w:pPr>
        <w:pStyle w:val="CETTitle"/>
      </w:pPr>
      <w:r>
        <w:t xml:space="preserve">Effect of </w:t>
      </w:r>
      <w:r w:rsidR="00437791">
        <w:t xml:space="preserve">pH and applied </w:t>
      </w:r>
      <w:r w:rsidR="00AA6AB4">
        <w:t>bias</w:t>
      </w:r>
      <w:r w:rsidR="00437791">
        <w:t xml:space="preserve"> </w:t>
      </w:r>
      <w:r w:rsidR="00DD6751">
        <w:t>on</w:t>
      </w:r>
      <w:r w:rsidR="007F7E13">
        <w:t xml:space="preserve"> H</w:t>
      </w:r>
      <w:r w:rsidR="007F7E13" w:rsidRPr="007F7E13">
        <w:rPr>
          <w:vertAlign w:val="subscript"/>
        </w:rPr>
        <w:t>2</w:t>
      </w:r>
      <w:r w:rsidR="007F7E13">
        <w:t xml:space="preserve"> and HVA </w:t>
      </w:r>
      <w:r w:rsidR="00D71AF6">
        <w:t xml:space="preserve">products through </w:t>
      </w:r>
      <w:r w:rsidR="00923C1C">
        <w:t xml:space="preserve">photoelectrocatalytic </w:t>
      </w:r>
      <w:r w:rsidR="00437791">
        <w:t>glycerol oxidation</w:t>
      </w:r>
    </w:p>
    <w:p w14:paraId="0488FED2" w14:textId="4D67565C" w:rsidR="00B57E6F" w:rsidRPr="008D11B7" w:rsidRDefault="00091E38" w:rsidP="00B57E6F">
      <w:pPr>
        <w:pStyle w:val="CETAuthors"/>
        <w:rPr>
          <w:lang w:val="it-IT"/>
        </w:rPr>
      </w:pPr>
      <w:r w:rsidRPr="008D11B7">
        <w:rPr>
          <w:lang w:val="it-IT"/>
        </w:rPr>
        <w:t>Claudio M. Pecoraro</w:t>
      </w:r>
      <w:r w:rsidR="00B30157">
        <w:rPr>
          <w:lang w:val="it-IT"/>
        </w:rPr>
        <w:t>*</w:t>
      </w:r>
      <w:r w:rsidRPr="008D11B7">
        <w:rPr>
          <w:lang w:val="it-IT"/>
        </w:rPr>
        <w:t>, F</w:t>
      </w:r>
      <w:r w:rsidR="008D11B7" w:rsidRPr="008D11B7">
        <w:rPr>
          <w:lang w:val="it-IT"/>
        </w:rPr>
        <w:t>rancesco</w:t>
      </w:r>
      <w:r w:rsidRPr="008D11B7">
        <w:rPr>
          <w:lang w:val="it-IT"/>
        </w:rPr>
        <w:t xml:space="preserve"> Di Franco, Vittorio Loddo, Marianna Bellardita, Monica Santamaria</w:t>
      </w:r>
    </w:p>
    <w:p w14:paraId="6B2D21B3" w14:textId="65A91EAE" w:rsidR="00B57E6F" w:rsidRPr="00444231" w:rsidRDefault="004703A3" w:rsidP="00B57E6F">
      <w:pPr>
        <w:pStyle w:val="CETAddress"/>
        <w:rPr>
          <w:lang w:val="it-IT"/>
        </w:rPr>
      </w:pPr>
      <w:r w:rsidRPr="00444231">
        <w:rPr>
          <w:lang w:val="it-IT"/>
        </w:rPr>
        <w:t>Dipartimento di Ingegneria, Università degli Studi di Palermo, Viale delle Scienze Edificio 6, 90128 Palermo, Italy</w:t>
      </w:r>
      <w:r w:rsidR="00B57E6F" w:rsidRPr="00444231">
        <w:rPr>
          <w:lang w:val="it-IT"/>
        </w:rPr>
        <w:t xml:space="preserve"> </w:t>
      </w:r>
    </w:p>
    <w:p w14:paraId="73F1267A" w14:textId="4494D825" w:rsidR="00B57E6F" w:rsidRPr="00E338D1" w:rsidRDefault="00444231" w:rsidP="00B57E6F">
      <w:pPr>
        <w:pStyle w:val="CETemail"/>
        <w:rPr>
          <w:lang w:val="en-US"/>
        </w:rPr>
      </w:pPr>
      <w:r w:rsidRPr="00E338D1">
        <w:rPr>
          <w:lang w:val="en-US"/>
        </w:rPr>
        <w:t>*</w:t>
      </w:r>
      <w:r w:rsidR="00B30157">
        <w:rPr>
          <w:lang w:val="en-US"/>
        </w:rPr>
        <w:t>claudiomaria.pecoraro</w:t>
      </w:r>
      <w:r w:rsidR="00B57E6F" w:rsidRPr="00E338D1">
        <w:rPr>
          <w:lang w:val="en-US"/>
        </w:rPr>
        <w:t>@</w:t>
      </w:r>
      <w:r w:rsidRPr="00E338D1">
        <w:rPr>
          <w:lang w:val="en-US"/>
        </w:rPr>
        <w:t>unipa.it</w:t>
      </w:r>
    </w:p>
    <w:p w14:paraId="029CF2B7" w14:textId="5D59B881" w:rsidR="00B87565" w:rsidRPr="008F20D6" w:rsidRDefault="00757DD5" w:rsidP="00B87565">
      <w:pPr>
        <w:pStyle w:val="CETBodytext"/>
      </w:pPr>
      <w:r w:rsidRPr="008F20D6">
        <w:t xml:space="preserve">This study </w:t>
      </w:r>
      <w:r w:rsidR="00B87565" w:rsidRPr="008F20D6">
        <w:t>explores how pH and applied bias influence the generation of H</w:t>
      </w:r>
      <w:r w:rsidR="00B87565" w:rsidRPr="008F20D6">
        <w:rPr>
          <w:vertAlign w:val="subscript"/>
        </w:rPr>
        <w:t>2</w:t>
      </w:r>
      <w:r w:rsidR="00B87565" w:rsidRPr="008F20D6">
        <w:t xml:space="preserve"> and high-value-added products resulting from glycerol photooxidation, specifically targeting 1,3-dihydroxyacetone (DHA) and glyceraldehyde (GA), within a photoelectrochemical cell. TiO</w:t>
      </w:r>
      <w:r w:rsidR="00B87565" w:rsidRPr="008F20D6">
        <w:rPr>
          <w:vertAlign w:val="subscript"/>
        </w:rPr>
        <w:t>2</w:t>
      </w:r>
      <w:r w:rsidR="00B87565" w:rsidRPr="008F20D6">
        <w:t xml:space="preserve"> NTs with a length of 760 nm were utilized as the photoanode, while Ni foam served as the cathode. The experiments were </w:t>
      </w:r>
      <w:r w:rsidR="0008563B">
        <w:t>carried out</w:t>
      </w:r>
      <w:r w:rsidR="00B87565" w:rsidRPr="008F20D6">
        <w:t xml:space="preserve"> under acidic, neutral, and alkaline pH conditions, with applied biases ranging from 0.1 to 1 V vs. Ag/AgCl reference electrode.</w:t>
      </w:r>
    </w:p>
    <w:p w14:paraId="41893CC8" w14:textId="782CA608" w:rsidR="00757DD5" w:rsidRDefault="00B87565" w:rsidP="00B87565">
      <w:pPr>
        <w:pStyle w:val="CETBodytext"/>
      </w:pPr>
      <w:r w:rsidRPr="008F20D6">
        <w:t xml:space="preserve">The findings demonstrated that the highest faradaic efficiency towards </w:t>
      </w:r>
      <w:r w:rsidR="00D64032" w:rsidRPr="008F20D6">
        <w:t xml:space="preserve">high-value-added </w:t>
      </w:r>
      <w:r w:rsidRPr="008F20D6">
        <w:t xml:space="preserve">products, namely DHA and GA, was achieved at pH 7 </w:t>
      </w:r>
      <w:r w:rsidR="0008563B">
        <w:t>with</w:t>
      </w:r>
      <w:r w:rsidRPr="008F20D6">
        <w:t xml:space="preserve"> an applied bias of 0.5 V vs. Ag/AgCl, and this efficiency remained stable at higher bias values. Notably, at pH levels of 2 and 7, </w:t>
      </w:r>
      <w:r w:rsidR="0071149E" w:rsidRPr="008F20D6">
        <w:t xml:space="preserve">both </w:t>
      </w:r>
      <w:r w:rsidRPr="008F20D6">
        <w:t>glycerol mineralization into CO</w:t>
      </w:r>
      <w:r w:rsidRPr="008F20D6">
        <w:rPr>
          <w:vertAlign w:val="subscript"/>
        </w:rPr>
        <w:t>2</w:t>
      </w:r>
      <w:r w:rsidRPr="008F20D6">
        <w:t xml:space="preserve"> and H</w:t>
      </w:r>
      <w:r w:rsidRPr="008F20D6">
        <w:rPr>
          <w:vertAlign w:val="subscript"/>
        </w:rPr>
        <w:t>2</w:t>
      </w:r>
      <w:r w:rsidRPr="008F20D6">
        <w:t xml:space="preserve">, </w:t>
      </w:r>
      <w:r w:rsidR="0071149E" w:rsidRPr="008F20D6">
        <w:t>and</w:t>
      </w:r>
      <w:r w:rsidRPr="008F20D6">
        <w:t xml:space="preserve"> glycerol photooxidation </w:t>
      </w:r>
      <w:r w:rsidR="0071149E" w:rsidRPr="008F20D6">
        <w:t>into</w:t>
      </w:r>
      <w:r w:rsidRPr="008F20D6">
        <w:t xml:space="preserve"> DHA and GA</w:t>
      </w:r>
      <w:r w:rsidR="00B75A39" w:rsidRPr="008F20D6">
        <w:t xml:space="preserve"> were more pronounced</w:t>
      </w:r>
      <w:r w:rsidRPr="008F20D6">
        <w:t xml:space="preserve">. Conversely, at </w:t>
      </w:r>
      <w:r w:rsidR="0001158F" w:rsidRPr="008F20D6">
        <w:t>higher</w:t>
      </w:r>
      <w:r w:rsidRPr="008F20D6">
        <w:t xml:space="preserve"> pH, the </w:t>
      </w:r>
      <w:r w:rsidR="00D64032" w:rsidRPr="008F20D6">
        <w:t xml:space="preserve">faradaic efficiency </w:t>
      </w:r>
      <w:r w:rsidRPr="008F20D6">
        <w:t>towards DHA, GA, and CO</w:t>
      </w:r>
      <w:r w:rsidRPr="008F20D6">
        <w:rPr>
          <w:vertAlign w:val="subscript"/>
        </w:rPr>
        <w:t>2</w:t>
      </w:r>
      <w:r w:rsidRPr="008F20D6">
        <w:t xml:space="preserve"> decreased, while the photocurrent increased. This observed trend suggests a heightened water splitting effect at higher pH, leading to a reduction in </w:t>
      </w:r>
      <w:r w:rsidR="00AB25C9" w:rsidRPr="008F20D6">
        <w:t>faradaic efficiency</w:t>
      </w:r>
      <w:r w:rsidRPr="008F20D6">
        <w:t xml:space="preserve"> towards H</w:t>
      </w:r>
      <w:r w:rsidRPr="008F20D6">
        <w:rPr>
          <w:vertAlign w:val="subscript"/>
        </w:rPr>
        <w:t>2</w:t>
      </w:r>
      <w:r w:rsidRPr="008F20D6">
        <w:t xml:space="preserve"> due to subsequent reactions with O</w:t>
      </w:r>
      <w:r w:rsidRPr="008F20D6">
        <w:rPr>
          <w:vertAlign w:val="subscript"/>
        </w:rPr>
        <w:t>2</w:t>
      </w:r>
      <w:r w:rsidRPr="008F20D6">
        <w:t xml:space="preserve"> in the gas phase.</w:t>
      </w:r>
    </w:p>
    <w:p w14:paraId="6F17BFD8" w14:textId="77777777" w:rsidR="00D32E3E" w:rsidRPr="00757DD5" w:rsidRDefault="00D32E3E" w:rsidP="00757DD5">
      <w:pPr>
        <w:pStyle w:val="CETBodytext"/>
      </w:pPr>
    </w:p>
    <w:p w14:paraId="208FF61F" w14:textId="1851AEEE" w:rsidR="006766B0" w:rsidRPr="00763F17" w:rsidRDefault="006766B0" w:rsidP="006766B0">
      <w:pPr>
        <w:pStyle w:val="CETBodytext"/>
      </w:pPr>
      <w:r w:rsidRPr="00763F17">
        <w:t>Keywords</w:t>
      </w:r>
      <w:r w:rsidR="00757DD5" w:rsidRPr="00763F17">
        <w:t>:</w:t>
      </w:r>
      <w:r w:rsidR="00763F17" w:rsidRPr="00763F17">
        <w:t xml:space="preserve"> Glycerol partial oxidation, H</w:t>
      </w:r>
      <w:r w:rsidR="00763F17" w:rsidRPr="00763F17">
        <w:rPr>
          <w:vertAlign w:val="subscript"/>
        </w:rPr>
        <w:t>2</w:t>
      </w:r>
      <w:r w:rsidR="00763F17" w:rsidRPr="00763F17">
        <w:t xml:space="preserve"> production, </w:t>
      </w:r>
      <w:r w:rsidR="00F1418A" w:rsidRPr="00F1418A">
        <w:t>Photoelectrocatalysis</w:t>
      </w:r>
      <w:r w:rsidR="00F1418A">
        <w:t xml:space="preserve">, </w:t>
      </w:r>
      <w:r w:rsidR="00F1418A" w:rsidRPr="00F1418A">
        <w:t>TiO</w:t>
      </w:r>
      <w:r w:rsidR="00F1418A" w:rsidRPr="00F1418A">
        <w:rPr>
          <w:vertAlign w:val="subscript"/>
        </w:rPr>
        <w:t>2</w:t>
      </w:r>
      <w:r w:rsidR="00F1418A" w:rsidRPr="00F1418A">
        <w:t xml:space="preserve"> nanotubes</w:t>
      </w:r>
      <w:r w:rsidR="00F1418A">
        <w:t xml:space="preserve">, </w:t>
      </w:r>
      <w:r w:rsidR="00F1418A" w:rsidRPr="00F1418A">
        <w:t>Pt-free cathode</w:t>
      </w:r>
    </w:p>
    <w:p w14:paraId="476B2F2E" w14:textId="77777777" w:rsidR="00600535" w:rsidRPr="00D32E3E" w:rsidRDefault="00600535" w:rsidP="00600535">
      <w:pPr>
        <w:pStyle w:val="CETHeading1"/>
        <w:rPr>
          <w:lang w:val="en-GB"/>
        </w:rPr>
      </w:pPr>
      <w:r w:rsidRPr="00D32E3E">
        <w:rPr>
          <w:lang w:val="en-GB"/>
        </w:rPr>
        <w:t>Introduction</w:t>
      </w:r>
    </w:p>
    <w:p w14:paraId="477EF9E7" w14:textId="153B418B" w:rsidR="00CE6C77" w:rsidRDefault="00480CB0" w:rsidP="00DA5BA9">
      <w:pPr>
        <w:pStyle w:val="CETBodytext"/>
        <w:rPr>
          <w:lang w:val="en-GB"/>
        </w:rPr>
      </w:pPr>
      <w:r w:rsidRPr="00480CB0">
        <w:rPr>
          <w:lang w:val="en-GB"/>
        </w:rPr>
        <w:t xml:space="preserve">In recent years, the </w:t>
      </w:r>
      <w:r>
        <w:rPr>
          <w:lang w:val="en-GB"/>
        </w:rPr>
        <w:t>increasing</w:t>
      </w:r>
      <w:r w:rsidRPr="00480CB0">
        <w:rPr>
          <w:lang w:val="en-GB"/>
        </w:rPr>
        <w:t xml:space="preserve"> energy </w:t>
      </w:r>
      <w:r w:rsidR="00E03AA1" w:rsidRPr="00480CB0">
        <w:rPr>
          <w:lang w:val="en-GB"/>
        </w:rPr>
        <w:t>demands,</w:t>
      </w:r>
      <w:r w:rsidRPr="00480CB0">
        <w:rPr>
          <w:lang w:val="en-GB"/>
        </w:rPr>
        <w:t xml:space="preserve"> and subsequent</w:t>
      </w:r>
      <w:r>
        <w:rPr>
          <w:lang w:val="en-GB"/>
        </w:rPr>
        <w:t xml:space="preserve"> </w:t>
      </w:r>
      <w:r w:rsidR="00DA5BA9" w:rsidRPr="00DA5BA9">
        <w:rPr>
          <w:lang w:val="en-GB"/>
        </w:rPr>
        <w:t>CO</w:t>
      </w:r>
      <w:r w:rsidR="00DA5BA9" w:rsidRPr="00DA5BA9">
        <w:rPr>
          <w:vertAlign w:val="subscript"/>
          <w:lang w:val="en-GB"/>
        </w:rPr>
        <w:t>2</w:t>
      </w:r>
      <w:r w:rsidR="00DA5BA9" w:rsidRPr="00DA5BA9">
        <w:rPr>
          <w:lang w:val="en-GB"/>
        </w:rPr>
        <w:t xml:space="preserve"> emissions</w:t>
      </w:r>
      <w:r w:rsidR="00BF1BEF">
        <w:rPr>
          <w:lang w:val="en-GB"/>
        </w:rPr>
        <w:t xml:space="preserve"> have</w:t>
      </w:r>
      <w:r w:rsidR="00DA5BA9" w:rsidRPr="00DA5BA9">
        <w:rPr>
          <w:lang w:val="en-GB"/>
        </w:rPr>
        <w:t xml:space="preserve"> </w:t>
      </w:r>
      <w:r w:rsidR="00BF1BEF">
        <w:rPr>
          <w:lang w:val="en-GB"/>
        </w:rPr>
        <w:t xml:space="preserve">led to </w:t>
      </w:r>
      <w:r w:rsidR="00DA5BA9" w:rsidRPr="00DA5BA9">
        <w:rPr>
          <w:lang w:val="en-GB"/>
        </w:rPr>
        <w:t xml:space="preserve">significant </w:t>
      </w:r>
      <w:r w:rsidR="00270B7F" w:rsidRPr="00270B7F">
        <w:rPr>
          <w:lang w:val="en-GB"/>
        </w:rPr>
        <w:t>efforts towards renewable and low-carbon energy sources</w:t>
      </w:r>
      <w:r w:rsidR="00DA5BA9" w:rsidRPr="00DA5BA9">
        <w:rPr>
          <w:lang w:val="en-GB"/>
        </w:rPr>
        <w:t xml:space="preserve">. </w:t>
      </w:r>
      <w:r w:rsidR="00807A9E">
        <w:rPr>
          <w:lang w:val="en-GB"/>
        </w:rPr>
        <w:t>In this context,</w:t>
      </w:r>
      <w:r w:rsidR="00807A9E" w:rsidRPr="00DA5BA9">
        <w:rPr>
          <w:lang w:val="en-GB"/>
        </w:rPr>
        <w:t xml:space="preserve"> </w:t>
      </w:r>
      <w:r w:rsidR="00290378">
        <w:rPr>
          <w:lang w:val="en-GB"/>
        </w:rPr>
        <w:t>a</w:t>
      </w:r>
      <w:r w:rsidR="00290378" w:rsidRPr="00290378">
        <w:rPr>
          <w:lang w:val="en-GB"/>
        </w:rPr>
        <w:t xml:space="preserve">n emerging </w:t>
      </w:r>
      <w:r w:rsidR="00B75C5A" w:rsidRPr="00290378">
        <w:rPr>
          <w:lang w:val="en-GB"/>
        </w:rPr>
        <w:t>opportunity</w:t>
      </w:r>
      <w:r w:rsidR="00290378" w:rsidRPr="00290378">
        <w:rPr>
          <w:lang w:val="en-GB"/>
        </w:rPr>
        <w:t xml:space="preserve"> involves harnessing biomasses to simultaneously produce hydrogen and valuable products</w:t>
      </w:r>
      <w:r w:rsidR="002A57FB">
        <w:rPr>
          <w:lang w:val="en-GB"/>
        </w:rPr>
        <w:t xml:space="preserve"> </w:t>
      </w:r>
      <w:r w:rsidR="002A57FB" w:rsidRPr="002A57FB">
        <w:rPr>
          <w:lang w:val="en-GB"/>
        </w:rPr>
        <w:t>(Pecoraro et al., 2024)</w:t>
      </w:r>
      <w:r w:rsidR="00936D9C">
        <w:rPr>
          <w:lang w:val="en-GB"/>
        </w:rPr>
        <w:t>.</w:t>
      </w:r>
    </w:p>
    <w:p w14:paraId="575BB705" w14:textId="504FC01E" w:rsidR="00DA5BA9" w:rsidRDefault="00E26D15" w:rsidP="00DA5BA9">
      <w:pPr>
        <w:pStyle w:val="CETBodytext"/>
        <w:rPr>
          <w:lang w:val="en-GB"/>
        </w:rPr>
      </w:pPr>
      <w:r>
        <w:rPr>
          <w:lang w:val="en-GB"/>
        </w:rPr>
        <w:t xml:space="preserve">Among the available biomasses, </w:t>
      </w:r>
      <w:r w:rsidR="00256A7F">
        <w:rPr>
          <w:lang w:val="en-GB"/>
        </w:rPr>
        <w:t>g</w:t>
      </w:r>
      <w:r w:rsidR="00256A7F" w:rsidRPr="00256A7F">
        <w:rPr>
          <w:lang w:val="en-GB"/>
        </w:rPr>
        <w:t xml:space="preserve">lycerol, a biodiesel production byproduct, has </w:t>
      </w:r>
      <w:r w:rsidR="00471A2C" w:rsidRPr="00BE1FA4">
        <w:rPr>
          <w:lang w:val="en-GB"/>
        </w:rPr>
        <w:t>obtained increasing</w:t>
      </w:r>
      <w:r w:rsidR="00256A7F" w:rsidRPr="00256A7F">
        <w:rPr>
          <w:lang w:val="en-GB"/>
        </w:rPr>
        <w:t xml:space="preserve"> attention for its ability to yield hydrogen and valuable compounds like 1-3 dihydroxyacetone (DHA) and glyceraldehyde (GA) </w:t>
      </w:r>
      <w:r w:rsidR="00A22B2A" w:rsidRPr="00A22B2A">
        <w:rPr>
          <w:lang w:val="en-GB"/>
        </w:rPr>
        <w:t>(Pecoraro et al., 2023)</w:t>
      </w:r>
      <w:r w:rsidR="00E92BCE">
        <w:rPr>
          <w:lang w:val="en-GB"/>
        </w:rPr>
        <w:t>,</w:t>
      </w:r>
      <w:r w:rsidR="00A22B2A">
        <w:rPr>
          <w:lang w:val="en-GB"/>
        </w:rPr>
        <w:t xml:space="preserve"> </w:t>
      </w:r>
      <w:r w:rsidR="00471A2C" w:rsidRPr="00BE1FA4">
        <w:rPr>
          <w:lang w:val="en-GB"/>
        </w:rPr>
        <w:t>fundamental</w:t>
      </w:r>
      <w:r w:rsidR="00256A7F" w:rsidRPr="00256A7F">
        <w:rPr>
          <w:lang w:val="en-GB"/>
        </w:rPr>
        <w:t xml:space="preserve"> in industries such as cosmetics, pharmaceuticals, fine chemicals, and food production</w:t>
      </w:r>
      <w:r w:rsidR="00E92BCE">
        <w:rPr>
          <w:lang w:val="en-GB"/>
        </w:rPr>
        <w:t xml:space="preserve"> </w:t>
      </w:r>
      <w:r w:rsidR="00E92BCE" w:rsidRPr="00E92BCE">
        <w:rPr>
          <w:lang w:val="en-GB"/>
        </w:rPr>
        <w:t>(Kong et al., 2016)</w:t>
      </w:r>
      <w:r w:rsidR="00E16CC4" w:rsidRPr="007E717B">
        <w:rPr>
          <w:lang w:val="en-GB"/>
        </w:rPr>
        <w:t xml:space="preserve">. Consequently, </w:t>
      </w:r>
      <w:r w:rsidR="00F60381" w:rsidRPr="00BE1FA4">
        <w:rPr>
          <w:lang w:val="en-GB"/>
        </w:rPr>
        <w:t>the production of</w:t>
      </w:r>
      <w:r w:rsidR="00E16CC4" w:rsidRPr="00BE1FA4">
        <w:rPr>
          <w:lang w:val="en-GB"/>
        </w:rPr>
        <w:t xml:space="preserve"> DHA</w:t>
      </w:r>
      <w:r w:rsidR="00E16CC4" w:rsidRPr="007E717B">
        <w:rPr>
          <w:lang w:val="en-GB"/>
        </w:rPr>
        <w:t xml:space="preserve"> and GA from </w:t>
      </w:r>
      <w:r w:rsidR="00E16CC4" w:rsidRPr="00BE1FA4">
        <w:rPr>
          <w:lang w:val="en-GB"/>
        </w:rPr>
        <w:t xml:space="preserve">glycerol </w:t>
      </w:r>
      <w:r w:rsidR="00F60381" w:rsidRPr="00BE1FA4">
        <w:rPr>
          <w:lang w:val="en-GB"/>
        </w:rPr>
        <w:t>re</w:t>
      </w:r>
      <w:r w:rsidR="00E16CC4" w:rsidRPr="00BE1FA4">
        <w:rPr>
          <w:lang w:val="en-GB"/>
        </w:rPr>
        <w:t>presents</w:t>
      </w:r>
      <w:r w:rsidR="00E16CC4" w:rsidRPr="007E717B">
        <w:rPr>
          <w:lang w:val="en-GB"/>
        </w:rPr>
        <w:t xml:space="preserve"> an economically attractive option</w:t>
      </w:r>
      <w:r w:rsidR="00E92BCE">
        <w:rPr>
          <w:lang w:val="en-GB"/>
        </w:rPr>
        <w:t xml:space="preserve"> </w:t>
      </w:r>
      <w:r w:rsidR="00E92BCE" w:rsidRPr="00E92BCE">
        <w:rPr>
          <w:lang w:val="en-GB"/>
        </w:rPr>
        <w:t>(Luo et al., 2022)</w:t>
      </w:r>
      <w:r w:rsidR="00B572A8">
        <w:rPr>
          <w:color w:val="000000"/>
          <w:lang w:val="en-GB"/>
        </w:rPr>
        <w:t>.</w:t>
      </w:r>
    </w:p>
    <w:p w14:paraId="563F1C26" w14:textId="302D43B7" w:rsidR="007C4F53" w:rsidRDefault="0081338A" w:rsidP="001A6688">
      <w:pPr>
        <w:pStyle w:val="CETBodytext"/>
        <w:rPr>
          <w:lang w:val="en-GB"/>
        </w:rPr>
      </w:pPr>
      <w:r w:rsidRPr="0081338A">
        <w:rPr>
          <w:lang w:val="en-GB"/>
        </w:rPr>
        <w:t>Traditional methods</w:t>
      </w:r>
      <w:r>
        <w:rPr>
          <w:lang w:val="en-GB"/>
        </w:rPr>
        <w:t xml:space="preserve"> </w:t>
      </w:r>
      <w:r w:rsidR="007E717B" w:rsidRPr="007E717B">
        <w:rPr>
          <w:lang w:val="en-GB"/>
        </w:rPr>
        <w:t xml:space="preserve">of producing DHA and GA from glycerol </w:t>
      </w:r>
      <w:r w:rsidRPr="0081338A">
        <w:rPr>
          <w:lang w:val="en-GB"/>
        </w:rPr>
        <w:t>involve</w:t>
      </w:r>
      <w:r>
        <w:rPr>
          <w:lang w:val="en-GB"/>
        </w:rPr>
        <w:t xml:space="preserve"> </w:t>
      </w:r>
      <w:r w:rsidR="007E717B" w:rsidRPr="007E717B">
        <w:rPr>
          <w:lang w:val="en-GB"/>
        </w:rPr>
        <w:t>thermo-catalysis</w:t>
      </w:r>
      <w:r w:rsidR="00B411AD">
        <w:rPr>
          <w:lang w:val="en-GB"/>
        </w:rPr>
        <w:t xml:space="preserve"> </w:t>
      </w:r>
      <w:r w:rsidR="002F44E4">
        <w:rPr>
          <w:lang w:val="en-GB"/>
        </w:rPr>
        <w:t>under</w:t>
      </w:r>
      <w:r w:rsidR="007E717B" w:rsidRPr="007E717B">
        <w:rPr>
          <w:lang w:val="en-GB"/>
        </w:rPr>
        <w:t xml:space="preserve"> harsh conditions</w:t>
      </w:r>
      <w:r w:rsidR="00B411AD">
        <w:rPr>
          <w:lang w:val="en-GB"/>
        </w:rPr>
        <w:t xml:space="preserve">, </w:t>
      </w:r>
      <w:r w:rsidR="0008563B">
        <w:rPr>
          <w:lang w:val="en-GB"/>
        </w:rPr>
        <w:t>needing</w:t>
      </w:r>
      <w:r w:rsidR="00B411AD">
        <w:rPr>
          <w:lang w:val="en-GB"/>
        </w:rPr>
        <w:t xml:space="preserve"> </w:t>
      </w:r>
      <w:r w:rsidR="007E717B" w:rsidRPr="007E717B">
        <w:rPr>
          <w:lang w:val="en-GB"/>
        </w:rPr>
        <w:t>costly noble-metal catalysts (e.g., Pt, Au, Pd)</w:t>
      </w:r>
      <w:r w:rsidR="00B411AD">
        <w:rPr>
          <w:lang w:val="en-GB"/>
        </w:rPr>
        <w:t xml:space="preserve">, and </w:t>
      </w:r>
      <w:r w:rsidR="007E717B" w:rsidRPr="007E717B">
        <w:rPr>
          <w:lang w:val="en-GB"/>
        </w:rPr>
        <w:t>external oxidants like O</w:t>
      </w:r>
      <w:r w:rsidR="007E717B" w:rsidRPr="00B411AD">
        <w:rPr>
          <w:vertAlign w:val="subscript"/>
          <w:lang w:val="en-GB"/>
        </w:rPr>
        <w:t>2</w:t>
      </w:r>
      <w:r w:rsidR="007E717B" w:rsidRPr="007E717B">
        <w:rPr>
          <w:lang w:val="en-GB"/>
        </w:rPr>
        <w:t xml:space="preserve"> or H</w:t>
      </w:r>
      <w:r w:rsidR="007E717B" w:rsidRPr="00B411AD">
        <w:rPr>
          <w:vertAlign w:val="subscript"/>
          <w:lang w:val="en-GB"/>
        </w:rPr>
        <w:t>2</w:t>
      </w:r>
      <w:r w:rsidR="007E717B" w:rsidRPr="007E717B">
        <w:rPr>
          <w:lang w:val="en-GB"/>
        </w:rPr>
        <w:t>O</w:t>
      </w:r>
      <w:r w:rsidR="007E717B" w:rsidRPr="00B411AD">
        <w:rPr>
          <w:vertAlign w:val="subscript"/>
          <w:lang w:val="en-GB"/>
        </w:rPr>
        <w:t>2</w:t>
      </w:r>
      <w:r w:rsidR="00E92BCE">
        <w:rPr>
          <w:lang w:val="en-GB"/>
        </w:rPr>
        <w:t xml:space="preserve"> </w:t>
      </w:r>
      <w:r w:rsidR="00E92BCE" w:rsidRPr="00E92BCE">
        <w:rPr>
          <w:lang w:val="en-GB"/>
        </w:rPr>
        <w:t>(Verma et al., 2022)</w:t>
      </w:r>
      <w:r w:rsidR="00584B9F">
        <w:rPr>
          <w:lang w:val="en-GB"/>
        </w:rPr>
        <w:t>.</w:t>
      </w:r>
      <w:r w:rsidR="00AB34BA">
        <w:rPr>
          <w:lang w:val="en-GB"/>
        </w:rPr>
        <w:t xml:space="preserve"> </w:t>
      </w:r>
      <w:r w:rsidR="007E717B" w:rsidRPr="007E717B">
        <w:rPr>
          <w:lang w:val="en-GB"/>
        </w:rPr>
        <w:t xml:space="preserve">To </w:t>
      </w:r>
      <w:r w:rsidR="0062141A" w:rsidRPr="0062141A">
        <w:rPr>
          <w:lang w:val="en-GB"/>
        </w:rPr>
        <w:t>minimize</w:t>
      </w:r>
      <w:r w:rsidR="00E27E52">
        <w:rPr>
          <w:lang w:val="en-GB"/>
        </w:rPr>
        <w:t xml:space="preserve"> </w:t>
      </w:r>
      <w:r w:rsidR="007E717B" w:rsidRPr="007E717B">
        <w:rPr>
          <w:lang w:val="en-GB"/>
        </w:rPr>
        <w:t xml:space="preserve">energy </w:t>
      </w:r>
      <w:r w:rsidR="00E27E52" w:rsidRPr="00E27E52">
        <w:rPr>
          <w:lang w:val="en-GB"/>
        </w:rPr>
        <w:t>consumption</w:t>
      </w:r>
      <w:r w:rsidR="007E717B" w:rsidRPr="007E717B">
        <w:rPr>
          <w:lang w:val="en-GB"/>
        </w:rPr>
        <w:t xml:space="preserve">, </w:t>
      </w:r>
      <w:r w:rsidR="00940301" w:rsidRPr="00940301">
        <w:rPr>
          <w:lang w:val="en-GB"/>
        </w:rPr>
        <w:t xml:space="preserve">light-based approaches like photoelectrocatalysis (PEC) have emerged, offering a sustainable pathway to </w:t>
      </w:r>
      <w:r w:rsidR="00940301" w:rsidRPr="00B33CC1">
        <w:rPr>
          <w:lang w:val="en-GB"/>
        </w:rPr>
        <w:t>oxidize organic compounds, generate valuable chemicals, and promote cathodic H</w:t>
      </w:r>
      <w:r w:rsidR="00940301" w:rsidRPr="00B33CC1">
        <w:rPr>
          <w:vertAlign w:val="subscript"/>
          <w:lang w:val="en-GB"/>
        </w:rPr>
        <w:t>2</w:t>
      </w:r>
      <w:r w:rsidR="00940301" w:rsidRPr="00B33CC1">
        <w:rPr>
          <w:lang w:val="en-GB"/>
        </w:rPr>
        <w:t xml:space="preserve"> production. This technique</w:t>
      </w:r>
      <w:r w:rsidR="007E717B" w:rsidRPr="00B33CC1">
        <w:rPr>
          <w:lang w:val="en-GB"/>
        </w:rPr>
        <w:t xml:space="preserve"> </w:t>
      </w:r>
      <w:r w:rsidR="000D4DC6" w:rsidRPr="00B33CC1">
        <w:rPr>
          <w:lang w:val="en-GB"/>
        </w:rPr>
        <w:t>couples</w:t>
      </w:r>
      <w:r w:rsidR="007E717B" w:rsidRPr="007E717B">
        <w:rPr>
          <w:lang w:val="en-GB"/>
        </w:rPr>
        <w:t xml:space="preserve"> photocatalysis and electrocatalysis, using semiconductor photoelectr</w:t>
      </w:r>
      <w:r w:rsidR="007E717B" w:rsidRPr="00B33CC1">
        <w:rPr>
          <w:lang w:val="en-GB"/>
        </w:rPr>
        <w:t xml:space="preserve">odes </w:t>
      </w:r>
      <w:r w:rsidR="000D4DC6" w:rsidRPr="00B33CC1">
        <w:rPr>
          <w:lang w:val="en-GB"/>
        </w:rPr>
        <w:t>irradiated</w:t>
      </w:r>
      <w:r w:rsidR="007E717B" w:rsidRPr="00B33CC1">
        <w:rPr>
          <w:lang w:val="en-GB"/>
        </w:rPr>
        <w:t xml:space="preserve"> </w:t>
      </w:r>
      <w:r w:rsidR="000D4DC6" w:rsidRPr="00B33CC1">
        <w:rPr>
          <w:lang w:val="en-GB"/>
        </w:rPr>
        <w:t xml:space="preserve">with </w:t>
      </w:r>
      <w:r w:rsidR="007E717B" w:rsidRPr="00B33CC1">
        <w:rPr>
          <w:lang w:val="en-GB"/>
        </w:rPr>
        <w:t>light</w:t>
      </w:r>
      <w:r w:rsidR="00AC614C" w:rsidRPr="00B33CC1">
        <w:rPr>
          <w:lang w:val="en-GB"/>
        </w:rPr>
        <w:t xml:space="preserve"> </w:t>
      </w:r>
      <w:r w:rsidR="000D4DC6" w:rsidRPr="00B33CC1">
        <w:rPr>
          <w:lang w:val="en-GB"/>
        </w:rPr>
        <w:t xml:space="preserve">having </w:t>
      </w:r>
      <w:r w:rsidR="00AC614C" w:rsidRPr="00B33CC1">
        <w:rPr>
          <w:lang w:val="en-GB"/>
        </w:rPr>
        <w:t xml:space="preserve">energy higher than </w:t>
      </w:r>
      <w:r w:rsidR="007E717B" w:rsidRPr="00B33CC1">
        <w:rPr>
          <w:lang w:val="en-GB"/>
        </w:rPr>
        <w:t xml:space="preserve">their band gap, while </w:t>
      </w:r>
      <w:r w:rsidR="000D4DC6" w:rsidRPr="00B33CC1">
        <w:rPr>
          <w:lang w:val="en-GB"/>
        </w:rPr>
        <w:t>the exposition</w:t>
      </w:r>
      <w:r w:rsidR="00AC614C" w:rsidRPr="00B33CC1">
        <w:rPr>
          <w:lang w:val="en-GB"/>
        </w:rPr>
        <w:t xml:space="preserve"> to</w:t>
      </w:r>
      <w:r w:rsidR="007E717B" w:rsidRPr="00B33CC1">
        <w:rPr>
          <w:lang w:val="en-GB"/>
        </w:rPr>
        <w:t xml:space="preserve"> an e</w:t>
      </w:r>
      <w:r w:rsidR="007E717B" w:rsidRPr="007E717B">
        <w:rPr>
          <w:lang w:val="en-GB"/>
        </w:rPr>
        <w:t>lectric potential</w:t>
      </w:r>
      <w:r w:rsidR="004020AE">
        <w:rPr>
          <w:lang w:val="en-GB"/>
        </w:rPr>
        <w:t xml:space="preserve"> </w:t>
      </w:r>
      <w:r w:rsidR="004020AE" w:rsidRPr="007E717B">
        <w:rPr>
          <w:lang w:val="en-GB"/>
        </w:rPr>
        <w:t xml:space="preserve">effectively </w:t>
      </w:r>
      <w:r w:rsidR="00B33CC1" w:rsidRPr="00B33CC1">
        <w:rPr>
          <w:lang w:val="en-GB"/>
        </w:rPr>
        <w:t>separates</w:t>
      </w:r>
      <w:r w:rsidR="004020AE" w:rsidRPr="00B33CC1">
        <w:rPr>
          <w:lang w:val="en-GB"/>
        </w:rPr>
        <w:t xml:space="preserve"> the photo-</w:t>
      </w:r>
      <w:r w:rsidR="000D4DC6" w:rsidRPr="00B33CC1">
        <w:rPr>
          <w:lang w:val="en-GB"/>
        </w:rPr>
        <w:t>pro</w:t>
      </w:r>
      <w:r w:rsidR="004020AE" w:rsidRPr="00B33CC1">
        <w:rPr>
          <w:lang w:val="en-GB"/>
        </w:rPr>
        <w:t>duced</w:t>
      </w:r>
      <w:r w:rsidR="00E1136A" w:rsidRPr="00B33CC1">
        <w:rPr>
          <w:lang w:val="en-GB"/>
        </w:rPr>
        <w:t xml:space="preserve"> </w:t>
      </w:r>
      <w:r w:rsidR="00E0149B" w:rsidRPr="00B33CC1">
        <w:rPr>
          <w:lang w:val="en-GB"/>
        </w:rPr>
        <w:t>species</w:t>
      </w:r>
      <w:r w:rsidR="00584B9F">
        <w:rPr>
          <w:lang w:val="en-GB"/>
        </w:rPr>
        <w:t xml:space="preserve"> </w:t>
      </w:r>
      <w:r w:rsidR="00584B9F" w:rsidRPr="00584B9F">
        <w:rPr>
          <w:lang w:val="en-GB"/>
        </w:rPr>
        <w:t>(Yao et al., 2018)</w:t>
      </w:r>
      <w:r w:rsidR="007E717B" w:rsidRPr="007E717B">
        <w:rPr>
          <w:lang w:val="en-GB"/>
        </w:rPr>
        <w:t xml:space="preserve">. In PEC systems, </w:t>
      </w:r>
      <w:r w:rsidR="007E717B" w:rsidRPr="00B33CC1">
        <w:rPr>
          <w:lang w:val="en-GB"/>
        </w:rPr>
        <w:t>photo-</w:t>
      </w:r>
      <w:r w:rsidR="000D4DC6" w:rsidRPr="00B33CC1">
        <w:rPr>
          <w:lang w:val="en-GB"/>
        </w:rPr>
        <w:t>pro</w:t>
      </w:r>
      <w:r w:rsidR="007E717B" w:rsidRPr="00B33CC1">
        <w:rPr>
          <w:lang w:val="en-GB"/>
        </w:rPr>
        <w:t>duced electrons</w:t>
      </w:r>
      <w:r w:rsidR="007E717B" w:rsidRPr="007E717B">
        <w:rPr>
          <w:lang w:val="en-GB"/>
        </w:rPr>
        <w:t xml:space="preserve"> (e</w:t>
      </w:r>
      <w:r w:rsidR="007E717B" w:rsidRPr="008F69DE">
        <w:rPr>
          <w:vertAlign w:val="superscript"/>
          <w:lang w:val="en-GB"/>
        </w:rPr>
        <w:t>-</w:t>
      </w:r>
      <w:r w:rsidR="007E717B" w:rsidRPr="007E717B">
        <w:rPr>
          <w:lang w:val="en-GB"/>
        </w:rPr>
        <w:t>) and holes (h</w:t>
      </w:r>
      <w:r w:rsidR="007E717B" w:rsidRPr="008F69DE">
        <w:rPr>
          <w:vertAlign w:val="superscript"/>
          <w:lang w:val="en-GB"/>
        </w:rPr>
        <w:t>+</w:t>
      </w:r>
      <w:r w:rsidR="007E717B" w:rsidRPr="007E717B">
        <w:rPr>
          <w:lang w:val="en-GB"/>
        </w:rPr>
        <w:t>) migrate to the cathode and the photocatalyst surfaces</w:t>
      </w:r>
      <w:r w:rsidR="00D77ECE">
        <w:rPr>
          <w:lang w:val="en-GB"/>
        </w:rPr>
        <w:t xml:space="preserve"> respectively, </w:t>
      </w:r>
      <w:r w:rsidR="007E717B" w:rsidRPr="007E717B">
        <w:rPr>
          <w:lang w:val="en-GB"/>
        </w:rPr>
        <w:t>triggering reduction and oxidation reactions at these spots</w:t>
      </w:r>
      <w:r w:rsidR="00584B9F">
        <w:rPr>
          <w:lang w:val="en-GB"/>
        </w:rPr>
        <w:t xml:space="preserve"> </w:t>
      </w:r>
      <w:r w:rsidR="00584B9F" w:rsidRPr="00584B9F">
        <w:rPr>
          <w:lang w:val="en-GB"/>
        </w:rPr>
        <w:t>(Pitchaimuthu et al., 2022)</w:t>
      </w:r>
      <w:r w:rsidR="007E717B" w:rsidRPr="007E717B">
        <w:rPr>
          <w:lang w:val="en-GB"/>
        </w:rPr>
        <w:t xml:space="preserve">. </w:t>
      </w:r>
      <w:r w:rsidR="006B1C58">
        <w:rPr>
          <w:lang w:val="en-GB"/>
        </w:rPr>
        <w:t>Although</w:t>
      </w:r>
      <w:r w:rsidR="007E717B" w:rsidRPr="007E717B">
        <w:rPr>
          <w:lang w:val="en-GB"/>
        </w:rPr>
        <w:t xml:space="preserve"> PEC research primarily </w:t>
      </w:r>
      <w:r w:rsidR="006B1C58">
        <w:rPr>
          <w:lang w:val="en-GB"/>
        </w:rPr>
        <w:t>focuses</w:t>
      </w:r>
      <w:r w:rsidR="007E717B" w:rsidRPr="007E717B">
        <w:rPr>
          <w:lang w:val="en-GB"/>
        </w:rPr>
        <w:t xml:space="preserve"> on water splitting and breaking down </w:t>
      </w:r>
      <w:r w:rsidR="007E717B" w:rsidRPr="00B33CC1">
        <w:rPr>
          <w:lang w:val="en-GB"/>
        </w:rPr>
        <w:t>pollutants, it</w:t>
      </w:r>
      <w:r w:rsidR="000D4DC6" w:rsidRPr="00B33CC1">
        <w:rPr>
          <w:lang w:val="en-GB"/>
        </w:rPr>
        <w:t xml:space="preserve"> is</w:t>
      </w:r>
      <w:r w:rsidR="007E717B" w:rsidRPr="00B33CC1">
        <w:rPr>
          <w:lang w:val="en-GB"/>
        </w:rPr>
        <w:t xml:space="preserve"> a sustainable</w:t>
      </w:r>
      <w:r w:rsidR="007E717B" w:rsidRPr="007E717B">
        <w:rPr>
          <w:lang w:val="en-GB"/>
        </w:rPr>
        <w:t xml:space="preserve"> way to oxidize organic compounds, producing valuable chemicals and encouraging cathodic H</w:t>
      </w:r>
      <w:r w:rsidR="007E717B" w:rsidRPr="00410CB4">
        <w:rPr>
          <w:vertAlign w:val="subscript"/>
          <w:lang w:val="en-GB"/>
        </w:rPr>
        <w:t>2</w:t>
      </w:r>
      <w:r w:rsidR="007E717B" w:rsidRPr="007E717B">
        <w:rPr>
          <w:lang w:val="en-GB"/>
        </w:rPr>
        <w:t xml:space="preserve"> production</w:t>
      </w:r>
      <w:r w:rsidR="004A6B1C">
        <w:rPr>
          <w:lang w:val="en-GB"/>
        </w:rPr>
        <w:t xml:space="preserve"> </w:t>
      </w:r>
      <w:r w:rsidR="004A6B1C" w:rsidRPr="004A6B1C">
        <w:rPr>
          <w:lang w:val="en-GB"/>
        </w:rPr>
        <w:t>(Dey et al., 2021)</w:t>
      </w:r>
      <w:r w:rsidR="007E717B" w:rsidRPr="007E717B">
        <w:rPr>
          <w:lang w:val="en-GB"/>
        </w:rPr>
        <w:t xml:space="preserve">. </w:t>
      </w:r>
      <w:r w:rsidR="00426CAF">
        <w:rPr>
          <w:lang w:val="en-GB"/>
        </w:rPr>
        <w:t>Notably, in</w:t>
      </w:r>
      <w:r w:rsidR="007E717B" w:rsidRPr="007E717B">
        <w:rPr>
          <w:lang w:val="en-GB"/>
        </w:rPr>
        <w:t xml:space="preserve"> PEC oxidation of glycerol </w:t>
      </w:r>
      <w:r w:rsidR="007E717B" w:rsidRPr="00B33CC1">
        <w:rPr>
          <w:lang w:val="en-GB"/>
        </w:rPr>
        <w:t xml:space="preserve">to DHA and GA, </w:t>
      </w:r>
      <w:r w:rsidR="000D4DC6" w:rsidRPr="00B33CC1">
        <w:rPr>
          <w:lang w:val="en-GB"/>
        </w:rPr>
        <w:t xml:space="preserve">the </w:t>
      </w:r>
      <w:r w:rsidR="007E717B" w:rsidRPr="00B33CC1">
        <w:rPr>
          <w:lang w:val="en-GB"/>
        </w:rPr>
        <w:t>achiev</w:t>
      </w:r>
      <w:r w:rsidR="000D4DC6" w:rsidRPr="00B33CC1">
        <w:rPr>
          <w:lang w:val="en-GB"/>
        </w:rPr>
        <w:t>ement of</w:t>
      </w:r>
      <w:r w:rsidR="007E717B" w:rsidRPr="00B33CC1">
        <w:rPr>
          <w:lang w:val="en-GB"/>
        </w:rPr>
        <w:t xml:space="preserve"> high </w:t>
      </w:r>
      <w:r w:rsidR="007E717B" w:rsidRPr="007E717B">
        <w:rPr>
          <w:lang w:val="en-GB"/>
        </w:rPr>
        <w:t xml:space="preserve">FE remains </w:t>
      </w:r>
      <w:r w:rsidR="004E119A">
        <w:rPr>
          <w:lang w:val="en-GB"/>
        </w:rPr>
        <w:t>an actual challeng</w:t>
      </w:r>
      <w:r w:rsidR="00F55C5C">
        <w:rPr>
          <w:lang w:val="en-GB"/>
        </w:rPr>
        <w:t>e</w:t>
      </w:r>
      <w:r w:rsidR="007E717B" w:rsidRPr="007E717B">
        <w:rPr>
          <w:lang w:val="en-GB"/>
        </w:rPr>
        <w:t>.</w:t>
      </w:r>
    </w:p>
    <w:p w14:paraId="27176357" w14:textId="26823766" w:rsidR="00AE50A6" w:rsidRPr="001A6688" w:rsidRDefault="00FC5901" w:rsidP="001A6688">
      <w:pPr>
        <w:pStyle w:val="CETBodytext"/>
        <w:rPr>
          <w:lang w:val="en-GB"/>
        </w:rPr>
      </w:pPr>
      <w:r w:rsidRPr="001A6688">
        <w:rPr>
          <w:lang w:val="en-GB"/>
        </w:rPr>
        <w:lastRenderedPageBreak/>
        <w:t>In this work,</w:t>
      </w:r>
      <w:r w:rsidR="00912029" w:rsidRPr="001A6688">
        <w:rPr>
          <w:lang w:val="en-GB"/>
        </w:rPr>
        <w:t xml:space="preserve"> the effect of pH and applied bias on</w:t>
      </w:r>
      <w:r w:rsidRPr="001A6688">
        <w:rPr>
          <w:lang w:val="en-GB"/>
        </w:rPr>
        <w:t xml:space="preserve"> hydrogen production by glycerol photoreforming and water splitting</w:t>
      </w:r>
      <w:r w:rsidR="00012E7B" w:rsidRPr="001A6688">
        <w:rPr>
          <w:lang w:val="en-GB"/>
        </w:rPr>
        <w:t xml:space="preserve"> was studied </w:t>
      </w:r>
      <w:r w:rsidRPr="001A6688">
        <w:rPr>
          <w:lang w:val="en-GB"/>
        </w:rPr>
        <w:t xml:space="preserve">to enhance </w:t>
      </w:r>
      <w:r w:rsidR="004A4124" w:rsidRPr="001A6688">
        <w:rPr>
          <w:lang w:val="en-GB"/>
        </w:rPr>
        <w:t xml:space="preserve">both </w:t>
      </w:r>
      <w:r w:rsidRPr="001A6688">
        <w:rPr>
          <w:lang w:val="en-GB"/>
        </w:rPr>
        <w:t xml:space="preserve">the hydrogen evolution rate </w:t>
      </w:r>
      <w:r w:rsidR="004A4124" w:rsidRPr="001A6688">
        <w:rPr>
          <w:lang w:val="en-GB"/>
        </w:rPr>
        <w:t xml:space="preserve">and </w:t>
      </w:r>
      <w:r w:rsidR="001016E7" w:rsidRPr="001A6688">
        <w:rPr>
          <w:lang w:val="en-GB"/>
        </w:rPr>
        <w:t>the</w:t>
      </w:r>
      <w:r w:rsidRPr="001A6688">
        <w:rPr>
          <w:lang w:val="en-GB"/>
        </w:rPr>
        <w:t xml:space="preserve"> FE towards DHA and GA. </w:t>
      </w:r>
      <w:r w:rsidR="00F55C5C" w:rsidRPr="001A6688">
        <w:rPr>
          <w:lang w:val="en-GB"/>
        </w:rPr>
        <w:t xml:space="preserve">A special attention was paid to the development of a </w:t>
      </w:r>
      <w:r w:rsidR="00FE37D9">
        <w:rPr>
          <w:lang w:val="en-GB"/>
        </w:rPr>
        <w:t>photo</w:t>
      </w:r>
      <w:r w:rsidR="00F55C5C" w:rsidRPr="001A6688">
        <w:rPr>
          <w:lang w:val="en-GB"/>
        </w:rPr>
        <w:t>electrochemical cell employ</w:t>
      </w:r>
      <w:r w:rsidR="0062046D" w:rsidRPr="001A6688">
        <w:rPr>
          <w:lang w:val="en-GB"/>
        </w:rPr>
        <w:t>ing</w:t>
      </w:r>
      <w:r w:rsidR="00F55C5C" w:rsidRPr="001A6688">
        <w:rPr>
          <w:lang w:val="en-GB"/>
        </w:rPr>
        <w:t xml:space="preserve"> </w:t>
      </w:r>
      <w:r w:rsidR="0062046D" w:rsidRPr="001A6688">
        <w:rPr>
          <w:lang w:val="en-GB"/>
        </w:rPr>
        <w:t xml:space="preserve">both </w:t>
      </w:r>
      <w:r w:rsidRPr="001A6688">
        <w:rPr>
          <w:lang w:val="en-GB"/>
        </w:rPr>
        <w:t xml:space="preserve">PGM-free </w:t>
      </w:r>
      <w:r w:rsidR="0062046D" w:rsidRPr="001A6688">
        <w:rPr>
          <w:lang w:val="en-GB"/>
        </w:rPr>
        <w:t xml:space="preserve">cathode and </w:t>
      </w:r>
      <w:r w:rsidR="0006435A">
        <w:rPr>
          <w:lang w:val="en-GB"/>
        </w:rPr>
        <w:t>photo</w:t>
      </w:r>
      <w:r w:rsidR="0062046D" w:rsidRPr="001A6688">
        <w:rPr>
          <w:lang w:val="en-GB"/>
        </w:rPr>
        <w:t>anode</w:t>
      </w:r>
      <w:r w:rsidR="00F55C5C" w:rsidRPr="001A6688">
        <w:rPr>
          <w:lang w:val="en-GB"/>
        </w:rPr>
        <w:t xml:space="preserve"> to p</w:t>
      </w:r>
      <w:r w:rsidR="0062046D" w:rsidRPr="001A6688">
        <w:rPr>
          <w:lang w:val="en-GB"/>
        </w:rPr>
        <w:t>o</w:t>
      </w:r>
      <w:r w:rsidR="00F55C5C" w:rsidRPr="001A6688">
        <w:rPr>
          <w:lang w:val="en-GB"/>
        </w:rPr>
        <w:t>int towards</w:t>
      </w:r>
      <w:r w:rsidR="0062046D" w:rsidRPr="001A6688">
        <w:rPr>
          <w:lang w:val="en-GB"/>
        </w:rPr>
        <w:t xml:space="preserve"> </w:t>
      </w:r>
      <w:r w:rsidRPr="001A6688">
        <w:rPr>
          <w:lang w:val="en-GB"/>
        </w:rPr>
        <w:t xml:space="preserve">low-cost alternative </w:t>
      </w:r>
      <w:r w:rsidR="00F55C5C" w:rsidRPr="001A6688">
        <w:rPr>
          <w:lang w:val="en-GB"/>
        </w:rPr>
        <w:t xml:space="preserve">materials </w:t>
      </w:r>
      <w:r w:rsidRPr="001A6688">
        <w:rPr>
          <w:lang w:val="en-GB"/>
        </w:rPr>
        <w:t>compared to the noble metal-based catalysts and to overcome possible poisoning effects due to the presence of organic species</w:t>
      </w:r>
      <w:r w:rsidR="006C5522" w:rsidRPr="001A6688">
        <w:rPr>
          <w:lang w:val="en-GB"/>
        </w:rPr>
        <w:t xml:space="preserve">. </w:t>
      </w:r>
      <w:r w:rsidR="00F55C5C" w:rsidRPr="001A6688">
        <w:rPr>
          <w:lang w:val="en-GB"/>
        </w:rPr>
        <w:t>A</w:t>
      </w:r>
      <w:r w:rsidR="0006435A">
        <w:rPr>
          <w:lang w:val="en-GB"/>
        </w:rPr>
        <w:t>s</w:t>
      </w:r>
      <w:r w:rsidR="00F55C5C" w:rsidRPr="001A6688">
        <w:rPr>
          <w:lang w:val="en-GB"/>
        </w:rPr>
        <w:t xml:space="preserve"> supplied commercial Ni foam was u</w:t>
      </w:r>
      <w:r w:rsidR="0062046D" w:rsidRPr="001A6688">
        <w:rPr>
          <w:lang w:val="en-GB"/>
        </w:rPr>
        <w:t>sed as cathode. T</w:t>
      </w:r>
      <w:r w:rsidR="006C5522" w:rsidRPr="001A6688">
        <w:rPr>
          <w:lang w:val="en-GB"/>
        </w:rPr>
        <w:t xml:space="preserve">he photoanode was prepared by anodizing Ti </w:t>
      </w:r>
      <w:r w:rsidR="0062046D" w:rsidRPr="001A6688">
        <w:rPr>
          <w:lang w:val="en-GB"/>
        </w:rPr>
        <w:t>foils in a fluoride containing electrolyte to induce the growth of large arrays of well aligned TiO</w:t>
      </w:r>
      <w:r w:rsidR="0062046D" w:rsidRPr="001A6688">
        <w:rPr>
          <w:vertAlign w:val="subscript"/>
          <w:lang w:val="en-GB"/>
        </w:rPr>
        <w:t>2</w:t>
      </w:r>
      <w:r w:rsidR="0062046D" w:rsidRPr="001A6688">
        <w:rPr>
          <w:lang w:val="en-GB"/>
        </w:rPr>
        <w:t xml:space="preserve"> nanotubes in the attempt to widen the active surface of the electrode. Photoelectrochemical tests were carried out to assess the formation of a n-type semiconducting material, while electrochemical impedance </w:t>
      </w:r>
      <w:r w:rsidR="005549BD" w:rsidRPr="001A6688">
        <w:rPr>
          <w:lang w:val="en-GB"/>
        </w:rPr>
        <w:t>measurements</w:t>
      </w:r>
      <w:r w:rsidR="0062046D" w:rsidRPr="001A6688">
        <w:rPr>
          <w:lang w:val="en-GB"/>
        </w:rPr>
        <w:t xml:space="preserve"> allowed to </w:t>
      </w:r>
      <w:r w:rsidR="005549BD" w:rsidRPr="001A6688">
        <w:rPr>
          <w:lang w:val="en-GB"/>
        </w:rPr>
        <w:t xml:space="preserve">study the </w:t>
      </w:r>
      <w:r w:rsidR="00630349">
        <w:rPr>
          <w:lang w:val="en-GB"/>
        </w:rPr>
        <w:t>behavior</w:t>
      </w:r>
      <w:r w:rsidR="005549BD" w:rsidRPr="001A6688">
        <w:rPr>
          <w:lang w:val="en-GB"/>
        </w:rPr>
        <w:t xml:space="preserve"> of the photoanode/electrolyte interface under irradiation.</w:t>
      </w:r>
      <w:r w:rsidR="0062046D" w:rsidRPr="001A6688">
        <w:rPr>
          <w:lang w:val="en-GB"/>
        </w:rPr>
        <w:t xml:space="preserve"> </w:t>
      </w:r>
      <w:r w:rsidR="005549BD" w:rsidRPr="001A6688">
        <w:rPr>
          <w:lang w:val="en-GB"/>
        </w:rPr>
        <w:t>The concentration of H</w:t>
      </w:r>
      <w:r w:rsidR="005549BD" w:rsidRPr="00630349">
        <w:rPr>
          <w:vertAlign w:val="subscript"/>
          <w:lang w:val="en-GB"/>
        </w:rPr>
        <w:t>2</w:t>
      </w:r>
      <w:r w:rsidR="005549BD" w:rsidRPr="001A6688">
        <w:rPr>
          <w:lang w:val="en-GB"/>
        </w:rPr>
        <w:t xml:space="preserve"> in the gas phase was monitored by gas chromatography (GC), while high performance liquid chromatography (HPLC) was used to determine the concentration of DHA and GA in the liquid phase.</w:t>
      </w:r>
    </w:p>
    <w:p w14:paraId="5741900F" w14:textId="68885E9F" w:rsidR="00453E24" w:rsidRDefault="00010739" w:rsidP="00453E24">
      <w:pPr>
        <w:pStyle w:val="CETHeading1"/>
      </w:pPr>
      <w:r>
        <w:t>E</w:t>
      </w:r>
      <w:r w:rsidR="001D5D01">
        <w:t>xperimental</w:t>
      </w:r>
    </w:p>
    <w:p w14:paraId="7C2B0064" w14:textId="67404A47" w:rsidR="00453E24" w:rsidRDefault="004823B0" w:rsidP="00453E24">
      <w:pPr>
        <w:pStyle w:val="CETBodytext"/>
      </w:pPr>
      <w:r>
        <w:t>TiO</w:t>
      </w:r>
      <w:r w:rsidRPr="004823B0">
        <w:rPr>
          <w:vertAlign w:val="subscript"/>
        </w:rPr>
        <w:t>2</w:t>
      </w:r>
      <w:r>
        <w:t xml:space="preserve"> NTs were </w:t>
      </w:r>
      <w:r w:rsidR="007733AE">
        <w:t>grown on</w:t>
      </w:r>
      <w:r>
        <w:t xml:space="preserve"> </w:t>
      </w:r>
      <w:r w:rsidR="007733AE">
        <w:t>Ti foil</w:t>
      </w:r>
      <w:r w:rsidR="00636A68">
        <w:t xml:space="preserve"> </w:t>
      </w:r>
      <w:r w:rsidR="00636A68" w:rsidRPr="00636A68">
        <w:t>(purity &gt; 99.7</w:t>
      </w:r>
      <w:r w:rsidR="00636A68">
        <w:t xml:space="preserve"> </w:t>
      </w:r>
      <w:r w:rsidR="00636A68" w:rsidRPr="00636A68">
        <w:t>% and 0.127 mm thickness</w:t>
      </w:r>
      <w:r w:rsidR="00636A68">
        <w:t>, Sigma Aldrich).</w:t>
      </w:r>
      <w:r w:rsidR="00A07A29">
        <w:t xml:space="preserve"> </w:t>
      </w:r>
      <w:r w:rsidR="00636A68">
        <w:t xml:space="preserve">Ti foil was </w:t>
      </w:r>
      <w:r w:rsidR="00E00A23" w:rsidRPr="00E00A23">
        <w:t>cut and etched in a solution containing hydrofluoric acid</w:t>
      </w:r>
      <w:r w:rsidR="00D27B71">
        <w:t xml:space="preserve"> (</w:t>
      </w:r>
      <w:r w:rsidR="00D27B71" w:rsidRPr="00D27B71">
        <w:t>Sigma Aldrich, 39.5</w:t>
      </w:r>
      <w:r w:rsidR="00E16E02">
        <w:t xml:space="preserve"> </w:t>
      </w:r>
      <w:r w:rsidR="00D27B71" w:rsidRPr="00D27B71">
        <w:t>%</w:t>
      </w:r>
      <w:r w:rsidR="00D27B71">
        <w:t>)</w:t>
      </w:r>
      <w:r w:rsidR="00E00A23" w:rsidRPr="00E00A23">
        <w:t>, nitric acid</w:t>
      </w:r>
      <w:r w:rsidR="00E16E02">
        <w:t xml:space="preserve"> (</w:t>
      </w:r>
      <w:r w:rsidR="00E16E02" w:rsidRPr="00D27B71">
        <w:t xml:space="preserve">Sigma Aldrich, </w:t>
      </w:r>
      <w:r w:rsidR="00E16E02">
        <w:t xml:space="preserve">69 </w:t>
      </w:r>
      <w:r w:rsidR="00E16E02" w:rsidRPr="00D27B71">
        <w:t>%</w:t>
      </w:r>
      <w:r w:rsidR="00E16E02">
        <w:t>)</w:t>
      </w:r>
      <w:r w:rsidR="00E00A23" w:rsidRPr="00E00A23">
        <w:t xml:space="preserve">, and deionized water in </w:t>
      </w:r>
      <w:r w:rsidR="00E00A23">
        <w:t>1:1:3 volume</w:t>
      </w:r>
      <w:r w:rsidR="00E00A23" w:rsidRPr="00E00A23">
        <w:t xml:space="preserve"> ratios for 15 seconds.</w:t>
      </w:r>
      <w:r w:rsidR="000134CA">
        <w:t xml:space="preserve"> </w:t>
      </w:r>
      <w:r w:rsidR="000134CA" w:rsidRPr="000134CA">
        <w:t xml:space="preserve">Then, </w:t>
      </w:r>
      <w:r w:rsidR="000134CA">
        <w:t>it was</w:t>
      </w:r>
      <w:r w:rsidR="000134CA" w:rsidRPr="000134CA">
        <w:t xml:space="preserve"> cleaned in acetone and ethanol through ultrasonic treatment for 5 minutes each and rinsed with deionized water before being dried in air.</w:t>
      </w:r>
      <w:r w:rsidR="000134CA">
        <w:t xml:space="preserve"> </w:t>
      </w:r>
      <w:r w:rsidR="000E6CFD" w:rsidRPr="000E6CFD">
        <w:t>The TiO</w:t>
      </w:r>
      <w:r w:rsidR="000E6CFD" w:rsidRPr="000E6CFD">
        <w:rPr>
          <w:vertAlign w:val="subscript"/>
        </w:rPr>
        <w:t>2</w:t>
      </w:r>
      <w:r w:rsidR="000E6CFD" w:rsidRPr="000E6CFD">
        <w:t xml:space="preserve"> nanotubes were formed in an ethylene glycol</w:t>
      </w:r>
      <w:r w:rsidR="008F4B5F">
        <w:t xml:space="preserve"> </w:t>
      </w:r>
      <w:r w:rsidR="008F4B5F" w:rsidRPr="008F4B5F">
        <w:t xml:space="preserve">(Sigma Aldrich, </w:t>
      </w:r>
      <w:r w:rsidR="003A638E">
        <w:t xml:space="preserve">99.8 </w:t>
      </w:r>
      <w:r w:rsidR="008F4B5F" w:rsidRPr="008F4B5F">
        <w:t>%</w:t>
      </w:r>
      <w:r w:rsidR="003A638E">
        <w:t xml:space="preserve"> anhydrous</w:t>
      </w:r>
      <w:r w:rsidR="008F4B5F" w:rsidRPr="008F4B5F">
        <w:t>)</w:t>
      </w:r>
      <w:r w:rsidR="000E6CFD" w:rsidRPr="000E6CFD">
        <w:t xml:space="preserve"> solution containing</w:t>
      </w:r>
      <w:r w:rsidR="0011073F">
        <w:t xml:space="preserve"> 0.25 </w:t>
      </w:r>
      <w:r w:rsidR="0058444A">
        <w:t>%wt</w:t>
      </w:r>
      <w:r w:rsidR="000E6CFD" w:rsidRPr="000E6CFD">
        <w:t xml:space="preserve"> NH</w:t>
      </w:r>
      <w:r w:rsidR="000E6CFD" w:rsidRPr="006F4FDA">
        <w:rPr>
          <w:vertAlign w:val="subscript"/>
        </w:rPr>
        <w:t>4</w:t>
      </w:r>
      <w:r w:rsidR="000E6CFD" w:rsidRPr="000E6CFD">
        <w:t>F</w:t>
      </w:r>
      <w:r w:rsidR="003A638E">
        <w:t xml:space="preserve"> (</w:t>
      </w:r>
      <w:r w:rsidR="003A638E" w:rsidRPr="00D27B71">
        <w:t>Sigma Aldrich,</w:t>
      </w:r>
      <w:r w:rsidR="00403440">
        <w:t xml:space="preserve"> </w:t>
      </w:r>
      <w:r w:rsidR="00403440">
        <w:rPr>
          <w:rFonts w:cs="Arial"/>
        </w:rPr>
        <w:t>≥</w:t>
      </w:r>
      <w:r w:rsidR="003A638E" w:rsidRPr="00D27B71">
        <w:t xml:space="preserve"> </w:t>
      </w:r>
      <w:r w:rsidR="00403440">
        <w:t xml:space="preserve">98 </w:t>
      </w:r>
      <w:r w:rsidR="003A638E" w:rsidRPr="00D27B71">
        <w:t>%</w:t>
      </w:r>
      <w:r w:rsidR="003A638E">
        <w:t>)</w:t>
      </w:r>
      <w:r w:rsidR="000E6CFD" w:rsidRPr="000E6CFD">
        <w:t xml:space="preserve"> and</w:t>
      </w:r>
      <w:r w:rsidR="0058444A">
        <w:t xml:space="preserve"> 0.75 %wt</w:t>
      </w:r>
      <w:r w:rsidR="000E6CFD" w:rsidRPr="000E6CFD">
        <w:t xml:space="preserve"> deionized water. </w:t>
      </w:r>
      <w:r w:rsidR="003B55A0" w:rsidRPr="00B33CC1">
        <w:t>The a</w:t>
      </w:r>
      <w:r w:rsidR="000E6CFD" w:rsidRPr="00B33CC1">
        <w:t>nodiz</w:t>
      </w:r>
      <w:r w:rsidR="003B55A0" w:rsidRPr="00B33CC1">
        <w:t>ation</w:t>
      </w:r>
      <w:r w:rsidR="004226F8" w:rsidRPr="00B33CC1">
        <w:t xml:space="preserve"> of 25 cm</w:t>
      </w:r>
      <w:r w:rsidR="004226F8" w:rsidRPr="00B33CC1">
        <w:rPr>
          <w:vertAlign w:val="superscript"/>
        </w:rPr>
        <w:t>2</w:t>
      </w:r>
      <w:r w:rsidR="00995102" w:rsidRPr="00B33CC1">
        <w:t xml:space="preserve"> </w:t>
      </w:r>
      <w:r w:rsidR="003B55A0" w:rsidRPr="00B33CC1">
        <w:t>of</w:t>
      </w:r>
      <w:r w:rsidR="00995102" w:rsidRPr="00B33CC1">
        <w:t xml:space="preserve"> immersed</w:t>
      </w:r>
      <w:r w:rsidR="00995102">
        <w:t xml:space="preserve"> surface</w:t>
      </w:r>
      <w:r w:rsidR="000E6CFD" w:rsidRPr="000E6CFD">
        <w:t xml:space="preserve"> was performed using a two-electrode configuration with aluminum foil as the cathode and maintaining a constant potential of 45 V for 10 minutes. Post-anodizing, </w:t>
      </w:r>
      <w:r w:rsidR="009A3FA1">
        <w:t>annealing</w:t>
      </w:r>
      <w:r w:rsidR="000E6CFD" w:rsidRPr="000E6CFD">
        <w:t xml:space="preserve"> at </w:t>
      </w:r>
      <w:r w:rsidR="000E6CFD" w:rsidRPr="00B33CC1">
        <w:t xml:space="preserve">450°C for 3 hours under air exposure was </w:t>
      </w:r>
      <w:r w:rsidR="00C80E2C" w:rsidRPr="00B33CC1">
        <w:t>carried out</w:t>
      </w:r>
      <w:r w:rsidR="000E6CFD" w:rsidRPr="00B33CC1">
        <w:t xml:space="preserve"> to induce crystallization in the TiO</w:t>
      </w:r>
      <w:r w:rsidR="000E6CFD" w:rsidRPr="00B33CC1">
        <w:rPr>
          <w:vertAlign w:val="subscript"/>
        </w:rPr>
        <w:t>2</w:t>
      </w:r>
      <w:r w:rsidR="000E6CFD" w:rsidRPr="00B33CC1">
        <w:t xml:space="preserve"> nanotubes</w:t>
      </w:r>
      <w:r w:rsidR="000A648F">
        <w:t>.</w:t>
      </w:r>
      <w:r w:rsidR="00AA25C8" w:rsidRPr="00B33CC1">
        <w:t xml:space="preserve"> The cath</w:t>
      </w:r>
      <w:r w:rsidR="00AA25C8" w:rsidRPr="00AA25C8">
        <w:t>ode employed in the process was</w:t>
      </w:r>
      <w:r w:rsidR="00995102">
        <w:t xml:space="preserve"> 6 cm</w:t>
      </w:r>
      <w:r w:rsidR="00995102" w:rsidRPr="00995102">
        <w:rPr>
          <w:vertAlign w:val="superscript"/>
        </w:rPr>
        <w:t>2</w:t>
      </w:r>
      <w:r w:rsidR="00AA25C8" w:rsidRPr="00AA25C8">
        <w:t xml:space="preserve"> </w:t>
      </w:r>
      <w:r w:rsidR="00995102">
        <w:t xml:space="preserve">of </w:t>
      </w:r>
      <w:r w:rsidR="00AA25C8">
        <w:t>c</w:t>
      </w:r>
      <w:r w:rsidR="00AA25C8" w:rsidRPr="00AA25C8">
        <w:t xml:space="preserve">ommercial Ni foam </w:t>
      </w:r>
      <w:r w:rsidR="00AA25C8">
        <w:t>(</w:t>
      </w:r>
      <w:r w:rsidR="00AA25C8" w:rsidRPr="00AA25C8">
        <w:t>Goodfellow</w:t>
      </w:r>
      <w:r w:rsidR="00AA25C8">
        <w:t>)</w:t>
      </w:r>
      <w:r w:rsidR="000E6CFD" w:rsidRPr="000E6CFD">
        <w:t>.</w:t>
      </w:r>
    </w:p>
    <w:p w14:paraId="617F94EC" w14:textId="69FA6776" w:rsidR="00630481" w:rsidRDefault="00630481" w:rsidP="00630481">
      <w:pPr>
        <w:pStyle w:val="CETBodytext"/>
      </w:pPr>
      <w:r>
        <w:t>SEM images were captured using an FEI Quanta 200 ESEM microscope operating at 30 kV. XRD patterns of the photoanodes were obtained at room temperature using a PANalytical Empyrean diffractometer equipped with a PIXcel1D detector. The diffractometer operated at 40 kV and 40 mA using CuKα radiation, with a 2θ scan rate set at 3°/min.</w:t>
      </w:r>
      <w:r w:rsidR="00857831">
        <w:t xml:space="preserve"> </w:t>
      </w:r>
      <w:r>
        <w:t xml:space="preserve">Raman spectra were </w:t>
      </w:r>
      <w:r w:rsidR="007F25FB">
        <w:t>carried out</w:t>
      </w:r>
      <w:r>
        <w:t xml:space="preserve"> using a Raman Microscope </w:t>
      </w:r>
      <w:r w:rsidR="007F25FB">
        <w:t>coupled</w:t>
      </w:r>
      <w:r>
        <w:t xml:space="preserve"> with a Leica DMLM microscope.</w:t>
      </w:r>
    </w:p>
    <w:p w14:paraId="06EE3AB9" w14:textId="64CCA81B" w:rsidR="00207790" w:rsidRDefault="00D65737" w:rsidP="00207790">
      <w:pPr>
        <w:pStyle w:val="CETBodytext"/>
      </w:pPr>
      <w:r>
        <w:t xml:space="preserve">Photocurrent transients were carried </w:t>
      </w:r>
      <w:r w:rsidRPr="00B33CC1">
        <w:t xml:space="preserve">out </w:t>
      </w:r>
      <w:r w:rsidR="00E01BC9" w:rsidRPr="00B33CC1">
        <w:t xml:space="preserve">by </w:t>
      </w:r>
      <w:r w:rsidRPr="00B33CC1">
        <w:t>using</w:t>
      </w:r>
      <w:r w:rsidR="00207790">
        <w:t xml:space="preserve"> TiO</w:t>
      </w:r>
      <w:r w:rsidR="00207790" w:rsidRPr="00D65737">
        <w:rPr>
          <w:vertAlign w:val="subscript"/>
        </w:rPr>
        <w:t>2</w:t>
      </w:r>
      <w:r w:rsidR="00207790">
        <w:t xml:space="preserve"> NTs as the working electrode within a three-electrode setup. A Pt </w:t>
      </w:r>
      <w:r w:rsidR="00207790" w:rsidRPr="00B33CC1">
        <w:t xml:space="preserve">wire </w:t>
      </w:r>
      <w:r w:rsidR="00E01BC9" w:rsidRPr="00B33CC1">
        <w:t>was used</w:t>
      </w:r>
      <w:r w:rsidR="00207790" w:rsidRPr="00B33CC1">
        <w:t xml:space="preserve"> as the</w:t>
      </w:r>
      <w:r w:rsidR="00207790">
        <w:t xml:space="preserve"> counter electrode, while </w:t>
      </w:r>
      <w:r w:rsidR="00ED35F2">
        <w:t xml:space="preserve">an </w:t>
      </w:r>
      <w:r w:rsidR="00207790">
        <w:t>Ag/AgCl/saturated KCl setup was the reference electrode. The electrolyte consisted of a 0.5 M Na</w:t>
      </w:r>
      <w:r w:rsidR="00207790" w:rsidRPr="00ED35F2">
        <w:rPr>
          <w:vertAlign w:val="subscript"/>
        </w:rPr>
        <w:t>2</w:t>
      </w:r>
      <w:r w:rsidR="00207790">
        <w:t>SO</w:t>
      </w:r>
      <w:r w:rsidR="00207790" w:rsidRPr="00ED35F2">
        <w:rPr>
          <w:vertAlign w:val="subscript"/>
        </w:rPr>
        <w:t>4</w:t>
      </w:r>
      <w:r w:rsidR="00207790">
        <w:t xml:space="preserve"> aqueous </w:t>
      </w:r>
      <w:r w:rsidR="00207790" w:rsidRPr="006C2FDE">
        <w:t>solution.</w:t>
      </w:r>
      <w:r w:rsidR="00B7049A" w:rsidRPr="006C2FDE">
        <w:t xml:space="preserve"> Current transients were </w:t>
      </w:r>
      <w:r w:rsidR="00F55C5C" w:rsidRPr="006C2FDE">
        <w:t>recorded</w:t>
      </w:r>
      <w:r w:rsidR="00B7049A" w:rsidRPr="006C2FDE">
        <w:t xml:space="preserve"> using monochromatic irradiation at </w:t>
      </w:r>
      <w:r w:rsidR="00B1306C" w:rsidRPr="006C2FDE">
        <w:t>different</w:t>
      </w:r>
      <w:r w:rsidR="00B7049A" w:rsidRPr="006C2FDE">
        <w:t xml:space="preserve"> </w:t>
      </w:r>
      <w:r w:rsidR="00B1306C" w:rsidRPr="006C2FDE">
        <w:t>constant</w:t>
      </w:r>
      <w:r w:rsidR="00B7049A" w:rsidRPr="006C2FDE">
        <w:t xml:space="preserve"> potentials. The photocurrent</w:t>
      </w:r>
      <w:r w:rsidR="002C079C" w:rsidRPr="006C2FDE">
        <w:t xml:space="preserve"> (I</w:t>
      </w:r>
      <w:r w:rsidR="002C079C" w:rsidRPr="006C2FDE">
        <w:rPr>
          <w:vertAlign w:val="subscript"/>
        </w:rPr>
        <w:t>ph</w:t>
      </w:r>
      <w:r w:rsidR="002C079C" w:rsidRPr="006C2FDE">
        <w:t>)</w:t>
      </w:r>
      <w:r w:rsidR="00B7049A" w:rsidRPr="006C2FDE">
        <w:t xml:space="preserve"> was quantified by manually stopping the irradiation while maintaining the applied potentials steady, ranging from 0.5 V to -0.5 V vs Ag/AgCl.</w:t>
      </w:r>
    </w:p>
    <w:p w14:paraId="2434D3E0" w14:textId="77777777" w:rsidR="008A44E4" w:rsidRDefault="008A44E4" w:rsidP="00207790">
      <w:pPr>
        <w:pStyle w:val="CETBodytext"/>
      </w:pPr>
    </w:p>
    <w:p w14:paraId="3686AABF" w14:textId="77777777" w:rsidR="003C7BB2" w:rsidRDefault="008F6847" w:rsidP="003C7BB2">
      <w:pPr>
        <w:pStyle w:val="CETBodytext"/>
        <w:keepNext/>
      </w:pPr>
      <w:r>
        <w:rPr>
          <w:noProof/>
        </w:rPr>
        <w:drawing>
          <wp:inline distT="0" distB="0" distL="0" distR="0" wp14:anchorId="7C1E6478" wp14:editId="0D40C4B1">
            <wp:extent cx="3060000" cy="2011854"/>
            <wp:effectExtent l="0" t="0" r="7620" b="7620"/>
            <wp:docPr id="40039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00" cy="2011854"/>
                    </a:xfrm>
                    <a:prstGeom prst="rect">
                      <a:avLst/>
                    </a:prstGeom>
                    <a:noFill/>
                  </pic:spPr>
                </pic:pic>
              </a:graphicData>
            </a:graphic>
          </wp:inline>
        </w:drawing>
      </w:r>
    </w:p>
    <w:p w14:paraId="1C32E80B" w14:textId="2777E16A" w:rsidR="008F6847" w:rsidRPr="00555DF1" w:rsidRDefault="003C7BB2" w:rsidP="00551CB1">
      <w:pPr>
        <w:pStyle w:val="CETCaption"/>
        <w:spacing w:before="0" w:after="0"/>
        <w:rPr>
          <w:lang w:val="en-US"/>
        </w:rPr>
      </w:pPr>
      <w:r w:rsidRPr="00555DF1">
        <w:rPr>
          <w:lang w:val="en-US"/>
        </w:rPr>
        <w:t xml:space="preserve">Figure </w:t>
      </w:r>
      <w:r w:rsidRPr="00555DF1">
        <w:rPr>
          <w:lang w:val="en-US"/>
        </w:rPr>
        <w:fldChar w:fldCharType="begin"/>
      </w:r>
      <w:r w:rsidRPr="00555DF1">
        <w:rPr>
          <w:lang w:val="en-US"/>
        </w:rPr>
        <w:instrText xml:space="preserve"> SEQ Figure \* ARABIC </w:instrText>
      </w:r>
      <w:r w:rsidRPr="00555DF1">
        <w:rPr>
          <w:lang w:val="en-US"/>
        </w:rPr>
        <w:fldChar w:fldCharType="separate"/>
      </w:r>
      <w:r w:rsidR="008639B5" w:rsidRPr="00555DF1">
        <w:rPr>
          <w:noProof/>
          <w:lang w:val="en-US"/>
        </w:rPr>
        <w:t>1</w:t>
      </w:r>
      <w:r w:rsidRPr="00555DF1">
        <w:rPr>
          <w:lang w:val="en-US"/>
        </w:rPr>
        <w:fldChar w:fldCharType="end"/>
      </w:r>
      <w:r w:rsidRPr="00555DF1">
        <w:rPr>
          <w:lang w:val="en-US"/>
        </w:rPr>
        <w:t>: a) overview of the experimental setup and b) magnification of photoanode and cathode</w:t>
      </w:r>
    </w:p>
    <w:p w14:paraId="662F5E0F" w14:textId="77777777" w:rsidR="008F6847" w:rsidRDefault="008F6847" w:rsidP="00E12BA2">
      <w:pPr>
        <w:pStyle w:val="CETBodytext"/>
      </w:pPr>
    </w:p>
    <w:p w14:paraId="2B0D3CF7" w14:textId="77777777" w:rsidR="00E87166" w:rsidRDefault="00E87166" w:rsidP="00E87166">
      <w:pPr>
        <w:pStyle w:val="CETBodytext"/>
      </w:pPr>
      <w:r>
        <w:t xml:space="preserve">EIS measurements </w:t>
      </w:r>
      <w:r w:rsidRPr="00B33CC1">
        <w:t>were carried out in</w:t>
      </w:r>
      <w:r>
        <w:t xml:space="preserve"> 0.5 M Na</w:t>
      </w:r>
      <w:r w:rsidRPr="00ED35F2">
        <w:rPr>
          <w:vertAlign w:val="subscript"/>
        </w:rPr>
        <w:t>2</w:t>
      </w:r>
      <w:r>
        <w:t>SO</w:t>
      </w:r>
      <w:r w:rsidRPr="00ED35F2">
        <w:rPr>
          <w:vertAlign w:val="subscript"/>
        </w:rPr>
        <w:t>4</w:t>
      </w:r>
      <w:r>
        <w:t xml:space="preserve"> aqueous solution employing a Parstat 2263 potentiostat featuring an Impedance Analyzer connected to the cell setup. The impedance spectra </w:t>
      </w:r>
      <w:r w:rsidRPr="00B33CC1">
        <w:t>were obtained in a</w:t>
      </w:r>
      <w:r>
        <w:t xml:space="preserve"> frequency range of 10 kHz to 0.1 Hz at 25 °C, using an AC amplitude of 10 mV. Before each measurement, the cell underwent a stabilization period of at least 15 minutes under irradiation. </w:t>
      </w:r>
      <w:r w:rsidRPr="00B33CC1">
        <w:t>Subsequently, data</w:t>
      </w:r>
      <w:r>
        <w:t xml:space="preserve"> analysis and fitting of the equivalent circuit were performed utilizing Power Suite and ZSimpleWin software.</w:t>
      </w:r>
    </w:p>
    <w:p w14:paraId="0EFD12CD" w14:textId="5319FBE3" w:rsidR="00E12BA2" w:rsidRDefault="00B35224" w:rsidP="00B35224">
      <w:pPr>
        <w:pStyle w:val="CETBodytext"/>
      </w:pPr>
      <w:r>
        <w:lastRenderedPageBreak/>
        <w:t xml:space="preserve">Photoelectrocatalytic </w:t>
      </w:r>
      <w:r w:rsidRPr="00B33CC1">
        <w:t xml:space="preserve">experiments were </w:t>
      </w:r>
      <w:r w:rsidR="00DF6B95" w:rsidRPr="00B33CC1">
        <w:t>carried out</w:t>
      </w:r>
      <w:r w:rsidRPr="00B33CC1">
        <w:t xml:space="preserve"> </w:t>
      </w:r>
      <w:r w:rsidR="00DF6B95" w:rsidRPr="00B33CC1">
        <w:t>i</w:t>
      </w:r>
      <w:r w:rsidRPr="00B33CC1">
        <w:t>n</w:t>
      </w:r>
      <w:r>
        <w:t xml:space="preserve"> a 450 ml undivided </w:t>
      </w:r>
      <w:r w:rsidRPr="00B33CC1">
        <w:t xml:space="preserve">glass cell </w:t>
      </w:r>
      <w:r w:rsidR="00DF6B95" w:rsidRPr="00B33CC1">
        <w:t>by</w:t>
      </w:r>
      <w:r w:rsidR="00302DEC">
        <w:t xml:space="preserve"> using</w:t>
      </w:r>
      <w:r w:rsidRPr="00B33CC1">
        <w:t xml:space="preserve"> t</w:t>
      </w:r>
      <w:r>
        <w:t xml:space="preserve">hree </w:t>
      </w:r>
      <w:r w:rsidRPr="00302DEC">
        <w:t>electrodes</w:t>
      </w:r>
      <w:r w:rsidR="00B35175" w:rsidRPr="00302DEC">
        <w:t xml:space="preserve"> </w:t>
      </w:r>
      <w:r w:rsidR="00DF6B95" w:rsidRPr="00302DEC">
        <w:t xml:space="preserve">as </w:t>
      </w:r>
      <w:r w:rsidR="00B35175" w:rsidRPr="00302DEC">
        <w:t>shown</w:t>
      </w:r>
      <w:r w:rsidR="00B35175">
        <w:t xml:space="preserve"> </w:t>
      </w:r>
      <w:r w:rsidR="00B35175" w:rsidRPr="000F42B6">
        <w:t>in Figure 1</w:t>
      </w:r>
      <w:r w:rsidRPr="000F42B6">
        <w:t>. The</w:t>
      </w:r>
      <w:r>
        <w:t xml:space="preserve"> setup </w:t>
      </w:r>
      <w:r w:rsidR="00DF6B95" w:rsidRPr="00302DEC">
        <w:t>used</w:t>
      </w:r>
      <w:r w:rsidRPr="00302DEC">
        <w:t xml:space="preserve"> N</w:t>
      </w:r>
      <w:r>
        <w:t xml:space="preserve">i foam as the counter electrode and an Ag/AgCl electrode as the reference. The solution underwent external illumination </w:t>
      </w:r>
      <w:r w:rsidRPr="000F42B6">
        <w:t xml:space="preserve">from six UVA fluorescent lamps emitting light at a maximum wavelength of 365 nm (8 W). Before each test, </w:t>
      </w:r>
      <w:r w:rsidR="00AA11CB" w:rsidRPr="000F42B6">
        <w:t>He</w:t>
      </w:r>
      <w:r w:rsidR="00DF6B95" w:rsidRPr="000F42B6">
        <w:t>lium</w:t>
      </w:r>
      <w:r w:rsidRPr="000F42B6">
        <w:t xml:space="preserve"> was bubbled</w:t>
      </w:r>
      <w:r>
        <w:t xml:space="preserve"> through a 150 ml aqueous solution for approximately </w:t>
      </w:r>
      <w:r w:rsidRPr="000F42B6">
        <w:t xml:space="preserve">30 minutes. </w:t>
      </w:r>
      <w:r w:rsidR="00DF6B95" w:rsidRPr="000F42B6">
        <w:t>The c</w:t>
      </w:r>
      <w:r w:rsidRPr="000F42B6">
        <w:t xml:space="preserve">ontrol over the cell potential was maintained </w:t>
      </w:r>
      <w:r w:rsidR="00DF6B95" w:rsidRPr="000F42B6">
        <w:t xml:space="preserve">by </w:t>
      </w:r>
      <w:r w:rsidRPr="000F42B6">
        <w:t>using</w:t>
      </w:r>
      <w:r>
        <w:t xml:space="preserve"> a CH Instrument 630B Series potentiostat. A 0.5 M </w:t>
      </w:r>
      <w:r w:rsidRPr="000F42B6">
        <w:t>Na</w:t>
      </w:r>
      <w:r w:rsidRPr="000F42B6">
        <w:rPr>
          <w:vertAlign w:val="subscript"/>
        </w:rPr>
        <w:t>2</w:t>
      </w:r>
      <w:r w:rsidRPr="000F42B6">
        <w:t>SO</w:t>
      </w:r>
      <w:r w:rsidRPr="000F42B6">
        <w:rPr>
          <w:vertAlign w:val="subscript"/>
        </w:rPr>
        <w:t>4</w:t>
      </w:r>
      <w:r w:rsidRPr="000F42B6">
        <w:t xml:space="preserve"> solution </w:t>
      </w:r>
      <w:r w:rsidR="005C65F5" w:rsidRPr="000F42B6">
        <w:t>was used</w:t>
      </w:r>
      <w:r w:rsidRPr="000F42B6">
        <w:t xml:space="preserve"> as the electrolyte</w:t>
      </w:r>
      <w:r>
        <w:t xml:space="preserve"> (pH ~ 7),</w:t>
      </w:r>
      <w:r w:rsidR="007B0DF4">
        <w:t xml:space="preserve"> the glycerol starting concentration was 0.1 M,</w:t>
      </w:r>
      <w:r>
        <w:t xml:space="preserve"> and an applied potential </w:t>
      </w:r>
      <w:r w:rsidR="009F6685">
        <w:t>up to 1</w:t>
      </w:r>
      <w:r>
        <w:t xml:space="preserve"> V vs Ag/AgCl was employed.</w:t>
      </w:r>
      <w:r w:rsidR="00DD522F">
        <w:t xml:space="preserve"> To study the effect of the </w:t>
      </w:r>
      <w:r w:rsidR="007A61AE">
        <w:t>pH, H</w:t>
      </w:r>
      <w:r w:rsidR="007A61AE" w:rsidRPr="00FF7534">
        <w:rPr>
          <w:vertAlign w:val="subscript"/>
        </w:rPr>
        <w:t>2</w:t>
      </w:r>
      <w:r w:rsidR="007A61AE">
        <w:t>SO</w:t>
      </w:r>
      <w:r w:rsidR="007A61AE" w:rsidRPr="00FF7534">
        <w:rPr>
          <w:vertAlign w:val="subscript"/>
        </w:rPr>
        <w:t>4</w:t>
      </w:r>
      <w:r w:rsidR="00652D3F">
        <w:t xml:space="preserve"> </w:t>
      </w:r>
      <w:r w:rsidR="00F80BF4">
        <w:t xml:space="preserve">was added </w:t>
      </w:r>
      <w:r w:rsidR="003D6CF7">
        <w:t>dropwise,</w:t>
      </w:r>
      <w:r w:rsidR="00F80BF4">
        <w:t xml:space="preserve"> </w:t>
      </w:r>
      <w:r w:rsidR="004148EF">
        <w:t xml:space="preserve">or </w:t>
      </w:r>
      <w:r w:rsidR="00FF7534">
        <w:t>a KOH solution was used as the electrolyte</w:t>
      </w:r>
      <w:r w:rsidR="00FF7534" w:rsidRPr="000F42B6">
        <w:t>.</w:t>
      </w:r>
      <w:r w:rsidRPr="000F42B6">
        <w:t xml:space="preserve"> </w:t>
      </w:r>
      <w:r w:rsidR="005C65F5" w:rsidRPr="000F42B6">
        <w:t>The q</w:t>
      </w:r>
      <w:r w:rsidRPr="000F42B6">
        <w:t>uantification</w:t>
      </w:r>
      <w:r>
        <w:t xml:space="preserve"> of </w:t>
      </w:r>
      <w:r w:rsidR="009F6685">
        <w:t>glycerol</w:t>
      </w:r>
      <w:r>
        <w:t xml:space="preserve"> </w:t>
      </w:r>
      <w:r w:rsidRPr="000F42B6">
        <w:t>and</w:t>
      </w:r>
      <w:r w:rsidR="005C65F5" w:rsidRPr="000F42B6">
        <w:t xml:space="preserve"> </w:t>
      </w:r>
      <w:r w:rsidRPr="000F42B6">
        <w:t>th</w:t>
      </w:r>
      <w:r>
        <w:t xml:space="preserve">e concentration of reaction intermediates </w:t>
      </w:r>
      <w:r w:rsidRPr="000F42B6">
        <w:t xml:space="preserve">was </w:t>
      </w:r>
      <w:r w:rsidR="005C65F5" w:rsidRPr="000F42B6">
        <w:t>performed by</w:t>
      </w:r>
      <w:r w:rsidRPr="000F42B6">
        <w:t xml:space="preserve"> using</w:t>
      </w:r>
      <w:r>
        <w:t xml:space="preserve"> a Thermo Scientific Dionex UltiMate 3000 HPLC, equipped with a Diode Array detector and a REZEK ROA Organic acid H</w:t>
      </w:r>
      <w:r w:rsidRPr="009F6685">
        <w:rPr>
          <w:vertAlign w:val="superscript"/>
        </w:rPr>
        <w:t>+</w:t>
      </w:r>
      <w:r>
        <w:t xml:space="preserve"> </w:t>
      </w:r>
      <w:r w:rsidRPr="000F42B6">
        <w:t xml:space="preserve">column. </w:t>
      </w:r>
      <w:r w:rsidR="005C65F5" w:rsidRPr="000F42B6">
        <w:t>The a</w:t>
      </w:r>
      <w:r w:rsidRPr="000F42B6">
        <w:t>nalysis of gaseous</w:t>
      </w:r>
      <w:r>
        <w:t xml:space="preserve"> species accumulated in the reactor </w:t>
      </w:r>
      <w:r w:rsidRPr="000F42B6">
        <w:t xml:space="preserve">headspace was </w:t>
      </w:r>
      <w:r w:rsidR="005C65F5" w:rsidRPr="000F42B6">
        <w:t xml:space="preserve">carried out by </w:t>
      </w:r>
      <w:r w:rsidRPr="000F42B6">
        <w:t>using an</w:t>
      </w:r>
      <w:r>
        <w:t xml:space="preserve"> HP 6890 Series GC system equipped with a Supelco GC 60/80 CarboxenTM-1000 packed column and a thermal conductivity detector.</w:t>
      </w:r>
      <w:r w:rsidR="009F6685">
        <w:t xml:space="preserve"> The FE</w:t>
      </w:r>
      <w:r>
        <w:t xml:space="preserve"> towards the products </w:t>
      </w:r>
      <w:r w:rsidR="00A5001D">
        <w:t>was</w:t>
      </w:r>
      <w:r>
        <w:t xml:space="preserve"> </w:t>
      </w:r>
      <w:r w:rsidRPr="000F42B6">
        <w:t xml:space="preserve">calculated using </w:t>
      </w:r>
      <w:r w:rsidR="009F6685" w:rsidRPr="000F42B6">
        <w:t>E</w:t>
      </w:r>
      <w:r w:rsidRPr="000F42B6">
        <w:t>q</w:t>
      </w:r>
      <w:r w:rsidR="00F55C5C">
        <w:t xml:space="preserve">. </w:t>
      </w:r>
      <w:r w:rsidR="00DF244D" w:rsidRPr="000F42B6">
        <w:t>(</w:t>
      </w:r>
      <w:r w:rsidRPr="000F42B6">
        <w:t>1</w:t>
      </w:r>
      <w:r w:rsidR="00DF244D" w:rsidRPr="000F42B6">
        <w:t>)</w:t>
      </w:r>
      <w:r w:rsidRPr="000F42B6">
        <w:t>.</w:t>
      </w:r>
    </w:p>
    <w:p w14:paraId="0C9F18C6" w14:textId="77777777" w:rsidR="0016408F" w:rsidRDefault="0016408F" w:rsidP="00B35224">
      <w:pPr>
        <w:pStyle w:val="CETBodytext"/>
      </w:pPr>
    </w:p>
    <w:tbl>
      <w:tblPr>
        <w:tblStyle w:val="Tabellasemplice4"/>
        <w:tblW w:w="0" w:type="auto"/>
        <w:tblLook w:val="04A0" w:firstRow="1" w:lastRow="0" w:firstColumn="1" w:lastColumn="0" w:noHBand="0" w:noVBand="1"/>
      </w:tblPr>
      <w:tblGrid>
        <w:gridCol w:w="6374"/>
        <w:gridCol w:w="2403"/>
      </w:tblGrid>
      <w:tr w:rsidR="000B26DE" w:rsidRPr="009049BF" w14:paraId="2875DC2D" w14:textId="77777777" w:rsidTr="00857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B2AFC38" w14:textId="610A548E" w:rsidR="000B26DE" w:rsidRPr="006E48E1" w:rsidRDefault="00000000" w:rsidP="00E12BA2">
            <w:pPr>
              <w:pStyle w:val="CETBodytext"/>
              <w:rPr>
                <w:b w:val="0"/>
                <w:bCs w:val="0"/>
              </w:rPr>
            </w:pPr>
            <m:oMathPara>
              <m:oMathParaPr>
                <m:jc m:val="left"/>
              </m:oMathParaPr>
              <m:oMath>
                <m:sSub>
                  <m:sSubPr>
                    <m:ctrlPr>
                      <w:rPr>
                        <w:rFonts w:ascii="Cambria Math" w:hAnsi="Cambria Math"/>
                        <w:b w:val="0"/>
                        <w:bCs w:val="0"/>
                      </w:rPr>
                    </m:ctrlPr>
                  </m:sSubPr>
                  <m:e>
                    <m:r>
                      <m:rPr>
                        <m:sty m:val="bi"/>
                      </m:rPr>
                      <w:rPr>
                        <w:rFonts w:ascii="Cambria Math" w:hAnsi="Cambria Math"/>
                      </w:rPr>
                      <m:t>Faradic</m:t>
                    </m:r>
                    <m:r>
                      <m:rPr>
                        <m:sty m:val="b"/>
                      </m:rPr>
                      <w:rPr>
                        <w:rFonts w:ascii="Cambria Math" w:hAnsi="Cambria Math"/>
                      </w:rPr>
                      <m:t xml:space="preserve"> </m:t>
                    </m:r>
                    <m:r>
                      <m:rPr>
                        <m:sty m:val="bi"/>
                      </m:rPr>
                      <w:rPr>
                        <w:rFonts w:ascii="Cambria Math" w:hAnsi="Cambria Math"/>
                      </w:rPr>
                      <m:t>efficiency</m:t>
                    </m:r>
                  </m:e>
                  <m:sub>
                    <m:r>
                      <m:rPr>
                        <m:sty m:val="bi"/>
                      </m:rPr>
                      <w:rPr>
                        <w:rFonts w:ascii="Cambria Math" w:hAnsi="Cambria Math"/>
                      </w:rPr>
                      <m:t>i</m:t>
                    </m:r>
                  </m:sub>
                </m:sSub>
                <m:r>
                  <m:rPr>
                    <m:sty m:val="b"/>
                  </m:rPr>
                  <w:rPr>
                    <w:rFonts w:ascii="Cambria Math" w:hAnsi="Cambria Math"/>
                  </w:rPr>
                  <m:t xml:space="preserve"> </m:t>
                </m:r>
                <m:d>
                  <m:dPr>
                    <m:begChr m:val="["/>
                    <m:endChr m:val="]"/>
                    <m:ctrlPr>
                      <w:rPr>
                        <w:rFonts w:ascii="Cambria Math" w:hAnsi="Cambria Math"/>
                        <w:b w:val="0"/>
                        <w:bCs w:val="0"/>
                      </w:rPr>
                    </m:ctrlPr>
                  </m:dPr>
                  <m:e>
                    <m:r>
                      <m:rPr>
                        <m:sty m:val="b"/>
                      </m:rPr>
                      <w:rPr>
                        <w:rFonts w:ascii="Cambria Math" w:hAnsi="Cambria Math"/>
                      </w:rPr>
                      <m:t>%</m:t>
                    </m:r>
                  </m:e>
                </m:d>
                <m:r>
                  <m:rPr>
                    <m:sty m:val="b"/>
                  </m:rPr>
                  <w:rPr>
                    <w:rFonts w:ascii="Cambria Math" w:hAnsi="Cambria Math"/>
                  </w:rPr>
                  <m:t xml:space="preserve">= </m:t>
                </m:r>
                <m:f>
                  <m:fPr>
                    <m:ctrlPr>
                      <w:rPr>
                        <w:rFonts w:ascii="Cambria Math" w:hAnsi="Cambria Math"/>
                        <w:b w:val="0"/>
                        <w:bCs w:val="0"/>
                      </w:rPr>
                    </m:ctrlPr>
                  </m:fPr>
                  <m:num>
                    <m:r>
                      <m:rPr>
                        <m:sty m:val="bi"/>
                      </m:rPr>
                      <w:rPr>
                        <w:rFonts w:ascii="Cambria Math" w:hAnsi="Cambria Math"/>
                      </w:rPr>
                      <m:t>Amount</m:t>
                    </m:r>
                    <m:r>
                      <m:rPr>
                        <m:sty m:val="b"/>
                      </m:rPr>
                      <w:rPr>
                        <w:rFonts w:ascii="Cambria Math" w:hAnsi="Cambria Math"/>
                      </w:rPr>
                      <m:t xml:space="preserve"> </m:t>
                    </m:r>
                    <m:r>
                      <m:rPr>
                        <m:sty m:val="bi"/>
                      </m:rPr>
                      <w:rPr>
                        <w:rFonts w:ascii="Cambria Math" w:hAnsi="Cambria Math"/>
                      </w:rPr>
                      <m:t>of</m:t>
                    </m:r>
                    <m:r>
                      <m:rPr>
                        <m:sty m:val="b"/>
                      </m:rPr>
                      <w:rPr>
                        <w:rFonts w:ascii="Cambria Math" w:hAnsi="Cambria Math"/>
                      </w:rPr>
                      <m:t xml:space="preserve"> </m:t>
                    </m:r>
                    <m:r>
                      <m:rPr>
                        <m:sty m:val="bi"/>
                      </m:rPr>
                      <w:rPr>
                        <w:rFonts w:ascii="Cambria Math" w:hAnsi="Cambria Math"/>
                      </w:rPr>
                      <m:t>product</m:t>
                    </m:r>
                    <m:r>
                      <m:rPr>
                        <m:sty m:val="b"/>
                      </m:rPr>
                      <w:rPr>
                        <w:rFonts w:ascii="Cambria Math" w:hAnsi="Cambria Math"/>
                      </w:rPr>
                      <m:t xml:space="preserve"> </m:t>
                    </m:r>
                    <m:r>
                      <m:rPr>
                        <m:sty m:val="bi"/>
                      </m:rPr>
                      <w:rPr>
                        <w:rFonts w:ascii="Cambria Math" w:hAnsi="Cambria Math"/>
                      </w:rPr>
                      <m:t>i</m:t>
                    </m:r>
                    <m:r>
                      <m:rPr>
                        <m:sty m:val="b"/>
                      </m:rPr>
                      <w:rPr>
                        <w:rFonts w:ascii="Cambria Math" w:hAnsi="Cambria Math"/>
                      </w:rPr>
                      <m:t xml:space="preserve"> </m:t>
                    </m:r>
                    <m:r>
                      <m:rPr>
                        <m:sty m:val="bi"/>
                      </m:rPr>
                      <w:rPr>
                        <w:rFonts w:ascii="Cambria Math" w:hAnsi="Cambria Math"/>
                      </w:rPr>
                      <m:t>formed</m:t>
                    </m:r>
                    <m:r>
                      <m:rPr>
                        <m:sty m:val="b"/>
                      </m:rPr>
                      <w:rPr>
                        <w:rFonts w:ascii="Cambria Math" w:hAnsi="Cambria Math"/>
                      </w:rPr>
                      <m:t xml:space="preserve"> [</m:t>
                    </m:r>
                    <m:r>
                      <m:rPr>
                        <m:sty m:val="bi"/>
                      </m:rPr>
                      <w:rPr>
                        <w:rFonts w:ascii="Cambria Math" w:hAnsi="Cambria Math"/>
                      </w:rPr>
                      <m:t>mol</m:t>
                    </m:r>
                    <m:r>
                      <m:rPr>
                        <m:sty m:val="b"/>
                      </m:rPr>
                      <w:rPr>
                        <w:rFonts w:ascii="Cambria Math" w:hAnsi="Cambria Math"/>
                      </w:rPr>
                      <m:t>]</m:t>
                    </m:r>
                  </m:num>
                  <m:den>
                    <m:f>
                      <m:fPr>
                        <m:ctrlPr>
                          <w:rPr>
                            <w:rFonts w:ascii="Cambria Math" w:hAnsi="Cambria Math"/>
                            <w:b w:val="0"/>
                            <w:bCs w:val="0"/>
                          </w:rPr>
                        </m:ctrlPr>
                      </m:fPr>
                      <m:num>
                        <m:r>
                          <m:rPr>
                            <m:sty m:val="bi"/>
                          </m:rPr>
                          <w:rPr>
                            <w:rFonts w:ascii="Cambria Math" w:hAnsi="Cambria Math"/>
                          </w:rPr>
                          <m:t>Q</m:t>
                        </m:r>
                        <m:r>
                          <m:rPr>
                            <m:sty m:val="b"/>
                          </m:rPr>
                          <w:rPr>
                            <w:rFonts w:ascii="Cambria Math" w:hAnsi="Cambria Math"/>
                          </w:rPr>
                          <m:t xml:space="preserve"> [</m:t>
                        </m:r>
                        <m:r>
                          <m:rPr>
                            <m:sty m:val="bi"/>
                          </m:rPr>
                          <w:rPr>
                            <w:rFonts w:ascii="Cambria Math" w:hAnsi="Cambria Math"/>
                          </w:rPr>
                          <m:t>Coulomb</m:t>
                        </m:r>
                        <m:r>
                          <m:rPr>
                            <m:sty m:val="b"/>
                          </m:rPr>
                          <w:rPr>
                            <w:rFonts w:ascii="Cambria Math" w:hAnsi="Cambria Math"/>
                          </w:rPr>
                          <m:t>]</m:t>
                        </m:r>
                      </m:num>
                      <m:den>
                        <m:r>
                          <m:rPr>
                            <m:sty m:val="bi"/>
                          </m:rPr>
                          <w:rPr>
                            <w:rFonts w:ascii="Cambria Math" w:hAnsi="Cambria Math"/>
                          </w:rPr>
                          <m:t>z</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 xml:space="preserve"> </m:t>
                        </m:r>
                        <m:d>
                          <m:dPr>
                            <m:begChr m:val="["/>
                            <m:endChr m:val="]"/>
                            <m:ctrlPr>
                              <w:rPr>
                                <w:rFonts w:ascii="Cambria Math" w:hAnsi="Cambria Math"/>
                                <w:b w:val="0"/>
                                <w:bCs w:val="0"/>
                              </w:rPr>
                            </m:ctrlPr>
                          </m:dPr>
                          <m:e>
                            <m:f>
                              <m:fPr>
                                <m:type m:val="skw"/>
                                <m:ctrlPr>
                                  <w:rPr>
                                    <w:rFonts w:ascii="Cambria Math" w:hAnsi="Cambria Math"/>
                                    <w:b w:val="0"/>
                                    <w:bCs w:val="0"/>
                                  </w:rPr>
                                </m:ctrlPr>
                              </m:fPr>
                              <m:num>
                                <m:r>
                                  <m:rPr>
                                    <m:sty m:val="bi"/>
                                  </m:rPr>
                                  <w:rPr>
                                    <w:rFonts w:ascii="Cambria Math" w:hAnsi="Cambria Math"/>
                                  </w:rPr>
                                  <m:t>Coulomb</m:t>
                                </m:r>
                              </m:num>
                              <m:den>
                                <m:r>
                                  <m:rPr>
                                    <m:sty m:val="bi"/>
                                  </m:rPr>
                                  <w:rPr>
                                    <w:rFonts w:ascii="Cambria Math" w:hAnsi="Cambria Math"/>
                                  </w:rPr>
                                  <m:t>mol</m:t>
                                </m:r>
                              </m:den>
                            </m:f>
                          </m:e>
                        </m:d>
                      </m:den>
                    </m:f>
                  </m:den>
                </m:f>
                <m:r>
                  <m:rPr>
                    <m:sty m:val="b"/>
                  </m:rPr>
                  <w:rPr>
                    <w:rFonts w:ascii="Cambria Math" w:hAnsi="Cambria Math"/>
                  </w:rPr>
                  <m:t xml:space="preserve"> </m:t>
                </m:r>
                <m:r>
                  <m:rPr>
                    <m:sty m:val="bi"/>
                  </m:rPr>
                  <w:rPr>
                    <w:rFonts w:ascii="Cambria Math" w:hAnsi="Cambria Math"/>
                  </w:rPr>
                  <m:t>x</m:t>
                </m:r>
                <m:r>
                  <m:rPr>
                    <m:sty m:val="b"/>
                  </m:rPr>
                  <w:rPr>
                    <w:rFonts w:ascii="Cambria Math" w:hAnsi="Cambria Math"/>
                  </w:rPr>
                  <m:t xml:space="preserve"> 100</m:t>
                </m:r>
              </m:oMath>
            </m:oMathPara>
          </w:p>
        </w:tc>
        <w:tc>
          <w:tcPr>
            <w:tcW w:w="2403" w:type="dxa"/>
            <w:vAlign w:val="center"/>
          </w:tcPr>
          <w:p w14:paraId="5B1AA697" w14:textId="7F34E001" w:rsidR="000B26DE" w:rsidRPr="009049BF" w:rsidRDefault="00224864" w:rsidP="008570ED">
            <w:pPr>
              <w:pStyle w:val="CETBodytext"/>
              <w:jc w:val="right"/>
              <w:cnfStyle w:val="100000000000" w:firstRow="1" w:lastRow="0" w:firstColumn="0" w:lastColumn="0" w:oddVBand="0" w:evenVBand="0" w:oddHBand="0" w:evenHBand="0" w:firstRowFirstColumn="0" w:firstRowLastColumn="0" w:lastRowFirstColumn="0" w:lastRowLastColumn="0"/>
              <w:rPr>
                <w:b w:val="0"/>
                <w:bCs w:val="0"/>
              </w:rPr>
            </w:pPr>
            <w:r w:rsidRPr="009049BF">
              <w:rPr>
                <w:b w:val="0"/>
                <w:bCs w:val="0"/>
              </w:rPr>
              <w:t>(1)</w:t>
            </w:r>
          </w:p>
        </w:tc>
      </w:tr>
    </w:tbl>
    <w:p w14:paraId="2CEEA846" w14:textId="2BC3437E" w:rsidR="006D4463" w:rsidRDefault="000D6E32" w:rsidP="006D4463">
      <w:pPr>
        <w:pStyle w:val="CETBodytext"/>
      </w:pPr>
      <w:r>
        <w:t>w</w:t>
      </w:r>
      <w:r w:rsidR="006D4463">
        <w:t xml:space="preserve">here: </w:t>
      </w:r>
    </w:p>
    <w:p w14:paraId="5ABA4EEF" w14:textId="28366F9D" w:rsidR="006D4463" w:rsidRDefault="006D4463" w:rsidP="006D4463">
      <w:pPr>
        <w:pStyle w:val="CETBodytext"/>
      </w:pPr>
      <w:r>
        <w:t>- i is the formed product</w:t>
      </w:r>
    </w:p>
    <w:p w14:paraId="387315C2" w14:textId="6CFCFC18" w:rsidR="006D4463" w:rsidRDefault="006D4463" w:rsidP="006D4463">
      <w:pPr>
        <w:pStyle w:val="CETBodytext"/>
      </w:pPr>
      <w:r>
        <w:t>- Q is the circulated charge</w:t>
      </w:r>
    </w:p>
    <w:p w14:paraId="32167710" w14:textId="0E932B82" w:rsidR="006D4463" w:rsidRDefault="006D4463" w:rsidP="006D4463">
      <w:pPr>
        <w:pStyle w:val="CETBodytext"/>
      </w:pPr>
      <w:r>
        <w:t>-</w:t>
      </w:r>
      <w:r w:rsidR="001F3FA4">
        <w:t xml:space="preserve"> </w:t>
      </w:r>
      <w:r>
        <w:t xml:space="preserve">z are the electrons exchanged, </w:t>
      </w:r>
      <w:r w:rsidR="00D32C0A">
        <w:t>equal to 2 for H</w:t>
      </w:r>
      <w:r w:rsidR="00D32C0A" w:rsidRPr="00D32C0A">
        <w:rPr>
          <w:vertAlign w:val="subscript"/>
        </w:rPr>
        <w:t>2</w:t>
      </w:r>
      <w:r w:rsidR="00D32C0A">
        <w:t>, DHA, and GA</w:t>
      </w:r>
      <w:r w:rsidR="003F0170">
        <w:t xml:space="preserve"> and 14/</w:t>
      </w:r>
      <w:r w:rsidR="003F0170" w:rsidRPr="00400C5B">
        <w:t>3 for CO</w:t>
      </w:r>
      <w:r w:rsidR="003F0170" w:rsidRPr="00400C5B">
        <w:rPr>
          <w:vertAlign w:val="subscript"/>
        </w:rPr>
        <w:t>2</w:t>
      </w:r>
      <w:r w:rsidR="00A415F8" w:rsidRPr="00400C5B">
        <w:t xml:space="preserve"> </w:t>
      </w:r>
      <w:r w:rsidR="0021215F" w:rsidRPr="00400C5B">
        <w:t>according to</w:t>
      </w:r>
      <w:r w:rsidR="00353118" w:rsidRPr="00400C5B">
        <w:t xml:space="preserve"> the</w:t>
      </w:r>
      <w:r w:rsidR="00EF455C" w:rsidRPr="00400C5B">
        <w:t xml:space="preserve"> anodic and cathodic</w:t>
      </w:r>
      <w:r w:rsidR="00353118" w:rsidRPr="00400C5B">
        <w:t xml:space="preserve"> </w:t>
      </w:r>
      <w:r w:rsidR="00B46101" w:rsidRPr="00400C5B">
        <w:t>semi-reactions</w:t>
      </w:r>
      <w:r w:rsidR="00B5591B" w:rsidRPr="00400C5B">
        <w:t xml:space="preserve"> in</w:t>
      </w:r>
      <w:r w:rsidR="0021215F" w:rsidRPr="00400C5B">
        <w:t xml:space="preserve"> Eq</w:t>
      </w:r>
      <w:r w:rsidR="00B5591B" w:rsidRPr="00400C5B">
        <w:t>s</w:t>
      </w:r>
      <w:r w:rsidR="00F55C5C" w:rsidRPr="00400C5B">
        <w:t xml:space="preserve">. </w:t>
      </w:r>
      <w:r w:rsidR="0021215F" w:rsidRPr="00400C5B">
        <w:t>(2</w:t>
      </w:r>
      <w:r w:rsidR="00B5591B" w:rsidRPr="00400C5B">
        <w:t>-4</w:t>
      </w:r>
      <w:r w:rsidR="0021215F" w:rsidRPr="00400C5B">
        <w:t>)</w:t>
      </w:r>
    </w:p>
    <w:p w14:paraId="789B032D" w14:textId="28A2BC6E" w:rsidR="006D4463" w:rsidRDefault="006D4463" w:rsidP="006D4463">
      <w:pPr>
        <w:pStyle w:val="CETBodytext"/>
      </w:pPr>
      <w:r>
        <w:t>-</w:t>
      </w:r>
      <w:r w:rsidR="001F3FA4">
        <w:t xml:space="preserve"> </w:t>
      </w:r>
      <w:r>
        <w:t>F is the Faraday constant of 96485 [Coul</w:t>
      </w:r>
      <w:r w:rsidR="00B34A41">
        <w:t>o</w:t>
      </w:r>
      <w:r>
        <w:t>mb/mol]</w:t>
      </w:r>
    </w:p>
    <w:p w14:paraId="0229DACA" w14:textId="77777777" w:rsidR="007733AE" w:rsidRDefault="007733AE" w:rsidP="00453E24">
      <w:pPr>
        <w:pStyle w:val="CETBodytext"/>
      </w:pPr>
    </w:p>
    <w:tbl>
      <w:tblPr>
        <w:tblStyle w:val="Tabellasemplice4"/>
        <w:tblW w:w="0" w:type="auto"/>
        <w:tblLook w:val="04A0" w:firstRow="1" w:lastRow="0" w:firstColumn="1" w:lastColumn="0" w:noHBand="0" w:noVBand="1"/>
      </w:tblPr>
      <w:tblGrid>
        <w:gridCol w:w="6374"/>
        <w:gridCol w:w="2403"/>
      </w:tblGrid>
      <w:tr w:rsidR="00F71167" w:rsidRPr="00A5701A" w14:paraId="2261F2AF" w14:textId="77777777" w:rsidTr="00EF6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F36F00B" w14:textId="56DF7224" w:rsidR="00F71167" w:rsidRPr="006E48E1" w:rsidRDefault="006E48E1" w:rsidP="00EF61E6">
            <w:pPr>
              <w:pStyle w:val="CETBodytext"/>
              <w:rPr>
                <w:b w:val="0"/>
                <w:bCs w:val="0"/>
              </w:rPr>
            </w:pPr>
            <m:oMathPara>
              <m:oMathParaPr>
                <m:jc m:val="left"/>
              </m:oMathParaPr>
              <m:oMath>
                <m:r>
                  <m:rPr>
                    <m:sty m:val="bi"/>
                  </m:rPr>
                  <w:rPr>
                    <w:rFonts w:ascii="Cambria Math" w:hAnsi="Cambria Math"/>
                  </w:rPr>
                  <m:t xml:space="preserve">Photoanode: </m:t>
                </m:r>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3</m:t>
                    </m:r>
                  </m:sub>
                </m:sSub>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8</m:t>
                    </m:r>
                  </m:sub>
                </m:sSub>
                <m:sSub>
                  <m:sSubPr>
                    <m:ctrlPr>
                      <w:rPr>
                        <w:rFonts w:ascii="Cambria Math" w:hAnsi="Cambria Math"/>
                        <w:b w:val="0"/>
                        <w:bCs w:val="0"/>
                        <w:i/>
                      </w:rPr>
                    </m:ctrlPr>
                  </m:sSubPr>
                  <m:e>
                    <m:r>
                      <m:rPr>
                        <m:sty m:val="bi"/>
                      </m:rPr>
                      <w:rPr>
                        <w:rFonts w:ascii="Cambria Math" w:hAnsi="Cambria Math"/>
                      </w:rPr>
                      <m:t>O</m:t>
                    </m:r>
                  </m:e>
                  <m:sub>
                    <m:r>
                      <m:rPr>
                        <m:sty m:val="bi"/>
                      </m:rPr>
                      <w:rPr>
                        <w:rFonts w:ascii="Cambria Math" w:hAnsi="Cambria Math"/>
                      </w:rPr>
                      <m:t>3</m:t>
                    </m:r>
                  </m:sub>
                </m:sSub>
                <m:r>
                  <m:rPr>
                    <m:sty m:val="bi"/>
                  </m:rPr>
                  <w:rPr>
                    <w:rFonts w:ascii="Cambria Math" w:hAnsi="Cambria Math"/>
                  </w:rPr>
                  <m:t>+2</m:t>
                </m:r>
                <m:sSup>
                  <m:sSupPr>
                    <m:ctrlPr>
                      <w:rPr>
                        <w:rFonts w:ascii="Cambria Math" w:hAnsi="Cambria Math"/>
                        <w:b w:val="0"/>
                        <w:bCs w:val="0"/>
                        <w:i/>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 xml:space="preserve"> → </m:t>
                </m:r>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3</m:t>
                    </m:r>
                  </m:sub>
                </m:sSub>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6</m:t>
                    </m:r>
                  </m:sub>
                </m:sSub>
                <m:sSub>
                  <m:sSubPr>
                    <m:ctrlPr>
                      <w:rPr>
                        <w:rFonts w:ascii="Cambria Math" w:hAnsi="Cambria Math"/>
                        <w:b w:val="0"/>
                        <w:bCs w:val="0"/>
                        <w:i/>
                      </w:rPr>
                    </m:ctrlPr>
                  </m:sSubPr>
                  <m:e>
                    <m:r>
                      <m:rPr>
                        <m:sty m:val="bi"/>
                      </m:rPr>
                      <w:rPr>
                        <w:rFonts w:ascii="Cambria Math" w:hAnsi="Cambria Math"/>
                      </w:rPr>
                      <m:t>O</m:t>
                    </m:r>
                  </m:e>
                  <m:sub>
                    <m:r>
                      <m:rPr>
                        <m:sty m:val="bi"/>
                      </m:rPr>
                      <w:rPr>
                        <w:rFonts w:ascii="Cambria Math" w:hAnsi="Cambria Math"/>
                      </w:rPr>
                      <m:t>3</m:t>
                    </m:r>
                  </m:sub>
                </m:sSub>
                <m:r>
                  <m:rPr>
                    <m:sty m:val="bi"/>
                  </m:rPr>
                  <w:rPr>
                    <w:rFonts w:ascii="Cambria Math" w:hAnsi="Cambria Math"/>
                  </w:rPr>
                  <m:t>+2</m:t>
                </m:r>
                <m:sSup>
                  <m:sSupPr>
                    <m:ctrlPr>
                      <w:rPr>
                        <w:rFonts w:ascii="Cambria Math" w:hAnsi="Cambria Math"/>
                        <w:b w:val="0"/>
                        <w:bCs w:val="0"/>
                        <w:i/>
                      </w:rPr>
                    </m:ctrlPr>
                  </m:sSupPr>
                  <m:e>
                    <m:r>
                      <m:rPr>
                        <m:sty m:val="bi"/>
                      </m:rPr>
                      <w:rPr>
                        <w:rFonts w:ascii="Cambria Math" w:hAnsi="Cambria Math"/>
                      </w:rPr>
                      <m:t>H</m:t>
                    </m:r>
                  </m:e>
                  <m:sup>
                    <m:r>
                      <m:rPr>
                        <m:sty m:val="bi"/>
                      </m:rPr>
                      <w:rPr>
                        <w:rFonts w:ascii="Cambria Math" w:hAnsi="Cambria Math"/>
                      </w:rPr>
                      <m:t>+</m:t>
                    </m:r>
                  </m:sup>
                </m:sSup>
              </m:oMath>
            </m:oMathPara>
          </w:p>
        </w:tc>
        <w:tc>
          <w:tcPr>
            <w:tcW w:w="2403" w:type="dxa"/>
            <w:vAlign w:val="center"/>
          </w:tcPr>
          <w:p w14:paraId="49A38CEB" w14:textId="1C36DC4B" w:rsidR="00F71167" w:rsidRPr="00AF4C85" w:rsidRDefault="00F71167" w:rsidP="00EF61E6">
            <w:pPr>
              <w:pStyle w:val="CETBodytext"/>
              <w:jc w:val="right"/>
              <w:cnfStyle w:val="100000000000" w:firstRow="1" w:lastRow="0" w:firstColumn="0" w:lastColumn="0" w:oddVBand="0" w:evenVBand="0" w:oddHBand="0" w:evenHBand="0" w:firstRowFirstColumn="0" w:firstRowLastColumn="0" w:lastRowFirstColumn="0" w:lastRowLastColumn="0"/>
              <w:rPr>
                <w:b w:val="0"/>
                <w:bCs w:val="0"/>
              </w:rPr>
            </w:pPr>
            <w:r w:rsidRPr="00AF4C85">
              <w:rPr>
                <w:b w:val="0"/>
                <w:bCs w:val="0"/>
              </w:rPr>
              <w:t>(2)</w:t>
            </w:r>
          </w:p>
        </w:tc>
      </w:tr>
      <w:tr w:rsidR="00B46101" w:rsidRPr="00A5701A" w14:paraId="3B4FDD0F" w14:textId="77777777" w:rsidTr="00EF6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4EB9009" w14:textId="6B185D56" w:rsidR="00B46101" w:rsidRPr="006E48E1" w:rsidRDefault="00000000" w:rsidP="00EF61E6">
            <w:pPr>
              <w:pStyle w:val="CETBodytext"/>
              <w:rPr>
                <w:b w:val="0"/>
                <w:bCs w:val="0"/>
              </w:rPr>
            </w:pPr>
            <m:oMathPara>
              <m:oMathParaPr>
                <m:jc m:val="left"/>
              </m:oMathParaPr>
              <m:oMath>
                <m:sSub>
                  <m:sSubPr>
                    <m:ctrlPr>
                      <w:rPr>
                        <w:rFonts w:ascii="Cambria Math" w:hAnsi="Cambria Math"/>
                        <w:b w:val="0"/>
                        <w:bCs w:val="0"/>
                        <w:i/>
                      </w:rPr>
                    </m:ctrlPr>
                  </m:sSubPr>
                  <m:e>
                    <m:r>
                      <m:rPr>
                        <m:sty m:val="bi"/>
                      </m:rPr>
                      <w:rPr>
                        <w:rFonts w:ascii="Cambria Math" w:hAnsi="Cambria Math"/>
                      </w:rPr>
                      <m:t>Photoanode: C</m:t>
                    </m:r>
                  </m:e>
                  <m:sub>
                    <m:r>
                      <m:rPr>
                        <m:sty m:val="bi"/>
                      </m:rPr>
                      <w:rPr>
                        <w:rFonts w:ascii="Cambria Math" w:hAnsi="Cambria Math"/>
                      </w:rPr>
                      <m:t>3</m:t>
                    </m:r>
                  </m:sub>
                </m:sSub>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8</m:t>
                    </m:r>
                  </m:sub>
                </m:sSub>
                <m:sSub>
                  <m:sSubPr>
                    <m:ctrlPr>
                      <w:rPr>
                        <w:rFonts w:ascii="Cambria Math" w:hAnsi="Cambria Math"/>
                        <w:b w:val="0"/>
                        <w:bCs w:val="0"/>
                        <w:i/>
                      </w:rPr>
                    </m:ctrlPr>
                  </m:sSubPr>
                  <m:e>
                    <m:r>
                      <m:rPr>
                        <m:sty m:val="bi"/>
                      </m:rPr>
                      <w:rPr>
                        <w:rFonts w:ascii="Cambria Math" w:hAnsi="Cambria Math"/>
                      </w:rPr>
                      <m:t>O</m:t>
                    </m:r>
                  </m:e>
                  <m:sub>
                    <m:r>
                      <m:rPr>
                        <m:sty m:val="bi"/>
                      </m:rPr>
                      <w:rPr>
                        <w:rFonts w:ascii="Cambria Math" w:hAnsi="Cambria Math"/>
                      </w:rPr>
                      <m:t>3</m:t>
                    </m:r>
                  </m:sub>
                </m:sSub>
                <m:r>
                  <m:rPr>
                    <m:sty m:val="bi"/>
                  </m:rPr>
                  <w:rPr>
                    <w:rFonts w:ascii="Cambria Math" w:hAnsi="Cambria Math"/>
                  </w:rPr>
                  <m:t>+3</m:t>
                </m:r>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2</m:t>
                    </m:r>
                  </m:sub>
                </m:sSub>
                <m:r>
                  <m:rPr>
                    <m:sty m:val="bi"/>
                  </m:rPr>
                  <w:rPr>
                    <w:rFonts w:ascii="Cambria Math" w:hAnsi="Cambria Math"/>
                  </w:rPr>
                  <m:t>O + 14</m:t>
                </m:r>
                <m:sSup>
                  <m:sSupPr>
                    <m:ctrlPr>
                      <w:rPr>
                        <w:rFonts w:ascii="Cambria Math" w:hAnsi="Cambria Math"/>
                        <w:b w:val="0"/>
                        <w:bCs w:val="0"/>
                        <w:i/>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 xml:space="preserve"> → 3C</m:t>
                </m:r>
                <m:sSub>
                  <m:sSubPr>
                    <m:ctrlPr>
                      <w:rPr>
                        <w:rFonts w:ascii="Cambria Math" w:hAnsi="Cambria Math"/>
                        <w:b w:val="0"/>
                        <w:bCs w:val="0"/>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+14</m:t>
                </m:r>
                <m:sSup>
                  <m:sSupPr>
                    <m:ctrlPr>
                      <w:rPr>
                        <w:rFonts w:ascii="Cambria Math" w:hAnsi="Cambria Math"/>
                        <w:b w:val="0"/>
                        <w:bCs w:val="0"/>
                        <w:i/>
                      </w:rPr>
                    </m:ctrlPr>
                  </m:sSupPr>
                  <m:e>
                    <m:r>
                      <m:rPr>
                        <m:sty m:val="bi"/>
                      </m:rPr>
                      <w:rPr>
                        <w:rFonts w:ascii="Cambria Math" w:hAnsi="Cambria Math"/>
                      </w:rPr>
                      <m:t>H</m:t>
                    </m:r>
                  </m:e>
                  <m:sup>
                    <m:r>
                      <m:rPr>
                        <m:sty m:val="bi"/>
                      </m:rPr>
                      <w:rPr>
                        <w:rFonts w:ascii="Cambria Math" w:hAnsi="Cambria Math"/>
                      </w:rPr>
                      <m:t>+</m:t>
                    </m:r>
                  </m:sup>
                </m:sSup>
              </m:oMath>
            </m:oMathPara>
          </w:p>
        </w:tc>
        <w:tc>
          <w:tcPr>
            <w:tcW w:w="2403" w:type="dxa"/>
            <w:vAlign w:val="center"/>
          </w:tcPr>
          <w:p w14:paraId="5C015CBE" w14:textId="18164355" w:rsidR="00B46101" w:rsidRPr="00AF4C85" w:rsidRDefault="00B46101" w:rsidP="00EF61E6">
            <w:pPr>
              <w:pStyle w:val="CETBodytext"/>
              <w:jc w:val="right"/>
              <w:cnfStyle w:val="000000100000" w:firstRow="0" w:lastRow="0" w:firstColumn="0" w:lastColumn="0" w:oddVBand="0" w:evenVBand="0" w:oddHBand="1" w:evenHBand="0" w:firstRowFirstColumn="0" w:firstRowLastColumn="0" w:lastRowFirstColumn="0" w:lastRowLastColumn="0"/>
              <w:rPr>
                <w:b/>
                <w:bCs/>
              </w:rPr>
            </w:pPr>
            <w:r w:rsidRPr="00AF4C85">
              <w:t>(3)</w:t>
            </w:r>
          </w:p>
        </w:tc>
      </w:tr>
      <w:tr w:rsidR="009B5053" w:rsidRPr="009049BF" w14:paraId="22E4C549" w14:textId="77777777" w:rsidTr="00EF61E6">
        <w:tc>
          <w:tcPr>
            <w:cnfStyle w:val="001000000000" w:firstRow="0" w:lastRow="0" w:firstColumn="1" w:lastColumn="0" w:oddVBand="0" w:evenVBand="0" w:oddHBand="0" w:evenHBand="0" w:firstRowFirstColumn="0" w:firstRowLastColumn="0" w:lastRowFirstColumn="0" w:lastRowLastColumn="0"/>
            <w:tcW w:w="6374" w:type="dxa"/>
          </w:tcPr>
          <w:p w14:paraId="508F2800" w14:textId="5099509C" w:rsidR="009B5053" w:rsidRPr="006E48E1" w:rsidRDefault="006E48E1" w:rsidP="00EF61E6">
            <w:pPr>
              <w:pStyle w:val="CETBodytext"/>
              <w:rPr>
                <w:b w:val="0"/>
                <w:bCs w:val="0"/>
              </w:rPr>
            </w:pPr>
            <m:oMathPara>
              <m:oMathParaPr>
                <m:jc m:val="left"/>
              </m:oMathParaPr>
              <m:oMath>
                <m:r>
                  <m:rPr>
                    <m:sty m:val="bi"/>
                  </m:rPr>
                  <w:rPr>
                    <w:rFonts w:ascii="Cambria Math" w:hAnsi="Cambria Math"/>
                  </w:rPr>
                  <m:t>Cathode: 2</m:t>
                </m:r>
                <m:sSup>
                  <m:sSupPr>
                    <m:ctrlPr>
                      <w:rPr>
                        <w:rFonts w:ascii="Cambria Math" w:hAnsi="Cambria Math"/>
                        <w:b w:val="0"/>
                        <w:bCs w:val="0"/>
                        <w:i/>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 xml:space="preserve"> + 2</m:t>
                </m:r>
                <m:sSup>
                  <m:sSupPr>
                    <m:ctrlPr>
                      <w:rPr>
                        <w:rFonts w:ascii="Cambria Math" w:hAnsi="Cambria Math"/>
                        <w:b w:val="0"/>
                        <w:bCs w:val="0"/>
                        <w:i/>
                      </w:rPr>
                    </m:ctrlPr>
                  </m:sSupPr>
                  <m:e>
                    <m:r>
                      <m:rPr>
                        <m:sty m:val="bi"/>
                      </m:rPr>
                      <w:rPr>
                        <w:rFonts w:ascii="Cambria Math" w:hAnsi="Cambria Math"/>
                      </w:rPr>
                      <m:t>e</m:t>
                    </m:r>
                  </m:e>
                  <m:sup>
                    <m:r>
                      <m:rPr>
                        <m:sty m:val="bi"/>
                      </m:rPr>
                      <w:rPr>
                        <w:rFonts w:ascii="Cambria Math" w:hAnsi="Cambria Math"/>
                      </w:rPr>
                      <m:t>-</m:t>
                    </m:r>
                  </m:sup>
                </m:sSup>
                <m:r>
                  <m:rPr>
                    <m:sty m:val="bi"/>
                  </m:rPr>
                  <w:rPr>
                    <w:rFonts w:ascii="Cambria Math" w:hAnsi="Cambria Math"/>
                  </w:rPr>
                  <m:t xml:space="preserve"> → </m:t>
                </m:r>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2</m:t>
                    </m:r>
                  </m:sub>
                </m:sSub>
              </m:oMath>
            </m:oMathPara>
          </w:p>
        </w:tc>
        <w:tc>
          <w:tcPr>
            <w:tcW w:w="2403" w:type="dxa"/>
            <w:vAlign w:val="center"/>
          </w:tcPr>
          <w:p w14:paraId="1EFE753F" w14:textId="354E1DD1" w:rsidR="009B5053" w:rsidRPr="009049BF" w:rsidRDefault="009B5053" w:rsidP="00EF61E6">
            <w:pPr>
              <w:pStyle w:val="CETBodytext"/>
              <w:jc w:val="right"/>
              <w:cnfStyle w:val="000000000000" w:firstRow="0" w:lastRow="0" w:firstColumn="0" w:lastColumn="0" w:oddVBand="0" w:evenVBand="0" w:oddHBand="0" w:evenHBand="0" w:firstRowFirstColumn="0" w:firstRowLastColumn="0" w:lastRowFirstColumn="0" w:lastRowLastColumn="0"/>
              <w:rPr>
                <w:b/>
                <w:bCs/>
              </w:rPr>
            </w:pPr>
            <w:r w:rsidRPr="00AF4C85">
              <w:t>(4)</w:t>
            </w:r>
          </w:p>
        </w:tc>
      </w:tr>
    </w:tbl>
    <w:p w14:paraId="0461BA94" w14:textId="1DE56DC1" w:rsidR="000D6E32" w:rsidRDefault="000D6E32" w:rsidP="00453E24">
      <w:pPr>
        <w:pStyle w:val="CETBodytext"/>
      </w:pPr>
      <w:r>
        <w:t>w</w:t>
      </w:r>
      <w:r w:rsidRPr="000D6E32">
        <w:t>here</w:t>
      </w:r>
      <w:r>
        <w:t xml:space="preserve"> C</w:t>
      </w:r>
      <w:r w:rsidRPr="0027744D">
        <w:rPr>
          <w:vertAlign w:val="subscript"/>
        </w:rPr>
        <w:t>3</w:t>
      </w:r>
      <w:r>
        <w:t>H</w:t>
      </w:r>
      <w:r w:rsidR="001C2707" w:rsidRPr="0027744D">
        <w:rPr>
          <w:vertAlign w:val="subscript"/>
        </w:rPr>
        <w:t>6</w:t>
      </w:r>
      <w:r w:rsidR="001C2707">
        <w:t>O</w:t>
      </w:r>
      <w:r w:rsidR="001C2707" w:rsidRPr="0027744D">
        <w:rPr>
          <w:vertAlign w:val="subscript"/>
        </w:rPr>
        <w:t>3</w:t>
      </w:r>
      <w:r w:rsidR="001C2707">
        <w:t xml:space="preserve"> </w:t>
      </w:r>
      <w:r w:rsidR="0027744D">
        <w:t>is</w:t>
      </w:r>
      <w:r w:rsidR="001C2707">
        <w:t xml:space="preserve"> DHA or GA</w:t>
      </w:r>
      <w:r w:rsidR="00953C68">
        <w:t>.</w:t>
      </w:r>
    </w:p>
    <w:p w14:paraId="677EBFF0" w14:textId="7BFAB9B6" w:rsidR="00600535" w:rsidRPr="00B57B36" w:rsidRDefault="00D32C0A" w:rsidP="00600535">
      <w:pPr>
        <w:pStyle w:val="CETHeading1"/>
        <w:tabs>
          <w:tab w:val="clear" w:pos="360"/>
          <w:tab w:val="right" w:pos="7100"/>
        </w:tabs>
        <w:jc w:val="both"/>
        <w:rPr>
          <w:lang w:val="en-GB"/>
        </w:rPr>
      </w:pPr>
      <w:r>
        <w:rPr>
          <w:lang w:val="en-GB"/>
        </w:rPr>
        <w:t>Results and discussion</w:t>
      </w:r>
    </w:p>
    <w:p w14:paraId="43267F77" w14:textId="47CE6F37" w:rsidR="00A4325C" w:rsidRDefault="00100B91" w:rsidP="00A4325C">
      <w:pPr>
        <w:pStyle w:val="CETBodytext"/>
        <w:rPr>
          <w:color w:val="000000"/>
        </w:rPr>
      </w:pPr>
      <w:r w:rsidRPr="000F42B6">
        <w:t>Figure 2a sho</w:t>
      </w:r>
      <w:r w:rsidR="00EF61C2" w:rsidRPr="000F42B6">
        <w:t>ws</w:t>
      </w:r>
      <w:r w:rsidRPr="00100B91">
        <w:t xml:space="preserve"> the SEM </w:t>
      </w:r>
      <w:r w:rsidR="00E73E31">
        <w:t>image</w:t>
      </w:r>
      <w:r w:rsidRPr="00100B91">
        <w:t xml:space="preserve"> </w:t>
      </w:r>
      <w:r w:rsidR="00EF61C2">
        <w:t>of</w:t>
      </w:r>
      <w:r w:rsidRPr="00100B91">
        <w:t xml:space="preserve"> TiO</w:t>
      </w:r>
      <w:r w:rsidRPr="00EF61C2">
        <w:rPr>
          <w:vertAlign w:val="subscript"/>
        </w:rPr>
        <w:t>2</w:t>
      </w:r>
      <w:r w:rsidRPr="00100B91">
        <w:t xml:space="preserve"> NTs </w:t>
      </w:r>
      <w:r w:rsidR="00EF61C2" w:rsidRPr="000F42B6">
        <w:t>after</w:t>
      </w:r>
      <w:r w:rsidRPr="000F42B6">
        <w:t xml:space="preserve"> </w:t>
      </w:r>
      <w:r w:rsidR="00F20152" w:rsidRPr="000F42B6">
        <w:t xml:space="preserve">the </w:t>
      </w:r>
      <w:r w:rsidRPr="000F42B6">
        <w:t xml:space="preserve">anodization and </w:t>
      </w:r>
      <w:r w:rsidR="00EF61C2" w:rsidRPr="000F42B6">
        <w:t>annealing steps</w:t>
      </w:r>
      <w:r w:rsidRPr="000F42B6">
        <w:t xml:space="preserve">. The micrograph distinctly </w:t>
      </w:r>
      <w:r w:rsidR="00F20152" w:rsidRPr="00953C68">
        <w:t>exhibits</w:t>
      </w:r>
      <w:r w:rsidRPr="00953C68">
        <w:t xml:space="preserve"> the successful </w:t>
      </w:r>
      <w:r w:rsidR="00B4074E" w:rsidRPr="00953C68">
        <w:t>growth</w:t>
      </w:r>
      <w:r w:rsidRPr="00953C68">
        <w:t xml:space="preserve"> of a </w:t>
      </w:r>
      <w:r w:rsidR="00B4074E" w:rsidRPr="00953C68">
        <w:t>large</w:t>
      </w:r>
      <w:r w:rsidRPr="00953C68">
        <w:t xml:space="preserve"> array of TiO</w:t>
      </w:r>
      <w:r w:rsidRPr="00953C68">
        <w:rPr>
          <w:vertAlign w:val="subscript"/>
        </w:rPr>
        <w:t>2</w:t>
      </w:r>
      <w:r w:rsidRPr="00953C68">
        <w:t xml:space="preserve"> NTs, </w:t>
      </w:r>
      <w:r w:rsidR="004F45BA" w:rsidRPr="00953C68">
        <w:t xml:space="preserve">showing </w:t>
      </w:r>
      <w:r w:rsidRPr="00953C68">
        <w:t xml:space="preserve">an average length </w:t>
      </w:r>
      <w:r w:rsidR="00F20152" w:rsidRPr="00953C68">
        <w:t>of</w:t>
      </w:r>
      <w:r w:rsidR="00B179CF" w:rsidRPr="00953C68">
        <w:t xml:space="preserve"> 760 nm</w:t>
      </w:r>
      <w:r w:rsidRPr="00953C68">
        <w:t xml:space="preserve"> approximately</w:t>
      </w:r>
      <w:r w:rsidR="006514D2" w:rsidRPr="00953C68">
        <w:t xml:space="preserve">, </w:t>
      </w:r>
      <w:r w:rsidR="007465AB" w:rsidRPr="00953C68">
        <w:t>in line with previous results</w:t>
      </w:r>
      <w:r w:rsidR="004A6B1C" w:rsidRPr="00953C68">
        <w:t xml:space="preserve"> (Santamaria et al., 2017)</w:t>
      </w:r>
      <w:r w:rsidRPr="00953C68">
        <w:t>.</w:t>
      </w:r>
      <w:r w:rsidR="00A4325C" w:rsidRPr="00953C68">
        <w:t xml:space="preserve"> The</w:t>
      </w:r>
      <w:r w:rsidR="00A4325C">
        <w:t xml:space="preserve"> </w:t>
      </w:r>
      <w:r w:rsidR="00A4325C" w:rsidRPr="000F42B6">
        <w:t xml:space="preserve">XRD pattern presented in Figure 2b </w:t>
      </w:r>
      <w:r w:rsidR="004F45BA" w:rsidRPr="000F42B6">
        <w:t>shows</w:t>
      </w:r>
      <w:r w:rsidR="00A4325C" w:rsidRPr="000F42B6">
        <w:t xml:space="preserve"> distinct peaks</w:t>
      </w:r>
      <w:r w:rsidR="00A4325C">
        <w:t xml:space="preserve"> corresponding to bare titanium</w:t>
      </w:r>
      <w:r w:rsidR="004A6B1C">
        <w:t xml:space="preserve"> </w:t>
      </w:r>
      <w:r w:rsidR="004A6B1C" w:rsidRPr="004A6B1C">
        <w:t>(Reyes-Coronado et al., 2008)</w:t>
      </w:r>
      <w:r w:rsidR="00AB1610">
        <w:t xml:space="preserve">, </w:t>
      </w:r>
      <w:r w:rsidR="00A17C16">
        <w:t>whereas</w:t>
      </w:r>
      <w:r w:rsidR="00AB1610">
        <w:t xml:space="preserve"> t</w:t>
      </w:r>
      <w:r w:rsidR="00AC3EB3" w:rsidRPr="00AC3EB3">
        <w:t xml:space="preserve">he Raman spectra depicted in </w:t>
      </w:r>
      <w:r w:rsidR="00AC3EB3" w:rsidRPr="000F42B6">
        <w:t>Figure 2c exhibit</w:t>
      </w:r>
      <w:r w:rsidR="00AB1610" w:rsidRPr="000F42B6">
        <w:t>s</w:t>
      </w:r>
      <w:r w:rsidR="00AC3EB3" w:rsidRPr="00AC3EB3">
        <w:t xml:space="preserve"> distinctive peaks corresponding to </w:t>
      </w:r>
      <w:r w:rsidR="00AC3EB3" w:rsidRPr="000F42B6">
        <w:t>anatase at 144 cm</w:t>
      </w:r>
      <w:r w:rsidR="00AC3EB3" w:rsidRPr="000F42B6">
        <w:rPr>
          <w:vertAlign w:val="superscript"/>
        </w:rPr>
        <w:t>−1</w:t>
      </w:r>
      <w:r w:rsidR="00AC3EB3" w:rsidRPr="000F42B6">
        <w:t>, 196 cm</w:t>
      </w:r>
      <w:r w:rsidR="00AC3EB3" w:rsidRPr="000F42B6">
        <w:rPr>
          <w:vertAlign w:val="superscript"/>
        </w:rPr>
        <w:t>−1</w:t>
      </w:r>
      <w:r w:rsidR="00AC3EB3" w:rsidRPr="000F42B6">
        <w:t>, 397 cm</w:t>
      </w:r>
      <w:r w:rsidR="00AC3EB3" w:rsidRPr="000F42B6">
        <w:rPr>
          <w:vertAlign w:val="superscript"/>
        </w:rPr>
        <w:t>−1</w:t>
      </w:r>
      <w:r w:rsidR="00AC3EB3" w:rsidRPr="000F42B6">
        <w:t>, 513 cm</w:t>
      </w:r>
      <w:r w:rsidR="00AC3EB3" w:rsidRPr="000F42B6">
        <w:rPr>
          <w:vertAlign w:val="superscript"/>
        </w:rPr>
        <w:t>−1</w:t>
      </w:r>
      <w:r w:rsidR="00AC3EB3" w:rsidRPr="000F42B6">
        <w:t>, and 639 cm</w:t>
      </w:r>
      <w:r w:rsidR="00AC3EB3" w:rsidRPr="000F42B6">
        <w:rPr>
          <w:vertAlign w:val="superscript"/>
        </w:rPr>
        <w:t>−1</w:t>
      </w:r>
      <w:r w:rsidR="00AC3EB3" w:rsidRPr="000F42B6">
        <w:t xml:space="preserve"> </w:t>
      </w:r>
      <w:r w:rsidR="004A6B1C" w:rsidRPr="004A6B1C">
        <w:t>(</w:t>
      </w:r>
      <w:r w:rsidR="004A6B1C" w:rsidRPr="00527BC1">
        <w:t>Balachandran</w:t>
      </w:r>
      <w:r w:rsidR="00CF5B62" w:rsidRPr="00527BC1">
        <w:t xml:space="preserve"> et al.</w:t>
      </w:r>
      <w:r w:rsidR="004A6B1C" w:rsidRPr="00527BC1">
        <w:t xml:space="preserve"> </w:t>
      </w:r>
      <w:r w:rsidR="004A6B1C" w:rsidRPr="004A6B1C">
        <w:t>1982</w:t>
      </w:r>
      <w:r w:rsidR="004A6B1C" w:rsidRPr="00527BC1">
        <w:t>)</w:t>
      </w:r>
      <w:r w:rsidR="00FC77EE" w:rsidRPr="00527BC1">
        <w:t>.</w:t>
      </w:r>
      <w:r w:rsidR="008252DE" w:rsidRPr="00527BC1">
        <w:rPr>
          <w:color w:val="000000"/>
        </w:rPr>
        <w:t xml:space="preserve"> According to previous </w:t>
      </w:r>
      <w:r w:rsidR="00EC005E" w:rsidRPr="00527BC1">
        <w:rPr>
          <w:color w:val="000000"/>
        </w:rPr>
        <w:t>findings</w:t>
      </w:r>
      <w:r w:rsidR="008252DE" w:rsidRPr="00527BC1">
        <w:rPr>
          <w:color w:val="000000"/>
        </w:rPr>
        <w:t xml:space="preserve">, </w:t>
      </w:r>
      <w:r w:rsidR="00804E96" w:rsidRPr="00527BC1">
        <w:rPr>
          <w:color w:val="000000"/>
        </w:rPr>
        <w:t>the annealing process</w:t>
      </w:r>
      <w:r w:rsidR="00EC005E" w:rsidRPr="00527BC1">
        <w:rPr>
          <w:color w:val="000000"/>
        </w:rPr>
        <w:t xml:space="preserve"> involves</w:t>
      </w:r>
      <w:r w:rsidR="00804E96" w:rsidRPr="00527BC1">
        <w:rPr>
          <w:color w:val="000000"/>
        </w:rPr>
        <w:t xml:space="preserve"> two concurrent phenomena. Firstly, the amorphous TiO</w:t>
      </w:r>
      <w:r w:rsidR="00804E96" w:rsidRPr="00527BC1">
        <w:rPr>
          <w:color w:val="000000"/>
          <w:vertAlign w:val="subscript"/>
        </w:rPr>
        <w:t>2</w:t>
      </w:r>
      <w:r w:rsidR="00804E96" w:rsidRPr="00527BC1">
        <w:rPr>
          <w:color w:val="000000"/>
        </w:rPr>
        <w:t xml:space="preserve"> within the nanotubes transforms into anatase, while </w:t>
      </w:r>
      <w:r w:rsidR="002C59BF" w:rsidRPr="00527BC1">
        <w:rPr>
          <w:color w:val="000000"/>
        </w:rPr>
        <w:t xml:space="preserve">the </w:t>
      </w:r>
      <w:r w:rsidR="006874BF" w:rsidRPr="00527BC1">
        <w:rPr>
          <w:color w:val="000000"/>
        </w:rPr>
        <w:t>underlying</w:t>
      </w:r>
      <w:r w:rsidR="002C59BF" w:rsidRPr="00527BC1">
        <w:rPr>
          <w:color w:val="000000"/>
        </w:rPr>
        <w:t xml:space="preserve"> layer</w:t>
      </w:r>
      <w:r w:rsidR="00804E96" w:rsidRPr="00527BC1">
        <w:rPr>
          <w:color w:val="000000"/>
        </w:rPr>
        <w:t xml:space="preserve"> at the interface between titanium and the nanotubes</w:t>
      </w:r>
      <w:r w:rsidR="00036D3A" w:rsidRPr="00527BC1">
        <w:rPr>
          <w:color w:val="000000"/>
        </w:rPr>
        <w:t xml:space="preserve"> to</w:t>
      </w:r>
      <w:r w:rsidR="00804E96" w:rsidRPr="00527BC1">
        <w:rPr>
          <w:color w:val="000000"/>
        </w:rPr>
        <w:t xml:space="preserve"> rutile. This </w:t>
      </w:r>
      <w:r w:rsidR="006874BF" w:rsidRPr="00527BC1">
        <w:rPr>
          <w:color w:val="000000"/>
        </w:rPr>
        <w:t xml:space="preserve">formation of </w:t>
      </w:r>
      <w:r w:rsidR="00804E96" w:rsidRPr="00527BC1">
        <w:rPr>
          <w:color w:val="000000"/>
        </w:rPr>
        <w:t xml:space="preserve">rutile </w:t>
      </w:r>
      <w:r w:rsidR="006874BF" w:rsidRPr="00527BC1">
        <w:rPr>
          <w:color w:val="000000"/>
        </w:rPr>
        <w:t>promote</w:t>
      </w:r>
      <w:r w:rsidR="0051041D" w:rsidRPr="00527BC1">
        <w:rPr>
          <w:color w:val="000000"/>
        </w:rPr>
        <w:t>s</w:t>
      </w:r>
      <w:r w:rsidR="00804E96" w:rsidRPr="00527BC1">
        <w:rPr>
          <w:color w:val="000000"/>
        </w:rPr>
        <w:t xml:space="preserve"> a </w:t>
      </w:r>
      <w:r w:rsidR="0051041D" w:rsidRPr="00527BC1">
        <w:rPr>
          <w:color w:val="000000"/>
        </w:rPr>
        <w:t>strong</w:t>
      </w:r>
      <w:r w:rsidR="00804E96" w:rsidRPr="00527BC1">
        <w:rPr>
          <w:color w:val="000000"/>
        </w:rPr>
        <w:t xml:space="preserve"> adhesion between the nanotubes and the metallic substrates. </w:t>
      </w:r>
      <w:r w:rsidR="0051041D" w:rsidRPr="00527BC1">
        <w:rPr>
          <w:color w:val="000000"/>
        </w:rPr>
        <w:t>When</w:t>
      </w:r>
      <w:r w:rsidR="00804E96" w:rsidRPr="00527BC1">
        <w:rPr>
          <w:color w:val="000000"/>
        </w:rPr>
        <w:t xml:space="preserve"> the system</w:t>
      </w:r>
      <w:r w:rsidR="0051041D" w:rsidRPr="00527BC1">
        <w:rPr>
          <w:color w:val="000000"/>
        </w:rPr>
        <w:t xml:space="preserve"> is subjected</w:t>
      </w:r>
      <w:r w:rsidR="00804E96" w:rsidRPr="00527BC1">
        <w:rPr>
          <w:color w:val="000000"/>
        </w:rPr>
        <w:t xml:space="preserve"> to a thermal treatment at 450°C in an air environment for 3 hours</w:t>
      </w:r>
      <w:r w:rsidR="00A130B1" w:rsidRPr="00527BC1">
        <w:rPr>
          <w:color w:val="000000"/>
        </w:rPr>
        <w:t xml:space="preserve">, it results in </w:t>
      </w:r>
      <w:r w:rsidR="00804E96" w:rsidRPr="00527BC1">
        <w:rPr>
          <w:color w:val="000000"/>
        </w:rPr>
        <w:t xml:space="preserve">a 140 nm thick rutile layer. Furthermore, the nanotube wall primarily </w:t>
      </w:r>
      <w:r w:rsidR="00A130B1" w:rsidRPr="00527BC1">
        <w:rPr>
          <w:color w:val="000000"/>
        </w:rPr>
        <w:t>co</w:t>
      </w:r>
      <w:r w:rsidR="0087739B" w:rsidRPr="00527BC1">
        <w:rPr>
          <w:color w:val="000000"/>
        </w:rPr>
        <w:t>nsists of</w:t>
      </w:r>
      <w:r w:rsidR="00804E96" w:rsidRPr="00527BC1">
        <w:rPr>
          <w:color w:val="000000"/>
        </w:rPr>
        <w:t xml:space="preserve"> anatase crystals with a cylindrical morphology, extending several hundred nanometers along the nanotube axis</w:t>
      </w:r>
      <w:r w:rsidR="00CE5654" w:rsidRPr="00527BC1">
        <w:rPr>
          <w:color w:val="000000"/>
        </w:rPr>
        <w:t xml:space="preserve"> (Albu et al., 2010)</w:t>
      </w:r>
      <w:r w:rsidR="00804E96" w:rsidRPr="00527BC1">
        <w:rPr>
          <w:color w:val="000000"/>
        </w:rPr>
        <w:t>.</w:t>
      </w:r>
    </w:p>
    <w:p w14:paraId="5911B643" w14:textId="77777777" w:rsidR="008A44E4" w:rsidRDefault="008A44E4" w:rsidP="00A4325C">
      <w:pPr>
        <w:pStyle w:val="CETBodytext"/>
      </w:pPr>
    </w:p>
    <w:p w14:paraId="7D305A35" w14:textId="77777777" w:rsidR="00551CB1" w:rsidRDefault="00551CB1" w:rsidP="00551CB1">
      <w:pPr>
        <w:pStyle w:val="CETBodytext"/>
        <w:keepNext/>
      </w:pPr>
      <w:r>
        <w:rPr>
          <w:noProof/>
        </w:rPr>
        <w:drawing>
          <wp:inline distT="0" distB="0" distL="0" distR="0" wp14:anchorId="6AFA9D74" wp14:editId="2A735363">
            <wp:extent cx="3600000" cy="1280071"/>
            <wp:effectExtent l="0" t="0" r="0" b="0"/>
            <wp:docPr id="6543933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1280071"/>
                    </a:xfrm>
                    <a:prstGeom prst="rect">
                      <a:avLst/>
                    </a:prstGeom>
                    <a:noFill/>
                  </pic:spPr>
                </pic:pic>
              </a:graphicData>
            </a:graphic>
          </wp:inline>
        </w:drawing>
      </w:r>
    </w:p>
    <w:p w14:paraId="5F8039E6" w14:textId="25CEF017" w:rsidR="00627E0B" w:rsidRPr="00841BDA" w:rsidRDefault="00551CB1" w:rsidP="00551CB1">
      <w:pPr>
        <w:pStyle w:val="CETCaption"/>
        <w:spacing w:before="0" w:after="0"/>
        <w:rPr>
          <w:iCs/>
          <w:lang w:val="en-US"/>
        </w:rPr>
      </w:pPr>
      <w:r w:rsidRPr="00841BDA">
        <w:rPr>
          <w:iCs/>
          <w:lang w:val="en-US"/>
        </w:rPr>
        <w:t xml:space="preserve">Figure </w:t>
      </w:r>
      <w:r w:rsidRPr="00841BDA">
        <w:rPr>
          <w:iCs/>
          <w:lang w:val="en-US"/>
        </w:rPr>
        <w:fldChar w:fldCharType="begin"/>
      </w:r>
      <w:r w:rsidRPr="00841BDA">
        <w:rPr>
          <w:iCs/>
          <w:lang w:val="en-US"/>
        </w:rPr>
        <w:instrText xml:space="preserve"> SEQ Figure \* ARABIC </w:instrText>
      </w:r>
      <w:r w:rsidRPr="00841BDA">
        <w:rPr>
          <w:iCs/>
          <w:lang w:val="en-US"/>
        </w:rPr>
        <w:fldChar w:fldCharType="separate"/>
      </w:r>
      <w:r w:rsidR="008639B5">
        <w:rPr>
          <w:iCs/>
          <w:noProof/>
          <w:lang w:val="en-US"/>
        </w:rPr>
        <w:t>2</w:t>
      </w:r>
      <w:r w:rsidRPr="00841BDA">
        <w:rPr>
          <w:iCs/>
          <w:lang w:val="en-US"/>
        </w:rPr>
        <w:fldChar w:fldCharType="end"/>
      </w:r>
      <w:r w:rsidRPr="00841BDA">
        <w:rPr>
          <w:iCs/>
          <w:lang w:val="en-US"/>
        </w:rPr>
        <w:t>: a) SEM picture, b) XRD pattern, and c) Raman spectra of TiO</w:t>
      </w:r>
      <w:r w:rsidRPr="00841BDA">
        <w:rPr>
          <w:iCs/>
          <w:vertAlign w:val="subscript"/>
          <w:lang w:val="en-US"/>
        </w:rPr>
        <w:t>2</w:t>
      </w:r>
      <w:r w:rsidRPr="00841BDA">
        <w:rPr>
          <w:iCs/>
          <w:lang w:val="en-US"/>
        </w:rPr>
        <w:t xml:space="preserve"> NTs</w:t>
      </w:r>
    </w:p>
    <w:p w14:paraId="6EAA814E" w14:textId="77777777" w:rsidR="00F32B8B" w:rsidRDefault="00F32B8B" w:rsidP="00F32B8B">
      <w:pPr>
        <w:pStyle w:val="CETBodytext"/>
      </w:pPr>
    </w:p>
    <w:p w14:paraId="27077266" w14:textId="1E841DA6" w:rsidR="00F32B8B" w:rsidRDefault="00436BB4" w:rsidP="00F32B8B">
      <w:pPr>
        <w:pStyle w:val="CETBodytext"/>
      </w:pPr>
      <w:r w:rsidRPr="00527BC1">
        <w:t>Photocurrent transients reported in Figure 3 show</w:t>
      </w:r>
      <w:r>
        <w:t xml:space="preserve"> a</w:t>
      </w:r>
      <w:r w:rsidR="00F32B8B" w:rsidRPr="000F42B6">
        <w:t>n anodic photocurrent, confirming the n-type semiconductor characteristics of the oxide. At approximately</w:t>
      </w:r>
      <w:r w:rsidR="00F32B8B" w:rsidRPr="00D16120">
        <w:t xml:space="preserve"> -0</w:t>
      </w:r>
      <w:r w:rsidR="00F32B8B">
        <w:t>.</w:t>
      </w:r>
      <w:r w:rsidR="00F32B8B" w:rsidRPr="00D16120">
        <w:t>5 V vs Ag/AgCl the photocurrent registered</w:t>
      </w:r>
      <w:r w:rsidR="00553D45">
        <w:t xml:space="preserve"> was close to</w:t>
      </w:r>
      <w:r w:rsidR="00F32B8B" w:rsidRPr="00D16120">
        <w:t xml:space="preserve"> zero, </w:t>
      </w:r>
      <w:r w:rsidR="004E15C8">
        <w:t>this value,</w:t>
      </w:r>
      <w:r w:rsidR="00F32B8B" w:rsidRPr="00D16120">
        <w:t xml:space="preserve"> as an estimat</w:t>
      </w:r>
      <w:r w:rsidR="00634164">
        <w:t>e</w:t>
      </w:r>
      <w:r w:rsidR="00F32B8B" w:rsidRPr="00D16120">
        <w:t xml:space="preserve"> for the flat band potential</w:t>
      </w:r>
      <w:r w:rsidR="00F32B8B">
        <w:t>,</w:t>
      </w:r>
      <w:r w:rsidR="004E15C8">
        <w:t xml:space="preserve"> is</w:t>
      </w:r>
      <w:r w:rsidR="00F32B8B">
        <w:t xml:space="preserve"> in line with</w:t>
      </w:r>
      <w:r w:rsidR="00F32B8B" w:rsidRPr="00D16120">
        <w:t xml:space="preserve"> others documented in the literature</w:t>
      </w:r>
      <w:r w:rsidR="001E4E4A">
        <w:t xml:space="preserve"> </w:t>
      </w:r>
      <w:r w:rsidR="001E4E4A" w:rsidRPr="001E4E4A">
        <w:t>(Pecoraro et al., 2024)</w:t>
      </w:r>
      <w:r w:rsidR="00F32B8B">
        <w:t>.</w:t>
      </w:r>
    </w:p>
    <w:p w14:paraId="63BC7045" w14:textId="254CE4E7" w:rsidR="00F32B8B" w:rsidRDefault="00F32B8B" w:rsidP="00F32B8B">
      <w:pPr>
        <w:pStyle w:val="CETBodytext"/>
      </w:pPr>
      <w:r w:rsidRPr="000F42B6">
        <w:lastRenderedPageBreak/>
        <w:t xml:space="preserve">Figure 4 </w:t>
      </w:r>
      <w:r w:rsidR="00632665" w:rsidRPr="000F42B6">
        <w:t>shows the</w:t>
      </w:r>
      <w:r w:rsidRPr="000F42B6">
        <w:t xml:space="preserve"> EIS spectra obtained in a 0.5 M Na</w:t>
      </w:r>
      <w:r w:rsidRPr="000F42B6">
        <w:rPr>
          <w:vertAlign w:val="subscript"/>
        </w:rPr>
        <w:t>2</w:t>
      </w:r>
      <w:r w:rsidRPr="000F42B6">
        <w:t>SO</w:t>
      </w:r>
      <w:r w:rsidRPr="000F42B6">
        <w:rPr>
          <w:vertAlign w:val="subscript"/>
        </w:rPr>
        <w:t>4</w:t>
      </w:r>
      <w:r w:rsidRPr="000F42B6">
        <w:t xml:space="preserve"> solution at 0.5 V vs. Ag/AgCl. The setup involved employ</w:t>
      </w:r>
      <w:r w:rsidR="00632665" w:rsidRPr="000F42B6">
        <w:t>ed</w:t>
      </w:r>
      <w:r w:rsidRPr="000F42B6">
        <w:t xml:space="preserve"> TiO</w:t>
      </w:r>
      <w:r w:rsidRPr="000F42B6">
        <w:rPr>
          <w:vertAlign w:val="subscript"/>
        </w:rPr>
        <w:t>2</w:t>
      </w:r>
      <w:r w:rsidRPr="000F42B6">
        <w:t xml:space="preserve"> NTs as the working electrode</w:t>
      </w:r>
      <w:r w:rsidR="00F81DF2" w:rsidRPr="000F42B6">
        <w:t xml:space="preserve">, </w:t>
      </w:r>
      <w:r w:rsidRPr="000F42B6">
        <w:t>Ni foam as the counter electrode</w:t>
      </w:r>
      <w:r w:rsidR="00F81DF2" w:rsidRPr="000F42B6">
        <w:t xml:space="preserve"> and</w:t>
      </w:r>
      <w:r w:rsidR="00407675" w:rsidRPr="000F42B6">
        <w:t xml:space="preserve"> an</w:t>
      </w:r>
      <w:r w:rsidR="00F81DF2" w:rsidRPr="000F42B6">
        <w:t xml:space="preserve"> Ag/</w:t>
      </w:r>
      <w:r w:rsidR="00F81DF2" w:rsidRPr="00C66242">
        <w:t>AgCl reference electrode</w:t>
      </w:r>
      <w:r w:rsidRPr="00C66242">
        <w:t xml:space="preserve">. </w:t>
      </w:r>
      <w:r w:rsidR="00632665" w:rsidRPr="00C66242">
        <w:t xml:space="preserve">The </w:t>
      </w:r>
      <w:r w:rsidRPr="00C66242">
        <w:t>EIS spectra were c</w:t>
      </w:r>
      <w:r w:rsidR="00632665" w:rsidRPr="00C66242">
        <w:t>arried out</w:t>
      </w:r>
      <w:r w:rsidRPr="00C66242">
        <w:t xml:space="preserve"> both in the absence and </w:t>
      </w:r>
      <w:r w:rsidR="00632665" w:rsidRPr="00C66242">
        <w:t xml:space="preserve">in the </w:t>
      </w:r>
      <w:r w:rsidRPr="00C66242">
        <w:t xml:space="preserve">presence of 0.1 M glycerol, with and without UV irradiation. All the spectra </w:t>
      </w:r>
      <w:r w:rsidR="00632665" w:rsidRPr="00C66242">
        <w:t>were fitted by</w:t>
      </w:r>
      <w:r w:rsidRPr="00C66242">
        <w:t xml:space="preserve"> using the equivalent circuit in Figure 4.</w:t>
      </w:r>
      <w:r>
        <w:t xml:space="preserve"> This circuit includes elements representing different parameters: R</w:t>
      </w:r>
      <w:r w:rsidRPr="0068442D">
        <w:rPr>
          <w:vertAlign w:val="subscript"/>
        </w:rPr>
        <w:t>s</w:t>
      </w:r>
      <w:r>
        <w:t xml:space="preserve"> represents solution resistance, R</w:t>
      </w:r>
      <w:r w:rsidRPr="0068442D">
        <w:rPr>
          <w:vertAlign w:val="subscript"/>
        </w:rPr>
        <w:t>CT</w:t>
      </w:r>
      <w:r>
        <w:t xml:space="preserve"> </w:t>
      </w:r>
      <w:r w:rsidR="00345C85">
        <w:t>the</w:t>
      </w:r>
      <w:r>
        <w:t xml:space="preserve"> charge transfer resistance, and Q</w:t>
      </w:r>
      <w:r w:rsidRPr="00C62AB1">
        <w:rPr>
          <w:vertAlign w:val="subscript"/>
        </w:rPr>
        <w:t>SC,el</w:t>
      </w:r>
      <w:r>
        <w:t xml:space="preserve"> the capacitance of TiO</w:t>
      </w:r>
      <w:r w:rsidRPr="002904AC">
        <w:rPr>
          <w:vertAlign w:val="subscript"/>
        </w:rPr>
        <w:t>2</w:t>
      </w:r>
      <w:r>
        <w:t xml:space="preserve">. </w:t>
      </w:r>
      <w:r w:rsidR="00820D36">
        <w:t xml:space="preserve">The charge transfer resistance </w:t>
      </w:r>
      <w:r w:rsidR="005A277F">
        <w:t xml:space="preserve">is related to the exchange current density that </w:t>
      </w:r>
      <w:r w:rsidR="00820D36">
        <w:t xml:space="preserve">takes into account the kinetic constants </w:t>
      </w:r>
      <w:r w:rsidR="00CB6E42">
        <w:t xml:space="preserve">(i.e., rate constants, k) </w:t>
      </w:r>
      <w:r w:rsidR="00820D36">
        <w:t>of the oxidation reactions</w:t>
      </w:r>
      <w:r w:rsidR="00CB6E42">
        <w:t>,</w:t>
      </w:r>
      <w:r w:rsidR="005A277F">
        <w:t xml:space="preserve"> in agreement with the specific reaction mechanism.</w:t>
      </w:r>
      <w:r w:rsidR="00345C85">
        <w:t xml:space="preserve"> </w:t>
      </w:r>
      <w:r>
        <w:t xml:space="preserve">The best fitting parameters are </w:t>
      </w:r>
      <w:r w:rsidRPr="00C66242">
        <w:t>reported in Table 1.</w:t>
      </w:r>
    </w:p>
    <w:p w14:paraId="2E1A1FF7" w14:textId="77777777" w:rsidR="00634B18" w:rsidRDefault="00634B18" w:rsidP="00F32B8B">
      <w:pPr>
        <w:pStyle w:val="CETBodytext"/>
      </w:pPr>
    </w:p>
    <w:p w14:paraId="649D6DB3" w14:textId="77777777" w:rsidR="002F575A" w:rsidRDefault="00CA275F" w:rsidP="002F575A">
      <w:pPr>
        <w:pStyle w:val="CETBodytext"/>
        <w:keepNext/>
      </w:pPr>
      <w:r>
        <w:rPr>
          <w:noProof/>
        </w:rPr>
        <w:drawing>
          <wp:inline distT="0" distB="0" distL="0" distR="0" wp14:anchorId="7FA722AB" wp14:editId="6F27569D">
            <wp:extent cx="3060000" cy="2836175"/>
            <wp:effectExtent l="0" t="0" r="0" b="0"/>
            <wp:docPr id="4109760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000" cy="2836175"/>
                    </a:xfrm>
                    <a:prstGeom prst="rect">
                      <a:avLst/>
                    </a:prstGeom>
                    <a:noFill/>
                  </pic:spPr>
                </pic:pic>
              </a:graphicData>
            </a:graphic>
          </wp:inline>
        </w:drawing>
      </w:r>
    </w:p>
    <w:p w14:paraId="7D1B01A2" w14:textId="042C2DAC" w:rsidR="00D71A26" w:rsidRDefault="002F575A" w:rsidP="00841BDA">
      <w:pPr>
        <w:pStyle w:val="CETCaption"/>
        <w:spacing w:before="0" w:after="0"/>
        <w:rPr>
          <w:iCs/>
          <w:lang w:val="en-US"/>
        </w:rPr>
      </w:pPr>
      <w:r w:rsidRPr="00841BDA">
        <w:rPr>
          <w:iCs/>
          <w:lang w:val="en-US"/>
        </w:rPr>
        <w:t xml:space="preserve">Figure </w:t>
      </w:r>
      <w:r w:rsidRPr="00841BDA">
        <w:rPr>
          <w:iCs/>
          <w:lang w:val="en-US"/>
        </w:rPr>
        <w:fldChar w:fldCharType="begin"/>
      </w:r>
      <w:r w:rsidRPr="00841BDA">
        <w:rPr>
          <w:iCs/>
          <w:lang w:val="en-US"/>
        </w:rPr>
        <w:instrText xml:space="preserve"> SEQ Figure \* ARABIC </w:instrText>
      </w:r>
      <w:r w:rsidRPr="00841BDA">
        <w:rPr>
          <w:iCs/>
          <w:lang w:val="en-US"/>
        </w:rPr>
        <w:fldChar w:fldCharType="separate"/>
      </w:r>
      <w:r w:rsidR="008639B5">
        <w:rPr>
          <w:iCs/>
          <w:noProof/>
          <w:lang w:val="en-US"/>
        </w:rPr>
        <w:t>3</w:t>
      </w:r>
      <w:r w:rsidRPr="00841BDA">
        <w:rPr>
          <w:iCs/>
          <w:lang w:val="en-US"/>
        </w:rPr>
        <w:fldChar w:fldCharType="end"/>
      </w:r>
      <w:r w:rsidRPr="00841BDA">
        <w:rPr>
          <w:iCs/>
          <w:lang w:val="en-US"/>
        </w:rPr>
        <w:t>: photocurrent transient executed at</w:t>
      </w:r>
      <w:r w:rsidR="00C539E7">
        <w:rPr>
          <w:iCs/>
          <w:lang w:val="en-US"/>
        </w:rPr>
        <w:t xml:space="preserve"> pH 7 and</w:t>
      </w:r>
      <w:r w:rsidRPr="00841BDA">
        <w:rPr>
          <w:iCs/>
          <w:lang w:val="en-US"/>
        </w:rPr>
        <w:t xml:space="preserve"> a) 0.5 V, b) 0 V, c) -0.3 V, and d) -0.5 V vs. Ag/AgCl using monochromatic light at various </w:t>
      </w:r>
      <w:r w:rsidR="00841BDA" w:rsidRPr="00841BDA">
        <w:rPr>
          <w:iCs/>
          <w:lang w:val="en-US"/>
        </w:rPr>
        <w:t>wavelength</w:t>
      </w:r>
      <w:r w:rsidRPr="00841BDA">
        <w:rPr>
          <w:iCs/>
          <w:lang w:val="en-US"/>
        </w:rPr>
        <w:t>: (1) 300 nm, (2) 330 nm, (3) 350 nm, (4) 380 nm and (5) 400 nm</w:t>
      </w:r>
      <w:r w:rsidR="00DB4AAC">
        <w:rPr>
          <w:iCs/>
          <w:lang w:val="en-US"/>
        </w:rPr>
        <w:t>.</w:t>
      </w:r>
    </w:p>
    <w:p w14:paraId="47B25C5E" w14:textId="77777777" w:rsidR="00EF622D" w:rsidRPr="00841BDA" w:rsidRDefault="00EF622D" w:rsidP="00841BDA">
      <w:pPr>
        <w:pStyle w:val="CETCaption"/>
        <w:spacing w:before="0" w:after="0"/>
        <w:rPr>
          <w:iCs/>
          <w:lang w:val="en-US"/>
        </w:rPr>
      </w:pPr>
    </w:p>
    <w:p w14:paraId="7409A813" w14:textId="0D60A51A" w:rsidR="008639B5" w:rsidRDefault="00C62AB1" w:rsidP="008639B5">
      <w:pPr>
        <w:pStyle w:val="CETBodytext"/>
        <w:keepNext/>
      </w:pPr>
      <w:r>
        <w:rPr>
          <w:noProof/>
        </w:rPr>
        <w:drawing>
          <wp:inline distT="0" distB="0" distL="0" distR="0" wp14:anchorId="2444A5E7" wp14:editId="6259CAEF">
            <wp:extent cx="3060000" cy="1496711"/>
            <wp:effectExtent l="0" t="0" r="0" b="0"/>
            <wp:docPr id="6878600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1496711"/>
                    </a:xfrm>
                    <a:prstGeom prst="rect">
                      <a:avLst/>
                    </a:prstGeom>
                    <a:noFill/>
                  </pic:spPr>
                </pic:pic>
              </a:graphicData>
            </a:graphic>
          </wp:inline>
        </w:drawing>
      </w:r>
    </w:p>
    <w:p w14:paraId="2E8CDCEF" w14:textId="7611F5DF" w:rsidR="00627E0B" w:rsidRPr="008639B5" w:rsidRDefault="008639B5" w:rsidP="008639B5">
      <w:pPr>
        <w:pStyle w:val="CETCaption"/>
        <w:spacing w:before="0" w:after="0"/>
        <w:rPr>
          <w:iCs/>
          <w:lang w:val="en-US"/>
        </w:rPr>
      </w:pPr>
      <w:r w:rsidRPr="008639B5">
        <w:rPr>
          <w:iCs/>
          <w:lang w:val="en-US"/>
        </w:rPr>
        <w:t xml:space="preserve">Figure </w:t>
      </w:r>
      <w:r w:rsidRPr="008639B5">
        <w:rPr>
          <w:iCs/>
          <w:lang w:val="en-US"/>
        </w:rPr>
        <w:fldChar w:fldCharType="begin"/>
      </w:r>
      <w:r w:rsidRPr="008639B5">
        <w:rPr>
          <w:iCs/>
          <w:lang w:val="en-US"/>
        </w:rPr>
        <w:instrText xml:space="preserve"> SEQ Figure \* ARABIC </w:instrText>
      </w:r>
      <w:r w:rsidRPr="008639B5">
        <w:rPr>
          <w:iCs/>
          <w:lang w:val="en-US"/>
        </w:rPr>
        <w:fldChar w:fldCharType="separate"/>
      </w:r>
      <w:r w:rsidRPr="008639B5">
        <w:rPr>
          <w:iCs/>
          <w:lang w:val="en-US"/>
        </w:rPr>
        <w:t>4</w:t>
      </w:r>
      <w:r w:rsidRPr="008639B5">
        <w:rPr>
          <w:iCs/>
          <w:lang w:val="en-US"/>
        </w:rPr>
        <w:fldChar w:fldCharType="end"/>
      </w:r>
      <w:r w:rsidRPr="008639B5">
        <w:rPr>
          <w:iCs/>
          <w:lang w:val="en-US"/>
        </w:rPr>
        <w:t>: EIS spectra carried out at</w:t>
      </w:r>
      <w:r w:rsidR="00E35836">
        <w:rPr>
          <w:iCs/>
          <w:lang w:val="en-US"/>
        </w:rPr>
        <w:t xml:space="preserve"> pH 7 and</w:t>
      </w:r>
      <w:r w:rsidRPr="008639B5">
        <w:rPr>
          <w:iCs/>
          <w:lang w:val="en-US"/>
        </w:rPr>
        <w:t xml:space="preserve"> 0.5 V vs Ag/AgCl </w:t>
      </w:r>
      <w:r w:rsidR="000B02DD" w:rsidRPr="008639B5">
        <w:rPr>
          <w:iCs/>
          <w:lang w:val="en-US"/>
        </w:rPr>
        <w:t>without</w:t>
      </w:r>
      <w:r w:rsidRPr="008639B5">
        <w:rPr>
          <w:iCs/>
          <w:lang w:val="en-US"/>
        </w:rPr>
        <w:t xml:space="preserve"> and in the presence of glycerol and irradiation</w:t>
      </w:r>
      <w:r>
        <w:rPr>
          <w:iCs/>
          <w:lang w:val="en-US"/>
        </w:rPr>
        <w:t>.</w:t>
      </w:r>
    </w:p>
    <w:p w14:paraId="393B5106" w14:textId="6D3CEC6B" w:rsidR="000877D1" w:rsidRPr="00B57B36" w:rsidRDefault="000877D1" w:rsidP="000877D1">
      <w:pPr>
        <w:pStyle w:val="CETTabletitle"/>
      </w:pPr>
      <w:r w:rsidRPr="00B57B36">
        <w:t xml:space="preserve">Table 1: </w:t>
      </w:r>
      <w:r w:rsidR="005F7FE0">
        <w:t xml:space="preserve">Best fitting parameters of </w:t>
      </w:r>
      <w:r w:rsidR="005F7FE0" w:rsidRPr="005F7FE0">
        <w:t>EIS spectra carried out at</w:t>
      </w:r>
      <w:r w:rsidR="00C539E7">
        <w:t xml:space="preserve"> pH 7 and</w:t>
      </w:r>
      <w:r w:rsidR="005F7FE0" w:rsidRPr="005F7FE0">
        <w:t xml:space="preserve"> 0.5 V vs Ag/AgCl </w:t>
      </w:r>
      <w:r w:rsidR="00443DF5">
        <w:t>without</w:t>
      </w:r>
      <w:r w:rsidR="005F7FE0" w:rsidRPr="005F7FE0">
        <w:t xml:space="preserve"> and in the presence of glycerol and irradiation</w:t>
      </w:r>
      <w:r w:rsidR="00AE7F06">
        <w:t>.</w:t>
      </w:r>
    </w:p>
    <w:tbl>
      <w:tblPr>
        <w:tblW w:w="822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67"/>
        <w:gridCol w:w="1077"/>
        <w:gridCol w:w="1640"/>
        <w:gridCol w:w="1640"/>
        <w:gridCol w:w="1649"/>
        <w:gridCol w:w="1649"/>
      </w:tblGrid>
      <w:tr w:rsidR="0093147A" w:rsidRPr="00B57B36" w14:paraId="6F09CC5E" w14:textId="77777777" w:rsidTr="004B3AA1">
        <w:tc>
          <w:tcPr>
            <w:tcW w:w="567" w:type="dxa"/>
            <w:tcBorders>
              <w:top w:val="single" w:sz="12" w:space="0" w:color="008000"/>
              <w:bottom w:val="single" w:sz="6" w:space="0" w:color="008000"/>
            </w:tcBorders>
            <w:shd w:val="clear" w:color="auto" w:fill="FFFFFF"/>
          </w:tcPr>
          <w:p w14:paraId="33A01AD0" w14:textId="6F78A63C" w:rsidR="0093147A" w:rsidRPr="00B57B36" w:rsidRDefault="0093147A" w:rsidP="00F900F8">
            <w:pPr>
              <w:pStyle w:val="CETBodytext"/>
              <w:rPr>
                <w:lang w:val="en-GB"/>
              </w:rPr>
            </w:pPr>
          </w:p>
        </w:tc>
        <w:tc>
          <w:tcPr>
            <w:tcW w:w="1077" w:type="dxa"/>
            <w:tcBorders>
              <w:top w:val="single" w:sz="12" w:space="0" w:color="008000"/>
              <w:bottom w:val="single" w:sz="6" w:space="0" w:color="008000"/>
            </w:tcBorders>
            <w:shd w:val="clear" w:color="auto" w:fill="FFFFFF"/>
          </w:tcPr>
          <w:p w14:paraId="39BB0A36" w14:textId="77777777" w:rsidR="0093147A" w:rsidRPr="008F27D3" w:rsidRDefault="0093147A" w:rsidP="00F900F8">
            <w:pPr>
              <w:pStyle w:val="CETBodytext"/>
              <w:rPr>
                <w:lang w:val="en-GB"/>
              </w:rPr>
            </w:pPr>
          </w:p>
        </w:tc>
        <w:tc>
          <w:tcPr>
            <w:tcW w:w="1640" w:type="dxa"/>
            <w:tcBorders>
              <w:top w:val="single" w:sz="12" w:space="0" w:color="008000"/>
              <w:bottom w:val="single" w:sz="6" w:space="0" w:color="008000"/>
            </w:tcBorders>
            <w:shd w:val="clear" w:color="auto" w:fill="FFFFFF"/>
          </w:tcPr>
          <w:p w14:paraId="3C322595" w14:textId="77777777" w:rsidR="0072334F" w:rsidRDefault="0093147A" w:rsidP="00F900F8">
            <w:pPr>
              <w:pStyle w:val="CETBodytext"/>
              <w:rPr>
                <w:lang w:val="en-GB"/>
              </w:rPr>
            </w:pPr>
            <w:r w:rsidRPr="008F27D3">
              <w:rPr>
                <w:lang w:val="en-GB"/>
              </w:rPr>
              <w:t>No glycerol</w:t>
            </w:r>
          </w:p>
          <w:p w14:paraId="203169EB" w14:textId="7C50A0B4" w:rsidR="0093147A" w:rsidRPr="00B57B36" w:rsidRDefault="0093147A" w:rsidP="00F900F8">
            <w:pPr>
              <w:pStyle w:val="CETBodytext"/>
              <w:rPr>
                <w:lang w:val="en-GB"/>
              </w:rPr>
            </w:pPr>
            <w:r w:rsidRPr="008F27D3">
              <w:rPr>
                <w:lang w:val="en-GB"/>
              </w:rPr>
              <w:t>Dark</w:t>
            </w:r>
          </w:p>
        </w:tc>
        <w:tc>
          <w:tcPr>
            <w:tcW w:w="1640" w:type="dxa"/>
            <w:tcBorders>
              <w:top w:val="single" w:sz="12" w:space="0" w:color="008000"/>
              <w:bottom w:val="single" w:sz="6" w:space="0" w:color="008000"/>
            </w:tcBorders>
            <w:shd w:val="clear" w:color="auto" w:fill="FFFFFF"/>
          </w:tcPr>
          <w:p w14:paraId="546006C6" w14:textId="77777777" w:rsidR="0072334F" w:rsidRDefault="0093147A" w:rsidP="00F900F8">
            <w:pPr>
              <w:pStyle w:val="CETBodytext"/>
              <w:rPr>
                <w:lang w:val="en-GB"/>
              </w:rPr>
            </w:pPr>
            <w:r w:rsidRPr="00FC713C">
              <w:rPr>
                <w:lang w:val="en-GB"/>
              </w:rPr>
              <w:t>No glycerol</w:t>
            </w:r>
          </w:p>
          <w:p w14:paraId="22B9135F" w14:textId="5D67060D" w:rsidR="0093147A" w:rsidRPr="00B57B36" w:rsidRDefault="0093147A" w:rsidP="00F900F8">
            <w:pPr>
              <w:pStyle w:val="CETBodytext"/>
              <w:rPr>
                <w:lang w:val="en-GB"/>
              </w:rPr>
            </w:pPr>
            <w:r w:rsidRPr="00FC713C">
              <w:rPr>
                <w:lang w:val="en-GB"/>
              </w:rPr>
              <w:t>Light</w:t>
            </w:r>
          </w:p>
        </w:tc>
        <w:tc>
          <w:tcPr>
            <w:tcW w:w="1649" w:type="dxa"/>
            <w:tcBorders>
              <w:top w:val="single" w:sz="12" w:space="0" w:color="008000"/>
              <w:bottom w:val="single" w:sz="6" w:space="0" w:color="008000"/>
            </w:tcBorders>
            <w:shd w:val="clear" w:color="auto" w:fill="FFFFFF"/>
          </w:tcPr>
          <w:p w14:paraId="70A7BE5C" w14:textId="0C978BE5" w:rsidR="0072334F" w:rsidRDefault="0072334F" w:rsidP="0072334F">
            <w:pPr>
              <w:pStyle w:val="CETBodytext"/>
              <w:ind w:right="-1"/>
              <w:rPr>
                <w:rFonts w:cs="Arial"/>
                <w:szCs w:val="18"/>
                <w:lang w:val="en-GB"/>
              </w:rPr>
            </w:pPr>
            <w:r w:rsidRPr="0072334F">
              <w:rPr>
                <w:rFonts w:cs="Arial"/>
                <w:szCs w:val="18"/>
                <w:lang w:val="en-GB"/>
              </w:rPr>
              <w:t>0.</w:t>
            </w:r>
            <w:r>
              <w:rPr>
                <w:rFonts w:cs="Arial"/>
                <w:szCs w:val="18"/>
                <w:lang w:val="en-GB"/>
              </w:rPr>
              <w:t xml:space="preserve">1 </w:t>
            </w:r>
            <w:r w:rsidR="0093147A" w:rsidRPr="00FC713C">
              <w:rPr>
                <w:rFonts w:cs="Arial"/>
                <w:szCs w:val="18"/>
                <w:lang w:val="en-GB"/>
              </w:rPr>
              <w:t>M Glycerol</w:t>
            </w:r>
          </w:p>
          <w:p w14:paraId="3128E36D" w14:textId="72E90668" w:rsidR="0093147A" w:rsidRPr="00B57B36" w:rsidRDefault="0093147A" w:rsidP="0072334F">
            <w:pPr>
              <w:pStyle w:val="CETBodytext"/>
              <w:ind w:right="-1"/>
              <w:rPr>
                <w:rFonts w:cs="Arial"/>
                <w:szCs w:val="18"/>
                <w:lang w:val="en-GB"/>
              </w:rPr>
            </w:pPr>
            <w:r w:rsidRPr="00FC713C">
              <w:rPr>
                <w:rFonts w:cs="Arial"/>
                <w:szCs w:val="18"/>
                <w:lang w:val="en-GB"/>
              </w:rPr>
              <w:t>Dark</w:t>
            </w:r>
          </w:p>
        </w:tc>
        <w:tc>
          <w:tcPr>
            <w:tcW w:w="1649" w:type="dxa"/>
            <w:tcBorders>
              <w:top w:val="single" w:sz="12" w:space="0" w:color="008000"/>
              <w:bottom w:val="single" w:sz="6" w:space="0" w:color="008000"/>
            </w:tcBorders>
            <w:shd w:val="clear" w:color="auto" w:fill="FFFFFF"/>
          </w:tcPr>
          <w:p w14:paraId="00E6514D" w14:textId="37F6B7CF" w:rsidR="0072334F" w:rsidRDefault="0072334F" w:rsidP="0072334F">
            <w:pPr>
              <w:pStyle w:val="CETBodytext"/>
              <w:ind w:right="-1"/>
              <w:rPr>
                <w:rFonts w:cs="Arial"/>
                <w:szCs w:val="18"/>
                <w:lang w:val="en-GB"/>
              </w:rPr>
            </w:pPr>
            <w:r w:rsidRPr="0072334F">
              <w:rPr>
                <w:rFonts w:cs="Arial"/>
                <w:szCs w:val="18"/>
                <w:lang w:val="en-GB"/>
              </w:rPr>
              <w:t>0.</w:t>
            </w:r>
            <w:r>
              <w:rPr>
                <w:rFonts w:cs="Arial"/>
                <w:szCs w:val="18"/>
                <w:lang w:val="en-GB"/>
              </w:rPr>
              <w:t xml:space="preserve">1 </w:t>
            </w:r>
            <w:r w:rsidR="0093147A" w:rsidRPr="00FC713C">
              <w:rPr>
                <w:rFonts w:cs="Arial"/>
                <w:szCs w:val="18"/>
                <w:lang w:val="en-GB"/>
              </w:rPr>
              <w:t>M Glycerol</w:t>
            </w:r>
          </w:p>
          <w:p w14:paraId="08A9A41E" w14:textId="4AD8F971" w:rsidR="0093147A" w:rsidRPr="00B57B36" w:rsidRDefault="0093147A" w:rsidP="0072334F">
            <w:pPr>
              <w:pStyle w:val="CETBodytext"/>
              <w:ind w:right="-1"/>
              <w:rPr>
                <w:rFonts w:cs="Arial"/>
                <w:szCs w:val="18"/>
                <w:lang w:val="en-GB"/>
              </w:rPr>
            </w:pPr>
            <w:r w:rsidRPr="00FC713C">
              <w:rPr>
                <w:rFonts w:cs="Arial"/>
                <w:szCs w:val="18"/>
                <w:lang w:val="en-GB"/>
              </w:rPr>
              <w:t>Light</w:t>
            </w:r>
          </w:p>
        </w:tc>
      </w:tr>
      <w:tr w:rsidR="0093147A" w:rsidRPr="00B57B36" w14:paraId="089322B8" w14:textId="77777777" w:rsidTr="004B3AA1">
        <w:tc>
          <w:tcPr>
            <w:tcW w:w="567" w:type="dxa"/>
            <w:shd w:val="clear" w:color="auto" w:fill="FFFFFF"/>
          </w:tcPr>
          <w:p w14:paraId="65F21833" w14:textId="2579C387" w:rsidR="0093147A" w:rsidRPr="00B57B36" w:rsidRDefault="0093147A" w:rsidP="00F900F8">
            <w:pPr>
              <w:pStyle w:val="CETBodytext"/>
              <w:rPr>
                <w:lang w:val="en-GB"/>
              </w:rPr>
            </w:pPr>
            <w:r>
              <w:rPr>
                <w:lang w:val="en-GB"/>
              </w:rPr>
              <w:t>R</w:t>
            </w:r>
            <w:r w:rsidRPr="002C054B">
              <w:rPr>
                <w:vertAlign w:val="subscript"/>
                <w:lang w:val="en-GB"/>
              </w:rPr>
              <w:t>s</w:t>
            </w:r>
          </w:p>
        </w:tc>
        <w:tc>
          <w:tcPr>
            <w:tcW w:w="1077" w:type="dxa"/>
            <w:shd w:val="clear" w:color="auto" w:fill="FFFFFF"/>
          </w:tcPr>
          <w:p w14:paraId="3B6662EF" w14:textId="12E9C69F" w:rsidR="0093147A" w:rsidRPr="00B57B36" w:rsidRDefault="0093147A" w:rsidP="00F900F8">
            <w:pPr>
              <w:pStyle w:val="CETBodytext"/>
              <w:rPr>
                <w:lang w:val="en-GB"/>
              </w:rPr>
            </w:pPr>
            <w:r>
              <w:rPr>
                <w:lang w:val="en-GB"/>
              </w:rPr>
              <w:t>(</w:t>
            </w:r>
            <w:r>
              <w:rPr>
                <w:rFonts w:cs="Arial"/>
                <w:lang w:val="en-GB"/>
              </w:rPr>
              <w:t>Ω</w:t>
            </w:r>
            <w:r>
              <w:rPr>
                <w:lang w:val="en-GB"/>
              </w:rPr>
              <w:t xml:space="preserve"> cm</w:t>
            </w:r>
            <w:r w:rsidRPr="0093147A">
              <w:rPr>
                <w:vertAlign w:val="superscript"/>
                <w:lang w:val="en-GB"/>
              </w:rPr>
              <w:t>2</w:t>
            </w:r>
            <w:r>
              <w:rPr>
                <w:lang w:val="en-GB"/>
              </w:rPr>
              <w:t>)</w:t>
            </w:r>
          </w:p>
        </w:tc>
        <w:tc>
          <w:tcPr>
            <w:tcW w:w="1640" w:type="dxa"/>
            <w:shd w:val="clear" w:color="auto" w:fill="FFFFFF"/>
          </w:tcPr>
          <w:p w14:paraId="139745A8" w14:textId="292B4F70" w:rsidR="0093147A" w:rsidRPr="00B57B36" w:rsidRDefault="00405C85" w:rsidP="00F900F8">
            <w:pPr>
              <w:pStyle w:val="CETBodytext"/>
              <w:rPr>
                <w:lang w:val="en-GB"/>
              </w:rPr>
            </w:pPr>
            <w:r>
              <w:rPr>
                <w:lang w:val="en-GB"/>
              </w:rPr>
              <w:t>96</w:t>
            </w:r>
          </w:p>
        </w:tc>
        <w:tc>
          <w:tcPr>
            <w:tcW w:w="1640" w:type="dxa"/>
            <w:shd w:val="clear" w:color="auto" w:fill="FFFFFF"/>
          </w:tcPr>
          <w:p w14:paraId="2D57EB70" w14:textId="58DE0460" w:rsidR="0093147A" w:rsidRPr="00B57B36" w:rsidRDefault="004B3AA1" w:rsidP="00F900F8">
            <w:pPr>
              <w:pStyle w:val="CETBodytext"/>
              <w:rPr>
                <w:lang w:val="en-GB"/>
              </w:rPr>
            </w:pPr>
            <w:r>
              <w:rPr>
                <w:lang w:val="en-GB"/>
              </w:rPr>
              <w:t>86</w:t>
            </w:r>
          </w:p>
        </w:tc>
        <w:tc>
          <w:tcPr>
            <w:tcW w:w="1649" w:type="dxa"/>
            <w:shd w:val="clear" w:color="auto" w:fill="FFFFFF"/>
          </w:tcPr>
          <w:p w14:paraId="20F00460" w14:textId="607B1F06" w:rsidR="0093147A" w:rsidRPr="00B57B36" w:rsidRDefault="000D21D0" w:rsidP="00F900F8">
            <w:pPr>
              <w:pStyle w:val="CETBodytext"/>
              <w:ind w:right="-1"/>
              <w:rPr>
                <w:rFonts w:cs="Arial"/>
                <w:szCs w:val="18"/>
                <w:lang w:val="en-GB"/>
              </w:rPr>
            </w:pPr>
            <w:r>
              <w:rPr>
                <w:rFonts w:cs="Arial"/>
                <w:szCs w:val="18"/>
                <w:lang w:val="en-GB"/>
              </w:rPr>
              <w:t>73</w:t>
            </w:r>
          </w:p>
        </w:tc>
        <w:tc>
          <w:tcPr>
            <w:tcW w:w="1649" w:type="dxa"/>
            <w:shd w:val="clear" w:color="auto" w:fill="FFFFFF"/>
          </w:tcPr>
          <w:p w14:paraId="32E4A4CD" w14:textId="340F5796" w:rsidR="0093147A" w:rsidRPr="00B57B36" w:rsidRDefault="00A15E5C" w:rsidP="00F900F8">
            <w:pPr>
              <w:pStyle w:val="CETBodytext"/>
              <w:ind w:right="-1"/>
              <w:rPr>
                <w:rFonts w:cs="Arial"/>
                <w:szCs w:val="18"/>
                <w:lang w:val="en-GB"/>
              </w:rPr>
            </w:pPr>
            <w:r>
              <w:rPr>
                <w:rFonts w:cs="Arial"/>
                <w:szCs w:val="18"/>
                <w:lang w:val="en-GB"/>
              </w:rPr>
              <w:t>73</w:t>
            </w:r>
          </w:p>
        </w:tc>
      </w:tr>
      <w:tr w:rsidR="0093147A" w:rsidRPr="00B57B36" w14:paraId="24FEBEA5" w14:textId="77777777" w:rsidTr="004B3AA1">
        <w:tc>
          <w:tcPr>
            <w:tcW w:w="567" w:type="dxa"/>
            <w:shd w:val="clear" w:color="auto" w:fill="FFFFFF"/>
          </w:tcPr>
          <w:p w14:paraId="0FA7A2F2" w14:textId="5065AF19" w:rsidR="0093147A" w:rsidRPr="00B57B36" w:rsidRDefault="0093147A" w:rsidP="00F900F8">
            <w:pPr>
              <w:pStyle w:val="CETBodytext"/>
              <w:ind w:right="-1"/>
              <w:rPr>
                <w:rFonts w:cs="Arial"/>
                <w:szCs w:val="18"/>
                <w:lang w:val="en-GB"/>
              </w:rPr>
            </w:pPr>
            <w:r w:rsidRPr="002C054B">
              <w:rPr>
                <w:rFonts w:cs="Arial"/>
                <w:szCs w:val="18"/>
                <w:lang w:val="en-GB"/>
              </w:rPr>
              <w:t>R</w:t>
            </w:r>
            <w:r w:rsidRPr="002C054B">
              <w:rPr>
                <w:rFonts w:cs="Arial"/>
                <w:szCs w:val="18"/>
                <w:vertAlign w:val="subscript"/>
                <w:lang w:val="en-GB"/>
              </w:rPr>
              <w:t>CT</w:t>
            </w:r>
          </w:p>
        </w:tc>
        <w:tc>
          <w:tcPr>
            <w:tcW w:w="1077" w:type="dxa"/>
            <w:shd w:val="clear" w:color="auto" w:fill="FFFFFF"/>
          </w:tcPr>
          <w:p w14:paraId="31C07725" w14:textId="3AEAC804" w:rsidR="0093147A" w:rsidRPr="00B57B36" w:rsidRDefault="0093147A" w:rsidP="00F900F8">
            <w:pPr>
              <w:pStyle w:val="CETBodytext"/>
              <w:ind w:right="-1"/>
              <w:rPr>
                <w:rFonts w:cs="Arial"/>
                <w:szCs w:val="18"/>
                <w:lang w:val="en-GB"/>
              </w:rPr>
            </w:pPr>
            <w:r>
              <w:rPr>
                <w:lang w:val="en-GB"/>
              </w:rPr>
              <w:t>(</w:t>
            </w:r>
            <w:r>
              <w:rPr>
                <w:rFonts w:cs="Arial"/>
                <w:lang w:val="en-GB"/>
              </w:rPr>
              <w:t>Ω</w:t>
            </w:r>
            <w:r>
              <w:rPr>
                <w:lang w:val="en-GB"/>
              </w:rPr>
              <w:t xml:space="preserve"> cm</w:t>
            </w:r>
            <w:r w:rsidRPr="0093147A">
              <w:rPr>
                <w:vertAlign w:val="superscript"/>
                <w:lang w:val="en-GB"/>
              </w:rPr>
              <w:t>2</w:t>
            </w:r>
            <w:r>
              <w:rPr>
                <w:lang w:val="en-GB"/>
              </w:rPr>
              <w:t>)</w:t>
            </w:r>
          </w:p>
        </w:tc>
        <w:tc>
          <w:tcPr>
            <w:tcW w:w="1640" w:type="dxa"/>
            <w:shd w:val="clear" w:color="auto" w:fill="FFFFFF"/>
          </w:tcPr>
          <w:p w14:paraId="2D22D6F0" w14:textId="18F5AF67" w:rsidR="0093147A" w:rsidRPr="00B57B36" w:rsidRDefault="00CC6D2F" w:rsidP="00F900F8">
            <w:pPr>
              <w:pStyle w:val="CETBodytext"/>
              <w:ind w:right="-1"/>
              <w:rPr>
                <w:rFonts w:cs="Arial"/>
                <w:szCs w:val="18"/>
                <w:lang w:val="en-GB"/>
              </w:rPr>
            </w:pPr>
            <w:r>
              <w:rPr>
                <w:rFonts w:cs="Arial"/>
                <w:szCs w:val="18"/>
                <w:lang w:val="en-GB"/>
              </w:rPr>
              <w:t>4.4</w:t>
            </w:r>
            <w:r>
              <w:rPr>
                <w:rFonts w:ascii="Source Code Pro Light" w:hAnsi="Source Code Pro Light" w:cs="Arial"/>
                <w:szCs w:val="18"/>
                <w:lang w:val="en-GB"/>
              </w:rPr>
              <w:t>·</w:t>
            </w:r>
            <w:r>
              <w:rPr>
                <w:rFonts w:cs="Arial"/>
                <w:szCs w:val="18"/>
                <w:lang w:val="en-GB"/>
              </w:rPr>
              <w:t>10</w:t>
            </w:r>
            <w:r w:rsidRPr="00CC6D2F">
              <w:rPr>
                <w:rFonts w:cs="Arial"/>
                <w:szCs w:val="18"/>
                <w:vertAlign w:val="superscript"/>
                <w:lang w:val="en-GB"/>
              </w:rPr>
              <w:t>6</w:t>
            </w:r>
          </w:p>
        </w:tc>
        <w:tc>
          <w:tcPr>
            <w:tcW w:w="1640" w:type="dxa"/>
            <w:shd w:val="clear" w:color="auto" w:fill="FFFFFF"/>
          </w:tcPr>
          <w:p w14:paraId="2C9C716E" w14:textId="120CF658" w:rsidR="0093147A" w:rsidRPr="00B57B36" w:rsidRDefault="004B3AA1" w:rsidP="00F900F8">
            <w:pPr>
              <w:pStyle w:val="CETBodytext"/>
              <w:ind w:right="-1"/>
              <w:rPr>
                <w:rFonts w:cs="Arial"/>
                <w:szCs w:val="18"/>
                <w:lang w:val="en-GB"/>
              </w:rPr>
            </w:pPr>
            <w:r>
              <w:rPr>
                <w:rFonts w:cs="Arial"/>
                <w:szCs w:val="18"/>
                <w:lang w:val="en-GB"/>
              </w:rPr>
              <w:t>1.1</w:t>
            </w:r>
            <w:r>
              <w:rPr>
                <w:rFonts w:ascii="Source Code Pro Light" w:hAnsi="Source Code Pro Light" w:cs="Arial"/>
                <w:szCs w:val="18"/>
                <w:lang w:val="en-GB"/>
              </w:rPr>
              <w:t>·</w:t>
            </w:r>
            <w:r>
              <w:rPr>
                <w:rFonts w:cs="Arial"/>
                <w:szCs w:val="18"/>
                <w:lang w:val="en-GB"/>
              </w:rPr>
              <w:t>10</w:t>
            </w:r>
            <w:r>
              <w:rPr>
                <w:rFonts w:cs="Arial"/>
                <w:szCs w:val="18"/>
                <w:vertAlign w:val="superscript"/>
                <w:lang w:val="en-GB"/>
              </w:rPr>
              <w:t>5</w:t>
            </w:r>
          </w:p>
        </w:tc>
        <w:tc>
          <w:tcPr>
            <w:tcW w:w="1649" w:type="dxa"/>
            <w:shd w:val="clear" w:color="auto" w:fill="FFFFFF"/>
          </w:tcPr>
          <w:p w14:paraId="08B8644D" w14:textId="7F7B1569" w:rsidR="0093147A" w:rsidRPr="00B57B36" w:rsidRDefault="000D1CB5" w:rsidP="00F900F8">
            <w:pPr>
              <w:pStyle w:val="CETBodytext"/>
              <w:ind w:right="-1"/>
              <w:rPr>
                <w:rFonts w:cs="Arial"/>
                <w:szCs w:val="18"/>
                <w:lang w:val="en-GB"/>
              </w:rPr>
            </w:pPr>
            <w:r>
              <w:rPr>
                <w:rFonts w:cs="Arial"/>
                <w:szCs w:val="18"/>
                <w:lang w:val="en-GB"/>
              </w:rPr>
              <w:t>4</w:t>
            </w:r>
            <w:r w:rsidR="000D21D0">
              <w:rPr>
                <w:rFonts w:cs="Arial"/>
                <w:szCs w:val="18"/>
                <w:lang w:val="en-GB"/>
              </w:rPr>
              <w:t>.0</w:t>
            </w:r>
            <w:r w:rsidR="000D21D0">
              <w:rPr>
                <w:rFonts w:ascii="Source Code Pro Light" w:hAnsi="Source Code Pro Light" w:cs="Arial"/>
                <w:szCs w:val="18"/>
                <w:lang w:val="en-GB"/>
              </w:rPr>
              <w:t>·</w:t>
            </w:r>
            <w:r w:rsidR="000D21D0">
              <w:rPr>
                <w:rFonts w:cs="Arial"/>
                <w:szCs w:val="18"/>
                <w:lang w:val="en-GB"/>
              </w:rPr>
              <w:t>10</w:t>
            </w:r>
            <w:r w:rsidR="000D21D0">
              <w:rPr>
                <w:rFonts w:cs="Arial"/>
                <w:szCs w:val="18"/>
                <w:vertAlign w:val="superscript"/>
                <w:lang w:val="en-GB"/>
              </w:rPr>
              <w:t>6</w:t>
            </w:r>
          </w:p>
        </w:tc>
        <w:tc>
          <w:tcPr>
            <w:tcW w:w="1649" w:type="dxa"/>
            <w:shd w:val="clear" w:color="auto" w:fill="FFFFFF"/>
          </w:tcPr>
          <w:p w14:paraId="24ECA18F" w14:textId="47268E90" w:rsidR="0093147A" w:rsidRPr="00B57B36" w:rsidRDefault="00A15E5C" w:rsidP="00F900F8">
            <w:pPr>
              <w:pStyle w:val="CETBodytext"/>
              <w:ind w:right="-1"/>
              <w:rPr>
                <w:rFonts w:cs="Arial"/>
                <w:szCs w:val="18"/>
                <w:lang w:val="en-GB"/>
              </w:rPr>
            </w:pPr>
            <w:r>
              <w:rPr>
                <w:rFonts w:cs="Arial"/>
                <w:szCs w:val="18"/>
                <w:lang w:val="en-GB"/>
              </w:rPr>
              <w:t>9.8</w:t>
            </w:r>
            <w:r>
              <w:rPr>
                <w:rFonts w:ascii="Source Code Pro Light" w:hAnsi="Source Code Pro Light" w:cs="Arial"/>
                <w:szCs w:val="18"/>
                <w:lang w:val="en-GB"/>
              </w:rPr>
              <w:t>·</w:t>
            </w:r>
            <w:r>
              <w:rPr>
                <w:rFonts w:cs="Arial"/>
                <w:szCs w:val="18"/>
                <w:lang w:val="en-GB"/>
              </w:rPr>
              <w:t>10</w:t>
            </w:r>
            <w:r w:rsidR="00166C76">
              <w:rPr>
                <w:rFonts w:cs="Arial"/>
                <w:szCs w:val="18"/>
                <w:vertAlign w:val="superscript"/>
                <w:lang w:val="en-GB"/>
              </w:rPr>
              <w:t>4</w:t>
            </w:r>
          </w:p>
        </w:tc>
      </w:tr>
      <w:tr w:rsidR="0093147A" w:rsidRPr="00B57B36" w14:paraId="255BB072" w14:textId="77777777" w:rsidTr="004B3AA1">
        <w:tc>
          <w:tcPr>
            <w:tcW w:w="567" w:type="dxa"/>
            <w:shd w:val="clear" w:color="auto" w:fill="FFFFFF"/>
          </w:tcPr>
          <w:p w14:paraId="22074BF7" w14:textId="31C14849" w:rsidR="0093147A" w:rsidRPr="002C054B" w:rsidRDefault="0093147A" w:rsidP="00F900F8">
            <w:pPr>
              <w:pStyle w:val="CETBodytext"/>
              <w:ind w:right="-1"/>
              <w:rPr>
                <w:rFonts w:cs="Arial"/>
                <w:szCs w:val="18"/>
                <w:lang w:val="en-GB"/>
              </w:rPr>
            </w:pPr>
            <w:r w:rsidRPr="000C5C2A">
              <w:t>Q</w:t>
            </w:r>
            <w:r w:rsidRPr="00A811AB">
              <w:rPr>
                <w:vertAlign w:val="subscript"/>
              </w:rPr>
              <w:t>sc,el</w:t>
            </w:r>
          </w:p>
        </w:tc>
        <w:tc>
          <w:tcPr>
            <w:tcW w:w="1077" w:type="dxa"/>
            <w:shd w:val="clear" w:color="auto" w:fill="FFFFFF"/>
          </w:tcPr>
          <w:p w14:paraId="4D48BAE3" w14:textId="143AC574" w:rsidR="0093147A" w:rsidRPr="00B57B36" w:rsidRDefault="00884341" w:rsidP="00F900F8">
            <w:pPr>
              <w:pStyle w:val="CETBodytext"/>
              <w:ind w:right="-1"/>
              <w:rPr>
                <w:rFonts w:cs="Arial"/>
                <w:szCs w:val="18"/>
                <w:lang w:val="en-GB"/>
              </w:rPr>
            </w:pPr>
            <w:r>
              <w:rPr>
                <w:rFonts w:cs="Arial"/>
                <w:szCs w:val="18"/>
                <w:lang w:val="en-GB"/>
              </w:rPr>
              <w:t>(</w:t>
            </w:r>
            <w:r w:rsidRPr="00884341">
              <w:rPr>
                <w:rFonts w:cs="Arial"/>
                <w:szCs w:val="18"/>
                <w:lang w:val="en-GB"/>
              </w:rPr>
              <w:t>S s</w:t>
            </w:r>
            <w:r w:rsidRPr="00884341">
              <w:rPr>
                <w:rFonts w:cs="Arial"/>
                <w:szCs w:val="18"/>
                <w:vertAlign w:val="superscript"/>
                <w:lang w:val="en-GB"/>
              </w:rPr>
              <w:t>n</w:t>
            </w:r>
            <w:r w:rsidRPr="00884341">
              <w:rPr>
                <w:rFonts w:cs="Arial"/>
                <w:szCs w:val="18"/>
                <w:lang w:val="en-GB"/>
              </w:rPr>
              <w:t xml:space="preserve"> cm</w:t>
            </w:r>
            <w:r w:rsidRPr="00884341">
              <w:rPr>
                <w:rFonts w:cs="Arial"/>
                <w:szCs w:val="18"/>
                <w:vertAlign w:val="superscript"/>
                <w:lang w:val="en-GB"/>
              </w:rPr>
              <w:t>-2</w:t>
            </w:r>
            <w:r>
              <w:rPr>
                <w:rFonts w:cs="Arial"/>
                <w:szCs w:val="18"/>
                <w:lang w:val="en-GB"/>
              </w:rPr>
              <w:t>)</w:t>
            </w:r>
          </w:p>
        </w:tc>
        <w:tc>
          <w:tcPr>
            <w:tcW w:w="1640" w:type="dxa"/>
            <w:shd w:val="clear" w:color="auto" w:fill="FFFFFF"/>
          </w:tcPr>
          <w:p w14:paraId="0CFA0798" w14:textId="3740EC7E" w:rsidR="0093147A" w:rsidRPr="00B57B36" w:rsidRDefault="004B3AA1" w:rsidP="00F900F8">
            <w:pPr>
              <w:pStyle w:val="CETBodytext"/>
              <w:ind w:right="-1"/>
              <w:rPr>
                <w:rFonts w:cs="Arial"/>
                <w:szCs w:val="18"/>
                <w:lang w:val="en-GB"/>
              </w:rPr>
            </w:pPr>
            <w:r>
              <w:rPr>
                <w:rFonts w:cs="Arial"/>
                <w:szCs w:val="18"/>
                <w:lang w:val="en-GB"/>
              </w:rPr>
              <w:t>6.0</w:t>
            </w:r>
            <w:r>
              <w:rPr>
                <w:rFonts w:ascii="Source Code Pro Light" w:hAnsi="Source Code Pro Light" w:cs="Arial"/>
                <w:szCs w:val="18"/>
                <w:lang w:val="en-GB"/>
              </w:rPr>
              <w:t>·</w:t>
            </w:r>
            <w:r>
              <w:rPr>
                <w:rFonts w:cs="Arial"/>
                <w:szCs w:val="18"/>
                <w:lang w:val="en-GB"/>
              </w:rPr>
              <w:t>10</w:t>
            </w:r>
            <w:r>
              <w:rPr>
                <w:rFonts w:cs="Arial"/>
                <w:szCs w:val="18"/>
                <w:vertAlign w:val="superscript"/>
                <w:lang w:val="en-GB"/>
              </w:rPr>
              <w:t>-6</w:t>
            </w:r>
          </w:p>
        </w:tc>
        <w:tc>
          <w:tcPr>
            <w:tcW w:w="1640" w:type="dxa"/>
            <w:shd w:val="clear" w:color="auto" w:fill="FFFFFF"/>
          </w:tcPr>
          <w:p w14:paraId="6F0202EB" w14:textId="451BBAD6" w:rsidR="0093147A" w:rsidRPr="00B57B36" w:rsidRDefault="00163477" w:rsidP="00F900F8">
            <w:pPr>
              <w:pStyle w:val="CETBodytext"/>
              <w:ind w:right="-1"/>
              <w:rPr>
                <w:rFonts w:cs="Arial"/>
                <w:szCs w:val="18"/>
                <w:lang w:val="en-GB"/>
              </w:rPr>
            </w:pPr>
            <w:r>
              <w:rPr>
                <w:rFonts w:cs="Arial"/>
                <w:szCs w:val="18"/>
                <w:lang w:val="en-GB"/>
              </w:rPr>
              <w:t>7.8</w:t>
            </w:r>
            <w:r>
              <w:rPr>
                <w:rFonts w:ascii="Source Code Pro Light" w:hAnsi="Source Code Pro Light" w:cs="Arial"/>
                <w:szCs w:val="18"/>
                <w:lang w:val="en-GB"/>
              </w:rPr>
              <w:t>·</w:t>
            </w:r>
            <w:r>
              <w:rPr>
                <w:rFonts w:cs="Arial"/>
                <w:szCs w:val="18"/>
                <w:lang w:val="en-GB"/>
              </w:rPr>
              <w:t>10</w:t>
            </w:r>
            <w:r>
              <w:rPr>
                <w:rFonts w:cs="Arial"/>
                <w:szCs w:val="18"/>
                <w:vertAlign w:val="superscript"/>
                <w:lang w:val="en-GB"/>
              </w:rPr>
              <w:t>-6</w:t>
            </w:r>
          </w:p>
        </w:tc>
        <w:tc>
          <w:tcPr>
            <w:tcW w:w="1649" w:type="dxa"/>
            <w:shd w:val="clear" w:color="auto" w:fill="FFFFFF"/>
          </w:tcPr>
          <w:p w14:paraId="3B36F41F" w14:textId="4534EB3E" w:rsidR="0093147A" w:rsidRPr="00B57B36" w:rsidRDefault="000D21D0" w:rsidP="00F900F8">
            <w:pPr>
              <w:pStyle w:val="CETBodytext"/>
              <w:ind w:right="-1"/>
              <w:rPr>
                <w:rFonts w:cs="Arial"/>
                <w:szCs w:val="18"/>
                <w:lang w:val="en-GB"/>
              </w:rPr>
            </w:pPr>
            <w:r>
              <w:rPr>
                <w:rFonts w:cs="Arial"/>
                <w:szCs w:val="18"/>
                <w:lang w:val="en-GB"/>
              </w:rPr>
              <w:t>6.4</w:t>
            </w:r>
            <w:r>
              <w:rPr>
                <w:rFonts w:ascii="Source Code Pro Light" w:hAnsi="Source Code Pro Light" w:cs="Arial"/>
                <w:szCs w:val="18"/>
                <w:lang w:val="en-GB"/>
              </w:rPr>
              <w:t>·</w:t>
            </w:r>
            <w:r>
              <w:rPr>
                <w:rFonts w:cs="Arial"/>
                <w:szCs w:val="18"/>
                <w:lang w:val="en-GB"/>
              </w:rPr>
              <w:t>10</w:t>
            </w:r>
            <w:r>
              <w:rPr>
                <w:rFonts w:cs="Arial"/>
                <w:szCs w:val="18"/>
                <w:vertAlign w:val="superscript"/>
                <w:lang w:val="en-GB"/>
              </w:rPr>
              <w:t>-6</w:t>
            </w:r>
          </w:p>
        </w:tc>
        <w:tc>
          <w:tcPr>
            <w:tcW w:w="1649" w:type="dxa"/>
            <w:shd w:val="clear" w:color="auto" w:fill="FFFFFF"/>
          </w:tcPr>
          <w:p w14:paraId="464021C1" w14:textId="2EE9BEB0" w:rsidR="0093147A" w:rsidRPr="00B57B36" w:rsidRDefault="00166C76" w:rsidP="00F900F8">
            <w:pPr>
              <w:pStyle w:val="CETBodytext"/>
              <w:ind w:right="-1"/>
              <w:rPr>
                <w:rFonts w:cs="Arial"/>
                <w:szCs w:val="18"/>
                <w:lang w:val="en-GB"/>
              </w:rPr>
            </w:pPr>
            <w:r>
              <w:rPr>
                <w:rFonts w:cs="Arial"/>
                <w:szCs w:val="18"/>
                <w:lang w:val="en-GB"/>
              </w:rPr>
              <w:t>8.3</w:t>
            </w:r>
            <w:r>
              <w:rPr>
                <w:rFonts w:ascii="Source Code Pro Light" w:hAnsi="Source Code Pro Light" w:cs="Arial"/>
                <w:szCs w:val="18"/>
                <w:lang w:val="en-GB"/>
              </w:rPr>
              <w:t>·</w:t>
            </w:r>
            <w:r>
              <w:rPr>
                <w:rFonts w:cs="Arial"/>
                <w:szCs w:val="18"/>
                <w:lang w:val="en-GB"/>
              </w:rPr>
              <w:t>10</w:t>
            </w:r>
            <w:r>
              <w:rPr>
                <w:rFonts w:cs="Arial"/>
                <w:szCs w:val="18"/>
                <w:vertAlign w:val="superscript"/>
                <w:lang w:val="en-GB"/>
              </w:rPr>
              <w:t>-6</w:t>
            </w:r>
          </w:p>
        </w:tc>
      </w:tr>
      <w:tr w:rsidR="0093147A" w:rsidRPr="00B57B36" w14:paraId="37CCF350" w14:textId="77777777" w:rsidTr="004B3AA1">
        <w:tc>
          <w:tcPr>
            <w:tcW w:w="567" w:type="dxa"/>
            <w:shd w:val="clear" w:color="auto" w:fill="FFFFFF"/>
          </w:tcPr>
          <w:p w14:paraId="16A3F02D" w14:textId="539DA98A" w:rsidR="0093147A" w:rsidRPr="000C5C2A" w:rsidRDefault="00E845FF" w:rsidP="00F900F8">
            <w:pPr>
              <w:pStyle w:val="CETBodytext"/>
              <w:ind w:right="-1"/>
            </w:pPr>
            <w:r>
              <w:t>n</w:t>
            </w:r>
          </w:p>
        </w:tc>
        <w:tc>
          <w:tcPr>
            <w:tcW w:w="1077" w:type="dxa"/>
            <w:shd w:val="clear" w:color="auto" w:fill="FFFFFF"/>
          </w:tcPr>
          <w:p w14:paraId="395CD954" w14:textId="54690915" w:rsidR="0093147A" w:rsidRPr="00B57B36" w:rsidRDefault="00884341" w:rsidP="00F900F8">
            <w:pPr>
              <w:pStyle w:val="CETBodytext"/>
              <w:ind w:right="-1"/>
              <w:rPr>
                <w:rFonts w:cs="Arial"/>
                <w:szCs w:val="18"/>
                <w:lang w:val="en-GB"/>
              </w:rPr>
            </w:pPr>
            <w:r>
              <w:rPr>
                <w:rFonts w:cs="Arial"/>
                <w:szCs w:val="18"/>
                <w:lang w:val="en-GB"/>
              </w:rPr>
              <w:t>(adm)</w:t>
            </w:r>
          </w:p>
        </w:tc>
        <w:tc>
          <w:tcPr>
            <w:tcW w:w="1640" w:type="dxa"/>
            <w:shd w:val="clear" w:color="auto" w:fill="FFFFFF"/>
          </w:tcPr>
          <w:p w14:paraId="2A419CCE" w14:textId="113F577D" w:rsidR="0093147A" w:rsidRPr="00B57B36" w:rsidRDefault="004B3AA1" w:rsidP="00F900F8">
            <w:pPr>
              <w:pStyle w:val="CETBodytext"/>
              <w:ind w:right="-1"/>
              <w:rPr>
                <w:rFonts w:cs="Arial"/>
                <w:szCs w:val="18"/>
                <w:lang w:val="en-GB"/>
              </w:rPr>
            </w:pPr>
            <w:r>
              <w:rPr>
                <w:rFonts w:cs="Arial"/>
                <w:szCs w:val="18"/>
                <w:lang w:val="en-GB"/>
              </w:rPr>
              <w:t>0.974</w:t>
            </w:r>
          </w:p>
        </w:tc>
        <w:tc>
          <w:tcPr>
            <w:tcW w:w="1640" w:type="dxa"/>
            <w:shd w:val="clear" w:color="auto" w:fill="FFFFFF"/>
          </w:tcPr>
          <w:p w14:paraId="322955FD" w14:textId="3E289B7A" w:rsidR="0093147A" w:rsidRPr="00B57B36" w:rsidRDefault="00163477" w:rsidP="00F900F8">
            <w:pPr>
              <w:pStyle w:val="CETBodytext"/>
              <w:ind w:right="-1"/>
              <w:rPr>
                <w:rFonts w:cs="Arial"/>
                <w:szCs w:val="18"/>
                <w:lang w:val="en-GB"/>
              </w:rPr>
            </w:pPr>
            <w:r>
              <w:rPr>
                <w:rFonts w:cs="Arial"/>
                <w:szCs w:val="18"/>
                <w:lang w:val="en-GB"/>
              </w:rPr>
              <w:t>0.945</w:t>
            </w:r>
          </w:p>
        </w:tc>
        <w:tc>
          <w:tcPr>
            <w:tcW w:w="1649" w:type="dxa"/>
            <w:shd w:val="clear" w:color="auto" w:fill="FFFFFF"/>
          </w:tcPr>
          <w:p w14:paraId="76D4ABDD" w14:textId="047ABFBD" w:rsidR="0093147A" w:rsidRPr="00B57B36" w:rsidRDefault="00A15E5C" w:rsidP="00F900F8">
            <w:pPr>
              <w:pStyle w:val="CETBodytext"/>
              <w:ind w:right="-1"/>
              <w:rPr>
                <w:rFonts w:cs="Arial"/>
                <w:szCs w:val="18"/>
                <w:lang w:val="en-GB"/>
              </w:rPr>
            </w:pPr>
            <w:r>
              <w:rPr>
                <w:rFonts w:cs="Arial"/>
                <w:szCs w:val="18"/>
                <w:lang w:val="en-GB"/>
              </w:rPr>
              <w:t>0.975</w:t>
            </w:r>
          </w:p>
        </w:tc>
        <w:tc>
          <w:tcPr>
            <w:tcW w:w="1649" w:type="dxa"/>
            <w:shd w:val="clear" w:color="auto" w:fill="FFFFFF"/>
          </w:tcPr>
          <w:p w14:paraId="57D23F22" w14:textId="5E13E323" w:rsidR="0093147A" w:rsidRPr="00B57B36" w:rsidRDefault="00166C76" w:rsidP="00F900F8">
            <w:pPr>
              <w:pStyle w:val="CETBodytext"/>
              <w:ind w:right="-1"/>
              <w:rPr>
                <w:rFonts w:cs="Arial"/>
                <w:szCs w:val="18"/>
                <w:lang w:val="en-GB"/>
              </w:rPr>
            </w:pPr>
            <w:r>
              <w:rPr>
                <w:rFonts w:cs="Arial"/>
                <w:szCs w:val="18"/>
                <w:lang w:val="en-GB"/>
              </w:rPr>
              <w:t>0.946</w:t>
            </w:r>
          </w:p>
        </w:tc>
      </w:tr>
    </w:tbl>
    <w:p w14:paraId="3D7E97F0" w14:textId="77777777" w:rsidR="004F018C" w:rsidRDefault="004F018C" w:rsidP="004F018C">
      <w:pPr>
        <w:pStyle w:val="CETBodytext"/>
        <w:rPr>
          <w:lang w:val="en-GB"/>
        </w:rPr>
      </w:pPr>
    </w:p>
    <w:p w14:paraId="5CF73FE4" w14:textId="3D29C26B" w:rsidR="004F018C" w:rsidRPr="00C66242" w:rsidRDefault="004F018C" w:rsidP="004F018C">
      <w:pPr>
        <w:pStyle w:val="CETBodytext"/>
      </w:pPr>
      <w:r w:rsidRPr="000C5C2A">
        <w:t xml:space="preserve">The </w:t>
      </w:r>
      <w:r w:rsidRPr="00C54F86">
        <w:t xml:space="preserve">influence </w:t>
      </w:r>
      <w:r w:rsidRPr="000C5C2A">
        <w:t>of light irradiation on the electrode/electrolyte interface is notably evident</w:t>
      </w:r>
      <w:r>
        <w:t xml:space="preserve"> except for </w:t>
      </w:r>
      <w:r w:rsidRPr="00C24019">
        <w:t>R</w:t>
      </w:r>
      <w:r w:rsidRPr="00C24019">
        <w:rPr>
          <w:vertAlign w:val="subscript"/>
        </w:rPr>
        <w:t>s</w:t>
      </w:r>
      <w:r w:rsidRPr="00C24019">
        <w:t xml:space="preserve"> </w:t>
      </w:r>
      <w:r w:rsidRPr="0076440A">
        <w:t>which shows a minor impact from both the irradiation and the presence of glycerol</w:t>
      </w:r>
      <w:r w:rsidRPr="000C5C2A">
        <w:t xml:space="preserve">. </w:t>
      </w:r>
      <w:r w:rsidRPr="00A94503">
        <w:t>Under dark conditions, the recorded</w:t>
      </w:r>
      <w:r>
        <w:t xml:space="preserve"> </w:t>
      </w:r>
      <w:r w:rsidRPr="000C5C2A">
        <w:t>R</w:t>
      </w:r>
      <w:r w:rsidRPr="00A811AB">
        <w:rPr>
          <w:vertAlign w:val="subscript"/>
        </w:rPr>
        <w:t>CT</w:t>
      </w:r>
      <w:r w:rsidRPr="000C5C2A">
        <w:t xml:space="preserve"> is </w:t>
      </w:r>
      <w:r w:rsidRPr="00A94503">
        <w:t>notably</w:t>
      </w:r>
      <w:r>
        <w:t xml:space="preserve"> </w:t>
      </w:r>
      <w:r w:rsidRPr="000C5C2A">
        <w:t xml:space="preserve">high. Additionally, the optimal fitting </w:t>
      </w:r>
      <w:r w:rsidRPr="00C66242">
        <w:t>exponent 'n' for Q</w:t>
      </w:r>
      <w:r w:rsidRPr="00C66242">
        <w:rPr>
          <w:vertAlign w:val="subscript"/>
        </w:rPr>
        <w:t>sc,el</w:t>
      </w:r>
      <w:r w:rsidRPr="00C66242">
        <w:t xml:space="preserve"> approximates 1, consistent with the </w:t>
      </w:r>
      <w:r w:rsidRPr="00C66242">
        <w:lastRenderedPageBreak/>
        <w:t>expected behavior of an almost perfect n-type semiconductor.</w:t>
      </w:r>
      <w:r w:rsidR="00632665" w:rsidRPr="00C66242">
        <w:t xml:space="preserve"> During p</w:t>
      </w:r>
      <w:r w:rsidRPr="00C66242">
        <w:t>ost-irradiation, a substantial</w:t>
      </w:r>
      <w:r w:rsidRPr="000C5C2A">
        <w:t xml:space="preserve"> reduction in R</w:t>
      </w:r>
      <w:r w:rsidRPr="00A811AB">
        <w:rPr>
          <w:vertAlign w:val="subscript"/>
        </w:rPr>
        <w:t>CT</w:t>
      </w:r>
      <w:r w:rsidRPr="000C5C2A">
        <w:t xml:space="preserve"> </w:t>
      </w:r>
      <w:r w:rsidRPr="00054304">
        <w:t>occurs</w:t>
      </w:r>
      <w:r w:rsidRPr="000C5C2A">
        <w:t xml:space="preserve">, </w:t>
      </w:r>
      <w:r w:rsidRPr="00786FE0">
        <w:t xml:space="preserve">closely </w:t>
      </w:r>
      <w:r w:rsidRPr="000C5C2A">
        <w:t>linked to the amplified concentration of photocarriers and in agreement with the increased capacitance. However, during illumination, lower R</w:t>
      </w:r>
      <w:r w:rsidRPr="00A811AB">
        <w:rPr>
          <w:vertAlign w:val="subscript"/>
        </w:rPr>
        <w:t>CT</w:t>
      </w:r>
      <w:r w:rsidRPr="000C5C2A">
        <w:t xml:space="preserve"> are recorded </w:t>
      </w:r>
      <w:r w:rsidRPr="00C66242">
        <w:t xml:space="preserve">in a 0.1 M glycerol-containing solution compared to estimates in a glycerol-free solution. This confirms that, from a kinetic </w:t>
      </w:r>
      <w:r w:rsidR="00632665" w:rsidRPr="00C66242">
        <w:t>point of view</w:t>
      </w:r>
      <w:r w:rsidRPr="00C66242">
        <w:t xml:space="preserve">, the overall reaction is less demanding under </w:t>
      </w:r>
      <w:r w:rsidR="002B3405">
        <w:t>irradiation</w:t>
      </w:r>
      <w:r w:rsidRPr="00C66242">
        <w:t xml:space="preserve"> in the glycerol-containing solution.</w:t>
      </w:r>
    </w:p>
    <w:p w14:paraId="70C77D45" w14:textId="6251B48E" w:rsidR="00CA4933" w:rsidRDefault="004956F4" w:rsidP="00C423CD">
      <w:pPr>
        <w:pStyle w:val="CETBodytext"/>
      </w:pPr>
      <w:r w:rsidRPr="00C66242">
        <w:t>P</w:t>
      </w:r>
      <w:r w:rsidR="00CA4933" w:rsidRPr="00C66242">
        <w:t>hotoelectrocatalyt</w:t>
      </w:r>
      <w:r w:rsidRPr="00C66242">
        <w:t xml:space="preserve">ic results are </w:t>
      </w:r>
      <w:r w:rsidR="002A0051" w:rsidRPr="00C66242">
        <w:t xml:space="preserve">detailed </w:t>
      </w:r>
      <w:r w:rsidRPr="00C66242">
        <w:t xml:space="preserve">in Table 2. </w:t>
      </w:r>
      <w:r w:rsidR="00E7592F" w:rsidRPr="00C66242">
        <w:t>Generally, under constant pH conditions</w:t>
      </w:r>
      <w:r w:rsidR="00260944" w:rsidRPr="00C66242">
        <w:t xml:space="preserve">, </w:t>
      </w:r>
      <w:r w:rsidR="00B6520A" w:rsidRPr="00C66242">
        <w:t xml:space="preserve">an </w:t>
      </w:r>
      <w:r w:rsidR="00260944" w:rsidRPr="00C66242">
        <w:t>increase</w:t>
      </w:r>
      <w:r w:rsidR="00B6520A" w:rsidRPr="00C66242">
        <w:t xml:space="preserve"> </w:t>
      </w:r>
      <w:r w:rsidR="00260944" w:rsidRPr="00C66242">
        <w:t>in</w:t>
      </w:r>
      <w:r w:rsidR="00B6520A" w:rsidRPr="00C66242">
        <w:t xml:space="preserve"> the applied bias results in an </w:t>
      </w:r>
      <w:r w:rsidR="00260944" w:rsidRPr="00C66242">
        <w:t>increase</w:t>
      </w:r>
      <w:r w:rsidR="00B6520A" w:rsidRPr="00C66242">
        <w:t xml:space="preserve"> </w:t>
      </w:r>
      <w:r w:rsidR="00632665" w:rsidRPr="00C66242">
        <w:t>of</w:t>
      </w:r>
      <w:r w:rsidR="00B6520A" w:rsidRPr="00C66242">
        <w:t xml:space="preserve"> the </w:t>
      </w:r>
      <w:r w:rsidR="001A1E99" w:rsidRPr="00C66242">
        <w:t>cell potential</w:t>
      </w:r>
      <w:r w:rsidR="006D1CA8" w:rsidRPr="00C66242">
        <w:t xml:space="preserve">. </w:t>
      </w:r>
      <w:r w:rsidR="005F4282" w:rsidRPr="00C66242">
        <w:t>Notably,</w:t>
      </w:r>
      <w:r w:rsidR="001A1E99" w:rsidRPr="00C66242">
        <w:t xml:space="preserve"> </w:t>
      </w:r>
      <w:r w:rsidR="005777D3" w:rsidRPr="00C66242">
        <w:t xml:space="preserve">at fixed applied bias, </w:t>
      </w:r>
      <w:r w:rsidR="00A60015" w:rsidRPr="00C66242">
        <w:t>the cell potential increases as the pH increases.</w:t>
      </w:r>
      <w:r w:rsidR="005F4282" w:rsidRPr="00C66242">
        <w:t xml:space="preserve"> </w:t>
      </w:r>
      <w:r w:rsidR="00882F27" w:rsidRPr="00C66242">
        <w:t xml:space="preserve">The same trends are </w:t>
      </w:r>
      <w:r w:rsidR="00632665" w:rsidRPr="00C66242">
        <w:t>observed for</w:t>
      </w:r>
      <w:r w:rsidR="00882F27" w:rsidRPr="00C66242">
        <w:t xml:space="preserve"> the photocurrent and thus </w:t>
      </w:r>
      <w:r w:rsidR="00632665" w:rsidRPr="00C66242">
        <w:t xml:space="preserve">for </w:t>
      </w:r>
      <w:r w:rsidR="00882F27" w:rsidRPr="00C66242">
        <w:t>the</w:t>
      </w:r>
      <w:r w:rsidR="00882F27" w:rsidRPr="00882F27">
        <w:t xml:space="preserve"> reaction rates. </w:t>
      </w:r>
      <w:r w:rsidR="00EA0DDE" w:rsidRPr="00901189">
        <w:t xml:space="preserve">This is consistent with </w:t>
      </w:r>
      <w:r w:rsidR="00882F27" w:rsidRPr="00901189">
        <w:t>the increased driving force</w:t>
      </w:r>
      <w:r w:rsidR="00901189" w:rsidRPr="00901189">
        <w:t xml:space="preserve">, i.e., cell potential, </w:t>
      </w:r>
      <w:r w:rsidR="00267E8E">
        <w:t>caused by</w:t>
      </w:r>
      <w:r w:rsidR="001D439B">
        <w:t xml:space="preserve"> an increase</w:t>
      </w:r>
      <w:r w:rsidR="00901189" w:rsidRPr="00901189">
        <w:t xml:space="preserve"> </w:t>
      </w:r>
      <w:r w:rsidR="001D439B">
        <w:t xml:space="preserve">of </w:t>
      </w:r>
      <w:r w:rsidR="00901189" w:rsidRPr="00901189">
        <w:t>the applied bias</w:t>
      </w:r>
      <w:r w:rsidR="002519F6">
        <w:t>,</w:t>
      </w:r>
      <w:r w:rsidR="001D439B">
        <w:t xml:space="preserve"> and </w:t>
      </w:r>
      <w:r w:rsidR="002A6C96">
        <w:t xml:space="preserve">a more </w:t>
      </w:r>
      <w:r w:rsidR="00177EC2">
        <w:t>favorable</w:t>
      </w:r>
      <w:r w:rsidR="002A6C96">
        <w:t xml:space="preserve"> kinetic</w:t>
      </w:r>
      <w:r w:rsidR="00177EC2">
        <w:t xml:space="preserve"> for OER at higher pH values.</w:t>
      </w:r>
    </w:p>
    <w:p w14:paraId="7B5DB7DF" w14:textId="2E16EF2C" w:rsidR="00A16101" w:rsidRPr="00B57B36" w:rsidRDefault="00A16101" w:rsidP="00A16101">
      <w:pPr>
        <w:pStyle w:val="CETTabletitle"/>
      </w:pPr>
      <w:r w:rsidRPr="00B57B36">
        <w:t xml:space="preserve">Table </w:t>
      </w:r>
      <w:r>
        <w:t>2</w:t>
      </w:r>
      <w:r w:rsidRPr="00B57B36">
        <w:t xml:space="preserve">: </w:t>
      </w:r>
      <w:r>
        <w:t>Photoelec</w:t>
      </w:r>
      <w:r w:rsidR="00273C45">
        <w:t xml:space="preserve">trocatalytic results varying pH and </w:t>
      </w:r>
      <w:r w:rsidR="0029206A">
        <w:t>applied bias</w:t>
      </w:r>
      <w:r>
        <w:t>.</w:t>
      </w:r>
    </w:p>
    <w:tbl>
      <w:tblPr>
        <w:tblW w:w="776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67"/>
        <w:gridCol w:w="1361"/>
        <w:gridCol w:w="1247"/>
        <w:gridCol w:w="1191"/>
        <w:gridCol w:w="850"/>
        <w:gridCol w:w="850"/>
        <w:gridCol w:w="850"/>
        <w:gridCol w:w="850"/>
      </w:tblGrid>
      <w:tr w:rsidR="00C17BBA" w:rsidRPr="00B57B36" w14:paraId="03514059" w14:textId="6E49521D" w:rsidTr="00E5482E">
        <w:tc>
          <w:tcPr>
            <w:tcW w:w="567" w:type="dxa"/>
            <w:tcBorders>
              <w:top w:val="single" w:sz="12" w:space="0" w:color="008000"/>
              <w:bottom w:val="single" w:sz="6" w:space="0" w:color="008000"/>
            </w:tcBorders>
            <w:shd w:val="clear" w:color="auto" w:fill="FFFFFF"/>
          </w:tcPr>
          <w:p w14:paraId="0DE542DD" w14:textId="06D84552" w:rsidR="00C17BBA" w:rsidRPr="00B57B36" w:rsidRDefault="00C17BBA" w:rsidP="00012082">
            <w:pPr>
              <w:pStyle w:val="CETBodytext"/>
              <w:rPr>
                <w:lang w:val="en-GB"/>
              </w:rPr>
            </w:pPr>
            <w:r>
              <w:rPr>
                <w:lang w:val="en-GB"/>
              </w:rPr>
              <w:t>pH</w:t>
            </w:r>
          </w:p>
        </w:tc>
        <w:tc>
          <w:tcPr>
            <w:tcW w:w="1361" w:type="dxa"/>
            <w:tcBorders>
              <w:top w:val="single" w:sz="12" w:space="0" w:color="008000"/>
              <w:bottom w:val="single" w:sz="6" w:space="0" w:color="008000"/>
            </w:tcBorders>
            <w:shd w:val="clear" w:color="auto" w:fill="FFFFFF"/>
          </w:tcPr>
          <w:p w14:paraId="1A094E74" w14:textId="77777777" w:rsidR="00C17BBA" w:rsidRDefault="00C17BBA" w:rsidP="00012082">
            <w:pPr>
              <w:pStyle w:val="CETBodytext"/>
              <w:rPr>
                <w:lang w:val="en-GB"/>
              </w:rPr>
            </w:pPr>
            <w:r>
              <w:rPr>
                <w:lang w:val="en-GB"/>
              </w:rPr>
              <w:t>Applied bias</w:t>
            </w:r>
          </w:p>
          <w:p w14:paraId="2F42DC19" w14:textId="0C53B92A" w:rsidR="00C17BBA" w:rsidRPr="008F27D3" w:rsidRDefault="00C17BBA" w:rsidP="00012082">
            <w:pPr>
              <w:pStyle w:val="CETBodytext"/>
              <w:rPr>
                <w:lang w:val="en-GB"/>
              </w:rPr>
            </w:pPr>
            <w:r>
              <w:rPr>
                <w:lang w:val="en-GB"/>
              </w:rPr>
              <w:t>(V vs. Ag/AgCl)</w:t>
            </w:r>
          </w:p>
        </w:tc>
        <w:tc>
          <w:tcPr>
            <w:tcW w:w="1247" w:type="dxa"/>
            <w:tcBorders>
              <w:top w:val="single" w:sz="12" w:space="0" w:color="008000"/>
              <w:bottom w:val="single" w:sz="6" w:space="0" w:color="008000"/>
            </w:tcBorders>
            <w:shd w:val="clear" w:color="auto" w:fill="FFFFFF"/>
          </w:tcPr>
          <w:p w14:paraId="04BDE9FF" w14:textId="73028FA0" w:rsidR="00C17BBA" w:rsidRDefault="00C17BBA" w:rsidP="00012082">
            <w:pPr>
              <w:pStyle w:val="CETBodytext"/>
              <w:rPr>
                <w:lang w:val="en-GB"/>
              </w:rPr>
            </w:pPr>
            <w:r>
              <w:rPr>
                <w:lang w:val="en-GB"/>
              </w:rPr>
              <w:t>Cell potential</w:t>
            </w:r>
          </w:p>
          <w:p w14:paraId="7F28AC24" w14:textId="78C32F82" w:rsidR="00C17BBA" w:rsidRPr="00B57B36" w:rsidRDefault="00C17BBA" w:rsidP="00012082">
            <w:pPr>
              <w:pStyle w:val="CETBodytext"/>
              <w:rPr>
                <w:lang w:val="en-GB"/>
              </w:rPr>
            </w:pPr>
            <w:r>
              <w:rPr>
                <w:lang w:val="en-GB"/>
              </w:rPr>
              <w:t>(V)</w:t>
            </w:r>
          </w:p>
        </w:tc>
        <w:tc>
          <w:tcPr>
            <w:tcW w:w="1191" w:type="dxa"/>
            <w:tcBorders>
              <w:top w:val="single" w:sz="12" w:space="0" w:color="008000"/>
              <w:bottom w:val="single" w:sz="6" w:space="0" w:color="008000"/>
            </w:tcBorders>
            <w:shd w:val="clear" w:color="auto" w:fill="FFFFFF"/>
          </w:tcPr>
          <w:p w14:paraId="598B7A53" w14:textId="77777777" w:rsidR="00C17BBA" w:rsidRDefault="00C17BBA" w:rsidP="00012082">
            <w:pPr>
              <w:pStyle w:val="CETBodytext"/>
              <w:rPr>
                <w:lang w:val="en-GB"/>
              </w:rPr>
            </w:pPr>
            <w:r>
              <w:rPr>
                <w:lang w:val="en-GB"/>
              </w:rPr>
              <w:t>Photocurrent</w:t>
            </w:r>
          </w:p>
          <w:p w14:paraId="5CAF847D" w14:textId="637B6D17" w:rsidR="00C17BBA" w:rsidRPr="00B57B36" w:rsidRDefault="00C17BBA" w:rsidP="00012082">
            <w:pPr>
              <w:pStyle w:val="CETBodytext"/>
              <w:rPr>
                <w:lang w:val="en-GB"/>
              </w:rPr>
            </w:pPr>
            <w:r>
              <w:rPr>
                <w:lang w:val="en-GB"/>
              </w:rPr>
              <w:t>(mA)</w:t>
            </w:r>
          </w:p>
        </w:tc>
        <w:tc>
          <w:tcPr>
            <w:tcW w:w="850" w:type="dxa"/>
            <w:tcBorders>
              <w:top w:val="single" w:sz="12" w:space="0" w:color="008000"/>
              <w:bottom w:val="single" w:sz="6" w:space="0" w:color="008000"/>
            </w:tcBorders>
            <w:shd w:val="clear" w:color="auto" w:fill="FFFFFF"/>
          </w:tcPr>
          <w:p w14:paraId="25800C31" w14:textId="77777777" w:rsidR="00C17BBA" w:rsidRDefault="00C17BBA" w:rsidP="00012082">
            <w:pPr>
              <w:pStyle w:val="CETBodytext"/>
              <w:ind w:right="-1"/>
              <w:rPr>
                <w:rFonts w:cs="Arial"/>
                <w:szCs w:val="18"/>
                <w:lang w:val="en-GB"/>
              </w:rPr>
            </w:pPr>
            <w:r>
              <w:rPr>
                <w:rFonts w:cs="Arial"/>
                <w:szCs w:val="18"/>
                <w:lang w:val="en-GB"/>
              </w:rPr>
              <w:t>FE DHA</w:t>
            </w:r>
          </w:p>
          <w:p w14:paraId="7B6ED3BD" w14:textId="0F6E5C86" w:rsidR="00C17BBA" w:rsidRPr="00B57B36" w:rsidRDefault="00C17BBA" w:rsidP="00012082">
            <w:pPr>
              <w:pStyle w:val="CETBodytext"/>
              <w:ind w:right="-1"/>
              <w:rPr>
                <w:rFonts w:cs="Arial"/>
                <w:szCs w:val="18"/>
                <w:lang w:val="en-GB"/>
              </w:rPr>
            </w:pPr>
            <w:r>
              <w:rPr>
                <w:rFonts w:cs="Arial"/>
                <w:szCs w:val="18"/>
                <w:lang w:val="en-GB"/>
              </w:rPr>
              <w:t>(%)</w:t>
            </w:r>
          </w:p>
        </w:tc>
        <w:tc>
          <w:tcPr>
            <w:tcW w:w="850" w:type="dxa"/>
            <w:tcBorders>
              <w:top w:val="single" w:sz="12" w:space="0" w:color="008000"/>
              <w:bottom w:val="single" w:sz="6" w:space="0" w:color="008000"/>
            </w:tcBorders>
            <w:shd w:val="clear" w:color="auto" w:fill="FFFFFF"/>
          </w:tcPr>
          <w:p w14:paraId="4E62F3C1" w14:textId="77777777" w:rsidR="00C17BBA" w:rsidRDefault="00C17BBA" w:rsidP="00012082">
            <w:pPr>
              <w:pStyle w:val="CETBodytext"/>
              <w:ind w:right="-1"/>
              <w:rPr>
                <w:rFonts w:cs="Arial"/>
                <w:szCs w:val="18"/>
                <w:lang w:val="en-GB"/>
              </w:rPr>
            </w:pPr>
            <w:r>
              <w:rPr>
                <w:rFonts w:cs="Arial"/>
                <w:szCs w:val="18"/>
                <w:lang w:val="en-GB"/>
              </w:rPr>
              <w:t>FE GA</w:t>
            </w:r>
          </w:p>
          <w:p w14:paraId="4321D0BA" w14:textId="3FE5D324" w:rsidR="00C17BBA" w:rsidRPr="00B57B36" w:rsidRDefault="00C17BBA" w:rsidP="00012082">
            <w:pPr>
              <w:pStyle w:val="CETBodytext"/>
              <w:ind w:right="-1"/>
              <w:rPr>
                <w:rFonts w:cs="Arial"/>
                <w:szCs w:val="18"/>
                <w:lang w:val="en-GB"/>
              </w:rPr>
            </w:pPr>
            <w:r>
              <w:rPr>
                <w:rFonts w:cs="Arial"/>
                <w:szCs w:val="18"/>
                <w:lang w:val="en-GB"/>
              </w:rPr>
              <w:t>(%)</w:t>
            </w:r>
          </w:p>
        </w:tc>
        <w:tc>
          <w:tcPr>
            <w:tcW w:w="850" w:type="dxa"/>
            <w:tcBorders>
              <w:top w:val="single" w:sz="12" w:space="0" w:color="008000"/>
              <w:bottom w:val="single" w:sz="6" w:space="0" w:color="008000"/>
            </w:tcBorders>
            <w:shd w:val="clear" w:color="auto" w:fill="FFFFFF"/>
          </w:tcPr>
          <w:p w14:paraId="137F203B" w14:textId="77777777" w:rsidR="008F3B48" w:rsidRDefault="00C17BBA" w:rsidP="00012082">
            <w:pPr>
              <w:pStyle w:val="CETBodytext"/>
              <w:ind w:right="-1"/>
              <w:rPr>
                <w:rFonts w:cs="Arial"/>
                <w:szCs w:val="18"/>
                <w:vertAlign w:val="subscript"/>
                <w:lang w:val="en-GB"/>
              </w:rPr>
            </w:pPr>
            <w:r>
              <w:rPr>
                <w:rFonts w:cs="Arial"/>
                <w:szCs w:val="18"/>
                <w:lang w:val="en-GB"/>
              </w:rPr>
              <w:t>FE CO</w:t>
            </w:r>
            <w:r w:rsidRPr="00C17BBA">
              <w:rPr>
                <w:rFonts w:cs="Arial"/>
                <w:szCs w:val="18"/>
                <w:vertAlign w:val="subscript"/>
                <w:lang w:val="en-GB"/>
              </w:rPr>
              <w:t>2</w:t>
            </w:r>
          </w:p>
          <w:p w14:paraId="1BB5F4E5" w14:textId="41812BEE" w:rsidR="00C17BBA" w:rsidRDefault="008F3B48" w:rsidP="00012082">
            <w:pPr>
              <w:pStyle w:val="CETBodytext"/>
              <w:ind w:right="-1"/>
              <w:rPr>
                <w:rFonts w:cs="Arial"/>
                <w:szCs w:val="18"/>
                <w:lang w:val="en-GB"/>
              </w:rPr>
            </w:pPr>
            <w:r>
              <w:rPr>
                <w:rFonts w:cs="Arial"/>
                <w:szCs w:val="18"/>
                <w:lang w:val="en-GB"/>
              </w:rPr>
              <w:t>(%)</w:t>
            </w:r>
          </w:p>
        </w:tc>
        <w:tc>
          <w:tcPr>
            <w:tcW w:w="850" w:type="dxa"/>
            <w:tcBorders>
              <w:top w:val="single" w:sz="12" w:space="0" w:color="008000"/>
              <w:bottom w:val="single" w:sz="6" w:space="0" w:color="008000"/>
            </w:tcBorders>
            <w:shd w:val="clear" w:color="auto" w:fill="FFFFFF"/>
          </w:tcPr>
          <w:p w14:paraId="2FE327D1" w14:textId="77777777" w:rsidR="00C17BBA" w:rsidRDefault="00C17BBA" w:rsidP="00012082">
            <w:pPr>
              <w:pStyle w:val="CETBodytext"/>
              <w:ind w:right="-1"/>
              <w:rPr>
                <w:rFonts w:cs="Arial"/>
                <w:szCs w:val="18"/>
                <w:lang w:val="en-GB"/>
              </w:rPr>
            </w:pPr>
            <w:r>
              <w:rPr>
                <w:rFonts w:cs="Arial"/>
                <w:szCs w:val="18"/>
                <w:lang w:val="en-GB"/>
              </w:rPr>
              <w:t>FE H</w:t>
            </w:r>
            <w:r w:rsidRPr="008F3B48">
              <w:rPr>
                <w:rFonts w:cs="Arial"/>
                <w:szCs w:val="18"/>
                <w:vertAlign w:val="subscript"/>
                <w:lang w:val="en-GB"/>
              </w:rPr>
              <w:t>2</w:t>
            </w:r>
          </w:p>
          <w:p w14:paraId="0DE01973" w14:textId="387B3BCB" w:rsidR="008F3B48" w:rsidRDefault="008F3B48" w:rsidP="00012082">
            <w:pPr>
              <w:pStyle w:val="CETBodytext"/>
              <w:ind w:right="-1"/>
              <w:rPr>
                <w:rFonts w:cs="Arial"/>
                <w:szCs w:val="18"/>
                <w:lang w:val="en-GB"/>
              </w:rPr>
            </w:pPr>
            <w:r>
              <w:rPr>
                <w:rFonts w:cs="Arial"/>
                <w:szCs w:val="18"/>
                <w:lang w:val="en-GB"/>
              </w:rPr>
              <w:t>(%)</w:t>
            </w:r>
          </w:p>
        </w:tc>
      </w:tr>
      <w:tr w:rsidR="00C17BBA" w:rsidRPr="00B57B36" w14:paraId="333C249B" w14:textId="09C8220B" w:rsidTr="00E5482E">
        <w:tc>
          <w:tcPr>
            <w:tcW w:w="567" w:type="dxa"/>
            <w:shd w:val="clear" w:color="auto" w:fill="FFFFFF"/>
          </w:tcPr>
          <w:p w14:paraId="5F1E4277" w14:textId="18A78707" w:rsidR="00C17BBA" w:rsidRPr="00B57B36" w:rsidRDefault="007B135E" w:rsidP="00012082">
            <w:pPr>
              <w:pStyle w:val="CETBodytext"/>
              <w:rPr>
                <w:lang w:val="en-GB"/>
              </w:rPr>
            </w:pPr>
            <w:r>
              <w:rPr>
                <w:lang w:val="en-GB"/>
              </w:rPr>
              <w:t>2</w:t>
            </w:r>
          </w:p>
        </w:tc>
        <w:tc>
          <w:tcPr>
            <w:tcW w:w="1361" w:type="dxa"/>
            <w:shd w:val="clear" w:color="auto" w:fill="FFFFFF"/>
          </w:tcPr>
          <w:p w14:paraId="26E8A88D" w14:textId="5E349696" w:rsidR="00C17BBA" w:rsidRPr="00B57B36" w:rsidRDefault="00A91FE4" w:rsidP="00012082">
            <w:pPr>
              <w:pStyle w:val="CETBodytext"/>
              <w:rPr>
                <w:lang w:val="en-GB"/>
              </w:rPr>
            </w:pPr>
            <w:r>
              <w:rPr>
                <w:lang w:val="en-GB"/>
              </w:rPr>
              <w:t>0.5</w:t>
            </w:r>
          </w:p>
        </w:tc>
        <w:tc>
          <w:tcPr>
            <w:tcW w:w="1247" w:type="dxa"/>
            <w:shd w:val="clear" w:color="auto" w:fill="FFFFFF"/>
          </w:tcPr>
          <w:p w14:paraId="4696E11E" w14:textId="210D0804" w:rsidR="00C17BBA" w:rsidRPr="00B57B36" w:rsidRDefault="00513EBF" w:rsidP="00012082">
            <w:pPr>
              <w:pStyle w:val="CETBodytext"/>
              <w:rPr>
                <w:lang w:val="en-GB"/>
              </w:rPr>
            </w:pPr>
            <w:r>
              <w:rPr>
                <w:lang w:val="en-GB"/>
              </w:rPr>
              <w:t>0.9</w:t>
            </w:r>
            <w:r w:rsidR="00FD4DA3">
              <w:rPr>
                <w:lang w:val="en-GB"/>
              </w:rPr>
              <w:t>0</w:t>
            </w:r>
          </w:p>
        </w:tc>
        <w:tc>
          <w:tcPr>
            <w:tcW w:w="1191" w:type="dxa"/>
            <w:shd w:val="clear" w:color="auto" w:fill="FFFFFF"/>
          </w:tcPr>
          <w:p w14:paraId="25472912" w14:textId="43CDFFCD" w:rsidR="00C17BBA" w:rsidRPr="00B57B36" w:rsidRDefault="0057760B" w:rsidP="00012082">
            <w:pPr>
              <w:pStyle w:val="CETBodytext"/>
              <w:rPr>
                <w:lang w:val="en-GB"/>
              </w:rPr>
            </w:pPr>
            <w:r>
              <w:rPr>
                <w:lang w:val="en-GB"/>
              </w:rPr>
              <w:t>2.3</w:t>
            </w:r>
          </w:p>
        </w:tc>
        <w:tc>
          <w:tcPr>
            <w:tcW w:w="850" w:type="dxa"/>
            <w:shd w:val="clear" w:color="auto" w:fill="FFFFFF"/>
          </w:tcPr>
          <w:p w14:paraId="35FF63F8" w14:textId="444D89E6" w:rsidR="00C17BBA" w:rsidRPr="00B57B36" w:rsidRDefault="007C74C7" w:rsidP="00012082">
            <w:pPr>
              <w:pStyle w:val="CETBodytext"/>
              <w:ind w:right="-1"/>
              <w:rPr>
                <w:rFonts w:cs="Arial"/>
                <w:szCs w:val="18"/>
                <w:lang w:val="en-GB"/>
              </w:rPr>
            </w:pPr>
            <w:r>
              <w:rPr>
                <w:rFonts w:cs="Arial"/>
                <w:szCs w:val="18"/>
                <w:lang w:val="en-GB"/>
              </w:rPr>
              <w:t>8.</w:t>
            </w:r>
            <w:r w:rsidR="00E0637A">
              <w:rPr>
                <w:rFonts w:cs="Arial"/>
                <w:szCs w:val="18"/>
                <w:lang w:val="en-GB"/>
              </w:rPr>
              <w:t>4</w:t>
            </w:r>
          </w:p>
        </w:tc>
        <w:tc>
          <w:tcPr>
            <w:tcW w:w="850" w:type="dxa"/>
            <w:shd w:val="clear" w:color="auto" w:fill="FFFFFF"/>
          </w:tcPr>
          <w:p w14:paraId="21AADF10" w14:textId="756D90A0" w:rsidR="00C17BBA" w:rsidRPr="00B57B36" w:rsidRDefault="00DF0B02" w:rsidP="00012082">
            <w:pPr>
              <w:pStyle w:val="CETBodytext"/>
              <w:ind w:right="-1"/>
              <w:rPr>
                <w:rFonts w:cs="Arial"/>
                <w:szCs w:val="18"/>
                <w:lang w:val="en-GB"/>
              </w:rPr>
            </w:pPr>
            <w:r>
              <w:rPr>
                <w:rFonts w:cs="Arial"/>
                <w:szCs w:val="18"/>
                <w:lang w:val="en-GB"/>
              </w:rPr>
              <w:t>6.</w:t>
            </w:r>
            <w:r w:rsidR="00E0637A">
              <w:rPr>
                <w:rFonts w:cs="Arial"/>
                <w:szCs w:val="18"/>
                <w:lang w:val="en-GB"/>
              </w:rPr>
              <w:t>2</w:t>
            </w:r>
          </w:p>
        </w:tc>
        <w:tc>
          <w:tcPr>
            <w:tcW w:w="850" w:type="dxa"/>
            <w:shd w:val="clear" w:color="auto" w:fill="FFFFFF"/>
          </w:tcPr>
          <w:p w14:paraId="54ABD7A4" w14:textId="27B92449" w:rsidR="00C17BBA" w:rsidRPr="00B57B36" w:rsidRDefault="00271A2E" w:rsidP="00012082">
            <w:pPr>
              <w:pStyle w:val="CETBodytext"/>
              <w:ind w:right="-1"/>
              <w:rPr>
                <w:rFonts w:cs="Arial"/>
                <w:szCs w:val="18"/>
                <w:lang w:val="en-GB"/>
              </w:rPr>
            </w:pPr>
            <w:r>
              <w:rPr>
                <w:rFonts w:cs="Arial"/>
                <w:szCs w:val="18"/>
                <w:lang w:val="en-GB"/>
              </w:rPr>
              <w:t>26</w:t>
            </w:r>
          </w:p>
        </w:tc>
        <w:tc>
          <w:tcPr>
            <w:tcW w:w="850" w:type="dxa"/>
            <w:shd w:val="clear" w:color="auto" w:fill="FFFFFF"/>
          </w:tcPr>
          <w:p w14:paraId="5DCEB472" w14:textId="2224B326" w:rsidR="00C17BBA" w:rsidRPr="00B57B36" w:rsidRDefault="00C409D6" w:rsidP="00012082">
            <w:pPr>
              <w:pStyle w:val="CETBodytext"/>
              <w:ind w:right="-1"/>
              <w:rPr>
                <w:rFonts w:cs="Arial"/>
                <w:szCs w:val="18"/>
                <w:lang w:val="en-GB"/>
              </w:rPr>
            </w:pPr>
            <w:r>
              <w:rPr>
                <w:rFonts w:cs="Arial"/>
                <w:szCs w:val="18"/>
                <w:lang w:val="en-GB"/>
              </w:rPr>
              <w:t>8</w:t>
            </w:r>
            <w:r w:rsidR="00E5482E">
              <w:rPr>
                <w:rFonts w:cs="Arial"/>
                <w:szCs w:val="18"/>
                <w:lang w:val="en-GB"/>
              </w:rPr>
              <w:t>5</w:t>
            </w:r>
          </w:p>
        </w:tc>
      </w:tr>
      <w:tr w:rsidR="00C17BBA" w:rsidRPr="00B57B36" w14:paraId="25654FF1" w14:textId="6B085799" w:rsidTr="00E5482E">
        <w:tc>
          <w:tcPr>
            <w:tcW w:w="567" w:type="dxa"/>
            <w:shd w:val="clear" w:color="auto" w:fill="FFFFFF"/>
          </w:tcPr>
          <w:p w14:paraId="25552634" w14:textId="19A073B1" w:rsidR="00C17BBA" w:rsidRPr="00B57B36" w:rsidRDefault="00A91FE4" w:rsidP="00012082">
            <w:pPr>
              <w:pStyle w:val="CETBodytext"/>
              <w:ind w:right="-1"/>
              <w:rPr>
                <w:rFonts w:cs="Arial"/>
                <w:szCs w:val="18"/>
                <w:lang w:val="en-GB"/>
              </w:rPr>
            </w:pPr>
            <w:r>
              <w:rPr>
                <w:rFonts w:cs="Arial"/>
                <w:szCs w:val="18"/>
                <w:lang w:val="en-GB"/>
              </w:rPr>
              <w:t>7</w:t>
            </w:r>
          </w:p>
        </w:tc>
        <w:tc>
          <w:tcPr>
            <w:tcW w:w="1361" w:type="dxa"/>
            <w:shd w:val="clear" w:color="auto" w:fill="FFFFFF"/>
          </w:tcPr>
          <w:p w14:paraId="4EA74ED7" w14:textId="79553616" w:rsidR="00C17BBA" w:rsidRPr="00B57B36" w:rsidRDefault="00A91FE4" w:rsidP="00012082">
            <w:pPr>
              <w:pStyle w:val="CETBodytext"/>
              <w:ind w:right="-1"/>
              <w:rPr>
                <w:rFonts w:cs="Arial"/>
                <w:szCs w:val="18"/>
                <w:lang w:val="en-GB"/>
              </w:rPr>
            </w:pPr>
            <w:r>
              <w:rPr>
                <w:rFonts w:cs="Arial"/>
                <w:szCs w:val="18"/>
                <w:lang w:val="en-GB"/>
              </w:rPr>
              <w:t>0.1</w:t>
            </w:r>
          </w:p>
        </w:tc>
        <w:tc>
          <w:tcPr>
            <w:tcW w:w="1247" w:type="dxa"/>
            <w:shd w:val="clear" w:color="auto" w:fill="FFFFFF"/>
          </w:tcPr>
          <w:p w14:paraId="03885F8E" w14:textId="192B5E8A" w:rsidR="00C17BBA" w:rsidRPr="00B57B36" w:rsidRDefault="00513EBF" w:rsidP="00012082">
            <w:pPr>
              <w:pStyle w:val="CETBodytext"/>
              <w:ind w:right="-1"/>
              <w:rPr>
                <w:rFonts w:cs="Arial"/>
                <w:szCs w:val="18"/>
                <w:lang w:val="en-GB"/>
              </w:rPr>
            </w:pPr>
            <w:r>
              <w:rPr>
                <w:rFonts w:cs="Arial"/>
                <w:szCs w:val="18"/>
                <w:lang w:val="en-GB"/>
              </w:rPr>
              <w:t>1</w:t>
            </w:r>
            <w:r w:rsidR="00FD4DA3">
              <w:rPr>
                <w:rFonts w:cs="Arial"/>
                <w:szCs w:val="18"/>
                <w:lang w:val="en-GB"/>
              </w:rPr>
              <w:t>.00</w:t>
            </w:r>
          </w:p>
        </w:tc>
        <w:tc>
          <w:tcPr>
            <w:tcW w:w="1191" w:type="dxa"/>
            <w:shd w:val="clear" w:color="auto" w:fill="FFFFFF"/>
          </w:tcPr>
          <w:p w14:paraId="21C68F13" w14:textId="7A199D4F" w:rsidR="00C17BBA" w:rsidRPr="00B57B36" w:rsidRDefault="0057760B" w:rsidP="00012082">
            <w:pPr>
              <w:pStyle w:val="CETBodytext"/>
              <w:ind w:right="-1"/>
              <w:rPr>
                <w:rFonts w:cs="Arial"/>
                <w:szCs w:val="18"/>
                <w:lang w:val="en-GB"/>
              </w:rPr>
            </w:pPr>
            <w:r>
              <w:rPr>
                <w:rFonts w:cs="Arial"/>
                <w:szCs w:val="18"/>
                <w:lang w:val="en-GB"/>
              </w:rPr>
              <w:t>3</w:t>
            </w:r>
            <w:r w:rsidR="00FD4DA3">
              <w:rPr>
                <w:rFonts w:cs="Arial"/>
                <w:szCs w:val="18"/>
                <w:lang w:val="en-GB"/>
              </w:rPr>
              <w:t>.0</w:t>
            </w:r>
          </w:p>
        </w:tc>
        <w:tc>
          <w:tcPr>
            <w:tcW w:w="850" w:type="dxa"/>
            <w:shd w:val="clear" w:color="auto" w:fill="FFFFFF"/>
          </w:tcPr>
          <w:p w14:paraId="596B8020" w14:textId="42B983E7" w:rsidR="00C17BBA" w:rsidRPr="00B57B36" w:rsidRDefault="007C74C7" w:rsidP="00012082">
            <w:pPr>
              <w:pStyle w:val="CETBodytext"/>
              <w:ind w:right="-1"/>
              <w:rPr>
                <w:rFonts w:cs="Arial"/>
                <w:szCs w:val="18"/>
                <w:lang w:val="en-GB"/>
              </w:rPr>
            </w:pPr>
            <w:r>
              <w:rPr>
                <w:rFonts w:cs="Arial"/>
                <w:szCs w:val="18"/>
                <w:lang w:val="en-GB"/>
              </w:rPr>
              <w:t>15</w:t>
            </w:r>
            <w:r w:rsidR="00E0637A">
              <w:rPr>
                <w:rFonts w:cs="Arial"/>
                <w:szCs w:val="18"/>
                <w:lang w:val="en-GB"/>
              </w:rPr>
              <w:t>.0</w:t>
            </w:r>
          </w:p>
        </w:tc>
        <w:tc>
          <w:tcPr>
            <w:tcW w:w="850" w:type="dxa"/>
            <w:shd w:val="clear" w:color="auto" w:fill="FFFFFF"/>
          </w:tcPr>
          <w:p w14:paraId="0C1F3C9F" w14:textId="0752441D" w:rsidR="00C17BBA" w:rsidRPr="00B57B36" w:rsidRDefault="00DF0B02" w:rsidP="00012082">
            <w:pPr>
              <w:pStyle w:val="CETBodytext"/>
              <w:ind w:right="-1"/>
              <w:rPr>
                <w:rFonts w:cs="Arial"/>
                <w:szCs w:val="18"/>
                <w:lang w:val="en-GB"/>
              </w:rPr>
            </w:pPr>
            <w:r>
              <w:rPr>
                <w:rFonts w:cs="Arial"/>
                <w:szCs w:val="18"/>
                <w:lang w:val="en-GB"/>
              </w:rPr>
              <w:t>6.4</w:t>
            </w:r>
          </w:p>
        </w:tc>
        <w:tc>
          <w:tcPr>
            <w:tcW w:w="850" w:type="dxa"/>
            <w:shd w:val="clear" w:color="auto" w:fill="FFFFFF"/>
          </w:tcPr>
          <w:p w14:paraId="474773A3" w14:textId="33D7E1AF" w:rsidR="00C17BBA" w:rsidRPr="00B57B36" w:rsidRDefault="00271A2E" w:rsidP="00012082">
            <w:pPr>
              <w:pStyle w:val="CETBodytext"/>
              <w:ind w:right="-1"/>
              <w:rPr>
                <w:rFonts w:cs="Arial"/>
                <w:szCs w:val="18"/>
                <w:lang w:val="en-GB"/>
              </w:rPr>
            </w:pPr>
            <w:r>
              <w:rPr>
                <w:rFonts w:cs="Arial"/>
                <w:szCs w:val="18"/>
                <w:lang w:val="en-GB"/>
              </w:rPr>
              <w:t>13</w:t>
            </w:r>
          </w:p>
        </w:tc>
        <w:tc>
          <w:tcPr>
            <w:tcW w:w="850" w:type="dxa"/>
            <w:shd w:val="clear" w:color="auto" w:fill="FFFFFF"/>
          </w:tcPr>
          <w:p w14:paraId="3A15735B" w14:textId="12D124A9" w:rsidR="00C17BBA" w:rsidRPr="00B57B36" w:rsidRDefault="00C409D6" w:rsidP="00012082">
            <w:pPr>
              <w:pStyle w:val="CETBodytext"/>
              <w:ind w:right="-1"/>
              <w:rPr>
                <w:rFonts w:cs="Arial"/>
                <w:szCs w:val="18"/>
                <w:lang w:val="en-GB"/>
              </w:rPr>
            </w:pPr>
            <w:r>
              <w:rPr>
                <w:rFonts w:cs="Arial"/>
                <w:szCs w:val="18"/>
                <w:lang w:val="en-GB"/>
              </w:rPr>
              <w:t>1</w:t>
            </w:r>
            <w:r w:rsidR="001341E9">
              <w:rPr>
                <w:rFonts w:cs="Arial"/>
                <w:szCs w:val="18"/>
                <w:lang w:val="en-GB"/>
              </w:rPr>
              <w:t>00</w:t>
            </w:r>
          </w:p>
        </w:tc>
      </w:tr>
      <w:tr w:rsidR="007B135E" w:rsidRPr="00B57B36" w14:paraId="2FC0F5EE" w14:textId="77777777" w:rsidTr="00E5482E">
        <w:tc>
          <w:tcPr>
            <w:tcW w:w="567" w:type="dxa"/>
            <w:shd w:val="clear" w:color="auto" w:fill="FFFFFF"/>
          </w:tcPr>
          <w:p w14:paraId="54A004E2" w14:textId="3B831DB3" w:rsidR="007B135E" w:rsidRPr="00B57B36" w:rsidRDefault="00A91FE4" w:rsidP="00012082">
            <w:pPr>
              <w:pStyle w:val="CETBodytext"/>
              <w:ind w:right="-1"/>
              <w:rPr>
                <w:rFonts w:cs="Arial"/>
                <w:szCs w:val="18"/>
                <w:lang w:val="en-GB"/>
              </w:rPr>
            </w:pPr>
            <w:r>
              <w:rPr>
                <w:rFonts w:cs="Arial"/>
                <w:szCs w:val="18"/>
                <w:lang w:val="en-GB"/>
              </w:rPr>
              <w:t>7</w:t>
            </w:r>
          </w:p>
        </w:tc>
        <w:tc>
          <w:tcPr>
            <w:tcW w:w="1361" w:type="dxa"/>
            <w:shd w:val="clear" w:color="auto" w:fill="FFFFFF"/>
          </w:tcPr>
          <w:p w14:paraId="19E82E7E" w14:textId="7B999768" w:rsidR="007B135E" w:rsidRPr="00B57B36" w:rsidRDefault="00A91FE4" w:rsidP="00012082">
            <w:pPr>
              <w:pStyle w:val="CETBodytext"/>
              <w:ind w:right="-1"/>
              <w:rPr>
                <w:rFonts w:cs="Arial"/>
                <w:szCs w:val="18"/>
                <w:lang w:val="en-GB"/>
              </w:rPr>
            </w:pPr>
            <w:r>
              <w:rPr>
                <w:rFonts w:cs="Arial"/>
                <w:szCs w:val="18"/>
                <w:lang w:val="en-GB"/>
              </w:rPr>
              <w:t>0.2</w:t>
            </w:r>
          </w:p>
        </w:tc>
        <w:tc>
          <w:tcPr>
            <w:tcW w:w="1247" w:type="dxa"/>
            <w:shd w:val="clear" w:color="auto" w:fill="FFFFFF"/>
          </w:tcPr>
          <w:p w14:paraId="7B4C49D2" w14:textId="195EA18E" w:rsidR="007B135E" w:rsidRPr="00B57B36" w:rsidRDefault="00513EBF" w:rsidP="00012082">
            <w:pPr>
              <w:pStyle w:val="CETBodytext"/>
              <w:ind w:right="-1"/>
              <w:rPr>
                <w:rFonts w:cs="Arial"/>
                <w:szCs w:val="18"/>
                <w:lang w:val="en-GB"/>
              </w:rPr>
            </w:pPr>
            <w:r>
              <w:rPr>
                <w:rFonts w:cs="Arial"/>
                <w:szCs w:val="18"/>
                <w:lang w:val="en-GB"/>
              </w:rPr>
              <w:t>1.12</w:t>
            </w:r>
          </w:p>
        </w:tc>
        <w:tc>
          <w:tcPr>
            <w:tcW w:w="1191" w:type="dxa"/>
            <w:shd w:val="clear" w:color="auto" w:fill="FFFFFF"/>
          </w:tcPr>
          <w:p w14:paraId="38B90A61" w14:textId="7B5ACFE4" w:rsidR="007B135E" w:rsidRPr="00B57B36" w:rsidRDefault="0057760B" w:rsidP="00012082">
            <w:pPr>
              <w:pStyle w:val="CETBodytext"/>
              <w:ind w:right="-1"/>
              <w:rPr>
                <w:rFonts w:cs="Arial"/>
                <w:szCs w:val="18"/>
                <w:lang w:val="en-GB"/>
              </w:rPr>
            </w:pPr>
            <w:r>
              <w:rPr>
                <w:rFonts w:cs="Arial"/>
                <w:szCs w:val="18"/>
                <w:lang w:val="en-GB"/>
              </w:rPr>
              <w:t>3.5</w:t>
            </w:r>
          </w:p>
        </w:tc>
        <w:tc>
          <w:tcPr>
            <w:tcW w:w="850" w:type="dxa"/>
            <w:shd w:val="clear" w:color="auto" w:fill="FFFFFF"/>
          </w:tcPr>
          <w:p w14:paraId="2DD00647" w14:textId="62061DE4" w:rsidR="007B135E" w:rsidRPr="00B57B36" w:rsidRDefault="00D358E8" w:rsidP="00012082">
            <w:pPr>
              <w:pStyle w:val="CETBodytext"/>
              <w:ind w:right="-1"/>
              <w:rPr>
                <w:rFonts w:cs="Arial"/>
                <w:szCs w:val="18"/>
                <w:lang w:val="en-GB"/>
              </w:rPr>
            </w:pPr>
            <w:r>
              <w:rPr>
                <w:rFonts w:cs="Arial"/>
                <w:szCs w:val="18"/>
                <w:lang w:val="en-GB"/>
              </w:rPr>
              <w:t>6.8</w:t>
            </w:r>
          </w:p>
        </w:tc>
        <w:tc>
          <w:tcPr>
            <w:tcW w:w="850" w:type="dxa"/>
            <w:shd w:val="clear" w:color="auto" w:fill="FFFFFF"/>
          </w:tcPr>
          <w:p w14:paraId="208D9FDF" w14:textId="19212CFC" w:rsidR="007B135E" w:rsidRPr="00B57B36" w:rsidRDefault="00DF0B02" w:rsidP="00012082">
            <w:pPr>
              <w:pStyle w:val="CETBodytext"/>
              <w:ind w:right="-1"/>
              <w:rPr>
                <w:rFonts w:cs="Arial"/>
                <w:szCs w:val="18"/>
                <w:lang w:val="en-GB"/>
              </w:rPr>
            </w:pPr>
            <w:r>
              <w:rPr>
                <w:rFonts w:cs="Arial"/>
                <w:szCs w:val="18"/>
                <w:lang w:val="en-GB"/>
              </w:rPr>
              <w:t>11.7</w:t>
            </w:r>
          </w:p>
        </w:tc>
        <w:tc>
          <w:tcPr>
            <w:tcW w:w="850" w:type="dxa"/>
            <w:shd w:val="clear" w:color="auto" w:fill="FFFFFF"/>
          </w:tcPr>
          <w:p w14:paraId="743AEBD3" w14:textId="3A13804D" w:rsidR="007B135E" w:rsidRPr="00B57B36" w:rsidRDefault="00271A2E" w:rsidP="00012082">
            <w:pPr>
              <w:pStyle w:val="CETBodytext"/>
              <w:ind w:right="-1"/>
              <w:rPr>
                <w:rFonts w:cs="Arial"/>
                <w:szCs w:val="18"/>
                <w:lang w:val="en-GB"/>
              </w:rPr>
            </w:pPr>
            <w:r>
              <w:rPr>
                <w:rFonts w:cs="Arial"/>
                <w:szCs w:val="18"/>
                <w:lang w:val="en-GB"/>
              </w:rPr>
              <w:t>11</w:t>
            </w:r>
          </w:p>
        </w:tc>
        <w:tc>
          <w:tcPr>
            <w:tcW w:w="850" w:type="dxa"/>
            <w:shd w:val="clear" w:color="auto" w:fill="FFFFFF"/>
          </w:tcPr>
          <w:p w14:paraId="1375F83D" w14:textId="6CE1BB89" w:rsidR="007B135E" w:rsidRPr="00B57B36" w:rsidRDefault="00C409D6" w:rsidP="00012082">
            <w:pPr>
              <w:pStyle w:val="CETBodytext"/>
              <w:ind w:right="-1"/>
              <w:rPr>
                <w:rFonts w:cs="Arial"/>
                <w:szCs w:val="18"/>
                <w:lang w:val="en-GB"/>
              </w:rPr>
            </w:pPr>
            <w:r>
              <w:rPr>
                <w:rFonts w:cs="Arial"/>
                <w:szCs w:val="18"/>
                <w:lang w:val="en-GB"/>
              </w:rPr>
              <w:t>91</w:t>
            </w:r>
          </w:p>
        </w:tc>
      </w:tr>
      <w:tr w:rsidR="001341E9" w:rsidRPr="00B57B36" w14:paraId="14888627" w14:textId="77777777" w:rsidTr="00E5482E">
        <w:tc>
          <w:tcPr>
            <w:tcW w:w="567" w:type="dxa"/>
            <w:shd w:val="clear" w:color="auto" w:fill="FFFFFF"/>
          </w:tcPr>
          <w:p w14:paraId="2D3F0996" w14:textId="3017320C" w:rsidR="001341E9" w:rsidRPr="00B57B36" w:rsidRDefault="001341E9" w:rsidP="001341E9">
            <w:pPr>
              <w:pStyle w:val="CETBodytext"/>
              <w:ind w:right="-1"/>
              <w:rPr>
                <w:rFonts w:cs="Arial"/>
                <w:szCs w:val="18"/>
                <w:lang w:val="en-GB"/>
              </w:rPr>
            </w:pPr>
            <w:r>
              <w:rPr>
                <w:rFonts w:cs="Arial"/>
                <w:szCs w:val="18"/>
                <w:lang w:val="en-GB"/>
              </w:rPr>
              <w:t>7</w:t>
            </w:r>
          </w:p>
        </w:tc>
        <w:tc>
          <w:tcPr>
            <w:tcW w:w="1361" w:type="dxa"/>
            <w:shd w:val="clear" w:color="auto" w:fill="FFFFFF"/>
          </w:tcPr>
          <w:p w14:paraId="665F8447" w14:textId="6A002E9A" w:rsidR="001341E9" w:rsidRPr="00B57B36" w:rsidRDefault="001341E9" w:rsidP="001341E9">
            <w:pPr>
              <w:pStyle w:val="CETBodytext"/>
              <w:ind w:right="-1"/>
              <w:rPr>
                <w:rFonts w:cs="Arial"/>
                <w:szCs w:val="18"/>
                <w:lang w:val="en-GB"/>
              </w:rPr>
            </w:pPr>
            <w:r>
              <w:rPr>
                <w:rFonts w:cs="Arial"/>
                <w:szCs w:val="18"/>
                <w:lang w:val="en-GB"/>
              </w:rPr>
              <w:t>0.3</w:t>
            </w:r>
          </w:p>
        </w:tc>
        <w:tc>
          <w:tcPr>
            <w:tcW w:w="1247" w:type="dxa"/>
            <w:shd w:val="clear" w:color="auto" w:fill="FFFFFF"/>
          </w:tcPr>
          <w:p w14:paraId="79627364" w14:textId="43CA8FE0" w:rsidR="001341E9" w:rsidRPr="00B57B36" w:rsidRDefault="001341E9" w:rsidP="001341E9">
            <w:pPr>
              <w:pStyle w:val="CETBodytext"/>
              <w:ind w:right="-1"/>
              <w:rPr>
                <w:rFonts w:cs="Arial"/>
                <w:szCs w:val="18"/>
                <w:lang w:val="en-GB"/>
              </w:rPr>
            </w:pPr>
            <w:r>
              <w:rPr>
                <w:rFonts w:cs="Arial"/>
                <w:szCs w:val="18"/>
                <w:lang w:val="en-GB"/>
              </w:rPr>
              <w:t>1.26</w:t>
            </w:r>
          </w:p>
        </w:tc>
        <w:tc>
          <w:tcPr>
            <w:tcW w:w="1191" w:type="dxa"/>
            <w:shd w:val="clear" w:color="auto" w:fill="FFFFFF"/>
          </w:tcPr>
          <w:p w14:paraId="50F1B285" w14:textId="7B93465E" w:rsidR="001341E9" w:rsidRPr="00B57B36" w:rsidRDefault="001341E9" w:rsidP="001341E9">
            <w:pPr>
              <w:pStyle w:val="CETBodytext"/>
              <w:ind w:right="-1"/>
              <w:rPr>
                <w:rFonts w:cs="Arial"/>
                <w:szCs w:val="18"/>
                <w:lang w:val="en-GB"/>
              </w:rPr>
            </w:pPr>
            <w:r>
              <w:rPr>
                <w:rFonts w:cs="Arial"/>
                <w:szCs w:val="18"/>
                <w:lang w:val="en-GB"/>
              </w:rPr>
              <w:t>4.1</w:t>
            </w:r>
          </w:p>
        </w:tc>
        <w:tc>
          <w:tcPr>
            <w:tcW w:w="850" w:type="dxa"/>
            <w:shd w:val="clear" w:color="auto" w:fill="FFFFFF"/>
          </w:tcPr>
          <w:p w14:paraId="635A876F" w14:textId="1FB5A007" w:rsidR="001341E9" w:rsidRPr="00B57B36" w:rsidRDefault="001341E9" w:rsidP="001341E9">
            <w:pPr>
              <w:pStyle w:val="CETBodytext"/>
              <w:ind w:right="-1"/>
              <w:rPr>
                <w:rFonts w:cs="Arial"/>
                <w:szCs w:val="18"/>
                <w:lang w:val="en-GB"/>
              </w:rPr>
            </w:pPr>
            <w:r>
              <w:rPr>
                <w:rFonts w:cs="Arial"/>
                <w:szCs w:val="18"/>
                <w:lang w:val="en-GB"/>
              </w:rPr>
              <w:t>6.7</w:t>
            </w:r>
          </w:p>
        </w:tc>
        <w:tc>
          <w:tcPr>
            <w:tcW w:w="850" w:type="dxa"/>
            <w:shd w:val="clear" w:color="auto" w:fill="FFFFFF"/>
          </w:tcPr>
          <w:p w14:paraId="230A957A" w14:textId="5067BDE9" w:rsidR="001341E9" w:rsidRPr="00B57B36" w:rsidRDefault="001341E9" w:rsidP="001341E9">
            <w:pPr>
              <w:pStyle w:val="CETBodytext"/>
              <w:ind w:right="-1"/>
              <w:rPr>
                <w:rFonts w:cs="Arial"/>
                <w:szCs w:val="18"/>
                <w:lang w:val="en-GB"/>
              </w:rPr>
            </w:pPr>
            <w:r>
              <w:rPr>
                <w:rFonts w:cs="Arial"/>
                <w:szCs w:val="18"/>
                <w:lang w:val="en-GB"/>
              </w:rPr>
              <w:t>11.8</w:t>
            </w:r>
          </w:p>
        </w:tc>
        <w:tc>
          <w:tcPr>
            <w:tcW w:w="850" w:type="dxa"/>
            <w:shd w:val="clear" w:color="auto" w:fill="FFFFFF"/>
          </w:tcPr>
          <w:p w14:paraId="68152F3A" w14:textId="192DDAD3" w:rsidR="001341E9" w:rsidRPr="00B57B36" w:rsidRDefault="001341E9" w:rsidP="001341E9">
            <w:pPr>
              <w:pStyle w:val="CETBodytext"/>
              <w:ind w:right="-1"/>
              <w:rPr>
                <w:rFonts w:cs="Arial"/>
                <w:szCs w:val="18"/>
                <w:lang w:val="en-GB"/>
              </w:rPr>
            </w:pPr>
            <w:r>
              <w:rPr>
                <w:rFonts w:cs="Arial"/>
                <w:szCs w:val="18"/>
                <w:lang w:val="en-GB"/>
              </w:rPr>
              <w:t>8</w:t>
            </w:r>
          </w:p>
        </w:tc>
        <w:tc>
          <w:tcPr>
            <w:tcW w:w="850" w:type="dxa"/>
            <w:shd w:val="clear" w:color="auto" w:fill="FFFFFF"/>
          </w:tcPr>
          <w:p w14:paraId="0FC1AFF8" w14:textId="1E13D4D0" w:rsidR="001341E9" w:rsidRPr="00B57B36" w:rsidRDefault="001341E9" w:rsidP="001341E9">
            <w:pPr>
              <w:pStyle w:val="CETBodytext"/>
              <w:ind w:right="-1"/>
              <w:rPr>
                <w:rFonts w:cs="Arial"/>
                <w:szCs w:val="18"/>
                <w:lang w:val="en-GB"/>
              </w:rPr>
            </w:pPr>
            <w:r w:rsidRPr="003F2604">
              <w:rPr>
                <w:rFonts w:cs="Arial"/>
                <w:szCs w:val="18"/>
                <w:lang w:val="en-GB"/>
              </w:rPr>
              <w:t>100</w:t>
            </w:r>
          </w:p>
        </w:tc>
      </w:tr>
      <w:tr w:rsidR="001341E9" w:rsidRPr="00B57B36" w14:paraId="7924070B" w14:textId="77777777" w:rsidTr="00E5482E">
        <w:tc>
          <w:tcPr>
            <w:tcW w:w="567" w:type="dxa"/>
            <w:shd w:val="clear" w:color="auto" w:fill="FFFFFF"/>
          </w:tcPr>
          <w:p w14:paraId="6B65F433" w14:textId="04E7BDEB" w:rsidR="001341E9" w:rsidRPr="00B57B36" w:rsidRDefault="001341E9" w:rsidP="001341E9">
            <w:pPr>
              <w:pStyle w:val="CETBodytext"/>
              <w:ind w:right="-1"/>
              <w:rPr>
                <w:rFonts w:cs="Arial"/>
                <w:szCs w:val="18"/>
                <w:lang w:val="en-GB"/>
              </w:rPr>
            </w:pPr>
            <w:r>
              <w:rPr>
                <w:rFonts w:cs="Arial"/>
                <w:szCs w:val="18"/>
                <w:lang w:val="en-GB"/>
              </w:rPr>
              <w:t>7</w:t>
            </w:r>
          </w:p>
        </w:tc>
        <w:tc>
          <w:tcPr>
            <w:tcW w:w="1361" w:type="dxa"/>
            <w:shd w:val="clear" w:color="auto" w:fill="FFFFFF"/>
          </w:tcPr>
          <w:p w14:paraId="41562CB5" w14:textId="389075AC" w:rsidR="001341E9" w:rsidRPr="00B57B36" w:rsidRDefault="001341E9" w:rsidP="001341E9">
            <w:pPr>
              <w:pStyle w:val="CETBodytext"/>
              <w:ind w:right="-1"/>
              <w:rPr>
                <w:rFonts w:cs="Arial"/>
                <w:szCs w:val="18"/>
                <w:lang w:val="en-GB"/>
              </w:rPr>
            </w:pPr>
            <w:r>
              <w:rPr>
                <w:rFonts w:cs="Arial"/>
                <w:szCs w:val="18"/>
                <w:lang w:val="en-GB"/>
              </w:rPr>
              <w:t>0.4</w:t>
            </w:r>
          </w:p>
        </w:tc>
        <w:tc>
          <w:tcPr>
            <w:tcW w:w="1247" w:type="dxa"/>
            <w:shd w:val="clear" w:color="auto" w:fill="FFFFFF"/>
          </w:tcPr>
          <w:p w14:paraId="21FDF00D" w14:textId="202CDB62" w:rsidR="001341E9" w:rsidRPr="00B57B36" w:rsidRDefault="001341E9" w:rsidP="001341E9">
            <w:pPr>
              <w:pStyle w:val="CETBodytext"/>
              <w:ind w:right="-1"/>
              <w:rPr>
                <w:rFonts w:cs="Arial"/>
                <w:szCs w:val="18"/>
                <w:lang w:val="en-GB"/>
              </w:rPr>
            </w:pPr>
            <w:r>
              <w:rPr>
                <w:rFonts w:cs="Arial"/>
                <w:szCs w:val="18"/>
                <w:lang w:val="en-GB"/>
              </w:rPr>
              <w:t>1.34</w:t>
            </w:r>
          </w:p>
        </w:tc>
        <w:tc>
          <w:tcPr>
            <w:tcW w:w="1191" w:type="dxa"/>
            <w:shd w:val="clear" w:color="auto" w:fill="FFFFFF"/>
          </w:tcPr>
          <w:p w14:paraId="25EEE376" w14:textId="28DBFFC4" w:rsidR="001341E9" w:rsidRPr="00B57B36" w:rsidRDefault="001341E9" w:rsidP="001341E9">
            <w:pPr>
              <w:pStyle w:val="CETBodytext"/>
              <w:ind w:right="-1"/>
              <w:rPr>
                <w:rFonts w:cs="Arial"/>
                <w:szCs w:val="18"/>
                <w:lang w:val="en-GB"/>
              </w:rPr>
            </w:pPr>
            <w:r>
              <w:rPr>
                <w:rFonts w:cs="Arial"/>
                <w:szCs w:val="18"/>
                <w:lang w:val="en-GB"/>
              </w:rPr>
              <w:t>4</w:t>
            </w:r>
            <w:r w:rsidR="00E0637A">
              <w:rPr>
                <w:rFonts w:cs="Arial"/>
                <w:szCs w:val="18"/>
                <w:lang w:val="en-GB"/>
              </w:rPr>
              <w:t>.0</w:t>
            </w:r>
          </w:p>
        </w:tc>
        <w:tc>
          <w:tcPr>
            <w:tcW w:w="850" w:type="dxa"/>
            <w:shd w:val="clear" w:color="auto" w:fill="FFFFFF"/>
          </w:tcPr>
          <w:p w14:paraId="5898FD4F" w14:textId="4BCB3C27" w:rsidR="001341E9" w:rsidRPr="00B57B36" w:rsidRDefault="001341E9" w:rsidP="001341E9">
            <w:pPr>
              <w:pStyle w:val="CETBodytext"/>
              <w:ind w:right="-1"/>
              <w:rPr>
                <w:rFonts w:cs="Arial"/>
                <w:szCs w:val="18"/>
                <w:lang w:val="en-GB"/>
              </w:rPr>
            </w:pPr>
            <w:r>
              <w:rPr>
                <w:rFonts w:cs="Arial"/>
                <w:szCs w:val="18"/>
                <w:lang w:val="en-GB"/>
              </w:rPr>
              <w:t>6.5</w:t>
            </w:r>
          </w:p>
        </w:tc>
        <w:tc>
          <w:tcPr>
            <w:tcW w:w="850" w:type="dxa"/>
            <w:shd w:val="clear" w:color="auto" w:fill="FFFFFF"/>
          </w:tcPr>
          <w:p w14:paraId="003A9892" w14:textId="6B4984CE" w:rsidR="001341E9" w:rsidRPr="00B57B36" w:rsidRDefault="001341E9" w:rsidP="001341E9">
            <w:pPr>
              <w:pStyle w:val="CETBodytext"/>
              <w:ind w:right="-1"/>
              <w:rPr>
                <w:rFonts w:cs="Arial"/>
                <w:szCs w:val="18"/>
                <w:lang w:val="en-GB"/>
              </w:rPr>
            </w:pPr>
            <w:r>
              <w:rPr>
                <w:rFonts w:cs="Arial"/>
                <w:szCs w:val="18"/>
                <w:lang w:val="en-GB"/>
              </w:rPr>
              <w:t>13.8</w:t>
            </w:r>
          </w:p>
        </w:tc>
        <w:tc>
          <w:tcPr>
            <w:tcW w:w="850" w:type="dxa"/>
            <w:shd w:val="clear" w:color="auto" w:fill="FFFFFF"/>
          </w:tcPr>
          <w:p w14:paraId="62FBB67C" w14:textId="180B9E03" w:rsidR="001341E9" w:rsidRPr="00B57B36" w:rsidRDefault="001341E9" w:rsidP="001341E9">
            <w:pPr>
              <w:pStyle w:val="CETBodytext"/>
              <w:ind w:right="-1"/>
              <w:rPr>
                <w:rFonts w:cs="Arial"/>
                <w:szCs w:val="18"/>
                <w:lang w:val="en-GB"/>
              </w:rPr>
            </w:pPr>
            <w:r>
              <w:rPr>
                <w:rFonts w:cs="Arial"/>
                <w:szCs w:val="18"/>
                <w:lang w:val="en-GB"/>
              </w:rPr>
              <w:t>9</w:t>
            </w:r>
          </w:p>
        </w:tc>
        <w:tc>
          <w:tcPr>
            <w:tcW w:w="850" w:type="dxa"/>
            <w:shd w:val="clear" w:color="auto" w:fill="FFFFFF"/>
          </w:tcPr>
          <w:p w14:paraId="6D949BA5" w14:textId="6DCB5EA9" w:rsidR="001341E9" w:rsidRPr="00B57B36" w:rsidRDefault="001341E9" w:rsidP="001341E9">
            <w:pPr>
              <w:pStyle w:val="CETBodytext"/>
              <w:ind w:right="-1"/>
              <w:rPr>
                <w:rFonts w:cs="Arial"/>
                <w:szCs w:val="18"/>
                <w:lang w:val="en-GB"/>
              </w:rPr>
            </w:pPr>
            <w:r w:rsidRPr="003F2604">
              <w:rPr>
                <w:rFonts w:cs="Arial"/>
                <w:szCs w:val="18"/>
                <w:lang w:val="en-GB"/>
              </w:rPr>
              <w:t>100</w:t>
            </w:r>
          </w:p>
        </w:tc>
      </w:tr>
      <w:tr w:rsidR="00FA0EA3" w:rsidRPr="00B57B36" w14:paraId="146DDE7D" w14:textId="77777777" w:rsidTr="00E5482E">
        <w:tc>
          <w:tcPr>
            <w:tcW w:w="567" w:type="dxa"/>
            <w:shd w:val="clear" w:color="auto" w:fill="FFFFFF"/>
          </w:tcPr>
          <w:p w14:paraId="617AA6A4" w14:textId="0E7CBE99" w:rsidR="00FA0EA3" w:rsidRPr="00B57B36" w:rsidRDefault="00FA0EA3" w:rsidP="00FA0EA3">
            <w:pPr>
              <w:pStyle w:val="CETBodytext"/>
              <w:ind w:right="-1"/>
              <w:rPr>
                <w:rFonts w:cs="Arial"/>
                <w:szCs w:val="18"/>
                <w:lang w:val="en-GB"/>
              </w:rPr>
            </w:pPr>
            <w:r>
              <w:rPr>
                <w:rFonts w:cs="Arial"/>
                <w:szCs w:val="18"/>
                <w:lang w:val="en-GB"/>
              </w:rPr>
              <w:t>7</w:t>
            </w:r>
          </w:p>
        </w:tc>
        <w:tc>
          <w:tcPr>
            <w:tcW w:w="1361" w:type="dxa"/>
            <w:shd w:val="clear" w:color="auto" w:fill="FFFFFF"/>
          </w:tcPr>
          <w:p w14:paraId="3957DBA3" w14:textId="6AC343A3" w:rsidR="00FA0EA3" w:rsidRPr="00B57B36" w:rsidRDefault="00FA0EA3" w:rsidP="00FA0EA3">
            <w:pPr>
              <w:pStyle w:val="CETBodytext"/>
              <w:ind w:right="-1"/>
              <w:rPr>
                <w:rFonts w:cs="Arial"/>
                <w:szCs w:val="18"/>
                <w:lang w:val="en-GB"/>
              </w:rPr>
            </w:pPr>
            <w:r>
              <w:rPr>
                <w:rFonts w:cs="Arial"/>
                <w:szCs w:val="18"/>
                <w:lang w:val="en-GB"/>
              </w:rPr>
              <w:t>0.5</w:t>
            </w:r>
          </w:p>
        </w:tc>
        <w:tc>
          <w:tcPr>
            <w:tcW w:w="1247" w:type="dxa"/>
            <w:shd w:val="clear" w:color="auto" w:fill="FFFFFF"/>
          </w:tcPr>
          <w:p w14:paraId="7A91D1EE" w14:textId="0B9C58F0" w:rsidR="00FA0EA3" w:rsidRPr="00B57B36" w:rsidRDefault="00FA0EA3" w:rsidP="00FA0EA3">
            <w:pPr>
              <w:pStyle w:val="CETBodytext"/>
              <w:ind w:right="-1"/>
              <w:rPr>
                <w:rFonts w:cs="Arial"/>
                <w:szCs w:val="18"/>
                <w:lang w:val="en-GB"/>
              </w:rPr>
            </w:pPr>
            <w:r>
              <w:rPr>
                <w:rFonts w:cs="Arial"/>
                <w:szCs w:val="18"/>
                <w:lang w:val="en-GB"/>
              </w:rPr>
              <w:t>1.35</w:t>
            </w:r>
          </w:p>
        </w:tc>
        <w:tc>
          <w:tcPr>
            <w:tcW w:w="1191" w:type="dxa"/>
            <w:shd w:val="clear" w:color="auto" w:fill="FFFFFF"/>
          </w:tcPr>
          <w:p w14:paraId="472F8FDF" w14:textId="7ACBB25A" w:rsidR="00FA0EA3" w:rsidRPr="00B57B36" w:rsidRDefault="00FA0EA3" w:rsidP="00FA0EA3">
            <w:pPr>
              <w:pStyle w:val="CETBodytext"/>
              <w:ind w:right="-1"/>
              <w:rPr>
                <w:rFonts w:cs="Arial"/>
                <w:szCs w:val="18"/>
                <w:lang w:val="en-GB"/>
              </w:rPr>
            </w:pPr>
            <w:r>
              <w:rPr>
                <w:rFonts w:cs="Arial"/>
                <w:szCs w:val="18"/>
                <w:lang w:val="en-GB"/>
              </w:rPr>
              <w:t>4</w:t>
            </w:r>
            <w:r w:rsidR="00E0637A">
              <w:rPr>
                <w:rFonts w:cs="Arial"/>
                <w:szCs w:val="18"/>
                <w:lang w:val="en-GB"/>
              </w:rPr>
              <w:t>.0</w:t>
            </w:r>
          </w:p>
        </w:tc>
        <w:tc>
          <w:tcPr>
            <w:tcW w:w="850" w:type="dxa"/>
            <w:shd w:val="clear" w:color="auto" w:fill="FFFFFF"/>
          </w:tcPr>
          <w:p w14:paraId="06AF33F5" w14:textId="2A97A688" w:rsidR="00FA0EA3" w:rsidRPr="00B57B36" w:rsidRDefault="00FA0EA3" w:rsidP="00FA0EA3">
            <w:pPr>
              <w:pStyle w:val="CETBodytext"/>
              <w:ind w:right="-1"/>
              <w:rPr>
                <w:rFonts w:cs="Arial"/>
                <w:szCs w:val="18"/>
                <w:lang w:val="en-GB"/>
              </w:rPr>
            </w:pPr>
            <w:r>
              <w:rPr>
                <w:rFonts w:cs="Arial"/>
                <w:szCs w:val="18"/>
                <w:lang w:val="en-GB"/>
              </w:rPr>
              <w:t>7.4</w:t>
            </w:r>
          </w:p>
        </w:tc>
        <w:tc>
          <w:tcPr>
            <w:tcW w:w="850" w:type="dxa"/>
            <w:shd w:val="clear" w:color="auto" w:fill="FFFFFF"/>
          </w:tcPr>
          <w:p w14:paraId="0A68FE98" w14:textId="7E78BBE2" w:rsidR="00FA0EA3" w:rsidRPr="00B57B36" w:rsidRDefault="00FA0EA3" w:rsidP="00FA0EA3">
            <w:pPr>
              <w:pStyle w:val="CETBodytext"/>
              <w:ind w:right="-1"/>
              <w:rPr>
                <w:rFonts w:cs="Arial"/>
                <w:szCs w:val="18"/>
                <w:lang w:val="en-GB"/>
              </w:rPr>
            </w:pPr>
            <w:r>
              <w:rPr>
                <w:rFonts w:cs="Arial"/>
                <w:szCs w:val="18"/>
                <w:lang w:val="en-GB"/>
              </w:rPr>
              <w:t>16.9</w:t>
            </w:r>
          </w:p>
        </w:tc>
        <w:tc>
          <w:tcPr>
            <w:tcW w:w="850" w:type="dxa"/>
            <w:shd w:val="clear" w:color="auto" w:fill="FFFFFF"/>
          </w:tcPr>
          <w:p w14:paraId="78FBD6B8" w14:textId="6147BC31" w:rsidR="00FA0EA3" w:rsidRPr="00B57B36" w:rsidRDefault="00C409D6" w:rsidP="00FA0EA3">
            <w:pPr>
              <w:pStyle w:val="CETBodytext"/>
              <w:ind w:right="-1"/>
              <w:rPr>
                <w:rFonts w:cs="Arial"/>
                <w:szCs w:val="18"/>
                <w:lang w:val="en-GB"/>
              </w:rPr>
            </w:pPr>
            <w:r>
              <w:rPr>
                <w:rFonts w:cs="Arial"/>
                <w:szCs w:val="18"/>
                <w:lang w:val="en-GB"/>
              </w:rPr>
              <w:t>12</w:t>
            </w:r>
          </w:p>
        </w:tc>
        <w:tc>
          <w:tcPr>
            <w:tcW w:w="850" w:type="dxa"/>
            <w:shd w:val="clear" w:color="auto" w:fill="FFFFFF"/>
          </w:tcPr>
          <w:p w14:paraId="70695850" w14:textId="26054489" w:rsidR="00FA0EA3" w:rsidRPr="00B57B36" w:rsidRDefault="00FA22C5" w:rsidP="00FA0EA3">
            <w:pPr>
              <w:pStyle w:val="CETBodytext"/>
              <w:ind w:right="-1"/>
              <w:rPr>
                <w:rFonts w:cs="Arial"/>
                <w:szCs w:val="18"/>
                <w:lang w:val="en-GB"/>
              </w:rPr>
            </w:pPr>
            <w:r>
              <w:rPr>
                <w:rFonts w:cs="Arial"/>
                <w:szCs w:val="18"/>
                <w:lang w:val="en-GB"/>
              </w:rPr>
              <w:t>84</w:t>
            </w:r>
          </w:p>
        </w:tc>
      </w:tr>
      <w:tr w:rsidR="00FA0EA3" w:rsidRPr="00B57B36" w14:paraId="1B0C94CC" w14:textId="77777777" w:rsidTr="00E5482E">
        <w:tc>
          <w:tcPr>
            <w:tcW w:w="567" w:type="dxa"/>
            <w:shd w:val="clear" w:color="auto" w:fill="FFFFFF"/>
          </w:tcPr>
          <w:p w14:paraId="58264515" w14:textId="62A8B31F" w:rsidR="00FA0EA3" w:rsidRPr="00B57B36" w:rsidRDefault="00FA0EA3" w:rsidP="00FA0EA3">
            <w:pPr>
              <w:pStyle w:val="CETBodytext"/>
              <w:ind w:right="-1"/>
              <w:rPr>
                <w:rFonts w:cs="Arial"/>
                <w:szCs w:val="18"/>
                <w:lang w:val="en-GB"/>
              </w:rPr>
            </w:pPr>
            <w:r>
              <w:rPr>
                <w:rFonts w:cs="Arial"/>
                <w:szCs w:val="18"/>
                <w:lang w:val="en-GB"/>
              </w:rPr>
              <w:t>7</w:t>
            </w:r>
          </w:p>
        </w:tc>
        <w:tc>
          <w:tcPr>
            <w:tcW w:w="1361" w:type="dxa"/>
            <w:shd w:val="clear" w:color="auto" w:fill="FFFFFF"/>
          </w:tcPr>
          <w:p w14:paraId="4F352752" w14:textId="3A5D1C22" w:rsidR="00FA0EA3" w:rsidRPr="00B57B36" w:rsidRDefault="00FA0EA3" w:rsidP="00FA0EA3">
            <w:pPr>
              <w:pStyle w:val="CETBodytext"/>
              <w:ind w:right="-1"/>
              <w:rPr>
                <w:rFonts w:cs="Arial"/>
                <w:szCs w:val="18"/>
                <w:lang w:val="en-GB"/>
              </w:rPr>
            </w:pPr>
            <w:r>
              <w:rPr>
                <w:rFonts w:cs="Arial"/>
                <w:szCs w:val="18"/>
                <w:lang w:val="en-GB"/>
              </w:rPr>
              <w:t>1</w:t>
            </w:r>
            <w:r w:rsidR="00FD4DA3">
              <w:rPr>
                <w:rFonts w:cs="Arial"/>
                <w:szCs w:val="18"/>
                <w:lang w:val="en-GB"/>
              </w:rPr>
              <w:t>.0</w:t>
            </w:r>
          </w:p>
        </w:tc>
        <w:tc>
          <w:tcPr>
            <w:tcW w:w="1247" w:type="dxa"/>
            <w:shd w:val="clear" w:color="auto" w:fill="FFFFFF"/>
          </w:tcPr>
          <w:p w14:paraId="453255D2" w14:textId="2A35B4E3" w:rsidR="00FA0EA3" w:rsidRPr="00B57B36" w:rsidRDefault="00FA0EA3" w:rsidP="00FA0EA3">
            <w:pPr>
              <w:pStyle w:val="CETBodytext"/>
              <w:ind w:right="-1"/>
              <w:rPr>
                <w:rFonts w:cs="Arial"/>
                <w:szCs w:val="18"/>
                <w:lang w:val="en-GB"/>
              </w:rPr>
            </w:pPr>
            <w:r>
              <w:rPr>
                <w:rFonts w:cs="Arial"/>
                <w:szCs w:val="18"/>
                <w:lang w:val="en-GB"/>
              </w:rPr>
              <w:t>1.85</w:t>
            </w:r>
          </w:p>
        </w:tc>
        <w:tc>
          <w:tcPr>
            <w:tcW w:w="1191" w:type="dxa"/>
            <w:shd w:val="clear" w:color="auto" w:fill="FFFFFF"/>
          </w:tcPr>
          <w:p w14:paraId="37133BBF" w14:textId="39D2F87A" w:rsidR="00FA0EA3" w:rsidRPr="00B57B36" w:rsidRDefault="00FA0EA3" w:rsidP="00FA0EA3">
            <w:pPr>
              <w:pStyle w:val="CETBodytext"/>
              <w:ind w:right="-1"/>
              <w:rPr>
                <w:rFonts w:cs="Arial"/>
                <w:szCs w:val="18"/>
                <w:lang w:val="en-GB"/>
              </w:rPr>
            </w:pPr>
            <w:r>
              <w:rPr>
                <w:rFonts w:cs="Arial"/>
                <w:szCs w:val="18"/>
                <w:lang w:val="en-GB"/>
              </w:rPr>
              <w:t>5.</w:t>
            </w:r>
            <w:r w:rsidR="008D79CF">
              <w:rPr>
                <w:rFonts w:cs="Arial"/>
                <w:szCs w:val="18"/>
                <w:lang w:val="en-GB"/>
              </w:rPr>
              <w:t>4</w:t>
            </w:r>
          </w:p>
        </w:tc>
        <w:tc>
          <w:tcPr>
            <w:tcW w:w="850" w:type="dxa"/>
            <w:shd w:val="clear" w:color="auto" w:fill="FFFFFF"/>
          </w:tcPr>
          <w:p w14:paraId="77E7DBC9" w14:textId="4FCB1842" w:rsidR="00FA0EA3" w:rsidRPr="00B57B36" w:rsidRDefault="00FA0EA3" w:rsidP="00FA0EA3">
            <w:pPr>
              <w:pStyle w:val="CETBodytext"/>
              <w:ind w:right="-1"/>
              <w:rPr>
                <w:rFonts w:cs="Arial"/>
                <w:szCs w:val="18"/>
                <w:lang w:val="en-GB"/>
              </w:rPr>
            </w:pPr>
            <w:r>
              <w:rPr>
                <w:rFonts w:cs="Arial"/>
                <w:szCs w:val="18"/>
                <w:lang w:val="en-GB"/>
              </w:rPr>
              <w:t>9.5</w:t>
            </w:r>
          </w:p>
        </w:tc>
        <w:tc>
          <w:tcPr>
            <w:tcW w:w="850" w:type="dxa"/>
            <w:shd w:val="clear" w:color="auto" w:fill="FFFFFF"/>
          </w:tcPr>
          <w:p w14:paraId="14E7A037" w14:textId="78CCC06A" w:rsidR="00FA0EA3" w:rsidRPr="00B57B36" w:rsidRDefault="00FA0EA3" w:rsidP="00FA0EA3">
            <w:pPr>
              <w:pStyle w:val="CETBodytext"/>
              <w:ind w:right="-1"/>
              <w:rPr>
                <w:rFonts w:cs="Arial"/>
                <w:szCs w:val="18"/>
                <w:lang w:val="en-GB"/>
              </w:rPr>
            </w:pPr>
            <w:r>
              <w:rPr>
                <w:rFonts w:cs="Arial"/>
                <w:szCs w:val="18"/>
                <w:lang w:val="en-GB"/>
              </w:rPr>
              <w:t>15.2</w:t>
            </w:r>
          </w:p>
        </w:tc>
        <w:tc>
          <w:tcPr>
            <w:tcW w:w="850" w:type="dxa"/>
            <w:shd w:val="clear" w:color="auto" w:fill="FFFFFF"/>
          </w:tcPr>
          <w:p w14:paraId="14FA0A91" w14:textId="2ED5E1EF" w:rsidR="00FA0EA3" w:rsidRPr="00B57B36" w:rsidRDefault="00632044" w:rsidP="00FA0EA3">
            <w:pPr>
              <w:pStyle w:val="CETBodytext"/>
              <w:ind w:right="-1"/>
              <w:rPr>
                <w:rFonts w:cs="Arial"/>
                <w:szCs w:val="18"/>
                <w:lang w:val="en-GB"/>
              </w:rPr>
            </w:pPr>
            <w:r>
              <w:rPr>
                <w:rFonts w:cs="Arial"/>
                <w:szCs w:val="18"/>
                <w:lang w:val="en-GB"/>
              </w:rPr>
              <w:t>6</w:t>
            </w:r>
          </w:p>
        </w:tc>
        <w:tc>
          <w:tcPr>
            <w:tcW w:w="850" w:type="dxa"/>
            <w:shd w:val="clear" w:color="auto" w:fill="FFFFFF"/>
          </w:tcPr>
          <w:p w14:paraId="57741313" w14:textId="21820366" w:rsidR="00FA0EA3" w:rsidRPr="00B57B36" w:rsidRDefault="00FA22C5" w:rsidP="00FA0EA3">
            <w:pPr>
              <w:pStyle w:val="CETBodytext"/>
              <w:ind w:right="-1"/>
              <w:rPr>
                <w:rFonts w:cs="Arial"/>
                <w:szCs w:val="18"/>
                <w:lang w:val="en-GB"/>
              </w:rPr>
            </w:pPr>
            <w:r>
              <w:rPr>
                <w:rFonts w:cs="Arial"/>
                <w:szCs w:val="18"/>
                <w:lang w:val="en-GB"/>
              </w:rPr>
              <w:t>85</w:t>
            </w:r>
          </w:p>
        </w:tc>
      </w:tr>
      <w:tr w:rsidR="00FA0EA3" w:rsidRPr="00B57B36" w14:paraId="5AD1684A" w14:textId="77777777" w:rsidTr="00E5482E">
        <w:tc>
          <w:tcPr>
            <w:tcW w:w="567" w:type="dxa"/>
            <w:shd w:val="clear" w:color="auto" w:fill="FFFFFF"/>
          </w:tcPr>
          <w:p w14:paraId="01063856" w14:textId="190F630D" w:rsidR="00FA0EA3" w:rsidRPr="00B57B36" w:rsidRDefault="00FA0EA3" w:rsidP="00FA0EA3">
            <w:pPr>
              <w:pStyle w:val="CETBodytext"/>
              <w:ind w:right="-1"/>
              <w:rPr>
                <w:rFonts w:cs="Arial"/>
                <w:szCs w:val="18"/>
                <w:lang w:val="en-GB"/>
              </w:rPr>
            </w:pPr>
            <w:r>
              <w:rPr>
                <w:rFonts w:cs="Arial"/>
                <w:szCs w:val="18"/>
                <w:lang w:val="en-GB"/>
              </w:rPr>
              <w:t>14</w:t>
            </w:r>
          </w:p>
        </w:tc>
        <w:tc>
          <w:tcPr>
            <w:tcW w:w="1361" w:type="dxa"/>
            <w:shd w:val="clear" w:color="auto" w:fill="FFFFFF"/>
          </w:tcPr>
          <w:p w14:paraId="66ABF742" w14:textId="4C14A7A2" w:rsidR="00FA0EA3" w:rsidRPr="00B57B36" w:rsidRDefault="00FA0EA3" w:rsidP="00FA0EA3">
            <w:pPr>
              <w:pStyle w:val="CETBodytext"/>
              <w:ind w:right="-1"/>
              <w:rPr>
                <w:rFonts w:cs="Arial"/>
                <w:szCs w:val="18"/>
                <w:lang w:val="en-GB"/>
              </w:rPr>
            </w:pPr>
            <w:r>
              <w:rPr>
                <w:rFonts w:cs="Arial"/>
                <w:szCs w:val="18"/>
                <w:lang w:val="en-GB"/>
              </w:rPr>
              <w:t>0.1</w:t>
            </w:r>
          </w:p>
        </w:tc>
        <w:tc>
          <w:tcPr>
            <w:tcW w:w="1247" w:type="dxa"/>
            <w:shd w:val="clear" w:color="auto" w:fill="FFFFFF"/>
          </w:tcPr>
          <w:p w14:paraId="6E398BC5" w14:textId="2FD6A67B" w:rsidR="00FA0EA3" w:rsidRPr="00B57B36" w:rsidRDefault="00FA0EA3" w:rsidP="00FA0EA3">
            <w:pPr>
              <w:pStyle w:val="CETBodytext"/>
              <w:ind w:right="-1"/>
              <w:rPr>
                <w:rFonts w:cs="Arial"/>
                <w:szCs w:val="18"/>
                <w:lang w:val="en-GB"/>
              </w:rPr>
            </w:pPr>
            <w:r>
              <w:rPr>
                <w:rFonts w:cs="Arial"/>
                <w:szCs w:val="18"/>
                <w:lang w:val="en-GB"/>
              </w:rPr>
              <w:t>1.2</w:t>
            </w:r>
            <w:r w:rsidR="00FD4DA3">
              <w:rPr>
                <w:rFonts w:cs="Arial"/>
                <w:szCs w:val="18"/>
                <w:lang w:val="en-GB"/>
              </w:rPr>
              <w:t>0</w:t>
            </w:r>
          </w:p>
        </w:tc>
        <w:tc>
          <w:tcPr>
            <w:tcW w:w="1191" w:type="dxa"/>
            <w:shd w:val="clear" w:color="auto" w:fill="FFFFFF"/>
          </w:tcPr>
          <w:p w14:paraId="30B40658" w14:textId="6F229C78" w:rsidR="00FA0EA3" w:rsidRPr="00B57B36" w:rsidRDefault="00FA0EA3" w:rsidP="00FA0EA3">
            <w:pPr>
              <w:pStyle w:val="CETBodytext"/>
              <w:ind w:right="-1"/>
              <w:rPr>
                <w:rFonts w:cs="Arial"/>
                <w:szCs w:val="18"/>
                <w:lang w:val="en-GB"/>
              </w:rPr>
            </w:pPr>
            <w:r>
              <w:rPr>
                <w:rFonts w:cs="Arial"/>
                <w:szCs w:val="18"/>
                <w:lang w:val="en-GB"/>
              </w:rPr>
              <w:t>4.7</w:t>
            </w:r>
          </w:p>
        </w:tc>
        <w:tc>
          <w:tcPr>
            <w:tcW w:w="850" w:type="dxa"/>
            <w:shd w:val="clear" w:color="auto" w:fill="FFFFFF"/>
          </w:tcPr>
          <w:p w14:paraId="05642887" w14:textId="3B60599E" w:rsidR="00FA0EA3" w:rsidRPr="00B57B36" w:rsidRDefault="00FA0EA3" w:rsidP="00FA0EA3">
            <w:pPr>
              <w:pStyle w:val="CETBodytext"/>
              <w:ind w:right="-1"/>
              <w:rPr>
                <w:rFonts w:cs="Arial"/>
                <w:szCs w:val="18"/>
                <w:lang w:val="en-GB"/>
              </w:rPr>
            </w:pPr>
            <w:r>
              <w:rPr>
                <w:rFonts w:cs="Arial"/>
                <w:szCs w:val="18"/>
                <w:lang w:val="en-GB"/>
              </w:rPr>
              <w:t>1.</w:t>
            </w:r>
            <w:r w:rsidR="00E0637A">
              <w:rPr>
                <w:rFonts w:cs="Arial"/>
                <w:szCs w:val="18"/>
                <w:lang w:val="en-GB"/>
              </w:rPr>
              <w:t>1</w:t>
            </w:r>
          </w:p>
        </w:tc>
        <w:tc>
          <w:tcPr>
            <w:tcW w:w="850" w:type="dxa"/>
            <w:shd w:val="clear" w:color="auto" w:fill="FFFFFF"/>
          </w:tcPr>
          <w:p w14:paraId="6E736C40" w14:textId="4A66EE56" w:rsidR="00FA0EA3" w:rsidRPr="00B57B36" w:rsidRDefault="00FA0EA3" w:rsidP="00FA0EA3">
            <w:pPr>
              <w:pStyle w:val="CETBodytext"/>
              <w:ind w:right="-1"/>
              <w:rPr>
                <w:rFonts w:cs="Arial"/>
                <w:szCs w:val="18"/>
                <w:lang w:val="en-GB"/>
              </w:rPr>
            </w:pPr>
            <w:r>
              <w:rPr>
                <w:rFonts w:cs="Arial"/>
                <w:szCs w:val="18"/>
                <w:lang w:val="en-GB"/>
              </w:rPr>
              <w:t>0</w:t>
            </w:r>
          </w:p>
        </w:tc>
        <w:tc>
          <w:tcPr>
            <w:tcW w:w="850" w:type="dxa"/>
            <w:shd w:val="clear" w:color="auto" w:fill="FFFFFF"/>
          </w:tcPr>
          <w:p w14:paraId="5D0CCFB4" w14:textId="4B454B87" w:rsidR="00FA0EA3" w:rsidRPr="00B57B36" w:rsidRDefault="00C409D6" w:rsidP="00FA0EA3">
            <w:pPr>
              <w:pStyle w:val="CETBodytext"/>
              <w:ind w:right="-1"/>
              <w:rPr>
                <w:rFonts w:cs="Arial"/>
                <w:szCs w:val="18"/>
                <w:lang w:val="en-GB"/>
              </w:rPr>
            </w:pPr>
            <w:r>
              <w:rPr>
                <w:rFonts w:cs="Arial"/>
                <w:szCs w:val="18"/>
                <w:lang w:val="en-GB"/>
              </w:rPr>
              <w:t>0</w:t>
            </w:r>
          </w:p>
        </w:tc>
        <w:tc>
          <w:tcPr>
            <w:tcW w:w="850" w:type="dxa"/>
            <w:shd w:val="clear" w:color="auto" w:fill="FFFFFF"/>
          </w:tcPr>
          <w:p w14:paraId="4F89215A" w14:textId="0B37E3E7" w:rsidR="00FA0EA3" w:rsidRPr="00B57B36" w:rsidRDefault="00FA22C5" w:rsidP="00FA0EA3">
            <w:pPr>
              <w:pStyle w:val="CETBodytext"/>
              <w:ind w:right="-1"/>
              <w:rPr>
                <w:rFonts w:cs="Arial"/>
                <w:szCs w:val="18"/>
                <w:lang w:val="en-GB"/>
              </w:rPr>
            </w:pPr>
            <w:r>
              <w:rPr>
                <w:rFonts w:cs="Arial"/>
                <w:szCs w:val="18"/>
                <w:lang w:val="en-GB"/>
              </w:rPr>
              <w:t>96</w:t>
            </w:r>
          </w:p>
        </w:tc>
      </w:tr>
      <w:tr w:rsidR="00FA0EA3" w:rsidRPr="00B57B36" w14:paraId="2CBE1BCB" w14:textId="3425BF6D" w:rsidTr="00E5482E">
        <w:tc>
          <w:tcPr>
            <w:tcW w:w="567" w:type="dxa"/>
            <w:shd w:val="clear" w:color="auto" w:fill="FFFFFF"/>
          </w:tcPr>
          <w:p w14:paraId="3AB8A286" w14:textId="03C8ED19" w:rsidR="00FA0EA3" w:rsidRPr="002C054B" w:rsidRDefault="00FA0EA3" w:rsidP="00FA0EA3">
            <w:pPr>
              <w:pStyle w:val="CETBodytext"/>
              <w:ind w:right="-1"/>
              <w:rPr>
                <w:rFonts w:cs="Arial"/>
                <w:szCs w:val="18"/>
                <w:lang w:val="en-GB"/>
              </w:rPr>
            </w:pPr>
            <w:r>
              <w:rPr>
                <w:rFonts w:cs="Arial"/>
                <w:szCs w:val="18"/>
                <w:lang w:val="en-GB"/>
              </w:rPr>
              <w:t>14</w:t>
            </w:r>
          </w:p>
        </w:tc>
        <w:tc>
          <w:tcPr>
            <w:tcW w:w="1361" w:type="dxa"/>
            <w:shd w:val="clear" w:color="auto" w:fill="FFFFFF"/>
          </w:tcPr>
          <w:p w14:paraId="583FBD94" w14:textId="3DA6A0D9" w:rsidR="00FA0EA3" w:rsidRPr="00B57B36" w:rsidRDefault="00FA0EA3" w:rsidP="00FA0EA3">
            <w:pPr>
              <w:pStyle w:val="CETBodytext"/>
              <w:ind w:right="-1"/>
              <w:rPr>
                <w:rFonts w:cs="Arial"/>
                <w:szCs w:val="18"/>
                <w:lang w:val="en-GB"/>
              </w:rPr>
            </w:pPr>
            <w:r>
              <w:rPr>
                <w:rFonts w:cs="Arial"/>
                <w:szCs w:val="18"/>
                <w:lang w:val="en-GB"/>
              </w:rPr>
              <w:t>0.3</w:t>
            </w:r>
          </w:p>
        </w:tc>
        <w:tc>
          <w:tcPr>
            <w:tcW w:w="1247" w:type="dxa"/>
            <w:shd w:val="clear" w:color="auto" w:fill="FFFFFF"/>
          </w:tcPr>
          <w:p w14:paraId="2058BADF" w14:textId="1C6D798E" w:rsidR="00FA0EA3" w:rsidRPr="00B57B36" w:rsidRDefault="00FA0EA3" w:rsidP="00FA0EA3">
            <w:pPr>
              <w:pStyle w:val="CETBodytext"/>
              <w:ind w:right="-1"/>
              <w:rPr>
                <w:rFonts w:cs="Arial"/>
                <w:szCs w:val="18"/>
                <w:lang w:val="en-GB"/>
              </w:rPr>
            </w:pPr>
            <w:r>
              <w:rPr>
                <w:rFonts w:cs="Arial"/>
                <w:szCs w:val="18"/>
                <w:lang w:val="en-GB"/>
              </w:rPr>
              <w:t>1.39</w:t>
            </w:r>
          </w:p>
        </w:tc>
        <w:tc>
          <w:tcPr>
            <w:tcW w:w="1191" w:type="dxa"/>
            <w:shd w:val="clear" w:color="auto" w:fill="FFFFFF"/>
          </w:tcPr>
          <w:p w14:paraId="0705CA44" w14:textId="005E9BB4" w:rsidR="00FA0EA3" w:rsidRPr="00B57B36" w:rsidRDefault="00FA0EA3" w:rsidP="00FA0EA3">
            <w:pPr>
              <w:pStyle w:val="CETBodytext"/>
              <w:ind w:right="-1"/>
              <w:rPr>
                <w:rFonts w:cs="Arial"/>
                <w:szCs w:val="18"/>
                <w:lang w:val="en-GB"/>
              </w:rPr>
            </w:pPr>
            <w:r>
              <w:rPr>
                <w:rFonts w:cs="Arial"/>
                <w:szCs w:val="18"/>
                <w:lang w:val="en-GB"/>
              </w:rPr>
              <w:t>4.8</w:t>
            </w:r>
          </w:p>
        </w:tc>
        <w:tc>
          <w:tcPr>
            <w:tcW w:w="850" w:type="dxa"/>
            <w:shd w:val="clear" w:color="auto" w:fill="FFFFFF"/>
          </w:tcPr>
          <w:p w14:paraId="042D5099" w14:textId="705BB3DC" w:rsidR="00FA0EA3" w:rsidRPr="00B57B36" w:rsidRDefault="00FA0EA3" w:rsidP="00FA0EA3">
            <w:pPr>
              <w:pStyle w:val="CETBodytext"/>
              <w:ind w:right="-1"/>
              <w:rPr>
                <w:rFonts w:cs="Arial"/>
                <w:szCs w:val="18"/>
                <w:lang w:val="en-GB"/>
              </w:rPr>
            </w:pPr>
            <w:r>
              <w:rPr>
                <w:rFonts w:cs="Arial"/>
                <w:szCs w:val="18"/>
                <w:lang w:val="en-GB"/>
              </w:rPr>
              <w:t>1.</w:t>
            </w:r>
            <w:r w:rsidR="00E0637A">
              <w:rPr>
                <w:rFonts w:cs="Arial"/>
                <w:szCs w:val="18"/>
                <w:lang w:val="en-GB"/>
              </w:rPr>
              <w:t>7</w:t>
            </w:r>
          </w:p>
        </w:tc>
        <w:tc>
          <w:tcPr>
            <w:tcW w:w="850" w:type="dxa"/>
            <w:shd w:val="clear" w:color="auto" w:fill="FFFFFF"/>
          </w:tcPr>
          <w:p w14:paraId="5979B268" w14:textId="69D23314" w:rsidR="00FA0EA3" w:rsidRPr="00B57B36" w:rsidRDefault="00FA0EA3" w:rsidP="00FA0EA3">
            <w:pPr>
              <w:pStyle w:val="CETBodytext"/>
              <w:ind w:right="-1"/>
              <w:rPr>
                <w:rFonts w:cs="Arial"/>
                <w:szCs w:val="18"/>
                <w:lang w:val="en-GB"/>
              </w:rPr>
            </w:pPr>
            <w:r>
              <w:rPr>
                <w:rFonts w:cs="Arial"/>
                <w:szCs w:val="18"/>
                <w:lang w:val="en-GB"/>
              </w:rPr>
              <w:t>0</w:t>
            </w:r>
          </w:p>
        </w:tc>
        <w:tc>
          <w:tcPr>
            <w:tcW w:w="850" w:type="dxa"/>
            <w:shd w:val="clear" w:color="auto" w:fill="FFFFFF"/>
          </w:tcPr>
          <w:p w14:paraId="2DAD3511" w14:textId="38987174" w:rsidR="00FA0EA3" w:rsidRPr="00B57B36" w:rsidRDefault="00C409D6" w:rsidP="00FA0EA3">
            <w:pPr>
              <w:pStyle w:val="CETBodytext"/>
              <w:ind w:right="-1"/>
              <w:rPr>
                <w:rFonts w:cs="Arial"/>
                <w:szCs w:val="18"/>
                <w:lang w:val="en-GB"/>
              </w:rPr>
            </w:pPr>
            <w:r>
              <w:rPr>
                <w:rFonts w:cs="Arial"/>
                <w:szCs w:val="18"/>
                <w:lang w:val="en-GB"/>
              </w:rPr>
              <w:t>0</w:t>
            </w:r>
          </w:p>
        </w:tc>
        <w:tc>
          <w:tcPr>
            <w:tcW w:w="850" w:type="dxa"/>
            <w:shd w:val="clear" w:color="auto" w:fill="FFFFFF"/>
          </w:tcPr>
          <w:p w14:paraId="272D8E78" w14:textId="70AAD246" w:rsidR="00FA0EA3" w:rsidRPr="00B57B36" w:rsidRDefault="00FA22C5" w:rsidP="00FA0EA3">
            <w:pPr>
              <w:pStyle w:val="CETBodytext"/>
              <w:ind w:right="-1"/>
              <w:rPr>
                <w:rFonts w:cs="Arial"/>
                <w:szCs w:val="18"/>
                <w:lang w:val="en-GB"/>
              </w:rPr>
            </w:pPr>
            <w:r>
              <w:rPr>
                <w:rFonts w:cs="Arial"/>
                <w:szCs w:val="18"/>
                <w:lang w:val="en-GB"/>
              </w:rPr>
              <w:t>51</w:t>
            </w:r>
          </w:p>
        </w:tc>
      </w:tr>
      <w:tr w:rsidR="00FA0EA3" w:rsidRPr="00B57B36" w14:paraId="76B6EF37" w14:textId="77FBFD0A" w:rsidTr="00E5482E">
        <w:tc>
          <w:tcPr>
            <w:tcW w:w="567" w:type="dxa"/>
            <w:shd w:val="clear" w:color="auto" w:fill="FFFFFF"/>
          </w:tcPr>
          <w:p w14:paraId="143D16B0" w14:textId="037DC1BB" w:rsidR="00FA0EA3" w:rsidRPr="000C5C2A" w:rsidRDefault="00FA0EA3" w:rsidP="00FA0EA3">
            <w:pPr>
              <w:pStyle w:val="CETBodytext"/>
              <w:ind w:right="-1"/>
            </w:pPr>
            <w:r>
              <w:t>14</w:t>
            </w:r>
          </w:p>
        </w:tc>
        <w:tc>
          <w:tcPr>
            <w:tcW w:w="1361" w:type="dxa"/>
            <w:shd w:val="clear" w:color="auto" w:fill="FFFFFF"/>
          </w:tcPr>
          <w:p w14:paraId="069C0C8C" w14:textId="7E503DE0" w:rsidR="00FA0EA3" w:rsidRPr="00B57B36" w:rsidRDefault="00FA0EA3" w:rsidP="00FA0EA3">
            <w:pPr>
              <w:pStyle w:val="CETBodytext"/>
              <w:ind w:right="-1"/>
              <w:rPr>
                <w:rFonts w:cs="Arial"/>
                <w:szCs w:val="18"/>
                <w:lang w:val="en-GB"/>
              </w:rPr>
            </w:pPr>
            <w:r>
              <w:rPr>
                <w:rFonts w:cs="Arial"/>
                <w:szCs w:val="18"/>
                <w:lang w:val="en-GB"/>
              </w:rPr>
              <w:t>0.5</w:t>
            </w:r>
          </w:p>
        </w:tc>
        <w:tc>
          <w:tcPr>
            <w:tcW w:w="1247" w:type="dxa"/>
            <w:shd w:val="clear" w:color="auto" w:fill="FFFFFF"/>
          </w:tcPr>
          <w:p w14:paraId="2B9A0996" w14:textId="52772C51" w:rsidR="00FA0EA3" w:rsidRPr="00B57B36" w:rsidRDefault="00FA0EA3" w:rsidP="00FA0EA3">
            <w:pPr>
              <w:pStyle w:val="CETBodytext"/>
              <w:ind w:right="-1"/>
              <w:rPr>
                <w:rFonts w:cs="Arial"/>
                <w:szCs w:val="18"/>
                <w:lang w:val="en-GB"/>
              </w:rPr>
            </w:pPr>
            <w:r>
              <w:rPr>
                <w:rFonts w:cs="Arial"/>
                <w:szCs w:val="18"/>
                <w:lang w:val="en-GB"/>
              </w:rPr>
              <w:t>1.57</w:t>
            </w:r>
          </w:p>
        </w:tc>
        <w:tc>
          <w:tcPr>
            <w:tcW w:w="1191" w:type="dxa"/>
            <w:shd w:val="clear" w:color="auto" w:fill="FFFFFF"/>
          </w:tcPr>
          <w:p w14:paraId="4F6E9835" w14:textId="7B39069D" w:rsidR="00FA0EA3" w:rsidRPr="00B57B36" w:rsidRDefault="00FA0EA3" w:rsidP="00FA0EA3">
            <w:pPr>
              <w:pStyle w:val="CETBodytext"/>
              <w:ind w:right="-1"/>
              <w:rPr>
                <w:rFonts w:cs="Arial"/>
                <w:szCs w:val="18"/>
                <w:lang w:val="en-GB"/>
              </w:rPr>
            </w:pPr>
            <w:r>
              <w:rPr>
                <w:rFonts w:cs="Arial"/>
                <w:szCs w:val="18"/>
                <w:lang w:val="en-GB"/>
              </w:rPr>
              <w:t>5</w:t>
            </w:r>
            <w:r w:rsidR="00E0637A">
              <w:rPr>
                <w:rFonts w:cs="Arial"/>
                <w:szCs w:val="18"/>
                <w:lang w:val="en-GB"/>
              </w:rPr>
              <w:t>.0</w:t>
            </w:r>
          </w:p>
        </w:tc>
        <w:tc>
          <w:tcPr>
            <w:tcW w:w="850" w:type="dxa"/>
            <w:shd w:val="clear" w:color="auto" w:fill="FFFFFF"/>
          </w:tcPr>
          <w:p w14:paraId="60D2057D" w14:textId="090FEF78" w:rsidR="00FA0EA3" w:rsidRPr="00B57B36" w:rsidRDefault="00FA0EA3" w:rsidP="00FA0EA3">
            <w:pPr>
              <w:pStyle w:val="CETBodytext"/>
              <w:ind w:right="-1"/>
              <w:rPr>
                <w:rFonts w:cs="Arial"/>
                <w:szCs w:val="18"/>
                <w:lang w:val="en-GB"/>
              </w:rPr>
            </w:pPr>
            <w:r>
              <w:rPr>
                <w:rFonts w:cs="Arial"/>
                <w:szCs w:val="18"/>
                <w:lang w:val="en-GB"/>
              </w:rPr>
              <w:t>3.8</w:t>
            </w:r>
          </w:p>
        </w:tc>
        <w:tc>
          <w:tcPr>
            <w:tcW w:w="850" w:type="dxa"/>
            <w:shd w:val="clear" w:color="auto" w:fill="FFFFFF"/>
          </w:tcPr>
          <w:p w14:paraId="74297D40" w14:textId="3FFE7E4D" w:rsidR="00FA0EA3" w:rsidRPr="00B57B36" w:rsidRDefault="00FA0EA3" w:rsidP="00FA0EA3">
            <w:pPr>
              <w:pStyle w:val="CETBodytext"/>
              <w:ind w:right="-1"/>
              <w:rPr>
                <w:rFonts w:cs="Arial"/>
                <w:szCs w:val="18"/>
                <w:lang w:val="en-GB"/>
              </w:rPr>
            </w:pPr>
            <w:r>
              <w:rPr>
                <w:rFonts w:cs="Arial"/>
                <w:szCs w:val="18"/>
                <w:lang w:val="en-GB"/>
              </w:rPr>
              <w:t>0</w:t>
            </w:r>
          </w:p>
        </w:tc>
        <w:tc>
          <w:tcPr>
            <w:tcW w:w="850" w:type="dxa"/>
            <w:shd w:val="clear" w:color="auto" w:fill="FFFFFF"/>
          </w:tcPr>
          <w:p w14:paraId="1DF74DA6" w14:textId="14E537C0" w:rsidR="00FA0EA3" w:rsidRPr="00B57B36" w:rsidRDefault="00C409D6" w:rsidP="00FA0EA3">
            <w:pPr>
              <w:pStyle w:val="CETBodytext"/>
              <w:ind w:right="-1"/>
              <w:rPr>
                <w:rFonts w:cs="Arial"/>
                <w:szCs w:val="18"/>
                <w:lang w:val="en-GB"/>
              </w:rPr>
            </w:pPr>
            <w:r>
              <w:rPr>
                <w:rFonts w:cs="Arial"/>
                <w:szCs w:val="18"/>
                <w:lang w:val="en-GB"/>
              </w:rPr>
              <w:t>0</w:t>
            </w:r>
          </w:p>
        </w:tc>
        <w:tc>
          <w:tcPr>
            <w:tcW w:w="850" w:type="dxa"/>
            <w:shd w:val="clear" w:color="auto" w:fill="FFFFFF"/>
          </w:tcPr>
          <w:p w14:paraId="19275595" w14:textId="2E257D77" w:rsidR="00FA0EA3" w:rsidRPr="00B57B36" w:rsidRDefault="00FA22C5" w:rsidP="00FA0EA3">
            <w:pPr>
              <w:pStyle w:val="CETBodytext"/>
              <w:ind w:right="-1"/>
              <w:rPr>
                <w:rFonts w:cs="Arial"/>
                <w:szCs w:val="18"/>
                <w:lang w:val="en-GB"/>
              </w:rPr>
            </w:pPr>
            <w:r>
              <w:rPr>
                <w:rFonts w:cs="Arial"/>
                <w:szCs w:val="18"/>
                <w:lang w:val="en-GB"/>
              </w:rPr>
              <w:t>41</w:t>
            </w:r>
          </w:p>
        </w:tc>
      </w:tr>
    </w:tbl>
    <w:p w14:paraId="1E3F5E39" w14:textId="77777777" w:rsidR="00EF622D" w:rsidRDefault="00EF622D" w:rsidP="00627E0B">
      <w:pPr>
        <w:pStyle w:val="CETBodytext"/>
      </w:pPr>
    </w:p>
    <w:p w14:paraId="1FD09DA6" w14:textId="12172DA9" w:rsidR="002904AC" w:rsidRDefault="0020114E" w:rsidP="00627E0B">
      <w:pPr>
        <w:pStyle w:val="CETBodytext"/>
      </w:pPr>
      <w:r>
        <w:t xml:space="preserve">The </w:t>
      </w:r>
      <w:r w:rsidR="004910CF">
        <w:t xml:space="preserve">partial oxidation </w:t>
      </w:r>
      <w:r w:rsidR="004910CF" w:rsidRPr="00C66242">
        <w:t xml:space="preserve">products, </w:t>
      </w:r>
      <w:r w:rsidR="00FD0CB4" w:rsidRPr="00C66242">
        <w:t xml:space="preserve">specifically </w:t>
      </w:r>
      <w:r w:rsidR="004910CF" w:rsidRPr="00C66242">
        <w:t xml:space="preserve">DHA and GA, </w:t>
      </w:r>
      <w:r w:rsidR="009D0BF4" w:rsidRPr="00C66242">
        <w:t>show</w:t>
      </w:r>
      <w:r w:rsidR="00406610" w:rsidRPr="00C66242">
        <w:t xml:space="preserve"> different</w:t>
      </w:r>
      <w:r w:rsidR="009D0BF4" w:rsidRPr="00C66242">
        <w:t xml:space="preserve"> </w:t>
      </w:r>
      <w:r w:rsidR="008C6624" w:rsidRPr="00C66242">
        <w:t>FE</w:t>
      </w:r>
      <w:r w:rsidR="007D2094" w:rsidRPr="00C66242">
        <w:t>s</w:t>
      </w:r>
      <w:r w:rsidR="008C6624" w:rsidRPr="00C66242">
        <w:t xml:space="preserve"> </w:t>
      </w:r>
      <w:r w:rsidR="00406610" w:rsidRPr="00C66242">
        <w:t>depending on</w:t>
      </w:r>
      <w:r w:rsidR="007D2094" w:rsidRPr="00C66242">
        <w:t xml:space="preserve"> </w:t>
      </w:r>
      <w:r w:rsidR="001560C9" w:rsidRPr="00C66242">
        <w:t xml:space="preserve">the </w:t>
      </w:r>
      <w:r w:rsidR="007D2094" w:rsidRPr="00C66242">
        <w:t xml:space="preserve">pH </w:t>
      </w:r>
      <w:r w:rsidR="00063DEB" w:rsidRPr="00C66242">
        <w:t xml:space="preserve">of the reaction mixture. </w:t>
      </w:r>
      <w:r w:rsidR="004F24BD" w:rsidRPr="00C66242">
        <w:t>Significantly</w:t>
      </w:r>
      <w:r w:rsidR="00063DEB" w:rsidRPr="00C66242">
        <w:t xml:space="preserve">, the highest </w:t>
      </w:r>
      <w:r w:rsidR="00390FDE" w:rsidRPr="00C66242">
        <w:t xml:space="preserve">FE </w:t>
      </w:r>
      <w:r w:rsidR="000B495A" w:rsidRPr="00C66242">
        <w:t>for</w:t>
      </w:r>
      <w:r w:rsidR="00390FDE" w:rsidRPr="00C66242">
        <w:t xml:space="preserve"> DHA and GA was </w:t>
      </w:r>
      <w:r w:rsidR="00632665" w:rsidRPr="00C66242">
        <w:t>obtained</w:t>
      </w:r>
      <w:r w:rsidR="00390FDE" w:rsidRPr="00C66242">
        <w:t xml:space="preserve"> at </w:t>
      </w:r>
      <w:r w:rsidR="007C0716" w:rsidRPr="00C66242">
        <w:t>pH</w:t>
      </w:r>
      <w:r w:rsidR="007C0716">
        <w:t xml:space="preserve"> 7 with </w:t>
      </w:r>
      <w:r w:rsidR="007E02B4">
        <w:t xml:space="preserve">an </w:t>
      </w:r>
      <w:r w:rsidR="00AB71CB">
        <w:t xml:space="preserve">applied bias </w:t>
      </w:r>
      <w:r w:rsidR="007C0716">
        <w:t xml:space="preserve">of </w:t>
      </w:r>
      <w:r w:rsidR="00830A83">
        <w:t>0.1 V and 0.5</w:t>
      </w:r>
      <w:r w:rsidR="00AB71CB">
        <w:t xml:space="preserve"> </w:t>
      </w:r>
      <w:r w:rsidR="00830A83">
        <w:t>V vs Ag/AgCl respectively.</w:t>
      </w:r>
      <w:r w:rsidR="006645E6">
        <w:t xml:space="preserve"> Moreover, at higher pH, </w:t>
      </w:r>
      <w:r w:rsidR="00E27B8C">
        <w:t xml:space="preserve">the DHA </w:t>
      </w:r>
      <w:r w:rsidR="007E02B4">
        <w:t xml:space="preserve">production is </w:t>
      </w:r>
      <w:r w:rsidR="00655454">
        <w:t>reduced,</w:t>
      </w:r>
      <w:r w:rsidR="007E02B4">
        <w:t xml:space="preserve"> and it drops to 0</w:t>
      </w:r>
      <w:r w:rsidR="00E27B8C">
        <w:t xml:space="preserve"> </w:t>
      </w:r>
      <w:r w:rsidR="000B495A">
        <w:t>for</w:t>
      </w:r>
      <w:r w:rsidR="001560C9">
        <w:t xml:space="preserve"> GA.</w:t>
      </w:r>
      <w:r w:rsidR="009939AD">
        <w:t xml:space="preserve"> This may be due to the increased OER at higher pH</w:t>
      </w:r>
      <w:r w:rsidR="00B31F0F">
        <w:t xml:space="preserve"> values</w:t>
      </w:r>
      <w:r w:rsidR="00942DC3">
        <w:t>, thanks to its favorable kinetic</w:t>
      </w:r>
      <w:r w:rsidR="009939AD">
        <w:t xml:space="preserve">, </w:t>
      </w:r>
      <w:r w:rsidR="00C80E81">
        <w:t>which</w:t>
      </w:r>
      <w:r w:rsidR="009939AD">
        <w:t xml:space="preserve"> in turn </w:t>
      </w:r>
      <w:r w:rsidR="00942DC3">
        <w:t>hinders</w:t>
      </w:r>
      <w:r w:rsidR="00B31F0F">
        <w:t xml:space="preserve"> </w:t>
      </w:r>
      <w:r w:rsidR="00C80E81">
        <w:t>the production of</w:t>
      </w:r>
      <w:r w:rsidR="00CB44C3">
        <w:t xml:space="preserve"> HVA products derived by glycerol photooxidation.</w:t>
      </w:r>
    </w:p>
    <w:p w14:paraId="26033629" w14:textId="3D2AAF9C" w:rsidR="00CC5F6A" w:rsidRDefault="003608C9" w:rsidP="00627E0B">
      <w:pPr>
        <w:pStyle w:val="CETBodytext"/>
      </w:pPr>
      <w:r>
        <w:t>CO</w:t>
      </w:r>
      <w:r w:rsidRPr="00886A95">
        <w:rPr>
          <w:vertAlign w:val="subscript"/>
        </w:rPr>
        <w:t>2</w:t>
      </w:r>
      <w:r>
        <w:t xml:space="preserve"> production</w:t>
      </w:r>
      <w:r w:rsidR="00886A95">
        <w:t>,</w:t>
      </w:r>
      <w:r>
        <w:t xml:space="preserve"> </w:t>
      </w:r>
      <w:r w:rsidR="00E00F71" w:rsidRPr="00E00F71">
        <w:t>indicative of glycerol mineralization</w:t>
      </w:r>
      <w:r w:rsidR="00886A95">
        <w:t xml:space="preserve">, is strongly affected by the </w:t>
      </w:r>
      <w:r w:rsidR="000D4CBA">
        <w:t xml:space="preserve">pH of the reaction mixture </w:t>
      </w:r>
      <w:r w:rsidR="00B16941" w:rsidRPr="00B16941">
        <w:t>rather than the</w:t>
      </w:r>
      <w:r w:rsidR="000D4CBA">
        <w:t xml:space="preserve"> cell potential</w:t>
      </w:r>
      <w:r w:rsidR="001C5035">
        <w:t>. Notably</w:t>
      </w:r>
      <w:r w:rsidR="00E00F71">
        <w:t>,</w:t>
      </w:r>
      <w:r w:rsidR="001C5035">
        <w:t xml:space="preserve"> FE towards CO</w:t>
      </w:r>
      <w:r w:rsidR="001C5035" w:rsidRPr="00A8747F">
        <w:rPr>
          <w:vertAlign w:val="subscript"/>
        </w:rPr>
        <w:t>2</w:t>
      </w:r>
      <w:r w:rsidR="001C5035">
        <w:t xml:space="preserve"> </w:t>
      </w:r>
      <w:r w:rsidR="00B16941">
        <w:t>stands at</w:t>
      </w:r>
      <w:r w:rsidR="00DF191E">
        <w:t xml:space="preserve"> 26 % at pH 2, </w:t>
      </w:r>
      <w:r w:rsidR="00734BC3" w:rsidRPr="00734BC3">
        <w:t xml:space="preserve">approximately </w:t>
      </w:r>
      <w:r w:rsidR="00DF191E">
        <w:t>10 % at pH 7</w:t>
      </w:r>
      <w:r w:rsidR="00734BC3">
        <w:t>,</w:t>
      </w:r>
      <w:r w:rsidR="00DF191E">
        <w:t xml:space="preserve"> and drops to 0 at </w:t>
      </w:r>
      <w:r w:rsidR="00B459A0">
        <w:t xml:space="preserve">pH 14. </w:t>
      </w:r>
      <w:r w:rsidR="00705339" w:rsidRPr="00E42BEB">
        <w:t>This trend aligns with the hypothesis that the applied bias mainly serves to minimize recombination between photoinduced holes and electrons, rather than affecting their potential</w:t>
      </w:r>
      <w:r w:rsidR="00FF40CA" w:rsidRPr="00E42BEB">
        <w:t xml:space="preserve">. </w:t>
      </w:r>
      <w:r w:rsidR="00146025" w:rsidRPr="00E42BEB">
        <w:t xml:space="preserve">Conversely, the pH </w:t>
      </w:r>
      <w:r w:rsidR="006B7A33" w:rsidRPr="00E42BEB">
        <w:t xml:space="preserve">influences </w:t>
      </w:r>
      <w:r w:rsidR="00146025" w:rsidRPr="00E42BEB">
        <w:t xml:space="preserve">the </w:t>
      </w:r>
      <w:r w:rsidR="00B0247C" w:rsidRPr="00E42BEB">
        <w:t xml:space="preserve">redox potential of species </w:t>
      </w:r>
      <w:r w:rsidR="006B7A33" w:rsidRPr="00E42BEB">
        <w:t>within</w:t>
      </w:r>
      <w:r w:rsidR="00B0247C" w:rsidRPr="00E42BEB">
        <w:t xml:space="preserve"> the reaction mixture</w:t>
      </w:r>
      <w:r w:rsidR="00826EB7" w:rsidRPr="00E42BEB">
        <w:t xml:space="preserve"> as well as the kinetic </w:t>
      </w:r>
      <w:r w:rsidR="00E86C4D" w:rsidRPr="00E42BEB">
        <w:t xml:space="preserve">toward the </w:t>
      </w:r>
      <w:r w:rsidR="00A4662B" w:rsidRPr="00E42BEB">
        <w:t>OER</w:t>
      </w:r>
      <w:r w:rsidR="00064D64" w:rsidRPr="00E42BEB">
        <w:t>,</w:t>
      </w:r>
      <w:r w:rsidR="00A4662B" w:rsidRPr="00E42BEB">
        <w:t xml:space="preserve"> affecting</w:t>
      </w:r>
      <w:r w:rsidR="00064D64" w:rsidRPr="00E42BEB">
        <w:t xml:space="preserve"> </w:t>
      </w:r>
      <w:r w:rsidR="00103645" w:rsidRPr="00E42BEB">
        <w:t>the glycerol mineralization</w:t>
      </w:r>
      <w:r w:rsidR="00A4662B" w:rsidRPr="00E42BEB">
        <w:t xml:space="preserve"> to</w:t>
      </w:r>
      <w:r w:rsidR="00A4662B">
        <w:t xml:space="preserve"> CO</w:t>
      </w:r>
      <w:r w:rsidR="00A4662B" w:rsidRPr="00A4662B">
        <w:rPr>
          <w:vertAlign w:val="subscript"/>
        </w:rPr>
        <w:t>2</w:t>
      </w:r>
      <w:r w:rsidR="00A4662B">
        <w:t xml:space="preserve"> and H</w:t>
      </w:r>
      <w:r w:rsidR="00A4662B" w:rsidRPr="00A4662B">
        <w:rPr>
          <w:vertAlign w:val="subscript"/>
        </w:rPr>
        <w:t>2</w:t>
      </w:r>
      <w:r w:rsidR="00103645">
        <w:t>.</w:t>
      </w:r>
    </w:p>
    <w:p w14:paraId="26958E90" w14:textId="625EE963" w:rsidR="00840776" w:rsidRDefault="00A77FEF" w:rsidP="00627E0B">
      <w:pPr>
        <w:pStyle w:val="CETBodytext"/>
      </w:pPr>
      <w:r w:rsidRPr="00DE7380">
        <w:t>The FE towards H</w:t>
      </w:r>
      <w:r w:rsidRPr="00DE7380">
        <w:rPr>
          <w:vertAlign w:val="subscript"/>
        </w:rPr>
        <w:t>2</w:t>
      </w:r>
      <w:r w:rsidRPr="00DE7380">
        <w:t xml:space="preserve"> diminishes as both the pH and the applied bias increase. This observation aligns with findings in the literature and is likely linked to </w:t>
      </w:r>
      <w:r w:rsidR="009A4C2A" w:rsidRPr="00DE7380">
        <w:t>higher</w:t>
      </w:r>
      <w:r w:rsidRPr="00DE7380">
        <w:t xml:space="preserve"> O</w:t>
      </w:r>
      <w:r w:rsidRPr="00DE7380">
        <w:rPr>
          <w:vertAlign w:val="subscript"/>
        </w:rPr>
        <w:t>2</w:t>
      </w:r>
      <w:r w:rsidRPr="00DE7380">
        <w:t xml:space="preserve"> production, which </w:t>
      </w:r>
      <w:r w:rsidR="00FF1931" w:rsidRPr="00DE7380">
        <w:t>interacts</w:t>
      </w:r>
      <w:r w:rsidRPr="00DE7380">
        <w:t xml:space="preserve"> with the generated H</w:t>
      </w:r>
      <w:r w:rsidRPr="00DE7380">
        <w:rPr>
          <w:vertAlign w:val="subscript"/>
        </w:rPr>
        <w:t>2</w:t>
      </w:r>
      <w:r w:rsidRPr="00DE7380">
        <w:t xml:space="preserve">, thereby reducing its </w:t>
      </w:r>
      <w:r w:rsidR="00FF1931" w:rsidRPr="00DE7380">
        <w:t>FE</w:t>
      </w:r>
      <w:r w:rsidR="00D65DBD" w:rsidRPr="00DE7380">
        <w:t xml:space="preserve"> (Hunsom et al., 2013</w:t>
      </w:r>
      <w:r w:rsidR="00D65DBD" w:rsidRPr="00D65DBD">
        <w:t>; Karimi Estahbanati et al., 2019)</w:t>
      </w:r>
      <w:r w:rsidR="00B271A2">
        <w:t>.</w:t>
      </w:r>
      <w:r w:rsidR="00DE7380">
        <w:t xml:space="preserve"> </w:t>
      </w:r>
      <w:r w:rsidR="00E87166">
        <w:t>A</w:t>
      </w:r>
      <w:r w:rsidR="00DE7380" w:rsidRPr="00DE7380">
        <w:t xml:space="preserve"> higher bias as well as a higher pH favours the kinetic of oxygen evolution. Indeed, this reaction is kinetically sluggish and thus more sensitive to the electric field at across the space charge region of the semiconductor (namely TiO</w:t>
      </w:r>
      <w:r w:rsidR="00DE7380" w:rsidRPr="00E87166">
        <w:rPr>
          <w:vertAlign w:val="subscript"/>
        </w:rPr>
        <w:t>2</w:t>
      </w:r>
      <w:r w:rsidR="00DE7380" w:rsidRPr="00DE7380">
        <w:t>). The electric field in turn raises by raising the potential with respect to the flat band potential. Since O</w:t>
      </w:r>
      <w:r w:rsidR="00DE7380" w:rsidRPr="00E87166">
        <w:rPr>
          <w:vertAlign w:val="subscript"/>
        </w:rPr>
        <w:t>2</w:t>
      </w:r>
      <w:r w:rsidR="00DE7380" w:rsidRPr="00DE7380">
        <w:t xml:space="preserve"> can diffuse to the cathode its reduction becomes competitive with respect to H</w:t>
      </w:r>
      <w:r w:rsidR="00DE7380" w:rsidRPr="00E87166">
        <w:rPr>
          <w:vertAlign w:val="subscript"/>
        </w:rPr>
        <w:t>2</w:t>
      </w:r>
      <w:r w:rsidR="00DE7380" w:rsidRPr="00DE7380">
        <w:t xml:space="preserve"> evolution thus explain the experimental findings.</w:t>
      </w:r>
    </w:p>
    <w:p w14:paraId="68D26B83" w14:textId="77777777" w:rsidR="00600535" w:rsidRPr="00B57B36" w:rsidRDefault="00600535" w:rsidP="00600535">
      <w:pPr>
        <w:pStyle w:val="CETHeading1"/>
        <w:rPr>
          <w:lang w:val="en-GB"/>
        </w:rPr>
      </w:pPr>
      <w:r w:rsidRPr="00B57B36">
        <w:rPr>
          <w:lang w:val="en-GB"/>
        </w:rPr>
        <w:t>Conclusions</w:t>
      </w:r>
    </w:p>
    <w:p w14:paraId="1621E026" w14:textId="4E579FD3" w:rsidR="00446796" w:rsidRPr="00E87166" w:rsidRDefault="00BA2818" w:rsidP="00600535">
      <w:pPr>
        <w:pStyle w:val="CETBodytext"/>
        <w:rPr>
          <w:lang w:val="en-GB"/>
        </w:rPr>
      </w:pPr>
      <w:r>
        <w:rPr>
          <w:lang w:val="en-GB"/>
        </w:rPr>
        <w:t xml:space="preserve">This study </w:t>
      </w:r>
      <w:r w:rsidR="00835FA5">
        <w:rPr>
          <w:lang w:val="en-GB"/>
        </w:rPr>
        <w:t xml:space="preserve">investigates the </w:t>
      </w:r>
      <w:r w:rsidR="002C5BE1" w:rsidRPr="002C5BE1">
        <w:rPr>
          <w:lang w:val="en-GB"/>
        </w:rPr>
        <w:t xml:space="preserve">influence </w:t>
      </w:r>
      <w:r w:rsidR="00BC39B6">
        <w:rPr>
          <w:lang w:val="en-GB"/>
        </w:rPr>
        <w:t>of pH and applied bias for</w:t>
      </w:r>
      <w:r w:rsidR="0090769B">
        <w:rPr>
          <w:lang w:val="en-GB"/>
        </w:rPr>
        <w:t xml:space="preserve"> H</w:t>
      </w:r>
      <w:r w:rsidR="0090769B" w:rsidRPr="00505698">
        <w:rPr>
          <w:vertAlign w:val="subscript"/>
          <w:lang w:val="en-GB"/>
        </w:rPr>
        <w:t>2</w:t>
      </w:r>
      <w:r w:rsidR="0090769B">
        <w:rPr>
          <w:lang w:val="en-GB"/>
        </w:rPr>
        <w:t xml:space="preserve"> production and HVA</w:t>
      </w:r>
      <w:r w:rsidR="00505698">
        <w:rPr>
          <w:lang w:val="en-GB"/>
        </w:rPr>
        <w:t xml:space="preserve"> products </w:t>
      </w:r>
      <w:r w:rsidR="0004777B">
        <w:rPr>
          <w:lang w:val="en-GB"/>
        </w:rPr>
        <w:t>from</w:t>
      </w:r>
      <w:r w:rsidR="005A10FE">
        <w:rPr>
          <w:lang w:val="en-GB"/>
        </w:rPr>
        <w:t xml:space="preserve"> glycerol photooxidation in</w:t>
      </w:r>
      <w:r w:rsidR="0004777B">
        <w:rPr>
          <w:lang w:val="en-GB"/>
        </w:rPr>
        <w:t xml:space="preserve"> a</w:t>
      </w:r>
      <w:r w:rsidR="005A10FE">
        <w:rPr>
          <w:lang w:val="en-GB"/>
        </w:rPr>
        <w:t xml:space="preserve"> </w:t>
      </w:r>
      <w:r w:rsidR="00140EC5" w:rsidRPr="00C66242">
        <w:rPr>
          <w:lang w:val="en-GB"/>
        </w:rPr>
        <w:t>photoelectrochemical</w:t>
      </w:r>
      <w:r w:rsidR="006539AE" w:rsidRPr="00C66242">
        <w:rPr>
          <w:lang w:val="en-GB"/>
        </w:rPr>
        <w:t xml:space="preserve"> cell</w:t>
      </w:r>
      <w:r w:rsidR="002D37FC" w:rsidRPr="00C66242">
        <w:rPr>
          <w:lang w:val="en-GB"/>
        </w:rPr>
        <w:t>.</w:t>
      </w:r>
      <w:r w:rsidR="00532648" w:rsidRPr="00C66242">
        <w:rPr>
          <w:lang w:val="en-GB"/>
        </w:rPr>
        <w:t xml:space="preserve"> TiO</w:t>
      </w:r>
      <w:r w:rsidR="00532648" w:rsidRPr="00C66242">
        <w:rPr>
          <w:vertAlign w:val="subscript"/>
          <w:lang w:val="en-GB"/>
        </w:rPr>
        <w:t>2</w:t>
      </w:r>
      <w:r w:rsidR="00532648" w:rsidRPr="00C66242">
        <w:rPr>
          <w:lang w:val="en-GB"/>
        </w:rPr>
        <w:t xml:space="preserve"> NTs </w:t>
      </w:r>
      <w:r w:rsidR="0004777B" w:rsidRPr="00C66242">
        <w:rPr>
          <w:lang w:val="en-GB"/>
        </w:rPr>
        <w:t xml:space="preserve">measuring 760 nm length </w:t>
      </w:r>
      <w:r w:rsidR="00B74623" w:rsidRPr="00C66242">
        <w:rPr>
          <w:lang w:val="en-GB"/>
        </w:rPr>
        <w:t xml:space="preserve">over </w:t>
      </w:r>
      <w:r w:rsidR="002D37FC" w:rsidRPr="00C66242">
        <w:rPr>
          <w:lang w:val="en-GB"/>
        </w:rPr>
        <w:t>24 cm</w:t>
      </w:r>
      <w:r w:rsidR="002D37FC" w:rsidRPr="00C66242">
        <w:rPr>
          <w:vertAlign w:val="superscript"/>
          <w:lang w:val="en-GB"/>
        </w:rPr>
        <w:t>2</w:t>
      </w:r>
      <w:r w:rsidR="002D37FC" w:rsidRPr="00C66242">
        <w:rPr>
          <w:lang w:val="en-GB"/>
        </w:rPr>
        <w:t xml:space="preserve"> </w:t>
      </w:r>
      <w:r w:rsidR="00B74623" w:rsidRPr="00C66242">
        <w:rPr>
          <w:lang w:val="en-GB"/>
        </w:rPr>
        <w:t xml:space="preserve">as the surface area </w:t>
      </w:r>
      <w:r w:rsidR="002D37FC" w:rsidRPr="00C66242">
        <w:rPr>
          <w:lang w:val="en-GB"/>
        </w:rPr>
        <w:t xml:space="preserve">were used </w:t>
      </w:r>
      <w:r w:rsidR="00532648" w:rsidRPr="00C66242">
        <w:rPr>
          <w:lang w:val="en-GB"/>
        </w:rPr>
        <w:t xml:space="preserve">as the </w:t>
      </w:r>
      <w:r w:rsidR="00532648" w:rsidRPr="00E87166">
        <w:rPr>
          <w:lang w:val="en-GB"/>
        </w:rPr>
        <w:t>photoanode and</w:t>
      </w:r>
      <w:r w:rsidR="00D61657" w:rsidRPr="00E87166">
        <w:rPr>
          <w:lang w:val="en-GB"/>
        </w:rPr>
        <w:t xml:space="preserve"> PGM-free</w:t>
      </w:r>
      <w:r w:rsidR="00532648" w:rsidRPr="00E87166">
        <w:rPr>
          <w:lang w:val="en-GB"/>
        </w:rPr>
        <w:t xml:space="preserve"> Ni foam </w:t>
      </w:r>
      <w:r w:rsidR="002D37FC" w:rsidRPr="00E87166">
        <w:rPr>
          <w:lang w:val="en-GB"/>
        </w:rPr>
        <w:t>of 6 cm</w:t>
      </w:r>
      <w:r w:rsidR="002D37FC" w:rsidRPr="00E87166">
        <w:rPr>
          <w:vertAlign w:val="superscript"/>
          <w:lang w:val="en-GB"/>
        </w:rPr>
        <w:t>2</w:t>
      </w:r>
      <w:r w:rsidR="002D37FC" w:rsidRPr="00E87166">
        <w:rPr>
          <w:lang w:val="en-GB"/>
        </w:rPr>
        <w:t xml:space="preserve"> </w:t>
      </w:r>
      <w:r w:rsidR="00532648" w:rsidRPr="00E87166">
        <w:rPr>
          <w:lang w:val="en-GB"/>
        </w:rPr>
        <w:t xml:space="preserve">as the cathode. </w:t>
      </w:r>
    </w:p>
    <w:p w14:paraId="52DAFDE0" w14:textId="56BF1913" w:rsidR="001D0CFB" w:rsidRPr="00E87166" w:rsidRDefault="00140EC5" w:rsidP="00600535">
      <w:pPr>
        <w:pStyle w:val="CETBodytext"/>
        <w:rPr>
          <w:lang w:val="en-GB"/>
        </w:rPr>
      </w:pPr>
      <w:r w:rsidRPr="00E87166">
        <w:rPr>
          <w:lang w:val="en-GB"/>
        </w:rPr>
        <w:t>Photoelectrocatalytic</w:t>
      </w:r>
      <w:r w:rsidR="00446796" w:rsidRPr="00E87166">
        <w:rPr>
          <w:lang w:val="en-GB"/>
        </w:rPr>
        <w:t xml:space="preserve"> tests </w:t>
      </w:r>
      <w:r w:rsidR="008023D1" w:rsidRPr="00E87166">
        <w:rPr>
          <w:lang w:val="en-GB"/>
        </w:rPr>
        <w:t xml:space="preserve">were </w:t>
      </w:r>
      <w:r w:rsidR="00632665" w:rsidRPr="00E87166">
        <w:rPr>
          <w:lang w:val="en-GB"/>
        </w:rPr>
        <w:t>carried o</w:t>
      </w:r>
      <w:r w:rsidR="000F0DE2" w:rsidRPr="00E87166">
        <w:rPr>
          <w:lang w:val="en-GB"/>
        </w:rPr>
        <w:t>u</w:t>
      </w:r>
      <w:r w:rsidR="00632665" w:rsidRPr="00E87166">
        <w:rPr>
          <w:lang w:val="en-GB"/>
        </w:rPr>
        <w:t>t</w:t>
      </w:r>
      <w:r w:rsidR="008023D1" w:rsidRPr="00E87166">
        <w:rPr>
          <w:lang w:val="en-GB"/>
        </w:rPr>
        <w:t xml:space="preserve"> across</w:t>
      </w:r>
      <w:r w:rsidR="00047AD0" w:rsidRPr="00E87166">
        <w:rPr>
          <w:lang w:val="en-GB"/>
        </w:rPr>
        <w:t xml:space="preserve"> </w:t>
      </w:r>
      <w:r w:rsidR="00446796" w:rsidRPr="00E87166">
        <w:rPr>
          <w:lang w:val="en-GB"/>
        </w:rPr>
        <w:t xml:space="preserve">acidic, </w:t>
      </w:r>
      <w:r w:rsidR="002E6890" w:rsidRPr="00E87166">
        <w:rPr>
          <w:lang w:val="en-GB"/>
        </w:rPr>
        <w:t>neutral</w:t>
      </w:r>
      <w:r w:rsidR="002E6890" w:rsidRPr="00C66242">
        <w:rPr>
          <w:lang w:val="en-GB"/>
        </w:rPr>
        <w:t>,</w:t>
      </w:r>
      <w:r w:rsidR="00446796" w:rsidRPr="00C66242">
        <w:rPr>
          <w:lang w:val="en-GB"/>
        </w:rPr>
        <w:t xml:space="preserve"> and basic pH</w:t>
      </w:r>
      <w:r w:rsidR="002E6890" w:rsidRPr="00C66242">
        <w:rPr>
          <w:lang w:val="en-GB"/>
        </w:rPr>
        <w:t xml:space="preserve">, </w:t>
      </w:r>
      <w:r w:rsidR="0045500D" w:rsidRPr="00C66242">
        <w:rPr>
          <w:lang w:val="en-GB"/>
        </w:rPr>
        <w:t xml:space="preserve">employing </w:t>
      </w:r>
      <w:r w:rsidR="00F17196" w:rsidRPr="00C66242">
        <w:rPr>
          <w:lang w:val="en-GB"/>
        </w:rPr>
        <w:t xml:space="preserve">applied bias </w:t>
      </w:r>
      <w:r w:rsidR="00371089" w:rsidRPr="00C66242">
        <w:rPr>
          <w:lang w:val="en-GB"/>
        </w:rPr>
        <w:t xml:space="preserve">ranging from </w:t>
      </w:r>
      <w:r w:rsidR="00F17196" w:rsidRPr="00C66242">
        <w:rPr>
          <w:lang w:val="en-GB"/>
        </w:rPr>
        <w:t xml:space="preserve">0.1 and 1 V vs Ag/AgCl. </w:t>
      </w:r>
      <w:r w:rsidR="006C40B0" w:rsidRPr="00C66242">
        <w:rPr>
          <w:lang w:val="en-GB"/>
        </w:rPr>
        <w:t xml:space="preserve">The </w:t>
      </w:r>
      <w:r w:rsidR="005F5AD7" w:rsidRPr="00C66242">
        <w:rPr>
          <w:lang w:val="en-GB"/>
        </w:rPr>
        <w:t>results show the</w:t>
      </w:r>
      <w:r w:rsidR="007712E7" w:rsidRPr="00C66242">
        <w:rPr>
          <w:lang w:val="en-GB"/>
        </w:rPr>
        <w:t xml:space="preserve"> </w:t>
      </w:r>
      <w:r w:rsidR="006052FD" w:rsidRPr="00C66242">
        <w:rPr>
          <w:lang w:val="en-GB"/>
        </w:rPr>
        <w:t>highest</w:t>
      </w:r>
      <w:r w:rsidR="006052FD">
        <w:rPr>
          <w:lang w:val="en-GB"/>
        </w:rPr>
        <w:t xml:space="preserve"> </w:t>
      </w:r>
      <w:r w:rsidR="007E66D9">
        <w:rPr>
          <w:lang w:val="en-GB"/>
        </w:rPr>
        <w:t>FE towards HVA products, i.e., DHA and GA at pH 7</w:t>
      </w:r>
      <w:r w:rsidR="003B6C43">
        <w:rPr>
          <w:lang w:val="en-GB"/>
        </w:rPr>
        <w:t xml:space="preserve"> and applied bias of 0.5 V</w:t>
      </w:r>
      <w:r w:rsidR="00047990">
        <w:rPr>
          <w:lang w:val="en-GB"/>
        </w:rPr>
        <w:t xml:space="preserve"> and 0.1 V</w:t>
      </w:r>
      <w:r w:rsidR="003B6C43">
        <w:rPr>
          <w:lang w:val="en-GB"/>
        </w:rPr>
        <w:t xml:space="preserve"> vs. Ag/AgCl</w:t>
      </w:r>
      <w:r w:rsidR="00047990">
        <w:rPr>
          <w:lang w:val="en-GB"/>
        </w:rPr>
        <w:t xml:space="preserve"> respectively</w:t>
      </w:r>
      <w:r w:rsidR="003B6C43">
        <w:rPr>
          <w:lang w:val="en-GB"/>
        </w:rPr>
        <w:t xml:space="preserve">, </w:t>
      </w:r>
      <w:r w:rsidR="00C96A38">
        <w:rPr>
          <w:lang w:val="en-GB"/>
        </w:rPr>
        <w:t>remaining stable at higher applied bias.</w:t>
      </w:r>
      <w:r w:rsidR="001F0F8E">
        <w:rPr>
          <w:lang w:val="en-GB"/>
        </w:rPr>
        <w:t xml:space="preserve"> </w:t>
      </w:r>
      <w:r w:rsidR="00F37686">
        <w:rPr>
          <w:lang w:val="en-GB"/>
        </w:rPr>
        <w:t>T</w:t>
      </w:r>
      <w:r w:rsidR="001F0F8E">
        <w:rPr>
          <w:lang w:val="en-GB"/>
        </w:rPr>
        <w:t>he highest</w:t>
      </w:r>
      <w:r w:rsidR="00F37686">
        <w:rPr>
          <w:lang w:val="en-GB"/>
        </w:rPr>
        <w:t xml:space="preserve"> glycerol</w:t>
      </w:r>
      <w:r w:rsidR="001F0F8E">
        <w:rPr>
          <w:lang w:val="en-GB"/>
        </w:rPr>
        <w:t xml:space="preserve"> photoreforming </w:t>
      </w:r>
      <w:r w:rsidR="006E1CEF">
        <w:rPr>
          <w:lang w:val="en-GB"/>
        </w:rPr>
        <w:t>level</w:t>
      </w:r>
      <w:r w:rsidR="00F37686">
        <w:rPr>
          <w:lang w:val="en-GB"/>
        </w:rPr>
        <w:t xml:space="preserve"> was obtained</w:t>
      </w:r>
      <w:r w:rsidR="006E1CEF">
        <w:rPr>
          <w:lang w:val="en-GB"/>
        </w:rPr>
        <w:t xml:space="preserve"> at lower pH</w:t>
      </w:r>
      <w:r w:rsidR="005D3D09">
        <w:rPr>
          <w:lang w:val="en-GB"/>
        </w:rPr>
        <w:t>.</w:t>
      </w:r>
      <w:r w:rsidR="002B6075">
        <w:rPr>
          <w:lang w:val="en-GB"/>
        </w:rPr>
        <w:t xml:space="preserve"> </w:t>
      </w:r>
      <w:r w:rsidR="005D3D09">
        <w:rPr>
          <w:lang w:val="en-GB"/>
        </w:rPr>
        <w:t>Conversely,</w:t>
      </w:r>
      <w:r w:rsidR="002B6075">
        <w:rPr>
          <w:lang w:val="en-GB"/>
        </w:rPr>
        <w:t xml:space="preserve"> at higher pH</w:t>
      </w:r>
      <w:r w:rsidR="005D3D09">
        <w:rPr>
          <w:lang w:val="en-GB"/>
        </w:rPr>
        <w:t>,</w:t>
      </w:r>
      <w:r w:rsidR="002B6075">
        <w:rPr>
          <w:lang w:val="en-GB"/>
        </w:rPr>
        <w:t xml:space="preserve"> </w:t>
      </w:r>
      <w:r w:rsidR="00867793">
        <w:rPr>
          <w:lang w:val="en-GB"/>
        </w:rPr>
        <w:t xml:space="preserve">both the </w:t>
      </w:r>
      <w:r w:rsidR="00BE2555">
        <w:rPr>
          <w:lang w:val="en-GB"/>
        </w:rPr>
        <w:t>glycerol photooxidation</w:t>
      </w:r>
      <w:r w:rsidR="00FB4DA5">
        <w:rPr>
          <w:lang w:val="en-GB"/>
        </w:rPr>
        <w:t xml:space="preserve"> and photoreforming</w:t>
      </w:r>
      <w:r w:rsidR="005A397B">
        <w:rPr>
          <w:lang w:val="en-GB"/>
        </w:rPr>
        <w:t xml:space="preserve">, i.e., FE towards DHA, GA, </w:t>
      </w:r>
      <w:r w:rsidR="00BE2555">
        <w:rPr>
          <w:lang w:val="en-GB"/>
        </w:rPr>
        <w:t>and</w:t>
      </w:r>
      <w:r w:rsidR="005A397B">
        <w:rPr>
          <w:lang w:val="en-GB"/>
        </w:rPr>
        <w:t xml:space="preserve"> CO</w:t>
      </w:r>
      <w:r w:rsidR="005A397B" w:rsidRPr="004264CC">
        <w:rPr>
          <w:vertAlign w:val="subscript"/>
          <w:lang w:val="en-GB"/>
        </w:rPr>
        <w:t>2</w:t>
      </w:r>
      <w:r w:rsidR="00FB4DA5">
        <w:rPr>
          <w:lang w:val="en-GB"/>
        </w:rPr>
        <w:t xml:space="preserve">, </w:t>
      </w:r>
      <w:r w:rsidR="005A397B">
        <w:rPr>
          <w:lang w:val="en-GB"/>
        </w:rPr>
        <w:t>decrease</w:t>
      </w:r>
      <w:r w:rsidR="00FB4DA5">
        <w:rPr>
          <w:lang w:val="en-GB"/>
        </w:rPr>
        <w:t>d</w:t>
      </w:r>
      <w:r w:rsidR="005A397B">
        <w:rPr>
          <w:lang w:val="en-GB"/>
        </w:rPr>
        <w:t xml:space="preserve">, </w:t>
      </w:r>
      <w:r w:rsidR="007E43DE">
        <w:rPr>
          <w:lang w:val="en-GB"/>
        </w:rPr>
        <w:t>and</w:t>
      </w:r>
      <w:r w:rsidR="005A397B">
        <w:rPr>
          <w:lang w:val="en-GB"/>
        </w:rPr>
        <w:t xml:space="preserve"> </w:t>
      </w:r>
      <w:r w:rsidR="004264CC">
        <w:rPr>
          <w:lang w:val="en-GB"/>
        </w:rPr>
        <w:t>I</w:t>
      </w:r>
      <w:r w:rsidR="004264CC" w:rsidRPr="00A95BBE">
        <w:rPr>
          <w:vertAlign w:val="subscript"/>
          <w:lang w:val="en-GB"/>
        </w:rPr>
        <w:t>ph</w:t>
      </w:r>
      <w:r w:rsidR="004264CC">
        <w:rPr>
          <w:lang w:val="en-GB"/>
        </w:rPr>
        <w:t xml:space="preserve"> increase</w:t>
      </w:r>
      <w:r w:rsidR="007E43DE">
        <w:rPr>
          <w:lang w:val="en-GB"/>
        </w:rPr>
        <w:t xml:space="preserve">d. This </w:t>
      </w:r>
      <w:r w:rsidR="004264CC" w:rsidRPr="00E87166">
        <w:rPr>
          <w:lang w:val="en-GB"/>
        </w:rPr>
        <w:t>suggest that water splitting is more pronounced at higher pH</w:t>
      </w:r>
      <w:r w:rsidR="003434AD" w:rsidRPr="00E87166">
        <w:rPr>
          <w:lang w:val="en-GB"/>
        </w:rPr>
        <w:t>, resulting in a lower FE towards H</w:t>
      </w:r>
      <w:r w:rsidR="003434AD" w:rsidRPr="00E87166">
        <w:rPr>
          <w:vertAlign w:val="subscript"/>
          <w:lang w:val="en-GB"/>
        </w:rPr>
        <w:t>2</w:t>
      </w:r>
      <w:r w:rsidR="003434AD" w:rsidRPr="00E87166">
        <w:rPr>
          <w:lang w:val="en-GB"/>
        </w:rPr>
        <w:t xml:space="preserve"> because of the subsequent </w:t>
      </w:r>
      <w:r w:rsidR="004262ED" w:rsidRPr="00E87166">
        <w:rPr>
          <w:lang w:val="en-GB"/>
        </w:rPr>
        <w:t>reaction with the O</w:t>
      </w:r>
      <w:r w:rsidR="004262ED" w:rsidRPr="00E87166">
        <w:rPr>
          <w:vertAlign w:val="subscript"/>
          <w:lang w:val="en-GB"/>
        </w:rPr>
        <w:t>2</w:t>
      </w:r>
      <w:r w:rsidR="004262ED" w:rsidRPr="00E87166">
        <w:rPr>
          <w:lang w:val="en-GB"/>
        </w:rPr>
        <w:t xml:space="preserve"> in the gas phase.</w:t>
      </w:r>
    </w:p>
    <w:p w14:paraId="1DE8D2D0" w14:textId="03B2F7C1" w:rsidR="00E5463C" w:rsidRDefault="00836321" w:rsidP="00600535">
      <w:pPr>
        <w:pStyle w:val="CETBodytext"/>
        <w:rPr>
          <w:lang w:val="en-GB"/>
        </w:rPr>
      </w:pPr>
      <w:r w:rsidRPr="00E87166">
        <w:rPr>
          <w:lang w:val="en-GB"/>
        </w:rPr>
        <w:t>As final remark, it is important to stress th</w:t>
      </w:r>
      <w:r w:rsidR="00622D61">
        <w:rPr>
          <w:lang w:val="en-GB"/>
        </w:rPr>
        <w:t>at</w:t>
      </w:r>
      <w:r w:rsidRPr="00E87166">
        <w:rPr>
          <w:lang w:val="en-GB"/>
        </w:rPr>
        <w:t xml:space="preserve"> these </w:t>
      </w:r>
      <w:r w:rsidR="00E12F89" w:rsidRPr="00E87166">
        <w:rPr>
          <w:lang w:val="en-GB"/>
        </w:rPr>
        <w:t>results</w:t>
      </w:r>
      <w:r w:rsidR="006702D9" w:rsidRPr="00E87166">
        <w:rPr>
          <w:lang w:val="en-GB"/>
        </w:rPr>
        <w:t xml:space="preserve"> </w:t>
      </w:r>
      <w:r w:rsidRPr="00E87166">
        <w:rPr>
          <w:lang w:val="en-GB"/>
        </w:rPr>
        <w:t>are encouraging considering</w:t>
      </w:r>
      <w:r w:rsidR="00E12F89" w:rsidRPr="00E87166">
        <w:rPr>
          <w:lang w:val="en-GB"/>
        </w:rPr>
        <w:t xml:space="preserve"> the</w:t>
      </w:r>
      <w:r w:rsidR="006702D9" w:rsidRPr="00E87166">
        <w:rPr>
          <w:lang w:val="en-GB"/>
        </w:rPr>
        <w:t xml:space="preserve"> </w:t>
      </w:r>
      <w:r w:rsidR="000E7C05" w:rsidRPr="00E87166">
        <w:rPr>
          <w:lang w:val="en-GB"/>
        </w:rPr>
        <w:t xml:space="preserve">high chemical and physical stability of the </w:t>
      </w:r>
      <w:r w:rsidRPr="00E87166">
        <w:rPr>
          <w:lang w:val="en-GB"/>
        </w:rPr>
        <w:t xml:space="preserve">employed PGM free </w:t>
      </w:r>
      <w:r w:rsidR="000E7C05" w:rsidRPr="00E87166">
        <w:rPr>
          <w:lang w:val="en-GB"/>
        </w:rPr>
        <w:t xml:space="preserve">electrodes, </w:t>
      </w:r>
      <w:r w:rsidR="00E5463C" w:rsidRPr="00E87166">
        <w:rPr>
          <w:lang w:val="en-GB"/>
        </w:rPr>
        <w:t>offer</w:t>
      </w:r>
      <w:r w:rsidR="00F92008" w:rsidRPr="00E87166">
        <w:rPr>
          <w:lang w:val="en-GB"/>
        </w:rPr>
        <w:t>ing</w:t>
      </w:r>
      <w:r w:rsidR="00E5463C" w:rsidRPr="00E87166">
        <w:rPr>
          <w:lang w:val="en-GB"/>
        </w:rPr>
        <w:t xml:space="preserve"> </w:t>
      </w:r>
      <w:r w:rsidR="005B7F8C" w:rsidRPr="00E87166">
        <w:rPr>
          <w:lang w:val="en-GB"/>
        </w:rPr>
        <w:t>interesting</w:t>
      </w:r>
      <w:r w:rsidR="00E5463C" w:rsidRPr="00E87166">
        <w:rPr>
          <w:lang w:val="en-GB"/>
        </w:rPr>
        <w:t xml:space="preserve"> </w:t>
      </w:r>
      <w:r w:rsidRPr="00E87166">
        <w:rPr>
          <w:lang w:val="en-GB"/>
        </w:rPr>
        <w:t>perspectives</w:t>
      </w:r>
      <w:r w:rsidR="00E5463C" w:rsidRPr="00E87166">
        <w:rPr>
          <w:lang w:val="en-GB"/>
        </w:rPr>
        <w:t xml:space="preserve"> for </w:t>
      </w:r>
      <w:r w:rsidR="00F92008" w:rsidRPr="00E87166">
        <w:rPr>
          <w:lang w:val="en-GB"/>
        </w:rPr>
        <w:t xml:space="preserve">future </w:t>
      </w:r>
      <w:r w:rsidR="00DA57CD" w:rsidRPr="00E87166">
        <w:rPr>
          <w:lang w:val="en-GB"/>
        </w:rPr>
        <w:t>developments</w:t>
      </w:r>
      <w:r w:rsidR="00E5463C" w:rsidRPr="00E87166">
        <w:rPr>
          <w:lang w:val="en-GB"/>
        </w:rPr>
        <w:t xml:space="preserve"> </w:t>
      </w:r>
      <w:r w:rsidR="00E5463C" w:rsidRPr="00E87166">
        <w:rPr>
          <w:lang w:val="en-GB"/>
        </w:rPr>
        <w:lastRenderedPageBreak/>
        <w:t xml:space="preserve">in targeted applications </w:t>
      </w:r>
      <w:r w:rsidR="006B3B4E" w:rsidRPr="00E87166">
        <w:rPr>
          <w:lang w:val="en-GB"/>
        </w:rPr>
        <w:t>(i.e., H</w:t>
      </w:r>
      <w:r w:rsidR="006B3B4E" w:rsidRPr="00E87166">
        <w:rPr>
          <w:vertAlign w:val="subscript"/>
          <w:lang w:val="en-GB"/>
        </w:rPr>
        <w:t>2</w:t>
      </w:r>
      <w:r w:rsidR="006B3B4E" w:rsidRPr="00E87166">
        <w:rPr>
          <w:lang w:val="en-GB"/>
        </w:rPr>
        <w:t xml:space="preserve"> production and/or HVA</w:t>
      </w:r>
      <w:r w:rsidR="0067436A" w:rsidRPr="00E87166">
        <w:rPr>
          <w:lang w:val="en-GB"/>
        </w:rPr>
        <w:t xml:space="preserve"> products</w:t>
      </w:r>
      <w:r w:rsidR="006B3B4E" w:rsidRPr="00E87166">
        <w:rPr>
          <w:lang w:val="en-GB"/>
        </w:rPr>
        <w:t xml:space="preserve">) </w:t>
      </w:r>
      <w:r w:rsidR="00E5463C" w:rsidRPr="00E87166">
        <w:rPr>
          <w:lang w:val="en-GB"/>
        </w:rPr>
        <w:t xml:space="preserve">and opens up new </w:t>
      </w:r>
      <w:r w:rsidRPr="00E87166">
        <w:rPr>
          <w:lang w:val="en-GB"/>
        </w:rPr>
        <w:t>routes</w:t>
      </w:r>
      <w:r w:rsidR="00E5463C" w:rsidRPr="00E87166">
        <w:rPr>
          <w:lang w:val="en-GB"/>
        </w:rPr>
        <w:t xml:space="preserve"> for sustainable technologies.</w:t>
      </w:r>
    </w:p>
    <w:p w14:paraId="07A6D20F" w14:textId="0ECF229E" w:rsidR="00280FAF" w:rsidRPr="00280FAF" w:rsidRDefault="00280FAF" w:rsidP="00280FAF">
      <w:pPr>
        <w:pStyle w:val="CETHeadingxx"/>
        <w:rPr>
          <w:lang w:val="en-GB"/>
        </w:rPr>
        <w:sectPr w:rsidR="00280FAF" w:rsidRPr="00280FAF" w:rsidSect="004255B6">
          <w:type w:val="continuous"/>
          <w:pgSz w:w="11906" w:h="16838" w:code="9"/>
          <w:pgMar w:top="1701" w:right="1418" w:bottom="1701" w:left="1701" w:header="1701" w:footer="0" w:gutter="0"/>
          <w:cols w:space="708"/>
          <w:formProt w:val="0"/>
          <w:titlePg/>
          <w:docGrid w:linePitch="360"/>
        </w:sectPr>
      </w:pPr>
      <w:r>
        <w:t>Nomenclature</w:t>
      </w:r>
    </w:p>
    <w:p w14:paraId="7DFFBF41" w14:textId="77777777" w:rsidR="00280FAF" w:rsidRPr="00280FAF" w:rsidRDefault="00280FAF" w:rsidP="00280FAF">
      <w:pPr>
        <w:pStyle w:val="CETBodytext"/>
        <w:jc w:val="left"/>
        <w:rPr>
          <w:rFonts w:eastAsia="SimSun"/>
        </w:rPr>
        <w:sectPr w:rsidR="00280FAF" w:rsidRPr="00280FAF" w:rsidSect="004255B6">
          <w:type w:val="continuous"/>
          <w:pgSz w:w="11906" w:h="16838" w:code="9"/>
          <w:pgMar w:top="1701" w:right="1418" w:bottom="1701" w:left="1701" w:header="1701" w:footer="0" w:gutter="0"/>
          <w:cols w:space="708"/>
          <w:formProt w:val="0"/>
          <w:titlePg/>
          <w:docGrid w:linePitch="360"/>
        </w:sectPr>
      </w:pPr>
    </w:p>
    <w:p w14:paraId="0EE047F7" w14:textId="77777777" w:rsidR="00EE1104" w:rsidRPr="00280FAF" w:rsidRDefault="00EE1104" w:rsidP="00EE1104">
      <w:pPr>
        <w:pStyle w:val="CETBodytext"/>
        <w:jc w:val="left"/>
        <w:rPr>
          <w:rFonts w:eastAsia="SimSun"/>
        </w:rPr>
      </w:pPr>
      <w:r>
        <w:rPr>
          <w:rFonts w:eastAsia="SimSun"/>
        </w:rPr>
        <w:t>EIS</w:t>
      </w:r>
      <w:r w:rsidRPr="00280FAF">
        <w:rPr>
          <w:rFonts w:eastAsia="SimSun"/>
        </w:rPr>
        <w:t xml:space="preserve"> – </w:t>
      </w:r>
      <w:r>
        <w:rPr>
          <w:rFonts w:eastAsia="SimSun"/>
        </w:rPr>
        <w:t>Electrochemical Impedance Spectroscopy</w:t>
      </w:r>
    </w:p>
    <w:p w14:paraId="74317F31" w14:textId="0687EA5A" w:rsidR="006523AA" w:rsidRDefault="00AB25C9" w:rsidP="00EE1104">
      <w:pPr>
        <w:pStyle w:val="CETBodytext"/>
        <w:jc w:val="left"/>
        <w:rPr>
          <w:rFonts w:eastAsia="SimSun"/>
        </w:rPr>
      </w:pPr>
      <w:r w:rsidRPr="00E87166">
        <w:rPr>
          <w:rFonts w:eastAsia="SimSun"/>
        </w:rPr>
        <w:t>FE – faradaic efficiency</w:t>
      </w:r>
    </w:p>
    <w:p w14:paraId="0B4C9F8E" w14:textId="10930B9F" w:rsidR="00EE1104" w:rsidRDefault="00EE1104" w:rsidP="00EE1104">
      <w:pPr>
        <w:pStyle w:val="CETBodytext"/>
        <w:jc w:val="left"/>
        <w:rPr>
          <w:rFonts w:eastAsia="SimSun"/>
        </w:rPr>
      </w:pPr>
      <w:r>
        <w:rPr>
          <w:rFonts w:eastAsia="SimSun"/>
        </w:rPr>
        <w:t>HVA – High Value Added</w:t>
      </w:r>
    </w:p>
    <w:p w14:paraId="76C6E320" w14:textId="77777777" w:rsidR="00EE1104" w:rsidRDefault="00EA2528" w:rsidP="00EE1104">
      <w:pPr>
        <w:pStyle w:val="CETBodytext"/>
        <w:jc w:val="left"/>
        <w:rPr>
          <w:rFonts w:eastAsia="SimSun"/>
        </w:rPr>
      </w:pPr>
      <w:r w:rsidRPr="00A70CDA">
        <w:rPr>
          <w:rFonts w:eastAsia="SimSun"/>
        </w:rPr>
        <w:t>NTs</w:t>
      </w:r>
      <w:r w:rsidR="00280FAF" w:rsidRPr="00A70CDA">
        <w:rPr>
          <w:rFonts w:eastAsia="SimSun"/>
        </w:rPr>
        <w:t xml:space="preserve"> – </w:t>
      </w:r>
      <w:r w:rsidRPr="00A70CDA">
        <w:rPr>
          <w:rFonts w:eastAsia="SimSun"/>
        </w:rPr>
        <w:t>Nanotube</w:t>
      </w:r>
      <w:r w:rsidR="003A1467" w:rsidRPr="00A70CDA">
        <w:rPr>
          <w:rFonts w:eastAsia="SimSun"/>
        </w:rPr>
        <w:t>s</w:t>
      </w:r>
      <w:r w:rsidR="00EE1104" w:rsidRPr="00EE1104">
        <w:rPr>
          <w:rFonts w:eastAsia="SimSun"/>
        </w:rPr>
        <w:t xml:space="preserve"> </w:t>
      </w:r>
    </w:p>
    <w:p w14:paraId="3A0A07A9" w14:textId="32B7715C" w:rsidR="002A6C96" w:rsidRDefault="002A6C96" w:rsidP="00EE1104">
      <w:pPr>
        <w:pStyle w:val="CETBodytext"/>
        <w:jc w:val="left"/>
        <w:rPr>
          <w:rFonts w:eastAsia="SimSun"/>
        </w:rPr>
      </w:pPr>
      <w:r>
        <w:rPr>
          <w:rFonts w:eastAsia="SimSun"/>
        </w:rPr>
        <w:t>OER – Oxygen Evolution Reaction</w:t>
      </w:r>
    </w:p>
    <w:p w14:paraId="5A72E9EF" w14:textId="74803D91" w:rsidR="00EE1104" w:rsidRPr="00280FAF" w:rsidRDefault="00EE1104" w:rsidP="00EE1104">
      <w:pPr>
        <w:pStyle w:val="CETBodytext"/>
        <w:jc w:val="left"/>
        <w:rPr>
          <w:rFonts w:eastAsia="SimSun"/>
        </w:rPr>
      </w:pPr>
      <w:r>
        <w:rPr>
          <w:rFonts w:eastAsia="SimSun"/>
        </w:rPr>
        <w:t>PGM</w:t>
      </w:r>
      <w:r w:rsidRPr="00280FAF">
        <w:rPr>
          <w:rFonts w:eastAsia="SimSun"/>
        </w:rPr>
        <w:t xml:space="preserve"> – </w:t>
      </w:r>
      <w:r>
        <w:rPr>
          <w:rFonts w:eastAsia="SimSun"/>
        </w:rPr>
        <w:t>Platinum metal group</w:t>
      </w:r>
    </w:p>
    <w:p w14:paraId="38BFE636" w14:textId="6D553914" w:rsidR="005F5AD7" w:rsidRPr="00E377D0" w:rsidRDefault="005F5AD7" w:rsidP="00280FAF">
      <w:pPr>
        <w:pStyle w:val="CETBodytext"/>
        <w:jc w:val="left"/>
        <w:rPr>
          <w:rFonts w:eastAsia="SimSun"/>
        </w:rPr>
        <w:sectPr w:rsidR="005F5AD7" w:rsidRPr="00E377D0" w:rsidSect="004255B6">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33F8138F" w14:textId="48569234" w:rsidR="00600535" w:rsidRPr="00B57B36" w:rsidRDefault="00F33C97" w:rsidP="00600535">
      <w:pPr>
        <w:pStyle w:val="CETBodytext"/>
        <w:rPr>
          <w:lang w:val="en-GB"/>
        </w:rPr>
      </w:pPr>
      <w:r w:rsidRPr="00F33C97">
        <w:rPr>
          <w:lang w:val="en-GB"/>
        </w:rPr>
        <w:t>C.M.P. acknowledges support from the University of Palermo</w:t>
      </w:r>
      <w:r w:rsidR="00600535" w:rsidRPr="00B57B36">
        <w:rPr>
          <w:lang w:val="en-GB"/>
        </w:rPr>
        <w:t>.</w:t>
      </w:r>
    </w:p>
    <w:p w14:paraId="4F1327F8" w14:textId="77777777" w:rsidR="00600535" w:rsidRPr="00655454" w:rsidRDefault="00600535" w:rsidP="00600535">
      <w:pPr>
        <w:pStyle w:val="CETReference"/>
        <w:rPr>
          <w:lang w:val="es-ES"/>
        </w:rPr>
      </w:pPr>
      <w:r w:rsidRPr="00655454">
        <w:rPr>
          <w:lang w:val="es-ES"/>
        </w:rPr>
        <w:t>References</w:t>
      </w:r>
    </w:p>
    <w:p w14:paraId="0D1AF2B3" w14:textId="270C8C30" w:rsidR="002A57FB" w:rsidRPr="002A57FB" w:rsidRDefault="002A57FB" w:rsidP="002A57FB">
      <w:pPr>
        <w:pStyle w:val="CETReferencetext"/>
        <w:rPr>
          <w:lang w:val="es-ES"/>
        </w:rPr>
      </w:pPr>
      <w:r w:rsidRPr="002A57FB">
        <w:rPr>
          <w:lang w:val="es-ES"/>
        </w:rPr>
        <w:t>Albu, S. P., Tsuchiya, H., Fujimoto, S., &amp; Schmuki, P. (2010). TiO</w:t>
      </w:r>
      <w:r w:rsidRPr="000B05C9">
        <w:rPr>
          <w:vertAlign w:val="subscript"/>
          <w:lang w:val="es-ES"/>
        </w:rPr>
        <w:t>2</w:t>
      </w:r>
      <w:r w:rsidRPr="002A57FB">
        <w:rPr>
          <w:lang w:val="es-ES"/>
        </w:rPr>
        <w:t xml:space="preserve"> Nanotubes – Annealing Effects on Detailed Morphology and Structure. European Journal of Inorganic Chemistry, 2010(27), 4351–4356. https://doi.org/10.1002/ejic.201000608</w:t>
      </w:r>
    </w:p>
    <w:p w14:paraId="5DDD66FC" w14:textId="77777777" w:rsidR="002A57FB" w:rsidRPr="002A57FB" w:rsidRDefault="002A57FB" w:rsidP="002A57FB">
      <w:pPr>
        <w:pStyle w:val="CETReferencetext"/>
        <w:rPr>
          <w:lang w:val="es-ES"/>
        </w:rPr>
      </w:pPr>
      <w:r w:rsidRPr="002A57FB">
        <w:rPr>
          <w:lang w:val="es-ES"/>
        </w:rPr>
        <w:t>Balachandran, U., &amp; Eror, N. G. (1982). Raman spectra of titanium dioxide. Journal of Solid State Chemistry, 42(3), 276–282. https://doi.org/10.1016/0022-4596(82)90006-8</w:t>
      </w:r>
    </w:p>
    <w:p w14:paraId="11C4C6F6" w14:textId="77777777" w:rsidR="002A57FB" w:rsidRPr="002A57FB" w:rsidRDefault="002A57FB" w:rsidP="002A57FB">
      <w:pPr>
        <w:pStyle w:val="CETReferencetext"/>
        <w:rPr>
          <w:lang w:val="es-ES"/>
        </w:rPr>
      </w:pPr>
      <w:r w:rsidRPr="002A57FB">
        <w:rPr>
          <w:lang w:val="es-ES"/>
        </w:rPr>
        <w:t>Dey, A., Houle, F. A., Lubner, C. E., Sevilla, M., &amp; Shaw, W. J. (2021). Introduction to (photo)electrocatalysis for renewable energy. Chemical Communications, 57(13), 1540–1542. https://doi.org/10.1039/D0CC90530E</w:t>
      </w:r>
    </w:p>
    <w:p w14:paraId="4511970B" w14:textId="77777777" w:rsidR="002A57FB" w:rsidRPr="002A57FB" w:rsidRDefault="002A57FB" w:rsidP="002A57FB">
      <w:pPr>
        <w:pStyle w:val="CETReferencetext"/>
        <w:rPr>
          <w:lang w:val="es-ES"/>
        </w:rPr>
      </w:pPr>
      <w:r w:rsidRPr="002A57FB">
        <w:rPr>
          <w:lang w:val="es-ES"/>
        </w:rPr>
        <w:t>Hunsom, M., &amp; Saila, P. (2013). Product Distribution of Electrochemical Conversion of Glycerol via Pt Electrode: Effect of Initial pH. Int. J. Electrochem. Sci, 8, 11288–11300. www.electrochemsci.org</w:t>
      </w:r>
    </w:p>
    <w:p w14:paraId="4EDC6C5E" w14:textId="77777777" w:rsidR="002A57FB" w:rsidRPr="002A57FB" w:rsidRDefault="002A57FB" w:rsidP="002A57FB">
      <w:pPr>
        <w:pStyle w:val="CETReferencetext"/>
        <w:rPr>
          <w:lang w:val="es-ES"/>
        </w:rPr>
      </w:pPr>
      <w:r w:rsidRPr="002A57FB">
        <w:rPr>
          <w:lang w:val="es-ES"/>
        </w:rPr>
        <w:t>Karimi Estahbanati, M. R., Mahinpey, N., Feilizadeh, M., Attar, F., &amp; Iliuta, M. C. (2019). Kinetic study of the effects of pH on the photocatalytic hydrogen production from alcohols. International Journal of Hydrogen Energy, 44(60), 32030–32041. https://doi.org/10.1016/J.IJHYDENE.2019.10.114</w:t>
      </w:r>
    </w:p>
    <w:p w14:paraId="79363726" w14:textId="77777777" w:rsidR="002A57FB" w:rsidRPr="002A57FB" w:rsidRDefault="002A57FB" w:rsidP="002A57FB">
      <w:pPr>
        <w:pStyle w:val="CETReferencetext"/>
        <w:rPr>
          <w:lang w:val="es-ES"/>
        </w:rPr>
      </w:pPr>
      <w:r w:rsidRPr="002A57FB">
        <w:rPr>
          <w:lang w:val="es-ES"/>
        </w:rPr>
        <w:t>Kong, P. S., Aroua, M. K., &amp; Daud, W. M. A. W. (2016). Conversion of crude and pure glycerol into derivatives: A feasibility evaluation. Renewable and Sustainable Energy Reviews, 63, 533–555. https://doi.org/10.1016/j.rser.2016.05.054</w:t>
      </w:r>
    </w:p>
    <w:p w14:paraId="2FEEA750" w14:textId="4E974EB7" w:rsidR="002A57FB" w:rsidRPr="002A57FB" w:rsidRDefault="002A57FB" w:rsidP="002A57FB">
      <w:pPr>
        <w:pStyle w:val="CETReferencetext"/>
        <w:rPr>
          <w:lang w:val="es-ES"/>
        </w:rPr>
      </w:pPr>
      <w:r w:rsidRPr="002A57FB">
        <w:rPr>
          <w:lang w:val="es-ES"/>
        </w:rPr>
        <w:t>Luo, L., Chen, W., Xu, S.-M., Yang, J., Li, M., Zhou, H., Xu, M., Shao, M., Kong, X., Li, Z., &amp; Duan, H. (2022). Selective Photoelectrocatalytic Glycerol Oxidation to Dihydroxyacetone via Enhanced Middle Hydroxyl Adsorption over a Bi</w:t>
      </w:r>
      <w:r w:rsidRPr="000B05C9">
        <w:rPr>
          <w:vertAlign w:val="subscript"/>
          <w:lang w:val="es-ES"/>
        </w:rPr>
        <w:t>2</w:t>
      </w:r>
      <w:r w:rsidRPr="002A57FB">
        <w:rPr>
          <w:lang w:val="es-ES"/>
        </w:rPr>
        <w:t>O</w:t>
      </w:r>
      <w:r w:rsidRPr="000B05C9">
        <w:rPr>
          <w:vertAlign w:val="subscript"/>
          <w:lang w:val="es-ES"/>
        </w:rPr>
        <w:t>3</w:t>
      </w:r>
      <w:r w:rsidRPr="002A57FB">
        <w:rPr>
          <w:lang w:val="es-ES"/>
        </w:rPr>
        <w:t xml:space="preserve"> -Incorporated Catalyst. Journal of the American Chemical Society, 144(17), 7720–7730. https://doi.org/10.1021/jacs.2c00465</w:t>
      </w:r>
    </w:p>
    <w:p w14:paraId="7195814D" w14:textId="77777777" w:rsidR="002A57FB" w:rsidRPr="002A57FB" w:rsidRDefault="002A57FB" w:rsidP="002A57FB">
      <w:pPr>
        <w:pStyle w:val="CETReferencetext"/>
        <w:rPr>
          <w:lang w:val="es-ES"/>
        </w:rPr>
      </w:pPr>
      <w:r w:rsidRPr="002A57FB">
        <w:rPr>
          <w:lang w:val="es-ES"/>
        </w:rPr>
        <w:t>Pecoraro, C. M., Bellardita, M., Loddo, V., Di Franco, F., Palmisano, L., &amp; Santamaria, M. (2023). A facile way to synthesize noble metal free TiO</w:t>
      </w:r>
      <w:r w:rsidRPr="000B05C9">
        <w:rPr>
          <w:vertAlign w:val="subscript"/>
          <w:lang w:val="es-ES"/>
        </w:rPr>
        <w:t>2</w:t>
      </w:r>
      <w:r w:rsidRPr="002A57FB">
        <w:rPr>
          <w:lang w:val="es-ES"/>
        </w:rPr>
        <w:t xml:space="preserve"> based catalysts for glycerol photoreforming. Journal of Industrial and Engineering Chemistry, 118, 247–258. https://doi.org/10.1016/j.jiec.2022.11.010</w:t>
      </w:r>
    </w:p>
    <w:p w14:paraId="0F8E4DA1" w14:textId="77777777" w:rsidR="002A57FB" w:rsidRPr="002A57FB" w:rsidRDefault="002A57FB" w:rsidP="002A57FB">
      <w:pPr>
        <w:pStyle w:val="CETReferencetext"/>
        <w:rPr>
          <w:lang w:val="es-ES"/>
        </w:rPr>
      </w:pPr>
      <w:r w:rsidRPr="002A57FB">
        <w:rPr>
          <w:lang w:val="es-ES"/>
        </w:rPr>
        <w:t>Pecoraro, C. M., Bellardita, M., Loddo, V., Virtù, D., Di Franco, F., &amp; Santamaria, M. (2023). Photocatalytic and photoelectrocatalytic H</w:t>
      </w:r>
      <w:r w:rsidRPr="000B05C9">
        <w:rPr>
          <w:vertAlign w:val="subscript"/>
          <w:lang w:val="es-ES"/>
        </w:rPr>
        <w:t>2</w:t>
      </w:r>
      <w:r w:rsidRPr="002A57FB">
        <w:rPr>
          <w:lang w:val="es-ES"/>
        </w:rPr>
        <w:t xml:space="preserve"> evolution combined with valuable furfural production. Applied Catalysis A: General, 650, 118987. https://doi.org/10.1016/j.apcata.2022.118987</w:t>
      </w:r>
    </w:p>
    <w:p w14:paraId="6144C745" w14:textId="77777777" w:rsidR="002A57FB" w:rsidRPr="002A57FB" w:rsidRDefault="002A57FB" w:rsidP="002A57FB">
      <w:pPr>
        <w:pStyle w:val="CETReferencetext"/>
        <w:rPr>
          <w:lang w:val="es-ES"/>
        </w:rPr>
      </w:pPr>
      <w:r w:rsidRPr="002A57FB">
        <w:rPr>
          <w:lang w:val="es-ES"/>
        </w:rPr>
        <w:t>Pecoraro, C. M., Di Franco, F., Bellardita, M., Loddo, V., &amp; Santamaria, M. (2024). Enhancing H</w:t>
      </w:r>
      <w:r w:rsidRPr="000B05C9">
        <w:rPr>
          <w:vertAlign w:val="subscript"/>
          <w:lang w:val="es-ES"/>
        </w:rPr>
        <w:t>2</w:t>
      </w:r>
      <w:r w:rsidRPr="002A57FB">
        <w:rPr>
          <w:lang w:val="es-ES"/>
        </w:rPr>
        <w:t xml:space="preserve"> production rate in PGM-free photoelectrochemical cells by glycerol photo-oxidation. International Journal of Hydrogen Energy, 49, 322–336. https://doi.org/10.1016/j.ijhydene.2023.08.011</w:t>
      </w:r>
    </w:p>
    <w:p w14:paraId="269D7B3C" w14:textId="77777777" w:rsidR="002A57FB" w:rsidRPr="002A57FB" w:rsidRDefault="002A57FB" w:rsidP="002A57FB">
      <w:pPr>
        <w:pStyle w:val="CETReferencetext"/>
        <w:rPr>
          <w:lang w:val="es-ES"/>
        </w:rPr>
      </w:pPr>
      <w:r w:rsidRPr="002A57FB">
        <w:rPr>
          <w:lang w:val="es-ES"/>
        </w:rPr>
        <w:t>Pitchaimuthu, S., Sridharan, K., Nagarajan, S., Ananthraj, S., Robertson, P., Kuehnel, M. F., Irabien, Á., &amp; Maroto-Valer, M. (2022). Solar Hydrogen Fuel Generation from Wastewater—Beyond Photoelectrochemical Water Splitting: A Perspective. Energies, 15(19). https://doi.org/10.3390/EN15197399</w:t>
      </w:r>
    </w:p>
    <w:p w14:paraId="028D661F" w14:textId="1DB399ED" w:rsidR="002A57FB" w:rsidRPr="002A57FB" w:rsidRDefault="002A57FB" w:rsidP="002A57FB">
      <w:pPr>
        <w:pStyle w:val="CETReferencetext"/>
        <w:rPr>
          <w:lang w:val="es-ES"/>
        </w:rPr>
      </w:pPr>
      <w:r w:rsidRPr="002A57FB">
        <w:rPr>
          <w:lang w:val="es-ES"/>
        </w:rPr>
        <w:t>Reyes-Coronado, D., Rodríguez-Gattorno, G., Espinosa-Pesqueira, M. E., Cab, C., de Coss, R., &amp; Oskam, G. (2008). Phase-pure TiO</w:t>
      </w:r>
      <w:r w:rsidRPr="000B05C9">
        <w:rPr>
          <w:vertAlign w:val="subscript"/>
          <w:lang w:val="es-ES"/>
        </w:rPr>
        <w:t>2</w:t>
      </w:r>
      <w:r w:rsidRPr="002A57FB">
        <w:rPr>
          <w:lang w:val="es-ES"/>
        </w:rPr>
        <w:t xml:space="preserve"> nanoparticles: anatase, brookite and rutile. Nanotechnology, 19(14), 145605. https://doi.org/10.1088/0957-4484/19/14/145605</w:t>
      </w:r>
    </w:p>
    <w:p w14:paraId="05936505" w14:textId="0E24CB9A" w:rsidR="002A57FB" w:rsidRPr="002A57FB" w:rsidRDefault="002A57FB" w:rsidP="002A57FB">
      <w:pPr>
        <w:pStyle w:val="CETReferencetext"/>
        <w:rPr>
          <w:lang w:val="es-ES"/>
        </w:rPr>
      </w:pPr>
      <w:r w:rsidRPr="002A57FB">
        <w:rPr>
          <w:lang w:val="es-ES"/>
        </w:rPr>
        <w:t>Santamaria, M., Conigliaro, G., Franco, F. Di, Megna, B., &amp; Quarto, F. Di. (2017). Electronic Properties of Thermal Oxides on Ti and Their Influence on Impedance and Photoelectrochemical Behavior of TiO</w:t>
      </w:r>
      <w:r w:rsidRPr="000B05C9">
        <w:rPr>
          <w:vertAlign w:val="subscript"/>
          <w:lang w:val="es-ES"/>
        </w:rPr>
        <w:t>2</w:t>
      </w:r>
      <w:r w:rsidRPr="002A57FB">
        <w:rPr>
          <w:lang w:val="es-ES"/>
        </w:rPr>
        <w:t xml:space="preserve"> Nanotubes. Journal of The Electrochemical Society, 164(4), C113–C120. https://doi.org/10.1149/2.0601704jes</w:t>
      </w:r>
    </w:p>
    <w:p w14:paraId="02971550" w14:textId="77777777" w:rsidR="002A57FB" w:rsidRPr="002A57FB" w:rsidRDefault="002A57FB" w:rsidP="002A57FB">
      <w:pPr>
        <w:pStyle w:val="CETReferencetext"/>
        <w:rPr>
          <w:lang w:val="es-ES"/>
        </w:rPr>
      </w:pPr>
      <w:r w:rsidRPr="002A57FB">
        <w:rPr>
          <w:lang w:val="es-ES"/>
        </w:rPr>
        <w:t>Verma, A. M., Laverdure, L., Melander, M. M., &amp; Honkala, K. (2022). Mechanistic Origins of the pH Dependency in Au-Catalyzed Glycerol Electro-oxidation: Insight from First-Principles Calculations. ACS Catalysis, 12(1), 662–675. https://doi.org/10.1021/ACSCATAL.1C03788/ASSET/IMAGES/LARGE/CS1C03788_0006.JPEG</w:t>
      </w:r>
    </w:p>
    <w:p w14:paraId="791953C6" w14:textId="77777777" w:rsidR="002A57FB" w:rsidRPr="002A57FB" w:rsidRDefault="002A57FB" w:rsidP="002A57FB">
      <w:pPr>
        <w:pStyle w:val="CETReferencetext"/>
        <w:rPr>
          <w:lang w:val="es-ES"/>
        </w:rPr>
      </w:pPr>
      <w:r w:rsidRPr="002A57FB">
        <w:rPr>
          <w:lang w:val="es-ES"/>
        </w:rPr>
        <w:t>Yao, T., An, X., Han, H., Chen, J. Q., &amp; Li, C. (2018). Photoelectrocatalytic Materials for Solar Water Splitting. Advanced Energy Materials, 8(21), 1800210. https://doi.org/10.1002/AENM.201800210</w:t>
      </w:r>
    </w:p>
    <w:sectPr w:rsidR="002A57FB" w:rsidRPr="002A57FB" w:rsidSect="004255B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AB6D" w14:textId="77777777" w:rsidR="004255B6" w:rsidRDefault="004255B6" w:rsidP="004F5E36">
      <w:r>
        <w:separator/>
      </w:r>
    </w:p>
  </w:endnote>
  <w:endnote w:type="continuationSeparator" w:id="0">
    <w:p w14:paraId="0B1BAA16" w14:textId="77777777" w:rsidR="004255B6" w:rsidRDefault="004255B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Code Pro Light">
    <w:charset w:val="00"/>
    <w:family w:val="modern"/>
    <w:pitch w:val="fixed"/>
    <w:sig w:usb0="200002F7" w:usb1="020038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D2B4" w14:textId="77777777" w:rsidR="004255B6" w:rsidRDefault="004255B6" w:rsidP="004F5E36">
      <w:r>
        <w:separator/>
      </w:r>
    </w:p>
  </w:footnote>
  <w:footnote w:type="continuationSeparator" w:id="0">
    <w:p w14:paraId="5262AE7C" w14:textId="77777777" w:rsidR="004255B6" w:rsidRDefault="004255B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A011ECC"/>
    <w:multiLevelType w:val="multilevel"/>
    <w:tmpl w:val="46DCD7C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058217A"/>
    <w:multiLevelType w:val="multilevel"/>
    <w:tmpl w:val="1318DD3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64229009">
    <w:abstractNumId w:val="16"/>
  </w:num>
  <w:num w:numId="24" w16cid:durableId="1317031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42F"/>
    <w:rsid w:val="000027C0"/>
    <w:rsid w:val="000044C4"/>
    <w:rsid w:val="000052FB"/>
    <w:rsid w:val="00006AA1"/>
    <w:rsid w:val="00010739"/>
    <w:rsid w:val="0001158F"/>
    <w:rsid w:val="000117CB"/>
    <w:rsid w:val="000129B8"/>
    <w:rsid w:val="00012E7B"/>
    <w:rsid w:val="000134CA"/>
    <w:rsid w:val="00013911"/>
    <w:rsid w:val="00016058"/>
    <w:rsid w:val="000177D3"/>
    <w:rsid w:val="00024417"/>
    <w:rsid w:val="0003148D"/>
    <w:rsid w:val="00031EEC"/>
    <w:rsid w:val="00032D55"/>
    <w:rsid w:val="00034F19"/>
    <w:rsid w:val="00036D3A"/>
    <w:rsid w:val="0004294B"/>
    <w:rsid w:val="0004601E"/>
    <w:rsid w:val="0004741B"/>
    <w:rsid w:val="00047656"/>
    <w:rsid w:val="0004777B"/>
    <w:rsid w:val="00047990"/>
    <w:rsid w:val="00047AD0"/>
    <w:rsid w:val="00051566"/>
    <w:rsid w:val="00054304"/>
    <w:rsid w:val="0005570D"/>
    <w:rsid w:val="000562A9"/>
    <w:rsid w:val="00057692"/>
    <w:rsid w:val="00062A9A"/>
    <w:rsid w:val="00063DEB"/>
    <w:rsid w:val="0006435A"/>
    <w:rsid w:val="00064D64"/>
    <w:rsid w:val="00065058"/>
    <w:rsid w:val="0007023B"/>
    <w:rsid w:val="00085501"/>
    <w:rsid w:val="0008563B"/>
    <w:rsid w:val="00086C39"/>
    <w:rsid w:val="000877D1"/>
    <w:rsid w:val="00091E38"/>
    <w:rsid w:val="000965E8"/>
    <w:rsid w:val="000A03B2"/>
    <w:rsid w:val="000A648F"/>
    <w:rsid w:val="000B02DD"/>
    <w:rsid w:val="000B05C9"/>
    <w:rsid w:val="000B26DE"/>
    <w:rsid w:val="000B495A"/>
    <w:rsid w:val="000C5C2A"/>
    <w:rsid w:val="000C61F3"/>
    <w:rsid w:val="000D0268"/>
    <w:rsid w:val="000D1CB5"/>
    <w:rsid w:val="000D2021"/>
    <w:rsid w:val="000D21D0"/>
    <w:rsid w:val="000D34BE"/>
    <w:rsid w:val="000D4CBA"/>
    <w:rsid w:val="000D4DC6"/>
    <w:rsid w:val="000D6E32"/>
    <w:rsid w:val="000E102F"/>
    <w:rsid w:val="000E36F1"/>
    <w:rsid w:val="000E3A73"/>
    <w:rsid w:val="000E414A"/>
    <w:rsid w:val="000E483A"/>
    <w:rsid w:val="000E67C0"/>
    <w:rsid w:val="000E6CFD"/>
    <w:rsid w:val="000E7C05"/>
    <w:rsid w:val="000F093C"/>
    <w:rsid w:val="000F0DE2"/>
    <w:rsid w:val="000F1849"/>
    <w:rsid w:val="000F42B6"/>
    <w:rsid w:val="000F5D1E"/>
    <w:rsid w:val="000F5D1F"/>
    <w:rsid w:val="000F787B"/>
    <w:rsid w:val="00100B91"/>
    <w:rsid w:val="001016E7"/>
    <w:rsid w:val="00103645"/>
    <w:rsid w:val="00104DF2"/>
    <w:rsid w:val="0011073F"/>
    <w:rsid w:val="001127E2"/>
    <w:rsid w:val="0012091F"/>
    <w:rsid w:val="001263A9"/>
    <w:rsid w:val="00126BC2"/>
    <w:rsid w:val="00127F76"/>
    <w:rsid w:val="001308B6"/>
    <w:rsid w:val="0013121F"/>
    <w:rsid w:val="00131F2C"/>
    <w:rsid w:val="00131FE6"/>
    <w:rsid w:val="0013263F"/>
    <w:rsid w:val="001331DF"/>
    <w:rsid w:val="001341E9"/>
    <w:rsid w:val="00134DE4"/>
    <w:rsid w:val="00137DB5"/>
    <w:rsid w:val="0014034D"/>
    <w:rsid w:val="00140EC5"/>
    <w:rsid w:val="00144D16"/>
    <w:rsid w:val="00146025"/>
    <w:rsid w:val="00150E59"/>
    <w:rsid w:val="00152DE3"/>
    <w:rsid w:val="001560C9"/>
    <w:rsid w:val="0015662C"/>
    <w:rsid w:val="00156F74"/>
    <w:rsid w:val="00163477"/>
    <w:rsid w:val="00163BCB"/>
    <w:rsid w:val="0016408F"/>
    <w:rsid w:val="0016451A"/>
    <w:rsid w:val="00164CF9"/>
    <w:rsid w:val="00166231"/>
    <w:rsid w:val="001667A6"/>
    <w:rsid w:val="00166C76"/>
    <w:rsid w:val="0016710C"/>
    <w:rsid w:val="001747BC"/>
    <w:rsid w:val="00177940"/>
    <w:rsid w:val="00177EC2"/>
    <w:rsid w:val="001803AA"/>
    <w:rsid w:val="0018209A"/>
    <w:rsid w:val="00183E25"/>
    <w:rsid w:val="00184AD6"/>
    <w:rsid w:val="001851C5"/>
    <w:rsid w:val="001908CF"/>
    <w:rsid w:val="0019148E"/>
    <w:rsid w:val="00194EE5"/>
    <w:rsid w:val="0019600C"/>
    <w:rsid w:val="001A1E99"/>
    <w:rsid w:val="001A4AF7"/>
    <w:rsid w:val="001A6688"/>
    <w:rsid w:val="001B0349"/>
    <w:rsid w:val="001B1E93"/>
    <w:rsid w:val="001B22CA"/>
    <w:rsid w:val="001B5B64"/>
    <w:rsid w:val="001B5D8D"/>
    <w:rsid w:val="001B65C1"/>
    <w:rsid w:val="001C2707"/>
    <w:rsid w:val="001C3692"/>
    <w:rsid w:val="001C3E63"/>
    <w:rsid w:val="001C5035"/>
    <w:rsid w:val="001C684B"/>
    <w:rsid w:val="001C7A38"/>
    <w:rsid w:val="001D0CFB"/>
    <w:rsid w:val="001D1DB0"/>
    <w:rsid w:val="001D21AF"/>
    <w:rsid w:val="001D439B"/>
    <w:rsid w:val="001D441F"/>
    <w:rsid w:val="001D53FC"/>
    <w:rsid w:val="001D5D01"/>
    <w:rsid w:val="001E41B3"/>
    <w:rsid w:val="001E46E5"/>
    <w:rsid w:val="001E4E4A"/>
    <w:rsid w:val="001E53C5"/>
    <w:rsid w:val="001E7EE3"/>
    <w:rsid w:val="001F0F8E"/>
    <w:rsid w:val="001F3FA4"/>
    <w:rsid w:val="001F42A5"/>
    <w:rsid w:val="001F7B9D"/>
    <w:rsid w:val="0020114E"/>
    <w:rsid w:val="00201C93"/>
    <w:rsid w:val="0020430C"/>
    <w:rsid w:val="002046BF"/>
    <w:rsid w:val="002053A9"/>
    <w:rsid w:val="00207790"/>
    <w:rsid w:val="0021215F"/>
    <w:rsid w:val="002224B4"/>
    <w:rsid w:val="00224864"/>
    <w:rsid w:val="00231065"/>
    <w:rsid w:val="002312D8"/>
    <w:rsid w:val="002316E4"/>
    <w:rsid w:val="00233CF0"/>
    <w:rsid w:val="00237567"/>
    <w:rsid w:val="00237F64"/>
    <w:rsid w:val="002447EF"/>
    <w:rsid w:val="00251550"/>
    <w:rsid w:val="002519F6"/>
    <w:rsid w:val="002525C5"/>
    <w:rsid w:val="002532A8"/>
    <w:rsid w:val="00256A7F"/>
    <w:rsid w:val="00260944"/>
    <w:rsid w:val="00263B05"/>
    <w:rsid w:val="00267E8E"/>
    <w:rsid w:val="00270B7F"/>
    <w:rsid w:val="00271A2E"/>
    <w:rsid w:val="0027221A"/>
    <w:rsid w:val="002734B6"/>
    <w:rsid w:val="00273C45"/>
    <w:rsid w:val="00275B61"/>
    <w:rsid w:val="00276876"/>
    <w:rsid w:val="00277267"/>
    <w:rsid w:val="002772AC"/>
    <w:rsid w:val="0027744D"/>
    <w:rsid w:val="00280FAF"/>
    <w:rsid w:val="00282656"/>
    <w:rsid w:val="002878B0"/>
    <w:rsid w:val="00290378"/>
    <w:rsid w:val="002904AC"/>
    <w:rsid w:val="0029206A"/>
    <w:rsid w:val="00296681"/>
    <w:rsid w:val="00296B83"/>
    <w:rsid w:val="002A0051"/>
    <w:rsid w:val="002A44A2"/>
    <w:rsid w:val="002A57FB"/>
    <w:rsid w:val="002A6963"/>
    <w:rsid w:val="002A6C96"/>
    <w:rsid w:val="002B08C3"/>
    <w:rsid w:val="002B1628"/>
    <w:rsid w:val="002B3405"/>
    <w:rsid w:val="002B4015"/>
    <w:rsid w:val="002B5954"/>
    <w:rsid w:val="002B6075"/>
    <w:rsid w:val="002B78CE"/>
    <w:rsid w:val="002C054B"/>
    <w:rsid w:val="002C079C"/>
    <w:rsid w:val="002C2FB6"/>
    <w:rsid w:val="002C3D2A"/>
    <w:rsid w:val="002C59BF"/>
    <w:rsid w:val="002C5BE1"/>
    <w:rsid w:val="002D37FC"/>
    <w:rsid w:val="002D512A"/>
    <w:rsid w:val="002D743E"/>
    <w:rsid w:val="002E33D4"/>
    <w:rsid w:val="002E5FA7"/>
    <w:rsid w:val="002E6890"/>
    <w:rsid w:val="002F0C47"/>
    <w:rsid w:val="002F3309"/>
    <w:rsid w:val="002F428D"/>
    <w:rsid w:val="002F44E4"/>
    <w:rsid w:val="002F575A"/>
    <w:rsid w:val="002F6125"/>
    <w:rsid w:val="003008CE"/>
    <w:rsid w:val="003009B7"/>
    <w:rsid w:val="00300E56"/>
    <w:rsid w:val="0030152C"/>
    <w:rsid w:val="00302DEC"/>
    <w:rsid w:val="0030469C"/>
    <w:rsid w:val="003110B2"/>
    <w:rsid w:val="003153E4"/>
    <w:rsid w:val="00316589"/>
    <w:rsid w:val="00321CA6"/>
    <w:rsid w:val="0032227F"/>
    <w:rsid w:val="00323763"/>
    <w:rsid w:val="00323C5F"/>
    <w:rsid w:val="00334C09"/>
    <w:rsid w:val="00337960"/>
    <w:rsid w:val="003429C3"/>
    <w:rsid w:val="003434AD"/>
    <w:rsid w:val="00343760"/>
    <w:rsid w:val="00345C85"/>
    <w:rsid w:val="003460C0"/>
    <w:rsid w:val="00353118"/>
    <w:rsid w:val="0035353D"/>
    <w:rsid w:val="003551D0"/>
    <w:rsid w:val="0035528E"/>
    <w:rsid w:val="003608C9"/>
    <w:rsid w:val="00363517"/>
    <w:rsid w:val="00371089"/>
    <w:rsid w:val="003723D4"/>
    <w:rsid w:val="00376EC7"/>
    <w:rsid w:val="003770A2"/>
    <w:rsid w:val="00380233"/>
    <w:rsid w:val="00381905"/>
    <w:rsid w:val="00384CC8"/>
    <w:rsid w:val="003857EC"/>
    <w:rsid w:val="003871FD"/>
    <w:rsid w:val="00390FDE"/>
    <w:rsid w:val="003A1467"/>
    <w:rsid w:val="003A1E30"/>
    <w:rsid w:val="003A2829"/>
    <w:rsid w:val="003A2DC0"/>
    <w:rsid w:val="003A55B0"/>
    <w:rsid w:val="003A638E"/>
    <w:rsid w:val="003A6FC6"/>
    <w:rsid w:val="003A7D1C"/>
    <w:rsid w:val="003B304B"/>
    <w:rsid w:val="003B3146"/>
    <w:rsid w:val="003B3827"/>
    <w:rsid w:val="003B55A0"/>
    <w:rsid w:val="003B5F92"/>
    <w:rsid w:val="003B6C43"/>
    <w:rsid w:val="003C0896"/>
    <w:rsid w:val="003C2012"/>
    <w:rsid w:val="003C434A"/>
    <w:rsid w:val="003C56F7"/>
    <w:rsid w:val="003C7BB2"/>
    <w:rsid w:val="003D1CDA"/>
    <w:rsid w:val="003D5E1A"/>
    <w:rsid w:val="003D6CF7"/>
    <w:rsid w:val="003D76BC"/>
    <w:rsid w:val="003F015E"/>
    <w:rsid w:val="003F0170"/>
    <w:rsid w:val="003F39AC"/>
    <w:rsid w:val="00400414"/>
    <w:rsid w:val="00400C5B"/>
    <w:rsid w:val="004020AE"/>
    <w:rsid w:val="004027EE"/>
    <w:rsid w:val="00403440"/>
    <w:rsid w:val="00405C85"/>
    <w:rsid w:val="00406610"/>
    <w:rsid w:val="00407675"/>
    <w:rsid w:val="00410CB4"/>
    <w:rsid w:val="0041446B"/>
    <w:rsid w:val="004148EF"/>
    <w:rsid w:val="0041519B"/>
    <w:rsid w:val="00421017"/>
    <w:rsid w:val="004226F8"/>
    <w:rsid w:val="004255B6"/>
    <w:rsid w:val="004262ED"/>
    <w:rsid w:val="004264CC"/>
    <w:rsid w:val="00426CAF"/>
    <w:rsid w:val="00430206"/>
    <w:rsid w:val="00436BB4"/>
    <w:rsid w:val="00437791"/>
    <w:rsid w:val="0044071E"/>
    <w:rsid w:val="0044329C"/>
    <w:rsid w:val="00443DF5"/>
    <w:rsid w:val="00444231"/>
    <w:rsid w:val="00446796"/>
    <w:rsid w:val="00453E24"/>
    <w:rsid w:val="0045500D"/>
    <w:rsid w:val="00457456"/>
    <w:rsid w:val="004577FE"/>
    <w:rsid w:val="00457B9C"/>
    <w:rsid w:val="00460F2F"/>
    <w:rsid w:val="0046164A"/>
    <w:rsid w:val="004628D2"/>
    <w:rsid w:val="00462DCD"/>
    <w:rsid w:val="004648AD"/>
    <w:rsid w:val="004703A3"/>
    <w:rsid w:val="004703A9"/>
    <w:rsid w:val="00471A2C"/>
    <w:rsid w:val="00472D8C"/>
    <w:rsid w:val="004760DE"/>
    <w:rsid w:val="004761E9"/>
    <w:rsid w:val="004763D7"/>
    <w:rsid w:val="00476D2B"/>
    <w:rsid w:val="00480CB0"/>
    <w:rsid w:val="00481749"/>
    <w:rsid w:val="004823B0"/>
    <w:rsid w:val="00484656"/>
    <w:rsid w:val="00485520"/>
    <w:rsid w:val="004910CF"/>
    <w:rsid w:val="00494EBB"/>
    <w:rsid w:val="004956F4"/>
    <w:rsid w:val="004A004E"/>
    <w:rsid w:val="004A1F62"/>
    <w:rsid w:val="004A24CF"/>
    <w:rsid w:val="004A4124"/>
    <w:rsid w:val="004A6B1C"/>
    <w:rsid w:val="004B05FB"/>
    <w:rsid w:val="004B2B5F"/>
    <w:rsid w:val="004B3AA1"/>
    <w:rsid w:val="004B479F"/>
    <w:rsid w:val="004C3D1D"/>
    <w:rsid w:val="004C3D84"/>
    <w:rsid w:val="004C7913"/>
    <w:rsid w:val="004D3139"/>
    <w:rsid w:val="004E119A"/>
    <w:rsid w:val="004E15C8"/>
    <w:rsid w:val="004E296D"/>
    <w:rsid w:val="004E2E25"/>
    <w:rsid w:val="004E4DD6"/>
    <w:rsid w:val="004E609F"/>
    <w:rsid w:val="004F018C"/>
    <w:rsid w:val="004F161B"/>
    <w:rsid w:val="004F24BD"/>
    <w:rsid w:val="004F45BA"/>
    <w:rsid w:val="004F51E2"/>
    <w:rsid w:val="004F5E36"/>
    <w:rsid w:val="00503DAD"/>
    <w:rsid w:val="00505698"/>
    <w:rsid w:val="00507B47"/>
    <w:rsid w:val="00507BEF"/>
    <w:rsid w:val="00507CC9"/>
    <w:rsid w:val="0051041D"/>
    <w:rsid w:val="005119A5"/>
    <w:rsid w:val="00513EBF"/>
    <w:rsid w:val="00516AAC"/>
    <w:rsid w:val="0052464D"/>
    <w:rsid w:val="005278B7"/>
    <w:rsid w:val="00527BC1"/>
    <w:rsid w:val="00532016"/>
    <w:rsid w:val="00532648"/>
    <w:rsid w:val="005346C8"/>
    <w:rsid w:val="005347A0"/>
    <w:rsid w:val="00536307"/>
    <w:rsid w:val="00543E7D"/>
    <w:rsid w:val="00547A68"/>
    <w:rsid w:val="00551CB1"/>
    <w:rsid w:val="005531C9"/>
    <w:rsid w:val="00553D45"/>
    <w:rsid w:val="005549BD"/>
    <w:rsid w:val="00555DF1"/>
    <w:rsid w:val="00556215"/>
    <w:rsid w:val="00560CA0"/>
    <w:rsid w:val="00570C43"/>
    <w:rsid w:val="0057760B"/>
    <w:rsid w:val="005777D3"/>
    <w:rsid w:val="00581B8A"/>
    <w:rsid w:val="0058444A"/>
    <w:rsid w:val="00584B9F"/>
    <w:rsid w:val="00591809"/>
    <w:rsid w:val="00591EFE"/>
    <w:rsid w:val="00592992"/>
    <w:rsid w:val="005947C9"/>
    <w:rsid w:val="005A10FE"/>
    <w:rsid w:val="005A277F"/>
    <w:rsid w:val="005A2F34"/>
    <w:rsid w:val="005A397B"/>
    <w:rsid w:val="005B2110"/>
    <w:rsid w:val="005B61E6"/>
    <w:rsid w:val="005B7F8C"/>
    <w:rsid w:val="005C11C0"/>
    <w:rsid w:val="005C1577"/>
    <w:rsid w:val="005C4004"/>
    <w:rsid w:val="005C4B4F"/>
    <w:rsid w:val="005C65F5"/>
    <w:rsid w:val="005C77E1"/>
    <w:rsid w:val="005D2F2F"/>
    <w:rsid w:val="005D3D09"/>
    <w:rsid w:val="005D3D17"/>
    <w:rsid w:val="005D547F"/>
    <w:rsid w:val="005D668A"/>
    <w:rsid w:val="005D6A2F"/>
    <w:rsid w:val="005E1A82"/>
    <w:rsid w:val="005E794C"/>
    <w:rsid w:val="005F0A28"/>
    <w:rsid w:val="005F0E5E"/>
    <w:rsid w:val="005F2E17"/>
    <w:rsid w:val="005F4282"/>
    <w:rsid w:val="005F5AD7"/>
    <w:rsid w:val="005F7FE0"/>
    <w:rsid w:val="00600535"/>
    <w:rsid w:val="006052FD"/>
    <w:rsid w:val="00610BED"/>
    <w:rsid w:val="00610CD6"/>
    <w:rsid w:val="0062046D"/>
    <w:rsid w:val="0062070B"/>
    <w:rsid w:val="00620DEE"/>
    <w:rsid w:val="0062141A"/>
    <w:rsid w:val="00621F92"/>
    <w:rsid w:val="0062280A"/>
    <w:rsid w:val="00622D61"/>
    <w:rsid w:val="00625639"/>
    <w:rsid w:val="0062599F"/>
    <w:rsid w:val="00627E0B"/>
    <w:rsid w:val="00630349"/>
    <w:rsid w:val="0063040D"/>
    <w:rsid w:val="00630481"/>
    <w:rsid w:val="00631B33"/>
    <w:rsid w:val="00632044"/>
    <w:rsid w:val="00632665"/>
    <w:rsid w:val="00634164"/>
    <w:rsid w:val="00634B18"/>
    <w:rsid w:val="0063621F"/>
    <w:rsid w:val="00636A68"/>
    <w:rsid w:val="0063747C"/>
    <w:rsid w:val="0064184D"/>
    <w:rsid w:val="00641E27"/>
    <w:rsid w:val="006422CC"/>
    <w:rsid w:val="006514D2"/>
    <w:rsid w:val="006523AA"/>
    <w:rsid w:val="00652752"/>
    <w:rsid w:val="00652D3F"/>
    <w:rsid w:val="006539AE"/>
    <w:rsid w:val="00655454"/>
    <w:rsid w:val="00655809"/>
    <w:rsid w:val="00660E3E"/>
    <w:rsid w:val="00662E74"/>
    <w:rsid w:val="006645E6"/>
    <w:rsid w:val="00666DC0"/>
    <w:rsid w:val="006702D9"/>
    <w:rsid w:val="0067436A"/>
    <w:rsid w:val="006766B0"/>
    <w:rsid w:val="00680C23"/>
    <w:rsid w:val="0068442D"/>
    <w:rsid w:val="00684AB8"/>
    <w:rsid w:val="00684BFE"/>
    <w:rsid w:val="00685A1F"/>
    <w:rsid w:val="006874BF"/>
    <w:rsid w:val="006928CB"/>
    <w:rsid w:val="00692ED7"/>
    <w:rsid w:val="00693766"/>
    <w:rsid w:val="00695721"/>
    <w:rsid w:val="006A0588"/>
    <w:rsid w:val="006A23E9"/>
    <w:rsid w:val="006A3281"/>
    <w:rsid w:val="006A3ECC"/>
    <w:rsid w:val="006B03A2"/>
    <w:rsid w:val="006B1C58"/>
    <w:rsid w:val="006B3858"/>
    <w:rsid w:val="006B3B4E"/>
    <w:rsid w:val="006B428D"/>
    <w:rsid w:val="006B4888"/>
    <w:rsid w:val="006B7A33"/>
    <w:rsid w:val="006C1A1C"/>
    <w:rsid w:val="006C2E45"/>
    <w:rsid w:val="006C2FDE"/>
    <w:rsid w:val="006C359C"/>
    <w:rsid w:val="006C40B0"/>
    <w:rsid w:val="006C5522"/>
    <w:rsid w:val="006C5579"/>
    <w:rsid w:val="006C6E70"/>
    <w:rsid w:val="006D1CA8"/>
    <w:rsid w:val="006D4463"/>
    <w:rsid w:val="006D6E8B"/>
    <w:rsid w:val="006E1CEF"/>
    <w:rsid w:val="006E48E1"/>
    <w:rsid w:val="006E737D"/>
    <w:rsid w:val="006F4FDA"/>
    <w:rsid w:val="006F7EAE"/>
    <w:rsid w:val="00704E1A"/>
    <w:rsid w:val="00705339"/>
    <w:rsid w:val="00707508"/>
    <w:rsid w:val="0071149E"/>
    <w:rsid w:val="00713973"/>
    <w:rsid w:val="0071582B"/>
    <w:rsid w:val="00717738"/>
    <w:rsid w:val="007201C6"/>
    <w:rsid w:val="00720A24"/>
    <w:rsid w:val="00720FE9"/>
    <w:rsid w:val="00721BFE"/>
    <w:rsid w:val="0072334F"/>
    <w:rsid w:val="00732386"/>
    <w:rsid w:val="00734BC3"/>
    <w:rsid w:val="0073514D"/>
    <w:rsid w:val="007447F3"/>
    <w:rsid w:val="007465AB"/>
    <w:rsid w:val="00754069"/>
    <w:rsid w:val="0075499F"/>
    <w:rsid w:val="00755CB6"/>
    <w:rsid w:val="00757DD5"/>
    <w:rsid w:val="00761248"/>
    <w:rsid w:val="00763F17"/>
    <w:rsid w:val="0076440A"/>
    <w:rsid w:val="00764521"/>
    <w:rsid w:val="00765263"/>
    <w:rsid w:val="007661C8"/>
    <w:rsid w:val="0077098D"/>
    <w:rsid w:val="007712E7"/>
    <w:rsid w:val="007733AE"/>
    <w:rsid w:val="00786FE0"/>
    <w:rsid w:val="00792597"/>
    <w:rsid w:val="007931FA"/>
    <w:rsid w:val="00793F98"/>
    <w:rsid w:val="00797C5E"/>
    <w:rsid w:val="007A4861"/>
    <w:rsid w:val="007A5CDD"/>
    <w:rsid w:val="007A61AE"/>
    <w:rsid w:val="007A7BBA"/>
    <w:rsid w:val="007B0C50"/>
    <w:rsid w:val="007B0DF4"/>
    <w:rsid w:val="007B105C"/>
    <w:rsid w:val="007B135E"/>
    <w:rsid w:val="007B2F83"/>
    <w:rsid w:val="007B31E7"/>
    <w:rsid w:val="007B48F9"/>
    <w:rsid w:val="007B4F6E"/>
    <w:rsid w:val="007C0716"/>
    <w:rsid w:val="007C1A43"/>
    <w:rsid w:val="007C2AB0"/>
    <w:rsid w:val="007C4F53"/>
    <w:rsid w:val="007C74C7"/>
    <w:rsid w:val="007C74FC"/>
    <w:rsid w:val="007D0951"/>
    <w:rsid w:val="007D2094"/>
    <w:rsid w:val="007E02B4"/>
    <w:rsid w:val="007E43DE"/>
    <w:rsid w:val="007E66D9"/>
    <w:rsid w:val="007E717B"/>
    <w:rsid w:val="007F25FB"/>
    <w:rsid w:val="007F7E13"/>
    <w:rsid w:val="0080013E"/>
    <w:rsid w:val="008023D1"/>
    <w:rsid w:val="00804E96"/>
    <w:rsid w:val="00807A9E"/>
    <w:rsid w:val="0081281B"/>
    <w:rsid w:val="00813288"/>
    <w:rsid w:val="0081338A"/>
    <w:rsid w:val="008168FC"/>
    <w:rsid w:val="00820780"/>
    <w:rsid w:val="00820D36"/>
    <w:rsid w:val="00820F0D"/>
    <w:rsid w:val="008252DE"/>
    <w:rsid w:val="00826EB7"/>
    <w:rsid w:val="008305C5"/>
    <w:rsid w:val="00830996"/>
    <w:rsid w:val="00830A83"/>
    <w:rsid w:val="00833D2A"/>
    <w:rsid w:val="008345F1"/>
    <w:rsid w:val="00835FA5"/>
    <w:rsid w:val="00836321"/>
    <w:rsid w:val="0083721C"/>
    <w:rsid w:val="0084030A"/>
    <w:rsid w:val="00840776"/>
    <w:rsid w:val="00841BDA"/>
    <w:rsid w:val="00843EAC"/>
    <w:rsid w:val="008447A3"/>
    <w:rsid w:val="008570ED"/>
    <w:rsid w:val="00857831"/>
    <w:rsid w:val="008639B5"/>
    <w:rsid w:val="00865B07"/>
    <w:rsid w:val="008667EA"/>
    <w:rsid w:val="0086688D"/>
    <w:rsid w:val="00867793"/>
    <w:rsid w:val="00873B2B"/>
    <w:rsid w:val="00875FE5"/>
    <w:rsid w:val="0087637F"/>
    <w:rsid w:val="0087739B"/>
    <w:rsid w:val="008775BC"/>
    <w:rsid w:val="00882F27"/>
    <w:rsid w:val="00884341"/>
    <w:rsid w:val="0088652F"/>
    <w:rsid w:val="00886A95"/>
    <w:rsid w:val="00887BA1"/>
    <w:rsid w:val="00892489"/>
    <w:rsid w:val="00892AD5"/>
    <w:rsid w:val="008955EF"/>
    <w:rsid w:val="008A1512"/>
    <w:rsid w:val="008A44E4"/>
    <w:rsid w:val="008A6F28"/>
    <w:rsid w:val="008A6FDF"/>
    <w:rsid w:val="008B5492"/>
    <w:rsid w:val="008B7C03"/>
    <w:rsid w:val="008B7C61"/>
    <w:rsid w:val="008C205B"/>
    <w:rsid w:val="008C49A1"/>
    <w:rsid w:val="008C6624"/>
    <w:rsid w:val="008D11B7"/>
    <w:rsid w:val="008D32B9"/>
    <w:rsid w:val="008D433B"/>
    <w:rsid w:val="008D4A16"/>
    <w:rsid w:val="008D79CF"/>
    <w:rsid w:val="008E0113"/>
    <w:rsid w:val="008E473C"/>
    <w:rsid w:val="008E5432"/>
    <w:rsid w:val="008E566E"/>
    <w:rsid w:val="008E73E2"/>
    <w:rsid w:val="008F20D6"/>
    <w:rsid w:val="008F27D3"/>
    <w:rsid w:val="008F3B48"/>
    <w:rsid w:val="008F44A1"/>
    <w:rsid w:val="008F4B5F"/>
    <w:rsid w:val="008F6847"/>
    <w:rsid w:val="008F69DE"/>
    <w:rsid w:val="00901189"/>
    <w:rsid w:val="0090161A"/>
    <w:rsid w:val="00901EB6"/>
    <w:rsid w:val="00902EDA"/>
    <w:rsid w:val="009036ED"/>
    <w:rsid w:val="009049BF"/>
    <w:rsid w:val="00904C62"/>
    <w:rsid w:val="0090769B"/>
    <w:rsid w:val="0091170F"/>
    <w:rsid w:val="00912029"/>
    <w:rsid w:val="00913A32"/>
    <w:rsid w:val="00915244"/>
    <w:rsid w:val="00920D5B"/>
    <w:rsid w:val="00922BA8"/>
    <w:rsid w:val="00922D92"/>
    <w:rsid w:val="00923C1C"/>
    <w:rsid w:val="00924DAC"/>
    <w:rsid w:val="00925866"/>
    <w:rsid w:val="00927058"/>
    <w:rsid w:val="0093099E"/>
    <w:rsid w:val="0093147A"/>
    <w:rsid w:val="00934941"/>
    <w:rsid w:val="00934C25"/>
    <w:rsid w:val="00936D9C"/>
    <w:rsid w:val="00940301"/>
    <w:rsid w:val="00942750"/>
    <w:rsid w:val="00942DC3"/>
    <w:rsid w:val="009450CE"/>
    <w:rsid w:val="009459BB"/>
    <w:rsid w:val="00947179"/>
    <w:rsid w:val="0095164B"/>
    <w:rsid w:val="00953C68"/>
    <w:rsid w:val="00954090"/>
    <w:rsid w:val="0095634B"/>
    <w:rsid w:val="009573E7"/>
    <w:rsid w:val="0096178A"/>
    <w:rsid w:val="00963E05"/>
    <w:rsid w:val="00964A45"/>
    <w:rsid w:val="00967843"/>
    <w:rsid w:val="00967D54"/>
    <w:rsid w:val="00971028"/>
    <w:rsid w:val="00972A25"/>
    <w:rsid w:val="00987064"/>
    <w:rsid w:val="009873DC"/>
    <w:rsid w:val="00991744"/>
    <w:rsid w:val="009939AD"/>
    <w:rsid w:val="00993B84"/>
    <w:rsid w:val="00995102"/>
    <w:rsid w:val="00996483"/>
    <w:rsid w:val="00996F5A"/>
    <w:rsid w:val="00997F60"/>
    <w:rsid w:val="009A04F9"/>
    <w:rsid w:val="009A3FA1"/>
    <w:rsid w:val="009A4C2A"/>
    <w:rsid w:val="009A736D"/>
    <w:rsid w:val="009B041A"/>
    <w:rsid w:val="009B1A93"/>
    <w:rsid w:val="009B5053"/>
    <w:rsid w:val="009C0FEC"/>
    <w:rsid w:val="009C37C3"/>
    <w:rsid w:val="009C3ABA"/>
    <w:rsid w:val="009C5788"/>
    <w:rsid w:val="009C7C86"/>
    <w:rsid w:val="009D0BF4"/>
    <w:rsid w:val="009D2FF7"/>
    <w:rsid w:val="009E04A9"/>
    <w:rsid w:val="009E2CFD"/>
    <w:rsid w:val="009E2D52"/>
    <w:rsid w:val="009E577D"/>
    <w:rsid w:val="009E6649"/>
    <w:rsid w:val="009E7884"/>
    <w:rsid w:val="009E788A"/>
    <w:rsid w:val="009F0E08"/>
    <w:rsid w:val="009F6685"/>
    <w:rsid w:val="00A01EE0"/>
    <w:rsid w:val="00A06705"/>
    <w:rsid w:val="00A07800"/>
    <w:rsid w:val="00A07A29"/>
    <w:rsid w:val="00A130B1"/>
    <w:rsid w:val="00A142C0"/>
    <w:rsid w:val="00A158BC"/>
    <w:rsid w:val="00A15E5C"/>
    <w:rsid w:val="00A16101"/>
    <w:rsid w:val="00A1763D"/>
    <w:rsid w:val="00A17C16"/>
    <w:rsid w:val="00A17CEC"/>
    <w:rsid w:val="00A20BBC"/>
    <w:rsid w:val="00A21E97"/>
    <w:rsid w:val="00A22B2A"/>
    <w:rsid w:val="00A24098"/>
    <w:rsid w:val="00A27EF0"/>
    <w:rsid w:val="00A34D3C"/>
    <w:rsid w:val="00A3530F"/>
    <w:rsid w:val="00A4123D"/>
    <w:rsid w:val="00A415F8"/>
    <w:rsid w:val="00A42361"/>
    <w:rsid w:val="00A4325C"/>
    <w:rsid w:val="00A45F7D"/>
    <w:rsid w:val="00A4662B"/>
    <w:rsid w:val="00A46E9A"/>
    <w:rsid w:val="00A470F8"/>
    <w:rsid w:val="00A5001D"/>
    <w:rsid w:val="00A50B20"/>
    <w:rsid w:val="00A51390"/>
    <w:rsid w:val="00A5701A"/>
    <w:rsid w:val="00A60015"/>
    <w:rsid w:val="00A60D13"/>
    <w:rsid w:val="00A64402"/>
    <w:rsid w:val="00A64713"/>
    <w:rsid w:val="00A67220"/>
    <w:rsid w:val="00A70CDA"/>
    <w:rsid w:val="00A7223D"/>
    <w:rsid w:val="00A7243C"/>
    <w:rsid w:val="00A72745"/>
    <w:rsid w:val="00A7285F"/>
    <w:rsid w:val="00A72B7E"/>
    <w:rsid w:val="00A74F86"/>
    <w:rsid w:val="00A76E86"/>
    <w:rsid w:val="00A76EFC"/>
    <w:rsid w:val="00A77FEF"/>
    <w:rsid w:val="00A811AB"/>
    <w:rsid w:val="00A84ED6"/>
    <w:rsid w:val="00A8747F"/>
    <w:rsid w:val="00A87D50"/>
    <w:rsid w:val="00A91010"/>
    <w:rsid w:val="00A91FE4"/>
    <w:rsid w:val="00A920BA"/>
    <w:rsid w:val="00A92E01"/>
    <w:rsid w:val="00A94503"/>
    <w:rsid w:val="00A94F08"/>
    <w:rsid w:val="00A95BBE"/>
    <w:rsid w:val="00A97F29"/>
    <w:rsid w:val="00AA11CB"/>
    <w:rsid w:val="00AA21AA"/>
    <w:rsid w:val="00AA25C8"/>
    <w:rsid w:val="00AA6AB4"/>
    <w:rsid w:val="00AA6B7A"/>
    <w:rsid w:val="00AA702E"/>
    <w:rsid w:val="00AA7D26"/>
    <w:rsid w:val="00AA7E21"/>
    <w:rsid w:val="00AB0964"/>
    <w:rsid w:val="00AB1610"/>
    <w:rsid w:val="00AB1B94"/>
    <w:rsid w:val="00AB25C9"/>
    <w:rsid w:val="00AB34BA"/>
    <w:rsid w:val="00AB4EA2"/>
    <w:rsid w:val="00AB5011"/>
    <w:rsid w:val="00AB50FC"/>
    <w:rsid w:val="00AB71CB"/>
    <w:rsid w:val="00AC342D"/>
    <w:rsid w:val="00AC3EB3"/>
    <w:rsid w:val="00AC614C"/>
    <w:rsid w:val="00AC7368"/>
    <w:rsid w:val="00AD16B9"/>
    <w:rsid w:val="00AD5B8A"/>
    <w:rsid w:val="00AE0F6C"/>
    <w:rsid w:val="00AE21EC"/>
    <w:rsid w:val="00AE377D"/>
    <w:rsid w:val="00AE50A6"/>
    <w:rsid w:val="00AE7F06"/>
    <w:rsid w:val="00AF0EBA"/>
    <w:rsid w:val="00AF0FB0"/>
    <w:rsid w:val="00AF2DAC"/>
    <w:rsid w:val="00AF4C85"/>
    <w:rsid w:val="00AF69BC"/>
    <w:rsid w:val="00B0247C"/>
    <w:rsid w:val="00B02A95"/>
    <w:rsid w:val="00B02C8A"/>
    <w:rsid w:val="00B1306C"/>
    <w:rsid w:val="00B15EBF"/>
    <w:rsid w:val="00B16941"/>
    <w:rsid w:val="00B17628"/>
    <w:rsid w:val="00B179CF"/>
    <w:rsid w:val="00B179D3"/>
    <w:rsid w:val="00B17FBD"/>
    <w:rsid w:val="00B21FD3"/>
    <w:rsid w:val="00B271A2"/>
    <w:rsid w:val="00B30157"/>
    <w:rsid w:val="00B315A6"/>
    <w:rsid w:val="00B31813"/>
    <w:rsid w:val="00B31F0F"/>
    <w:rsid w:val="00B33365"/>
    <w:rsid w:val="00B33CC1"/>
    <w:rsid w:val="00B34A41"/>
    <w:rsid w:val="00B35175"/>
    <w:rsid w:val="00B35224"/>
    <w:rsid w:val="00B36C93"/>
    <w:rsid w:val="00B37BF6"/>
    <w:rsid w:val="00B4074E"/>
    <w:rsid w:val="00B411AD"/>
    <w:rsid w:val="00B44D3E"/>
    <w:rsid w:val="00B459A0"/>
    <w:rsid w:val="00B46101"/>
    <w:rsid w:val="00B5591B"/>
    <w:rsid w:val="00B559B2"/>
    <w:rsid w:val="00B572A8"/>
    <w:rsid w:val="00B57B36"/>
    <w:rsid w:val="00B57E6F"/>
    <w:rsid w:val="00B6520A"/>
    <w:rsid w:val="00B7049A"/>
    <w:rsid w:val="00B74623"/>
    <w:rsid w:val="00B75A39"/>
    <w:rsid w:val="00B75C5A"/>
    <w:rsid w:val="00B76B5C"/>
    <w:rsid w:val="00B77A2C"/>
    <w:rsid w:val="00B81FF0"/>
    <w:rsid w:val="00B822ED"/>
    <w:rsid w:val="00B8686D"/>
    <w:rsid w:val="00B87565"/>
    <w:rsid w:val="00B92426"/>
    <w:rsid w:val="00B93F69"/>
    <w:rsid w:val="00B9761C"/>
    <w:rsid w:val="00BA01BB"/>
    <w:rsid w:val="00BA240F"/>
    <w:rsid w:val="00BA2818"/>
    <w:rsid w:val="00BA34AB"/>
    <w:rsid w:val="00BA772A"/>
    <w:rsid w:val="00BB1DDC"/>
    <w:rsid w:val="00BC11F1"/>
    <w:rsid w:val="00BC30C9"/>
    <w:rsid w:val="00BC39B6"/>
    <w:rsid w:val="00BD077D"/>
    <w:rsid w:val="00BD3A98"/>
    <w:rsid w:val="00BE0645"/>
    <w:rsid w:val="00BE192B"/>
    <w:rsid w:val="00BE1FA4"/>
    <w:rsid w:val="00BE2555"/>
    <w:rsid w:val="00BE3E58"/>
    <w:rsid w:val="00BE7CA2"/>
    <w:rsid w:val="00BF14EA"/>
    <w:rsid w:val="00BF1BEF"/>
    <w:rsid w:val="00C00CF7"/>
    <w:rsid w:val="00C01616"/>
    <w:rsid w:val="00C0162B"/>
    <w:rsid w:val="00C068ED"/>
    <w:rsid w:val="00C11B20"/>
    <w:rsid w:val="00C1269A"/>
    <w:rsid w:val="00C17BBA"/>
    <w:rsid w:val="00C213A7"/>
    <w:rsid w:val="00C22E0C"/>
    <w:rsid w:val="00C230BA"/>
    <w:rsid w:val="00C23D11"/>
    <w:rsid w:val="00C24019"/>
    <w:rsid w:val="00C34130"/>
    <w:rsid w:val="00C345B1"/>
    <w:rsid w:val="00C3475D"/>
    <w:rsid w:val="00C40142"/>
    <w:rsid w:val="00C409D6"/>
    <w:rsid w:val="00C4114C"/>
    <w:rsid w:val="00C423CD"/>
    <w:rsid w:val="00C522E8"/>
    <w:rsid w:val="00C52C3C"/>
    <w:rsid w:val="00C5307E"/>
    <w:rsid w:val="00C537CF"/>
    <w:rsid w:val="00C539E7"/>
    <w:rsid w:val="00C54F86"/>
    <w:rsid w:val="00C57182"/>
    <w:rsid w:val="00C57863"/>
    <w:rsid w:val="00C62AB1"/>
    <w:rsid w:val="00C640AF"/>
    <w:rsid w:val="00C64A36"/>
    <w:rsid w:val="00C655FD"/>
    <w:rsid w:val="00C66242"/>
    <w:rsid w:val="00C74EB9"/>
    <w:rsid w:val="00C75407"/>
    <w:rsid w:val="00C80E2C"/>
    <w:rsid w:val="00C80E81"/>
    <w:rsid w:val="00C870A8"/>
    <w:rsid w:val="00C878BD"/>
    <w:rsid w:val="00C94434"/>
    <w:rsid w:val="00C96A38"/>
    <w:rsid w:val="00CA0D4A"/>
    <w:rsid w:val="00CA0D75"/>
    <w:rsid w:val="00CA1831"/>
    <w:rsid w:val="00CA1C95"/>
    <w:rsid w:val="00CA275F"/>
    <w:rsid w:val="00CA4933"/>
    <w:rsid w:val="00CA5A9C"/>
    <w:rsid w:val="00CB1333"/>
    <w:rsid w:val="00CB44C3"/>
    <w:rsid w:val="00CB6E42"/>
    <w:rsid w:val="00CB7F6A"/>
    <w:rsid w:val="00CC4C20"/>
    <w:rsid w:val="00CC5F6A"/>
    <w:rsid w:val="00CC6D2F"/>
    <w:rsid w:val="00CC76DE"/>
    <w:rsid w:val="00CD1186"/>
    <w:rsid w:val="00CD3517"/>
    <w:rsid w:val="00CD5FE2"/>
    <w:rsid w:val="00CE19B6"/>
    <w:rsid w:val="00CE3A4A"/>
    <w:rsid w:val="00CE5654"/>
    <w:rsid w:val="00CE6190"/>
    <w:rsid w:val="00CE6C77"/>
    <w:rsid w:val="00CE7C68"/>
    <w:rsid w:val="00CF2E14"/>
    <w:rsid w:val="00CF2EE8"/>
    <w:rsid w:val="00CF365F"/>
    <w:rsid w:val="00CF4879"/>
    <w:rsid w:val="00CF55E3"/>
    <w:rsid w:val="00CF5B62"/>
    <w:rsid w:val="00D01CC5"/>
    <w:rsid w:val="00D02B4C"/>
    <w:rsid w:val="00D040C4"/>
    <w:rsid w:val="00D043C8"/>
    <w:rsid w:val="00D07099"/>
    <w:rsid w:val="00D1013B"/>
    <w:rsid w:val="00D12823"/>
    <w:rsid w:val="00D16120"/>
    <w:rsid w:val="00D20106"/>
    <w:rsid w:val="00D20AD1"/>
    <w:rsid w:val="00D226BF"/>
    <w:rsid w:val="00D27B71"/>
    <w:rsid w:val="00D32C0A"/>
    <w:rsid w:val="00D32E3E"/>
    <w:rsid w:val="00D358E8"/>
    <w:rsid w:val="00D4152C"/>
    <w:rsid w:val="00D46B7E"/>
    <w:rsid w:val="00D47B9C"/>
    <w:rsid w:val="00D53EF1"/>
    <w:rsid w:val="00D57C84"/>
    <w:rsid w:val="00D6057D"/>
    <w:rsid w:val="00D61657"/>
    <w:rsid w:val="00D64032"/>
    <w:rsid w:val="00D648EC"/>
    <w:rsid w:val="00D65737"/>
    <w:rsid w:val="00D65DBD"/>
    <w:rsid w:val="00D70247"/>
    <w:rsid w:val="00D71640"/>
    <w:rsid w:val="00D71A26"/>
    <w:rsid w:val="00D71AF6"/>
    <w:rsid w:val="00D77ECE"/>
    <w:rsid w:val="00D836C5"/>
    <w:rsid w:val="00D84576"/>
    <w:rsid w:val="00D97F72"/>
    <w:rsid w:val="00DA1399"/>
    <w:rsid w:val="00DA24C6"/>
    <w:rsid w:val="00DA4D7B"/>
    <w:rsid w:val="00DA57CD"/>
    <w:rsid w:val="00DA5BA9"/>
    <w:rsid w:val="00DA5F70"/>
    <w:rsid w:val="00DA67B3"/>
    <w:rsid w:val="00DB3943"/>
    <w:rsid w:val="00DB4AAC"/>
    <w:rsid w:val="00DC178F"/>
    <w:rsid w:val="00DD271C"/>
    <w:rsid w:val="00DD3519"/>
    <w:rsid w:val="00DD4CF3"/>
    <w:rsid w:val="00DD522F"/>
    <w:rsid w:val="00DD5FB9"/>
    <w:rsid w:val="00DD6751"/>
    <w:rsid w:val="00DE264A"/>
    <w:rsid w:val="00DE2A96"/>
    <w:rsid w:val="00DE47DD"/>
    <w:rsid w:val="00DE510C"/>
    <w:rsid w:val="00DE7380"/>
    <w:rsid w:val="00DF0B02"/>
    <w:rsid w:val="00DF0D8B"/>
    <w:rsid w:val="00DF191E"/>
    <w:rsid w:val="00DF244D"/>
    <w:rsid w:val="00DF5072"/>
    <w:rsid w:val="00DF6B95"/>
    <w:rsid w:val="00DF7571"/>
    <w:rsid w:val="00E00A23"/>
    <w:rsid w:val="00E00F71"/>
    <w:rsid w:val="00E0149B"/>
    <w:rsid w:val="00E01BC9"/>
    <w:rsid w:val="00E02D18"/>
    <w:rsid w:val="00E03110"/>
    <w:rsid w:val="00E03AA1"/>
    <w:rsid w:val="00E041E7"/>
    <w:rsid w:val="00E0637A"/>
    <w:rsid w:val="00E07A05"/>
    <w:rsid w:val="00E1136A"/>
    <w:rsid w:val="00E12BA2"/>
    <w:rsid w:val="00E12F89"/>
    <w:rsid w:val="00E16CC4"/>
    <w:rsid w:val="00E16E02"/>
    <w:rsid w:val="00E220F7"/>
    <w:rsid w:val="00E22283"/>
    <w:rsid w:val="00E239C5"/>
    <w:rsid w:val="00E23CA1"/>
    <w:rsid w:val="00E26D15"/>
    <w:rsid w:val="00E27B8C"/>
    <w:rsid w:val="00E27E52"/>
    <w:rsid w:val="00E338D1"/>
    <w:rsid w:val="00E33C33"/>
    <w:rsid w:val="00E33DD7"/>
    <w:rsid w:val="00E35836"/>
    <w:rsid w:val="00E3660A"/>
    <w:rsid w:val="00E404A3"/>
    <w:rsid w:val="00E409A8"/>
    <w:rsid w:val="00E42BEB"/>
    <w:rsid w:val="00E4367E"/>
    <w:rsid w:val="00E449DD"/>
    <w:rsid w:val="00E50A86"/>
    <w:rsid w:val="00E50C12"/>
    <w:rsid w:val="00E53642"/>
    <w:rsid w:val="00E5435B"/>
    <w:rsid w:val="00E5463C"/>
    <w:rsid w:val="00E5482E"/>
    <w:rsid w:val="00E61851"/>
    <w:rsid w:val="00E65B91"/>
    <w:rsid w:val="00E70D24"/>
    <w:rsid w:val="00E71B9F"/>
    <w:rsid w:val="00E7209D"/>
    <w:rsid w:val="00E72EAD"/>
    <w:rsid w:val="00E73E31"/>
    <w:rsid w:val="00E7592F"/>
    <w:rsid w:val="00E75FD5"/>
    <w:rsid w:val="00E760AE"/>
    <w:rsid w:val="00E76A30"/>
    <w:rsid w:val="00E77223"/>
    <w:rsid w:val="00E778BA"/>
    <w:rsid w:val="00E82578"/>
    <w:rsid w:val="00E845FF"/>
    <w:rsid w:val="00E8528B"/>
    <w:rsid w:val="00E85B94"/>
    <w:rsid w:val="00E86C4D"/>
    <w:rsid w:val="00E87166"/>
    <w:rsid w:val="00E908CA"/>
    <w:rsid w:val="00E92BCE"/>
    <w:rsid w:val="00E96B18"/>
    <w:rsid w:val="00E978D0"/>
    <w:rsid w:val="00EA002E"/>
    <w:rsid w:val="00EA0DDE"/>
    <w:rsid w:val="00EA2528"/>
    <w:rsid w:val="00EA4613"/>
    <w:rsid w:val="00EA7F91"/>
    <w:rsid w:val="00EB1523"/>
    <w:rsid w:val="00EC005E"/>
    <w:rsid w:val="00EC0E49"/>
    <w:rsid w:val="00EC101F"/>
    <w:rsid w:val="00EC1D9F"/>
    <w:rsid w:val="00EC3DF5"/>
    <w:rsid w:val="00ED35F2"/>
    <w:rsid w:val="00EE0131"/>
    <w:rsid w:val="00EE1104"/>
    <w:rsid w:val="00EE17B0"/>
    <w:rsid w:val="00EE1940"/>
    <w:rsid w:val="00EE44AE"/>
    <w:rsid w:val="00EE4F6D"/>
    <w:rsid w:val="00EF06D9"/>
    <w:rsid w:val="00EF16C5"/>
    <w:rsid w:val="00EF455C"/>
    <w:rsid w:val="00EF61C2"/>
    <w:rsid w:val="00EF622D"/>
    <w:rsid w:val="00F00393"/>
    <w:rsid w:val="00F01C75"/>
    <w:rsid w:val="00F02357"/>
    <w:rsid w:val="00F1418A"/>
    <w:rsid w:val="00F17196"/>
    <w:rsid w:val="00F20152"/>
    <w:rsid w:val="00F3049E"/>
    <w:rsid w:val="00F30C64"/>
    <w:rsid w:val="00F32B8B"/>
    <w:rsid w:val="00F32BA2"/>
    <w:rsid w:val="00F32CDB"/>
    <w:rsid w:val="00F33C97"/>
    <w:rsid w:val="00F37686"/>
    <w:rsid w:val="00F42F4F"/>
    <w:rsid w:val="00F44FD3"/>
    <w:rsid w:val="00F46A61"/>
    <w:rsid w:val="00F477DA"/>
    <w:rsid w:val="00F55C5C"/>
    <w:rsid w:val="00F565FE"/>
    <w:rsid w:val="00F601F7"/>
    <w:rsid w:val="00F60381"/>
    <w:rsid w:val="00F606B0"/>
    <w:rsid w:val="00F63A70"/>
    <w:rsid w:val="00F63D8C"/>
    <w:rsid w:val="00F71167"/>
    <w:rsid w:val="00F7534E"/>
    <w:rsid w:val="00F77F80"/>
    <w:rsid w:val="00F80BF4"/>
    <w:rsid w:val="00F81D95"/>
    <w:rsid w:val="00F81DF2"/>
    <w:rsid w:val="00F8484D"/>
    <w:rsid w:val="00F92008"/>
    <w:rsid w:val="00F93EDF"/>
    <w:rsid w:val="00F956AE"/>
    <w:rsid w:val="00FA0EA3"/>
    <w:rsid w:val="00FA1802"/>
    <w:rsid w:val="00FA21D0"/>
    <w:rsid w:val="00FA22C5"/>
    <w:rsid w:val="00FA4885"/>
    <w:rsid w:val="00FA5F5F"/>
    <w:rsid w:val="00FB4DA5"/>
    <w:rsid w:val="00FB6CEC"/>
    <w:rsid w:val="00FB730C"/>
    <w:rsid w:val="00FC20BD"/>
    <w:rsid w:val="00FC2695"/>
    <w:rsid w:val="00FC3E03"/>
    <w:rsid w:val="00FC3FC1"/>
    <w:rsid w:val="00FC5901"/>
    <w:rsid w:val="00FC713C"/>
    <w:rsid w:val="00FC77EE"/>
    <w:rsid w:val="00FC7DF8"/>
    <w:rsid w:val="00FD0CB4"/>
    <w:rsid w:val="00FD4DA3"/>
    <w:rsid w:val="00FE37D9"/>
    <w:rsid w:val="00FF1931"/>
    <w:rsid w:val="00FF40CA"/>
    <w:rsid w:val="00FF753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C74EB9"/>
    <w:rPr>
      <w:color w:val="666666"/>
    </w:rPr>
  </w:style>
  <w:style w:type="table" w:styleId="Grigliatabellachiara">
    <w:name w:val="Grid Table Light"/>
    <w:basedOn w:val="Tabellanormale"/>
    <w:uiPriority w:val="40"/>
    <w:rsid w:val="00E220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4">
    <w:name w:val="Plain Table 4"/>
    <w:basedOn w:val="Tabellanormale"/>
    <w:uiPriority w:val="44"/>
    <w:rsid w:val="00E220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e">
    <w:name w:val="Revision"/>
    <w:hidden/>
    <w:uiPriority w:val="99"/>
    <w:semiHidden/>
    <w:rsid w:val="00833D2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7002">
      <w:bodyDiv w:val="1"/>
      <w:marLeft w:val="0"/>
      <w:marRight w:val="0"/>
      <w:marTop w:val="0"/>
      <w:marBottom w:val="0"/>
      <w:divBdr>
        <w:top w:val="none" w:sz="0" w:space="0" w:color="auto"/>
        <w:left w:val="none" w:sz="0" w:space="0" w:color="auto"/>
        <w:bottom w:val="none" w:sz="0" w:space="0" w:color="auto"/>
        <w:right w:val="none" w:sz="0" w:space="0" w:color="auto"/>
      </w:divBdr>
      <w:divsChild>
        <w:div w:id="701442868">
          <w:marLeft w:val="480"/>
          <w:marRight w:val="0"/>
          <w:marTop w:val="0"/>
          <w:marBottom w:val="0"/>
          <w:divBdr>
            <w:top w:val="none" w:sz="0" w:space="0" w:color="auto"/>
            <w:left w:val="none" w:sz="0" w:space="0" w:color="auto"/>
            <w:bottom w:val="none" w:sz="0" w:space="0" w:color="auto"/>
            <w:right w:val="none" w:sz="0" w:space="0" w:color="auto"/>
          </w:divBdr>
        </w:div>
        <w:div w:id="1957640650">
          <w:marLeft w:val="480"/>
          <w:marRight w:val="0"/>
          <w:marTop w:val="0"/>
          <w:marBottom w:val="0"/>
          <w:divBdr>
            <w:top w:val="none" w:sz="0" w:space="0" w:color="auto"/>
            <w:left w:val="none" w:sz="0" w:space="0" w:color="auto"/>
            <w:bottom w:val="none" w:sz="0" w:space="0" w:color="auto"/>
            <w:right w:val="none" w:sz="0" w:space="0" w:color="auto"/>
          </w:divBdr>
        </w:div>
        <w:div w:id="53043397">
          <w:marLeft w:val="480"/>
          <w:marRight w:val="0"/>
          <w:marTop w:val="0"/>
          <w:marBottom w:val="0"/>
          <w:divBdr>
            <w:top w:val="none" w:sz="0" w:space="0" w:color="auto"/>
            <w:left w:val="none" w:sz="0" w:space="0" w:color="auto"/>
            <w:bottom w:val="none" w:sz="0" w:space="0" w:color="auto"/>
            <w:right w:val="none" w:sz="0" w:space="0" w:color="auto"/>
          </w:divBdr>
        </w:div>
        <w:div w:id="252903977">
          <w:marLeft w:val="480"/>
          <w:marRight w:val="0"/>
          <w:marTop w:val="0"/>
          <w:marBottom w:val="0"/>
          <w:divBdr>
            <w:top w:val="none" w:sz="0" w:space="0" w:color="auto"/>
            <w:left w:val="none" w:sz="0" w:space="0" w:color="auto"/>
            <w:bottom w:val="none" w:sz="0" w:space="0" w:color="auto"/>
            <w:right w:val="none" w:sz="0" w:space="0" w:color="auto"/>
          </w:divBdr>
        </w:div>
        <w:div w:id="1608271134">
          <w:marLeft w:val="480"/>
          <w:marRight w:val="0"/>
          <w:marTop w:val="0"/>
          <w:marBottom w:val="0"/>
          <w:divBdr>
            <w:top w:val="none" w:sz="0" w:space="0" w:color="auto"/>
            <w:left w:val="none" w:sz="0" w:space="0" w:color="auto"/>
            <w:bottom w:val="none" w:sz="0" w:space="0" w:color="auto"/>
            <w:right w:val="none" w:sz="0" w:space="0" w:color="auto"/>
          </w:divBdr>
        </w:div>
        <w:div w:id="922299148">
          <w:marLeft w:val="480"/>
          <w:marRight w:val="0"/>
          <w:marTop w:val="0"/>
          <w:marBottom w:val="0"/>
          <w:divBdr>
            <w:top w:val="none" w:sz="0" w:space="0" w:color="auto"/>
            <w:left w:val="none" w:sz="0" w:space="0" w:color="auto"/>
            <w:bottom w:val="none" w:sz="0" w:space="0" w:color="auto"/>
            <w:right w:val="none" w:sz="0" w:space="0" w:color="auto"/>
          </w:divBdr>
        </w:div>
        <w:div w:id="1926961320">
          <w:marLeft w:val="480"/>
          <w:marRight w:val="0"/>
          <w:marTop w:val="0"/>
          <w:marBottom w:val="0"/>
          <w:divBdr>
            <w:top w:val="none" w:sz="0" w:space="0" w:color="auto"/>
            <w:left w:val="none" w:sz="0" w:space="0" w:color="auto"/>
            <w:bottom w:val="none" w:sz="0" w:space="0" w:color="auto"/>
            <w:right w:val="none" w:sz="0" w:space="0" w:color="auto"/>
          </w:divBdr>
        </w:div>
        <w:div w:id="1971129010">
          <w:marLeft w:val="480"/>
          <w:marRight w:val="0"/>
          <w:marTop w:val="0"/>
          <w:marBottom w:val="0"/>
          <w:divBdr>
            <w:top w:val="none" w:sz="0" w:space="0" w:color="auto"/>
            <w:left w:val="none" w:sz="0" w:space="0" w:color="auto"/>
            <w:bottom w:val="none" w:sz="0" w:space="0" w:color="auto"/>
            <w:right w:val="none" w:sz="0" w:space="0" w:color="auto"/>
          </w:divBdr>
        </w:div>
        <w:div w:id="1585066794">
          <w:marLeft w:val="480"/>
          <w:marRight w:val="0"/>
          <w:marTop w:val="0"/>
          <w:marBottom w:val="0"/>
          <w:divBdr>
            <w:top w:val="none" w:sz="0" w:space="0" w:color="auto"/>
            <w:left w:val="none" w:sz="0" w:space="0" w:color="auto"/>
            <w:bottom w:val="none" w:sz="0" w:space="0" w:color="auto"/>
            <w:right w:val="none" w:sz="0" w:space="0" w:color="auto"/>
          </w:divBdr>
        </w:div>
        <w:div w:id="1461336751">
          <w:marLeft w:val="480"/>
          <w:marRight w:val="0"/>
          <w:marTop w:val="0"/>
          <w:marBottom w:val="0"/>
          <w:divBdr>
            <w:top w:val="none" w:sz="0" w:space="0" w:color="auto"/>
            <w:left w:val="none" w:sz="0" w:space="0" w:color="auto"/>
            <w:bottom w:val="none" w:sz="0" w:space="0" w:color="auto"/>
            <w:right w:val="none" w:sz="0" w:space="0" w:color="auto"/>
          </w:divBdr>
        </w:div>
        <w:div w:id="1878155478">
          <w:marLeft w:val="480"/>
          <w:marRight w:val="0"/>
          <w:marTop w:val="0"/>
          <w:marBottom w:val="0"/>
          <w:divBdr>
            <w:top w:val="none" w:sz="0" w:space="0" w:color="auto"/>
            <w:left w:val="none" w:sz="0" w:space="0" w:color="auto"/>
            <w:bottom w:val="none" w:sz="0" w:space="0" w:color="auto"/>
            <w:right w:val="none" w:sz="0" w:space="0" w:color="auto"/>
          </w:divBdr>
        </w:div>
      </w:divsChild>
    </w:div>
    <w:div w:id="132986021">
      <w:bodyDiv w:val="1"/>
      <w:marLeft w:val="0"/>
      <w:marRight w:val="0"/>
      <w:marTop w:val="0"/>
      <w:marBottom w:val="0"/>
      <w:divBdr>
        <w:top w:val="none" w:sz="0" w:space="0" w:color="auto"/>
        <w:left w:val="none" w:sz="0" w:space="0" w:color="auto"/>
        <w:bottom w:val="none" w:sz="0" w:space="0" w:color="auto"/>
        <w:right w:val="none" w:sz="0" w:space="0" w:color="auto"/>
      </w:divBdr>
    </w:div>
    <w:div w:id="133645886">
      <w:bodyDiv w:val="1"/>
      <w:marLeft w:val="0"/>
      <w:marRight w:val="0"/>
      <w:marTop w:val="0"/>
      <w:marBottom w:val="0"/>
      <w:divBdr>
        <w:top w:val="none" w:sz="0" w:space="0" w:color="auto"/>
        <w:left w:val="none" w:sz="0" w:space="0" w:color="auto"/>
        <w:bottom w:val="none" w:sz="0" w:space="0" w:color="auto"/>
        <w:right w:val="none" w:sz="0" w:space="0" w:color="auto"/>
      </w:divBdr>
    </w:div>
    <w:div w:id="146292412">
      <w:bodyDiv w:val="1"/>
      <w:marLeft w:val="0"/>
      <w:marRight w:val="0"/>
      <w:marTop w:val="0"/>
      <w:marBottom w:val="0"/>
      <w:divBdr>
        <w:top w:val="none" w:sz="0" w:space="0" w:color="auto"/>
        <w:left w:val="none" w:sz="0" w:space="0" w:color="auto"/>
        <w:bottom w:val="none" w:sz="0" w:space="0" w:color="auto"/>
        <w:right w:val="none" w:sz="0" w:space="0" w:color="auto"/>
      </w:divBdr>
    </w:div>
    <w:div w:id="155921680">
      <w:bodyDiv w:val="1"/>
      <w:marLeft w:val="0"/>
      <w:marRight w:val="0"/>
      <w:marTop w:val="0"/>
      <w:marBottom w:val="0"/>
      <w:divBdr>
        <w:top w:val="none" w:sz="0" w:space="0" w:color="auto"/>
        <w:left w:val="none" w:sz="0" w:space="0" w:color="auto"/>
        <w:bottom w:val="none" w:sz="0" w:space="0" w:color="auto"/>
        <w:right w:val="none" w:sz="0" w:space="0" w:color="auto"/>
      </w:divBdr>
    </w:div>
    <w:div w:id="156000396">
      <w:bodyDiv w:val="1"/>
      <w:marLeft w:val="0"/>
      <w:marRight w:val="0"/>
      <w:marTop w:val="0"/>
      <w:marBottom w:val="0"/>
      <w:divBdr>
        <w:top w:val="none" w:sz="0" w:space="0" w:color="auto"/>
        <w:left w:val="none" w:sz="0" w:space="0" w:color="auto"/>
        <w:bottom w:val="none" w:sz="0" w:space="0" w:color="auto"/>
        <w:right w:val="none" w:sz="0" w:space="0" w:color="auto"/>
      </w:divBdr>
      <w:divsChild>
        <w:div w:id="1853490814">
          <w:marLeft w:val="480"/>
          <w:marRight w:val="0"/>
          <w:marTop w:val="0"/>
          <w:marBottom w:val="0"/>
          <w:divBdr>
            <w:top w:val="none" w:sz="0" w:space="0" w:color="auto"/>
            <w:left w:val="none" w:sz="0" w:space="0" w:color="auto"/>
            <w:bottom w:val="none" w:sz="0" w:space="0" w:color="auto"/>
            <w:right w:val="none" w:sz="0" w:space="0" w:color="auto"/>
          </w:divBdr>
        </w:div>
        <w:div w:id="146168195">
          <w:marLeft w:val="480"/>
          <w:marRight w:val="0"/>
          <w:marTop w:val="0"/>
          <w:marBottom w:val="0"/>
          <w:divBdr>
            <w:top w:val="none" w:sz="0" w:space="0" w:color="auto"/>
            <w:left w:val="none" w:sz="0" w:space="0" w:color="auto"/>
            <w:bottom w:val="none" w:sz="0" w:space="0" w:color="auto"/>
            <w:right w:val="none" w:sz="0" w:space="0" w:color="auto"/>
          </w:divBdr>
        </w:div>
        <w:div w:id="131605932">
          <w:marLeft w:val="480"/>
          <w:marRight w:val="0"/>
          <w:marTop w:val="0"/>
          <w:marBottom w:val="0"/>
          <w:divBdr>
            <w:top w:val="none" w:sz="0" w:space="0" w:color="auto"/>
            <w:left w:val="none" w:sz="0" w:space="0" w:color="auto"/>
            <w:bottom w:val="none" w:sz="0" w:space="0" w:color="auto"/>
            <w:right w:val="none" w:sz="0" w:space="0" w:color="auto"/>
          </w:divBdr>
        </w:div>
        <w:div w:id="1009872302">
          <w:marLeft w:val="480"/>
          <w:marRight w:val="0"/>
          <w:marTop w:val="0"/>
          <w:marBottom w:val="0"/>
          <w:divBdr>
            <w:top w:val="none" w:sz="0" w:space="0" w:color="auto"/>
            <w:left w:val="none" w:sz="0" w:space="0" w:color="auto"/>
            <w:bottom w:val="none" w:sz="0" w:space="0" w:color="auto"/>
            <w:right w:val="none" w:sz="0" w:space="0" w:color="auto"/>
          </w:divBdr>
        </w:div>
        <w:div w:id="1484588869">
          <w:marLeft w:val="480"/>
          <w:marRight w:val="0"/>
          <w:marTop w:val="0"/>
          <w:marBottom w:val="0"/>
          <w:divBdr>
            <w:top w:val="none" w:sz="0" w:space="0" w:color="auto"/>
            <w:left w:val="none" w:sz="0" w:space="0" w:color="auto"/>
            <w:bottom w:val="none" w:sz="0" w:space="0" w:color="auto"/>
            <w:right w:val="none" w:sz="0" w:space="0" w:color="auto"/>
          </w:divBdr>
        </w:div>
        <w:div w:id="1724519308">
          <w:marLeft w:val="480"/>
          <w:marRight w:val="0"/>
          <w:marTop w:val="0"/>
          <w:marBottom w:val="0"/>
          <w:divBdr>
            <w:top w:val="none" w:sz="0" w:space="0" w:color="auto"/>
            <w:left w:val="none" w:sz="0" w:space="0" w:color="auto"/>
            <w:bottom w:val="none" w:sz="0" w:space="0" w:color="auto"/>
            <w:right w:val="none" w:sz="0" w:space="0" w:color="auto"/>
          </w:divBdr>
        </w:div>
        <w:div w:id="2003775268">
          <w:marLeft w:val="480"/>
          <w:marRight w:val="0"/>
          <w:marTop w:val="0"/>
          <w:marBottom w:val="0"/>
          <w:divBdr>
            <w:top w:val="none" w:sz="0" w:space="0" w:color="auto"/>
            <w:left w:val="none" w:sz="0" w:space="0" w:color="auto"/>
            <w:bottom w:val="none" w:sz="0" w:space="0" w:color="auto"/>
            <w:right w:val="none" w:sz="0" w:space="0" w:color="auto"/>
          </w:divBdr>
        </w:div>
        <w:div w:id="236863153">
          <w:marLeft w:val="480"/>
          <w:marRight w:val="0"/>
          <w:marTop w:val="0"/>
          <w:marBottom w:val="0"/>
          <w:divBdr>
            <w:top w:val="none" w:sz="0" w:space="0" w:color="auto"/>
            <w:left w:val="none" w:sz="0" w:space="0" w:color="auto"/>
            <w:bottom w:val="none" w:sz="0" w:space="0" w:color="auto"/>
            <w:right w:val="none" w:sz="0" w:space="0" w:color="auto"/>
          </w:divBdr>
        </w:div>
        <w:div w:id="596869086">
          <w:marLeft w:val="480"/>
          <w:marRight w:val="0"/>
          <w:marTop w:val="0"/>
          <w:marBottom w:val="0"/>
          <w:divBdr>
            <w:top w:val="none" w:sz="0" w:space="0" w:color="auto"/>
            <w:left w:val="none" w:sz="0" w:space="0" w:color="auto"/>
            <w:bottom w:val="none" w:sz="0" w:space="0" w:color="auto"/>
            <w:right w:val="none" w:sz="0" w:space="0" w:color="auto"/>
          </w:divBdr>
        </w:div>
      </w:divsChild>
    </w:div>
    <w:div w:id="174081958">
      <w:bodyDiv w:val="1"/>
      <w:marLeft w:val="0"/>
      <w:marRight w:val="0"/>
      <w:marTop w:val="0"/>
      <w:marBottom w:val="0"/>
      <w:divBdr>
        <w:top w:val="none" w:sz="0" w:space="0" w:color="auto"/>
        <w:left w:val="none" w:sz="0" w:space="0" w:color="auto"/>
        <w:bottom w:val="none" w:sz="0" w:space="0" w:color="auto"/>
        <w:right w:val="none" w:sz="0" w:space="0" w:color="auto"/>
      </w:divBdr>
      <w:divsChild>
        <w:div w:id="935864966">
          <w:marLeft w:val="480"/>
          <w:marRight w:val="0"/>
          <w:marTop w:val="0"/>
          <w:marBottom w:val="0"/>
          <w:divBdr>
            <w:top w:val="none" w:sz="0" w:space="0" w:color="auto"/>
            <w:left w:val="none" w:sz="0" w:space="0" w:color="auto"/>
            <w:bottom w:val="none" w:sz="0" w:space="0" w:color="auto"/>
            <w:right w:val="none" w:sz="0" w:space="0" w:color="auto"/>
          </w:divBdr>
        </w:div>
        <w:div w:id="1817525233">
          <w:marLeft w:val="480"/>
          <w:marRight w:val="0"/>
          <w:marTop w:val="0"/>
          <w:marBottom w:val="0"/>
          <w:divBdr>
            <w:top w:val="none" w:sz="0" w:space="0" w:color="auto"/>
            <w:left w:val="none" w:sz="0" w:space="0" w:color="auto"/>
            <w:bottom w:val="none" w:sz="0" w:space="0" w:color="auto"/>
            <w:right w:val="none" w:sz="0" w:space="0" w:color="auto"/>
          </w:divBdr>
        </w:div>
        <w:div w:id="512065223">
          <w:marLeft w:val="480"/>
          <w:marRight w:val="0"/>
          <w:marTop w:val="0"/>
          <w:marBottom w:val="0"/>
          <w:divBdr>
            <w:top w:val="none" w:sz="0" w:space="0" w:color="auto"/>
            <w:left w:val="none" w:sz="0" w:space="0" w:color="auto"/>
            <w:bottom w:val="none" w:sz="0" w:space="0" w:color="auto"/>
            <w:right w:val="none" w:sz="0" w:space="0" w:color="auto"/>
          </w:divBdr>
        </w:div>
        <w:div w:id="931283248">
          <w:marLeft w:val="480"/>
          <w:marRight w:val="0"/>
          <w:marTop w:val="0"/>
          <w:marBottom w:val="0"/>
          <w:divBdr>
            <w:top w:val="none" w:sz="0" w:space="0" w:color="auto"/>
            <w:left w:val="none" w:sz="0" w:space="0" w:color="auto"/>
            <w:bottom w:val="none" w:sz="0" w:space="0" w:color="auto"/>
            <w:right w:val="none" w:sz="0" w:space="0" w:color="auto"/>
          </w:divBdr>
        </w:div>
        <w:div w:id="1477994424">
          <w:marLeft w:val="480"/>
          <w:marRight w:val="0"/>
          <w:marTop w:val="0"/>
          <w:marBottom w:val="0"/>
          <w:divBdr>
            <w:top w:val="none" w:sz="0" w:space="0" w:color="auto"/>
            <w:left w:val="none" w:sz="0" w:space="0" w:color="auto"/>
            <w:bottom w:val="none" w:sz="0" w:space="0" w:color="auto"/>
            <w:right w:val="none" w:sz="0" w:space="0" w:color="auto"/>
          </w:divBdr>
        </w:div>
        <w:div w:id="351952159">
          <w:marLeft w:val="480"/>
          <w:marRight w:val="0"/>
          <w:marTop w:val="0"/>
          <w:marBottom w:val="0"/>
          <w:divBdr>
            <w:top w:val="none" w:sz="0" w:space="0" w:color="auto"/>
            <w:left w:val="none" w:sz="0" w:space="0" w:color="auto"/>
            <w:bottom w:val="none" w:sz="0" w:space="0" w:color="auto"/>
            <w:right w:val="none" w:sz="0" w:space="0" w:color="auto"/>
          </w:divBdr>
        </w:div>
        <w:div w:id="371807355">
          <w:marLeft w:val="480"/>
          <w:marRight w:val="0"/>
          <w:marTop w:val="0"/>
          <w:marBottom w:val="0"/>
          <w:divBdr>
            <w:top w:val="none" w:sz="0" w:space="0" w:color="auto"/>
            <w:left w:val="none" w:sz="0" w:space="0" w:color="auto"/>
            <w:bottom w:val="none" w:sz="0" w:space="0" w:color="auto"/>
            <w:right w:val="none" w:sz="0" w:space="0" w:color="auto"/>
          </w:divBdr>
        </w:div>
        <w:div w:id="504168871">
          <w:marLeft w:val="480"/>
          <w:marRight w:val="0"/>
          <w:marTop w:val="0"/>
          <w:marBottom w:val="0"/>
          <w:divBdr>
            <w:top w:val="none" w:sz="0" w:space="0" w:color="auto"/>
            <w:left w:val="none" w:sz="0" w:space="0" w:color="auto"/>
            <w:bottom w:val="none" w:sz="0" w:space="0" w:color="auto"/>
            <w:right w:val="none" w:sz="0" w:space="0" w:color="auto"/>
          </w:divBdr>
        </w:div>
        <w:div w:id="2049336855">
          <w:marLeft w:val="480"/>
          <w:marRight w:val="0"/>
          <w:marTop w:val="0"/>
          <w:marBottom w:val="0"/>
          <w:divBdr>
            <w:top w:val="none" w:sz="0" w:space="0" w:color="auto"/>
            <w:left w:val="none" w:sz="0" w:space="0" w:color="auto"/>
            <w:bottom w:val="none" w:sz="0" w:space="0" w:color="auto"/>
            <w:right w:val="none" w:sz="0" w:space="0" w:color="auto"/>
          </w:divBdr>
        </w:div>
        <w:div w:id="426002709">
          <w:marLeft w:val="480"/>
          <w:marRight w:val="0"/>
          <w:marTop w:val="0"/>
          <w:marBottom w:val="0"/>
          <w:divBdr>
            <w:top w:val="none" w:sz="0" w:space="0" w:color="auto"/>
            <w:left w:val="none" w:sz="0" w:space="0" w:color="auto"/>
            <w:bottom w:val="none" w:sz="0" w:space="0" w:color="auto"/>
            <w:right w:val="none" w:sz="0" w:space="0" w:color="auto"/>
          </w:divBdr>
        </w:div>
        <w:div w:id="1448967558">
          <w:marLeft w:val="480"/>
          <w:marRight w:val="0"/>
          <w:marTop w:val="0"/>
          <w:marBottom w:val="0"/>
          <w:divBdr>
            <w:top w:val="none" w:sz="0" w:space="0" w:color="auto"/>
            <w:left w:val="none" w:sz="0" w:space="0" w:color="auto"/>
            <w:bottom w:val="none" w:sz="0" w:space="0" w:color="auto"/>
            <w:right w:val="none" w:sz="0" w:space="0" w:color="auto"/>
          </w:divBdr>
        </w:div>
        <w:div w:id="908077249">
          <w:marLeft w:val="480"/>
          <w:marRight w:val="0"/>
          <w:marTop w:val="0"/>
          <w:marBottom w:val="0"/>
          <w:divBdr>
            <w:top w:val="none" w:sz="0" w:space="0" w:color="auto"/>
            <w:left w:val="none" w:sz="0" w:space="0" w:color="auto"/>
            <w:bottom w:val="none" w:sz="0" w:space="0" w:color="auto"/>
            <w:right w:val="none" w:sz="0" w:space="0" w:color="auto"/>
          </w:divBdr>
        </w:div>
      </w:divsChild>
    </w:div>
    <w:div w:id="187449646">
      <w:bodyDiv w:val="1"/>
      <w:marLeft w:val="0"/>
      <w:marRight w:val="0"/>
      <w:marTop w:val="0"/>
      <w:marBottom w:val="0"/>
      <w:divBdr>
        <w:top w:val="none" w:sz="0" w:space="0" w:color="auto"/>
        <w:left w:val="none" w:sz="0" w:space="0" w:color="auto"/>
        <w:bottom w:val="none" w:sz="0" w:space="0" w:color="auto"/>
        <w:right w:val="none" w:sz="0" w:space="0" w:color="auto"/>
      </w:divBdr>
      <w:divsChild>
        <w:div w:id="1007176510">
          <w:marLeft w:val="480"/>
          <w:marRight w:val="0"/>
          <w:marTop w:val="0"/>
          <w:marBottom w:val="0"/>
          <w:divBdr>
            <w:top w:val="none" w:sz="0" w:space="0" w:color="auto"/>
            <w:left w:val="none" w:sz="0" w:space="0" w:color="auto"/>
            <w:bottom w:val="none" w:sz="0" w:space="0" w:color="auto"/>
            <w:right w:val="none" w:sz="0" w:space="0" w:color="auto"/>
          </w:divBdr>
        </w:div>
        <w:div w:id="432013384">
          <w:marLeft w:val="480"/>
          <w:marRight w:val="0"/>
          <w:marTop w:val="0"/>
          <w:marBottom w:val="0"/>
          <w:divBdr>
            <w:top w:val="none" w:sz="0" w:space="0" w:color="auto"/>
            <w:left w:val="none" w:sz="0" w:space="0" w:color="auto"/>
            <w:bottom w:val="none" w:sz="0" w:space="0" w:color="auto"/>
            <w:right w:val="none" w:sz="0" w:space="0" w:color="auto"/>
          </w:divBdr>
        </w:div>
        <w:div w:id="1375738380">
          <w:marLeft w:val="480"/>
          <w:marRight w:val="0"/>
          <w:marTop w:val="0"/>
          <w:marBottom w:val="0"/>
          <w:divBdr>
            <w:top w:val="none" w:sz="0" w:space="0" w:color="auto"/>
            <w:left w:val="none" w:sz="0" w:space="0" w:color="auto"/>
            <w:bottom w:val="none" w:sz="0" w:space="0" w:color="auto"/>
            <w:right w:val="none" w:sz="0" w:space="0" w:color="auto"/>
          </w:divBdr>
        </w:div>
        <w:div w:id="1064061550">
          <w:marLeft w:val="480"/>
          <w:marRight w:val="0"/>
          <w:marTop w:val="0"/>
          <w:marBottom w:val="0"/>
          <w:divBdr>
            <w:top w:val="none" w:sz="0" w:space="0" w:color="auto"/>
            <w:left w:val="none" w:sz="0" w:space="0" w:color="auto"/>
            <w:bottom w:val="none" w:sz="0" w:space="0" w:color="auto"/>
            <w:right w:val="none" w:sz="0" w:space="0" w:color="auto"/>
          </w:divBdr>
        </w:div>
      </w:divsChild>
    </w:div>
    <w:div w:id="205724617">
      <w:bodyDiv w:val="1"/>
      <w:marLeft w:val="0"/>
      <w:marRight w:val="0"/>
      <w:marTop w:val="0"/>
      <w:marBottom w:val="0"/>
      <w:divBdr>
        <w:top w:val="none" w:sz="0" w:space="0" w:color="auto"/>
        <w:left w:val="none" w:sz="0" w:space="0" w:color="auto"/>
        <w:bottom w:val="none" w:sz="0" w:space="0" w:color="auto"/>
        <w:right w:val="none" w:sz="0" w:space="0" w:color="auto"/>
      </w:divBdr>
    </w:div>
    <w:div w:id="220137021">
      <w:bodyDiv w:val="1"/>
      <w:marLeft w:val="0"/>
      <w:marRight w:val="0"/>
      <w:marTop w:val="0"/>
      <w:marBottom w:val="0"/>
      <w:divBdr>
        <w:top w:val="none" w:sz="0" w:space="0" w:color="auto"/>
        <w:left w:val="none" w:sz="0" w:space="0" w:color="auto"/>
        <w:bottom w:val="none" w:sz="0" w:space="0" w:color="auto"/>
        <w:right w:val="none" w:sz="0" w:space="0" w:color="auto"/>
      </w:divBdr>
      <w:divsChild>
        <w:div w:id="1023629082">
          <w:marLeft w:val="480"/>
          <w:marRight w:val="0"/>
          <w:marTop w:val="0"/>
          <w:marBottom w:val="0"/>
          <w:divBdr>
            <w:top w:val="none" w:sz="0" w:space="0" w:color="auto"/>
            <w:left w:val="none" w:sz="0" w:space="0" w:color="auto"/>
            <w:bottom w:val="none" w:sz="0" w:space="0" w:color="auto"/>
            <w:right w:val="none" w:sz="0" w:space="0" w:color="auto"/>
          </w:divBdr>
        </w:div>
        <w:div w:id="546531935">
          <w:marLeft w:val="480"/>
          <w:marRight w:val="0"/>
          <w:marTop w:val="0"/>
          <w:marBottom w:val="0"/>
          <w:divBdr>
            <w:top w:val="none" w:sz="0" w:space="0" w:color="auto"/>
            <w:left w:val="none" w:sz="0" w:space="0" w:color="auto"/>
            <w:bottom w:val="none" w:sz="0" w:space="0" w:color="auto"/>
            <w:right w:val="none" w:sz="0" w:space="0" w:color="auto"/>
          </w:divBdr>
        </w:div>
        <w:div w:id="1758673530">
          <w:marLeft w:val="480"/>
          <w:marRight w:val="0"/>
          <w:marTop w:val="0"/>
          <w:marBottom w:val="0"/>
          <w:divBdr>
            <w:top w:val="none" w:sz="0" w:space="0" w:color="auto"/>
            <w:left w:val="none" w:sz="0" w:space="0" w:color="auto"/>
            <w:bottom w:val="none" w:sz="0" w:space="0" w:color="auto"/>
            <w:right w:val="none" w:sz="0" w:space="0" w:color="auto"/>
          </w:divBdr>
        </w:div>
        <w:div w:id="1788818226">
          <w:marLeft w:val="480"/>
          <w:marRight w:val="0"/>
          <w:marTop w:val="0"/>
          <w:marBottom w:val="0"/>
          <w:divBdr>
            <w:top w:val="none" w:sz="0" w:space="0" w:color="auto"/>
            <w:left w:val="none" w:sz="0" w:space="0" w:color="auto"/>
            <w:bottom w:val="none" w:sz="0" w:space="0" w:color="auto"/>
            <w:right w:val="none" w:sz="0" w:space="0" w:color="auto"/>
          </w:divBdr>
        </w:div>
        <w:div w:id="180290393">
          <w:marLeft w:val="480"/>
          <w:marRight w:val="0"/>
          <w:marTop w:val="0"/>
          <w:marBottom w:val="0"/>
          <w:divBdr>
            <w:top w:val="none" w:sz="0" w:space="0" w:color="auto"/>
            <w:left w:val="none" w:sz="0" w:space="0" w:color="auto"/>
            <w:bottom w:val="none" w:sz="0" w:space="0" w:color="auto"/>
            <w:right w:val="none" w:sz="0" w:space="0" w:color="auto"/>
          </w:divBdr>
        </w:div>
        <w:div w:id="2003313890">
          <w:marLeft w:val="480"/>
          <w:marRight w:val="0"/>
          <w:marTop w:val="0"/>
          <w:marBottom w:val="0"/>
          <w:divBdr>
            <w:top w:val="none" w:sz="0" w:space="0" w:color="auto"/>
            <w:left w:val="none" w:sz="0" w:space="0" w:color="auto"/>
            <w:bottom w:val="none" w:sz="0" w:space="0" w:color="auto"/>
            <w:right w:val="none" w:sz="0" w:space="0" w:color="auto"/>
          </w:divBdr>
        </w:div>
        <w:div w:id="2108577398">
          <w:marLeft w:val="480"/>
          <w:marRight w:val="0"/>
          <w:marTop w:val="0"/>
          <w:marBottom w:val="0"/>
          <w:divBdr>
            <w:top w:val="none" w:sz="0" w:space="0" w:color="auto"/>
            <w:left w:val="none" w:sz="0" w:space="0" w:color="auto"/>
            <w:bottom w:val="none" w:sz="0" w:space="0" w:color="auto"/>
            <w:right w:val="none" w:sz="0" w:space="0" w:color="auto"/>
          </w:divBdr>
        </w:div>
        <w:div w:id="414013223">
          <w:marLeft w:val="480"/>
          <w:marRight w:val="0"/>
          <w:marTop w:val="0"/>
          <w:marBottom w:val="0"/>
          <w:divBdr>
            <w:top w:val="none" w:sz="0" w:space="0" w:color="auto"/>
            <w:left w:val="none" w:sz="0" w:space="0" w:color="auto"/>
            <w:bottom w:val="none" w:sz="0" w:space="0" w:color="auto"/>
            <w:right w:val="none" w:sz="0" w:space="0" w:color="auto"/>
          </w:divBdr>
        </w:div>
        <w:div w:id="590358454">
          <w:marLeft w:val="480"/>
          <w:marRight w:val="0"/>
          <w:marTop w:val="0"/>
          <w:marBottom w:val="0"/>
          <w:divBdr>
            <w:top w:val="none" w:sz="0" w:space="0" w:color="auto"/>
            <w:left w:val="none" w:sz="0" w:space="0" w:color="auto"/>
            <w:bottom w:val="none" w:sz="0" w:space="0" w:color="auto"/>
            <w:right w:val="none" w:sz="0" w:space="0" w:color="auto"/>
          </w:divBdr>
        </w:div>
        <w:div w:id="262298549">
          <w:marLeft w:val="480"/>
          <w:marRight w:val="0"/>
          <w:marTop w:val="0"/>
          <w:marBottom w:val="0"/>
          <w:divBdr>
            <w:top w:val="none" w:sz="0" w:space="0" w:color="auto"/>
            <w:left w:val="none" w:sz="0" w:space="0" w:color="auto"/>
            <w:bottom w:val="none" w:sz="0" w:space="0" w:color="auto"/>
            <w:right w:val="none" w:sz="0" w:space="0" w:color="auto"/>
          </w:divBdr>
        </w:div>
        <w:div w:id="1462724005">
          <w:marLeft w:val="480"/>
          <w:marRight w:val="0"/>
          <w:marTop w:val="0"/>
          <w:marBottom w:val="0"/>
          <w:divBdr>
            <w:top w:val="none" w:sz="0" w:space="0" w:color="auto"/>
            <w:left w:val="none" w:sz="0" w:space="0" w:color="auto"/>
            <w:bottom w:val="none" w:sz="0" w:space="0" w:color="auto"/>
            <w:right w:val="none" w:sz="0" w:space="0" w:color="auto"/>
          </w:divBdr>
        </w:div>
      </w:divsChild>
    </w:div>
    <w:div w:id="230312804">
      <w:bodyDiv w:val="1"/>
      <w:marLeft w:val="0"/>
      <w:marRight w:val="0"/>
      <w:marTop w:val="0"/>
      <w:marBottom w:val="0"/>
      <w:divBdr>
        <w:top w:val="none" w:sz="0" w:space="0" w:color="auto"/>
        <w:left w:val="none" w:sz="0" w:space="0" w:color="auto"/>
        <w:bottom w:val="none" w:sz="0" w:space="0" w:color="auto"/>
        <w:right w:val="none" w:sz="0" w:space="0" w:color="auto"/>
      </w:divBdr>
      <w:divsChild>
        <w:div w:id="204951867">
          <w:marLeft w:val="480"/>
          <w:marRight w:val="0"/>
          <w:marTop w:val="0"/>
          <w:marBottom w:val="0"/>
          <w:divBdr>
            <w:top w:val="none" w:sz="0" w:space="0" w:color="auto"/>
            <w:left w:val="none" w:sz="0" w:space="0" w:color="auto"/>
            <w:bottom w:val="none" w:sz="0" w:space="0" w:color="auto"/>
            <w:right w:val="none" w:sz="0" w:space="0" w:color="auto"/>
          </w:divBdr>
        </w:div>
        <w:div w:id="1455833146">
          <w:marLeft w:val="480"/>
          <w:marRight w:val="0"/>
          <w:marTop w:val="0"/>
          <w:marBottom w:val="0"/>
          <w:divBdr>
            <w:top w:val="none" w:sz="0" w:space="0" w:color="auto"/>
            <w:left w:val="none" w:sz="0" w:space="0" w:color="auto"/>
            <w:bottom w:val="none" w:sz="0" w:space="0" w:color="auto"/>
            <w:right w:val="none" w:sz="0" w:space="0" w:color="auto"/>
          </w:divBdr>
        </w:div>
      </w:divsChild>
    </w:div>
    <w:div w:id="255484999">
      <w:bodyDiv w:val="1"/>
      <w:marLeft w:val="0"/>
      <w:marRight w:val="0"/>
      <w:marTop w:val="0"/>
      <w:marBottom w:val="0"/>
      <w:divBdr>
        <w:top w:val="none" w:sz="0" w:space="0" w:color="auto"/>
        <w:left w:val="none" w:sz="0" w:space="0" w:color="auto"/>
        <w:bottom w:val="none" w:sz="0" w:space="0" w:color="auto"/>
        <w:right w:val="none" w:sz="0" w:space="0" w:color="auto"/>
      </w:divBdr>
      <w:divsChild>
        <w:div w:id="650911480">
          <w:marLeft w:val="480"/>
          <w:marRight w:val="0"/>
          <w:marTop w:val="0"/>
          <w:marBottom w:val="0"/>
          <w:divBdr>
            <w:top w:val="none" w:sz="0" w:space="0" w:color="auto"/>
            <w:left w:val="none" w:sz="0" w:space="0" w:color="auto"/>
            <w:bottom w:val="none" w:sz="0" w:space="0" w:color="auto"/>
            <w:right w:val="none" w:sz="0" w:space="0" w:color="auto"/>
          </w:divBdr>
        </w:div>
        <w:div w:id="787353202">
          <w:marLeft w:val="480"/>
          <w:marRight w:val="0"/>
          <w:marTop w:val="0"/>
          <w:marBottom w:val="0"/>
          <w:divBdr>
            <w:top w:val="none" w:sz="0" w:space="0" w:color="auto"/>
            <w:left w:val="none" w:sz="0" w:space="0" w:color="auto"/>
            <w:bottom w:val="none" w:sz="0" w:space="0" w:color="auto"/>
            <w:right w:val="none" w:sz="0" w:space="0" w:color="auto"/>
          </w:divBdr>
        </w:div>
        <w:div w:id="632953122">
          <w:marLeft w:val="480"/>
          <w:marRight w:val="0"/>
          <w:marTop w:val="0"/>
          <w:marBottom w:val="0"/>
          <w:divBdr>
            <w:top w:val="none" w:sz="0" w:space="0" w:color="auto"/>
            <w:left w:val="none" w:sz="0" w:space="0" w:color="auto"/>
            <w:bottom w:val="none" w:sz="0" w:space="0" w:color="auto"/>
            <w:right w:val="none" w:sz="0" w:space="0" w:color="auto"/>
          </w:divBdr>
        </w:div>
        <w:div w:id="1058286532">
          <w:marLeft w:val="480"/>
          <w:marRight w:val="0"/>
          <w:marTop w:val="0"/>
          <w:marBottom w:val="0"/>
          <w:divBdr>
            <w:top w:val="none" w:sz="0" w:space="0" w:color="auto"/>
            <w:left w:val="none" w:sz="0" w:space="0" w:color="auto"/>
            <w:bottom w:val="none" w:sz="0" w:space="0" w:color="auto"/>
            <w:right w:val="none" w:sz="0" w:space="0" w:color="auto"/>
          </w:divBdr>
        </w:div>
        <w:div w:id="326443050">
          <w:marLeft w:val="480"/>
          <w:marRight w:val="0"/>
          <w:marTop w:val="0"/>
          <w:marBottom w:val="0"/>
          <w:divBdr>
            <w:top w:val="none" w:sz="0" w:space="0" w:color="auto"/>
            <w:left w:val="none" w:sz="0" w:space="0" w:color="auto"/>
            <w:bottom w:val="none" w:sz="0" w:space="0" w:color="auto"/>
            <w:right w:val="none" w:sz="0" w:space="0" w:color="auto"/>
          </w:divBdr>
        </w:div>
        <w:div w:id="197665397">
          <w:marLeft w:val="480"/>
          <w:marRight w:val="0"/>
          <w:marTop w:val="0"/>
          <w:marBottom w:val="0"/>
          <w:divBdr>
            <w:top w:val="none" w:sz="0" w:space="0" w:color="auto"/>
            <w:left w:val="none" w:sz="0" w:space="0" w:color="auto"/>
            <w:bottom w:val="none" w:sz="0" w:space="0" w:color="auto"/>
            <w:right w:val="none" w:sz="0" w:space="0" w:color="auto"/>
          </w:divBdr>
        </w:div>
        <w:div w:id="1887520197">
          <w:marLeft w:val="480"/>
          <w:marRight w:val="0"/>
          <w:marTop w:val="0"/>
          <w:marBottom w:val="0"/>
          <w:divBdr>
            <w:top w:val="none" w:sz="0" w:space="0" w:color="auto"/>
            <w:left w:val="none" w:sz="0" w:space="0" w:color="auto"/>
            <w:bottom w:val="none" w:sz="0" w:space="0" w:color="auto"/>
            <w:right w:val="none" w:sz="0" w:space="0" w:color="auto"/>
          </w:divBdr>
        </w:div>
        <w:div w:id="887180709">
          <w:marLeft w:val="480"/>
          <w:marRight w:val="0"/>
          <w:marTop w:val="0"/>
          <w:marBottom w:val="0"/>
          <w:divBdr>
            <w:top w:val="none" w:sz="0" w:space="0" w:color="auto"/>
            <w:left w:val="none" w:sz="0" w:space="0" w:color="auto"/>
            <w:bottom w:val="none" w:sz="0" w:space="0" w:color="auto"/>
            <w:right w:val="none" w:sz="0" w:space="0" w:color="auto"/>
          </w:divBdr>
        </w:div>
        <w:div w:id="1069351872">
          <w:marLeft w:val="480"/>
          <w:marRight w:val="0"/>
          <w:marTop w:val="0"/>
          <w:marBottom w:val="0"/>
          <w:divBdr>
            <w:top w:val="none" w:sz="0" w:space="0" w:color="auto"/>
            <w:left w:val="none" w:sz="0" w:space="0" w:color="auto"/>
            <w:bottom w:val="none" w:sz="0" w:space="0" w:color="auto"/>
            <w:right w:val="none" w:sz="0" w:space="0" w:color="auto"/>
          </w:divBdr>
        </w:div>
        <w:div w:id="1671059340">
          <w:marLeft w:val="480"/>
          <w:marRight w:val="0"/>
          <w:marTop w:val="0"/>
          <w:marBottom w:val="0"/>
          <w:divBdr>
            <w:top w:val="none" w:sz="0" w:space="0" w:color="auto"/>
            <w:left w:val="none" w:sz="0" w:space="0" w:color="auto"/>
            <w:bottom w:val="none" w:sz="0" w:space="0" w:color="auto"/>
            <w:right w:val="none" w:sz="0" w:space="0" w:color="auto"/>
          </w:divBdr>
        </w:div>
        <w:div w:id="984822227">
          <w:marLeft w:val="480"/>
          <w:marRight w:val="0"/>
          <w:marTop w:val="0"/>
          <w:marBottom w:val="0"/>
          <w:divBdr>
            <w:top w:val="none" w:sz="0" w:space="0" w:color="auto"/>
            <w:left w:val="none" w:sz="0" w:space="0" w:color="auto"/>
            <w:bottom w:val="none" w:sz="0" w:space="0" w:color="auto"/>
            <w:right w:val="none" w:sz="0" w:space="0" w:color="auto"/>
          </w:divBdr>
        </w:div>
        <w:div w:id="1957784480">
          <w:marLeft w:val="480"/>
          <w:marRight w:val="0"/>
          <w:marTop w:val="0"/>
          <w:marBottom w:val="0"/>
          <w:divBdr>
            <w:top w:val="none" w:sz="0" w:space="0" w:color="auto"/>
            <w:left w:val="none" w:sz="0" w:space="0" w:color="auto"/>
            <w:bottom w:val="none" w:sz="0" w:space="0" w:color="auto"/>
            <w:right w:val="none" w:sz="0" w:space="0" w:color="auto"/>
          </w:divBdr>
        </w:div>
      </w:divsChild>
    </w:div>
    <w:div w:id="260336782">
      <w:bodyDiv w:val="1"/>
      <w:marLeft w:val="0"/>
      <w:marRight w:val="0"/>
      <w:marTop w:val="0"/>
      <w:marBottom w:val="0"/>
      <w:divBdr>
        <w:top w:val="none" w:sz="0" w:space="0" w:color="auto"/>
        <w:left w:val="none" w:sz="0" w:space="0" w:color="auto"/>
        <w:bottom w:val="none" w:sz="0" w:space="0" w:color="auto"/>
        <w:right w:val="none" w:sz="0" w:space="0" w:color="auto"/>
      </w:divBdr>
      <w:divsChild>
        <w:div w:id="1155685821">
          <w:marLeft w:val="480"/>
          <w:marRight w:val="0"/>
          <w:marTop w:val="0"/>
          <w:marBottom w:val="0"/>
          <w:divBdr>
            <w:top w:val="none" w:sz="0" w:space="0" w:color="auto"/>
            <w:left w:val="none" w:sz="0" w:space="0" w:color="auto"/>
            <w:bottom w:val="none" w:sz="0" w:space="0" w:color="auto"/>
            <w:right w:val="none" w:sz="0" w:space="0" w:color="auto"/>
          </w:divBdr>
        </w:div>
        <w:div w:id="989363501">
          <w:marLeft w:val="480"/>
          <w:marRight w:val="0"/>
          <w:marTop w:val="0"/>
          <w:marBottom w:val="0"/>
          <w:divBdr>
            <w:top w:val="none" w:sz="0" w:space="0" w:color="auto"/>
            <w:left w:val="none" w:sz="0" w:space="0" w:color="auto"/>
            <w:bottom w:val="none" w:sz="0" w:space="0" w:color="auto"/>
            <w:right w:val="none" w:sz="0" w:space="0" w:color="auto"/>
          </w:divBdr>
        </w:div>
        <w:div w:id="1559170242">
          <w:marLeft w:val="480"/>
          <w:marRight w:val="0"/>
          <w:marTop w:val="0"/>
          <w:marBottom w:val="0"/>
          <w:divBdr>
            <w:top w:val="none" w:sz="0" w:space="0" w:color="auto"/>
            <w:left w:val="none" w:sz="0" w:space="0" w:color="auto"/>
            <w:bottom w:val="none" w:sz="0" w:space="0" w:color="auto"/>
            <w:right w:val="none" w:sz="0" w:space="0" w:color="auto"/>
          </w:divBdr>
        </w:div>
        <w:div w:id="1935624239">
          <w:marLeft w:val="480"/>
          <w:marRight w:val="0"/>
          <w:marTop w:val="0"/>
          <w:marBottom w:val="0"/>
          <w:divBdr>
            <w:top w:val="none" w:sz="0" w:space="0" w:color="auto"/>
            <w:left w:val="none" w:sz="0" w:space="0" w:color="auto"/>
            <w:bottom w:val="none" w:sz="0" w:space="0" w:color="auto"/>
            <w:right w:val="none" w:sz="0" w:space="0" w:color="auto"/>
          </w:divBdr>
        </w:div>
        <w:div w:id="1446272571">
          <w:marLeft w:val="480"/>
          <w:marRight w:val="0"/>
          <w:marTop w:val="0"/>
          <w:marBottom w:val="0"/>
          <w:divBdr>
            <w:top w:val="none" w:sz="0" w:space="0" w:color="auto"/>
            <w:left w:val="none" w:sz="0" w:space="0" w:color="auto"/>
            <w:bottom w:val="none" w:sz="0" w:space="0" w:color="auto"/>
            <w:right w:val="none" w:sz="0" w:space="0" w:color="auto"/>
          </w:divBdr>
        </w:div>
        <w:div w:id="334917209">
          <w:marLeft w:val="480"/>
          <w:marRight w:val="0"/>
          <w:marTop w:val="0"/>
          <w:marBottom w:val="0"/>
          <w:divBdr>
            <w:top w:val="none" w:sz="0" w:space="0" w:color="auto"/>
            <w:left w:val="none" w:sz="0" w:space="0" w:color="auto"/>
            <w:bottom w:val="none" w:sz="0" w:space="0" w:color="auto"/>
            <w:right w:val="none" w:sz="0" w:space="0" w:color="auto"/>
          </w:divBdr>
        </w:div>
        <w:div w:id="1245762">
          <w:marLeft w:val="480"/>
          <w:marRight w:val="0"/>
          <w:marTop w:val="0"/>
          <w:marBottom w:val="0"/>
          <w:divBdr>
            <w:top w:val="none" w:sz="0" w:space="0" w:color="auto"/>
            <w:left w:val="none" w:sz="0" w:space="0" w:color="auto"/>
            <w:bottom w:val="none" w:sz="0" w:space="0" w:color="auto"/>
            <w:right w:val="none" w:sz="0" w:space="0" w:color="auto"/>
          </w:divBdr>
        </w:div>
        <w:div w:id="765732240">
          <w:marLeft w:val="480"/>
          <w:marRight w:val="0"/>
          <w:marTop w:val="0"/>
          <w:marBottom w:val="0"/>
          <w:divBdr>
            <w:top w:val="none" w:sz="0" w:space="0" w:color="auto"/>
            <w:left w:val="none" w:sz="0" w:space="0" w:color="auto"/>
            <w:bottom w:val="none" w:sz="0" w:space="0" w:color="auto"/>
            <w:right w:val="none" w:sz="0" w:space="0" w:color="auto"/>
          </w:divBdr>
        </w:div>
        <w:div w:id="202443422">
          <w:marLeft w:val="480"/>
          <w:marRight w:val="0"/>
          <w:marTop w:val="0"/>
          <w:marBottom w:val="0"/>
          <w:divBdr>
            <w:top w:val="none" w:sz="0" w:space="0" w:color="auto"/>
            <w:left w:val="none" w:sz="0" w:space="0" w:color="auto"/>
            <w:bottom w:val="none" w:sz="0" w:space="0" w:color="auto"/>
            <w:right w:val="none" w:sz="0" w:space="0" w:color="auto"/>
          </w:divBdr>
        </w:div>
        <w:div w:id="1497575722">
          <w:marLeft w:val="480"/>
          <w:marRight w:val="0"/>
          <w:marTop w:val="0"/>
          <w:marBottom w:val="0"/>
          <w:divBdr>
            <w:top w:val="none" w:sz="0" w:space="0" w:color="auto"/>
            <w:left w:val="none" w:sz="0" w:space="0" w:color="auto"/>
            <w:bottom w:val="none" w:sz="0" w:space="0" w:color="auto"/>
            <w:right w:val="none" w:sz="0" w:space="0" w:color="auto"/>
          </w:divBdr>
        </w:div>
        <w:div w:id="1039664444">
          <w:marLeft w:val="480"/>
          <w:marRight w:val="0"/>
          <w:marTop w:val="0"/>
          <w:marBottom w:val="0"/>
          <w:divBdr>
            <w:top w:val="none" w:sz="0" w:space="0" w:color="auto"/>
            <w:left w:val="none" w:sz="0" w:space="0" w:color="auto"/>
            <w:bottom w:val="none" w:sz="0" w:space="0" w:color="auto"/>
            <w:right w:val="none" w:sz="0" w:space="0" w:color="auto"/>
          </w:divBdr>
        </w:div>
        <w:div w:id="1668173313">
          <w:marLeft w:val="480"/>
          <w:marRight w:val="0"/>
          <w:marTop w:val="0"/>
          <w:marBottom w:val="0"/>
          <w:divBdr>
            <w:top w:val="none" w:sz="0" w:space="0" w:color="auto"/>
            <w:left w:val="none" w:sz="0" w:space="0" w:color="auto"/>
            <w:bottom w:val="none" w:sz="0" w:space="0" w:color="auto"/>
            <w:right w:val="none" w:sz="0" w:space="0" w:color="auto"/>
          </w:divBdr>
        </w:div>
      </w:divsChild>
    </w:div>
    <w:div w:id="262959136">
      <w:bodyDiv w:val="1"/>
      <w:marLeft w:val="0"/>
      <w:marRight w:val="0"/>
      <w:marTop w:val="0"/>
      <w:marBottom w:val="0"/>
      <w:divBdr>
        <w:top w:val="none" w:sz="0" w:space="0" w:color="auto"/>
        <w:left w:val="none" w:sz="0" w:space="0" w:color="auto"/>
        <w:bottom w:val="none" w:sz="0" w:space="0" w:color="auto"/>
        <w:right w:val="none" w:sz="0" w:space="0" w:color="auto"/>
      </w:divBdr>
    </w:div>
    <w:div w:id="402069046">
      <w:bodyDiv w:val="1"/>
      <w:marLeft w:val="0"/>
      <w:marRight w:val="0"/>
      <w:marTop w:val="0"/>
      <w:marBottom w:val="0"/>
      <w:divBdr>
        <w:top w:val="none" w:sz="0" w:space="0" w:color="auto"/>
        <w:left w:val="none" w:sz="0" w:space="0" w:color="auto"/>
        <w:bottom w:val="none" w:sz="0" w:space="0" w:color="auto"/>
        <w:right w:val="none" w:sz="0" w:space="0" w:color="auto"/>
      </w:divBdr>
    </w:div>
    <w:div w:id="492835432">
      <w:bodyDiv w:val="1"/>
      <w:marLeft w:val="0"/>
      <w:marRight w:val="0"/>
      <w:marTop w:val="0"/>
      <w:marBottom w:val="0"/>
      <w:divBdr>
        <w:top w:val="none" w:sz="0" w:space="0" w:color="auto"/>
        <w:left w:val="none" w:sz="0" w:space="0" w:color="auto"/>
        <w:bottom w:val="none" w:sz="0" w:space="0" w:color="auto"/>
        <w:right w:val="none" w:sz="0" w:space="0" w:color="auto"/>
      </w:divBdr>
    </w:div>
    <w:div w:id="498811834">
      <w:bodyDiv w:val="1"/>
      <w:marLeft w:val="0"/>
      <w:marRight w:val="0"/>
      <w:marTop w:val="0"/>
      <w:marBottom w:val="0"/>
      <w:divBdr>
        <w:top w:val="none" w:sz="0" w:space="0" w:color="auto"/>
        <w:left w:val="none" w:sz="0" w:space="0" w:color="auto"/>
        <w:bottom w:val="none" w:sz="0" w:space="0" w:color="auto"/>
        <w:right w:val="none" w:sz="0" w:space="0" w:color="auto"/>
      </w:divBdr>
      <w:divsChild>
        <w:div w:id="668826852">
          <w:marLeft w:val="480"/>
          <w:marRight w:val="0"/>
          <w:marTop w:val="0"/>
          <w:marBottom w:val="0"/>
          <w:divBdr>
            <w:top w:val="none" w:sz="0" w:space="0" w:color="auto"/>
            <w:left w:val="none" w:sz="0" w:space="0" w:color="auto"/>
            <w:bottom w:val="none" w:sz="0" w:space="0" w:color="auto"/>
            <w:right w:val="none" w:sz="0" w:space="0" w:color="auto"/>
          </w:divBdr>
        </w:div>
        <w:div w:id="1391533512">
          <w:marLeft w:val="480"/>
          <w:marRight w:val="0"/>
          <w:marTop w:val="0"/>
          <w:marBottom w:val="0"/>
          <w:divBdr>
            <w:top w:val="none" w:sz="0" w:space="0" w:color="auto"/>
            <w:left w:val="none" w:sz="0" w:space="0" w:color="auto"/>
            <w:bottom w:val="none" w:sz="0" w:space="0" w:color="auto"/>
            <w:right w:val="none" w:sz="0" w:space="0" w:color="auto"/>
          </w:divBdr>
        </w:div>
        <w:div w:id="27461140">
          <w:marLeft w:val="480"/>
          <w:marRight w:val="0"/>
          <w:marTop w:val="0"/>
          <w:marBottom w:val="0"/>
          <w:divBdr>
            <w:top w:val="none" w:sz="0" w:space="0" w:color="auto"/>
            <w:left w:val="none" w:sz="0" w:space="0" w:color="auto"/>
            <w:bottom w:val="none" w:sz="0" w:space="0" w:color="auto"/>
            <w:right w:val="none" w:sz="0" w:space="0" w:color="auto"/>
          </w:divBdr>
        </w:div>
        <w:div w:id="833028797">
          <w:marLeft w:val="480"/>
          <w:marRight w:val="0"/>
          <w:marTop w:val="0"/>
          <w:marBottom w:val="0"/>
          <w:divBdr>
            <w:top w:val="none" w:sz="0" w:space="0" w:color="auto"/>
            <w:left w:val="none" w:sz="0" w:space="0" w:color="auto"/>
            <w:bottom w:val="none" w:sz="0" w:space="0" w:color="auto"/>
            <w:right w:val="none" w:sz="0" w:space="0" w:color="auto"/>
          </w:divBdr>
        </w:div>
        <w:div w:id="574097916">
          <w:marLeft w:val="480"/>
          <w:marRight w:val="0"/>
          <w:marTop w:val="0"/>
          <w:marBottom w:val="0"/>
          <w:divBdr>
            <w:top w:val="none" w:sz="0" w:space="0" w:color="auto"/>
            <w:left w:val="none" w:sz="0" w:space="0" w:color="auto"/>
            <w:bottom w:val="none" w:sz="0" w:space="0" w:color="auto"/>
            <w:right w:val="none" w:sz="0" w:space="0" w:color="auto"/>
          </w:divBdr>
        </w:div>
        <w:div w:id="348608693">
          <w:marLeft w:val="480"/>
          <w:marRight w:val="0"/>
          <w:marTop w:val="0"/>
          <w:marBottom w:val="0"/>
          <w:divBdr>
            <w:top w:val="none" w:sz="0" w:space="0" w:color="auto"/>
            <w:left w:val="none" w:sz="0" w:space="0" w:color="auto"/>
            <w:bottom w:val="none" w:sz="0" w:space="0" w:color="auto"/>
            <w:right w:val="none" w:sz="0" w:space="0" w:color="auto"/>
          </w:divBdr>
        </w:div>
        <w:div w:id="1225918969">
          <w:marLeft w:val="480"/>
          <w:marRight w:val="0"/>
          <w:marTop w:val="0"/>
          <w:marBottom w:val="0"/>
          <w:divBdr>
            <w:top w:val="none" w:sz="0" w:space="0" w:color="auto"/>
            <w:left w:val="none" w:sz="0" w:space="0" w:color="auto"/>
            <w:bottom w:val="none" w:sz="0" w:space="0" w:color="auto"/>
            <w:right w:val="none" w:sz="0" w:space="0" w:color="auto"/>
          </w:divBdr>
        </w:div>
      </w:divsChild>
    </w:div>
    <w:div w:id="530802233">
      <w:bodyDiv w:val="1"/>
      <w:marLeft w:val="0"/>
      <w:marRight w:val="0"/>
      <w:marTop w:val="0"/>
      <w:marBottom w:val="0"/>
      <w:divBdr>
        <w:top w:val="none" w:sz="0" w:space="0" w:color="auto"/>
        <w:left w:val="none" w:sz="0" w:space="0" w:color="auto"/>
        <w:bottom w:val="none" w:sz="0" w:space="0" w:color="auto"/>
        <w:right w:val="none" w:sz="0" w:space="0" w:color="auto"/>
      </w:divBdr>
      <w:divsChild>
        <w:div w:id="1446118930">
          <w:marLeft w:val="480"/>
          <w:marRight w:val="0"/>
          <w:marTop w:val="0"/>
          <w:marBottom w:val="0"/>
          <w:divBdr>
            <w:top w:val="none" w:sz="0" w:space="0" w:color="auto"/>
            <w:left w:val="none" w:sz="0" w:space="0" w:color="auto"/>
            <w:bottom w:val="none" w:sz="0" w:space="0" w:color="auto"/>
            <w:right w:val="none" w:sz="0" w:space="0" w:color="auto"/>
          </w:divBdr>
        </w:div>
        <w:div w:id="1868911314">
          <w:marLeft w:val="480"/>
          <w:marRight w:val="0"/>
          <w:marTop w:val="0"/>
          <w:marBottom w:val="0"/>
          <w:divBdr>
            <w:top w:val="none" w:sz="0" w:space="0" w:color="auto"/>
            <w:left w:val="none" w:sz="0" w:space="0" w:color="auto"/>
            <w:bottom w:val="none" w:sz="0" w:space="0" w:color="auto"/>
            <w:right w:val="none" w:sz="0" w:space="0" w:color="auto"/>
          </w:divBdr>
        </w:div>
        <w:div w:id="1692948532">
          <w:marLeft w:val="480"/>
          <w:marRight w:val="0"/>
          <w:marTop w:val="0"/>
          <w:marBottom w:val="0"/>
          <w:divBdr>
            <w:top w:val="none" w:sz="0" w:space="0" w:color="auto"/>
            <w:left w:val="none" w:sz="0" w:space="0" w:color="auto"/>
            <w:bottom w:val="none" w:sz="0" w:space="0" w:color="auto"/>
            <w:right w:val="none" w:sz="0" w:space="0" w:color="auto"/>
          </w:divBdr>
        </w:div>
        <w:div w:id="1705406049">
          <w:marLeft w:val="480"/>
          <w:marRight w:val="0"/>
          <w:marTop w:val="0"/>
          <w:marBottom w:val="0"/>
          <w:divBdr>
            <w:top w:val="none" w:sz="0" w:space="0" w:color="auto"/>
            <w:left w:val="none" w:sz="0" w:space="0" w:color="auto"/>
            <w:bottom w:val="none" w:sz="0" w:space="0" w:color="auto"/>
            <w:right w:val="none" w:sz="0" w:space="0" w:color="auto"/>
          </w:divBdr>
        </w:div>
        <w:div w:id="765152975">
          <w:marLeft w:val="480"/>
          <w:marRight w:val="0"/>
          <w:marTop w:val="0"/>
          <w:marBottom w:val="0"/>
          <w:divBdr>
            <w:top w:val="none" w:sz="0" w:space="0" w:color="auto"/>
            <w:left w:val="none" w:sz="0" w:space="0" w:color="auto"/>
            <w:bottom w:val="none" w:sz="0" w:space="0" w:color="auto"/>
            <w:right w:val="none" w:sz="0" w:space="0" w:color="auto"/>
          </w:divBdr>
        </w:div>
        <w:div w:id="2052336956">
          <w:marLeft w:val="480"/>
          <w:marRight w:val="0"/>
          <w:marTop w:val="0"/>
          <w:marBottom w:val="0"/>
          <w:divBdr>
            <w:top w:val="none" w:sz="0" w:space="0" w:color="auto"/>
            <w:left w:val="none" w:sz="0" w:space="0" w:color="auto"/>
            <w:bottom w:val="none" w:sz="0" w:space="0" w:color="auto"/>
            <w:right w:val="none" w:sz="0" w:space="0" w:color="auto"/>
          </w:divBdr>
        </w:div>
        <w:div w:id="1861091494">
          <w:marLeft w:val="480"/>
          <w:marRight w:val="0"/>
          <w:marTop w:val="0"/>
          <w:marBottom w:val="0"/>
          <w:divBdr>
            <w:top w:val="none" w:sz="0" w:space="0" w:color="auto"/>
            <w:left w:val="none" w:sz="0" w:space="0" w:color="auto"/>
            <w:bottom w:val="none" w:sz="0" w:space="0" w:color="auto"/>
            <w:right w:val="none" w:sz="0" w:space="0" w:color="auto"/>
          </w:divBdr>
        </w:div>
        <w:div w:id="1793358638">
          <w:marLeft w:val="480"/>
          <w:marRight w:val="0"/>
          <w:marTop w:val="0"/>
          <w:marBottom w:val="0"/>
          <w:divBdr>
            <w:top w:val="none" w:sz="0" w:space="0" w:color="auto"/>
            <w:left w:val="none" w:sz="0" w:space="0" w:color="auto"/>
            <w:bottom w:val="none" w:sz="0" w:space="0" w:color="auto"/>
            <w:right w:val="none" w:sz="0" w:space="0" w:color="auto"/>
          </w:divBdr>
        </w:div>
        <w:div w:id="1347631357">
          <w:marLeft w:val="480"/>
          <w:marRight w:val="0"/>
          <w:marTop w:val="0"/>
          <w:marBottom w:val="0"/>
          <w:divBdr>
            <w:top w:val="none" w:sz="0" w:space="0" w:color="auto"/>
            <w:left w:val="none" w:sz="0" w:space="0" w:color="auto"/>
            <w:bottom w:val="none" w:sz="0" w:space="0" w:color="auto"/>
            <w:right w:val="none" w:sz="0" w:space="0" w:color="auto"/>
          </w:divBdr>
        </w:div>
        <w:div w:id="1251547549">
          <w:marLeft w:val="480"/>
          <w:marRight w:val="0"/>
          <w:marTop w:val="0"/>
          <w:marBottom w:val="0"/>
          <w:divBdr>
            <w:top w:val="none" w:sz="0" w:space="0" w:color="auto"/>
            <w:left w:val="none" w:sz="0" w:space="0" w:color="auto"/>
            <w:bottom w:val="none" w:sz="0" w:space="0" w:color="auto"/>
            <w:right w:val="none" w:sz="0" w:space="0" w:color="auto"/>
          </w:divBdr>
        </w:div>
        <w:div w:id="620502529">
          <w:marLeft w:val="480"/>
          <w:marRight w:val="0"/>
          <w:marTop w:val="0"/>
          <w:marBottom w:val="0"/>
          <w:divBdr>
            <w:top w:val="none" w:sz="0" w:space="0" w:color="auto"/>
            <w:left w:val="none" w:sz="0" w:space="0" w:color="auto"/>
            <w:bottom w:val="none" w:sz="0" w:space="0" w:color="auto"/>
            <w:right w:val="none" w:sz="0" w:space="0" w:color="auto"/>
          </w:divBdr>
        </w:div>
      </w:divsChild>
    </w:div>
    <w:div w:id="547954959">
      <w:bodyDiv w:val="1"/>
      <w:marLeft w:val="0"/>
      <w:marRight w:val="0"/>
      <w:marTop w:val="0"/>
      <w:marBottom w:val="0"/>
      <w:divBdr>
        <w:top w:val="none" w:sz="0" w:space="0" w:color="auto"/>
        <w:left w:val="none" w:sz="0" w:space="0" w:color="auto"/>
        <w:bottom w:val="none" w:sz="0" w:space="0" w:color="auto"/>
        <w:right w:val="none" w:sz="0" w:space="0" w:color="auto"/>
      </w:divBdr>
      <w:divsChild>
        <w:div w:id="327828353">
          <w:marLeft w:val="480"/>
          <w:marRight w:val="0"/>
          <w:marTop w:val="0"/>
          <w:marBottom w:val="0"/>
          <w:divBdr>
            <w:top w:val="none" w:sz="0" w:space="0" w:color="auto"/>
            <w:left w:val="none" w:sz="0" w:space="0" w:color="auto"/>
            <w:bottom w:val="none" w:sz="0" w:space="0" w:color="auto"/>
            <w:right w:val="none" w:sz="0" w:space="0" w:color="auto"/>
          </w:divBdr>
        </w:div>
        <w:div w:id="1333680439">
          <w:marLeft w:val="480"/>
          <w:marRight w:val="0"/>
          <w:marTop w:val="0"/>
          <w:marBottom w:val="0"/>
          <w:divBdr>
            <w:top w:val="none" w:sz="0" w:space="0" w:color="auto"/>
            <w:left w:val="none" w:sz="0" w:space="0" w:color="auto"/>
            <w:bottom w:val="none" w:sz="0" w:space="0" w:color="auto"/>
            <w:right w:val="none" w:sz="0" w:space="0" w:color="auto"/>
          </w:divBdr>
        </w:div>
        <w:div w:id="910580662">
          <w:marLeft w:val="480"/>
          <w:marRight w:val="0"/>
          <w:marTop w:val="0"/>
          <w:marBottom w:val="0"/>
          <w:divBdr>
            <w:top w:val="none" w:sz="0" w:space="0" w:color="auto"/>
            <w:left w:val="none" w:sz="0" w:space="0" w:color="auto"/>
            <w:bottom w:val="none" w:sz="0" w:space="0" w:color="auto"/>
            <w:right w:val="none" w:sz="0" w:space="0" w:color="auto"/>
          </w:divBdr>
        </w:div>
        <w:div w:id="112597307">
          <w:marLeft w:val="480"/>
          <w:marRight w:val="0"/>
          <w:marTop w:val="0"/>
          <w:marBottom w:val="0"/>
          <w:divBdr>
            <w:top w:val="none" w:sz="0" w:space="0" w:color="auto"/>
            <w:left w:val="none" w:sz="0" w:space="0" w:color="auto"/>
            <w:bottom w:val="none" w:sz="0" w:space="0" w:color="auto"/>
            <w:right w:val="none" w:sz="0" w:space="0" w:color="auto"/>
          </w:divBdr>
        </w:div>
        <w:div w:id="2074236963">
          <w:marLeft w:val="480"/>
          <w:marRight w:val="0"/>
          <w:marTop w:val="0"/>
          <w:marBottom w:val="0"/>
          <w:divBdr>
            <w:top w:val="none" w:sz="0" w:space="0" w:color="auto"/>
            <w:left w:val="none" w:sz="0" w:space="0" w:color="auto"/>
            <w:bottom w:val="none" w:sz="0" w:space="0" w:color="auto"/>
            <w:right w:val="none" w:sz="0" w:space="0" w:color="auto"/>
          </w:divBdr>
        </w:div>
        <w:div w:id="1421827887">
          <w:marLeft w:val="480"/>
          <w:marRight w:val="0"/>
          <w:marTop w:val="0"/>
          <w:marBottom w:val="0"/>
          <w:divBdr>
            <w:top w:val="none" w:sz="0" w:space="0" w:color="auto"/>
            <w:left w:val="none" w:sz="0" w:space="0" w:color="auto"/>
            <w:bottom w:val="none" w:sz="0" w:space="0" w:color="auto"/>
            <w:right w:val="none" w:sz="0" w:space="0" w:color="auto"/>
          </w:divBdr>
        </w:div>
        <w:div w:id="1143700045">
          <w:marLeft w:val="480"/>
          <w:marRight w:val="0"/>
          <w:marTop w:val="0"/>
          <w:marBottom w:val="0"/>
          <w:divBdr>
            <w:top w:val="none" w:sz="0" w:space="0" w:color="auto"/>
            <w:left w:val="none" w:sz="0" w:space="0" w:color="auto"/>
            <w:bottom w:val="none" w:sz="0" w:space="0" w:color="auto"/>
            <w:right w:val="none" w:sz="0" w:space="0" w:color="auto"/>
          </w:divBdr>
        </w:div>
        <w:div w:id="2128427489">
          <w:marLeft w:val="480"/>
          <w:marRight w:val="0"/>
          <w:marTop w:val="0"/>
          <w:marBottom w:val="0"/>
          <w:divBdr>
            <w:top w:val="none" w:sz="0" w:space="0" w:color="auto"/>
            <w:left w:val="none" w:sz="0" w:space="0" w:color="auto"/>
            <w:bottom w:val="none" w:sz="0" w:space="0" w:color="auto"/>
            <w:right w:val="none" w:sz="0" w:space="0" w:color="auto"/>
          </w:divBdr>
        </w:div>
        <w:div w:id="70590034">
          <w:marLeft w:val="480"/>
          <w:marRight w:val="0"/>
          <w:marTop w:val="0"/>
          <w:marBottom w:val="0"/>
          <w:divBdr>
            <w:top w:val="none" w:sz="0" w:space="0" w:color="auto"/>
            <w:left w:val="none" w:sz="0" w:space="0" w:color="auto"/>
            <w:bottom w:val="none" w:sz="0" w:space="0" w:color="auto"/>
            <w:right w:val="none" w:sz="0" w:space="0" w:color="auto"/>
          </w:divBdr>
        </w:div>
        <w:div w:id="1255699961">
          <w:marLeft w:val="480"/>
          <w:marRight w:val="0"/>
          <w:marTop w:val="0"/>
          <w:marBottom w:val="0"/>
          <w:divBdr>
            <w:top w:val="none" w:sz="0" w:space="0" w:color="auto"/>
            <w:left w:val="none" w:sz="0" w:space="0" w:color="auto"/>
            <w:bottom w:val="none" w:sz="0" w:space="0" w:color="auto"/>
            <w:right w:val="none" w:sz="0" w:space="0" w:color="auto"/>
          </w:divBdr>
        </w:div>
        <w:div w:id="2107848045">
          <w:marLeft w:val="480"/>
          <w:marRight w:val="0"/>
          <w:marTop w:val="0"/>
          <w:marBottom w:val="0"/>
          <w:divBdr>
            <w:top w:val="none" w:sz="0" w:space="0" w:color="auto"/>
            <w:left w:val="none" w:sz="0" w:space="0" w:color="auto"/>
            <w:bottom w:val="none" w:sz="0" w:space="0" w:color="auto"/>
            <w:right w:val="none" w:sz="0" w:space="0" w:color="auto"/>
          </w:divBdr>
        </w:div>
      </w:divsChild>
    </w:div>
    <w:div w:id="585312544">
      <w:bodyDiv w:val="1"/>
      <w:marLeft w:val="0"/>
      <w:marRight w:val="0"/>
      <w:marTop w:val="0"/>
      <w:marBottom w:val="0"/>
      <w:divBdr>
        <w:top w:val="none" w:sz="0" w:space="0" w:color="auto"/>
        <w:left w:val="none" w:sz="0" w:space="0" w:color="auto"/>
        <w:bottom w:val="none" w:sz="0" w:space="0" w:color="auto"/>
        <w:right w:val="none" w:sz="0" w:space="0" w:color="auto"/>
      </w:divBdr>
      <w:divsChild>
        <w:div w:id="1881094179">
          <w:marLeft w:val="480"/>
          <w:marRight w:val="0"/>
          <w:marTop w:val="0"/>
          <w:marBottom w:val="0"/>
          <w:divBdr>
            <w:top w:val="none" w:sz="0" w:space="0" w:color="auto"/>
            <w:left w:val="none" w:sz="0" w:space="0" w:color="auto"/>
            <w:bottom w:val="none" w:sz="0" w:space="0" w:color="auto"/>
            <w:right w:val="none" w:sz="0" w:space="0" w:color="auto"/>
          </w:divBdr>
        </w:div>
        <w:div w:id="988631245">
          <w:marLeft w:val="480"/>
          <w:marRight w:val="0"/>
          <w:marTop w:val="0"/>
          <w:marBottom w:val="0"/>
          <w:divBdr>
            <w:top w:val="none" w:sz="0" w:space="0" w:color="auto"/>
            <w:left w:val="none" w:sz="0" w:space="0" w:color="auto"/>
            <w:bottom w:val="none" w:sz="0" w:space="0" w:color="auto"/>
            <w:right w:val="none" w:sz="0" w:space="0" w:color="auto"/>
          </w:divBdr>
        </w:div>
        <w:div w:id="1495798674">
          <w:marLeft w:val="480"/>
          <w:marRight w:val="0"/>
          <w:marTop w:val="0"/>
          <w:marBottom w:val="0"/>
          <w:divBdr>
            <w:top w:val="none" w:sz="0" w:space="0" w:color="auto"/>
            <w:left w:val="none" w:sz="0" w:space="0" w:color="auto"/>
            <w:bottom w:val="none" w:sz="0" w:space="0" w:color="auto"/>
            <w:right w:val="none" w:sz="0" w:space="0" w:color="auto"/>
          </w:divBdr>
        </w:div>
        <w:div w:id="1334381622">
          <w:marLeft w:val="480"/>
          <w:marRight w:val="0"/>
          <w:marTop w:val="0"/>
          <w:marBottom w:val="0"/>
          <w:divBdr>
            <w:top w:val="none" w:sz="0" w:space="0" w:color="auto"/>
            <w:left w:val="none" w:sz="0" w:space="0" w:color="auto"/>
            <w:bottom w:val="none" w:sz="0" w:space="0" w:color="auto"/>
            <w:right w:val="none" w:sz="0" w:space="0" w:color="auto"/>
          </w:divBdr>
        </w:div>
        <w:div w:id="245000874">
          <w:marLeft w:val="480"/>
          <w:marRight w:val="0"/>
          <w:marTop w:val="0"/>
          <w:marBottom w:val="0"/>
          <w:divBdr>
            <w:top w:val="none" w:sz="0" w:space="0" w:color="auto"/>
            <w:left w:val="none" w:sz="0" w:space="0" w:color="auto"/>
            <w:bottom w:val="none" w:sz="0" w:space="0" w:color="auto"/>
            <w:right w:val="none" w:sz="0" w:space="0" w:color="auto"/>
          </w:divBdr>
        </w:div>
        <w:div w:id="710883734">
          <w:marLeft w:val="480"/>
          <w:marRight w:val="0"/>
          <w:marTop w:val="0"/>
          <w:marBottom w:val="0"/>
          <w:divBdr>
            <w:top w:val="none" w:sz="0" w:space="0" w:color="auto"/>
            <w:left w:val="none" w:sz="0" w:space="0" w:color="auto"/>
            <w:bottom w:val="none" w:sz="0" w:space="0" w:color="auto"/>
            <w:right w:val="none" w:sz="0" w:space="0" w:color="auto"/>
          </w:divBdr>
        </w:div>
        <w:div w:id="1499997902">
          <w:marLeft w:val="480"/>
          <w:marRight w:val="0"/>
          <w:marTop w:val="0"/>
          <w:marBottom w:val="0"/>
          <w:divBdr>
            <w:top w:val="none" w:sz="0" w:space="0" w:color="auto"/>
            <w:left w:val="none" w:sz="0" w:space="0" w:color="auto"/>
            <w:bottom w:val="none" w:sz="0" w:space="0" w:color="auto"/>
            <w:right w:val="none" w:sz="0" w:space="0" w:color="auto"/>
          </w:divBdr>
        </w:div>
        <w:div w:id="863206344">
          <w:marLeft w:val="480"/>
          <w:marRight w:val="0"/>
          <w:marTop w:val="0"/>
          <w:marBottom w:val="0"/>
          <w:divBdr>
            <w:top w:val="none" w:sz="0" w:space="0" w:color="auto"/>
            <w:left w:val="none" w:sz="0" w:space="0" w:color="auto"/>
            <w:bottom w:val="none" w:sz="0" w:space="0" w:color="auto"/>
            <w:right w:val="none" w:sz="0" w:space="0" w:color="auto"/>
          </w:divBdr>
        </w:div>
        <w:div w:id="1230270567">
          <w:marLeft w:val="480"/>
          <w:marRight w:val="0"/>
          <w:marTop w:val="0"/>
          <w:marBottom w:val="0"/>
          <w:divBdr>
            <w:top w:val="none" w:sz="0" w:space="0" w:color="auto"/>
            <w:left w:val="none" w:sz="0" w:space="0" w:color="auto"/>
            <w:bottom w:val="none" w:sz="0" w:space="0" w:color="auto"/>
            <w:right w:val="none" w:sz="0" w:space="0" w:color="auto"/>
          </w:divBdr>
        </w:div>
        <w:div w:id="1430735076">
          <w:marLeft w:val="480"/>
          <w:marRight w:val="0"/>
          <w:marTop w:val="0"/>
          <w:marBottom w:val="0"/>
          <w:divBdr>
            <w:top w:val="none" w:sz="0" w:space="0" w:color="auto"/>
            <w:left w:val="none" w:sz="0" w:space="0" w:color="auto"/>
            <w:bottom w:val="none" w:sz="0" w:space="0" w:color="auto"/>
            <w:right w:val="none" w:sz="0" w:space="0" w:color="auto"/>
          </w:divBdr>
        </w:div>
        <w:div w:id="1608730686">
          <w:marLeft w:val="480"/>
          <w:marRight w:val="0"/>
          <w:marTop w:val="0"/>
          <w:marBottom w:val="0"/>
          <w:divBdr>
            <w:top w:val="none" w:sz="0" w:space="0" w:color="auto"/>
            <w:left w:val="none" w:sz="0" w:space="0" w:color="auto"/>
            <w:bottom w:val="none" w:sz="0" w:space="0" w:color="auto"/>
            <w:right w:val="none" w:sz="0" w:space="0" w:color="auto"/>
          </w:divBdr>
        </w:div>
      </w:divsChild>
    </w:div>
    <w:div w:id="621814118">
      <w:bodyDiv w:val="1"/>
      <w:marLeft w:val="0"/>
      <w:marRight w:val="0"/>
      <w:marTop w:val="0"/>
      <w:marBottom w:val="0"/>
      <w:divBdr>
        <w:top w:val="none" w:sz="0" w:space="0" w:color="auto"/>
        <w:left w:val="none" w:sz="0" w:space="0" w:color="auto"/>
        <w:bottom w:val="none" w:sz="0" w:space="0" w:color="auto"/>
        <w:right w:val="none" w:sz="0" w:space="0" w:color="auto"/>
      </w:divBdr>
      <w:divsChild>
        <w:div w:id="1975482172">
          <w:marLeft w:val="480"/>
          <w:marRight w:val="0"/>
          <w:marTop w:val="0"/>
          <w:marBottom w:val="0"/>
          <w:divBdr>
            <w:top w:val="none" w:sz="0" w:space="0" w:color="auto"/>
            <w:left w:val="none" w:sz="0" w:space="0" w:color="auto"/>
            <w:bottom w:val="none" w:sz="0" w:space="0" w:color="auto"/>
            <w:right w:val="none" w:sz="0" w:space="0" w:color="auto"/>
          </w:divBdr>
        </w:div>
        <w:div w:id="1991865774">
          <w:marLeft w:val="480"/>
          <w:marRight w:val="0"/>
          <w:marTop w:val="0"/>
          <w:marBottom w:val="0"/>
          <w:divBdr>
            <w:top w:val="none" w:sz="0" w:space="0" w:color="auto"/>
            <w:left w:val="none" w:sz="0" w:space="0" w:color="auto"/>
            <w:bottom w:val="none" w:sz="0" w:space="0" w:color="auto"/>
            <w:right w:val="none" w:sz="0" w:space="0" w:color="auto"/>
          </w:divBdr>
        </w:div>
        <w:div w:id="1207063332">
          <w:marLeft w:val="480"/>
          <w:marRight w:val="0"/>
          <w:marTop w:val="0"/>
          <w:marBottom w:val="0"/>
          <w:divBdr>
            <w:top w:val="none" w:sz="0" w:space="0" w:color="auto"/>
            <w:left w:val="none" w:sz="0" w:space="0" w:color="auto"/>
            <w:bottom w:val="none" w:sz="0" w:space="0" w:color="auto"/>
            <w:right w:val="none" w:sz="0" w:space="0" w:color="auto"/>
          </w:divBdr>
        </w:div>
      </w:divsChild>
    </w:div>
    <w:div w:id="632977841">
      <w:bodyDiv w:val="1"/>
      <w:marLeft w:val="0"/>
      <w:marRight w:val="0"/>
      <w:marTop w:val="0"/>
      <w:marBottom w:val="0"/>
      <w:divBdr>
        <w:top w:val="none" w:sz="0" w:space="0" w:color="auto"/>
        <w:left w:val="none" w:sz="0" w:space="0" w:color="auto"/>
        <w:bottom w:val="none" w:sz="0" w:space="0" w:color="auto"/>
        <w:right w:val="none" w:sz="0" w:space="0" w:color="auto"/>
      </w:divBdr>
    </w:div>
    <w:div w:id="674261063">
      <w:bodyDiv w:val="1"/>
      <w:marLeft w:val="0"/>
      <w:marRight w:val="0"/>
      <w:marTop w:val="0"/>
      <w:marBottom w:val="0"/>
      <w:divBdr>
        <w:top w:val="none" w:sz="0" w:space="0" w:color="auto"/>
        <w:left w:val="none" w:sz="0" w:space="0" w:color="auto"/>
        <w:bottom w:val="none" w:sz="0" w:space="0" w:color="auto"/>
        <w:right w:val="none" w:sz="0" w:space="0" w:color="auto"/>
      </w:divBdr>
      <w:divsChild>
        <w:div w:id="808740378">
          <w:marLeft w:val="480"/>
          <w:marRight w:val="0"/>
          <w:marTop w:val="0"/>
          <w:marBottom w:val="0"/>
          <w:divBdr>
            <w:top w:val="none" w:sz="0" w:space="0" w:color="auto"/>
            <w:left w:val="none" w:sz="0" w:space="0" w:color="auto"/>
            <w:bottom w:val="none" w:sz="0" w:space="0" w:color="auto"/>
            <w:right w:val="none" w:sz="0" w:space="0" w:color="auto"/>
          </w:divBdr>
        </w:div>
        <w:div w:id="650864163">
          <w:marLeft w:val="480"/>
          <w:marRight w:val="0"/>
          <w:marTop w:val="0"/>
          <w:marBottom w:val="0"/>
          <w:divBdr>
            <w:top w:val="none" w:sz="0" w:space="0" w:color="auto"/>
            <w:left w:val="none" w:sz="0" w:space="0" w:color="auto"/>
            <w:bottom w:val="none" w:sz="0" w:space="0" w:color="auto"/>
            <w:right w:val="none" w:sz="0" w:space="0" w:color="auto"/>
          </w:divBdr>
        </w:div>
        <w:div w:id="6450841">
          <w:marLeft w:val="480"/>
          <w:marRight w:val="0"/>
          <w:marTop w:val="0"/>
          <w:marBottom w:val="0"/>
          <w:divBdr>
            <w:top w:val="none" w:sz="0" w:space="0" w:color="auto"/>
            <w:left w:val="none" w:sz="0" w:space="0" w:color="auto"/>
            <w:bottom w:val="none" w:sz="0" w:space="0" w:color="auto"/>
            <w:right w:val="none" w:sz="0" w:space="0" w:color="auto"/>
          </w:divBdr>
        </w:div>
        <w:div w:id="2139376781">
          <w:marLeft w:val="480"/>
          <w:marRight w:val="0"/>
          <w:marTop w:val="0"/>
          <w:marBottom w:val="0"/>
          <w:divBdr>
            <w:top w:val="none" w:sz="0" w:space="0" w:color="auto"/>
            <w:left w:val="none" w:sz="0" w:space="0" w:color="auto"/>
            <w:bottom w:val="none" w:sz="0" w:space="0" w:color="auto"/>
            <w:right w:val="none" w:sz="0" w:space="0" w:color="auto"/>
          </w:divBdr>
        </w:div>
        <w:div w:id="1751535385">
          <w:marLeft w:val="480"/>
          <w:marRight w:val="0"/>
          <w:marTop w:val="0"/>
          <w:marBottom w:val="0"/>
          <w:divBdr>
            <w:top w:val="none" w:sz="0" w:space="0" w:color="auto"/>
            <w:left w:val="none" w:sz="0" w:space="0" w:color="auto"/>
            <w:bottom w:val="none" w:sz="0" w:space="0" w:color="auto"/>
            <w:right w:val="none" w:sz="0" w:space="0" w:color="auto"/>
          </w:divBdr>
        </w:div>
        <w:div w:id="303895193">
          <w:marLeft w:val="480"/>
          <w:marRight w:val="0"/>
          <w:marTop w:val="0"/>
          <w:marBottom w:val="0"/>
          <w:divBdr>
            <w:top w:val="none" w:sz="0" w:space="0" w:color="auto"/>
            <w:left w:val="none" w:sz="0" w:space="0" w:color="auto"/>
            <w:bottom w:val="none" w:sz="0" w:space="0" w:color="auto"/>
            <w:right w:val="none" w:sz="0" w:space="0" w:color="auto"/>
          </w:divBdr>
        </w:div>
        <w:div w:id="166866317">
          <w:marLeft w:val="480"/>
          <w:marRight w:val="0"/>
          <w:marTop w:val="0"/>
          <w:marBottom w:val="0"/>
          <w:divBdr>
            <w:top w:val="none" w:sz="0" w:space="0" w:color="auto"/>
            <w:left w:val="none" w:sz="0" w:space="0" w:color="auto"/>
            <w:bottom w:val="none" w:sz="0" w:space="0" w:color="auto"/>
            <w:right w:val="none" w:sz="0" w:space="0" w:color="auto"/>
          </w:divBdr>
        </w:div>
        <w:div w:id="546839211">
          <w:marLeft w:val="480"/>
          <w:marRight w:val="0"/>
          <w:marTop w:val="0"/>
          <w:marBottom w:val="0"/>
          <w:divBdr>
            <w:top w:val="none" w:sz="0" w:space="0" w:color="auto"/>
            <w:left w:val="none" w:sz="0" w:space="0" w:color="auto"/>
            <w:bottom w:val="none" w:sz="0" w:space="0" w:color="auto"/>
            <w:right w:val="none" w:sz="0" w:space="0" w:color="auto"/>
          </w:divBdr>
        </w:div>
        <w:div w:id="648873073">
          <w:marLeft w:val="480"/>
          <w:marRight w:val="0"/>
          <w:marTop w:val="0"/>
          <w:marBottom w:val="0"/>
          <w:divBdr>
            <w:top w:val="none" w:sz="0" w:space="0" w:color="auto"/>
            <w:left w:val="none" w:sz="0" w:space="0" w:color="auto"/>
            <w:bottom w:val="none" w:sz="0" w:space="0" w:color="auto"/>
            <w:right w:val="none" w:sz="0" w:space="0" w:color="auto"/>
          </w:divBdr>
        </w:div>
        <w:div w:id="2018458175">
          <w:marLeft w:val="480"/>
          <w:marRight w:val="0"/>
          <w:marTop w:val="0"/>
          <w:marBottom w:val="0"/>
          <w:divBdr>
            <w:top w:val="none" w:sz="0" w:space="0" w:color="auto"/>
            <w:left w:val="none" w:sz="0" w:space="0" w:color="auto"/>
            <w:bottom w:val="none" w:sz="0" w:space="0" w:color="auto"/>
            <w:right w:val="none" w:sz="0" w:space="0" w:color="auto"/>
          </w:divBdr>
        </w:div>
        <w:div w:id="394166258">
          <w:marLeft w:val="480"/>
          <w:marRight w:val="0"/>
          <w:marTop w:val="0"/>
          <w:marBottom w:val="0"/>
          <w:divBdr>
            <w:top w:val="none" w:sz="0" w:space="0" w:color="auto"/>
            <w:left w:val="none" w:sz="0" w:space="0" w:color="auto"/>
            <w:bottom w:val="none" w:sz="0" w:space="0" w:color="auto"/>
            <w:right w:val="none" w:sz="0" w:space="0" w:color="auto"/>
          </w:divBdr>
        </w:div>
        <w:div w:id="161703914">
          <w:marLeft w:val="480"/>
          <w:marRight w:val="0"/>
          <w:marTop w:val="0"/>
          <w:marBottom w:val="0"/>
          <w:divBdr>
            <w:top w:val="none" w:sz="0" w:space="0" w:color="auto"/>
            <w:left w:val="none" w:sz="0" w:space="0" w:color="auto"/>
            <w:bottom w:val="none" w:sz="0" w:space="0" w:color="auto"/>
            <w:right w:val="none" w:sz="0" w:space="0" w:color="auto"/>
          </w:divBdr>
        </w:div>
        <w:div w:id="907693447">
          <w:marLeft w:val="480"/>
          <w:marRight w:val="0"/>
          <w:marTop w:val="0"/>
          <w:marBottom w:val="0"/>
          <w:divBdr>
            <w:top w:val="none" w:sz="0" w:space="0" w:color="auto"/>
            <w:left w:val="none" w:sz="0" w:space="0" w:color="auto"/>
            <w:bottom w:val="none" w:sz="0" w:space="0" w:color="auto"/>
            <w:right w:val="none" w:sz="0" w:space="0" w:color="auto"/>
          </w:divBdr>
        </w:div>
        <w:div w:id="1576014668">
          <w:marLeft w:val="480"/>
          <w:marRight w:val="0"/>
          <w:marTop w:val="0"/>
          <w:marBottom w:val="0"/>
          <w:divBdr>
            <w:top w:val="none" w:sz="0" w:space="0" w:color="auto"/>
            <w:left w:val="none" w:sz="0" w:space="0" w:color="auto"/>
            <w:bottom w:val="none" w:sz="0" w:space="0" w:color="auto"/>
            <w:right w:val="none" w:sz="0" w:space="0" w:color="auto"/>
          </w:divBdr>
        </w:div>
        <w:div w:id="1341006338">
          <w:marLeft w:val="480"/>
          <w:marRight w:val="0"/>
          <w:marTop w:val="0"/>
          <w:marBottom w:val="0"/>
          <w:divBdr>
            <w:top w:val="none" w:sz="0" w:space="0" w:color="auto"/>
            <w:left w:val="none" w:sz="0" w:space="0" w:color="auto"/>
            <w:bottom w:val="none" w:sz="0" w:space="0" w:color="auto"/>
            <w:right w:val="none" w:sz="0" w:space="0" w:color="auto"/>
          </w:divBdr>
        </w:div>
      </w:divsChild>
    </w:div>
    <w:div w:id="709959686">
      <w:bodyDiv w:val="1"/>
      <w:marLeft w:val="0"/>
      <w:marRight w:val="0"/>
      <w:marTop w:val="0"/>
      <w:marBottom w:val="0"/>
      <w:divBdr>
        <w:top w:val="none" w:sz="0" w:space="0" w:color="auto"/>
        <w:left w:val="none" w:sz="0" w:space="0" w:color="auto"/>
        <w:bottom w:val="none" w:sz="0" w:space="0" w:color="auto"/>
        <w:right w:val="none" w:sz="0" w:space="0" w:color="auto"/>
      </w:divBdr>
      <w:divsChild>
        <w:div w:id="331027473">
          <w:marLeft w:val="480"/>
          <w:marRight w:val="0"/>
          <w:marTop w:val="0"/>
          <w:marBottom w:val="0"/>
          <w:divBdr>
            <w:top w:val="none" w:sz="0" w:space="0" w:color="auto"/>
            <w:left w:val="none" w:sz="0" w:space="0" w:color="auto"/>
            <w:bottom w:val="none" w:sz="0" w:space="0" w:color="auto"/>
            <w:right w:val="none" w:sz="0" w:space="0" w:color="auto"/>
          </w:divBdr>
        </w:div>
        <w:div w:id="1370490132">
          <w:marLeft w:val="480"/>
          <w:marRight w:val="0"/>
          <w:marTop w:val="0"/>
          <w:marBottom w:val="0"/>
          <w:divBdr>
            <w:top w:val="none" w:sz="0" w:space="0" w:color="auto"/>
            <w:left w:val="none" w:sz="0" w:space="0" w:color="auto"/>
            <w:bottom w:val="none" w:sz="0" w:space="0" w:color="auto"/>
            <w:right w:val="none" w:sz="0" w:space="0" w:color="auto"/>
          </w:divBdr>
        </w:div>
        <w:div w:id="1791704696">
          <w:marLeft w:val="480"/>
          <w:marRight w:val="0"/>
          <w:marTop w:val="0"/>
          <w:marBottom w:val="0"/>
          <w:divBdr>
            <w:top w:val="none" w:sz="0" w:space="0" w:color="auto"/>
            <w:left w:val="none" w:sz="0" w:space="0" w:color="auto"/>
            <w:bottom w:val="none" w:sz="0" w:space="0" w:color="auto"/>
            <w:right w:val="none" w:sz="0" w:space="0" w:color="auto"/>
          </w:divBdr>
        </w:div>
      </w:divsChild>
    </w:div>
    <w:div w:id="77660579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21847">
      <w:bodyDiv w:val="1"/>
      <w:marLeft w:val="0"/>
      <w:marRight w:val="0"/>
      <w:marTop w:val="0"/>
      <w:marBottom w:val="0"/>
      <w:divBdr>
        <w:top w:val="none" w:sz="0" w:space="0" w:color="auto"/>
        <w:left w:val="none" w:sz="0" w:space="0" w:color="auto"/>
        <w:bottom w:val="none" w:sz="0" w:space="0" w:color="auto"/>
        <w:right w:val="none" w:sz="0" w:space="0" w:color="auto"/>
      </w:divBdr>
      <w:divsChild>
        <w:div w:id="1002975915">
          <w:marLeft w:val="480"/>
          <w:marRight w:val="0"/>
          <w:marTop w:val="0"/>
          <w:marBottom w:val="0"/>
          <w:divBdr>
            <w:top w:val="none" w:sz="0" w:space="0" w:color="auto"/>
            <w:left w:val="none" w:sz="0" w:space="0" w:color="auto"/>
            <w:bottom w:val="none" w:sz="0" w:space="0" w:color="auto"/>
            <w:right w:val="none" w:sz="0" w:space="0" w:color="auto"/>
          </w:divBdr>
        </w:div>
        <w:div w:id="1507553447">
          <w:marLeft w:val="480"/>
          <w:marRight w:val="0"/>
          <w:marTop w:val="0"/>
          <w:marBottom w:val="0"/>
          <w:divBdr>
            <w:top w:val="none" w:sz="0" w:space="0" w:color="auto"/>
            <w:left w:val="none" w:sz="0" w:space="0" w:color="auto"/>
            <w:bottom w:val="none" w:sz="0" w:space="0" w:color="auto"/>
            <w:right w:val="none" w:sz="0" w:space="0" w:color="auto"/>
          </w:divBdr>
        </w:div>
        <w:div w:id="1824538059">
          <w:marLeft w:val="480"/>
          <w:marRight w:val="0"/>
          <w:marTop w:val="0"/>
          <w:marBottom w:val="0"/>
          <w:divBdr>
            <w:top w:val="none" w:sz="0" w:space="0" w:color="auto"/>
            <w:left w:val="none" w:sz="0" w:space="0" w:color="auto"/>
            <w:bottom w:val="none" w:sz="0" w:space="0" w:color="auto"/>
            <w:right w:val="none" w:sz="0" w:space="0" w:color="auto"/>
          </w:divBdr>
        </w:div>
      </w:divsChild>
    </w:div>
    <w:div w:id="797838038">
      <w:bodyDiv w:val="1"/>
      <w:marLeft w:val="0"/>
      <w:marRight w:val="0"/>
      <w:marTop w:val="0"/>
      <w:marBottom w:val="0"/>
      <w:divBdr>
        <w:top w:val="none" w:sz="0" w:space="0" w:color="auto"/>
        <w:left w:val="none" w:sz="0" w:space="0" w:color="auto"/>
        <w:bottom w:val="none" w:sz="0" w:space="0" w:color="auto"/>
        <w:right w:val="none" w:sz="0" w:space="0" w:color="auto"/>
      </w:divBdr>
    </w:div>
    <w:div w:id="805315549">
      <w:bodyDiv w:val="1"/>
      <w:marLeft w:val="0"/>
      <w:marRight w:val="0"/>
      <w:marTop w:val="0"/>
      <w:marBottom w:val="0"/>
      <w:divBdr>
        <w:top w:val="none" w:sz="0" w:space="0" w:color="auto"/>
        <w:left w:val="none" w:sz="0" w:space="0" w:color="auto"/>
        <w:bottom w:val="none" w:sz="0" w:space="0" w:color="auto"/>
        <w:right w:val="none" w:sz="0" w:space="0" w:color="auto"/>
      </w:divBdr>
      <w:divsChild>
        <w:div w:id="1729649201">
          <w:marLeft w:val="480"/>
          <w:marRight w:val="0"/>
          <w:marTop w:val="0"/>
          <w:marBottom w:val="0"/>
          <w:divBdr>
            <w:top w:val="none" w:sz="0" w:space="0" w:color="auto"/>
            <w:left w:val="none" w:sz="0" w:space="0" w:color="auto"/>
            <w:bottom w:val="none" w:sz="0" w:space="0" w:color="auto"/>
            <w:right w:val="none" w:sz="0" w:space="0" w:color="auto"/>
          </w:divBdr>
        </w:div>
        <w:div w:id="823396303">
          <w:marLeft w:val="480"/>
          <w:marRight w:val="0"/>
          <w:marTop w:val="0"/>
          <w:marBottom w:val="0"/>
          <w:divBdr>
            <w:top w:val="none" w:sz="0" w:space="0" w:color="auto"/>
            <w:left w:val="none" w:sz="0" w:space="0" w:color="auto"/>
            <w:bottom w:val="none" w:sz="0" w:space="0" w:color="auto"/>
            <w:right w:val="none" w:sz="0" w:space="0" w:color="auto"/>
          </w:divBdr>
        </w:div>
        <w:div w:id="426778002">
          <w:marLeft w:val="480"/>
          <w:marRight w:val="0"/>
          <w:marTop w:val="0"/>
          <w:marBottom w:val="0"/>
          <w:divBdr>
            <w:top w:val="none" w:sz="0" w:space="0" w:color="auto"/>
            <w:left w:val="none" w:sz="0" w:space="0" w:color="auto"/>
            <w:bottom w:val="none" w:sz="0" w:space="0" w:color="auto"/>
            <w:right w:val="none" w:sz="0" w:space="0" w:color="auto"/>
          </w:divBdr>
        </w:div>
        <w:div w:id="81800545">
          <w:marLeft w:val="480"/>
          <w:marRight w:val="0"/>
          <w:marTop w:val="0"/>
          <w:marBottom w:val="0"/>
          <w:divBdr>
            <w:top w:val="none" w:sz="0" w:space="0" w:color="auto"/>
            <w:left w:val="none" w:sz="0" w:space="0" w:color="auto"/>
            <w:bottom w:val="none" w:sz="0" w:space="0" w:color="auto"/>
            <w:right w:val="none" w:sz="0" w:space="0" w:color="auto"/>
          </w:divBdr>
        </w:div>
        <w:div w:id="89549597">
          <w:marLeft w:val="480"/>
          <w:marRight w:val="0"/>
          <w:marTop w:val="0"/>
          <w:marBottom w:val="0"/>
          <w:divBdr>
            <w:top w:val="none" w:sz="0" w:space="0" w:color="auto"/>
            <w:left w:val="none" w:sz="0" w:space="0" w:color="auto"/>
            <w:bottom w:val="none" w:sz="0" w:space="0" w:color="auto"/>
            <w:right w:val="none" w:sz="0" w:space="0" w:color="auto"/>
          </w:divBdr>
        </w:div>
        <w:div w:id="1907299199">
          <w:marLeft w:val="480"/>
          <w:marRight w:val="0"/>
          <w:marTop w:val="0"/>
          <w:marBottom w:val="0"/>
          <w:divBdr>
            <w:top w:val="none" w:sz="0" w:space="0" w:color="auto"/>
            <w:left w:val="none" w:sz="0" w:space="0" w:color="auto"/>
            <w:bottom w:val="none" w:sz="0" w:space="0" w:color="auto"/>
            <w:right w:val="none" w:sz="0" w:space="0" w:color="auto"/>
          </w:divBdr>
        </w:div>
        <w:div w:id="1977753677">
          <w:marLeft w:val="480"/>
          <w:marRight w:val="0"/>
          <w:marTop w:val="0"/>
          <w:marBottom w:val="0"/>
          <w:divBdr>
            <w:top w:val="none" w:sz="0" w:space="0" w:color="auto"/>
            <w:left w:val="none" w:sz="0" w:space="0" w:color="auto"/>
            <w:bottom w:val="none" w:sz="0" w:space="0" w:color="auto"/>
            <w:right w:val="none" w:sz="0" w:space="0" w:color="auto"/>
          </w:divBdr>
        </w:div>
        <w:div w:id="752704478">
          <w:marLeft w:val="480"/>
          <w:marRight w:val="0"/>
          <w:marTop w:val="0"/>
          <w:marBottom w:val="0"/>
          <w:divBdr>
            <w:top w:val="none" w:sz="0" w:space="0" w:color="auto"/>
            <w:left w:val="none" w:sz="0" w:space="0" w:color="auto"/>
            <w:bottom w:val="none" w:sz="0" w:space="0" w:color="auto"/>
            <w:right w:val="none" w:sz="0" w:space="0" w:color="auto"/>
          </w:divBdr>
        </w:div>
        <w:div w:id="134684209">
          <w:marLeft w:val="480"/>
          <w:marRight w:val="0"/>
          <w:marTop w:val="0"/>
          <w:marBottom w:val="0"/>
          <w:divBdr>
            <w:top w:val="none" w:sz="0" w:space="0" w:color="auto"/>
            <w:left w:val="none" w:sz="0" w:space="0" w:color="auto"/>
            <w:bottom w:val="none" w:sz="0" w:space="0" w:color="auto"/>
            <w:right w:val="none" w:sz="0" w:space="0" w:color="auto"/>
          </w:divBdr>
        </w:div>
        <w:div w:id="1395733664">
          <w:marLeft w:val="480"/>
          <w:marRight w:val="0"/>
          <w:marTop w:val="0"/>
          <w:marBottom w:val="0"/>
          <w:divBdr>
            <w:top w:val="none" w:sz="0" w:space="0" w:color="auto"/>
            <w:left w:val="none" w:sz="0" w:space="0" w:color="auto"/>
            <w:bottom w:val="none" w:sz="0" w:space="0" w:color="auto"/>
            <w:right w:val="none" w:sz="0" w:space="0" w:color="auto"/>
          </w:divBdr>
        </w:div>
        <w:div w:id="127167365">
          <w:marLeft w:val="480"/>
          <w:marRight w:val="0"/>
          <w:marTop w:val="0"/>
          <w:marBottom w:val="0"/>
          <w:divBdr>
            <w:top w:val="none" w:sz="0" w:space="0" w:color="auto"/>
            <w:left w:val="none" w:sz="0" w:space="0" w:color="auto"/>
            <w:bottom w:val="none" w:sz="0" w:space="0" w:color="auto"/>
            <w:right w:val="none" w:sz="0" w:space="0" w:color="auto"/>
          </w:divBdr>
        </w:div>
        <w:div w:id="2105956813">
          <w:marLeft w:val="480"/>
          <w:marRight w:val="0"/>
          <w:marTop w:val="0"/>
          <w:marBottom w:val="0"/>
          <w:divBdr>
            <w:top w:val="none" w:sz="0" w:space="0" w:color="auto"/>
            <w:left w:val="none" w:sz="0" w:space="0" w:color="auto"/>
            <w:bottom w:val="none" w:sz="0" w:space="0" w:color="auto"/>
            <w:right w:val="none" w:sz="0" w:space="0" w:color="auto"/>
          </w:divBdr>
        </w:div>
      </w:divsChild>
    </w:div>
    <w:div w:id="813327765">
      <w:bodyDiv w:val="1"/>
      <w:marLeft w:val="0"/>
      <w:marRight w:val="0"/>
      <w:marTop w:val="0"/>
      <w:marBottom w:val="0"/>
      <w:divBdr>
        <w:top w:val="none" w:sz="0" w:space="0" w:color="auto"/>
        <w:left w:val="none" w:sz="0" w:space="0" w:color="auto"/>
        <w:bottom w:val="none" w:sz="0" w:space="0" w:color="auto"/>
        <w:right w:val="none" w:sz="0" w:space="0" w:color="auto"/>
      </w:divBdr>
      <w:divsChild>
        <w:div w:id="1918779208">
          <w:marLeft w:val="480"/>
          <w:marRight w:val="0"/>
          <w:marTop w:val="0"/>
          <w:marBottom w:val="0"/>
          <w:divBdr>
            <w:top w:val="none" w:sz="0" w:space="0" w:color="auto"/>
            <w:left w:val="none" w:sz="0" w:space="0" w:color="auto"/>
            <w:bottom w:val="none" w:sz="0" w:space="0" w:color="auto"/>
            <w:right w:val="none" w:sz="0" w:space="0" w:color="auto"/>
          </w:divBdr>
        </w:div>
        <w:div w:id="1053386529">
          <w:marLeft w:val="480"/>
          <w:marRight w:val="0"/>
          <w:marTop w:val="0"/>
          <w:marBottom w:val="0"/>
          <w:divBdr>
            <w:top w:val="none" w:sz="0" w:space="0" w:color="auto"/>
            <w:left w:val="none" w:sz="0" w:space="0" w:color="auto"/>
            <w:bottom w:val="none" w:sz="0" w:space="0" w:color="auto"/>
            <w:right w:val="none" w:sz="0" w:space="0" w:color="auto"/>
          </w:divBdr>
        </w:div>
        <w:div w:id="160049646">
          <w:marLeft w:val="480"/>
          <w:marRight w:val="0"/>
          <w:marTop w:val="0"/>
          <w:marBottom w:val="0"/>
          <w:divBdr>
            <w:top w:val="none" w:sz="0" w:space="0" w:color="auto"/>
            <w:left w:val="none" w:sz="0" w:space="0" w:color="auto"/>
            <w:bottom w:val="none" w:sz="0" w:space="0" w:color="auto"/>
            <w:right w:val="none" w:sz="0" w:space="0" w:color="auto"/>
          </w:divBdr>
        </w:div>
      </w:divsChild>
    </w:div>
    <w:div w:id="822084568">
      <w:bodyDiv w:val="1"/>
      <w:marLeft w:val="0"/>
      <w:marRight w:val="0"/>
      <w:marTop w:val="0"/>
      <w:marBottom w:val="0"/>
      <w:divBdr>
        <w:top w:val="none" w:sz="0" w:space="0" w:color="auto"/>
        <w:left w:val="none" w:sz="0" w:space="0" w:color="auto"/>
        <w:bottom w:val="none" w:sz="0" w:space="0" w:color="auto"/>
        <w:right w:val="none" w:sz="0" w:space="0" w:color="auto"/>
      </w:divBdr>
      <w:divsChild>
        <w:div w:id="1678456981">
          <w:marLeft w:val="480"/>
          <w:marRight w:val="0"/>
          <w:marTop w:val="0"/>
          <w:marBottom w:val="0"/>
          <w:divBdr>
            <w:top w:val="none" w:sz="0" w:space="0" w:color="auto"/>
            <w:left w:val="none" w:sz="0" w:space="0" w:color="auto"/>
            <w:bottom w:val="none" w:sz="0" w:space="0" w:color="auto"/>
            <w:right w:val="none" w:sz="0" w:space="0" w:color="auto"/>
          </w:divBdr>
        </w:div>
        <w:div w:id="1075129820">
          <w:marLeft w:val="480"/>
          <w:marRight w:val="0"/>
          <w:marTop w:val="0"/>
          <w:marBottom w:val="0"/>
          <w:divBdr>
            <w:top w:val="none" w:sz="0" w:space="0" w:color="auto"/>
            <w:left w:val="none" w:sz="0" w:space="0" w:color="auto"/>
            <w:bottom w:val="none" w:sz="0" w:space="0" w:color="auto"/>
            <w:right w:val="none" w:sz="0" w:space="0" w:color="auto"/>
          </w:divBdr>
        </w:div>
        <w:div w:id="1466312562">
          <w:marLeft w:val="480"/>
          <w:marRight w:val="0"/>
          <w:marTop w:val="0"/>
          <w:marBottom w:val="0"/>
          <w:divBdr>
            <w:top w:val="none" w:sz="0" w:space="0" w:color="auto"/>
            <w:left w:val="none" w:sz="0" w:space="0" w:color="auto"/>
            <w:bottom w:val="none" w:sz="0" w:space="0" w:color="auto"/>
            <w:right w:val="none" w:sz="0" w:space="0" w:color="auto"/>
          </w:divBdr>
        </w:div>
        <w:div w:id="1608657312">
          <w:marLeft w:val="480"/>
          <w:marRight w:val="0"/>
          <w:marTop w:val="0"/>
          <w:marBottom w:val="0"/>
          <w:divBdr>
            <w:top w:val="none" w:sz="0" w:space="0" w:color="auto"/>
            <w:left w:val="none" w:sz="0" w:space="0" w:color="auto"/>
            <w:bottom w:val="none" w:sz="0" w:space="0" w:color="auto"/>
            <w:right w:val="none" w:sz="0" w:space="0" w:color="auto"/>
          </w:divBdr>
        </w:div>
        <w:div w:id="1867138264">
          <w:marLeft w:val="480"/>
          <w:marRight w:val="0"/>
          <w:marTop w:val="0"/>
          <w:marBottom w:val="0"/>
          <w:divBdr>
            <w:top w:val="none" w:sz="0" w:space="0" w:color="auto"/>
            <w:left w:val="none" w:sz="0" w:space="0" w:color="auto"/>
            <w:bottom w:val="none" w:sz="0" w:space="0" w:color="auto"/>
            <w:right w:val="none" w:sz="0" w:space="0" w:color="auto"/>
          </w:divBdr>
        </w:div>
        <w:div w:id="819273692">
          <w:marLeft w:val="480"/>
          <w:marRight w:val="0"/>
          <w:marTop w:val="0"/>
          <w:marBottom w:val="0"/>
          <w:divBdr>
            <w:top w:val="none" w:sz="0" w:space="0" w:color="auto"/>
            <w:left w:val="none" w:sz="0" w:space="0" w:color="auto"/>
            <w:bottom w:val="none" w:sz="0" w:space="0" w:color="auto"/>
            <w:right w:val="none" w:sz="0" w:space="0" w:color="auto"/>
          </w:divBdr>
        </w:div>
        <w:div w:id="1188064939">
          <w:marLeft w:val="480"/>
          <w:marRight w:val="0"/>
          <w:marTop w:val="0"/>
          <w:marBottom w:val="0"/>
          <w:divBdr>
            <w:top w:val="none" w:sz="0" w:space="0" w:color="auto"/>
            <w:left w:val="none" w:sz="0" w:space="0" w:color="auto"/>
            <w:bottom w:val="none" w:sz="0" w:space="0" w:color="auto"/>
            <w:right w:val="none" w:sz="0" w:space="0" w:color="auto"/>
          </w:divBdr>
        </w:div>
        <w:div w:id="1364673396">
          <w:marLeft w:val="480"/>
          <w:marRight w:val="0"/>
          <w:marTop w:val="0"/>
          <w:marBottom w:val="0"/>
          <w:divBdr>
            <w:top w:val="none" w:sz="0" w:space="0" w:color="auto"/>
            <w:left w:val="none" w:sz="0" w:space="0" w:color="auto"/>
            <w:bottom w:val="none" w:sz="0" w:space="0" w:color="auto"/>
            <w:right w:val="none" w:sz="0" w:space="0" w:color="auto"/>
          </w:divBdr>
        </w:div>
        <w:div w:id="1284581894">
          <w:marLeft w:val="480"/>
          <w:marRight w:val="0"/>
          <w:marTop w:val="0"/>
          <w:marBottom w:val="0"/>
          <w:divBdr>
            <w:top w:val="none" w:sz="0" w:space="0" w:color="auto"/>
            <w:left w:val="none" w:sz="0" w:space="0" w:color="auto"/>
            <w:bottom w:val="none" w:sz="0" w:space="0" w:color="auto"/>
            <w:right w:val="none" w:sz="0" w:space="0" w:color="auto"/>
          </w:divBdr>
        </w:div>
        <w:div w:id="708263740">
          <w:marLeft w:val="480"/>
          <w:marRight w:val="0"/>
          <w:marTop w:val="0"/>
          <w:marBottom w:val="0"/>
          <w:divBdr>
            <w:top w:val="none" w:sz="0" w:space="0" w:color="auto"/>
            <w:left w:val="none" w:sz="0" w:space="0" w:color="auto"/>
            <w:bottom w:val="none" w:sz="0" w:space="0" w:color="auto"/>
            <w:right w:val="none" w:sz="0" w:space="0" w:color="auto"/>
          </w:divBdr>
        </w:div>
        <w:div w:id="15935045">
          <w:marLeft w:val="480"/>
          <w:marRight w:val="0"/>
          <w:marTop w:val="0"/>
          <w:marBottom w:val="0"/>
          <w:divBdr>
            <w:top w:val="none" w:sz="0" w:space="0" w:color="auto"/>
            <w:left w:val="none" w:sz="0" w:space="0" w:color="auto"/>
            <w:bottom w:val="none" w:sz="0" w:space="0" w:color="auto"/>
            <w:right w:val="none" w:sz="0" w:space="0" w:color="auto"/>
          </w:divBdr>
        </w:div>
      </w:divsChild>
    </w:div>
    <w:div w:id="834687951">
      <w:bodyDiv w:val="1"/>
      <w:marLeft w:val="0"/>
      <w:marRight w:val="0"/>
      <w:marTop w:val="0"/>
      <w:marBottom w:val="0"/>
      <w:divBdr>
        <w:top w:val="none" w:sz="0" w:space="0" w:color="auto"/>
        <w:left w:val="none" w:sz="0" w:space="0" w:color="auto"/>
        <w:bottom w:val="none" w:sz="0" w:space="0" w:color="auto"/>
        <w:right w:val="none" w:sz="0" w:space="0" w:color="auto"/>
      </w:divBdr>
      <w:divsChild>
        <w:div w:id="1505123257">
          <w:marLeft w:val="480"/>
          <w:marRight w:val="0"/>
          <w:marTop w:val="0"/>
          <w:marBottom w:val="0"/>
          <w:divBdr>
            <w:top w:val="none" w:sz="0" w:space="0" w:color="auto"/>
            <w:left w:val="none" w:sz="0" w:space="0" w:color="auto"/>
            <w:bottom w:val="none" w:sz="0" w:space="0" w:color="auto"/>
            <w:right w:val="none" w:sz="0" w:space="0" w:color="auto"/>
          </w:divBdr>
        </w:div>
        <w:div w:id="1812674184">
          <w:marLeft w:val="480"/>
          <w:marRight w:val="0"/>
          <w:marTop w:val="0"/>
          <w:marBottom w:val="0"/>
          <w:divBdr>
            <w:top w:val="none" w:sz="0" w:space="0" w:color="auto"/>
            <w:left w:val="none" w:sz="0" w:space="0" w:color="auto"/>
            <w:bottom w:val="none" w:sz="0" w:space="0" w:color="auto"/>
            <w:right w:val="none" w:sz="0" w:space="0" w:color="auto"/>
          </w:divBdr>
        </w:div>
        <w:div w:id="371852122">
          <w:marLeft w:val="480"/>
          <w:marRight w:val="0"/>
          <w:marTop w:val="0"/>
          <w:marBottom w:val="0"/>
          <w:divBdr>
            <w:top w:val="none" w:sz="0" w:space="0" w:color="auto"/>
            <w:left w:val="none" w:sz="0" w:space="0" w:color="auto"/>
            <w:bottom w:val="none" w:sz="0" w:space="0" w:color="auto"/>
            <w:right w:val="none" w:sz="0" w:space="0" w:color="auto"/>
          </w:divBdr>
        </w:div>
        <w:div w:id="356322394">
          <w:marLeft w:val="480"/>
          <w:marRight w:val="0"/>
          <w:marTop w:val="0"/>
          <w:marBottom w:val="0"/>
          <w:divBdr>
            <w:top w:val="none" w:sz="0" w:space="0" w:color="auto"/>
            <w:left w:val="none" w:sz="0" w:space="0" w:color="auto"/>
            <w:bottom w:val="none" w:sz="0" w:space="0" w:color="auto"/>
            <w:right w:val="none" w:sz="0" w:space="0" w:color="auto"/>
          </w:divBdr>
        </w:div>
        <w:div w:id="1540513396">
          <w:marLeft w:val="480"/>
          <w:marRight w:val="0"/>
          <w:marTop w:val="0"/>
          <w:marBottom w:val="0"/>
          <w:divBdr>
            <w:top w:val="none" w:sz="0" w:space="0" w:color="auto"/>
            <w:left w:val="none" w:sz="0" w:space="0" w:color="auto"/>
            <w:bottom w:val="none" w:sz="0" w:space="0" w:color="auto"/>
            <w:right w:val="none" w:sz="0" w:space="0" w:color="auto"/>
          </w:divBdr>
        </w:div>
      </w:divsChild>
    </w:div>
    <w:div w:id="83580094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945034">
      <w:bodyDiv w:val="1"/>
      <w:marLeft w:val="0"/>
      <w:marRight w:val="0"/>
      <w:marTop w:val="0"/>
      <w:marBottom w:val="0"/>
      <w:divBdr>
        <w:top w:val="none" w:sz="0" w:space="0" w:color="auto"/>
        <w:left w:val="none" w:sz="0" w:space="0" w:color="auto"/>
        <w:bottom w:val="none" w:sz="0" w:space="0" w:color="auto"/>
        <w:right w:val="none" w:sz="0" w:space="0" w:color="auto"/>
      </w:divBdr>
      <w:divsChild>
        <w:div w:id="1888299248">
          <w:marLeft w:val="480"/>
          <w:marRight w:val="0"/>
          <w:marTop w:val="0"/>
          <w:marBottom w:val="0"/>
          <w:divBdr>
            <w:top w:val="none" w:sz="0" w:space="0" w:color="auto"/>
            <w:left w:val="none" w:sz="0" w:space="0" w:color="auto"/>
            <w:bottom w:val="none" w:sz="0" w:space="0" w:color="auto"/>
            <w:right w:val="none" w:sz="0" w:space="0" w:color="auto"/>
          </w:divBdr>
        </w:div>
        <w:div w:id="148442908">
          <w:marLeft w:val="480"/>
          <w:marRight w:val="0"/>
          <w:marTop w:val="0"/>
          <w:marBottom w:val="0"/>
          <w:divBdr>
            <w:top w:val="none" w:sz="0" w:space="0" w:color="auto"/>
            <w:left w:val="none" w:sz="0" w:space="0" w:color="auto"/>
            <w:bottom w:val="none" w:sz="0" w:space="0" w:color="auto"/>
            <w:right w:val="none" w:sz="0" w:space="0" w:color="auto"/>
          </w:divBdr>
        </w:div>
        <w:div w:id="703485594">
          <w:marLeft w:val="480"/>
          <w:marRight w:val="0"/>
          <w:marTop w:val="0"/>
          <w:marBottom w:val="0"/>
          <w:divBdr>
            <w:top w:val="none" w:sz="0" w:space="0" w:color="auto"/>
            <w:left w:val="none" w:sz="0" w:space="0" w:color="auto"/>
            <w:bottom w:val="none" w:sz="0" w:space="0" w:color="auto"/>
            <w:right w:val="none" w:sz="0" w:space="0" w:color="auto"/>
          </w:divBdr>
        </w:div>
        <w:div w:id="89472851">
          <w:marLeft w:val="480"/>
          <w:marRight w:val="0"/>
          <w:marTop w:val="0"/>
          <w:marBottom w:val="0"/>
          <w:divBdr>
            <w:top w:val="none" w:sz="0" w:space="0" w:color="auto"/>
            <w:left w:val="none" w:sz="0" w:space="0" w:color="auto"/>
            <w:bottom w:val="none" w:sz="0" w:space="0" w:color="auto"/>
            <w:right w:val="none" w:sz="0" w:space="0" w:color="auto"/>
          </w:divBdr>
        </w:div>
        <w:div w:id="1948270102">
          <w:marLeft w:val="480"/>
          <w:marRight w:val="0"/>
          <w:marTop w:val="0"/>
          <w:marBottom w:val="0"/>
          <w:divBdr>
            <w:top w:val="none" w:sz="0" w:space="0" w:color="auto"/>
            <w:left w:val="none" w:sz="0" w:space="0" w:color="auto"/>
            <w:bottom w:val="none" w:sz="0" w:space="0" w:color="auto"/>
            <w:right w:val="none" w:sz="0" w:space="0" w:color="auto"/>
          </w:divBdr>
        </w:div>
        <w:div w:id="1791364277">
          <w:marLeft w:val="480"/>
          <w:marRight w:val="0"/>
          <w:marTop w:val="0"/>
          <w:marBottom w:val="0"/>
          <w:divBdr>
            <w:top w:val="none" w:sz="0" w:space="0" w:color="auto"/>
            <w:left w:val="none" w:sz="0" w:space="0" w:color="auto"/>
            <w:bottom w:val="none" w:sz="0" w:space="0" w:color="auto"/>
            <w:right w:val="none" w:sz="0" w:space="0" w:color="auto"/>
          </w:divBdr>
        </w:div>
        <w:div w:id="2124028965">
          <w:marLeft w:val="480"/>
          <w:marRight w:val="0"/>
          <w:marTop w:val="0"/>
          <w:marBottom w:val="0"/>
          <w:divBdr>
            <w:top w:val="none" w:sz="0" w:space="0" w:color="auto"/>
            <w:left w:val="none" w:sz="0" w:space="0" w:color="auto"/>
            <w:bottom w:val="none" w:sz="0" w:space="0" w:color="auto"/>
            <w:right w:val="none" w:sz="0" w:space="0" w:color="auto"/>
          </w:divBdr>
        </w:div>
        <w:div w:id="1138457617">
          <w:marLeft w:val="480"/>
          <w:marRight w:val="0"/>
          <w:marTop w:val="0"/>
          <w:marBottom w:val="0"/>
          <w:divBdr>
            <w:top w:val="none" w:sz="0" w:space="0" w:color="auto"/>
            <w:left w:val="none" w:sz="0" w:space="0" w:color="auto"/>
            <w:bottom w:val="none" w:sz="0" w:space="0" w:color="auto"/>
            <w:right w:val="none" w:sz="0" w:space="0" w:color="auto"/>
          </w:divBdr>
        </w:div>
        <w:div w:id="1102185089">
          <w:marLeft w:val="480"/>
          <w:marRight w:val="0"/>
          <w:marTop w:val="0"/>
          <w:marBottom w:val="0"/>
          <w:divBdr>
            <w:top w:val="none" w:sz="0" w:space="0" w:color="auto"/>
            <w:left w:val="none" w:sz="0" w:space="0" w:color="auto"/>
            <w:bottom w:val="none" w:sz="0" w:space="0" w:color="auto"/>
            <w:right w:val="none" w:sz="0" w:space="0" w:color="auto"/>
          </w:divBdr>
        </w:div>
        <w:div w:id="662197779">
          <w:marLeft w:val="480"/>
          <w:marRight w:val="0"/>
          <w:marTop w:val="0"/>
          <w:marBottom w:val="0"/>
          <w:divBdr>
            <w:top w:val="none" w:sz="0" w:space="0" w:color="auto"/>
            <w:left w:val="none" w:sz="0" w:space="0" w:color="auto"/>
            <w:bottom w:val="none" w:sz="0" w:space="0" w:color="auto"/>
            <w:right w:val="none" w:sz="0" w:space="0" w:color="auto"/>
          </w:divBdr>
        </w:div>
      </w:divsChild>
    </w:div>
    <w:div w:id="881095127">
      <w:bodyDiv w:val="1"/>
      <w:marLeft w:val="0"/>
      <w:marRight w:val="0"/>
      <w:marTop w:val="0"/>
      <w:marBottom w:val="0"/>
      <w:divBdr>
        <w:top w:val="none" w:sz="0" w:space="0" w:color="auto"/>
        <w:left w:val="none" w:sz="0" w:space="0" w:color="auto"/>
        <w:bottom w:val="none" w:sz="0" w:space="0" w:color="auto"/>
        <w:right w:val="none" w:sz="0" w:space="0" w:color="auto"/>
      </w:divBdr>
      <w:divsChild>
        <w:div w:id="302738647">
          <w:marLeft w:val="480"/>
          <w:marRight w:val="0"/>
          <w:marTop w:val="0"/>
          <w:marBottom w:val="0"/>
          <w:divBdr>
            <w:top w:val="none" w:sz="0" w:space="0" w:color="auto"/>
            <w:left w:val="none" w:sz="0" w:space="0" w:color="auto"/>
            <w:bottom w:val="none" w:sz="0" w:space="0" w:color="auto"/>
            <w:right w:val="none" w:sz="0" w:space="0" w:color="auto"/>
          </w:divBdr>
        </w:div>
        <w:div w:id="481240030">
          <w:marLeft w:val="480"/>
          <w:marRight w:val="0"/>
          <w:marTop w:val="0"/>
          <w:marBottom w:val="0"/>
          <w:divBdr>
            <w:top w:val="none" w:sz="0" w:space="0" w:color="auto"/>
            <w:left w:val="none" w:sz="0" w:space="0" w:color="auto"/>
            <w:bottom w:val="none" w:sz="0" w:space="0" w:color="auto"/>
            <w:right w:val="none" w:sz="0" w:space="0" w:color="auto"/>
          </w:divBdr>
        </w:div>
        <w:div w:id="400832775">
          <w:marLeft w:val="480"/>
          <w:marRight w:val="0"/>
          <w:marTop w:val="0"/>
          <w:marBottom w:val="0"/>
          <w:divBdr>
            <w:top w:val="none" w:sz="0" w:space="0" w:color="auto"/>
            <w:left w:val="none" w:sz="0" w:space="0" w:color="auto"/>
            <w:bottom w:val="none" w:sz="0" w:space="0" w:color="auto"/>
            <w:right w:val="none" w:sz="0" w:space="0" w:color="auto"/>
          </w:divBdr>
        </w:div>
        <w:div w:id="1375076796">
          <w:marLeft w:val="480"/>
          <w:marRight w:val="0"/>
          <w:marTop w:val="0"/>
          <w:marBottom w:val="0"/>
          <w:divBdr>
            <w:top w:val="none" w:sz="0" w:space="0" w:color="auto"/>
            <w:left w:val="none" w:sz="0" w:space="0" w:color="auto"/>
            <w:bottom w:val="none" w:sz="0" w:space="0" w:color="auto"/>
            <w:right w:val="none" w:sz="0" w:space="0" w:color="auto"/>
          </w:divBdr>
        </w:div>
        <w:div w:id="528180079">
          <w:marLeft w:val="480"/>
          <w:marRight w:val="0"/>
          <w:marTop w:val="0"/>
          <w:marBottom w:val="0"/>
          <w:divBdr>
            <w:top w:val="none" w:sz="0" w:space="0" w:color="auto"/>
            <w:left w:val="none" w:sz="0" w:space="0" w:color="auto"/>
            <w:bottom w:val="none" w:sz="0" w:space="0" w:color="auto"/>
            <w:right w:val="none" w:sz="0" w:space="0" w:color="auto"/>
          </w:divBdr>
        </w:div>
        <w:div w:id="1076124063">
          <w:marLeft w:val="480"/>
          <w:marRight w:val="0"/>
          <w:marTop w:val="0"/>
          <w:marBottom w:val="0"/>
          <w:divBdr>
            <w:top w:val="none" w:sz="0" w:space="0" w:color="auto"/>
            <w:left w:val="none" w:sz="0" w:space="0" w:color="auto"/>
            <w:bottom w:val="none" w:sz="0" w:space="0" w:color="auto"/>
            <w:right w:val="none" w:sz="0" w:space="0" w:color="auto"/>
          </w:divBdr>
        </w:div>
        <w:div w:id="1310136899">
          <w:marLeft w:val="480"/>
          <w:marRight w:val="0"/>
          <w:marTop w:val="0"/>
          <w:marBottom w:val="0"/>
          <w:divBdr>
            <w:top w:val="none" w:sz="0" w:space="0" w:color="auto"/>
            <w:left w:val="none" w:sz="0" w:space="0" w:color="auto"/>
            <w:bottom w:val="none" w:sz="0" w:space="0" w:color="auto"/>
            <w:right w:val="none" w:sz="0" w:space="0" w:color="auto"/>
          </w:divBdr>
        </w:div>
        <w:div w:id="2090153554">
          <w:marLeft w:val="480"/>
          <w:marRight w:val="0"/>
          <w:marTop w:val="0"/>
          <w:marBottom w:val="0"/>
          <w:divBdr>
            <w:top w:val="none" w:sz="0" w:space="0" w:color="auto"/>
            <w:left w:val="none" w:sz="0" w:space="0" w:color="auto"/>
            <w:bottom w:val="none" w:sz="0" w:space="0" w:color="auto"/>
            <w:right w:val="none" w:sz="0" w:space="0" w:color="auto"/>
          </w:divBdr>
        </w:div>
        <w:div w:id="1846244508">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2872">
      <w:bodyDiv w:val="1"/>
      <w:marLeft w:val="0"/>
      <w:marRight w:val="0"/>
      <w:marTop w:val="0"/>
      <w:marBottom w:val="0"/>
      <w:divBdr>
        <w:top w:val="none" w:sz="0" w:space="0" w:color="auto"/>
        <w:left w:val="none" w:sz="0" w:space="0" w:color="auto"/>
        <w:bottom w:val="none" w:sz="0" w:space="0" w:color="auto"/>
        <w:right w:val="none" w:sz="0" w:space="0" w:color="auto"/>
      </w:divBdr>
      <w:divsChild>
        <w:div w:id="627080314">
          <w:marLeft w:val="480"/>
          <w:marRight w:val="0"/>
          <w:marTop w:val="0"/>
          <w:marBottom w:val="0"/>
          <w:divBdr>
            <w:top w:val="none" w:sz="0" w:space="0" w:color="auto"/>
            <w:left w:val="none" w:sz="0" w:space="0" w:color="auto"/>
            <w:bottom w:val="none" w:sz="0" w:space="0" w:color="auto"/>
            <w:right w:val="none" w:sz="0" w:space="0" w:color="auto"/>
          </w:divBdr>
        </w:div>
        <w:div w:id="250899320">
          <w:marLeft w:val="480"/>
          <w:marRight w:val="0"/>
          <w:marTop w:val="0"/>
          <w:marBottom w:val="0"/>
          <w:divBdr>
            <w:top w:val="none" w:sz="0" w:space="0" w:color="auto"/>
            <w:left w:val="none" w:sz="0" w:space="0" w:color="auto"/>
            <w:bottom w:val="none" w:sz="0" w:space="0" w:color="auto"/>
            <w:right w:val="none" w:sz="0" w:space="0" w:color="auto"/>
          </w:divBdr>
        </w:div>
        <w:div w:id="187564934">
          <w:marLeft w:val="480"/>
          <w:marRight w:val="0"/>
          <w:marTop w:val="0"/>
          <w:marBottom w:val="0"/>
          <w:divBdr>
            <w:top w:val="none" w:sz="0" w:space="0" w:color="auto"/>
            <w:left w:val="none" w:sz="0" w:space="0" w:color="auto"/>
            <w:bottom w:val="none" w:sz="0" w:space="0" w:color="auto"/>
            <w:right w:val="none" w:sz="0" w:space="0" w:color="auto"/>
          </w:divBdr>
        </w:div>
      </w:divsChild>
    </w:div>
    <w:div w:id="953367800">
      <w:bodyDiv w:val="1"/>
      <w:marLeft w:val="0"/>
      <w:marRight w:val="0"/>
      <w:marTop w:val="0"/>
      <w:marBottom w:val="0"/>
      <w:divBdr>
        <w:top w:val="none" w:sz="0" w:space="0" w:color="auto"/>
        <w:left w:val="none" w:sz="0" w:space="0" w:color="auto"/>
        <w:bottom w:val="none" w:sz="0" w:space="0" w:color="auto"/>
        <w:right w:val="none" w:sz="0" w:space="0" w:color="auto"/>
      </w:divBdr>
      <w:divsChild>
        <w:div w:id="1186676867">
          <w:marLeft w:val="480"/>
          <w:marRight w:val="0"/>
          <w:marTop w:val="0"/>
          <w:marBottom w:val="0"/>
          <w:divBdr>
            <w:top w:val="none" w:sz="0" w:space="0" w:color="auto"/>
            <w:left w:val="none" w:sz="0" w:space="0" w:color="auto"/>
            <w:bottom w:val="none" w:sz="0" w:space="0" w:color="auto"/>
            <w:right w:val="none" w:sz="0" w:space="0" w:color="auto"/>
          </w:divBdr>
        </w:div>
        <w:div w:id="1954438557">
          <w:marLeft w:val="480"/>
          <w:marRight w:val="0"/>
          <w:marTop w:val="0"/>
          <w:marBottom w:val="0"/>
          <w:divBdr>
            <w:top w:val="none" w:sz="0" w:space="0" w:color="auto"/>
            <w:left w:val="none" w:sz="0" w:space="0" w:color="auto"/>
            <w:bottom w:val="none" w:sz="0" w:space="0" w:color="auto"/>
            <w:right w:val="none" w:sz="0" w:space="0" w:color="auto"/>
          </w:divBdr>
        </w:div>
        <w:div w:id="2072726515">
          <w:marLeft w:val="480"/>
          <w:marRight w:val="0"/>
          <w:marTop w:val="0"/>
          <w:marBottom w:val="0"/>
          <w:divBdr>
            <w:top w:val="none" w:sz="0" w:space="0" w:color="auto"/>
            <w:left w:val="none" w:sz="0" w:space="0" w:color="auto"/>
            <w:bottom w:val="none" w:sz="0" w:space="0" w:color="auto"/>
            <w:right w:val="none" w:sz="0" w:space="0" w:color="auto"/>
          </w:divBdr>
        </w:div>
        <w:div w:id="954486315">
          <w:marLeft w:val="480"/>
          <w:marRight w:val="0"/>
          <w:marTop w:val="0"/>
          <w:marBottom w:val="0"/>
          <w:divBdr>
            <w:top w:val="none" w:sz="0" w:space="0" w:color="auto"/>
            <w:left w:val="none" w:sz="0" w:space="0" w:color="auto"/>
            <w:bottom w:val="none" w:sz="0" w:space="0" w:color="auto"/>
            <w:right w:val="none" w:sz="0" w:space="0" w:color="auto"/>
          </w:divBdr>
        </w:div>
        <w:div w:id="1433092487">
          <w:marLeft w:val="480"/>
          <w:marRight w:val="0"/>
          <w:marTop w:val="0"/>
          <w:marBottom w:val="0"/>
          <w:divBdr>
            <w:top w:val="none" w:sz="0" w:space="0" w:color="auto"/>
            <w:left w:val="none" w:sz="0" w:space="0" w:color="auto"/>
            <w:bottom w:val="none" w:sz="0" w:space="0" w:color="auto"/>
            <w:right w:val="none" w:sz="0" w:space="0" w:color="auto"/>
          </w:divBdr>
        </w:div>
        <w:div w:id="65499914">
          <w:marLeft w:val="480"/>
          <w:marRight w:val="0"/>
          <w:marTop w:val="0"/>
          <w:marBottom w:val="0"/>
          <w:divBdr>
            <w:top w:val="none" w:sz="0" w:space="0" w:color="auto"/>
            <w:left w:val="none" w:sz="0" w:space="0" w:color="auto"/>
            <w:bottom w:val="none" w:sz="0" w:space="0" w:color="auto"/>
            <w:right w:val="none" w:sz="0" w:space="0" w:color="auto"/>
          </w:divBdr>
        </w:div>
        <w:div w:id="1688481164">
          <w:marLeft w:val="480"/>
          <w:marRight w:val="0"/>
          <w:marTop w:val="0"/>
          <w:marBottom w:val="0"/>
          <w:divBdr>
            <w:top w:val="none" w:sz="0" w:space="0" w:color="auto"/>
            <w:left w:val="none" w:sz="0" w:space="0" w:color="auto"/>
            <w:bottom w:val="none" w:sz="0" w:space="0" w:color="auto"/>
            <w:right w:val="none" w:sz="0" w:space="0" w:color="auto"/>
          </w:divBdr>
        </w:div>
        <w:div w:id="1766613304">
          <w:marLeft w:val="480"/>
          <w:marRight w:val="0"/>
          <w:marTop w:val="0"/>
          <w:marBottom w:val="0"/>
          <w:divBdr>
            <w:top w:val="none" w:sz="0" w:space="0" w:color="auto"/>
            <w:left w:val="none" w:sz="0" w:space="0" w:color="auto"/>
            <w:bottom w:val="none" w:sz="0" w:space="0" w:color="auto"/>
            <w:right w:val="none" w:sz="0" w:space="0" w:color="auto"/>
          </w:divBdr>
        </w:div>
        <w:div w:id="996224532">
          <w:marLeft w:val="480"/>
          <w:marRight w:val="0"/>
          <w:marTop w:val="0"/>
          <w:marBottom w:val="0"/>
          <w:divBdr>
            <w:top w:val="none" w:sz="0" w:space="0" w:color="auto"/>
            <w:left w:val="none" w:sz="0" w:space="0" w:color="auto"/>
            <w:bottom w:val="none" w:sz="0" w:space="0" w:color="auto"/>
            <w:right w:val="none" w:sz="0" w:space="0" w:color="auto"/>
          </w:divBdr>
        </w:div>
        <w:div w:id="1213227163">
          <w:marLeft w:val="480"/>
          <w:marRight w:val="0"/>
          <w:marTop w:val="0"/>
          <w:marBottom w:val="0"/>
          <w:divBdr>
            <w:top w:val="none" w:sz="0" w:space="0" w:color="auto"/>
            <w:left w:val="none" w:sz="0" w:space="0" w:color="auto"/>
            <w:bottom w:val="none" w:sz="0" w:space="0" w:color="auto"/>
            <w:right w:val="none" w:sz="0" w:space="0" w:color="auto"/>
          </w:divBdr>
        </w:div>
      </w:divsChild>
    </w:div>
    <w:div w:id="976376819">
      <w:bodyDiv w:val="1"/>
      <w:marLeft w:val="0"/>
      <w:marRight w:val="0"/>
      <w:marTop w:val="0"/>
      <w:marBottom w:val="0"/>
      <w:divBdr>
        <w:top w:val="none" w:sz="0" w:space="0" w:color="auto"/>
        <w:left w:val="none" w:sz="0" w:space="0" w:color="auto"/>
        <w:bottom w:val="none" w:sz="0" w:space="0" w:color="auto"/>
        <w:right w:val="none" w:sz="0" w:space="0" w:color="auto"/>
      </w:divBdr>
    </w:div>
    <w:div w:id="1029723886">
      <w:bodyDiv w:val="1"/>
      <w:marLeft w:val="0"/>
      <w:marRight w:val="0"/>
      <w:marTop w:val="0"/>
      <w:marBottom w:val="0"/>
      <w:divBdr>
        <w:top w:val="none" w:sz="0" w:space="0" w:color="auto"/>
        <w:left w:val="none" w:sz="0" w:space="0" w:color="auto"/>
        <w:bottom w:val="none" w:sz="0" w:space="0" w:color="auto"/>
        <w:right w:val="none" w:sz="0" w:space="0" w:color="auto"/>
      </w:divBdr>
      <w:divsChild>
        <w:div w:id="1847744983">
          <w:marLeft w:val="480"/>
          <w:marRight w:val="0"/>
          <w:marTop w:val="0"/>
          <w:marBottom w:val="0"/>
          <w:divBdr>
            <w:top w:val="none" w:sz="0" w:space="0" w:color="auto"/>
            <w:left w:val="none" w:sz="0" w:space="0" w:color="auto"/>
            <w:bottom w:val="none" w:sz="0" w:space="0" w:color="auto"/>
            <w:right w:val="none" w:sz="0" w:space="0" w:color="auto"/>
          </w:divBdr>
        </w:div>
        <w:div w:id="890190541">
          <w:marLeft w:val="480"/>
          <w:marRight w:val="0"/>
          <w:marTop w:val="0"/>
          <w:marBottom w:val="0"/>
          <w:divBdr>
            <w:top w:val="none" w:sz="0" w:space="0" w:color="auto"/>
            <w:left w:val="none" w:sz="0" w:space="0" w:color="auto"/>
            <w:bottom w:val="none" w:sz="0" w:space="0" w:color="auto"/>
            <w:right w:val="none" w:sz="0" w:space="0" w:color="auto"/>
          </w:divBdr>
        </w:div>
        <w:div w:id="1859003993">
          <w:marLeft w:val="480"/>
          <w:marRight w:val="0"/>
          <w:marTop w:val="0"/>
          <w:marBottom w:val="0"/>
          <w:divBdr>
            <w:top w:val="none" w:sz="0" w:space="0" w:color="auto"/>
            <w:left w:val="none" w:sz="0" w:space="0" w:color="auto"/>
            <w:bottom w:val="none" w:sz="0" w:space="0" w:color="auto"/>
            <w:right w:val="none" w:sz="0" w:space="0" w:color="auto"/>
          </w:divBdr>
        </w:div>
      </w:divsChild>
    </w:div>
    <w:div w:id="1058820730">
      <w:bodyDiv w:val="1"/>
      <w:marLeft w:val="0"/>
      <w:marRight w:val="0"/>
      <w:marTop w:val="0"/>
      <w:marBottom w:val="0"/>
      <w:divBdr>
        <w:top w:val="none" w:sz="0" w:space="0" w:color="auto"/>
        <w:left w:val="none" w:sz="0" w:space="0" w:color="auto"/>
        <w:bottom w:val="none" w:sz="0" w:space="0" w:color="auto"/>
        <w:right w:val="none" w:sz="0" w:space="0" w:color="auto"/>
      </w:divBdr>
      <w:divsChild>
        <w:div w:id="2042976061">
          <w:marLeft w:val="480"/>
          <w:marRight w:val="0"/>
          <w:marTop w:val="0"/>
          <w:marBottom w:val="0"/>
          <w:divBdr>
            <w:top w:val="none" w:sz="0" w:space="0" w:color="auto"/>
            <w:left w:val="none" w:sz="0" w:space="0" w:color="auto"/>
            <w:bottom w:val="none" w:sz="0" w:space="0" w:color="auto"/>
            <w:right w:val="none" w:sz="0" w:space="0" w:color="auto"/>
          </w:divBdr>
        </w:div>
        <w:div w:id="1547251603">
          <w:marLeft w:val="480"/>
          <w:marRight w:val="0"/>
          <w:marTop w:val="0"/>
          <w:marBottom w:val="0"/>
          <w:divBdr>
            <w:top w:val="none" w:sz="0" w:space="0" w:color="auto"/>
            <w:left w:val="none" w:sz="0" w:space="0" w:color="auto"/>
            <w:bottom w:val="none" w:sz="0" w:space="0" w:color="auto"/>
            <w:right w:val="none" w:sz="0" w:space="0" w:color="auto"/>
          </w:divBdr>
        </w:div>
        <w:div w:id="982855820">
          <w:marLeft w:val="480"/>
          <w:marRight w:val="0"/>
          <w:marTop w:val="0"/>
          <w:marBottom w:val="0"/>
          <w:divBdr>
            <w:top w:val="none" w:sz="0" w:space="0" w:color="auto"/>
            <w:left w:val="none" w:sz="0" w:space="0" w:color="auto"/>
            <w:bottom w:val="none" w:sz="0" w:space="0" w:color="auto"/>
            <w:right w:val="none" w:sz="0" w:space="0" w:color="auto"/>
          </w:divBdr>
        </w:div>
        <w:div w:id="2085644097">
          <w:marLeft w:val="480"/>
          <w:marRight w:val="0"/>
          <w:marTop w:val="0"/>
          <w:marBottom w:val="0"/>
          <w:divBdr>
            <w:top w:val="none" w:sz="0" w:space="0" w:color="auto"/>
            <w:left w:val="none" w:sz="0" w:space="0" w:color="auto"/>
            <w:bottom w:val="none" w:sz="0" w:space="0" w:color="auto"/>
            <w:right w:val="none" w:sz="0" w:space="0" w:color="auto"/>
          </w:divBdr>
        </w:div>
        <w:div w:id="1529443890">
          <w:marLeft w:val="480"/>
          <w:marRight w:val="0"/>
          <w:marTop w:val="0"/>
          <w:marBottom w:val="0"/>
          <w:divBdr>
            <w:top w:val="none" w:sz="0" w:space="0" w:color="auto"/>
            <w:left w:val="none" w:sz="0" w:space="0" w:color="auto"/>
            <w:bottom w:val="none" w:sz="0" w:space="0" w:color="auto"/>
            <w:right w:val="none" w:sz="0" w:space="0" w:color="auto"/>
          </w:divBdr>
        </w:div>
        <w:div w:id="1990476989">
          <w:marLeft w:val="480"/>
          <w:marRight w:val="0"/>
          <w:marTop w:val="0"/>
          <w:marBottom w:val="0"/>
          <w:divBdr>
            <w:top w:val="none" w:sz="0" w:space="0" w:color="auto"/>
            <w:left w:val="none" w:sz="0" w:space="0" w:color="auto"/>
            <w:bottom w:val="none" w:sz="0" w:space="0" w:color="auto"/>
            <w:right w:val="none" w:sz="0" w:space="0" w:color="auto"/>
          </w:divBdr>
        </w:div>
        <w:div w:id="282463519">
          <w:marLeft w:val="480"/>
          <w:marRight w:val="0"/>
          <w:marTop w:val="0"/>
          <w:marBottom w:val="0"/>
          <w:divBdr>
            <w:top w:val="none" w:sz="0" w:space="0" w:color="auto"/>
            <w:left w:val="none" w:sz="0" w:space="0" w:color="auto"/>
            <w:bottom w:val="none" w:sz="0" w:space="0" w:color="auto"/>
            <w:right w:val="none" w:sz="0" w:space="0" w:color="auto"/>
          </w:divBdr>
        </w:div>
        <w:div w:id="1988897690">
          <w:marLeft w:val="480"/>
          <w:marRight w:val="0"/>
          <w:marTop w:val="0"/>
          <w:marBottom w:val="0"/>
          <w:divBdr>
            <w:top w:val="none" w:sz="0" w:space="0" w:color="auto"/>
            <w:left w:val="none" w:sz="0" w:space="0" w:color="auto"/>
            <w:bottom w:val="none" w:sz="0" w:space="0" w:color="auto"/>
            <w:right w:val="none" w:sz="0" w:space="0" w:color="auto"/>
          </w:divBdr>
        </w:div>
      </w:divsChild>
    </w:div>
    <w:div w:id="1081179700">
      <w:bodyDiv w:val="1"/>
      <w:marLeft w:val="0"/>
      <w:marRight w:val="0"/>
      <w:marTop w:val="0"/>
      <w:marBottom w:val="0"/>
      <w:divBdr>
        <w:top w:val="none" w:sz="0" w:space="0" w:color="auto"/>
        <w:left w:val="none" w:sz="0" w:space="0" w:color="auto"/>
        <w:bottom w:val="none" w:sz="0" w:space="0" w:color="auto"/>
        <w:right w:val="none" w:sz="0" w:space="0" w:color="auto"/>
      </w:divBdr>
      <w:divsChild>
        <w:div w:id="37244588">
          <w:marLeft w:val="480"/>
          <w:marRight w:val="0"/>
          <w:marTop w:val="0"/>
          <w:marBottom w:val="0"/>
          <w:divBdr>
            <w:top w:val="none" w:sz="0" w:space="0" w:color="auto"/>
            <w:left w:val="none" w:sz="0" w:space="0" w:color="auto"/>
            <w:bottom w:val="none" w:sz="0" w:space="0" w:color="auto"/>
            <w:right w:val="none" w:sz="0" w:space="0" w:color="auto"/>
          </w:divBdr>
        </w:div>
        <w:div w:id="887112866">
          <w:marLeft w:val="480"/>
          <w:marRight w:val="0"/>
          <w:marTop w:val="0"/>
          <w:marBottom w:val="0"/>
          <w:divBdr>
            <w:top w:val="none" w:sz="0" w:space="0" w:color="auto"/>
            <w:left w:val="none" w:sz="0" w:space="0" w:color="auto"/>
            <w:bottom w:val="none" w:sz="0" w:space="0" w:color="auto"/>
            <w:right w:val="none" w:sz="0" w:space="0" w:color="auto"/>
          </w:divBdr>
        </w:div>
        <w:div w:id="371803293">
          <w:marLeft w:val="480"/>
          <w:marRight w:val="0"/>
          <w:marTop w:val="0"/>
          <w:marBottom w:val="0"/>
          <w:divBdr>
            <w:top w:val="none" w:sz="0" w:space="0" w:color="auto"/>
            <w:left w:val="none" w:sz="0" w:space="0" w:color="auto"/>
            <w:bottom w:val="none" w:sz="0" w:space="0" w:color="auto"/>
            <w:right w:val="none" w:sz="0" w:space="0" w:color="auto"/>
          </w:divBdr>
        </w:div>
        <w:div w:id="1780223992">
          <w:marLeft w:val="480"/>
          <w:marRight w:val="0"/>
          <w:marTop w:val="0"/>
          <w:marBottom w:val="0"/>
          <w:divBdr>
            <w:top w:val="none" w:sz="0" w:space="0" w:color="auto"/>
            <w:left w:val="none" w:sz="0" w:space="0" w:color="auto"/>
            <w:bottom w:val="none" w:sz="0" w:space="0" w:color="auto"/>
            <w:right w:val="none" w:sz="0" w:space="0" w:color="auto"/>
          </w:divBdr>
        </w:div>
        <w:div w:id="1021009936">
          <w:marLeft w:val="480"/>
          <w:marRight w:val="0"/>
          <w:marTop w:val="0"/>
          <w:marBottom w:val="0"/>
          <w:divBdr>
            <w:top w:val="none" w:sz="0" w:space="0" w:color="auto"/>
            <w:left w:val="none" w:sz="0" w:space="0" w:color="auto"/>
            <w:bottom w:val="none" w:sz="0" w:space="0" w:color="auto"/>
            <w:right w:val="none" w:sz="0" w:space="0" w:color="auto"/>
          </w:divBdr>
        </w:div>
        <w:div w:id="1568759241">
          <w:marLeft w:val="480"/>
          <w:marRight w:val="0"/>
          <w:marTop w:val="0"/>
          <w:marBottom w:val="0"/>
          <w:divBdr>
            <w:top w:val="none" w:sz="0" w:space="0" w:color="auto"/>
            <w:left w:val="none" w:sz="0" w:space="0" w:color="auto"/>
            <w:bottom w:val="none" w:sz="0" w:space="0" w:color="auto"/>
            <w:right w:val="none" w:sz="0" w:space="0" w:color="auto"/>
          </w:divBdr>
        </w:div>
        <w:div w:id="492330504">
          <w:marLeft w:val="480"/>
          <w:marRight w:val="0"/>
          <w:marTop w:val="0"/>
          <w:marBottom w:val="0"/>
          <w:divBdr>
            <w:top w:val="none" w:sz="0" w:space="0" w:color="auto"/>
            <w:left w:val="none" w:sz="0" w:space="0" w:color="auto"/>
            <w:bottom w:val="none" w:sz="0" w:space="0" w:color="auto"/>
            <w:right w:val="none" w:sz="0" w:space="0" w:color="auto"/>
          </w:divBdr>
        </w:div>
        <w:div w:id="2101681411">
          <w:marLeft w:val="480"/>
          <w:marRight w:val="0"/>
          <w:marTop w:val="0"/>
          <w:marBottom w:val="0"/>
          <w:divBdr>
            <w:top w:val="none" w:sz="0" w:space="0" w:color="auto"/>
            <w:left w:val="none" w:sz="0" w:space="0" w:color="auto"/>
            <w:bottom w:val="none" w:sz="0" w:space="0" w:color="auto"/>
            <w:right w:val="none" w:sz="0" w:space="0" w:color="auto"/>
          </w:divBdr>
        </w:div>
        <w:div w:id="227612546">
          <w:marLeft w:val="480"/>
          <w:marRight w:val="0"/>
          <w:marTop w:val="0"/>
          <w:marBottom w:val="0"/>
          <w:divBdr>
            <w:top w:val="none" w:sz="0" w:space="0" w:color="auto"/>
            <w:left w:val="none" w:sz="0" w:space="0" w:color="auto"/>
            <w:bottom w:val="none" w:sz="0" w:space="0" w:color="auto"/>
            <w:right w:val="none" w:sz="0" w:space="0" w:color="auto"/>
          </w:divBdr>
        </w:div>
        <w:div w:id="1985546203">
          <w:marLeft w:val="480"/>
          <w:marRight w:val="0"/>
          <w:marTop w:val="0"/>
          <w:marBottom w:val="0"/>
          <w:divBdr>
            <w:top w:val="none" w:sz="0" w:space="0" w:color="auto"/>
            <w:left w:val="none" w:sz="0" w:space="0" w:color="auto"/>
            <w:bottom w:val="none" w:sz="0" w:space="0" w:color="auto"/>
            <w:right w:val="none" w:sz="0" w:space="0" w:color="auto"/>
          </w:divBdr>
        </w:div>
        <w:div w:id="1993874655">
          <w:marLeft w:val="480"/>
          <w:marRight w:val="0"/>
          <w:marTop w:val="0"/>
          <w:marBottom w:val="0"/>
          <w:divBdr>
            <w:top w:val="none" w:sz="0" w:space="0" w:color="auto"/>
            <w:left w:val="none" w:sz="0" w:space="0" w:color="auto"/>
            <w:bottom w:val="none" w:sz="0" w:space="0" w:color="auto"/>
            <w:right w:val="none" w:sz="0" w:space="0" w:color="auto"/>
          </w:divBdr>
        </w:div>
        <w:div w:id="703293612">
          <w:marLeft w:val="480"/>
          <w:marRight w:val="0"/>
          <w:marTop w:val="0"/>
          <w:marBottom w:val="0"/>
          <w:divBdr>
            <w:top w:val="none" w:sz="0" w:space="0" w:color="auto"/>
            <w:left w:val="none" w:sz="0" w:space="0" w:color="auto"/>
            <w:bottom w:val="none" w:sz="0" w:space="0" w:color="auto"/>
            <w:right w:val="none" w:sz="0" w:space="0" w:color="auto"/>
          </w:divBdr>
        </w:div>
      </w:divsChild>
    </w:div>
    <w:div w:id="1166870164">
      <w:bodyDiv w:val="1"/>
      <w:marLeft w:val="0"/>
      <w:marRight w:val="0"/>
      <w:marTop w:val="0"/>
      <w:marBottom w:val="0"/>
      <w:divBdr>
        <w:top w:val="none" w:sz="0" w:space="0" w:color="auto"/>
        <w:left w:val="none" w:sz="0" w:space="0" w:color="auto"/>
        <w:bottom w:val="none" w:sz="0" w:space="0" w:color="auto"/>
        <w:right w:val="none" w:sz="0" w:space="0" w:color="auto"/>
      </w:divBdr>
      <w:divsChild>
        <w:div w:id="1213807889">
          <w:marLeft w:val="480"/>
          <w:marRight w:val="0"/>
          <w:marTop w:val="0"/>
          <w:marBottom w:val="0"/>
          <w:divBdr>
            <w:top w:val="none" w:sz="0" w:space="0" w:color="auto"/>
            <w:left w:val="none" w:sz="0" w:space="0" w:color="auto"/>
            <w:bottom w:val="none" w:sz="0" w:space="0" w:color="auto"/>
            <w:right w:val="none" w:sz="0" w:space="0" w:color="auto"/>
          </w:divBdr>
        </w:div>
        <w:div w:id="1027801879">
          <w:marLeft w:val="480"/>
          <w:marRight w:val="0"/>
          <w:marTop w:val="0"/>
          <w:marBottom w:val="0"/>
          <w:divBdr>
            <w:top w:val="none" w:sz="0" w:space="0" w:color="auto"/>
            <w:left w:val="none" w:sz="0" w:space="0" w:color="auto"/>
            <w:bottom w:val="none" w:sz="0" w:space="0" w:color="auto"/>
            <w:right w:val="none" w:sz="0" w:space="0" w:color="auto"/>
          </w:divBdr>
        </w:div>
        <w:div w:id="578058903">
          <w:marLeft w:val="480"/>
          <w:marRight w:val="0"/>
          <w:marTop w:val="0"/>
          <w:marBottom w:val="0"/>
          <w:divBdr>
            <w:top w:val="none" w:sz="0" w:space="0" w:color="auto"/>
            <w:left w:val="none" w:sz="0" w:space="0" w:color="auto"/>
            <w:bottom w:val="none" w:sz="0" w:space="0" w:color="auto"/>
            <w:right w:val="none" w:sz="0" w:space="0" w:color="auto"/>
          </w:divBdr>
        </w:div>
        <w:div w:id="727458179">
          <w:marLeft w:val="480"/>
          <w:marRight w:val="0"/>
          <w:marTop w:val="0"/>
          <w:marBottom w:val="0"/>
          <w:divBdr>
            <w:top w:val="none" w:sz="0" w:space="0" w:color="auto"/>
            <w:left w:val="none" w:sz="0" w:space="0" w:color="auto"/>
            <w:bottom w:val="none" w:sz="0" w:space="0" w:color="auto"/>
            <w:right w:val="none" w:sz="0" w:space="0" w:color="auto"/>
          </w:divBdr>
        </w:div>
        <w:div w:id="569538992">
          <w:marLeft w:val="480"/>
          <w:marRight w:val="0"/>
          <w:marTop w:val="0"/>
          <w:marBottom w:val="0"/>
          <w:divBdr>
            <w:top w:val="none" w:sz="0" w:space="0" w:color="auto"/>
            <w:left w:val="none" w:sz="0" w:space="0" w:color="auto"/>
            <w:bottom w:val="none" w:sz="0" w:space="0" w:color="auto"/>
            <w:right w:val="none" w:sz="0" w:space="0" w:color="auto"/>
          </w:divBdr>
        </w:div>
        <w:div w:id="238565398">
          <w:marLeft w:val="480"/>
          <w:marRight w:val="0"/>
          <w:marTop w:val="0"/>
          <w:marBottom w:val="0"/>
          <w:divBdr>
            <w:top w:val="none" w:sz="0" w:space="0" w:color="auto"/>
            <w:left w:val="none" w:sz="0" w:space="0" w:color="auto"/>
            <w:bottom w:val="none" w:sz="0" w:space="0" w:color="auto"/>
            <w:right w:val="none" w:sz="0" w:space="0" w:color="auto"/>
          </w:divBdr>
        </w:div>
        <w:div w:id="1025055623">
          <w:marLeft w:val="480"/>
          <w:marRight w:val="0"/>
          <w:marTop w:val="0"/>
          <w:marBottom w:val="0"/>
          <w:divBdr>
            <w:top w:val="none" w:sz="0" w:space="0" w:color="auto"/>
            <w:left w:val="none" w:sz="0" w:space="0" w:color="auto"/>
            <w:bottom w:val="none" w:sz="0" w:space="0" w:color="auto"/>
            <w:right w:val="none" w:sz="0" w:space="0" w:color="auto"/>
          </w:divBdr>
        </w:div>
        <w:div w:id="742023940">
          <w:marLeft w:val="480"/>
          <w:marRight w:val="0"/>
          <w:marTop w:val="0"/>
          <w:marBottom w:val="0"/>
          <w:divBdr>
            <w:top w:val="none" w:sz="0" w:space="0" w:color="auto"/>
            <w:left w:val="none" w:sz="0" w:space="0" w:color="auto"/>
            <w:bottom w:val="none" w:sz="0" w:space="0" w:color="auto"/>
            <w:right w:val="none" w:sz="0" w:space="0" w:color="auto"/>
          </w:divBdr>
        </w:div>
        <w:div w:id="1122652046">
          <w:marLeft w:val="480"/>
          <w:marRight w:val="0"/>
          <w:marTop w:val="0"/>
          <w:marBottom w:val="0"/>
          <w:divBdr>
            <w:top w:val="none" w:sz="0" w:space="0" w:color="auto"/>
            <w:left w:val="none" w:sz="0" w:space="0" w:color="auto"/>
            <w:bottom w:val="none" w:sz="0" w:space="0" w:color="auto"/>
            <w:right w:val="none" w:sz="0" w:space="0" w:color="auto"/>
          </w:divBdr>
        </w:div>
        <w:div w:id="672496117">
          <w:marLeft w:val="480"/>
          <w:marRight w:val="0"/>
          <w:marTop w:val="0"/>
          <w:marBottom w:val="0"/>
          <w:divBdr>
            <w:top w:val="none" w:sz="0" w:space="0" w:color="auto"/>
            <w:left w:val="none" w:sz="0" w:space="0" w:color="auto"/>
            <w:bottom w:val="none" w:sz="0" w:space="0" w:color="auto"/>
            <w:right w:val="none" w:sz="0" w:space="0" w:color="auto"/>
          </w:divBdr>
        </w:div>
        <w:div w:id="1591624570">
          <w:marLeft w:val="480"/>
          <w:marRight w:val="0"/>
          <w:marTop w:val="0"/>
          <w:marBottom w:val="0"/>
          <w:divBdr>
            <w:top w:val="none" w:sz="0" w:space="0" w:color="auto"/>
            <w:left w:val="none" w:sz="0" w:space="0" w:color="auto"/>
            <w:bottom w:val="none" w:sz="0" w:space="0" w:color="auto"/>
            <w:right w:val="none" w:sz="0" w:space="0" w:color="auto"/>
          </w:divBdr>
        </w:div>
      </w:divsChild>
    </w:div>
    <w:div w:id="1249581930">
      <w:bodyDiv w:val="1"/>
      <w:marLeft w:val="0"/>
      <w:marRight w:val="0"/>
      <w:marTop w:val="0"/>
      <w:marBottom w:val="0"/>
      <w:divBdr>
        <w:top w:val="none" w:sz="0" w:space="0" w:color="auto"/>
        <w:left w:val="none" w:sz="0" w:space="0" w:color="auto"/>
        <w:bottom w:val="none" w:sz="0" w:space="0" w:color="auto"/>
        <w:right w:val="none" w:sz="0" w:space="0" w:color="auto"/>
      </w:divBdr>
      <w:divsChild>
        <w:div w:id="1508519427">
          <w:marLeft w:val="480"/>
          <w:marRight w:val="0"/>
          <w:marTop w:val="0"/>
          <w:marBottom w:val="0"/>
          <w:divBdr>
            <w:top w:val="none" w:sz="0" w:space="0" w:color="auto"/>
            <w:left w:val="none" w:sz="0" w:space="0" w:color="auto"/>
            <w:bottom w:val="none" w:sz="0" w:space="0" w:color="auto"/>
            <w:right w:val="none" w:sz="0" w:space="0" w:color="auto"/>
          </w:divBdr>
        </w:div>
        <w:div w:id="996222613">
          <w:marLeft w:val="480"/>
          <w:marRight w:val="0"/>
          <w:marTop w:val="0"/>
          <w:marBottom w:val="0"/>
          <w:divBdr>
            <w:top w:val="none" w:sz="0" w:space="0" w:color="auto"/>
            <w:left w:val="none" w:sz="0" w:space="0" w:color="auto"/>
            <w:bottom w:val="none" w:sz="0" w:space="0" w:color="auto"/>
            <w:right w:val="none" w:sz="0" w:space="0" w:color="auto"/>
          </w:divBdr>
        </w:div>
        <w:div w:id="1044018094">
          <w:marLeft w:val="480"/>
          <w:marRight w:val="0"/>
          <w:marTop w:val="0"/>
          <w:marBottom w:val="0"/>
          <w:divBdr>
            <w:top w:val="none" w:sz="0" w:space="0" w:color="auto"/>
            <w:left w:val="none" w:sz="0" w:space="0" w:color="auto"/>
            <w:bottom w:val="none" w:sz="0" w:space="0" w:color="auto"/>
            <w:right w:val="none" w:sz="0" w:space="0" w:color="auto"/>
          </w:divBdr>
        </w:div>
        <w:div w:id="2071070741">
          <w:marLeft w:val="480"/>
          <w:marRight w:val="0"/>
          <w:marTop w:val="0"/>
          <w:marBottom w:val="0"/>
          <w:divBdr>
            <w:top w:val="none" w:sz="0" w:space="0" w:color="auto"/>
            <w:left w:val="none" w:sz="0" w:space="0" w:color="auto"/>
            <w:bottom w:val="none" w:sz="0" w:space="0" w:color="auto"/>
            <w:right w:val="none" w:sz="0" w:space="0" w:color="auto"/>
          </w:divBdr>
        </w:div>
        <w:div w:id="624501998">
          <w:marLeft w:val="480"/>
          <w:marRight w:val="0"/>
          <w:marTop w:val="0"/>
          <w:marBottom w:val="0"/>
          <w:divBdr>
            <w:top w:val="none" w:sz="0" w:space="0" w:color="auto"/>
            <w:left w:val="none" w:sz="0" w:space="0" w:color="auto"/>
            <w:bottom w:val="none" w:sz="0" w:space="0" w:color="auto"/>
            <w:right w:val="none" w:sz="0" w:space="0" w:color="auto"/>
          </w:divBdr>
        </w:div>
        <w:div w:id="1167791424">
          <w:marLeft w:val="480"/>
          <w:marRight w:val="0"/>
          <w:marTop w:val="0"/>
          <w:marBottom w:val="0"/>
          <w:divBdr>
            <w:top w:val="none" w:sz="0" w:space="0" w:color="auto"/>
            <w:left w:val="none" w:sz="0" w:space="0" w:color="auto"/>
            <w:bottom w:val="none" w:sz="0" w:space="0" w:color="auto"/>
            <w:right w:val="none" w:sz="0" w:space="0" w:color="auto"/>
          </w:divBdr>
        </w:div>
        <w:div w:id="1349484045">
          <w:marLeft w:val="480"/>
          <w:marRight w:val="0"/>
          <w:marTop w:val="0"/>
          <w:marBottom w:val="0"/>
          <w:divBdr>
            <w:top w:val="none" w:sz="0" w:space="0" w:color="auto"/>
            <w:left w:val="none" w:sz="0" w:space="0" w:color="auto"/>
            <w:bottom w:val="none" w:sz="0" w:space="0" w:color="auto"/>
            <w:right w:val="none" w:sz="0" w:space="0" w:color="auto"/>
          </w:divBdr>
        </w:div>
        <w:div w:id="1922449835">
          <w:marLeft w:val="480"/>
          <w:marRight w:val="0"/>
          <w:marTop w:val="0"/>
          <w:marBottom w:val="0"/>
          <w:divBdr>
            <w:top w:val="none" w:sz="0" w:space="0" w:color="auto"/>
            <w:left w:val="none" w:sz="0" w:space="0" w:color="auto"/>
            <w:bottom w:val="none" w:sz="0" w:space="0" w:color="auto"/>
            <w:right w:val="none" w:sz="0" w:space="0" w:color="auto"/>
          </w:divBdr>
        </w:div>
        <w:div w:id="1631786104">
          <w:marLeft w:val="480"/>
          <w:marRight w:val="0"/>
          <w:marTop w:val="0"/>
          <w:marBottom w:val="0"/>
          <w:divBdr>
            <w:top w:val="none" w:sz="0" w:space="0" w:color="auto"/>
            <w:left w:val="none" w:sz="0" w:space="0" w:color="auto"/>
            <w:bottom w:val="none" w:sz="0" w:space="0" w:color="auto"/>
            <w:right w:val="none" w:sz="0" w:space="0" w:color="auto"/>
          </w:divBdr>
        </w:div>
        <w:div w:id="1017997824">
          <w:marLeft w:val="480"/>
          <w:marRight w:val="0"/>
          <w:marTop w:val="0"/>
          <w:marBottom w:val="0"/>
          <w:divBdr>
            <w:top w:val="none" w:sz="0" w:space="0" w:color="auto"/>
            <w:left w:val="none" w:sz="0" w:space="0" w:color="auto"/>
            <w:bottom w:val="none" w:sz="0" w:space="0" w:color="auto"/>
            <w:right w:val="none" w:sz="0" w:space="0" w:color="auto"/>
          </w:divBdr>
        </w:div>
        <w:div w:id="779879350">
          <w:marLeft w:val="480"/>
          <w:marRight w:val="0"/>
          <w:marTop w:val="0"/>
          <w:marBottom w:val="0"/>
          <w:divBdr>
            <w:top w:val="none" w:sz="0" w:space="0" w:color="auto"/>
            <w:left w:val="none" w:sz="0" w:space="0" w:color="auto"/>
            <w:bottom w:val="none" w:sz="0" w:space="0" w:color="auto"/>
            <w:right w:val="none" w:sz="0" w:space="0" w:color="auto"/>
          </w:divBdr>
        </w:div>
        <w:div w:id="1960333811">
          <w:marLeft w:val="480"/>
          <w:marRight w:val="0"/>
          <w:marTop w:val="0"/>
          <w:marBottom w:val="0"/>
          <w:divBdr>
            <w:top w:val="none" w:sz="0" w:space="0" w:color="auto"/>
            <w:left w:val="none" w:sz="0" w:space="0" w:color="auto"/>
            <w:bottom w:val="none" w:sz="0" w:space="0" w:color="auto"/>
            <w:right w:val="none" w:sz="0" w:space="0" w:color="auto"/>
          </w:divBdr>
        </w:div>
        <w:div w:id="141312764">
          <w:marLeft w:val="480"/>
          <w:marRight w:val="0"/>
          <w:marTop w:val="0"/>
          <w:marBottom w:val="0"/>
          <w:divBdr>
            <w:top w:val="none" w:sz="0" w:space="0" w:color="auto"/>
            <w:left w:val="none" w:sz="0" w:space="0" w:color="auto"/>
            <w:bottom w:val="none" w:sz="0" w:space="0" w:color="auto"/>
            <w:right w:val="none" w:sz="0" w:space="0" w:color="auto"/>
          </w:divBdr>
        </w:div>
      </w:divsChild>
    </w:div>
    <w:div w:id="1271402350">
      <w:bodyDiv w:val="1"/>
      <w:marLeft w:val="0"/>
      <w:marRight w:val="0"/>
      <w:marTop w:val="0"/>
      <w:marBottom w:val="0"/>
      <w:divBdr>
        <w:top w:val="none" w:sz="0" w:space="0" w:color="auto"/>
        <w:left w:val="none" w:sz="0" w:space="0" w:color="auto"/>
        <w:bottom w:val="none" w:sz="0" w:space="0" w:color="auto"/>
        <w:right w:val="none" w:sz="0" w:space="0" w:color="auto"/>
      </w:divBdr>
      <w:divsChild>
        <w:div w:id="873081035">
          <w:marLeft w:val="480"/>
          <w:marRight w:val="0"/>
          <w:marTop w:val="0"/>
          <w:marBottom w:val="0"/>
          <w:divBdr>
            <w:top w:val="none" w:sz="0" w:space="0" w:color="auto"/>
            <w:left w:val="none" w:sz="0" w:space="0" w:color="auto"/>
            <w:bottom w:val="none" w:sz="0" w:space="0" w:color="auto"/>
            <w:right w:val="none" w:sz="0" w:space="0" w:color="auto"/>
          </w:divBdr>
        </w:div>
        <w:div w:id="57016503">
          <w:marLeft w:val="480"/>
          <w:marRight w:val="0"/>
          <w:marTop w:val="0"/>
          <w:marBottom w:val="0"/>
          <w:divBdr>
            <w:top w:val="none" w:sz="0" w:space="0" w:color="auto"/>
            <w:left w:val="none" w:sz="0" w:space="0" w:color="auto"/>
            <w:bottom w:val="none" w:sz="0" w:space="0" w:color="auto"/>
            <w:right w:val="none" w:sz="0" w:space="0" w:color="auto"/>
          </w:divBdr>
        </w:div>
        <w:div w:id="2074159269">
          <w:marLeft w:val="480"/>
          <w:marRight w:val="0"/>
          <w:marTop w:val="0"/>
          <w:marBottom w:val="0"/>
          <w:divBdr>
            <w:top w:val="none" w:sz="0" w:space="0" w:color="auto"/>
            <w:left w:val="none" w:sz="0" w:space="0" w:color="auto"/>
            <w:bottom w:val="none" w:sz="0" w:space="0" w:color="auto"/>
            <w:right w:val="none" w:sz="0" w:space="0" w:color="auto"/>
          </w:divBdr>
        </w:div>
      </w:divsChild>
    </w:div>
    <w:div w:id="1280333123">
      <w:bodyDiv w:val="1"/>
      <w:marLeft w:val="0"/>
      <w:marRight w:val="0"/>
      <w:marTop w:val="0"/>
      <w:marBottom w:val="0"/>
      <w:divBdr>
        <w:top w:val="none" w:sz="0" w:space="0" w:color="auto"/>
        <w:left w:val="none" w:sz="0" w:space="0" w:color="auto"/>
        <w:bottom w:val="none" w:sz="0" w:space="0" w:color="auto"/>
        <w:right w:val="none" w:sz="0" w:space="0" w:color="auto"/>
      </w:divBdr>
    </w:div>
    <w:div w:id="1409305602">
      <w:bodyDiv w:val="1"/>
      <w:marLeft w:val="0"/>
      <w:marRight w:val="0"/>
      <w:marTop w:val="0"/>
      <w:marBottom w:val="0"/>
      <w:divBdr>
        <w:top w:val="none" w:sz="0" w:space="0" w:color="auto"/>
        <w:left w:val="none" w:sz="0" w:space="0" w:color="auto"/>
        <w:bottom w:val="none" w:sz="0" w:space="0" w:color="auto"/>
        <w:right w:val="none" w:sz="0" w:space="0" w:color="auto"/>
      </w:divBdr>
      <w:divsChild>
        <w:div w:id="1580948151">
          <w:marLeft w:val="480"/>
          <w:marRight w:val="0"/>
          <w:marTop w:val="0"/>
          <w:marBottom w:val="0"/>
          <w:divBdr>
            <w:top w:val="none" w:sz="0" w:space="0" w:color="auto"/>
            <w:left w:val="none" w:sz="0" w:space="0" w:color="auto"/>
            <w:bottom w:val="none" w:sz="0" w:space="0" w:color="auto"/>
            <w:right w:val="none" w:sz="0" w:space="0" w:color="auto"/>
          </w:divBdr>
        </w:div>
        <w:div w:id="829293744">
          <w:marLeft w:val="480"/>
          <w:marRight w:val="0"/>
          <w:marTop w:val="0"/>
          <w:marBottom w:val="0"/>
          <w:divBdr>
            <w:top w:val="none" w:sz="0" w:space="0" w:color="auto"/>
            <w:left w:val="none" w:sz="0" w:space="0" w:color="auto"/>
            <w:bottom w:val="none" w:sz="0" w:space="0" w:color="auto"/>
            <w:right w:val="none" w:sz="0" w:space="0" w:color="auto"/>
          </w:divBdr>
        </w:div>
        <w:div w:id="1287392436">
          <w:marLeft w:val="480"/>
          <w:marRight w:val="0"/>
          <w:marTop w:val="0"/>
          <w:marBottom w:val="0"/>
          <w:divBdr>
            <w:top w:val="none" w:sz="0" w:space="0" w:color="auto"/>
            <w:left w:val="none" w:sz="0" w:space="0" w:color="auto"/>
            <w:bottom w:val="none" w:sz="0" w:space="0" w:color="auto"/>
            <w:right w:val="none" w:sz="0" w:space="0" w:color="auto"/>
          </w:divBdr>
        </w:div>
        <w:div w:id="1889755929">
          <w:marLeft w:val="480"/>
          <w:marRight w:val="0"/>
          <w:marTop w:val="0"/>
          <w:marBottom w:val="0"/>
          <w:divBdr>
            <w:top w:val="none" w:sz="0" w:space="0" w:color="auto"/>
            <w:left w:val="none" w:sz="0" w:space="0" w:color="auto"/>
            <w:bottom w:val="none" w:sz="0" w:space="0" w:color="auto"/>
            <w:right w:val="none" w:sz="0" w:space="0" w:color="auto"/>
          </w:divBdr>
        </w:div>
        <w:div w:id="1448697337">
          <w:marLeft w:val="480"/>
          <w:marRight w:val="0"/>
          <w:marTop w:val="0"/>
          <w:marBottom w:val="0"/>
          <w:divBdr>
            <w:top w:val="none" w:sz="0" w:space="0" w:color="auto"/>
            <w:left w:val="none" w:sz="0" w:space="0" w:color="auto"/>
            <w:bottom w:val="none" w:sz="0" w:space="0" w:color="auto"/>
            <w:right w:val="none" w:sz="0" w:space="0" w:color="auto"/>
          </w:divBdr>
        </w:div>
        <w:div w:id="760568750">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3743907">
      <w:bodyDiv w:val="1"/>
      <w:marLeft w:val="0"/>
      <w:marRight w:val="0"/>
      <w:marTop w:val="0"/>
      <w:marBottom w:val="0"/>
      <w:divBdr>
        <w:top w:val="none" w:sz="0" w:space="0" w:color="auto"/>
        <w:left w:val="none" w:sz="0" w:space="0" w:color="auto"/>
        <w:bottom w:val="none" w:sz="0" w:space="0" w:color="auto"/>
        <w:right w:val="none" w:sz="0" w:space="0" w:color="auto"/>
      </w:divBdr>
    </w:div>
    <w:div w:id="1451898743">
      <w:bodyDiv w:val="1"/>
      <w:marLeft w:val="0"/>
      <w:marRight w:val="0"/>
      <w:marTop w:val="0"/>
      <w:marBottom w:val="0"/>
      <w:divBdr>
        <w:top w:val="none" w:sz="0" w:space="0" w:color="auto"/>
        <w:left w:val="none" w:sz="0" w:space="0" w:color="auto"/>
        <w:bottom w:val="none" w:sz="0" w:space="0" w:color="auto"/>
        <w:right w:val="none" w:sz="0" w:space="0" w:color="auto"/>
      </w:divBdr>
    </w:div>
    <w:div w:id="1477649936">
      <w:bodyDiv w:val="1"/>
      <w:marLeft w:val="0"/>
      <w:marRight w:val="0"/>
      <w:marTop w:val="0"/>
      <w:marBottom w:val="0"/>
      <w:divBdr>
        <w:top w:val="none" w:sz="0" w:space="0" w:color="auto"/>
        <w:left w:val="none" w:sz="0" w:space="0" w:color="auto"/>
        <w:bottom w:val="none" w:sz="0" w:space="0" w:color="auto"/>
        <w:right w:val="none" w:sz="0" w:space="0" w:color="auto"/>
      </w:divBdr>
      <w:divsChild>
        <w:div w:id="337778106">
          <w:marLeft w:val="480"/>
          <w:marRight w:val="0"/>
          <w:marTop w:val="0"/>
          <w:marBottom w:val="0"/>
          <w:divBdr>
            <w:top w:val="none" w:sz="0" w:space="0" w:color="auto"/>
            <w:left w:val="none" w:sz="0" w:space="0" w:color="auto"/>
            <w:bottom w:val="none" w:sz="0" w:space="0" w:color="auto"/>
            <w:right w:val="none" w:sz="0" w:space="0" w:color="auto"/>
          </w:divBdr>
        </w:div>
        <w:div w:id="39013839">
          <w:marLeft w:val="480"/>
          <w:marRight w:val="0"/>
          <w:marTop w:val="0"/>
          <w:marBottom w:val="0"/>
          <w:divBdr>
            <w:top w:val="none" w:sz="0" w:space="0" w:color="auto"/>
            <w:left w:val="none" w:sz="0" w:space="0" w:color="auto"/>
            <w:bottom w:val="none" w:sz="0" w:space="0" w:color="auto"/>
            <w:right w:val="none" w:sz="0" w:space="0" w:color="auto"/>
          </w:divBdr>
        </w:div>
        <w:div w:id="598221231">
          <w:marLeft w:val="480"/>
          <w:marRight w:val="0"/>
          <w:marTop w:val="0"/>
          <w:marBottom w:val="0"/>
          <w:divBdr>
            <w:top w:val="none" w:sz="0" w:space="0" w:color="auto"/>
            <w:left w:val="none" w:sz="0" w:space="0" w:color="auto"/>
            <w:bottom w:val="none" w:sz="0" w:space="0" w:color="auto"/>
            <w:right w:val="none" w:sz="0" w:space="0" w:color="auto"/>
          </w:divBdr>
        </w:div>
        <w:div w:id="947548216">
          <w:marLeft w:val="480"/>
          <w:marRight w:val="0"/>
          <w:marTop w:val="0"/>
          <w:marBottom w:val="0"/>
          <w:divBdr>
            <w:top w:val="none" w:sz="0" w:space="0" w:color="auto"/>
            <w:left w:val="none" w:sz="0" w:space="0" w:color="auto"/>
            <w:bottom w:val="none" w:sz="0" w:space="0" w:color="auto"/>
            <w:right w:val="none" w:sz="0" w:space="0" w:color="auto"/>
          </w:divBdr>
        </w:div>
        <w:div w:id="999775660">
          <w:marLeft w:val="480"/>
          <w:marRight w:val="0"/>
          <w:marTop w:val="0"/>
          <w:marBottom w:val="0"/>
          <w:divBdr>
            <w:top w:val="none" w:sz="0" w:space="0" w:color="auto"/>
            <w:left w:val="none" w:sz="0" w:space="0" w:color="auto"/>
            <w:bottom w:val="none" w:sz="0" w:space="0" w:color="auto"/>
            <w:right w:val="none" w:sz="0" w:space="0" w:color="auto"/>
          </w:divBdr>
        </w:div>
        <w:div w:id="1129595048">
          <w:marLeft w:val="480"/>
          <w:marRight w:val="0"/>
          <w:marTop w:val="0"/>
          <w:marBottom w:val="0"/>
          <w:divBdr>
            <w:top w:val="none" w:sz="0" w:space="0" w:color="auto"/>
            <w:left w:val="none" w:sz="0" w:space="0" w:color="auto"/>
            <w:bottom w:val="none" w:sz="0" w:space="0" w:color="auto"/>
            <w:right w:val="none" w:sz="0" w:space="0" w:color="auto"/>
          </w:divBdr>
        </w:div>
        <w:div w:id="21127164">
          <w:marLeft w:val="480"/>
          <w:marRight w:val="0"/>
          <w:marTop w:val="0"/>
          <w:marBottom w:val="0"/>
          <w:divBdr>
            <w:top w:val="none" w:sz="0" w:space="0" w:color="auto"/>
            <w:left w:val="none" w:sz="0" w:space="0" w:color="auto"/>
            <w:bottom w:val="none" w:sz="0" w:space="0" w:color="auto"/>
            <w:right w:val="none" w:sz="0" w:space="0" w:color="auto"/>
          </w:divBdr>
        </w:div>
        <w:div w:id="1716929675">
          <w:marLeft w:val="480"/>
          <w:marRight w:val="0"/>
          <w:marTop w:val="0"/>
          <w:marBottom w:val="0"/>
          <w:divBdr>
            <w:top w:val="none" w:sz="0" w:space="0" w:color="auto"/>
            <w:left w:val="none" w:sz="0" w:space="0" w:color="auto"/>
            <w:bottom w:val="none" w:sz="0" w:space="0" w:color="auto"/>
            <w:right w:val="none" w:sz="0" w:space="0" w:color="auto"/>
          </w:divBdr>
        </w:div>
        <w:div w:id="351541357">
          <w:marLeft w:val="480"/>
          <w:marRight w:val="0"/>
          <w:marTop w:val="0"/>
          <w:marBottom w:val="0"/>
          <w:divBdr>
            <w:top w:val="none" w:sz="0" w:space="0" w:color="auto"/>
            <w:left w:val="none" w:sz="0" w:space="0" w:color="auto"/>
            <w:bottom w:val="none" w:sz="0" w:space="0" w:color="auto"/>
            <w:right w:val="none" w:sz="0" w:space="0" w:color="auto"/>
          </w:divBdr>
        </w:div>
        <w:div w:id="262810519">
          <w:marLeft w:val="480"/>
          <w:marRight w:val="0"/>
          <w:marTop w:val="0"/>
          <w:marBottom w:val="0"/>
          <w:divBdr>
            <w:top w:val="none" w:sz="0" w:space="0" w:color="auto"/>
            <w:left w:val="none" w:sz="0" w:space="0" w:color="auto"/>
            <w:bottom w:val="none" w:sz="0" w:space="0" w:color="auto"/>
            <w:right w:val="none" w:sz="0" w:space="0" w:color="auto"/>
          </w:divBdr>
        </w:div>
        <w:div w:id="1183473399">
          <w:marLeft w:val="480"/>
          <w:marRight w:val="0"/>
          <w:marTop w:val="0"/>
          <w:marBottom w:val="0"/>
          <w:divBdr>
            <w:top w:val="none" w:sz="0" w:space="0" w:color="auto"/>
            <w:left w:val="none" w:sz="0" w:space="0" w:color="auto"/>
            <w:bottom w:val="none" w:sz="0" w:space="0" w:color="auto"/>
            <w:right w:val="none" w:sz="0" w:space="0" w:color="auto"/>
          </w:divBdr>
        </w:div>
        <w:div w:id="1097747230">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1119532">
      <w:bodyDiv w:val="1"/>
      <w:marLeft w:val="0"/>
      <w:marRight w:val="0"/>
      <w:marTop w:val="0"/>
      <w:marBottom w:val="0"/>
      <w:divBdr>
        <w:top w:val="none" w:sz="0" w:space="0" w:color="auto"/>
        <w:left w:val="none" w:sz="0" w:space="0" w:color="auto"/>
        <w:bottom w:val="none" w:sz="0" w:space="0" w:color="auto"/>
        <w:right w:val="none" w:sz="0" w:space="0" w:color="auto"/>
      </w:divBdr>
      <w:divsChild>
        <w:div w:id="1034772894">
          <w:marLeft w:val="480"/>
          <w:marRight w:val="0"/>
          <w:marTop w:val="0"/>
          <w:marBottom w:val="0"/>
          <w:divBdr>
            <w:top w:val="none" w:sz="0" w:space="0" w:color="auto"/>
            <w:left w:val="none" w:sz="0" w:space="0" w:color="auto"/>
            <w:bottom w:val="none" w:sz="0" w:space="0" w:color="auto"/>
            <w:right w:val="none" w:sz="0" w:space="0" w:color="auto"/>
          </w:divBdr>
        </w:div>
        <w:div w:id="2139566908">
          <w:marLeft w:val="480"/>
          <w:marRight w:val="0"/>
          <w:marTop w:val="0"/>
          <w:marBottom w:val="0"/>
          <w:divBdr>
            <w:top w:val="none" w:sz="0" w:space="0" w:color="auto"/>
            <w:left w:val="none" w:sz="0" w:space="0" w:color="auto"/>
            <w:bottom w:val="none" w:sz="0" w:space="0" w:color="auto"/>
            <w:right w:val="none" w:sz="0" w:space="0" w:color="auto"/>
          </w:divBdr>
        </w:div>
        <w:div w:id="200290232">
          <w:marLeft w:val="480"/>
          <w:marRight w:val="0"/>
          <w:marTop w:val="0"/>
          <w:marBottom w:val="0"/>
          <w:divBdr>
            <w:top w:val="none" w:sz="0" w:space="0" w:color="auto"/>
            <w:left w:val="none" w:sz="0" w:space="0" w:color="auto"/>
            <w:bottom w:val="none" w:sz="0" w:space="0" w:color="auto"/>
            <w:right w:val="none" w:sz="0" w:space="0" w:color="auto"/>
          </w:divBdr>
        </w:div>
        <w:div w:id="1178613148">
          <w:marLeft w:val="480"/>
          <w:marRight w:val="0"/>
          <w:marTop w:val="0"/>
          <w:marBottom w:val="0"/>
          <w:divBdr>
            <w:top w:val="none" w:sz="0" w:space="0" w:color="auto"/>
            <w:left w:val="none" w:sz="0" w:space="0" w:color="auto"/>
            <w:bottom w:val="none" w:sz="0" w:space="0" w:color="auto"/>
            <w:right w:val="none" w:sz="0" w:space="0" w:color="auto"/>
          </w:divBdr>
        </w:div>
        <w:div w:id="738556602">
          <w:marLeft w:val="480"/>
          <w:marRight w:val="0"/>
          <w:marTop w:val="0"/>
          <w:marBottom w:val="0"/>
          <w:divBdr>
            <w:top w:val="none" w:sz="0" w:space="0" w:color="auto"/>
            <w:left w:val="none" w:sz="0" w:space="0" w:color="auto"/>
            <w:bottom w:val="none" w:sz="0" w:space="0" w:color="auto"/>
            <w:right w:val="none" w:sz="0" w:space="0" w:color="auto"/>
          </w:divBdr>
        </w:div>
        <w:div w:id="1514221707">
          <w:marLeft w:val="480"/>
          <w:marRight w:val="0"/>
          <w:marTop w:val="0"/>
          <w:marBottom w:val="0"/>
          <w:divBdr>
            <w:top w:val="none" w:sz="0" w:space="0" w:color="auto"/>
            <w:left w:val="none" w:sz="0" w:space="0" w:color="auto"/>
            <w:bottom w:val="none" w:sz="0" w:space="0" w:color="auto"/>
            <w:right w:val="none" w:sz="0" w:space="0" w:color="auto"/>
          </w:divBdr>
        </w:div>
        <w:div w:id="1561358373">
          <w:marLeft w:val="480"/>
          <w:marRight w:val="0"/>
          <w:marTop w:val="0"/>
          <w:marBottom w:val="0"/>
          <w:divBdr>
            <w:top w:val="none" w:sz="0" w:space="0" w:color="auto"/>
            <w:left w:val="none" w:sz="0" w:space="0" w:color="auto"/>
            <w:bottom w:val="none" w:sz="0" w:space="0" w:color="auto"/>
            <w:right w:val="none" w:sz="0" w:space="0" w:color="auto"/>
          </w:divBdr>
        </w:div>
        <w:div w:id="1771924834">
          <w:marLeft w:val="480"/>
          <w:marRight w:val="0"/>
          <w:marTop w:val="0"/>
          <w:marBottom w:val="0"/>
          <w:divBdr>
            <w:top w:val="none" w:sz="0" w:space="0" w:color="auto"/>
            <w:left w:val="none" w:sz="0" w:space="0" w:color="auto"/>
            <w:bottom w:val="none" w:sz="0" w:space="0" w:color="auto"/>
            <w:right w:val="none" w:sz="0" w:space="0" w:color="auto"/>
          </w:divBdr>
        </w:div>
        <w:div w:id="18892958">
          <w:marLeft w:val="480"/>
          <w:marRight w:val="0"/>
          <w:marTop w:val="0"/>
          <w:marBottom w:val="0"/>
          <w:divBdr>
            <w:top w:val="none" w:sz="0" w:space="0" w:color="auto"/>
            <w:left w:val="none" w:sz="0" w:space="0" w:color="auto"/>
            <w:bottom w:val="none" w:sz="0" w:space="0" w:color="auto"/>
            <w:right w:val="none" w:sz="0" w:space="0" w:color="auto"/>
          </w:divBdr>
        </w:div>
        <w:div w:id="1810245784">
          <w:marLeft w:val="480"/>
          <w:marRight w:val="0"/>
          <w:marTop w:val="0"/>
          <w:marBottom w:val="0"/>
          <w:divBdr>
            <w:top w:val="none" w:sz="0" w:space="0" w:color="auto"/>
            <w:left w:val="none" w:sz="0" w:space="0" w:color="auto"/>
            <w:bottom w:val="none" w:sz="0" w:space="0" w:color="auto"/>
            <w:right w:val="none" w:sz="0" w:space="0" w:color="auto"/>
          </w:divBdr>
        </w:div>
      </w:divsChild>
    </w:div>
    <w:div w:id="1596597286">
      <w:bodyDiv w:val="1"/>
      <w:marLeft w:val="0"/>
      <w:marRight w:val="0"/>
      <w:marTop w:val="0"/>
      <w:marBottom w:val="0"/>
      <w:divBdr>
        <w:top w:val="none" w:sz="0" w:space="0" w:color="auto"/>
        <w:left w:val="none" w:sz="0" w:space="0" w:color="auto"/>
        <w:bottom w:val="none" w:sz="0" w:space="0" w:color="auto"/>
        <w:right w:val="none" w:sz="0" w:space="0" w:color="auto"/>
      </w:divBdr>
      <w:divsChild>
        <w:div w:id="1528641067">
          <w:marLeft w:val="480"/>
          <w:marRight w:val="0"/>
          <w:marTop w:val="0"/>
          <w:marBottom w:val="0"/>
          <w:divBdr>
            <w:top w:val="none" w:sz="0" w:space="0" w:color="auto"/>
            <w:left w:val="none" w:sz="0" w:space="0" w:color="auto"/>
            <w:bottom w:val="none" w:sz="0" w:space="0" w:color="auto"/>
            <w:right w:val="none" w:sz="0" w:space="0" w:color="auto"/>
          </w:divBdr>
        </w:div>
        <w:div w:id="613246991">
          <w:marLeft w:val="480"/>
          <w:marRight w:val="0"/>
          <w:marTop w:val="0"/>
          <w:marBottom w:val="0"/>
          <w:divBdr>
            <w:top w:val="none" w:sz="0" w:space="0" w:color="auto"/>
            <w:left w:val="none" w:sz="0" w:space="0" w:color="auto"/>
            <w:bottom w:val="none" w:sz="0" w:space="0" w:color="auto"/>
            <w:right w:val="none" w:sz="0" w:space="0" w:color="auto"/>
          </w:divBdr>
        </w:div>
        <w:div w:id="773401886">
          <w:marLeft w:val="480"/>
          <w:marRight w:val="0"/>
          <w:marTop w:val="0"/>
          <w:marBottom w:val="0"/>
          <w:divBdr>
            <w:top w:val="none" w:sz="0" w:space="0" w:color="auto"/>
            <w:left w:val="none" w:sz="0" w:space="0" w:color="auto"/>
            <w:bottom w:val="none" w:sz="0" w:space="0" w:color="auto"/>
            <w:right w:val="none" w:sz="0" w:space="0" w:color="auto"/>
          </w:divBdr>
        </w:div>
        <w:div w:id="1737820597">
          <w:marLeft w:val="480"/>
          <w:marRight w:val="0"/>
          <w:marTop w:val="0"/>
          <w:marBottom w:val="0"/>
          <w:divBdr>
            <w:top w:val="none" w:sz="0" w:space="0" w:color="auto"/>
            <w:left w:val="none" w:sz="0" w:space="0" w:color="auto"/>
            <w:bottom w:val="none" w:sz="0" w:space="0" w:color="auto"/>
            <w:right w:val="none" w:sz="0" w:space="0" w:color="auto"/>
          </w:divBdr>
        </w:div>
        <w:div w:id="1980649508">
          <w:marLeft w:val="480"/>
          <w:marRight w:val="0"/>
          <w:marTop w:val="0"/>
          <w:marBottom w:val="0"/>
          <w:divBdr>
            <w:top w:val="none" w:sz="0" w:space="0" w:color="auto"/>
            <w:left w:val="none" w:sz="0" w:space="0" w:color="auto"/>
            <w:bottom w:val="none" w:sz="0" w:space="0" w:color="auto"/>
            <w:right w:val="none" w:sz="0" w:space="0" w:color="auto"/>
          </w:divBdr>
        </w:div>
        <w:div w:id="452408161">
          <w:marLeft w:val="480"/>
          <w:marRight w:val="0"/>
          <w:marTop w:val="0"/>
          <w:marBottom w:val="0"/>
          <w:divBdr>
            <w:top w:val="none" w:sz="0" w:space="0" w:color="auto"/>
            <w:left w:val="none" w:sz="0" w:space="0" w:color="auto"/>
            <w:bottom w:val="none" w:sz="0" w:space="0" w:color="auto"/>
            <w:right w:val="none" w:sz="0" w:space="0" w:color="auto"/>
          </w:divBdr>
        </w:div>
        <w:div w:id="819733364">
          <w:marLeft w:val="480"/>
          <w:marRight w:val="0"/>
          <w:marTop w:val="0"/>
          <w:marBottom w:val="0"/>
          <w:divBdr>
            <w:top w:val="none" w:sz="0" w:space="0" w:color="auto"/>
            <w:left w:val="none" w:sz="0" w:space="0" w:color="auto"/>
            <w:bottom w:val="none" w:sz="0" w:space="0" w:color="auto"/>
            <w:right w:val="none" w:sz="0" w:space="0" w:color="auto"/>
          </w:divBdr>
        </w:div>
        <w:div w:id="638923763">
          <w:marLeft w:val="480"/>
          <w:marRight w:val="0"/>
          <w:marTop w:val="0"/>
          <w:marBottom w:val="0"/>
          <w:divBdr>
            <w:top w:val="none" w:sz="0" w:space="0" w:color="auto"/>
            <w:left w:val="none" w:sz="0" w:space="0" w:color="auto"/>
            <w:bottom w:val="none" w:sz="0" w:space="0" w:color="auto"/>
            <w:right w:val="none" w:sz="0" w:space="0" w:color="auto"/>
          </w:divBdr>
        </w:div>
        <w:div w:id="33816816">
          <w:marLeft w:val="480"/>
          <w:marRight w:val="0"/>
          <w:marTop w:val="0"/>
          <w:marBottom w:val="0"/>
          <w:divBdr>
            <w:top w:val="none" w:sz="0" w:space="0" w:color="auto"/>
            <w:left w:val="none" w:sz="0" w:space="0" w:color="auto"/>
            <w:bottom w:val="none" w:sz="0" w:space="0" w:color="auto"/>
            <w:right w:val="none" w:sz="0" w:space="0" w:color="auto"/>
          </w:divBdr>
        </w:div>
        <w:div w:id="87964272">
          <w:marLeft w:val="480"/>
          <w:marRight w:val="0"/>
          <w:marTop w:val="0"/>
          <w:marBottom w:val="0"/>
          <w:divBdr>
            <w:top w:val="none" w:sz="0" w:space="0" w:color="auto"/>
            <w:left w:val="none" w:sz="0" w:space="0" w:color="auto"/>
            <w:bottom w:val="none" w:sz="0" w:space="0" w:color="auto"/>
            <w:right w:val="none" w:sz="0" w:space="0" w:color="auto"/>
          </w:divBdr>
        </w:div>
        <w:div w:id="1920753201">
          <w:marLeft w:val="480"/>
          <w:marRight w:val="0"/>
          <w:marTop w:val="0"/>
          <w:marBottom w:val="0"/>
          <w:divBdr>
            <w:top w:val="none" w:sz="0" w:space="0" w:color="auto"/>
            <w:left w:val="none" w:sz="0" w:space="0" w:color="auto"/>
            <w:bottom w:val="none" w:sz="0" w:space="0" w:color="auto"/>
            <w:right w:val="none" w:sz="0" w:space="0" w:color="auto"/>
          </w:divBdr>
        </w:div>
        <w:div w:id="632293426">
          <w:marLeft w:val="480"/>
          <w:marRight w:val="0"/>
          <w:marTop w:val="0"/>
          <w:marBottom w:val="0"/>
          <w:divBdr>
            <w:top w:val="none" w:sz="0" w:space="0" w:color="auto"/>
            <w:left w:val="none" w:sz="0" w:space="0" w:color="auto"/>
            <w:bottom w:val="none" w:sz="0" w:space="0" w:color="auto"/>
            <w:right w:val="none" w:sz="0" w:space="0" w:color="auto"/>
          </w:divBdr>
        </w:div>
        <w:div w:id="1828787040">
          <w:marLeft w:val="480"/>
          <w:marRight w:val="0"/>
          <w:marTop w:val="0"/>
          <w:marBottom w:val="0"/>
          <w:divBdr>
            <w:top w:val="none" w:sz="0" w:space="0" w:color="auto"/>
            <w:left w:val="none" w:sz="0" w:space="0" w:color="auto"/>
            <w:bottom w:val="none" w:sz="0" w:space="0" w:color="auto"/>
            <w:right w:val="none" w:sz="0" w:space="0" w:color="auto"/>
          </w:divBdr>
        </w:div>
      </w:divsChild>
    </w:div>
    <w:div w:id="1609002091">
      <w:bodyDiv w:val="1"/>
      <w:marLeft w:val="0"/>
      <w:marRight w:val="0"/>
      <w:marTop w:val="0"/>
      <w:marBottom w:val="0"/>
      <w:divBdr>
        <w:top w:val="none" w:sz="0" w:space="0" w:color="auto"/>
        <w:left w:val="none" w:sz="0" w:space="0" w:color="auto"/>
        <w:bottom w:val="none" w:sz="0" w:space="0" w:color="auto"/>
        <w:right w:val="none" w:sz="0" w:space="0" w:color="auto"/>
      </w:divBdr>
      <w:divsChild>
        <w:div w:id="711197060">
          <w:marLeft w:val="480"/>
          <w:marRight w:val="0"/>
          <w:marTop w:val="0"/>
          <w:marBottom w:val="0"/>
          <w:divBdr>
            <w:top w:val="none" w:sz="0" w:space="0" w:color="auto"/>
            <w:left w:val="none" w:sz="0" w:space="0" w:color="auto"/>
            <w:bottom w:val="none" w:sz="0" w:space="0" w:color="auto"/>
            <w:right w:val="none" w:sz="0" w:space="0" w:color="auto"/>
          </w:divBdr>
        </w:div>
        <w:div w:id="671220132">
          <w:marLeft w:val="480"/>
          <w:marRight w:val="0"/>
          <w:marTop w:val="0"/>
          <w:marBottom w:val="0"/>
          <w:divBdr>
            <w:top w:val="none" w:sz="0" w:space="0" w:color="auto"/>
            <w:left w:val="none" w:sz="0" w:space="0" w:color="auto"/>
            <w:bottom w:val="none" w:sz="0" w:space="0" w:color="auto"/>
            <w:right w:val="none" w:sz="0" w:space="0" w:color="auto"/>
          </w:divBdr>
        </w:div>
        <w:div w:id="1762335309">
          <w:marLeft w:val="480"/>
          <w:marRight w:val="0"/>
          <w:marTop w:val="0"/>
          <w:marBottom w:val="0"/>
          <w:divBdr>
            <w:top w:val="none" w:sz="0" w:space="0" w:color="auto"/>
            <w:left w:val="none" w:sz="0" w:space="0" w:color="auto"/>
            <w:bottom w:val="none" w:sz="0" w:space="0" w:color="auto"/>
            <w:right w:val="none" w:sz="0" w:space="0" w:color="auto"/>
          </w:divBdr>
        </w:div>
        <w:div w:id="249194665">
          <w:marLeft w:val="480"/>
          <w:marRight w:val="0"/>
          <w:marTop w:val="0"/>
          <w:marBottom w:val="0"/>
          <w:divBdr>
            <w:top w:val="none" w:sz="0" w:space="0" w:color="auto"/>
            <w:left w:val="none" w:sz="0" w:space="0" w:color="auto"/>
            <w:bottom w:val="none" w:sz="0" w:space="0" w:color="auto"/>
            <w:right w:val="none" w:sz="0" w:space="0" w:color="auto"/>
          </w:divBdr>
        </w:div>
        <w:div w:id="888685726">
          <w:marLeft w:val="480"/>
          <w:marRight w:val="0"/>
          <w:marTop w:val="0"/>
          <w:marBottom w:val="0"/>
          <w:divBdr>
            <w:top w:val="none" w:sz="0" w:space="0" w:color="auto"/>
            <w:left w:val="none" w:sz="0" w:space="0" w:color="auto"/>
            <w:bottom w:val="none" w:sz="0" w:space="0" w:color="auto"/>
            <w:right w:val="none" w:sz="0" w:space="0" w:color="auto"/>
          </w:divBdr>
        </w:div>
        <w:div w:id="1880701397">
          <w:marLeft w:val="480"/>
          <w:marRight w:val="0"/>
          <w:marTop w:val="0"/>
          <w:marBottom w:val="0"/>
          <w:divBdr>
            <w:top w:val="none" w:sz="0" w:space="0" w:color="auto"/>
            <w:left w:val="none" w:sz="0" w:space="0" w:color="auto"/>
            <w:bottom w:val="none" w:sz="0" w:space="0" w:color="auto"/>
            <w:right w:val="none" w:sz="0" w:space="0" w:color="auto"/>
          </w:divBdr>
        </w:div>
        <w:div w:id="796949024">
          <w:marLeft w:val="480"/>
          <w:marRight w:val="0"/>
          <w:marTop w:val="0"/>
          <w:marBottom w:val="0"/>
          <w:divBdr>
            <w:top w:val="none" w:sz="0" w:space="0" w:color="auto"/>
            <w:left w:val="none" w:sz="0" w:space="0" w:color="auto"/>
            <w:bottom w:val="none" w:sz="0" w:space="0" w:color="auto"/>
            <w:right w:val="none" w:sz="0" w:space="0" w:color="auto"/>
          </w:divBdr>
        </w:div>
        <w:div w:id="1415467330">
          <w:marLeft w:val="480"/>
          <w:marRight w:val="0"/>
          <w:marTop w:val="0"/>
          <w:marBottom w:val="0"/>
          <w:divBdr>
            <w:top w:val="none" w:sz="0" w:space="0" w:color="auto"/>
            <w:left w:val="none" w:sz="0" w:space="0" w:color="auto"/>
            <w:bottom w:val="none" w:sz="0" w:space="0" w:color="auto"/>
            <w:right w:val="none" w:sz="0" w:space="0" w:color="auto"/>
          </w:divBdr>
        </w:div>
        <w:div w:id="1664317244">
          <w:marLeft w:val="480"/>
          <w:marRight w:val="0"/>
          <w:marTop w:val="0"/>
          <w:marBottom w:val="0"/>
          <w:divBdr>
            <w:top w:val="none" w:sz="0" w:space="0" w:color="auto"/>
            <w:left w:val="none" w:sz="0" w:space="0" w:color="auto"/>
            <w:bottom w:val="none" w:sz="0" w:space="0" w:color="auto"/>
            <w:right w:val="none" w:sz="0" w:space="0" w:color="auto"/>
          </w:divBdr>
        </w:div>
        <w:div w:id="1778865986">
          <w:marLeft w:val="480"/>
          <w:marRight w:val="0"/>
          <w:marTop w:val="0"/>
          <w:marBottom w:val="0"/>
          <w:divBdr>
            <w:top w:val="none" w:sz="0" w:space="0" w:color="auto"/>
            <w:left w:val="none" w:sz="0" w:space="0" w:color="auto"/>
            <w:bottom w:val="none" w:sz="0" w:space="0" w:color="auto"/>
            <w:right w:val="none" w:sz="0" w:space="0" w:color="auto"/>
          </w:divBdr>
        </w:div>
        <w:div w:id="585958836">
          <w:marLeft w:val="480"/>
          <w:marRight w:val="0"/>
          <w:marTop w:val="0"/>
          <w:marBottom w:val="0"/>
          <w:divBdr>
            <w:top w:val="none" w:sz="0" w:space="0" w:color="auto"/>
            <w:left w:val="none" w:sz="0" w:space="0" w:color="auto"/>
            <w:bottom w:val="none" w:sz="0" w:space="0" w:color="auto"/>
            <w:right w:val="none" w:sz="0" w:space="0" w:color="auto"/>
          </w:divBdr>
        </w:div>
      </w:divsChild>
    </w:div>
    <w:div w:id="1659338273">
      <w:bodyDiv w:val="1"/>
      <w:marLeft w:val="0"/>
      <w:marRight w:val="0"/>
      <w:marTop w:val="0"/>
      <w:marBottom w:val="0"/>
      <w:divBdr>
        <w:top w:val="none" w:sz="0" w:space="0" w:color="auto"/>
        <w:left w:val="none" w:sz="0" w:space="0" w:color="auto"/>
        <w:bottom w:val="none" w:sz="0" w:space="0" w:color="auto"/>
        <w:right w:val="none" w:sz="0" w:space="0" w:color="auto"/>
      </w:divBdr>
    </w:div>
    <w:div w:id="1668366667">
      <w:bodyDiv w:val="1"/>
      <w:marLeft w:val="0"/>
      <w:marRight w:val="0"/>
      <w:marTop w:val="0"/>
      <w:marBottom w:val="0"/>
      <w:divBdr>
        <w:top w:val="none" w:sz="0" w:space="0" w:color="auto"/>
        <w:left w:val="none" w:sz="0" w:space="0" w:color="auto"/>
        <w:bottom w:val="none" w:sz="0" w:space="0" w:color="auto"/>
        <w:right w:val="none" w:sz="0" w:space="0" w:color="auto"/>
      </w:divBdr>
      <w:divsChild>
        <w:div w:id="1649355281">
          <w:marLeft w:val="480"/>
          <w:marRight w:val="0"/>
          <w:marTop w:val="0"/>
          <w:marBottom w:val="0"/>
          <w:divBdr>
            <w:top w:val="none" w:sz="0" w:space="0" w:color="auto"/>
            <w:left w:val="none" w:sz="0" w:space="0" w:color="auto"/>
            <w:bottom w:val="none" w:sz="0" w:space="0" w:color="auto"/>
            <w:right w:val="none" w:sz="0" w:space="0" w:color="auto"/>
          </w:divBdr>
        </w:div>
      </w:divsChild>
    </w:div>
    <w:div w:id="1680084555">
      <w:bodyDiv w:val="1"/>
      <w:marLeft w:val="0"/>
      <w:marRight w:val="0"/>
      <w:marTop w:val="0"/>
      <w:marBottom w:val="0"/>
      <w:divBdr>
        <w:top w:val="none" w:sz="0" w:space="0" w:color="auto"/>
        <w:left w:val="none" w:sz="0" w:space="0" w:color="auto"/>
        <w:bottom w:val="none" w:sz="0" w:space="0" w:color="auto"/>
        <w:right w:val="none" w:sz="0" w:space="0" w:color="auto"/>
      </w:divBdr>
      <w:divsChild>
        <w:div w:id="307706078">
          <w:marLeft w:val="480"/>
          <w:marRight w:val="0"/>
          <w:marTop w:val="0"/>
          <w:marBottom w:val="0"/>
          <w:divBdr>
            <w:top w:val="none" w:sz="0" w:space="0" w:color="auto"/>
            <w:left w:val="none" w:sz="0" w:space="0" w:color="auto"/>
            <w:bottom w:val="none" w:sz="0" w:space="0" w:color="auto"/>
            <w:right w:val="none" w:sz="0" w:space="0" w:color="auto"/>
          </w:divBdr>
        </w:div>
        <w:div w:id="1015114912">
          <w:marLeft w:val="480"/>
          <w:marRight w:val="0"/>
          <w:marTop w:val="0"/>
          <w:marBottom w:val="0"/>
          <w:divBdr>
            <w:top w:val="none" w:sz="0" w:space="0" w:color="auto"/>
            <w:left w:val="none" w:sz="0" w:space="0" w:color="auto"/>
            <w:bottom w:val="none" w:sz="0" w:space="0" w:color="auto"/>
            <w:right w:val="none" w:sz="0" w:space="0" w:color="auto"/>
          </w:divBdr>
        </w:div>
        <w:div w:id="1488671231">
          <w:marLeft w:val="480"/>
          <w:marRight w:val="0"/>
          <w:marTop w:val="0"/>
          <w:marBottom w:val="0"/>
          <w:divBdr>
            <w:top w:val="none" w:sz="0" w:space="0" w:color="auto"/>
            <w:left w:val="none" w:sz="0" w:space="0" w:color="auto"/>
            <w:bottom w:val="none" w:sz="0" w:space="0" w:color="auto"/>
            <w:right w:val="none" w:sz="0" w:space="0" w:color="auto"/>
          </w:divBdr>
        </w:div>
        <w:div w:id="1356226332">
          <w:marLeft w:val="480"/>
          <w:marRight w:val="0"/>
          <w:marTop w:val="0"/>
          <w:marBottom w:val="0"/>
          <w:divBdr>
            <w:top w:val="none" w:sz="0" w:space="0" w:color="auto"/>
            <w:left w:val="none" w:sz="0" w:space="0" w:color="auto"/>
            <w:bottom w:val="none" w:sz="0" w:space="0" w:color="auto"/>
            <w:right w:val="none" w:sz="0" w:space="0" w:color="auto"/>
          </w:divBdr>
        </w:div>
        <w:div w:id="1809008828">
          <w:marLeft w:val="480"/>
          <w:marRight w:val="0"/>
          <w:marTop w:val="0"/>
          <w:marBottom w:val="0"/>
          <w:divBdr>
            <w:top w:val="none" w:sz="0" w:space="0" w:color="auto"/>
            <w:left w:val="none" w:sz="0" w:space="0" w:color="auto"/>
            <w:bottom w:val="none" w:sz="0" w:space="0" w:color="auto"/>
            <w:right w:val="none" w:sz="0" w:space="0" w:color="auto"/>
          </w:divBdr>
        </w:div>
        <w:div w:id="1832019667">
          <w:marLeft w:val="480"/>
          <w:marRight w:val="0"/>
          <w:marTop w:val="0"/>
          <w:marBottom w:val="0"/>
          <w:divBdr>
            <w:top w:val="none" w:sz="0" w:space="0" w:color="auto"/>
            <w:left w:val="none" w:sz="0" w:space="0" w:color="auto"/>
            <w:bottom w:val="none" w:sz="0" w:space="0" w:color="auto"/>
            <w:right w:val="none" w:sz="0" w:space="0" w:color="auto"/>
          </w:divBdr>
        </w:div>
        <w:div w:id="1376272629">
          <w:marLeft w:val="480"/>
          <w:marRight w:val="0"/>
          <w:marTop w:val="0"/>
          <w:marBottom w:val="0"/>
          <w:divBdr>
            <w:top w:val="none" w:sz="0" w:space="0" w:color="auto"/>
            <w:left w:val="none" w:sz="0" w:space="0" w:color="auto"/>
            <w:bottom w:val="none" w:sz="0" w:space="0" w:color="auto"/>
            <w:right w:val="none" w:sz="0" w:space="0" w:color="auto"/>
          </w:divBdr>
        </w:div>
        <w:div w:id="133446726">
          <w:marLeft w:val="480"/>
          <w:marRight w:val="0"/>
          <w:marTop w:val="0"/>
          <w:marBottom w:val="0"/>
          <w:divBdr>
            <w:top w:val="none" w:sz="0" w:space="0" w:color="auto"/>
            <w:left w:val="none" w:sz="0" w:space="0" w:color="auto"/>
            <w:bottom w:val="none" w:sz="0" w:space="0" w:color="auto"/>
            <w:right w:val="none" w:sz="0" w:space="0" w:color="auto"/>
          </w:divBdr>
        </w:div>
        <w:div w:id="1708675092">
          <w:marLeft w:val="480"/>
          <w:marRight w:val="0"/>
          <w:marTop w:val="0"/>
          <w:marBottom w:val="0"/>
          <w:divBdr>
            <w:top w:val="none" w:sz="0" w:space="0" w:color="auto"/>
            <w:left w:val="none" w:sz="0" w:space="0" w:color="auto"/>
            <w:bottom w:val="none" w:sz="0" w:space="0" w:color="auto"/>
            <w:right w:val="none" w:sz="0" w:space="0" w:color="auto"/>
          </w:divBdr>
        </w:div>
        <w:div w:id="1064331023">
          <w:marLeft w:val="480"/>
          <w:marRight w:val="0"/>
          <w:marTop w:val="0"/>
          <w:marBottom w:val="0"/>
          <w:divBdr>
            <w:top w:val="none" w:sz="0" w:space="0" w:color="auto"/>
            <w:left w:val="none" w:sz="0" w:space="0" w:color="auto"/>
            <w:bottom w:val="none" w:sz="0" w:space="0" w:color="auto"/>
            <w:right w:val="none" w:sz="0" w:space="0" w:color="auto"/>
          </w:divBdr>
        </w:div>
        <w:div w:id="1456872839">
          <w:marLeft w:val="480"/>
          <w:marRight w:val="0"/>
          <w:marTop w:val="0"/>
          <w:marBottom w:val="0"/>
          <w:divBdr>
            <w:top w:val="none" w:sz="0" w:space="0" w:color="auto"/>
            <w:left w:val="none" w:sz="0" w:space="0" w:color="auto"/>
            <w:bottom w:val="none" w:sz="0" w:space="0" w:color="auto"/>
            <w:right w:val="none" w:sz="0" w:space="0" w:color="auto"/>
          </w:divBdr>
        </w:div>
        <w:div w:id="1507280080">
          <w:marLeft w:val="480"/>
          <w:marRight w:val="0"/>
          <w:marTop w:val="0"/>
          <w:marBottom w:val="0"/>
          <w:divBdr>
            <w:top w:val="none" w:sz="0" w:space="0" w:color="auto"/>
            <w:left w:val="none" w:sz="0" w:space="0" w:color="auto"/>
            <w:bottom w:val="none" w:sz="0" w:space="0" w:color="auto"/>
            <w:right w:val="none" w:sz="0" w:space="0" w:color="auto"/>
          </w:divBdr>
        </w:div>
        <w:div w:id="2081054993">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153">
      <w:bodyDiv w:val="1"/>
      <w:marLeft w:val="0"/>
      <w:marRight w:val="0"/>
      <w:marTop w:val="0"/>
      <w:marBottom w:val="0"/>
      <w:divBdr>
        <w:top w:val="none" w:sz="0" w:space="0" w:color="auto"/>
        <w:left w:val="none" w:sz="0" w:space="0" w:color="auto"/>
        <w:bottom w:val="none" w:sz="0" w:space="0" w:color="auto"/>
        <w:right w:val="none" w:sz="0" w:space="0" w:color="auto"/>
      </w:divBdr>
      <w:divsChild>
        <w:div w:id="2026787372">
          <w:marLeft w:val="480"/>
          <w:marRight w:val="0"/>
          <w:marTop w:val="0"/>
          <w:marBottom w:val="0"/>
          <w:divBdr>
            <w:top w:val="none" w:sz="0" w:space="0" w:color="auto"/>
            <w:left w:val="none" w:sz="0" w:space="0" w:color="auto"/>
            <w:bottom w:val="none" w:sz="0" w:space="0" w:color="auto"/>
            <w:right w:val="none" w:sz="0" w:space="0" w:color="auto"/>
          </w:divBdr>
        </w:div>
        <w:div w:id="2019233638">
          <w:marLeft w:val="480"/>
          <w:marRight w:val="0"/>
          <w:marTop w:val="0"/>
          <w:marBottom w:val="0"/>
          <w:divBdr>
            <w:top w:val="none" w:sz="0" w:space="0" w:color="auto"/>
            <w:left w:val="none" w:sz="0" w:space="0" w:color="auto"/>
            <w:bottom w:val="none" w:sz="0" w:space="0" w:color="auto"/>
            <w:right w:val="none" w:sz="0" w:space="0" w:color="auto"/>
          </w:divBdr>
        </w:div>
        <w:div w:id="996609559">
          <w:marLeft w:val="480"/>
          <w:marRight w:val="0"/>
          <w:marTop w:val="0"/>
          <w:marBottom w:val="0"/>
          <w:divBdr>
            <w:top w:val="none" w:sz="0" w:space="0" w:color="auto"/>
            <w:left w:val="none" w:sz="0" w:space="0" w:color="auto"/>
            <w:bottom w:val="none" w:sz="0" w:space="0" w:color="auto"/>
            <w:right w:val="none" w:sz="0" w:space="0" w:color="auto"/>
          </w:divBdr>
        </w:div>
        <w:div w:id="236135319">
          <w:marLeft w:val="480"/>
          <w:marRight w:val="0"/>
          <w:marTop w:val="0"/>
          <w:marBottom w:val="0"/>
          <w:divBdr>
            <w:top w:val="none" w:sz="0" w:space="0" w:color="auto"/>
            <w:left w:val="none" w:sz="0" w:space="0" w:color="auto"/>
            <w:bottom w:val="none" w:sz="0" w:space="0" w:color="auto"/>
            <w:right w:val="none" w:sz="0" w:space="0" w:color="auto"/>
          </w:divBdr>
        </w:div>
        <w:div w:id="1844009072">
          <w:marLeft w:val="480"/>
          <w:marRight w:val="0"/>
          <w:marTop w:val="0"/>
          <w:marBottom w:val="0"/>
          <w:divBdr>
            <w:top w:val="none" w:sz="0" w:space="0" w:color="auto"/>
            <w:left w:val="none" w:sz="0" w:space="0" w:color="auto"/>
            <w:bottom w:val="none" w:sz="0" w:space="0" w:color="auto"/>
            <w:right w:val="none" w:sz="0" w:space="0" w:color="auto"/>
          </w:divBdr>
        </w:div>
        <w:div w:id="1579630160">
          <w:marLeft w:val="480"/>
          <w:marRight w:val="0"/>
          <w:marTop w:val="0"/>
          <w:marBottom w:val="0"/>
          <w:divBdr>
            <w:top w:val="none" w:sz="0" w:space="0" w:color="auto"/>
            <w:left w:val="none" w:sz="0" w:space="0" w:color="auto"/>
            <w:bottom w:val="none" w:sz="0" w:space="0" w:color="auto"/>
            <w:right w:val="none" w:sz="0" w:space="0" w:color="auto"/>
          </w:divBdr>
        </w:div>
        <w:div w:id="684671820">
          <w:marLeft w:val="480"/>
          <w:marRight w:val="0"/>
          <w:marTop w:val="0"/>
          <w:marBottom w:val="0"/>
          <w:divBdr>
            <w:top w:val="none" w:sz="0" w:space="0" w:color="auto"/>
            <w:left w:val="none" w:sz="0" w:space="0" w:color="auto"/>
            <w:bottom w:val="none" w:sz="0" w:space="0" w:color="auto"/>
            <w:right w:val="none" w:sz="0" w:space="0" w:color="auto"/>
          </w:divBdr>
        </w:div>
        <w:div w:id="1675691391">
          <w:marLeft w:val="480"/>
          <w:marRight w:val="0"/>
          <w:marTop w:val="0"/>
          <w:marBottom w:val="0"/>
          <w:divBdr>
            <w:top w:val="none" w:sz="0" w:space="0" w:color="auto"/>
            <w:left w:val="none" w:sz="0" w:space="0" w:color="auto"/>
            <w:bottom w:val="none" w:sz="0" w:space="0" w:color="auto"/>
            <w:right w:val="none" w:sz="0" w:space="0" w:color="auto"/>
          </w:divBdr>
        </w:div>
        <w:div w:id="1822887226">
          <w:marLeft w:val="480"/>
          <w:marRight w:val="0"/>
          <w:marTop w:val="0"/>
          <w:marBottom w:val="0"/>
          <w:divBdr>
            <w:top w:val="none" w:sz="0" w:space="0" w:color="auto"/>
            <w:left w:val="none" w:sz="0" w:space="0" w:color="auto"/>
            <w:bottom w:val="none" w:sz="0" w:space="0" w:color="auto"/>
            <w:right w:val="none" w:sz="0" w:space="0" w:color="auto"/>
          </w:divBdr>
        </w:div>
      </w:divsChild>
    </w:div>
    <w:div w:id="1700428621">
      <w:bodyDiv w:val="1"/>
      <w:marLeft w:val="0"/>
      <w:marRight w:val="0"/>
      <w:marTop w:val="0"/>
      <w:marBottom w:val="0"/>
      <w:divBdr>
        <w:top w:val="none" w:sz="0" w:space="0" w:color="auto"/>
        <w:left w:val="none" w:sz="0" w:space="0" w:color="auto"/>
        <w:bottom w:val="none" w:sz="0" w:space="0" w:color="auto"/>
        <w:right w:val="none" w:sz="0" w:space="0" w:color="auto"/>
      </w:divBdr>
      <w:divsChild>
        <w:div w:id="1306936491">
          <w:marLeft w:val="480"/>
          <w:marRight w:val="0"/>
          <w:marTop w:val="0"/>
          <w:marBottom w:val="0"/>
          <w:divBdr>
            <w:top w:val="none" w:sz="0" w:space="0" w:color="auto"/>
            <w:left w:val="none" w:sz="0" w:space="0" w:color="auto"/>
            <w:bottom w:val="none" w:sz="0" w:space="0" w:color="auto"/>
            <w:right w:val="none" w:sz="0" w:space="0" w:color="auto"/>
          </w:divBdr>
        </w:div>
        <w:div w:id="1976065560">
          <w:marLeft w:val="480"/>
          <w:marRight w:val="0"/>
          <w:marTop w:val="0"/>
          <w:marBottom w:val="0"/>
          <w:divBdr>
            <w:top w:val="none" w:sz="0" w:space="0" w:color="auto"/>
            <w:left w:val="none" w:sz="0" w:space="0" w:color="auto"/>
            <w:bottom w:val="none" w:sz="0" w:space="0" w:color="auto"/>
            <w:right w:val="none" w:sz="0" w:space="0" w:color="auto"/>
          </w:divBdr>
        </w:div>
      </w:divsChild>
    </w:div>
    <w:div w:id="1710569140">
      <w:bodyDiv w:val="1"/>
      <w:marLeft w:val="0"/>
      <w:marRight w:val="0"/>
      <w:marTop w:val="0"/>
      <w:marBottom w:val="0"/>
      <w:divBdr>
        <w:top w:val="none" w:sz="0" w:space="0" w:color="auto"/>
        <w:left w:val="none" w:sz="0" w:space="0" w:color="auto"/>
        <w:bottom w:val="none" w:sz="0" w:space="0" w:color="auto"/>
        <w:right w:val="none" w:sz="0" w:space="0" w:color="auto"/>
      </w:divBdr>
      <w:divsChild>
        <w:div w:id="1285847173">
          <w:marLeft w:val="480"/>
          <w:marRight w:val="0"/>
          <w:marTop w:val="0"/>
          <w:marBottom w:val="0"/>
          <w:divBdr>
            <w:top w:val="none" w:sz="0" w:space="0" w:color="auto"/>
            <w:left w:val="none" w:sz="0" w:space="0" w:color="auto"/>
            <w:bottom w:val="none" w:sz="0" w:space="0" w:color="auto"/>
            <w:right w:val="none" w:sz="0" w:space="0" w:color="auto"/>
          </w:divBdr>
        </w:div>
        <w:div w:id="710423059">
          <w:marLeft w:val="480"/>
          <w:marRight w:val="0"/>
          <w:marTop w:val="0"/>
          <w:marBottom w:val="0"/>
          <w:divBdr>
            <w:top w:val="none" w:sz="0" w:space="0" w:color="auto"/>
            <w:left w:val="none" w:sz="0" w:space="0" w:color="auto"/>
            <w:bottom w:val="none" w:sz="0" w:space="0" w:color="auto"/>
            <w:right w:val="none" w:sz="0" w:space="0" w:color="auto"/>
          </w:divBdr>
        </w:div>
        <w:div w:id="491944769">
          <w:marLeft w:val="480"/>
          <w:marRight w:val="0"/>
          <w:marTop w:val="0"/>
          <w:marBottom w:val="0"/>
          <w:divBdr>
            <w:top w:val="none" w:sz="0" w:space="0" w:color="auto"/>
            <w:left w:val="none" w:sz="0" w:space="0" w:color="auto"/>
            <w:bottom w:val="none" w:sz="0" w:space="0" w:color="auto"/>
            <w:right w:val="none" w:sz="0" w:space="0" w:color="auto"/>
          </w:divBdr>
        </w:div>
        <w:div w:id="608390371">
          <w:marLeft w:val="480"/>
          <w:marRight w:val="0"/>
          <w:marTop w:val="0"/>
          <w:marBottom w:val="0"/>
          <w:divBdr>
            <w:top w:val="none" w:sz="0" w:space="0" w:color="auto"/>
            <w:left w:val="none" w:sz="0" w:space="0" w:color="auto"/>
            <w:bottom w:val="none" w:sz="0" w:space="0" w:color="auto"/>
            <w:right w:val="none" w:sz="0" w:space="0" w:color="auto"/>
          </w:divBdr>
        </w:div>
        <w:div w:id="1383943184">
          <w:marLeft w:val="480"/>
          <w:marRight w:val="0"/>
          <w:marTop w:val="0"/>
          <w:marBottom w:val="0"/>
          <w:divBdr>
            <w:top w:val="none" w:sz="0" w:space="0" w:color="auto"/>
            <w:left w:val="none" w:sz="0" w:space="0" w:color="auto"/>
            <w:bottom w:val="none" w:sz="0" w:space="0" w:color="auto"/>
            <w:right w:val="none" w:sz="0" w:space="0" w:color="auto"/>
          </w:divBdr>
        </w:div>
        <w:div w:id="289745811">
          <w:marLeft w:val="480"/>
          <w:marRight w:val="0"/>
          <w:marTop w:val="0"/>
          <w:marBottom w:val="0"/>
          <w:divBdr>
            <w:top w:val="none" w:sz="0" w:space="0" w:color="auto"/>
            <w:left w:val="none" w:sz="0" w:space="0" w:color="auto"/>
            <w:bottom w:val="none" w:sz="0" w:space="0" w:color="auto"/>
            <w:right w:val="none" w:sz="0" w:space="0" w:color="auto"/>
          </w:divBdr>
        </w:div>
        <w:div w:id="1214921881">
          <w:marLeft w:val="480"/>
          <w:marRight w:val="0"/>
          <w:marTop w:val="0"/>
          <w:marBottom w:val="0"/>
          <w:divBdr>
            <w:top w:val="none" w:sz="0" w:space="0" w:color="auto"/>
            <w:left w:val="none" w:sz="0" w:space="0" w:color="auto"/>
            <w:bottom w:val="none" w:sz="0" w:space="0" w:color="auto"/>
            <w:right w:val="none" w:sz="0" w:space="0" w:color="auto"/>
          </w:divBdr>
        </w:div>
        <w:div w:id="1405490078">
          <w:marLeft w:val="480"/>
          <w:marRight w:val="0"/>
          <w:marTop w:val="0"/>
          <w:marBottom w:val="0"/>
          <w:divBdr>
            <w:top w:val="none" w:sz="0" w:space="0" w:color="auto"/>
            <w:left w:val="none" w:sz="0" w:space="0" w:color="auto"/>
            <w:bottom w:val="none" w:sz="0" w:space="0" w:color="auto"/>
            <w:right w:val="none" w:sz="0" w:space="0" w:color="auto"/>
          </w:divBdr>
        </w:div>
        <w:div w:id="483008291">
          <w:marLeft w:val="480"/>
          <w:marRight w:val="0"/>
          <w:marTop w:val="0"/>
          <w:marBottom w:val="0"/>
          <w:divBdr>
            <w:top w:val="none" w:sz="0" w:space="0" w:color="auto"/>
            <w:left w:val="none" w:sz="0" w:space="0" w:color="auto"/>
            <w:bottom w:val="none" w:sz="0" w:space="0" w:color="auto"/>
            <w:right w:val="none" w:sz="0" w:space="0" w:color="auto"/>
          </w:divBdr>
        </w:div>
        <w:div w:id="145435367">
          <w:marLeft w:val="480"/>
          <w:marRight w:val="0"/>
          <w:marTop w:val="0"/>
          <w:marBottom w:val="0"/>
          <w:divBdr>
            <w:top w:val="none" w:sz="0" w:space="0" w:color="auto"/>
            <w:left w:val="none" w:sz="0" w:space="0" w:color="auto"/>
            <w:bottom w:val="none" w:sz="0" w:space="0" w:color="auto"/>
            <w:right w:val="none" w:sz="0" w:space="0" w:color="auto"/>
          </w:divBdr>
        </w:div>
        <w:div w:id="1989629425">
          <w:marLeft w:val="480"/>
          <w:marRight w:val="0"/>
          <w:marTop w:val="0"/>
          <w:marBottom w:val="0"/>
          <w:divBdr>
            <w:top w:val="none" w:sz="0" w:space="0" w:color="auto"/>
            <w:left w:val="none" w:sz="0" w:space="0" w:color="auto"/>
            <w:bottom w:val="none" w:sz="0" w:space="0" w:color="auto"/>
            <w:right w:val="none" w:sz="0" w:space="0" w:color="auto"/>
          </w:divBdr>
        </w:div>
        <w:div w:id="350760196">
          <w:marLeft w:val="480"/>
          <w:marRight w:val="0"/>
          <w:marTop w:val="0"/>
          <w:marBottom w:val="0"/>
          <w:divBdr>
            <w:top w:val="none" w:sz="0" w:space="0" w:color="auto"/>
            <w:left w:val="none" w:sz="0" w:space="0" w:color="auto"/>
            <w:bottom w:val="none" w:sz="0" w:space="0" w:color="auto"/>
            <w:right w:val="none" w:sz="0" w:space="0" w:color="auto"/>
          </w:divBdr>
        </w:div>
        <w:div w:id="2099590436">
          <w:marLeft w:val="480"/>
          <w:marRight w:val="0"/>
          <w:marTop w:val="0"/>
          <w:marBottom w:val="0"/>
          <w:divBdr>
            <w:top w:val="none" w:sz="0" w:space="0" w:color="auto"/>
            <w:left w:val="none" w:sz="0" w:space="0" w:color="auto"/>
            <w:bottom w:val="none" w:sz="0" w:space="0" w:color="auto"/>
            <w:right w:val="none" w:sz="0" w:space="0" w:color="auto"/>
          </w:divBdr>
        </w:div>
        <w:div w:id="1020201614">
          <w:marLeft w:val="480"/>
          <w:marRight w:val="0"/>
          <w:marTop w:val="0"/>
          <w:marBottom w:val="0"/>
          <w:divBdr>
            <w:top w:val="none" w:sz="0" w:space="0" w:color="auto"/>
            <w:left w:val="none" w:sz="0" w:space="0" w:color="auto"/>
            <w:bottom w:val="none" w:sz="0" w:space="0" w:color="auto"/>
            <w:right w:val="none" w:sz="0" w:space="0" w:color="auto"/>
          </w:divBdr>
        </w:div>
      </w:divsChild>
    </w:div>
    <w:div w:id="1716811242">
      <w:bodyDiv w:val="1"/>
      <w:marLeft w:val="0"/>
      <w:marRight w:val="0"/>
      <w:marTop w:val="0"/>
      <w:marBottom w:val="0"/>
      <w:divBdr>
        <w:top w:val="none" w:sz="0" w:space="0" w:color="auto"/>
        <w:left w:val="none" w:sz="0" w:space="0" w:color="auto"/>
        <w:bottom w:val="none" w:sz="0" w:space="0" w:color="auto"/>
        <w:right w:val="none" w:sz="0" w:space="0" w:color="auto"/>
      </w:divBdr>
      <w:divsChild>
        <w:div w:id="1305236528">
          <w:marLeft w:val="480"/>
          <w:marRight w:val="0"/>
          <w:marTop w:val="0"/>
          <w:marBottom w:val="0"/>
          <w:divBdr>
            <w:top w:val="none" w:sz="0" w:space="0" w:color="auto"/>
            <w:left w:val="none" w:sz="0" w:space="0" w:color="auto"/>
            <w:bottom w:val="none" w:sz="0" w:space="0" w:color="auto"/>
            <w:right w:val="none" w:sz="0" w:space="0" w:color="auto"/>
          </w:divBdr>
        </w:div>
        <w:div w:id="1526211036">
          <w:marLeft w:val="480"/>
          <w:marRight w:val="0"/>
          <w:marTop w:val="0"/>
          <w:marBottom w:val="0"/>
          <w:divBdr>
            <w:top w:val="none" w:sz="0" w:space="0" w:color="auto"/>
            <w:left w:val="none" w:sz="0" w:space="0" w:color="auto"/>
            <w:bottom w:val="none" w:sz="0" w:space="0" w:color="auto"/>
            <w:right w:val="none" w:sz="0" w:space="0" w:color="auto"/>
          </w:divBdr>
        </w:div>
        <w:div w:id="1994329749">
          <w:marLeft w:val="480"/>
          <w:marRight w:val="0"/>
          <w:marTop w:val="0"/>
          <w:marBottom w:val="0"/>
          <w:divBdr>
            <w:top w:val="none" w:sz="0" w:space="0" w:color="auto"/>
            <w:left w:val="none" w:sz="0" w:space="0" w:color="auto"/>
            <w:bottom w:val="none" w:sz="0" w:space="0" w:color="auto"/>
            <w:right w:val="none" w:sz="0" w:space="0" w:color="auto"/>
          </w:divBdr>
        </w:div>
      </w:divsChild>
    </w:div>
    <w:div w:id="1752117500">
      <w:bodyDiv w:val="1"/>
      <w:marLeft w:val="0"/>
      <w:marRight w:val="0"/>
      <w:marTop w:val="0"/>
      <w:marBottom w:val="0"/>
      <w:divBdr>
        <w:top w:val="none" w:sz="0" w:space="0" w:color="auto"/>
        <w:left w:val="none" w:sz="0" w:space="0" w:color="auto"/>
        <w:bottom w:val="none" w:sz="0" w:space="0" w:color="auto"/>
        <w:right w:val="none" w:sz="0" w:space="0" w:color="auto"/>
      </w:divBdr>
      <w:divsChild>
        <w:div w:id="1123114051">
          <w:marLeft w:val="480"/>
          <w:marRight w:val="0"/>
          <w:marTop w:val="0"/>
          <w:marBottom w:val="0"/>
          <w:divBdr>
            <w:top w:val="none" w:sz="0" w:space="0" w:color="auto"/>
            <w:left w:val="none" w:sz="0" w:space="0" w:color="auto"/>
            <w:bottom w:val="none" w:sz="0" w:space="0" w:color="auto"/>
            <w:right w:val="none" w:sz="0" w:space="0" w:color="auto"/>
          </w:divBdr>
        </w:div>
        <w:div w:id="749886574">
          <w:marLeft w:val="480"/>
          <w:marRight w:val="0"/>
          <w:marTop w:val="0"/>
          <w:marBottom w:val="0"/>
          <w:divBdr>
            <w:top w:val="none" w:sz="0" w:space="0" w:color="auto"/>
            <w:left w:val="none" w:sz="0" w:space="0" w:color="auto"/>
            <w:bottom w:val="none" w:sz="0" w:space="0" w:color="auto"/>
            <w:right w:val="none" w:sz="0" w:space="0" w:color="auto"/>
          </w:divBdr>
        </w:div>
        <w:div w:id="319962847">
          <w:marLeft w:val="480"/>
          <w:marRight w:val="0"/>
          <w:marTop w:val="0"/>
          <w:marBottom w:val="0"/>
          <w:divBdr>
            <w:top w:val="none" w:sz="0" w:space="0" w:color="auto"/>
            <w:left w:val="none" w:sz="0" w:space="0" w:color="auto"/>
            <w:bottom w:val="none" w:sz="0" w:space="0" w:color="auto"/>
            <w:right w:val="none" w:sz="0" w:space="0" w:color="auto"/>
          </w:divBdr>
        </w:div>
        <w:div w:id="175729919">
          <w:marLeft w:val="480"/>
          <w:marRight w:val="0"/>
          <w:marTop w:val="0"/>
          <w:marBottom w:val="0"/>
          <w:divBdr>
            <w:top w:val="none" w:sz="0" w:space="0" w:color="auto"/>
            <w:left w:val="none" w:sz="0" w:space="0" w:color="auto"/>
            <w:bottom w:val="none" w:sz="0" w:space="0" w:color="auto"/>
            <w:right w:val="none" w:sz="0" w:space="0" w:color="auto"/>
          </w:divBdr>
        </w:div>
        <w:div w:id="608395769">
          <w:marLeft w:val="480"/>
          <w:marRight w:val="0"/>
          <w:marTop w:val="0"/>
          <w:marBottom w:val="0"/>
          <w:divBdr>
            <w:top w:val="none" w:sz="0" w:space="0" w:color="auto"/>
            <w:left w:val="none" w:sz="0" w:space="0" w:color="auto"/>
            <w:bottom w:val="none" w:sz="0" w:space="0" w:color="auto"/>
            <w:right w:val="none" w:sz="0" w:space="0" w:color="auto"/>
          </w:divBdr>
        </w:div>
        <w:div w:id="766540518">
          <w:marLeft w:val="480"/>
          <w:marRight w:val="0"/>
          <w:marTop w:val="0"/>
          <w:marBottom w:val="0"/>
          <w:divBdr>
            <w:top w:val="none" w:sz="0" w:space="0" w:color="auto"/>
            <w:left w:val="none" w:sz="0" w:space="0" w:color="auto"/>
            <w:bottom w:val="none" w:sz="0" w:space="0" w:color="auto"/>
            <w:right w:val="none" w:sz="0" w:space="0" w:color="auto"/>
          </w:divBdr>
        </w:div>
        <w:div w:id="66460523">
          <w:marLeft w:val="480"/>
          <w:marRight w:val="0"/>
          <w:marTop w:val="0"/>
          <w:marBottom w:val="0"/>
          <w:divBdr>
            <w:top w:val="none" w:sz="0" w:space="0" w:color="auto"/>
            <w:left w:val="none" w:sz="0" w:space="0" w:color="auto"/>
            <w:bottom w:val="none" w:sz="0" w:space="0" w:color="auto"/>
            <w:right w:val="none" w:sz="0" w:space="0" w:color="auto"/>
          </w:divBdr>
        </w:div>
        <w:div w:id="1853103030">
          <w:marLeft w:val="480"/>
          <w:marRight w:val="0"/>
          <w:marTop w:val="0"/>
          <w:marBottom w:val="0"/>
          <w:divBdr>
            <w:top w:val="none" w:sz="0" w:space="0" w:color="auto"/>
            <w:left w:val="none" w:sz="0" w:space="0" w:color="auto"/>
            <w:bottom w:val="none" w:sz="0" w:space="0" w:color="auto"/>
            <w:right w:val="none" w:sz="0" w:space="0" w:color="auto"/>
          </w:divBdr>
        </w:div>
        <w:div w:id="456416636">
          <w:marLeft w:val="480"/>
          <w:marRight w:val="0"/>
          <w:marTop w:val="0"/>
          <w:marBottom w:val="0"/>
          <w:divBdr>
            <w:top w:val="none" w:sz="0" w:space="0" w:color="auto"/>
            <w:left w:val="none" w:sz="0" w:space="0" w:color="auto"/>
            <w:bottom w:val="none" w:sz="0" w:space="0" w:color="auto"/>
            <w:right w:val="none" w:sz="0" w:space="0" w:color="auto"/>
          </w:divBdr>
        </w:div>
        <w:div w:id="2003115400">
          <w:marLeft w:val="480"/>
          <w:marRight w:val="0"/>
          <w:marTop w:val="0"/>
          <w:marBottom w:val="0"/>
          <w:divBdr>
            <w:top w:val="none" w:sz="0" w:space="0" w:color="auto"/>
            <w:left w:val="none" w:sz="0" w:space="0" w:color="auto"/>
            <w:bottom w:val="none" w:sz="0" w:space="0" w:color="auto"/>
            <w:right w:val="none" w:sz="0" w:space="0" w:color="auto"/>
          </w:divBdr>
        </w:div>
        <w:div w:id="86194019">
          <w:marLeft w:val="480"/>
          <w:marRight w:val="0"/>
          <w:marTop w:val="0"/>
          <w:marBottom w:val="0"/>
          <w:divBdr>
            <w:top w:val="none" w:sz="0" w:space="0" w:color="auto"/>
            <w:left w:val="none" w:sz="0" w:space="0" w:color="auto"/>
            <w:bottom w:val="none" w:sz="0" w:space="0" w:color="auto"/>
            <w:right w:val="none" w:sz="0" w:space="0" w:color="auto"/>
          </w:divBdr>
        </w:div>
        <w:div w:id="1539704574">
          <w:marLeft w:val="480"/>
          <w:marRight w:val="0"/>
          <w:marTop w:val="0"/>
          <w:marBottom w:val="0"/>
          <w:divBdr>
            <w:top w:val="none" w:sz="0" w:space="0" w:color="auto"/>
            <w:left w:val="none" w:sz="0" w:space="0" w:color="auto"/>
            <w:bottom w:val="none" w:sz="0" w:space="0" w:color="auto"/>
            <w:right w:val="none" w:sz="0" w:space="0" w:color="auto"/>
          </w:divBdr>
        </w:div>
        <w:div w:id="1399670091">
          <w:marLeft w:val="480"/>
          <w:marRight w:val="0"/>
          <w:marTop w:val="0"/>
          <w:marBottom w:val="0"/>
          <w:divBdr>
            <w:top w:val="none" w:sz="0" w:space="0" w:color="auto"/>
            <w:left w:val="none" w:sz="0" w:space="0" w:color="auto"/>
            <w:bottom w:val="none" w:sz="0" w:space="0" w:color="auto"/>
            <w:right w:val="none" w:sz="0" w:space="0" w:color="auto"/>
          </w:divBdr>
        </w:div>
        <w:div w:id="1967462227">
          <w:marLeft w:val="480"/>
          <w:marRight w:val="0"/>
          <w:marTop w:val="0"/>
          <w:marBottom w:val="0"/>
          <w:divBdr>
            <w:top w:val="none" w:sz="0" w:space="0" w:color="auto"/>
            <w:left w:val="none" w:sz="0" w:space="0" w:color="auto"/>
            <w:bottom w:val="none" w:sz="0" w:space="0" w:color="auto"/>
            <w:right w:val="none" w:sz="0" w:space="0" w:color="auto"/>
          </w:divBdr>
        </w:div>
      </w:divsChild>
    </w:div>
    <w:div w:id="1756170494">
      <w:bodyDiv w:val="1"/>
      <w:marLeft w:val="0"/>
      <w:marRight w:val="0"/>
      <w:marTop w:val="0"/>
      <w:marBottom w:val="0"/>
      <w:divBdr>
        <w:top w:val="none" w:sz="0" w:space="0" w:color="auto"/>
        <w:left w:val="none" w:sz="0" w:space="0" w:color="auto"/>
        <w:bottom w:val="none" w:sz="0" w:space="0" w:color="auto"/>
        <w:right w:val="none" w:sz="0" w:space="0" w:color="auto"/>
      </w:divBdr>
      <w:divsChild>
        <w:div w:id="1212770825">
          <w:marLeft w:val="480"/>
          <w:marRight w:val="0"/>
          <w:marTop w:val="0"/>
          <w:marBottom w:val="0"/>
          <w:divBdr>
            <w:top w:val="none" w:sz="0" w:space="0" w:color="auto"/>
            <w:left w:val="none" w:sz="0" w:space="0" w:color="auto"/>
            <w:bottom w:val="none" w:sz="0" w:space="0" w:color="auto"/>
            <w:right w:val="none" w:sz="0" w:space="0" w:color="auto"/>
          </w:divBdr>
        </w:div>
        <w:div w:id="365446105">
          <w:marLeft w:val="480"/>
          <w:marRight w:val="0"/>
          <w:marTop w:val="0"/>
          <w:marBottom w:val="0"/>
          <w:divBdr>
            <w:top w:val="none" w:sz="0" w:space="0" w:color="auto"/>
            <w:left w:val="none" w:sz="0" w:space="0" w:color="auto"/>
            <w:bottom w:val="none" w:sz="0" w:space="0" w:color="auto"/>
            <w:right w:val="none" w:sz="0" w:space="0" w:color="auto"/>
          </w:divBdr>
        </w:div>
        <w:div w:id="2084797124">
          <w:marLeft w:val="480"/>
          <w:marRight w:val="0"/>
          <w:marTop w:val="0"/>
          <w:marBottom w:val="0"/>
          <w:divBdr>
            <w:top w:val="none" w:sz="0" w:space="0" w:color="auto"/>
            <w:left w:val="none" w:sz="0" w:space="0" w:color="auto"/>
            <w:bottom w:val="none" w:sz="0" w:space="0" w:color="auto"/>
            <w:right w:val="none" w:sz="0" w:space="0" w:color="auto"/>
          </w:divBdr>
        </w:div>
      </w:divsChild>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813327500">
      <w:bodyDiv w:val="1"/>
      <w:marLeft w:val="0"/>
      <w:marRight w:val="0"/>
      <w:marTop w:val="0"/>
      <w:marBottom w:val="0"/>
      <w:divBdr>
        <w:top w:val="none" w:sz="0" w:space="0" w:color="auto"/>
        <w:left w:val="none" w:sz="0" w:space="0" w:color="auto"/>
        <w:bottom w:val="none" w:sz="0" w:space="0" w:color="auto"/>
        <w:right w:val="none" w:sz="0" w:space="0" w:color="auto"/>
      </w:divBdr>
      <w:divsChild>
        <w:div w:id="1217282642">
          <w:marLeft w:val="480"/>
          <w:marRight w:val="0"/>
          <w:marTop w:val="0"/>
          <w:marBottom w:val="0"/>
          <w:divBdr>
            <w:top w:val="none" w:sz="0" w:space="0" w:color="auto"/>
            <w:left w:val="none" w:sz="0" w:space="0" w:color="auto"/>
            <w:bottom w:val="none" w:sz="0" w:space="0" w:color="auto"/>
            <w:right w:val="none" w:sz="0" w:space="0" w:color="auto"/>
          </w:divBdr>
        </w:div>
        <w:div w:id="1749425874">
          <w:marLeft w:val="480"/>
          <w:marRight w:val="0"/>
          <w:marTop w:val="0"/>
          <w:marBottom w:val="0"/>
          <w:divBdr>
            <w:top w:val="none" w:sz="0" w:space="0" w:color="auto"/>
            <w:left w:val="none" w:sz="0" w:space="0" w:color="auto"/>
            <w:bottom w:val="none" w:sz="0" w:space="0" w:color="auto"/>
            <w:right w:val="none" w:sz="0" w:space="0" w:color="auto"/>
          </w:divBdr>
        </w:div>
      </w:divsChild>
    </w:div>
    <w:div w:id="1822454272">
      <w:bodyDiv w:val="1"/>
      <w:marLeft w:val="0"/>
      <w:marRight w:val="0"/>
      <w:marTop w:val="0"/>
      <w:marBottom w:val="0"/>
      <w:divBdr>
        <w:top w:val="none" w:sz="0" w:space="0" w:color="auto"/>
        <w:left w:val="none" w:sz="0" w:space="0" w:color="auto"/>
        <w:bottom w:val="none" w:sz="0" w:space="0" w:color="auto"/>
        <w:right w:val="none" w:sz="0" w:space="0" w:color="auto"/>
      </w:divBdr>
    </w:div>
    <w:div w:id="1922399581">
      <w:bodyDiv w:val="1"/>
      <w:marLeft w:val="0"/>
      <w:marRight w:val="0"/>
      <w:marTop w:val="0"/>
      <w:marBottom w:val="0"/>
      <w:divBdr>
        <w:top w:val="none" w:sz="0" w:space="0" w:color="auto"/>
        <w:left w:val="none" w:sz="0" w:space="0" w:color="auto"/>
        <w:bottom w:val="none" w:sz="0" w:space="0" w:color="auto"/>
        <w:right w:val="none" w:sz="0" w:space="0" w:color="auto"/>
      </w:divBdr>
      <w:divsChild>
        <w:div w:id="789596057">
          <w:marLeft w:val="480"/>
          <w:marRight w:val="0"/>
          <w:marTop w:val="0"/>
          <w:marBottom w:val="0"/>
          <w:divBdr>
            <w:top w:val="none" w:sz="0" w:space="0" w:color="auto"/>
            <w:left w:val="none" w:sz="0" w:space="0" w:color="auto"/>
            <w:bottom w:val="none" w:sz="0" w:space="0" w:color="auto"/>
            <w:right w:val="none" w:sz="0" w:space="0" w:color="auto"/>
          </w:divBdr>
        </w:div>
        <w:div w:id="1453671353">
          <w:marLeft w:val="480"/>
          <w:marRight w:val="0"/>
          <w:marTop w:val="0"/>
          <w:marBottom w:val="0"/>
          <w:divBdr>
            <w:top w:val="none" w:sz="0" w:space="0" w:color="auto"/>
            <w:left w:val="none" w:sz="0" w:space="0" w:color="auto"/>
            <w:bottom w:val="none" w:sz="0" w:space="0" w:color="auto"/>
            <w:right w:val="none" w:sz="0" w:space="0" w:color="auto"/>
          </w:divBdr>
        </w:div>
        <w:div w:id="518548420">
          <w:marLeft w:val="480"/>
          <w:marRight w:val="0"/>
          <w:marTop w:val="0"/>
          <w:marBottom w:val="0"/>
          <w:divBdr>
            <w:top w:val="none" w:sz="0" w:space="0" w:color="auto"/>
            <w:left w:val="none" w:sz="0" w:space="0" w:color="auto"/>
            <w:bottom w:val="none" w:sz="0" w:space="0" w:color="auto"/>
            <w:right w:val="none" w:sz="0" w:space="0" w:color="auto"/>
          </w:divBdr>
        </w:div>
        <w:div w:id="1645968186">
          <w:marLeft w:val="480"/>
          <w:marRight w:val="0"/>
          <w:marTop w:val="0"/>
          <w:marBottom w:val="0"/>
          <w:divBdr>
            <w:top w:val="none" w:sz="0" w:space="0" w:color="auto"/>
            <w:left w:val="none" w:sz="0" w:space="0" w:color="auto"/>
            <w:bottom w:val="none" w:sz="0" w:space="0" w:color="auto"/>
            <w:right w:val="none" w:sz="0" w:space="0" w:color="auto"/>
          </w:divBdr>
        </w:div>
        <w:div w:id="163857489">
          <w:marLeft w:val="480"/>
          <w:marRight w:val="0"/>
          <w:marTop w:val="0"/>
          <w:marBottom w:val="0"/>
          <w:divBdr>
            <w:top w:val="none" w:sz="0" w:space="0" w:color="auto"/>
            <w:left w:val="none" w:sz="0" w:space="0" w:color="auto"/>
            <w:bottom w:val="none" w:sz="0" w:space="0" w:color="auto"/>
            <w:right w:val="none" w:sz="0" w:space="0" w:color="auto"/>
          </w:divBdr>
        </w:div>
        <w:div w:id="2084140596">
          <w:marLeft w:val="480"/>
          <w:marRight w:val="0"/>
          <w:marTop w:val="0"/>
          <w:marBottom w:val="0"/>
          <w:divBdr>
            <w:top w:val="none" w:sz="0" w:space="0" w:color="auto"/>
            <w:left w:val="none" w:sz="0" w:space="0" w:color="auto"/>
            <w:bottom w:val="none" w:sz="0" w:space="0" w:color="auto"/>
            <w:right w:val="none" w:sz="0" w:space="0" w:color="auto"/>
          </w:divBdr>
        </w:div>
        <w:div w:id="1332953512">
          <w:marLeft w:val="480"/>
          <w:marRight w:val="0"/>
          <w:marTop w:val="0"/>
          <w:marBottom w:val="0"/>
          <w:divBdr>
            <w:top w:val="none" w:sz="0" w:space="0" w:color="auto"/>
            <w:left w:val="none" w:sz="0" w:space="0" w:color="auto"/>
            <w:bottom w:val="none" w:sz="0" w:space="0" w:color="auto"/>
            <w:right w:val="none" w:sz="0" w:space="0" w:color="auto"/>
          </w:divBdr>
        </w:div>
        <w:div w:id="1740394942">
          <w:marLeft w:val="480"/>
          <w:marRight w:val="0"/>
          <w:marTop w:val="0"/>
          <w:marBottom w:val="0"/>
          <w:divBdr>
            <w:top w:val="none" w:sz="0" w:space="0" w:color="auto"/>
            <w:left w:val="none" w:sz="0" w:space="0" w:color="auto"/>
            <w:bottom w:val="none" w:sz="0" w:space="0" w:color="auto"/>
            <w:right w:val="none" w:sz="0" w:space="0" w:color="auto"/>
          </w:divBdr>
        </w:div>
        <w:div w:id="98184512">
          <w:marLeft w:val="480"/>
          <w:marRight w:val="0"/>
          <w:marTop w:val="0"/>
          <w:marBottom w:val="0"/>
          <w:divBdr>
            <w:top w:val="none" w:sz="0" w:space="0" w:color="auto"/>
            <w:left w:val="none" w:sz="0" w:space="0" w:color="auto"/>
            <w:bottom w:val="none" w:sz="0" w:space="0" w:color="auto"/>
            <w:right w:val="none" w:sz="0" w:space="0" w:color="auto"/>
          </w:divBdr>
        </w:div>
      </w:divsChild>
    </w:div>
    <w:div w:id="2098861094">
      <w:bodyDiv w:val="1"/>
      <w:marLeft w:val="0"/>
      <w:marRight w:val="0"/>
      <w:marTop w:val="0"/>
      <w:marBottom w:val="0"/>
      <w:divBdr>
        <w:top w:val="none" w:sz="0" w:space="0" w:color="auto"/>
        <w:left w:val="none" w:sz="0" w:space="0" w:color="auto"/>
        <w:bottom w:val="none" w:sz="0" w:space="0" w:color="auto"/>
        <w:right w:val="none" w:sz="0" w:space="0" w:color="auto"/>
      </w:divBdr>
      <w:divsChild>
        <w:div w:id="1526209951">
          <w:marLeft w:val="480"/>
          <w:marRight w:val="0"/>
          <w:marTop w:val="0"/>
          <w:marBottom w:val="0"/>
          <w:divBdr>
            <w:top w:val="none" w:sz="0" w:space="0" w:color="auto"/>
            <w:left w:val="none" w:sz="0" w:space="0" w:color="auto"/>
            <w:bottom w:val="none" w:sz="0" w:space="0" w:color="auto"/>
            <w:right w:val="none" w:sz="0" w:space="0" w:color="auto"/>
          </w:divBdr>
        </w:div>
        <w:div w:id="1531063908">
          <w:marLeft w:val="480"/>
          <w:marRight w:val="0"/>
          <w:marTop w:val="0"/>
          <w:marBottom w:val="0"/>
          <w:divBdr>
            <w:top w:val="none" w:sz="0" w:space="0" w:color="auto"/>
            <w:left w:val="none" w:sz="0" w:space="0" w:color="auto"/>
            <w:bottom w:val="none" w:sz="0" w:space="0" w:color="auto"/>
            <w:right w:val="none" w:sz="0" w:space="0" w:color="auto"/>
          </w:divBdr>
        </w:div>
        <w:div w:id="1174340170">
          <w:marLeft w:val="480"/>
          <w:marRight w:val="0"/>
          <w:marTop w:val="0"/>
          <w:marBottom w:val="0"/>
          <w:divBdr>
            <w:top w:val="none" w:sz="0" w:space="0" w:color="auto"/>
            <w:left w:val="none" w:sz="0" w:space="0" w:color="auto"/>
            <w:bottom w:val="none" w:sz="0" w:space="0" w:color="auto"/>
            <w:right w:val="none" w:sz="0" w:space="0" w:color="auto"/>
          </w:divBdr>
        </w:div>
        <w:div w:id="1615942047">
          <w:marLeft w:val="480"/>
          <w:marRight w:val="0"/>
          <w:marTop w:val="0"/>
          <w:marBottom w:val="0"/>
          <w:divBdr>
            <w:top w:val="none" w:sz="0" w:space="0" w:color="auto"/>
            <w:left w:val="none" w:sz="0" w:space="0" w:color="auto"/>
            <w:bottom w:val="none" w:sz="0" w:space="0" w:color="auto"/>
            <w:right w:val="none" w:sz="0" w:space="0" w:color="auto"/>
          </w:divBdr>
        </w:div>
        <w:div w:id="1892230559">
          <w:marLeft w:val="480"/>
          <w:marRight w:val="0"/>
          <w:marTop w:val="0"/>
          <w:marBottom w:val="0"/>
          <w:divBdr>
            <w:top w:val="none" w:sz="0" w:space="0" w:color="auto"/>
            <w:left w:val="none" w:sz="0" w:space="0" w:color="auto"/>
            <w:bottom w:val="none" w:sz="0" w:space="0" w:color="auto"/>
            <w:right w:val="none" w:sz="0" w:space="0" w:color="auto"/>
          </w:divBdr>
        </w:div>
        <w:div w:id="1327392628">
          <w:marLeft w:val="480"/>
          <w:marRight w:val="0"/>
          <w:marTop w:val="0"/>
          <w:marBottom w:val="0"/>
          <w:divBdr>
            <w:top w:val="none" w:sz="0" w:space="0" w:color="auto"/>
            <w:left w:val="none" w:sz="0" w:space="0" w:color="auto"/>
            <w:bottom w:val="none" w:sz="0" w:space="0" w:color="auto"/>
            <w:right w:val="none" w:sz="0" w:space="0" w:color="auto"/>
          </w:divBdr>
        </w:div>
        <w:div w:id="1956717718">
          <w:marLeft w:val="480"/>
          <w:marRight w:val="0"/>
          <w:marTop w:val="0"/>
          <w:marBottom w:val="0"/>
          <w:divBdr>
            <w:top w:val="none" w:sz="0" w:space="0" w:color="auto"/>
            <w:left w:val="none" w:sz="0" w:space="0" w:color="auto"/>
            <w:bottom w:val="none" w:sz="0" w:space="0" w:color="auto"/>
            <w:right w:val="none" w:sz="0" w:space="0" w:color="auto"/>
          </w:divBdr>
        </w:div>
        <w:div w:id="495730410">
          <w:marLeft w:val="480"/>
          <w:marRight w:val="0"/>
          <w:marTop w:val="0"/>
          <w:marBottom w:val="0"/>
          <w:divBdr>
            <w:top w:val="none" w:sz="0" w:space="0" w:color="auto"/>
            <w:left w:val="none" w:sz="0" w:space="0" w:color="auto"/>
            <w:bottom w:val="none" w:sz="0" w:space="0" w:color="auto"/>
            <w:right w:val="none" w:sz="0" w:space="0" w:color="auto"/>
          </w:divBdr>
        </w:div>
        <w:div w:id="971448330">
          <w:marLeft w:val="480"/>
          <w:marRight w:val="0"/>
          <w:marTop w:val="0"/>
          <w:marBottom w:val="0"/>
          <w:divBdr>
            <w:top w:val="none" w:sz="0" w:space="0" w:color="auto"/>
            <w:left w:val="none" w:sz="0" w:space="0" w:color="auto"/>
            <w:bottom w:val="none" w:sz="0" w:space="0" w:color="auto"/>
            <w:right w:val="none" w:sz="0" w:space="0" w:color="auto"/>
          </w:divBdr>
        </w:div>
        <w:div w:id="863251136">
          <w:marLeft w:val="480"/>
          <w:marRight w:val="0"/>
          <w:marTop w:val="0"/>
          <w:marBottom w:val="0"/>
          <w:divBdr>
            <w:top w:val="none" w:sz="0" w:space="0" w:color="auto"/>
            <w:left w:val="none" w:sz="0" w:space="0" w:color="auto"/>
            <w:bottom w:val="none" w:sz="0" w:space="0" w:color="auto"/>
            <w:right w:val="none" w:sz="0" w:space="0" w:color="auto"/>
          </w:divBdr>
        </w:div>
        <w:div w:id="387843773">
          <w:marLeft w:val="480"/>
          <w:marRight w:val="0"/>
          <w:marTop w:val="0"/>
          <w:marBottom w:val="0"/>
          <w:divBdr>
            <w:top w:val="none" w:sz="0" w:space="0" w:color="auto"/>
            <w:left w:val="none" w:sz="0" w:space="0" w:color="auto"/>
            <w:bottom w:val="none" w:sz="0" w:space="0" w:color="auto"/>
            <w:right w:val="none" w:sz="0" w:space="0" w:color="auto"/>
          </w:divBdr>
        </w:div>
        <w:div w:id="474224047">
          <w:marLeft w:val="480"/>
          <w:marRight w:val="0"/>
          <w:marTop w:val="0"/>
          <w:marBottom w:val="0"/>
          <w:divBdr>
            <w:top w:val="none" w:sz="0" w:space="0" w:color="auto"/>
            <w:left w:val="none" w:sz="0" w:space="0" w:color="auto"/>
            <w:bottom w:val="none" w:sz="0" w:space="0" w:color="auto"/>
            <w:right w:val="none" w:sz="0" w:space="0" w:color="auto"/>
          </w:divBdr>
        </w:div>
        <w:div w:id="1764186702">
          <w:marLeft w:val="480"/>
          <w:marRight w:val="0"/>
          <w:marTop w:val="0"/>
          <w:marBottom w:val="0"/>
          <w:divBdr>
            <w:top w:val="none" w:sz="0" w:space="0" w:color="auto"/>
            <w:left w:val="none" w:sz="0" w:space="0" w:color="auto"/>
            <w:bottom w:val="none" w:sz="0" w:space="0" w:color="auto"/>
            <w:right w:val="none" w:sz="0" w:space="0" w:color="auto"/>
          </w:divBdr>
        </w:div>
      </w:divsChild>
    </w:div>
    <w:div w:id="2103793828">
      <w:bodyDiv w:val="1"/>
      <w:marLeft w:val="0"/>
      <w:marRight w:val="0"/>
      <w:marTop w:val="0"/>
      <w:marBottom w:val="0"/>
      <w:divBdr>
        <w:top w:val="none" w:sz="0" w:space="0" w:color="auto"/>
        <w:left w:val="none" w:sz="0" w:space="0" w:color="auto"/>
        <w:bottom w:val="none" w:sz="0" w:space="0" w:color="auto"/>
        <w:right w:val="none" w:sz="0" w:space="0" w:color="auto"/>
      </w:divBdr>
    </w:div>
    <w:div w:id="212789186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8F720E-7B92-405E-8128-E539D2653497}">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a1db9520-e87e-4522-8fc0-a4755fad00cd&quot;,&quot;properties&quot;:{&quot;noteIndex&quot;:0},&quot;isEdited&quot;:false,&quot;manualOverride&quot;:{&quot;isManuallyOverridden&quot;:false,&quot;citeprocText&quot;:&quot;(Pecoraro et al., 2024)&quot;,&quot;manualOverrideText&quot;:&quot;&quot;},&quot;citationTag&quot;:&quot;MENDELEY_CITATION_v3_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&quot;,&quot;citationItems&quot;:[{&quot;id&quot;:&quot;af189070-3260-33ec-ae13-0550a7fec1d9&quot;,&quot;itemData&quot;:{&quot;type&quot;:&quot;article-journal&quot;,&quot;id&quot;:&quot;af189070-3260-33ec-ae13-0550a7fec1d9&quot;,&quot;title&quot;:&quot;Enhancing H2 production rate in PGM-free photoelectrochemical cells by glycerol photo-oxidation&quot;,&quot;author&quot;:[{&quot;family&quot;:&quot;Pecoraro&quot;,&quot;given&quot;:&quot;Claudio M.&quot;,&quot;parse-names&quot;:false,&quot;dropping-particle&quot;:&quot;&quot;,&quot;non-dropping-particle&quot;:&quot;&quot;},{&quot;family&quot;:&quot;Franco&quot;,&quot;given&quot;:&quot;Francesco&quot;,&quot;parse-names&quot;:false,&quot;dropping-particle&quot;:&quot;&quot;,&quot;non-dropping-particle&quot;:&quot;Di&quot;},{&quot;family&quot;:&quot;Bellardita&quot;,&quot;given&quot;:&quot;Marianna&quot;,&quot;parse-names&quot;:false,&quot;dropping-particle&quot;:&quot;&quot;,&quot;non-dropping-particle&quot;:&quot;&quot;},{&quot;family&quot;:&quot;Loddo&quot;,&quot;given&quot;:&quot;Vittorio&quot;,&quot;parse-names&quot;:false,&quot;dropping-particle&quot;:&quot;&quot;,&quot;non-dropping-particle&quot;:&quot;&quot;},{&quot;family&quot;:&quot;Santamaria&quot;,&quot;given&quot;:&quot;Monica&quot;,&quot;parse-names&quot;:false,&quot;dropping-particle&quot;:&quot;&quot;,&quot;non-dropping-particle&quot;:&quot;&quot;}],&quot;container-title&quot;:&quot;International Journal of Hydrogen Energy&quot;,&quot;container-title-short&quot;:&quot;Int J Hydrogen Energy&quot;,&quot;DOI&quot;:&quot;10.1016/j.ijhydene.2023.08.011&quot;,&quot;ISSN&quot;:&quot;03603199&quot;,&quot;URL&quot;:&quot;https://linkinghub.elsevier.com/retrieve/pii/S0360319923039204&quot;,&quot;issued&quot;:{&quot;date-parts&quot;:[[2024,1]]},&quot;page&quot;:&quot;322-336&quot;,&quot;abstract&quot;:&quot;The photo-oxidation of glycerol was carried out by using TiO2 NTs photoanodes and Ni foam as the cathode for the Hydrogen Evolution Reaction. The photoanodes were prepared by anodizing Ti foils and titanium felt and then annealed under air exposure. They were tested in acidic aqueous solution without and with the addition of glycerol. When glycerol was present, the hydrogen production rate increased and allowed the simultaneous production of high value added partial oxidation compounds, i.e. 1,3-dihydroxyacetone (DHA), and glyceraldehyde (GA). The highest H2 evolution and partial oxidation compounds production rates were obtained by using home prepared TiO2 nanotubes (TiO2 NTs) synthesized on Ti fiber felt as the photoanode with an irradiated area of 90 cm2. These photoanodes were found to be highly stable both from a mechanical and a chemical point of view, so they can be reused after a simple cleaning step.&quot;,&quot;publisher&quot;:&quot;Elsevier Ltd&quot;,&quot;volume&quot;:&quot;49&quot;},&quot;isTemporary&quot;:false}]},{&quot;citationID&quot;:&quot;MENDELEY_CITATION_316db68e-8f19-46c7-bb03-3af43b76eeb8&quot;,&quot;properties&quot;:{&quot;noteIndex&quot;:0},&quot;isEdited&quot;:false,&quot;manualOverride&quot;:{&quot;isManuallyOverridden&quot;:false,&quot;citeprocText&quot;:&quot;(Pecoraro, Bellardita, Loddo, Di Franco, et al., 2023)&quot;,&quot;manualOverrideText&quot;:&quot;&quot;},&quot;citationTag&quot;:&quot;MENDELEY_CITATION_v3_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&quot;,&quot;citationItems&quot;:[{&quot;id&quot;:&quot;35199705-c941-3e53-808d-2d6b402d3c2f&quot;,&quot;itemData&quot;:{&quot;type&quot;:&quot;article-journal&quot;,&quot;id&quot;:&quot;35199705-c941-3e53-808d-2d6b402d3c2f&quot;,&quot;title&quot;:&quot;A facile way to synthesize noble metal free TiO2 based catalysts for glycerol photoreforming&quot;,&quot;author&quot;:[{&quot;family&quot;:&quot;Pecoraro&quot;,&quot;given&quot;:&quot;Claudio M.&quot;,&quot;parse-names&quot;:false,&quot;dropping-particle&quot;:&quot;&quot;,&quot;non-dropping-particle&quot;:&quot;&quot;},{&quot;family&quot;:&quot;Bellardita&quot;,&quot;given&quot;:&quot;Marianna&quot;,&quot;parse-names&quot;:false,&quot;dropping-particle&quot;:&quot;&quot;,&quot;non-dropping-particle&quot;:&quot;&quot;},{&quot;family&quot;:&quot;Loddo&quot;,&quot;given&quot;:&quot;Vittorio&quot;,&quot;parse-names&quot;:false,&quot;dropping-particle&quot;:&quot;&quot;,&quot;non-dropping-particle&quot;:&quot;&quot;},{&quot;family&quot;:&quot;Franco&quot;,&quot;given&quot;:&quot;Francesco&quot;,&quot;parse-names&quot;:false,&quot;dropping-particle&quot;:&quot;&quot;,&quot;non-dropping-particle&quot;:&quot;Di&quot;},{&quot;family&quot;:&quot;Palmisano&quot;,&quot;given&quot;:&quot;Leonardo&quot;,&quot;parse-names&quot;:false,&quot;dropping-particle&quot;:&quot;&quot;,&quot;non-dropping-particle&quot;:&quot;&quot;},{&quot;family&quot;:&quot;Santamaria&quot;,&quot;given&quot;:&quot;Monica&quot;,&quot;parse-names&quot;:false,&quot;dropping-particle&quot;:&quot;&quot;,&quot;non-dropping-particle&quot;:&quot;&quot;}],&quot;container-title&quot;:&quot;Journal of Industrial and Engineering Chemistry&quot;,&quot;accessed&quot;:{&quot;date-parts&quot;:[[2022,12,16]]},&quot;DOI&quot;:&quot;10.1016/j.jiec.2022.11.010&quot;,&quot;ISSN&quot;:&quot;1226086X&quot;,&quot;URL&quot;:&quot;https://linkinghub.elsevier.com/retrieve/pii/S1226086X22006232&quot;,&quot;issued&quot;:{&quot;date-parts&quot;:[[2023,2]]},&quot;page&quot;:&quot;247-258&quot;,&quot;publisher&quot;:&quot;Elsevier BV&quot;,&quot;volume&quot;:&quot;118&quot;,&quot;container-title-short&quot;:&quot;&quot;},&quot;isTemporary&quot;:false}]},{&quot;citationID&quot;:&quot;MENDELEY_CITATION_da4abcdd-9a0a-40a3-a09c-1c88816cbaea&quot;,&quot;properties&quot;:{&quot;noteIndex&quot;:0},&quot;isEdited&quot;:false,&quot;manualOverride&quot;:{&quot;isManuallyOverridden&quot;:false,&quot;citeprocText&quot;:&quot;(Kong et al., 2016)&quot;,&quot;manualOverrideText&quot;:&quot;&quot;},&quot;citationTag&quot;:&quot;MENDELEY_CITATION_v3_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&quot;,&quot;citationItems&quot;:[{&quot;id&quot;:&quot;1525ecf0-1e33-3bee-ada4-9edc2b7ad223&quot;,&quot;itemData&quot;:{&quot;type&quot;:&quot;article-journal&quot;,&quot;id&quot;:&quot;1525ecf0-1e33-3bee-ada4-9edc2b7ad223&quot;,&quot;title&quot;:&quot;Conversion of crude and pure glycerol into derivatives: A feasibility evaluation&quot;,&quot;author&quot;:[{&quot;family&quot;:&quot;Kong&quot;,&quot;given&quot;:&quot;Pei San&quot;,&quot;parse-names&quot;:false,&quot;dropping-particle&quot;:&quot;&quot;,&quot;non-dropping-particle&quot;:&quot;&quot;},{&quot;family&quot;:&quot;Aroua&quot;,&quot;given&quot;:&quot;Mohamed Kheireddine&quot;,&quot;parse-names&quot;:false,&quot;dropping-particle&quot;:&quot;&quot;,&quot;non-dropping-particle&quot;:&quot;&quot;},{&quot;family&quot;:&quot;Daud&quot;,&quot;given&quot;:&quot;Wan Mohd Ashri Wan&quot;,&quot;parse-names&quot;:false,&quot;dropping-particle&quot;:&quot;&quot;,&quot;non-dropping-particle&quot;:&quot;&quot;}],&quot;container-title&quot;:&quot;Renewable and Sustainable Energy Reviews&quot;,&quot;DOI&quot;:&quot;10.1016/j.rser.2016.05.054&quot;,&quot;ISSN&quot;:&quot;13640321&quot;,&quot;URL&quot;:&quot;https://linkinghub.elsevier.com/retrieve/pii/S1364032116301666&quot;,&quot;issued&quot;:{&quot;date-parts&quot;:[[2016,9,1]]},&quot;page&quot;:&quot;533-555&quot;,&quot;abstract&quot;:&quot;The transformation of glycerol to derivatives has been widely investigated because of the demand to enhance the value of crude glycerol produced by biodiesel and oleochemical industries. Intensive research has focused on the conversion of pure glycerol (PG) to different valuable derivatives. Nevertheless, the feasibility of the direct conversion of crude glycerol (CG), which is a waste byproduct of biodiesel production, through chemical processes has been rarely reported because this application is limited by the impurities of CG. Therefore, this review evaluates the feasibility of the direct transformation of CG to value-added derivatives, supplemented with the performance comparison of both PG and CG. This review also demonstrates that the relevant approaches to transform CG into value-added derivatives mainly rely on the following factors: acceptable production cost, advanced process technology, convenient final product separation and purification, excellent product specification, appropriate CG feedstock quality, and minimum catalyst deactivation problem.&quot;,&quot;publisher&quot;:&quot;Elsevier Ltd&quot;,&quot;volume&quot;:&quot;63&quot;,&quot;container-title-short&quot;:&quot;&quot;},&quot;isTemporary&quot;:false}]},{&quot;citationID&quot;:&quot;MENDELEY_CITATION_e3761d33-7d9f-44ef-986f-cfd1ab889c3d&quot;,&quot;properties&quot;:{&quot;noteIndex&quot;:0},&quot;isEdited&quot;:false,&quot;manualOverride&quot;:{&quot;isManuallyOverridden&quot;:false,&quot;citeprocText&quot;:&quot;(Luo et al., 2022)&quot;,&quot;manualOverrideText&quot;:&quot;&quot;},&quot;citationTag&quot;:&quot;MENDELEY_CITATION_v3_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&quot;,&quot;citationItems&quot;:[{&quot;id&quot;:&quot;b214ba1c-4457-3bf4-86f1-7735452b72c3&quot;,&quot;itemData&quot;:{&quot;type&quot;:&quot;article-journal&quot;,&quot;id&quot;:&quot;b214ba1c-4457-3bf4-86f1-7735452b72c3&quot;,&quot;title&quot;:&quot;Selective Photoelectrocatalytic Glycerol Oxidation to Dihydroxyacetone via Enhanced Middle Hydroxyl Adsorption over a Bi &lt;sub&gt;2&lt;/sub&gt; O &lt;sub&gt;3&lt;/sub&gt; -Incorporated Catalyst&quot;,&quot;author&quot;:[{&quot;family&quot;:&quot;Luo&quot;,&quot;given&quot;:&quot;Lan&quot;,&quot;parse-names&quot;:false,&quot;dropping-particle&quot;:&quot;&quot;,&quot;non-dropping-particle&quot;:&quot;&quot;},{&quot;family&quot;:&quot;Chen&quot;,&quot;given&quot;:&quot;Wangsong&quot;,&quot;parse-names&quot;:false,&quot;dropping-particle&quot;:&quot;&quot;,&quot;non-dropping-particle&quot;:&quot;&quot;},{&quot;family&quot;:&quot;Xu&quot;,&quot;given&quot;:&quot;Si-Min&quot;,&quot;parse-names&quot;:false,&quot;dropping-particle&quot;:&quot;&quot;,&quot;non-dropping-particle&quot;:&quot;&quot;},{&quot;family&quot;:&quot;Yang&quot;,&quot;given&quot;:&quot;Jiangrong&quot;,&quot;parse-names&quot;:false,&quot;dropping-particle&quot;:&quot;&quot;,&quot;non-dropping-particle&quot;:&quot;&quot;},{&quot;family&quot;:&quot;Li&quot;,&quot;given&quot;:&quot;Min&quot;,&quot;parse-names&quot;:false,&quot;dropping-particle&quot;:&quot;&quot;,&quot;non-dropping-particle&quot;:&quot;&quot;},{&quot;family&quot;:&quot;Zhou&quot;,&quot;given&quot;:&quot;Hua&quot;,&quot;parse-names&quot;:false,&quot;dropping-particle&quot;:&quot;&quot;,&quot;non-dropping-particle&quot;:&quot;&quot;},{&quot;family&quot;:&quot;Xu&quot;,&quot;given&quot;:&quot;Ming&quot;,&quot;parse-names&quot;:false,&quot;dropping-particle&quot;:&quot;&quot;,&quot;non-dropping-particle&quot;:&quot;&quot;},{&quot;family&quot;:&quot;Shao&quot;,&quot;given&quot;:&quot;Mingfei&quot;,&quot;parse-names&quot;:false,&quot;dropping-particle&quot;:&quot;&quot;,&quot;non-dropping-particle&quot;:&quot;&quot;},{&quot;family&quot;:&quot;Kong&quot;,&quot;given&quot;:&quot;Xianggui&quot;,&quot;parse-names&quot;:false,&quot;dropping-particle&quot;:&quot;&quot;,&quot;non-dropping-particle&quot;:&quot;&quot;},{&quot;family&quot;:&quot;Li&quot;,&quot;given&quot;:&quot;Zhenhua&quot;,&quot;parse-names&quot;:false,&quot;dropping-particle&quot;:&quot;&quot;,&quot;non-dropping-particle&quot;:&quot;&quot;},{&quot;family&quot;:&quot;Duan&quot;,&quot;given&quot;:&quot;Haohong&quot;,&quot;parse-names&quot;:false,&quot;dropping-particle&quot;:&quot;&quot;,&quot;non-dropping-particle&quot;:&quot;&quot;}],&quot;container-title&quot;:&quot;Journal of the American Chemical Society&quot;,&quot;container-title-short&quot;:&quot;J Am Chem Soc&quot;,&quot;DOI&quot;:&quot;10.1021/jacs.2c00465&quot;,&quot;ISSN&quot;:&quot;0002-7863&quot;,&quot;URL&quot;:&quot;https://pubs.acs.org/doi/10.1021/jacs.2c00465&quot;,&quot;issued&quot;:{&quot;date-parts&quot;:[[2022,5,4]]},&quot;page&quot;:&quot;7720-7730&quot;,&quot;issue&quot;:&quot;17&quot;,&quot;volume&quot;:&quot;144&quot;},&quot;isTemporary&quot;:false}]},{&quot;citationID&quot;:&quot;MENDELEY_CITATION_ed77a154-0071-4866-8b86-94622620ca49&quot;,&quot;properties&quot;:{&quot;noteIndex&quot;:0},&quot;isEdited&quot;:false,&quot;manualOverride&quot;:{&quot;isManuallyOverridden&quot;:false,&quot;citeprocText&quot;:&quot;(Verma et al., 2022)&quot;,&quot;manualOverrideText&quot;:&quot;&quot;},&quot;citationTag&quot;:&quot;MENDELEY_CITATION_v3_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&quot;,&quot;citationItems&quot;:[{&quot;id&quot;:&quot;f1dfb1f4-658c-3ea3-95a1-8e3f852d3abd&quot;,&quot;itemData&quot;:{&quot;type&quot;:&quot;article-journal&quot;,&quot;id&quot;:&quot;f1dfb1f4-658c-3ea3-95a1-8e3f852d3abd&quot;,&quot;title&quot;:&quot;Mechanistic Origins of the pH Dependency in Au-Catalyzed Glycerol Electro-oxidation: Insight from First-Principles Calculations&quot;,&quot;author&quot;:[{&quot;family&quot;:&quot;Verma&quot;,&quot;given&quot;:&quot;Anand M.&quot;,&quot;parse-names&quot;:false,&quot;dropping-particle&quot;:&quot;&quot;,&quot;non-dropping-particle&quot;:&quot;&quot;},{&quot;family&quot;:&quot;Laverdure&quot;,&quot;given&quot;:&quot;Laura&quot;,&quot;parse-names&quot;:false,&quot;dropping-particle&quot;:&quot;&quot;,&quot;non-dropping-particle&quot;:&quot;&quot;},{&quot;family&quot;:&quot;Melander&quot;,&quot;given&quot;:&quot;Marko M.&quot;,&quot;parse-names&quot;:false,&quot;dropping-particle&quot;:&quot;&quot;,&quot;non-dropping-particle&quot;:&quot;&quot;},{&quot;family&quot;:&quot;Honkala&quot;,&quot;given&quot;:&quot;Karoliina&quot;,&quot;parse-names&quot;:false,&quot;dropping-particle&quot;:&quot;&quot;,&quot;non-dropping-particle&quot;:&quot;&quot;}],&quot;container-title&quot;:&quot;ACS Catalysis&quot;,&quot;container-title-short&quot;:&quot;ACS Catal&quot;,&quot;accessed&quot;:{&quot;date-parts&quot;:[[2023,7,5]]},&quot;DOI&quot;:&quot;10.1021/ACSCATAL.1C03788/ASSET/IMAGES/LARGE/CS1C03788_0006.JPEG&quot;,&quot;ISSN&quot;:&quot;21555435&quot;,&quot;URL&quot;:&quot;https://pubs.acs.org/doi/full/10.1021/acscatal.1c03788&quot;,&quot;issued&quot;:{&quot;date-parts&quot;:[[2022,1,7]]},&quot;page&quot;:&quot;662-675&quot;,&quot;abstract&quot;:&quot;Electrocatalytic oxidation of glycerol (EOG) is an attractive approach to convert surplus glycerol to value-added products. Experiments have shown that EOG activity and selectivity depend not only on the electrocatalyst but also on the electrode potential, the pH, and the electrolyte. For broadly employed gold (Au) electrocatalysts, experiments have demonstrated high EOG activity under alkaline conditions with glyceric acid as a primary product, whereas under acidic and neutral conditions Au is almost inactive producing only small amounts of dihydroxyacetone. In the present computational work, we have performed an extensive mechanistic study to understand the pH and potential dependency of Au-catalyzed EOG. Our results show that activity and selectivity are controlled by the presence of surface-bound hydroxyl groups. Under alkaline conditions and close to the experimental onset potential, modest OH coverage is preferred according to our constant potential calculations. This indicates that both Au(OH)ads and Au can be active sites and they cooperatively facilitate the thermodynamically and kinetically feasible formation of glyceric acid thus explaining the experimentally observed high activity and selectivity. Under acidic conditions, hydroxide coverage is negligible and the dihydroxyacetone emerges as the favored product. Calculations predict slow reaction kinetics, however, which explains the low activity and selectivity toward dihydroxyacetone reported in experiments. Overall, our findings highlight that computational studies should explicitly account for pH and coverage effects under alkaline conditions for electrocatalytic oxidation reactions to reliably predict electrocatalytic behavior.&quot;,&quot;publisher&quot;:&quot;American Chemical Society&quot;,&quot;issue&quot;:&quot;1&quot;,&quot;volume&quot;:&quot;12&quot;},&quot;isTemporary&quot;:false}]},{&quot;citationID&quot;:&quot;MENDELEY_CITATION_aaa622e6-4e52-40ed-9ea5-ea393f41e9f3&quot;,&quot;properties&quot;:{&quot;noteIndex&quot;:0},&quot;isEdited&quot;:false,&quot;manualOverride&quot;:{&quot;isManuallyOverridden&quot;:false,&quot;citeprocText&quot;:&quot;(Yao et al., 2018)&quot;,&quot;manualOverrideText&quot;:&quot;&quot;},&quot;citationTag&quot;:&quot;MENDELEY_CITATION_v3_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&quot;,&quot;citationItems&quot;:[{&quot;id&quot;:&quot;df28b71f-9f72-33ca-b7c0-949f991ec3cb&quot;,&quot;itemData&quot;:{&quot;type&quot;:&quot;article-journal&quot;,&quot;id&quot;:&quot;df28b71f-9f72-33ca-b7c0-949f991ec3cb&quot;,&quot;title&quot;:&quot;Photoelectrocatalytic Materials for Solar Water Splitting&quot;,&quot;author&quot;:[{&quot;family&quot;:&quot;Yao&quot;,&quot;given&quot;:&quot;Tingting&quot;,&quot;parse-names&quot;:false,&quot;dropping-particle&quot;:&quot;&quot;,&quot;non-dropping-particle&quot;:&quot;&quot;},{&quot;family&quot;:&quot;An&quot;,&quot;given&quot;:&quot;Xiurui&quot;,&quot;parse-names&quot;:false,&quot;dropping-particle&quot;:&quot;&quot;,&quot;non-dropping-particle&quot;:&quot;&quot;},{&quot;family&quot;:&quot;Han&quot;,&quot;given&quot;:&quot;Hongxian&quot;,&quot;parse-names&quot;:false,&quot;dropping-particle&quot;:&quot;&quot;,&quot;non-dropping-particle&quot;:&quot;&quot;},{&quot;family&quot;:&quot;Chen&quot;,&quot;given&quot;:&quot;John Qianjun&quot;,&quot;parse-names&quot;:false,&quot;dropping-particle&quot;:&quot;&quot;,&quot;non-dropping-particle&quot;:&quot;&quot;},{&quot;family&quot;:&quot;Li&quot;,&quot;given&quot;:&quot;Can&quot;,&quot;parse-names&quot;:false,&quot;dropping-particle&quot;:&quot;&quot;,&quot;non-dropping-particle&quot;:&quot;&quot;}],&quot;container-title&quot;:&quot;Advanced Energy Materials&quot;,&quot;container-title-short&quot;:&quot;Adv Energy Mater&quot;,&quot;accessed&quot;:{&quot;date-parts&quot;:[[2023,7,5]]},&quot;DOI&quot;:&quot;10.1002/AENM.201800210&quot;,&quot;ISSN&quot;:&quot;1614-6840&quot;,&quot;URL&quot;:&quot;https://onlinelibrary.wiley.com/doi/full/10.1002/aenm.201800210&quot;,&quot;issued&quot;:{&quot;date-parts&quot;:[[2018,7,1]]},&quot;page&quot;:&quot;1800210&quot;,&quot;abstract&quot;:&quot;Photoelectrocatalytic water splitting offers a promising approach to convert sunlight into sustainable hydrogen energy. A thorough understanding of the relationships between the properties and functions of photoelectrocatalytic materials plays a crucial role in the design and fabrication of efficient photoelectrochemical systems for water splitting. This review presents the advances in the development of efficient photoelectrocatalytic materials. First, the fundamentals involved in the photoelectrocatalytic water splitting are elaborated. Then, the critical properties of photoelectrocatalytic materials are classified and discussed according to the associated photoelectrochemical processes, including light absorption, charge separation, charge transportation, and photoelectrocatalytic reactions. The importance of heterointerfaces in photoelectrodes is also mentioned in conjunction with the illustration of some functional interlayer materials. Finally, some strategies that can be employed in material screening and optimization for the construction of highly efficient photoelectrochemical devices for water splitting are also discussed.&quot;,&quot;publisher&quot;:&quot;John Wiley &amp; Sons, Ltd&quot;,&quot;issue&quot;:&quot;21&quot;,&quot;volume&quot;:&quot;8&quot;},&quot;isTemporary&quot;:false}]},{&quot;citationID&quot;:&quot;MENDELEY_CITATION_28ad4b1c-7ee5-4e60-b5a3-266960802779&quot;,&quot;properties&quot;:{&quot;noteIndex&quot;:0},&quot;isEdited&quot;:false,&quot;manualOverride&quot;:{&quot;isManuallyOverridden&quot;:false,&quot;citeprocText&quot;:&quot;(Pitchaimuthu et al., 2022)&quot;,&quot;manualOverrideText&quot;:&quot;&quot;},&quot;citationTag&quot;:&quot;MENDELEY_CITATION_v3_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&quot;,&quot;citationItems&quot;:[{&quot;id&quot;:&quot;575db4b3-c154-3686-b9d7-93756e82baab&quot;,&quot;itemData&quot;:{&quot;type&quot;:&quot;article-journal&quot;,&quot;id&quot;:&quot;575db4b3-c154-3686-b9d7-93756e82baab&quot;,&quot;title&quot;:&quot;Solar Hydrogen Fuel Generation from Wastewater—Beyond Photoelectrochemical Water Splitting: A Perspective&quot;,&quot;author&quot;:[{&quot;family&quot;:&quot;Pitchaimuthu&quot;,&quot;given&quot;:&quot;Sudhagar&quot;,&quot;parse-names&quot;:false,&quot;dropping-particle&quot;:&quot;&quot;,&quot;non-dropping-particle&quot;:&quot;&quot;},{&quot;family&quot;:&quot;Sridharan&quot;,&quot;given&quot;:&quot;Kishore&quot;,&quot;parse-names&quot;:false,&quot;dropping-particle&quot;:&quot;&quot;,&quot;non-dropping-particle&quot;:&quot;&quot;},{&quot;family&quot;:&quot;Nagarajan&quot;,&quot;given&quot;:&quot;Sanjay&quot;,&quot;parse-names&quot;:false,&quot;dropping-particle&quot;:&quot;&quot;,&quot;non-dropping-particle&quot;:&quot;&quot;},{&quot;family&quot;:&quot;Ananthraj&quot;,&quot;given&quot;:&quot;Sengeni&quot;,&quot;parse-names&quot;:false,&quot;dropping-particle&quot;:&quot;&quot;,&quot;non-dropping-particle&quot;:&quot;&quot;},{&quot;family&quot;:&quot;Robertson&quot;,&quot;given&quot;:&quot;Peter&quot;,&quot;parse-names&quot;:false,&quot;dropping-particle&quot;:&quot;&quot;,&quot;non-dropping-particle&quot;:&quot;&quot;},{&quot;family&quot;:&quot;Kuehnel&quot;,&quot;given&quot;:&quot;Moritz F.&quot;,&quot;parse-names&quot;:false,&quot;dropping-particle&quot;:&quot;&quot;,&quot;non-dropping-particle&quot;:&quot;&quot;},{&quot;family&quot;:&quot;Irabien&quot;,&quot;given&quot;:&quot;Ángel&quot;,&quot;parse-names&quot;:false,&quot;dropping-particle&quot;:&quot;&quot;,&quot;non-dropping-particle&quot;:&quot;&quot;},{&quot;family&quot;:&quot;Maroto-Valer&quot;,&quot;given&quot;:&quot;Mercedes&quot;,&quot;parse-names&quot;:false,&quot;dropping-particle&quot;:&quot;&quot;,&quot;non-dropping-particle&quot;:&quot;&quot;}],&quot;container-title&quot;:&quot;Energies&quot;,&quot;container-title-short&quot;:&quot;Energies (Basel)&quot;,&quot;accessed&quot;:{&quot;date-parts&quot;:[[2022,12,28]]},&quot;DOI&quot;:&quot;10.3390/EN15197399&quot;,&quot;ISSN&quot;:&quot;19961073&quot;,&quot;issued&quot;:{&quot;date-parts&quot;:[[2022,10,1]]},&quot;abstract&quot;:&quot;Green hydrogen—a carbon-free renewable fuel—has the capability to decarbonise a variety of sectors. The generation of green hydrogen is currently restricted to water electrolysers. The use of freshwater resources and critical raw materials, however, limits their use. Alternative water splitting methods for green hydrogen generation via photocatalysis and photoelectrocatalysis (PEC) have been explored in the past few decades; however, their commercial potential still remains unexploited due to the high hydrogen generation costs. Novel PEC-based simultaneous generation of green hydrogen and wastewater treatment/high-value product production is therefore seen as an alternative to conventional water splitting. Interestingly, the organic/inorganic pollutants in wastewater and biomass favourably act as electron donors and facilitate the dual-functional process of recovering green hydrogen while oxidising the organic matter. The generation of green hydrogen through the dual-functional PEC process opens up opportunities for a “circular economy”. It further enables the end-of-life commodities to be reused, recycled and resourced for a better life-cycle design while being economically viable for commercialisation. This review brings together and critically analyses the recent trends towards simultaneous wastewater treatment/biomass reforming while generating hydrogen gas by employing the PEC technology. We have briefly discussed the technical challenges associated with the tandem PEC process, new avenues, techno-economic feasibility and future directions towards achieving net neutrality.&quot;,&quot;publisher&quot;:&quot;MDPI&quot;,&quot;issue&quot;:&quot;19&quot;,&quot;volume&quot;:&quot;15&quot;},&quot;isTemporary&quot;:false}]},{&quot;citationID&quot;:&quot;MENDELEY_CITATION_cc56b0af-3ea1-4ee0-92ba-29f20754d8c6&quot;,&quot;properties&quot;:{&quot;noteIndex&quot;:0},&quot;isEdited&quot;:false,&quot;manualOverride&quot;:{&quot;isManuallyOverridden&quot;:false,&quot;citeprocText&quot;:&quot;(Dey et al., 2021)&quot;,&quot;manualOverrideText&quot;:&quot;&quot;},&quot;citationTag&quot;:&quot;MENDELEY_CITATION_v3_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&quot;,&quot;citationItems&quot;:[{&quot;id&quot;:&quot;e8220885-80a7-3d7e-b7f4-56183ec3bf55&quot;,&quot;itemData&quot;:{&quot;type&quot;:&quot;article-journal&quot;,&quot;id&quot;:&quot;e8220885-80a7-3d7e-b7f4-56183ec3bf55&quot;,&quot;title&quot;:&quot;Introduction to (photo)electrocatalysis for renewable energy&quot;,&quot;author&quot;:[{&quot;family&quot;:&quot;Dey&quot;,&quot;given&quot;:&quot;Abhishek&quot;,&quot;parse-names&quot;:false,&quot;dropping-particle&quot;:&quot;&quot;,&quot;non-dropping-particle&quot;:&quot;&quot;},{&quot;family&quot;:&quot;Houle&quot;,&quot;given&quot;:&quot;Frances A.&quot;,&quot;parse-names&quot;:false,&quot;dropping-particle&quot;:&quot;&quot;,&quot;non-dropping-particle&quot;:&quot;&quot;},{&quot;family&quot;:&quot;Lubner&quot;,&quot;given&quot;:&quot;Carolyn E.&quot;,&quot;parse-names&quot;:false,&quot;dropping-particle&quot;:&quot;&quot;,&quot;non-dropping-particle&quot;:&quot;&quot;},{&quot;family&quot;:&quot;Sevilla&quot;,&quot;given&quot;:&quot;Marta&quot;,&quot;parse-names&quot;:false,&quot;dropping-particle&quot;:&quot;&quot;,&quot;non-dropping-particle&quot;:&quot;&quot;},{&quot;family&quot;:&quot;Shaw&quot;,&quot;given&quot;:&quot;Wendy J.&quot;,&quot;parse-names&quot;:false,&quot;dropping-particle&quot;:&quot;&quot;,&quot;non-dropping-particle&quot;:&quot;&quot;}],&quot;container-title&quot;:&quot;Chemical Communications&quot;,&quot;accessed&quot;:{&quot;date-parts&quot;:[[2022,12,28]]},&quot;DOI&quot;:&quot;10.1039/D0CC90530E&quot;,&quot;ISSN&quot;:&quot;1364548X&quot;,&quot;PMID&quot;:&quot;33447833&quot;,&quot;issued&quot;:{&quot;date-parts&quot;:[[2021,2,14]]},&quot;page&quot;:&quot;1540-1542&quot;,&quot;publisher&quot;:&quot;Royal Society of Chemistry&quot;,&quot;issue&quot;:&quot;13&quot;,&quot;volume&quot;:&quot;57&quot;,&quot;container-title-short&quot;:&quot;&quot;},&quot;isTemporary&quot;:false}]},{&quot;citationID&quot;:&quot;MENDELEY_CITATION_025f0d3d-8d15-489e-9193-0fa96d5c2d5b&quot;,&quot;properties&quot;:{&quot;noteIndex&quot;:0},&quot;isEdited&quot;:false,&quot;manualOverride&quot;:{&quot;isManuallyOverridden&quot;:false,&quot;citeprocText&quot;:&quot;(Pecoraro, Bellardita, Loddo, Virtù, et al., 2023)&quot;,&quot;manualOverrideText&quot;:&quot;&quot;},&quot;citationTag&quot;:&quot;MENDELEY_CITATION_v3_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&quot;,&quot;citationItems&quot;:[{&quot;id&quot;:&quot;9bd4034e-1f7d-322d-b08b-7623ece8edbf&quot;,&quot;itemData&quot;:{&quot;type&quot;:&quot;article-journal&quot;,&quot;id&quot;:&quot;9bd4034e-1f7d-322d-b08b-7623ece8edbf&quot;,&quot;title&quot;:&quot;Photocatalytic and photoelectrocatalytic H2 evolution combined with valuable furfural production&quot;,&quot;author&quot;:[{&quot;family&quot;:&quot;Pecoraro&quot;,&quot;given&quot;:&quot;Claudio Maria&quot;,&quot;parse-names&quot;:false,&quot;dropping-particle&quot;:&quot;&quot;,&quot;non-dropping-particle&quot;:&quot;&quot;},{&quot;family&quot;:&quot;Bellardita&quot;,&quot;given&quot;:&quot;Marianna&quot;,&quot;parse-names&quot;:false,&quot;dropping-particle&quot;:&quot;&quot;,&quot;non-dropping-particle&quot;:&quot;&quot;},{&quot;family&quot;:&quot;Loddo&quot;,&quot;given&quot;:&quot;Vittorio&quot;,&quot;parse-names&quot;:false,&quot;dropping-particle&quot;:&quot;&quot;,&quot;non-dropping-particle&quot;:&quot;&quot;},{&quot;family&quot;:&quot;Virtù&quot;,&quot;given&quot;:&quot;Danilo&quot;,&quot;parse-names&quot;:false,&quot;dropping-particle&quot;:&quot;&quot;,&quot;non-dropping-particle&quot;:&quot;&quot;},{&quot;family&quot;:&quot;Franco&quot;,&quot;given&quot;:&quot;Francesco&quot;,&quot;parse-names&quot;:false,&quot;dropping-particle&quot;:&quot;&quot;,&quot;non-dropping-particle&quot;:&quot;Di&quot;},{&quot;family&quot;:&quot;Santamaria&quot;,&quot;given&quot;:&quot;Monica&quot;,&quot;parse-names&quot;:false,&quot;dropping-particle&quot;:&quot;&quot;,&quot;non-dropping-particle&quot;:&quot;&quot;}],&quot;container-title&quot;:&quot;Applied Catalysis A: General&quot;,&quot;container-title-short&quot;:&quot;Appl Catal A Gen&quot;,&quot;accessed&quot;:{&quot;date-parts&quot;:[[2022,12,16]]},&quot;DOI&quot;:&quot;10.1016/j.apcata.2022.118987&quot;,&quot;ISSN&quot;:&quot;0926860X&quot;,&quot;URL&quot;:&quot;https://linkinghub.elsevier.com/retrieve/pii/S0926860X22005105&quot;,&quot;issued&quot;:{&quot;date-parts&quot;:[[2023,1,25]]},&quot;page&quot;:&quot;118987&quot;,&quot;abstract&quot;:&quot;In this work the photocatalytic (PC) and photoelectrocatalytic (PEC) reforming of furfuryl alcohol (FA) under environmental friendly conditions was investigated. Both H2 evolution and partial oxidation to furfuraldehyde were followed. For the first time TiO2 based photocatalysts were studied and the photocatalytic activity of home prepared photocatalysts was compared with that of commercial ones under both UVA and simulated solar irradiation. PEC tests were performed by using home prepared TiO2 nanotubes (TiO2 NTs) as photoanode and Pt free Ni foam as cathode to improve the Hydrogen Evolution Reaction (HER). Both the partial FA oxidation reaction rate and H2 evolution rate were normalized for the lamp specific power to account for the different photon flux and the rates were higher for PEC process. PEC is a promising strategy for the valorization of biomasses with simultaneous H2 production in spite of the cost of the bias.&quot;,&quot;publisher&quot;:&quot;Elsevier B.V.&quot;,&quot;volume&quot;:&quot;650&quot;},&quot;isTemporary&quot;:false}]},{&quot;citationID&quot;:&quot;MENDELEY_CITATION_11ad9687-cd2e-4c9f-9b26-ef38b3319227&quot;,&quot;properties&quot;:{&quot;noteIndex&quot;:0},&quot;isEdited&quot;:false,&quot;manualOverride&quot;:{&quot;isManuallyOverridden&quot;:false,&quot;citeprocText&quot;:&quot;(Santamaria et al., 2017)&quot;,&quot;manualOverrideText&quot;:&quot;&quot;},&quot;citationTag&quot;:&quot;MENDELEY_CITATION_v3_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&quot;,&quot;citationItems&quot;:[{&quot;id&quot;:&quot;41136823-a2fb-3591-a806-c5d3c85522ff&quot;,&quot;itemData&quot;:{&quot;type&quot;:&quot;article-journal&quot;,&quot;id&quot;:&quot;41136823-a2fb-3591-a806-c5d3c85522ff&quot;,&quot;title&quot;:&quot;Electronic Properties of Thermal Oxides on Ti and Their Influence on Impedance and Photoelectrochemical Behavior of TiO &lt;sub&gt;2&lt;/sub&gt; Nanotubes&quot;,&quot;author&quot;:[{&quot;family&quot;:&quot;Santamaria&quot;,&quot;given&quot;:&quot;M.&quot;,&quot;parse-names&quot;:false,&quot;dropping-particle&quot;:&quot;&quot;,&quot;non-dropping-particle&quot;:&quot;&quot;},{&quot;family&quot;:&quot;Conigliaro&quot;,&quot;given&quot;:&quot;G.&quot;,&quot;parse-names&quot;:false,&quot;dropping-particle&quot;:&quot;&quot;,&quot;non-dropping-particle&quot;:&quot;&quot;},{&quot;family&quot;:&quot;Franco&quot;,&quot;given&quot;:&quot;F.&quot;,&quot;parse-names&quot;:false,&quot;dropping-particle&quot;:&quot;Di&quot;,&quot;non-dropping-particle&quot;:&quot;&quot;},{&quot;family&quot;:&quot;Megna&quot;,&quot;given&quot;:&quot;B.&quot;,&quot;parse-names&quot;:false,&quot;dropping-particle&quot;:&quot;&quot;,&quot;non-dropping-particle&quot;:&quot;&quot;},{&quot;family&quot;:&quot;Quarto&quot;,&quot;given&quot;:&quot;F.&quot;,&quot;parse-names&quot;:false,&quot;dropping-particle&quot;:&quot;Di&quot;,&quot;non-dropping-particle&quot;:&quot;&quot;}],&quot;container-title&quot;:&quot;Journal of The Electrochemical Society&quot;,&quot;container-title-short&quot;:&quot;J Electrochem Soc&quot;,&quot;DOI&quot;:&quot;10.1149/2.0601704jes&quot;,&quot;ISSN&quot;:&quot;0013-4651&quot;,&quot;URL&quot;:&quot;https://iopscience.iop.org/article/10.1149/2.0601704jes&quot;,&quot;issued&quot;:{&quot;date-parts&quot;:[[2017,1,28]]},&quot;page&quot;:&quot;C113-C120&quot;,&quot;abstract&quot;:&quot;© 2017 The Electrochemical Society. Thermal oxidation of titaniumwas carried out at 350C, 450C, and 550C for 2 h or 12 h.X-rayDiffraction and Raman Spectroscopy suggest that the thermal oxides are scarcely crystallinewhen the annealing temperature is low, while both anatase and rutile are present for high annealing temperature and time. Photoelectrochemical measurements allowed estimation of a bandgap decreasing from 3.35 eV to 3.15 eV with increasing annealing temperature. The impedance spectra confirmed the formation of n-Type semiconductors, with an impedance strongly decreasing on going from a reverse bias toward a forward bias regime. TIO 2  nanotubes grown by anodizing Ti in NH4F and water containing ethylene glycol solution were annealed at different temperature and for different times. X-ray Diffraction and Raman Spectroscopy proved that rutile is present at the barrier layer beneath the tubular array, while the tubes are mainly constituted by anatase. The incident photon to current conversion efficiency increased by increasing the annealing temperature and time. The impedance spectra recorded under reverse bias regime for thermal planar oxides and for annealed TIO 2  NTs are almost coincident, confirming that the predominant contribution arises from the barrier layer beneath the tubular array. Only under forward regime do the tube walls contribute to the measured impedance.&quot;,&quot;publisher&quot;:&quot;The Electrochemical Society&quot;,&quot;issue&quot;:&quot;4&quot;,&quot;volume&quot;:&quot;164&quot;},&quot;isTemporary&quot;:false}]},{&quot;citationID&quot;:&quot;MENDELEY_CITATION_2803f961-5157-49ca-b4f2-6b7a958e6ed8&quot;,&quot;properties&quot;:{&quot;noteIndex&quot;:0},&quot;isEdited&quot;:false,&quot;manualOverride&quot;:{&quot;isManuallyOverridden&quot;:false,&quot;citeprocText&quot;:&quot;(Reyes-Coronado et al., 2008)&quot;,&quot;manualOverrideText&quot;:&quot;&quot;},&quot;citationTag&quot;:&quot;MENDELEY_CITATION_v3_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&quot;,&quot;citationItems&quot;:[{&quot;id&quot;:&quot;0b536714-b4a1-3e1f-92cd-7b2140f482fc&quot;,&quot;itemData&quot;:{&quot;type&quot;:&quot;article-journal&quot;,&quot;id&quot;:&quot;0b536714-b4a1-3e1f-92cd-7b2140f482fc&quot;,&quot;title&quot;:&quot;Phase-pure TiO &lt;sub&gt;2&lt;/sub&gt; nanoparticles: anatase, brookite and rutile&quot;,&quot;author&quot;:[{&quot;family&quot;:&quot;Reyes-Coronado&quot;,&quot;given&quot;:&quot;D&quot;,&quot;parse-names&quot;:false,&quot;dropping-particle&quot;:&quot;&quot;,&quot;non-dropping-particle&quot;:&quot;&quot;},{&quot;family&quot;:&quot;Rodríguez-Gattorno&quot;,&quot;given&quot;:&quot;G&quot;,&quot;parse-names&quot;:false,&quot;dropping-particle&quot;:&quot;&quot;,&quot;non-dropping-particle&quot;:&quot;&quot;},{&quot;family&quot;:&quot;Espinosa-Pesqueira&quot;,&quot;given&quot;:&quot;M E&quot;,&quot;parse-names&quot;:false,&quot;dropping-particle&quot;:&quot;&quot;,&quot;non-dropping-particle&quot;:&quot;&quot;},{&quot;family&quot;:&quot;Cab&quot;,&quot;given&quot;:&quot;C&quot;,&quot;parse-names&quot;:false,&quot;dropping-particle&quot;:&quot;&quot;,&quot;non-dropping-particle&quot;:&quot;&quot;},{&quot;family&quot;:&quot;Coss&quot;,&quot;given&quot;:&quot;R&quot;,&quot;parse-names&quot;:false,&quot;dropping-particle&quot;:&quot;&quot;,&quot;non-dropping-particle&quot;:&quot;de&quot;},{&quot;family&quot;:&quot;Oskam&quot;,&quot;given&quot;:&quot;G&quot;,&quot;parse-names&quot;:false,&quot;dropping-particle&quot;:&quot;&quot;,&quot;non-dropping-particle&quot;:&quot;&quot;}],&quot;container-title&quot;:&quot;Nanotechnology&quot;,&quot;container-title-short&quot;:&quot;Nanotechnology&quot;,&quot;DOI&quot;:&quot;10.1088/0957-4484/19/14/145605&quot;,&quot;ISSN&quot;:&quot;0957-4484&quot;,&quot;URL&quot;:&quot;https://iopscience.iop.org/article/10.1088/0957-4484/19/14/145605&quot;,&quot;issued&quot;:{&quot;date-parts&quot;:[[2008,4,9]]},&quot;page&quot;:&quot;145605&quot;,&quot;abstract&quot;:&quot;We report on the synthesis of phase-pure TiO2 nanoparticles in anatase, rutile and brookite structures, using amorphous titania as a common starting material. Phase formation was achieved by hydrothermal treatment at elevated temperatures with the appropriate reactants. Anatase nanoparticles were obtained using acetic acid, while phase-pure rutile and brookite nanoparticles were obtained with hydrochloric acid at a different concentration. The nanomaterials were characterized using x-ray diffraction, UV-visible reflectance spectroscopy, dynamic light scattering, and transmission electron microscopy. We propose that anatase formation is dominated by surface energy effects, and that rutile and brookite formation follows a dissolution-precipitation mechanism, where chains of sixfold-coordinated titanium complexes arrange into different crystal structures depending on the reactant chemistry. The particle growth kinetics under hydrothermal conditions are determined by coarsening and aggregation-recrystallization processes, allowing control over the average nanoparticle size. © IOP Publishing Ltd.&quot;,&quot;issue&quot;:&quot;14&quot;,&quot;volume&quot;:&quot;19&quot;},&quot;isTemporary&quot;:false}]},{&quot;citationID&quot;:&quot;MENDELEY_CITATION_dd23c02d-1810-404e-b494-1170dda37e79&quot;,&quot;properties&quot;:{&quot;noteIndex&quot;:0},&quot;isEdited&quot;:false,&quot;manualOverride&quot;:{&quot;isManuallyOverridden&quot;:false,&quot;citeprocText&quot;:&quot;(Balachandran &amp;#38; Eror, 1982)&quot;,&quot;manualOverrideText&quot;:&quot;&quot;},&quot;citationTag&quot;:&quot;MENDELEY_CITATION_v3_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&quot;,&quot;citationItems&quot;:[{&quot;id&quot;:&quot;c10d2f9b-0f4d-3f65-b1cc-0ef7951d464a&quot;,&quot;itemData&quot;:{&quot;type&quot;:&quot;article-journal&quot;,&quot;id&quot;:&quot;c10d2f9b-0f4d-3f65-b1cc-0ef7951d464a&quot;,&quot;title&quot;:&quot;Raman spectra of titanium dioxide&quot;,&quot;author&quot;:[{&quot;family&quot;:&quot;Balachandran&quot;,&quot;given&quot;:&quot;U.&quot;,&quot;parse-names&quot;:false,&quot;dropping-particle&quot;:&quot;&quot;,&quot;non-dropping-particle&quot;:&quot;&quot;},{&quot;family&quot;:&quot;Eror&quot;,&quot;given&quot;:&quot;N.G.&quot;,&quot;parse-names&quot;:false,&quot;dropping-particle&quot;:&quot;&quot;,&quot;non-dropping-particle&quot;:&quot;&quot;}],&quot;container-title&quot;:&quot;Journal of Solid State Chemistry&quot;,&quot;container-title-short&quot;:&quot;J Solid State Chem&quot;,&quot;DOI&quot;:&quot;10.1016/0022-4596(82)90006-8&quot;,&quot;ISSN&quot;:&quot;00224596&quot;,&quot;URL&quot;:&quot;https://linkinghub.elsevier.com/retrieve/pii/0022459682900068&quot;,&quot;issued&quot;:{&quot;date-parts&quot;:[[1982,5]]},&quot;page&quot;:&quot;276-282&quot;,&quot;issue&quot;:&quot;3&quot;,&quot;volume&quot;:&quot;42&quot;},&quot;isTemporary&quot;:false}]},{&quot;citationID&quot;:&quot;MENDELEY_CITATION_8367eb84-a521-4c82-b75c-411f1d52b2ce&quot;,&quot;properties&quot;:{&quot;noteIndex&quot;:0},&quot;isEdited&quot;:false,&quot;manualOverride&quot;:{&quot;isManuallyOverridden&quot;:false,&quot;citeprocText&quot;:&quot;(Albu et al., 2010)&quot;,&quot;manualOverrideText&quot;:&quot;&quot;},&quot;citationTag&quot;:&quot;MENDELEY_CITATION_v3_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&quot;,&quot;citationItems&quot;:[{&quot;id&quot;:&quot;6595f92d-4e43-3dd7-b32a-a1adc6402d27&quot;,&quot;itemData&quot;:{&quot;type&quot;:&quot;article-journal&quot;,&quot;id&quot;:&quot;6595f92d-4e43-3dd7-b32a-a1adc6402d27&quot;,&quot;title&quot;:&quot;TiO &lt;sub&gt;2&lt;/sub&gt; Nanotubes – Annealing Effects on Detailed Morphology and Structure&quot;,&quot;author&quot;:[{&quot;family&quot;:&quot;Albu&quot;,&quot;given&quot;:&quot;Sergiu P.&quot;,&quot;parse-names&quot;:false,&quot;dropping-particle&quot;:&quot;&quot;,&quot;non-dropping-particle&quot;:&quot;&quot;},{&quot;family&quot;:&quot;Tsuchiya&quot;,&quot;given&quot;:&quot;Hiroaki&quot;,&quot;parse-names&quot;:false,&quot;dropping-particle&quot;:&quot;&quot;,&quot;non-dropping-particle&quot;:&quot;&quot;},{&quot;family&quot;:&quot;Fujimoto&quot;,&quot;given&quot;:&quot;Shinji&quot;,&quot;parse-names&quot;:false,&quot;dropping-particle&quot;:&quot;&quot;,&quot;non-dropping-particle&quot;:&quot;&quot;},{&quot;family&quot;:&quot;Schmuki&quot;,&quot;given&quot;:&quot;Patrik&quot;,&quot;parse-names&quot;:false,&quot;dropping-particle&quot;:&quot;&quot;,&quot;non-dropping-particle&quot;:&quot;&quot;}],&quot;container-title&quot;:&quot;European Journal of Inorganic Chemistry&quot;,&quot;container-title-short&quot;:&quot;Eur J Inorg Chem&quot;,&quot;DOI&quot;:&quot;10.1002/ejic.201000608&quot;,&quot;ISSN&quot;:&quot;1434-1948&quot;,&quot;URL&quot;:&quot;https://onlinelibrary.wiley.com/doi/10.1002/ejic.201000608&quot;,&quot;issued&quot;:{&quot;date-parts&quot;:[[2010,9,16]]},&quot;page&quot;:&quot;4351-4356&quot;,&quot;abstract&quot;:&quot;The present work deals with self-organized TiO2 nanotube layers formed on a Ti metal substrate by anodization. For virtually any electrical or photoelectric application, these originally amorphous nanotube layers need to be converted to anatase. Most frequently, this is done by annealing at temperatures of approximately 450 °C. In the present work we use TEM and XRD to compare the annealing at a significantly lower temperature of 350 °C with that at the established 450 °C. HRTEM results show that both annealing treatments lead to comparable grain sizes in the nanotube walls; however, at 450 °C numerous defects (nanoscopic cracks) are created in the nanotube walls. Moreover, the treatment at 450 °C leads to the formation of a (rutile) oxide layer underneath the tube layers. These factors can considerably affect the overall properties of the tubes. Additionally, we point out some effects that should be carefully considered when using HRTEM investigation on TiO2 nanotubes such as e-beam-induced crystallization or tube diameter shrinkage. © 2010 Wiley-VCH Verlag GmbH &amp; Co. KGaA, Weinheim.&quot;,&quot;issue&quot;:&quot;27&quot;,&quot;volume&quot;:&quot;2010&quot;},&quot;isTemporary&quot;:false}]},{&quot;citationID&quot;:&quot;MENDELEY_CITATION_5edd36fa-8b05-445d-8599-0838f87d73b7&quot;,&quot;properties&quot;:{&quot;noteIndex&quot;:0},&quot;isEdited&quot;:false,&quot;manualOverride&quot;:{&quot;isManuallyOverridden&quot;:false,&quot;citeprocText&quot;:&quot;(Pecoraro et al., 2024)&quot;,&quot;manualOverrideText&quot;:&quot;&quot;},&quot;citationTag&quot;:&quot;MENDELEY_CITATION_v3_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&quot;,&quot;citationItems&quot;:[{&quot;id&quot;:&quot;af189070-3260-33ec-ae13-0550a7fec1d9&quot;,&quot;itemData&quot;:{&quot;type&quot;:&quot;article-journal&quot;,&quot;id&quot;:&quot;af189070-3260-33ec-ae13-0550a7fec1d9&quot;,&quot;title&quot;:&quot;Enhancing H2 production rate in PGM-free photoelectrochemical cells by glycerol photo-oxidation&quot;,&quot;author&quot;:[{&quot;family&quot;:&quot;Pecoraro&quot;,&quot;given&quot;:&quot;Claudio M.&quot;,&quot;parse-names&quot;:false,&quot;dropping-particle&quot;:&quot;&quot;,&quot;non-dropping-particle&quot;:&quot;&quot;},{&quot;family&quot;:&quot;Franco&quot;,&quot;given&quot;:&quot;Francesco&quot;,&quot;parse-names&quot;:false,&quot;dropping-particle&quot;:&quot;&quot;,&quot;non-dropping-particle&quot;:&quot;Di&quot;},{&quot;family&quot;:&quot;Bellardita&quot;,&quot;given&quot;:&quot;Marianna&quot;,&quot;parse-names&quot;:false,&quot;dropping-particle&quot;:&quot;&quot;,&quot;non-dropping-particle&quot;:&quot;&quot;},{&quot;family&quot;:&quot;Loddo&quot;,&quot;given&quot;:&quot;Vittorio&quot;,&quot;parse-names&quot;:false,&quot;dropping-particle&quot;:&quot;&quot;,&quot;non-dropping-particle&quot;:&quot;&quot;},{&quot;family&quot;:&quot;Santamaria&quot;,&quot;given&quot;:&quot;Monica&quot;,&quot;parse-names&quot;:false,&quot;dropping-particle&quot;:&quot;&quot;,&quot;non-dropping-particle&quot;:&quot;&quot;}],&quot;container-title&quot;:&quot;International Journal of Hydrogen Energy&quot;,&quot;container-title-short&quot;:&quot;Int J Hydrogen Energy&quot;,&quot;DOI&quot;:&quot;10.1016/j.ijhydene.2023.08.011&quot;,&quot;ISSN&quot;:&quot;03603199&quot;,&quot;URL&quot;:&quot;https://linkinghub.elsevier.com/retrieve/pii/S0360319923039204&quot;,&quot;issued&quot;:{&quot;date-parts&quot;:[[2024,1]]},&quot;page&quot;:&quot;322-336&quot;,&quot;abstract&quot;:&quot;The photo-oxidation of glycerol was carried out by using TiO2 NTs photoanodes and Ni foam as the cathode for the Hydrogen Evolution Reaction. The photoanodes were prepared by anodizing Ti foils and titanium felt and then annealed under air exposure. They were tested in acidic aqueous solution without and with the addition of glycerol. When glycerol was present, the hydrogen production rate increased and allowed the simultaneous production of high value added partial oxidation compounds, i.e. 1,3-dihydroxyacetone (DHA), and glyceraldehyde (GA). The highest H2 evolution and partial oxidation compounds production rates were obtained by using home prepared TiO2 nanotubes (TiO2 NTs) synthesized on Ti fiber felt as the photoanode with an irradiated area of 90 cm2. These photoanodes were found to be highly stable both from a mechanical and a chemical point of view, so they can be reused after a simple cleaning step.&quot;,&quot;publisher&quot;:&quot;Elsevier Ltd&quot;,&quot;volume&quot;:&quot;49&quot;},&quot;isTemporary&quot;:false}]},{&quot;citationID&quot;:&quot;MENDELEY_CITATION_c00bc33d-f1c7-4a1b-8bc1-ee59a8f89da0&quot;,&quot;properties&quot;:{&quot;noteIndex&quot;:0},&quot;isEdited&quot;:false,&quot;manualOverride&quot;:{&quot;isManuallyOverridden&quot;:false,&quot;citeprocText&quot;:&quot;(Hunsom &amp;#38; Saila, 2013; Karimi Estahbanati et al., 2019)&quot;,&quot;manualOverrideText&quot;:&quot;&quot;},&quot;citationTag&quot;:&quot;MENDELEY_CITATION_v3_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&quot;,&quot;citationItems&quot;:[{&quot;id&quot;:&quot;fb114295-e88d-3412-b9f5-f82966c2910e&quot;,&quot;itemData&quot;:{&quot;type&quot;:&quot;article-journal&quot;,&quot;id&quot;:&quot;fb114295-e88d-3412-b9f5-f82966c2910e&quot;,&quot;title&quot;:&quot;Product Distribution of Electrochemical Conversion of Glycerol via Pt Electrode: Effect of Initial pH&quot;,&quot;author&quot;:[{&quot;family&quot;:&quot;Hunsom&quot;,&quot;given&quot;:&quot;Mali&quot;,&quot;parse-names&quot;:false,&quot;dropping-particle&quot;:&quot;&quot;,&quot;non-dropping-particle&quot;:&quot;&quot;},{&quot;family&quot;:&quot;Saila&quot;,&quot;given&quot;:&quot;Payia&quot;,&quot;parse-names&quot;:false,&quot;dropping-particle&quot;:&quot;&quot;,&quot;non-dropping-particle&quot;:&quot;&quot;}],&quot;container-title&quot;:&quot;Int. J. Electrochem. Sci&quot;,&quot;accessed&quot;:{&quot;date-parts&quot;:[[2023,12,15]]},&quot;URL&quot;:&quot;www.electrochemsci.org&quot;,&quot;issued&quot;:{&quot;date-parts&quot;:[[2013]]},&quot;page&quot;:&quot;11288-11300&quot;,&quot;abstract&quot;:&quot;The effect of the initial solution pH (1, 7 and 11) on the glycerol conversion and product distribution by electrochemical technique with a Pt electrode was explored at a laboratory scale and ambient condition. Under steady-state cyclic voltammetry (CV), the electrochemical conversion of glycerol to various reaction intermediates and products was observed. Under a galvanostatic mode, the glycerol conversion level as well as the product distribution and yields were highly dependent on the initial electrolyte pH. The conversion of glycerol underwent first-order rate kinetics model with a rate constant of 2.95  10-3 , 7.95  10-4 and 9.20  10-4 min-1 for an initial electrolyte solution pH of 1, 7 and 11, respectively. 1,2-Propanediol (1,2-PD) and 1,3-PD were only generated at pH 1, while ethylene glycerol, acetol, glycidol and acrolein were formed in the electrolytes at all three tested pH values. Product analysis revealed that the electrochemical conversion under these conditions could convert glycerol directly and quickly to glycidol, but more slowly to ethylene glycerol, acetol, acrolein, 1,2-PD and 1,3-PD.&quot;,&quot;volume&quot;:&quot;8&quot;,&quot;container-title-short&quot;:&quot;&quot;},&quot;isTemporary&quot;:false},{&quot;id&quot;:&quot;08b13375-7f6a-3747-8914-eb719664645d&quot;,&quot;itemData&quot;:{&quot;type&quot;:&quot;article-journal&quot;,&quot;id&quot;:&quot;08b13375-7f6a-3747-8914-eb719664645d&quot;,&quot;title&quot;:&quot;Kinetic study of the effects of pH on the photocatalytic hydrogen production from alcohols&quot;,&quot;author&quot;:[{&quot;family&quot;:&quot;Karimi Estahbanati&quot;,&quot;given&quot;:&quot;M. R.&quot;,&quot;parse-names&quot;:false,&quot;dropping-particle&quot;:&quot;&quot;,&quot;non-dropping-particle&quot;:&quot;&quot;},{&quot;family&quot;:&quot;Mahinpey&quot;,&quot;given&quot;:&quot;Nader&quot;,&quot;parse-names&quot;:false,&quot;dropping-particle&quot;:&quot;&quot;,&quot;non-dropping-particle&quot;:&quot;&quot;},{&quot;family&quot;:&quot;Feilizadeh&quot;,&quot;given&quot;:&quot;Mehrzad&quot;,&quot;parse-names&quot;:false,&quot;dropping-particle&quot;:&quot;&quot;,&quot;non-dropping-particle&quot;:&quot;&quot;},{&quot;family&quot;:&quot;Attar&quot;,&quot;given&quot;:&quot;Farid&quot;,&quot;parse-names&quot;:false,&quot;dropping-particle&quot;:&quot;&quot;,&quot;non-dropping-particle&quot;:&quot;&quot;},{&quot;family&quot;:&quot;Iliuta&quot;,&quot;given&quot;:&quot;Maria C.&quot;,&quot;parse-names&quot;:false,&quot;dropping-particle&quot;:&quot;&quot;,&quot;non-dropping-particle&quot;:&quot;&quot;}],&quot;container-title&quot;:&quot;International Journal of Hydrogen Energy&quot;,&quot;container-title-short&quot;:&quot;Int J Hydrogen Energy&quot;,&quot;accessed&quot;:{&quot;date-parts&quot;:[[2023,6,24]]},&quot;DOI&quot;:&quot;10.1016/J.IJHYDENE.2019.10.114&quot;,&quot;ISSN&quot;:&quot;0360-3199&quot;,&quot;issued&quot;:{&quot;date-parts&quot;:[[2019,12,6]]},&quot;page&quot;:&quot;32030-32041&quot;,&quot;abstract&quot;:&quot;Solution pH is an important parameter in photocatalytic reactions that substantially affects the process by changing photocatalyst agglomeration and substrate adsorption on photocatalyst surface. In this work, a kinetic study was performed on photocatalytic hydrogen production from alcohols and an intrinsic kinetic model was developed to predict the rate of hydrogen production from different alcohols as a function of pH. Glycerol, ethanol, and methanol were selected as representative substrates and tested in a pH range of 2–12. The very good agreement between model predictions and experimental data was confirmed by statistical analyses (R2, R2adj, RMS, AAD, and MAE). The results revealed that for all substrates investigated, the maximum hydrogen rate was obtained at a pH~8. A local minimum for hydrogen production was observed around pHzpc, as a result of catalyst agglomeration. The results of this study can be very useful in future investigations of the effects of pH on other aqueous phase photocatalytic processes.&quot;,&quot;publisher&quot;:&quot;Pergamon&quot;,&quot;issue&quot;:&quot;60&quot;,&quot;volume&quot;:&quot;44&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3408</Words>
  <Characters>18951</Characters>
  <Application>Microsoft Office Word</Application>
  <DocSecurity>0</DocSecurity>
  <Lines>400</Lines>
  <Paragraphs>211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CLAUDIO MARIA PECORARO</cp:lastModifiedBy>
  <cp:revision>11</cp:revision>
  <cp:lastPrinted>2015-05-12T18:31:00Z</cp:lastPrinted>
  <dcterms:created xsi:type="dcterms:W3CDTF">2024-02-13T20:52:00Z</dcterms:created>
  <dcterms:modified xsi:type="dcterms:W3CDTF">2024-02-14T09:19:00Z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c825ed98b82781a5f58a8ab495e83a5e792a19bf4b8d016d9679142ca332e82e</vt:lpwstr>
  </property>
</Properties>
</file>