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F12AB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F12AB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F12ABF">
        <w:trPr>
          <w:trHeight w:val="68"/>
          <w:jc w:val="center"/>
        </w:trPr>
        <w:tc>
          <w:tcPr>
            <w:tcW w:w="8782"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w:t>
            </w:r>
            <w:proofErr w:type="spellStart"/>
            <w:r w:rsidR="006A23E9" w:rsidRPr="00946B70">
              <w:rPr>
                <w:rFonts w:ascii="Tahoma" w:hAnsi="Tahoma" w:cs="Tahoma"/>
                <w:color w:val="000000"/>
                <w:sz w:val="14"/>
                <w:szCs w:val="14"/>
                <w:shd w:val="clear" w:color="auto" w:fill="FFFFFF"/>
              </w:rPr>
              <w:t>Tognotti</w:t>
            </w:r>
            <w:proofErr w:type="spellEnd"/>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 xml:space="preserve">Rubens </w:t>
            </w:r>
            <w:proofErr w:type="spellStart"/>
            <w:r w:rsidR="006A23E9" w:rsidRPr="00946B70">
              <w:rPr>
                <w:rFonts w:ascii="Tahoma" w:hAnsi="Tahoma" w:cs="Tahoma"/>
                <w:color w:val="000000"/>
                <w:sz w:val="14"/>
                <w:szCs w:val="14"/>
              </w:rPr>
              <w:t>Maciel</w:t>
            </w:r>
            <w:proofErr w:type="spellEnd"/>
            <w:r w:rsidR="006A23E9" w:rsidRPr="00946B70">
              <w:rPr>
                <w:rFonts w:ascii="Tahoma" w:hAnsi="Tahoma" w:cs="Tahoma"/>
                <w:color w:val="000000"/>
                <w:sz w:val="14"/>
                <w:szCs w:val="14"/>
              </w:rPr>
              <w:t xml:space="preserve"> Filho</w:t>
            </w:r>
            <w:r w:rsidR="006A23E9" w:rsidRPr="00946B70">
              <w:rPr>
                <w:rFonts w:ascii="Tahoma" w:hAnsi="Tahoma" w:cs="Tahoma"/>
                <w:color w:val="000000"/>
                <w:sz w:val="14"/>
                <w:szCs w:val="14"/>
                <w:shd w:val="clear" w:color="auto" w:fill="FFFFFF"/>
              </w:rPr>
              <w:t xml:space="preserve">, </w:t>
            </w:r>
            <w:proofErr w:type="spellStart"/>
            <w:r w:rsidR="006A23E9" w:rsidRPr="00946B70">
              <w:rPr>
                <w:rFonts w:ascii="Tahoma" w:hAnsi="Tahoma" w:cs="Tahoma"/>
                <w:color w:val="000000"/>
                <w:sz w:val="14"/>
                <w:szCs w:val="14"/>
              </w:rPr>
              <w:t>Viatcheslav</w:t>
            </w:r>
            <w:proofErr w:type="spellEnd"/>
            <w:r w:rsidR="006A23E9" w:rsidRPr="00946B70">
              <w:rPr>
                <w:rFonts w:ascii="Tahoma" w:hAnsi="Tahoma" w:cs="Tahoma"/>
                <w:color w:val="000000"/>
                <w:sz w:val="14"/>
                <w:szCs w:val="14"/>
              </w:rPr>
              <w:t xml:space="preserve"> </w:t>
            </w:r>
            <w:proofErr w:type="spellStart"/>
            <w:r w:rsidR="006A23E9" w:rsidRPr="00946B70">
              <w:rPr>
                <w:rFonts w:ascii="Tahoma" w:hAnsi="Tahoma" w:cs="Tahoma"/>
                <w:color w:val="000000"/>
                <w:sz w:val="14"/>
                <w:szCs w:val="14"/>
              </w:rPr>
              <w:t>Kafarov</w:t>
            </w:r>
            <w:proofErr w:type="spellEnd"/>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B51EF08" w:rsidR="00E978D0" w:rsidRPr="00B57B36" w:rsidRDefault="00F12ABF" w:rsidP="00E978D0">
      <w:pPr>
        <w:pStyle w:val="CETTitle"/>
      </w:pPr>
      <w:r w:rsidRPr="00F12ABF">
        <w:t xml:space="preserve">Decarbonisation Strategies </w:t>
      </w:r>
      <w:r>
        <w:t>f</w:t>
      </w:r>
      <w:r w:rsidRPr="00F12ABF">
        <w:t xml:space="preserve">or Sustainable Agricultural Development </w:t>
      </w:r>
      <w:r>
        <w:t>i</w:t>
      </w:r>
      <w:r w:rsidRPr="00F12ABF">
        <w:t>n Kazakhstan</w:t>
      </w:r>
    </w:p>
    <w:p w14:paraId="0488FED2" w14:textId="4265CD92" w:rsidR="00B57E6F" w:rsidRPr="00627D99" w:rsidRDefault="008B6DBA" w:rsidP="00B57E6F">
      <w:pPr>
        <w:pStyle w:val="CETAuthors"/>
        <w:rPr>
          <w:lang w:val="en-US"/>
        </w:rPr>
      </w:pPr>
      <w:r w:rsidRPr="00E1001B">
        <w:t>Marzhan A. Sadenova</w:t>
      </w:r>
      <w:r w:rsidR="00B57E6F" w:rsidRPr="00E1001B">
        <w:rPr>
          <w:vertAlign w:val="superscript"/>
        </w:rPr>
        <w:t>a</w:t>
      </w:r>
      <w:r w:rsidRPr="00E1001B">
        <w:rPr>
          <w:vertAlign w:val="superscript"/>
        </w:rPr>
        <w:t>,</w:t>
      </w:r>
      <w:r w:rsidRPr="00E1001B">
        <w:t>*</w:t>
      </w:r>
      <w:r w:rsidR="00B57E6F" w:rsidRPr="00E1001B">
        <w:t xml:space="preserve">, </w:t>
      </w:r>
      <w:r w:rsidRPr="00E1001B">
        <w:t>Nail</w:t>
      </w:r>
      <w:r w:rsidR="00B57E6F" w:rsidRPr="00E1001B">
        <w:t xml:space="preserve"> A. </w:t>
      </w:r>
      <w:r w:rsidRPr="00E1001B">
        <w:t>Beisekenov</w:t>
      </w:r>
      <w:r w:rsidRPr="00E1001B">
        <w:rPr>
          <w:vertAlign w:val="superscript"/>
        </w:rPr>
        <w:t>a</w:t>
      </w:r>
      <w:r w:rsidR="00B57E6F" w:rsidRPr="00E1001B">
        <w:t xml:space="preserve">, </w:t>
      </w:r>
      <w:r w:rsidRPr="00E1001B">
        <w:t>Natalya A. Kulenova</w:t>
      </w:r>
      <w:r w:rsidRPr="00E1001B">
        <w:rPr>
          <w:vertAlign w:val="superscript"/>
        </w:rPr>
        <w:t>a</w:t>
      </w:r>
      <w:r w:rsidRPr="00E1001B">
        <w:t xml:space="preserve">, </w:t>
      </w:r>
      <w:r w:rsidR="00E1001B" w:rsidRPr="00E1001B">
        <w:t>Di</w:t>
      </w:r>
      <w:r w:rsidR="00E1001B" w:rsidRPr="002D318F">
        <w:rPr>
          <w:lang w:val="en-US"/>
        </w:rPr>
        <w:t>n</w:t>
      </w:r>
      <w:r w:rsidR="00E1001B" w:rsidRPr="00E1001B">
        <w:rPr>
          <w:lang w:val="en-US"/>
        </w:rPr>
        <w:t xml:space="preserve">mukhammed </w:t>
      </w:r>
      <w:r w:rsidR="006D402D">
        <w:rPr>
          <w:lang w:val="en-US"/>
        </w:rPr>
        <w:t xml:space="preserve">Ye. </w:t>
      </w:r>
      <w:r w:rsidR="00E1001B" w:rsidRPr="00E1001B">
        <w:rPr>
          <w:lang w:val="en-US"/>
        </w:rPr>
        <w:t>Ualiyev</w:t>
      </w:r>
      <w:r w:rsidR="00627D99">
        <w:rPr>
          <w:vertAlign w:val="superscript"/>
          <w:lang w:val="en-US"/>
        </w:rPr>
        <w:t>b</w:t>
      </w:r>
      <w:r w:rsidRPr="00E1001B">
        <w:t>,</w:t>
      </w:r>
      <w:r>
        <w:t xml:space="preserve"> Yuri S. Kamenev</w:t>
      </w:r>
      <w:r w:rsidR="00627D99">
        <w:rPr>
          <w:vertAlign w:val="superscript"/>
          <w:lang w:val="en-US"/>
        </w:rPr>
        <w:t>c</w:t>
      </w:r>
      <w:r w:rsidRPr="00B57B36">
        <w:t xml:space="preserve">, </w:t>
      </w:r>
      <w:r>
        <w:t>Serik Khamzin</w:t>
      </w:r>
      <w:r w:rsidR="00627D99">
        <w:rPr>
          <w:vertAlign w:val="superscript"/>
          <w:lang w:val="en-US"/>
        </w:rPr>
        <w:t>c</w:t>
      </w:r>
    </w:p>
    <w:p w14:paraId="6B2D21B3" w14:textId="437691DF" w:rsidR="00B57E6F" w:rsidRDefault="00B57E6F" w:rsidP="008B6DBA">
      <w:pPr>
        <w:pStyle w:val="CETAddress"/>
      </w:pPr>
      <w:r w:rsidRPr="00B57B36">
        <w:rPr>
          <w:vertAlign w:val="superscript"/>
        </w:rPr>
        <w:t>a</w:t>
      </w:r>
      <w:r w:rsidR="008B6DBA">
        <w:t>Priority Department Centre «Veritas»</w:t>
      </w:r>
      <w:r w:rsidR="00E1001B">
        <w:rPr>
          <w:lang w:val="en-US"/>
        </w:rPr>
        <w:t xml:space="preserve">, </w:t>
      </w:r>
      <w:r w:rsidR="008B6DBA">
        <w:t>D. Serikbayev East Kazakhstan technical university, Ust-Kamenogorsk, Kazakhstan</w:t>
      </w:r>
      <w:r w:rsidRPr="00B57B36">
        <w:t xml:space="preserve"> </w:t>
      </w:r>
    </w:p>
    <w:p w14:paraId="36C70269" w14:textId="226E0AC3" w:rsidR="00627D99" w:rsidRPr="00B57B36" w:rsidRDefault="00627D99" w:rsidP="008B6DBA">
      <w:pPr>
        <w:pStyle w:val="CETAddress"/>
      </w:pPr>
      <w:r w:rsidRPr="00583736">
        <w:rPr>
          <w:vertAlign w:val="superscript"/>
        </w:rPr>
        <w:t>b</w:t>
      </w:r>
      <w:r w:rsidRPr="00583736">
        <w:t>International School of Economics</w:t>
      </w:r>
      <w:r>
        <w:t xml:space="preserve">, </w:t>
      </w:r>
      <w:r w:rsidRPr="00583736">
        <w:t>Maqsut Narikbayev University</w:t>
      </w:r>
      <w:r>
        <w:t xml:space="preserve">, </w:t>
      </w:r>
      <w:r w:rsidRPr="00583736">
        <w:t>Astana,</w:t>
      </w:r>
      <w:r>
        <w:t xml:space="preserve"> </w:t>
      </w:r>
      <w:r w:rsidRPr="00583736">
        <w:t>Kazakhstan</w:t>
      </w:r>
    </w:p>
    <w:p w14:paraId="3D72B0B0" w14:textId="7062713B" w:rsidR="00B57E6F" w:rsidRPr="00B57B36" w:rsidRDefault="00627D99" w:rsidP="008B6DBA">
      <w:pPr>
        <w:pStyle w:val="CETAddress"/>
      </w:pPr>
      <w:r>
        <w:rPr>
          <w:vertAlign w:val="superscript"/>
          <w:lang w:val="ru-RU"/>
        </w:rPr>
        <w:t>с</w:t>
      </w:r>
      <w:r w:rsidR="008B6DBA">
        <w:t>Experimental farm of oilseeds (EFoO), Ust-Kamenogorsk, Kazakhstan</w:t>
      </w:r>
    </w:p>
    <w:p w14:paraId="73F1267A" w14:textId="43C40AD4" w:rsidR="00B57E6F" w:rsidRPr="00B57B36" w:rsidRDefault="006D402D" w:rsidP="00B57E6F">
      <w:pPr>
        <w:pStyle w:val="CETemail"/>
      </w:pPr>
      <w:r>
        <w:t>MS</w:t>
      </w:r>
      <w:r w:rsidR="008B6DBA" w:rsidRPr="008B6DBA">
        <w:t>adenova@</w:t>
      </w:r>
      <w:r w:rsidR="00E1001B">
        <w:t>edu.</w:t>
      </w:r>
      <w:r w:rsidR="008B6DBA" w:rsidRPr="008B6DBA">
        <w:t>ektu.kz</w:t>
      </w:r>
    </w:p>
    <w:p w14:paraId="041C1A4B" w14:textId="77777777" w:rsidR="006A214E" w:rsidRPr="001B6954" w:rsidRDefault="006A214E" w:rsidP="006A214E">
      <w:pPr>
        <w:pStyle w:val="CETBodytext"/>
        <w:rPr>
          <w:color w:val="000000" w:themeColor="text1"/>
          <w:lang w:val="en-GB"/>
        </w:rPr>
      </w:pPr>
      <w:r w:rsidRPr="001B6954">
        <w:rPr>
          <w:color w:val="000000" w:themeColor="text1"/>
          <w:lang w:val="en-GB"/>
        </w:rPr>
        <w:t xml:space="preserve">In this study on the example of 2 </w:t>
      </w:r>
      <w:proofErr w:type="spellStart"/>
      <w:r w:rsidRPr="001B6954">
        <w:rPr>
          <w:color w:val="000000" w:themeColor="text1"/>
          <w:lang w:val="en-GB"/>
        </w:rPr>
        <w:t>agro</w:t>
      </w:r>
      <w:proofErr w:type="spellEnd"/>
      <w:r w:rsidRPr="001B6954">
        <w:rPr>
          <w:color w:val="000000" w:themeColor="text1"/>
          <w:lang w:val="en-GB"/>
        </w:rPr>
        <w:t xml:space="preserve">-ecosystems located on opposite banks of the Irtysh River the content of organic carbon in soil and dynamics of its change for the period from 2001 to 2020 were studied. According to the results of the study, the estimated amount of organic carbon losses for the period from 2001 to 2020 from arable chernozem soils on both banks of the Irtysh River averaged 96×10³ kg C per year-¹ at Site 1 (right bank) and 87×10³ kg C per year-¹ at Site 2 (left bank). It was found that differential fertiliser application, use of organic topdressing and compost, mulching and introduction of 10-field crop rotation promoted soil organic carbon (SOC) conservation. Correlation between SOC value and soil resistance to drought, erosion and other unfavourable conditions was revealed. The possibility of effective forecasting and regulation of crop yields by using a combination of geographic information systems (GIS), SOC-modelling in the form of </w:t>
      </w:r>
      <w:proofErr w:type="spellStart"/>
      <w:r w:rsidRPr="001B6954">
        <w:rPr>
          <w:color w:val="000000" w:themeColor="text1"/>
          <w:lang w:val="en-GB"/>
        </w:rPr>
        <w:t>RothC</w:t>
      </w:r>
      <w:proofErr w:type="spellEnd"/>
      <w:r w:rsidRPr="001B6954">
        <w:rPr>
          <w:color w:val="000000" w:themeColor="text1"/>
          <w:lang w:val="en-GB"/>
        </w:rPr>
        <w:t xml:space="preserve"> and remote sensing data with the </w:t>
      </w:r>
      <w:proofErr w:type="spellStart"/>
      <w:r w:rsidRPr="001B6954">
        <w:rPr>
          <w:color w:val="000000" w:themeColor="text1"/>
          <w:lang w:val="en-GB"/>
        </w:rPr>
        <w:t>Trends.Earth</w:t>
      </w:r>
      <w:proofErr w:type="spellEnd"/>
      <w:r w:rsidRPr="001B6954">
        <w:rPr>
          <w:color w:val="000000" w:themeColor="text1"/>
          <w:lang w:val="en-GB"/>
        </w:rPr>
        <w:t xml:space="preserve"> tool has been substantiated. The proposed approach allows operational monitoring of SOC content and contributes to the successful implementation of a decarbonisation strategy for sustainable crop agriculture development</w:t>
      </w:r>
    </w:p>
    <w:p w14:paraId="476B2F2E" w14:textId="77777777" w:rsidR="00600535" w:rsidRPr="001B6954" w:rsidRDefault="00600535" w:rsidP="00600535">
      <w:pPr>
        <w:pStyle w:val="CETHeading1"/>
        <w:rPr>
          <w:color w:val="000000" w:themeColor="text1"/>
          <w:lang w:val="en-GB"/>
        </w:rPr>
      </w:pPr>
      <w:r w:rsidRPr="001B6954">
        <w:rPr>
          <w:color w:val="000000" w:themeColor="text1"/>
          <w:lang w:val="en-GB"/>
        </w:rPr>
        <w:t>Introduction</w:t>
      </w:r>
    </w:p>
    <w:p w14:paraId="424171D9" w14:textId="0D4F0F19" w:rsidR="00205AE0" w:rsidRPr="001B6954" w:rsidRDefault="006A214E" w:rsidP="006A214E">
      <w:pPr>
        <w:pStyle w:val="CETBodytext"/>
        <w:rPr>
          <w:color w:val="000000" w:themeColor="text1"/>
          <w:lang w:val="en-GB"/>
        </w:rPr>
      </w:pPr>
      <w:r w:rsidRPr="001B6954">
        <w:rPr>
          <w:color w:val="000000" w:themeColor="text1"/>
          <w:lang w:val="en-GB"/>
        </w:rPr>
        <w:t>Low-carbon development is a prerequisite for sustainable development and aims to prevent the catastrophic effects of global climate change. Kazakhstan has announced a new goal of achieving carbon neutrality by 2060, reaffirming its commitments under the Paris Agreement to prevent global temperature rise of more than 1.5-2oC. For Kazakhstan, the transition to low-carbon development and decarbonisation of the economy is a serious and responsible challenge, requiring large-scale measures in all areas of technological modernisation of the national economy and, above all, its extractive sectors. In February 2023, the Strategy for Achieving Carbon Neutrality of the Republic of Kazakhstan until 2060 was adopted (</w:t>
      </w:r>
      <w:proofErr w:type="spellStart"/>
      <w:r w:rsidRPr="001B6954">
        <w:rPr>
          <w:color w:val="000000" w:themeColor="text1"/>
          <w:lang w:val="en-GB"/>
        </w:rPr>
        <w:t>Adilet-zan</w:t>
      </w:r>
      <w:proofErr w:type="spellEnd"/>
      <w:r w:rsidRPr="001B6954">
        <w:rPr>
          <w:color w:val="000000" w:themeColor="text1"/>
          <w:lang w:val="en-GB"/>
        </w:rPr>
        <w:t xml:space="preserve">, 2023). The medium-term goal is to reduce greenhouse gas emissions by 2030 by 15% relative to the 1990 level and by 25% subject to international support for decarbonisation of the economy. One of the important areas of decarbonisation is agriculture. </w:t>
      </w:r>
      <w:r w:rsidR="00205AE0" w:rsidRPr="001B6954">
        <w:rPr>
          <w:color w:val="000000" w:themeColor="text1"/>
          <w:lang w:val="en-GB"/>
        </w:rPr>
        <w:t xml:space="preserve">Interactions between soil and atmospheric carbon, especially in greenhouse gas dynamics, are becoming increasingly important in environmental research. The diverse agricultural areas of Kazakhstan, especially in the foothills, are not well suited for traditional soil analysis methods. Digital soil mapping (DSM), which combines limited environmental samples with covariates, has become an effective solution for estimating SOC, a vital component in carbon flux management, as noted by </w:t>
      </w:r>
      <w:proofErr w:type="spellStart"/>
      <w:r w:rsidR="00205AE0" w:rsidRPr="001B6954">
        <w:rPr>
          <w:color w:val="000000" w:themeColor="text1"/>
          <w:lang w:val="en-GB"/>
        </w:rPr>
        <w:t>Su</w:t>
      </w:r>
      <w:proofErr w:type="spellEnd"/>
      <w:r w:rsidR="00205AE0" w:rsidRPr="001B6954">
        <w:rPr>
          <w:color w:val="000000" w:themeColor="text1"/>
          <w:lang w:val="en-GB"/>
        </w:rPr>
        <w:t xml:space="preserve"> et al. (2021). The success of DSM depends largely on the relationship between SOC and environmental variables such as vegetation density. In pristine ecosystems, this relationship is particularly strong and can be monitored using remote sensing technologies, a method detailed in </w:t>
      </w:r>
      <w:proofErr w:type="spellStart"/>
      <w:r w:rsidR="00205AE0" w:rsidRPr="001B6954">
        <w:rPr>
          <w:color w:val="000000" w:themeColor="text1"/>
          <w:lang w:val="en-GB"/>
        </w:rPr>
        <w:t>Zeraatpisheh</w:t>
      </w:r>
      <w:proofErr w:type="spellEnd"/>
      <w:r w:rsidR="00205AE0" w:rsidRPr="001B6954">
        <w:rPr>
          <w:color w:val="000000" w:themeColor="text1"/>
          <w:lang w:val="en-GB"/>
        </w:rPr>
        <w:t xml:space="preserve"> et al. (2022). Satellite imagery, such as the 4-metre IKONOS highlighted by </w:t>
      </w:r>
      <w:proofErr w:type="spellStart"/>
      <w:r w:rsidR="00205AE0" w:rsidRPr="001B6954">
        <w:rPr>
          <w:color w:val="000000" w:themeColor="text1"/>
          <w:lang w:val="en-GB"/>
        </w:rPr>
        <w:t>Peteri</w:t>
      </w:r>
      <w:proofErr w:type="spellEnd"/>
      <w:r w:rsidR="00205AE0" w:rsidRPr="001B6954">
        <w:rPr>
          <w:color w:val="000000" w:themeColor="text1"/>
          <w:lang w:val="en-GB"/>
        </w:rPr>
        <w:t xml:space="preserve"> et al. (2021), is crucial for mapping SOC on homogeneous soil types or agricultural land. These methods aim to reduce the influence of vegetation on reflectance data and improve the accuracy of SOC predictions. The study of soil CO2 fluxes, reflecting the exchange of carbon dioxide between soil and atmosphere, is an integral part of understanding the global carbon cycle. This aspect is attracting increasing attention because of its </w:t>
      </w:r>
      <w:r w:rsidR="00205AE0" w:rsidRPr="001B6954">
        <w:rPr>
          <w:color w:val="000000" w:themeColor="text1"/>
          <w:lang w:val="en-GB"/>
        </w:rPr>
        <w:lastRenderedPageBreak/>
        <w:t>potential impact on crop yields, given the significant contribution of agricultural practices to global greenhouse gas emissions. The dichotomy of the role of CO2 in photosynthesis versus its possible adverse effects on soil pH, plant health and microbial activity highlights the complexity of this area (</w:t>
      </w:r>
      <w:proofErr w:type="spellStart"/>
      <w:r w:rsidR="00205AE0" w:rsidRPr="001B6954">
        <w:rPr>
          <w:color w:val="000000" w:themeColor="text1"/>
          <w:lang w:val="en-GB"/>
        </w:rPr>
        <w:t>Lozbenev</w:t>
      </w:r>
      <w:proofErr w:type="spellEnd"/>
      <w:r w:rsidR="00205AE0" w:rsidRPr="001B6954">
        <w:rPr>
          <w:color w:val="000000" w:themeColor="text1"/>
          <w:lang w:val="en-GB"/>
        </w:rPr>
        <w:t xml:space="preserve"> et al., 2022). In foothill regions, DSM often uses topographic data from digital elevation models (DEMs) (Lee et al., 2020), emphasising the influence of landscape on SOC. The difficulty lies in directly correlating image data with SOC levels, which can greatly simplify DSM processes. Traditional linear regression models in soil studies are limited by their inability to capture non-linear relationships between soil attributes and predictors. An alternative, regression trees, offers finer modelling but fails to cope with the variability of the data. More sophisticated are extended branch regression models, which combine several simple models to improve prediction accuracy and reliability (Sadenova et al., 2023). Improving soil health and fertility can increase crop yields and provide economic benefits to farmers (Sadenova et al., 2022). Improving soil fertility, conserving soil cover, minimising agronomic practices that degrade soil health are important steps to promote effective land use management strategies (Beisekenov et al., 2021). The relevance of the study lies in the need to find ways to reduce CO2 emissions and improve the manageability of non-irrigated agriculture in the sharply continental climate of eastern Kazakhstan. The novelty lies in the development of new approaches for operational monitoring of the state of vegetation, soil cover using modern digital technologies in order to implement the decarbonisation strategy for sustainable agricultural development in Kazakhstan.</w:t>
      </w:r>
    </w:p>
    <w:p w14:paraId="5741900F" w14:textId="0A84B149" w:rsidR="00453E24" w:rsidRPr="001B6954" w:rsidRDefault="00B26E65" w:rsidP="00453E24">
      <w:pPr>
        <w:pStyle w:val="CETHeading1"/>
        <w:rPr>
          <w:color w:val="000000" w:themeColor="text1"/>
        </w:rPr>
      </w:pPr>
      <w:r w:rsidRPr="001B6954">
        <w:rPr>
          <w:color w:val="000000" w:themeColor="text1"/>
        </w:rPr>
        <w:t>Materials and methods</w:t>
      </w:r>
    </w:p>
    <w:p w14:paraId="28FE5ECF" w14:textId="150BDDCC" w:rsidR="00991436" w:rsidRPr="001B6954" w:rsidRDefault="006A214E" w:rsidP="00991436">
      <w:pPr>
        <w:pStyle w:val="CETBodytext"/>
        <w:rPr>
          <w:color w:val="000000" w:themeColor="text1"/>
        </w:rPr>
      </w:pPr>
      <w:r w:rsidRPr="001B6954">
        <w:rPr>
          <w:color w:val="000000" w:themeColor="text1"/>
        </w:rPr>
        <w:t xml:space="preserve">This study was conducted at two experimental sites located in East Kazakhstan. Figure 1 shows the location of these sites relative to the Irtysh River: site 1 is on the right bank of the river, and site 2 is on the left bank. The dominant soil type in these sites, according to soil systematics, is chernozem (black soil). This region of Kazakhstan is </w:t>
      </w:r>
      <w:proofErr w:type="spellStart"/>
      <w:r w:rsidRPr="001B6954">
        <w:rPr>
          <w:color w:val="000000" w:themeColor="text1"/>
        </w:rPr>
        <w:t>characterised</w:t>
      </w:r>
      <w:proofErr w:type="spellEnd"/>
      <w:r w:rsidRPr="001B6954">
        <w:rPr>
          <w:color w:val="000000" w:themeColor="text1"/>
        </w:rPr>
        <w:t xml:space="preserve"> by a sharply continental climate, with extreme temperatures ranging from maximums of 45°C in summer to minimums of -40°C in winter. The experimental part of this study </w:t>
      </w:r>
      <w:proofErr w:type="spellStart"/>
      <w:r w:rsidRPr="001B6954">
        <w:rPr>
          <w:color w:val="000000" w:themeColor="text1"/>
        </w:rPr>
        <w:t>utilised</w:t>
      </w:r>
      <w:proofErr w:type="spellEnd"/>
      <w:r w:rsidRPr="001B6954">
        <w:rPr>
          <w:color w:val="000000" w:themeColor="text1"/>
        </w:rPr>
        <w:t xml:space="preserve"> the </w:t>
      </w:r>
      <w:proofErr w:type="spellStart"/>
      <w:r w:rsidRPr="001B6954">
        <w:rPr>
          <w:color w:val="000000" w:themeColor="text1"/>
        </w:rPr>
        <w:t>Trends.Earth</w:t>
      </w:r>
      <w:proofErr w:type="spellEnd"/>
      <w:r w:rsidRPr="001B6954">
        <w:rPr>
          <w:color w:val="000000" w:themeColor="text1"/>
        </w:rPr>
        <w:t xml:space="preserve"> tool, a standalone module specifically designed for the QGIS GIS platform. This tool, developed by Gonzalez et al. (2019), plays an important role in assessing the neutrality of land degradation. </w:t>
      </w:r>
      <w:proofErr w:type="spellStart"/>
      <w:r w:rsidRPr="001B6954">
        <w:rPr>
          <w:color w:val="000000" w:themeColor="text1"/>
        </w:rPr>
        <w:t>Trends.Earth</w:t>
      </w:r>
      <w:proofErr w:type="spellEnd"/>
      <w:r w:rsidRPr="001B6954">
        <w:rPr>
          <w:color w:val="000000" w:themeColor="text1"/>
        </w:rPr>
        <w:t xml:space="preserve"> uses a combination of remote sensing and machine learning algorithms to assess the condition and productivity of pasture and cropland. Although it does not measure soil carbon content directly, it uses modelling techniques to estimate it, as described in Pham et al. (2018). </w:t>
      </w:r>
      <w:proofErr w:type="spellStart"/>
      <w:r w:rsidRPr="001B6954">
        <w:rPr>
          <w:color w:val="000000" w:themeColor="text1"/>
        </w:rPr>
        <w:t>Trends.Earth</w:t>
      </w:r>
      <w:proofErr w:type="spellEnd"/>
      <w:r w:rsidRPr="001B6954">
        <w:rPr>
          <w:color w:val="000000" w:themeColor="text1"/>
        </w:rPr>
        <w:t xml:space="preserve"> </w:t>
      </w:r>
      <w:proofErr w:type="spellStart"/>
      <w:r w:rsidRPr="001B6954">
        <w:rPr>
          <w:color w:val="000000" w:themeColor="text1"/>
        </w:rPr>
        <w:t>synthesises</w:t>
      </w:r>
      <w:proofErr w:type="spellEnd"/>
      <w:r w:rsidRPr="001B6954">
        <w:rPr>
          <w:color w:val="000000" w:themeColor="text1"/>
        </w:rPr>
        <w:t xml:space="preserve"> data from satellite imagery, weather stations and other sources to gather comprehensive information on land cover, land use and soil characteristics of specific areas. Using these data, the model estimates the amount of carbon stored in the soil, taking into account various existing environmental factors</w:t>
      </w:r>
      <w:r w:rsidRPr="00991436">
        <w:rPr>
          <w:color w:val="000000" w:themeColor="text1"/>
        </w:rPr>
        <w:t>.</w:t>
      </w:r>
      <w:r w:rsidRPr="001B6954">
        <w:rPr>
          <w:color w:val="000000" w:themeColor="text1"/>
        </w:rPr>
        <w:t xml:space="preserve"> The study used the </w:t>
      </w:r>
      <w:proofErr w:type="spellStart"/>
      <w:r w:rsidRPr="001B6954">
        <w:rPr>
          <w:color w:val="000000" w:themeColor="text1"/>
        </w:rPr>
        <w:t>Trends.Earth</w:t>
      </w:r>
      <w:proofErr w:type="spellEnd"/>
      <w:r w:rsidRPr="001B6954">
        <w:rPr>
          <w:color w:val="000000" w:themeColor="text1"/>
        </w:rPr>
        <w:t xml:space="preserve"> model, based on the </w:t>
      </w:r>
      <w:proofErr w:type="spellStart"/>
      <w:r w:rsidRPr="001B6954">
        <w:rPr>
          <w:color w:val="000000" w:themeColor="text1"/>
        </w:rPr>
        <w:t>RothC</w:t>
      </w:r>
      <w:proofErr w:type="spellEnd"/>
      <w:r w:rsidRPr="001B6954">
        <w:rPr>
          <w:color w:val="000000" w:themeColor="text1"/>
        </w:rPr>
        <w:t xml:space="preserve"> model, to calculate soil carbon sequestration, taking into account factors such as soil type, land use and climate. The </w:t>
      </w:r>
      <w:proofErr w:type="spellStart"/>
      <w:r w:rsidRPr="001B6954">
        <w:rPr>
          <w:color w:val="000000" w:themeColor="text1"/>
        </w:rPr>
        <w:t>RothC</w:t>
      </w:r>
      <w:proofErr w:type="spellEnd"/>
      <w:r w:rsidRPr="001B6954">
        <w:rPr>
          <w:color w:val="000000" w:themeColor="text1"/>
        </w:rPr>
        <w:t xml:space="preserve"> model includes various components representing different forms of organic matter and their decomposition rates. Process-based models such as </w:t>
      </w:r>
      <w:proofErr w:type="spellStart"/>
      <w:r w:rsidRPr="001B6954">
        <w:rPr>
          <w:color w:val="000000" w:themeColor="text1"/>
        </w:rPr>
        <w:t>RothC</w:t>
      </w:r>
      <w:proofErr w:type="spellEnd"/>
      <w:r w:rsidRPr="001B6954">
        <w:rPr>
          <w:color w:val="000000" w:themeColor="text1"/>
        </w:rPr>
        <w:t xml:space="preserve"> provide insight into changes in soil organic C stocks, but their regional and national application is limited by the need for extensive, high-quality data. The main objective of this study was to develop a data collection methodology for modelling soil organic C losses in arable soils of eastern Kazakhstan. </w:t>
      </w:r>
      <w:proofErr w:type="spellStart"/>
      <w:r w:rsidRPr="001B6954">
        <w:rPr>
          <w:color w:val="000000" w:themeColor="text1"/>
        </w:rPr>
        <w:t>Trends.Earth</w:t>
      </w:r>
      <w:proofErr w:type="spellEnd"/>
      <w:r w:rsidRPr="001B6954">
        <w:rPr>
          <w:color w:val="000000" w:themeColor="text1"/>
        </w:rPr>
        <w:t xml:space="preserve"> supplements its estimates with ground-based measurements such as soil sampling when possible. Calculating soil C using </w:t>
      </w:r>
      <w:proofErr w:type="spellStart"/>
      <w:r w:rsidRPr="001B6954">
        <w:rPr>
          <w:color w:val="000000" w:themeColor="text1"/>
        </w:rPr>
        <w:t>Trends.Earth</w:t>
      </w:r>
      <w:proofErr w:type="spellEnd"/>
      <w:r w:rsidRPr="001B6954">
        <w:rPr>
          <w:color w:val="000000" w:themeColor="text1"/>
        </w:rPr>
        <w:t xml:space="preserve"> involves combining remote sensing, soil and climate data, and measurements to estimate soil C stocks. The tool's algorithm provides information on land degradation indicators and is part of the United Nations global monitoring system to combat desertification. </w:t>
      </w:r>
      <w:proofErr w:type="spellStart"/>
      <w:r w:rsidRPr="001B6954">
        <w:rPr>
          <w:color w:val="000000" w:themeColor="text1"/>
        </w:rPr>
        <w:t>Trends.Earth</w:t>
      </w:r>
      <w:proofErr w:type="spellEnd"/>
      <w:r w:rsidRPr="001B6954">
        <w:rPr>
          <w:color w:val="000000" w:themeColor="text1"/>
        </w:rPr>
        <w:t xml:space="preserve"> provides statistical and cartographic data on land degradation indicators at a spatial resolution of 250-300 </w:t>
      </w:r>
      <w:proofErr w:type="spellStart"/>
      <w:r w:rsidRPr="001B6954">
        <w:rPr>
          <w:color w:val="000000" w:themeColor="text1"/>
        </w:rPr>
        <w:t>metres</w:t>
      </w:r>
      <w:proofErr w:type="spellEnd"/>
      <w:r w:rsidRPr="001B6954">
        <w:rPr>
          <w:color w:val="000000" w:themeColor="text1"/>
        </w:rPr>
        <w:t xml:space="preserve"> per pixel. It estimates land cover changes by comparing current and baseline data, with land cover types grouped into seven classes for analysis. Estimating changes in soil organic C stocks is challenging because of the variability of soil properties and the need for intensive soil surveys. </w:t>
      </w:r>
      <w:proofErr w:type="spellStart"/>
      <w:r w:rsidRPr="001B6954">
        <w:rPr>
          <w:color w:val="000000" w:themeColor="text1"/>
        </w:rPr>
        <w:t>Trends.Earth</w:t>
      </w:r>
      <w:proofErr w:type="spellEnd"/>
      <w:r w:rsidRPr="001B6954">
        <w:rPr>
          <w:color w:val="000000" w:themeColor="text1"/>
        </w:rPr>
        <w:t xml:space="preserve"> uses data from the </w:t>
      </w:r>
      <w:proofErr w:type="spellStart"/>
      <w:r w:rsidRPr="001B6954">
        <w:rPr>
          <w:color w:val="000000" w:themeColor="text1"/>
        </w:rPr>
        <w:t>SoilGrid</w:t>
      </w:r>
      <w:proofErr w:type="spellEnd"/>
      <w:r w:rsidRPr="001B6954">
        <w:rPr>
          <w:color w:val="000000" w:themeColor="text1"/>
        </w:rPr>
        <w:t xml:space="preserve"> database, which provides soil data at 250 m resolution, but only offers regional averages that require adjustment for specific local applications. Whilst there are other improved free databases available, </w:t>
      </w:r>
      <w:proofErr w:type="spellStart"/>
      <w:r w:rsidRPr="001B6954">
        <w:rPr>
          <w:color w:val="000000" w:themeColor="text1"/>
        </w:rPr>
        <w:t>SoilGrid</w:t>
      </w:r>
      <w:proofErr w:type="spellEnd"/>
      <w:r w:rsidRPr="001B6954">
        <w:rPr>
          <w:color w:val="000000" w:themeColor="text1"/>
        </w:rPr>
        <w:t xml:space="preserve"> stands out for its affordability and ease of integration with our analytical tools such as </w:t>
      </w:r>
      <w:proofErr w:type="spellStart"/>
      <w:r w:rsidRPr="001B6954">
        <w:rPr>
          <w:color w:val="000000" w:themeColor="text1"/>
        </w:rPr>
        <w:t>Trends.Earth</w:t>
      </w:r>
      <w:proofErr w:type="spellEnd"/>
      <w:r w:rsidRPr="001B6954">
        <w:rPr>
          <w:color w:val="000000" w:themeColor="text1"/>
        </w:rPr>
        <w:t xml:space="preserve"> and the </w:t>
      </w:r>
      <w:proofErr w:type="spellStart"/>
      <w:r w:rsidRPr="001B6954">
        <w:rPr>
          <w:color w:val="000000" w:themeColor="text1"/>
        </w:rPr>
        <w:t>RothC</w:t>
      </w:r>
      <w:proofErr w:type="spellEnd"/>
      <w:r w:rsidRPr="001B6954">
        <w:rPr>
          <w:color w:val="000000" w:themeColor="text1"/>
        </w:rPr>
        <w:t xml:space="preserve"> model. This allows for more efficient data manipulation and simplifies the modelling process. SOC content data were collected during field studies at two pilot plots in East Kazakhstan.</w:t>
      </w:r>
      <w:r w:rsidR="00991436" w:rsidRPr="00991436">
        <w:rPr>
          <w:color w:val="000000" w:themeColor="text1"/>
        </w:rPr>
        <w:t xml:space="preserve"> </w:t>
      </w:r>
      <w:r w:rsidR="00991436" w:rsidRPr="001B6954">
        <w:rPr>
          <w:color w:val="000000" w:themeColor="text1"/>
        </w:rPr>
        <w:t xml:space="preserve">Soil sampling points were selected for each site that were representative of land use types and </w:t>
      </w:r>
      <w:proofErr w:type="spellStart"/>
      <w:r w:rsidR="00991436" w:rsidRPr="001B6954">
        <w:rPr>
          <w:color w:val="000000" w:themeColor="text1"/>
        </w:rPr>
        <w:t>agro</w:t>
      </w:r>
      <w:proofErr w:type="spellEnd"/>
      <w:r w:rsidR="00991436" w:rsidRPr="001B6954">
        <w:rPr>
          <w:color w:val="000000" w:themeColor="text1"/>
        </w:rPr>
        <w:t xml:space="preserve">-ecological conditions. Soil samples were collected at different depths using </w:t>
      </w:r>
      <w:proofErr w:type="spellStart"/>
      <w:r w:rsidR="00991436" w:rsidRPr="001B6954">
        <w:rPr>
          <w:color w:val="000000" w:themeColor="text1"/>
        </w:rPr>
        <w:t>standardised</w:t>
      </w:r>
      <w:proofErr w:type="spellEnd"/>
      <w:r w:rsidR="00991436" w:rsidRPr="001B6954">
        <w:rPr>
          <w:color w:val="000000" w:themeColor="text1"/>
        </w:rPr>
        <w:t xml:space="preserve"> methods to ensure accuracy and comparability of data. The samples were </w:t>
      </w:r>
      <w:proofErr w:type="spellStart"/>
      <w:r w:rsidR="00991436" w:rsidRPr="001B6954">
        <w:rPr>
          <w:color w:val="000000" w:themeColor="text1"/>
        </w:rPr>
        <w:t>analysed</w:t>
      </w:r>
      <w:proofErr w:type="spellEnd"/>
      <w:r w:rsidR="00991436" w:rsidRPr="001B6954">
        <w:rPr>
          <w:color w:val="000000" w:themeColor="text1"/>
        </w:rPr>
        <w:t xml:space="preserve"> for SOC content under laboratory conditions using wet oxidation and spectrophotometric techniques to obtain accurate soil organic carbon values. The resulting laboratory data were </w:t>
      </w:r>
      <w:proofErr w:type="spellStart"/>
      <w:r w:rsidR="00991436" w:rsidRPr="001B6954">
        <w:rPr>
          <w:color w:val="000000" w:themeColor="text1"/>
        </w:rPr>
        <w:t>analysed</w:t>
      </w:r>
      <w:proofErr w:type="spellEnd"/>
      <w:r w:rsidR="00991436" w:rsidRPr="001B6954">
        <w:rPr>
          <w:color w:val="000000" w:themeColor="text1"/>
        </w:rPr>
        <w:t xml:space="preserve"> and integrated with information from </w:t>
      </w:r>
      <w:proofErr w:type="spellStart"/>
      <w:r w:rsidR="00991436" w:rsidRPr="001B6954">
        <w:rPr>
          <w:color w:val="000000" w:themeColor="text1"/>
        </w:rPr>
        <w:t>Trends.Earth</w:t>
      </w:r>
      <w:proofErr w:type="spellEnd"/>
      <w:r w:rsidR="00991436" w:rsidRPr="001B6954">
        <w:rPr>
          <w:color w:val="000000" w:themeColor="text1"/>
        </w:rPr>
        <w:t xml:space="preserve"> to calculate SOC stock changes at the experimental sites. </w:t>
      </w:r>
      <w:proofErr w:type="spellStart"/>
      <w:r w:rsidR="00991436" w:rsidRPr="001B6954">
        <w:rPr>
          <w:color w:val="000000" w:themeColor="text1"/>
        </w:rPr>
        <w:t>Trends.Earth</w:t>
      </w:r>
      <w:proofErr w:type="spellEnd"/>
      <w:r w:rsidR="00991436" w:rsidRPr="001B6954">
        <w:rPr>
          <w:color w:val="000000" w:themeColor="text1"/>
        </w:rPr>
        <w:t xml:space="preserve">, using satellite monitoring data, allowed the estimation of changes in cover and land use, which are key drivers of SOC dynamics. The </w:t>
      </w:r>
      <w:proofErr w:type="spellStart"/>
      <w:r w:rsidR="00991436" w:rsidRPr="001B6954">
        <w:rPr>
          <w:color w:val="000000" w:themeColor="text1"/>
        </w:rPr>
        <w:t>RothC</w:t>
      </w:r>
      <w:proofErr w:type="spellEnd"/>
      <w:r w:rsidR="00991436" w:rsidRPr="001B6954">
        <w:rPr>
          <w:color w:val="000000" w:themeColor="text1"/>
        </w:rPr>
        <w:t xml:space="preserve"> model integrated into </w:t>
      </w:r>
      <w:proofErr w:type="spellStart"/>
      <w:r w:rsidR="00991436" w:rsidRPr="001B6954">
        <w:rPr>
          <w:color w:val="000000" w:themeColor="text1"/>
        </w:rPr>
        <w:t>Trends.Earth</w:t>
      </w:r>
      <w:proofErr w:type="spellEnd"/>
      <w:r w:rsidR="00991436" w:rsidRPr="001B6954">
        <w:rPr>
          <w:color w:val="000000" w:themeColor="text1"/>
        </w:rPr>
        <w:t xml:space="preserve"> was used to simulate changes in SOC as a function of soil type, land use and climatic conditions. The integration of field data with the </w:t>
      </w:r>
      <w:r w:rsidR="00991436" w:rsidRPr="001B6954">
        <w:rPr>
          <w:color w:val="000000" w:themeColor="text1"/>
        </w:rPr>
        <w:lastRenderedPageBreak/>
        <w:t xml:space="preserve">modelling in </w:t>
      </w:r>
      <w:proofErr w:type="spellStart"/>
      <w:r w:rsidR="00991436" w:rsidRPr="001B6954">
        <w:rPr>
          <w:color w:val="000000" w:themeColor="text1"/>
        </w:rPr>
        <w:t>Trends.Earth</w:t>
      </w:r>
      <w:proofErr w:type="spellEnd"/>
      <w:r w:rsidR="00991436" w:rsidRPr="001B6954">
        <w:rPr>
          <w:color w:val="000000" w:themeColor="text1"/>
        </w:rPr>
        <w:t xml:space="preserve"> allowed a comprehensive analysis of SOC changes and an evaluation of the effectiveness of different land management practices. Data from independent studies and literature sources were used to validate the modelling results.</w:t>
      </w:r>
    </w:p>
    <w:p w14:paraId="230F69A5" w14:textId="348344C2" w:rsidR="00B26E65" w:rsidRPr="001B6954" w:rsidRDefault="00B26E65" w:rsidP="00B26E65">
      <w:pPr>
        <w:pStyle w:val="CETCaption"/>
        <w:rPr>
          <w:color w:val="000000" w:themeColor="text1"/>
        </w:rPr>
      </w:pPr>
      <w:r w:rsidRPr="001B6954">
        <w:rPr>
          <w:noProof/>
          <w:color w:val="000000" w:themeColor="text1"/>
          <w:spacing w:val="-3"/>
          <w:lang w:val="en-US"/>
        </w:rPr>
        <w:drawing>
          <wp:inline distT="0" distB="0" distL="0" distR="0" wp14:anchorId="2AF1A111" wp14:editId="0CBF592F">
            <wp:extent cx="4324350" cy="19473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591" cy="1976770"/>
                    </a:xfrm>
                    <a:prstGeom prst="rect">
                      <a:avLst/>
                    </a:prstGeom>
                    <a:noFill/>
                    <a:ln>
                      <a:noFill/>
                    </a:ln>
                  </pic:spPr>
                </pic:pic>
              </a:graphicData>
            </a:graphic>
          </wp:inline>
        </w:drawing>
      </w:r>
    </w:p>
    <w:p w14:paraId="15E23B73" w14:textId="3329175F" w:rsidR="00B26E65" w:rsidRPr="001B6954" w:rsidRDefault="00B26E65" w:rsidP="00B26E65">
      <w:pPr>
        <w:pStyle w:val="CETCaption"/>
        <w:rPr>
          <w:rStyle w:val="CETCaptionCarattere"/>
          <w:i/>
          <w:color w:val="000000" w:themeColor="text1"/>
        </w:rPr>
      </w:pPr>
      <w:r w:rsidRPr="001B6954">
        <w:rPr>
          <w:rStyle w:val="CETCaptionCarattere"/>
          <w:i/>
          <w:color w:val="000000" w:themeColor="text1"/>
        </w:rPr>
        <w:t>Figure 1: Experimental polygons</w:t>
      </w:r>
    </w:p>
    <w:p w14:paraId="2DEF698B" w14:textId="62C3C7B4" w:rsidR="00AA47AD" w:rsidRPr="001B6954" w:rsidRDefault="00AA47AD" w:rsidP="00BF6268">
      <w:pPr>
        <w:pStyle w:val="CETBodytext"/>
        <w:rPr>
          <w:color w:val="000000" w:themeColor="text1"/>
        </w:rPr>
      </w:pPr>
      <w:r w:rsidRPr="001B6954">
        <w:rPr>
          <w:color w:val="000000" w:themeColor="text1"/>
        </w:rPr>
        <w:t xml:space="preserve">Special attention is given to </w:t>
      </w:r>
      <w:proofErr w:type="spellStart"/>
      <w:r w:rsidRPr="001B6954">
        <w:rPr>
          <w:color w:val="000000" w:themeColor="text1"/>
        </w:rPr>
        <w:t>analysing</w:t>
      </w:r>
      <w:proofErr w:type="spellEnd"/>
      <w:r w:rsidRPr="001B6954">
        <w:rPr>
          <w:color w:val="000000" w:themeColor="text1"/>
        </w:rPr>
        <w:t xml:space="preserve"> different land cover types and their influence on soil organic carbon (SOC) content. The description of land cover types and their </w:t>
      </w:r>
      <w:proofErr w:type="spellStart"/>
      <w:r w:rsidRPr="001B6954">
        <w:rPr>
          <w:color w:val="000000" w:themeColor="text1"/>
        </w:rPr>
        <w:t>characterisation</w:t>
      </w:r>
      <w:proofErr w:type="spellEnd"/>
      <w:r w:rsidRPr="001B6954">
        <w:rPr>
          <w:color w:val="000000" w:themeColor="text1"/>
        </w:rPr>
        <w:t xml:space="preserve"> is a key aspect for understanding the conditions and opportunities for carbon balance in different ecosystems. Below is a definition of each land cover type used in our study: </w:t>
      </w:r>
      <w:r w:rsidRPr="001B6954">
        <w:rPr>
          <w:color w:val="000000" w:themeColor="text1"/>
          <w:lang/>
        </w:rPr>
        <w:t>Tree-covered areas: These are land areas covered with tree and shrub vegetation capable of reaching a height of more than 5 metres and a crown cover of more than 30%</w:t>
      </w:r>
      <w:r w:rsidR="00BF6268" w:rsidRPr="001B6954">
        <w:rPr>
          <w:color w:val="000000" w:themeColor="text1"/>
        </w:rPr>
        <w:t xml:space="preserve">; </w:t>
      </w:r>
      <w:r w:rsidRPr="00AA47AD">
        <w:rPr>
          <w:color w:val="000000" w:themeColor="text1"/>
          <w:lang/>
        </w:rPr>
        <w:t>Grasslands: Land covered with herbaceous vegetation, including natural pastures and fallow lands</w:t>
      </w:r>
      <w:r w:rsidR="00BF6268" w:rsidRPr="001B6954">
        <w:rPr>
          <w:color w:val="000000" w:themeColor="text1"/>
        </w:rPr>
        <w:t xml:space="preserve">; </w:t>
      </w:r>
      <w:r w:rsidRPr="00AA47AD">
        <w:rPr>
          <w:color w:val="000000" w:themeColor="text1"/>
          <w:lang/>
        </w:rPr>
        <w:t>Croplands: Land areas used for growing crops. These areas are cultivated for planting, growing and harvesting crops, including fields of cereals, vegetables, fruit and other agricultural products</w:t>
      </w:r>
      <w:r w:rsidR="00BF6268" w:rsidRPr="001B6954">
        <w:rPr>
          <w:color w:val="000000" w:themeColor="text1"/>
        </w:rPr>
        <w:t xml:space="preserve">; </w:t>
      </w:r>
      <w:r w:rsidRPr="00AA47AD">
        <w:rPr>
          <w:color w:val="000000" w:themeColor="text1"/>
          <w:lang/>
        </w:rPr>
        <w:t>Wetlands: Lands saturated with standing or flowing water, including bogs, marshes, lakes, peatlands and mud flats</w:t>
      </w:r>
      <w:r w:rsidR="00BF6268" w:rsidRPr="001B6954">
        <w:rPr>
          <w:color w:val="000000" w:themeColor="text1"/>
        </w:rPr>
        <w:t xml:space="preserve">; </w:t>
      </w:r>
      <w:r w:rsidRPr="00AA47AD">
        <w:rPr>
          <w:color w:val="000000" w:themeColor="text1"/>
          <w:lang/>
        </w:rPr>
        <w:t xml:space="preserve">Artificial areas: Land areas that have been modified by humans, including urban areas, roads and other structures. </w:t>
      </w:r>
    </w:p>
    <w:p w14:paraId="677EBFF0" w14:textId="3017FE79" w:rsidR="00600535" w:rsidRPr="001B6954" w:rsidRDefault="0003209D" w:rsidP="00600535">
      <w:pPr>
        <w:pStyle w:val="CETHeading1"/>
        <w:tabs>
          <w:tab w:val="clear" w:pos="360"/>
          <w:tab w:val="right" w:pos="7100"/>
        </w:tabs>
        <w:jc w:val="both"/>
        <w:rPr>
          <w:color w:val="000000" w:themeColor="text1"/>
          <w:lang w:val="en-GB"/>
        </w:rPr>
      </w:pPr>
      <w:r w:rsidRPr="001B6954">
        <w:rPr>
          <w:color w:val="000000" w:themeColor="text1"/>
          <w:lang w:val="en-GB"/>
        </w:rPr>
        <w:t>Results</w:t>
      </w:r>
    </w:p>
    <w:p w14:paraId="09507D92" w14:textId="2DB3439D" w:rsidR="001418E2" w:rsidRPr="001B6954" w:rsidRDefault="0003209D" w:rsidP="001418E2">
      <w:pPr>
        <w:pStyle w:val="CETBodytext"/>
        <w:rPr>
          <w:color w:val="000000" w:themeColor="text1"/>
        </w:rPr>
      </w:pPr>
      <w:r w:rsidRPr="001B6954">
        <w:rPr>
          <w:color w:val="000000" w:themeColor="text1"/>
        </w:rPr>
        <w:t xml:space="preserve">The method for estimating land degradation trends using the </w:t>
      </w:r>
      <w:proofErr w:type="spellStart"/>
      <w:r w:rsidRPr="001B6954">
        <w:rPr>
          <w:color w:val="000000" w:themeColor="text1"/>
        </w:rPr>
        <w:t>Trends.Earth</w:t>
      </w:r>
      <w:proofErr w:type="spellEnd"/>
      <w:r w:rsidRPr="001B6954">
        <w:rPr>
          <w:color w:val="000000" w:themeColor="text1"/>
        </w:rPr>
        <w:t xml:space="preserve"> computational module, is not calculated as a function of changes in soil organic C stocks, but rather as a function of changes in soil cover. "Negative" changes in soil cover </w:t>
      </w:r>
      <w:proofErr w:type="gramStart"/>
      <w:r w:rsidRPr="001B6954">
        <w:rPr>
          <w:color w:val="000000" w:themeColor="text1"/>
        </w:rPr>
        <w:t>lead</w:t>
      </w:r>
      <w:proofErr w:type="gramEnd"/>
      <w:r w:rsidRPr="001B6954">
        <w:rPr>
          <w:color w:val="000000" w:themeColor="text1"/>
        </w:rPr>
        <w:t xml:space="preserve"> to a decrease in soil organic C and vice versa. This condition is characteristic of arable land, where dehumidification occurs through ploughing of the area and erosion of the topsoil. There may also be positive dynamics within a single land class, e.g., with good land management and </w:t>
      </w:r>
      <w:proofErr w:type="spellStart"/>
      <w:r w:rsidRPr="001B6954">
        <w:rPr>
          <w:color w:val="000000" w:themeColor="text1"/>
        </w:rPr>
        <w:t>fertiliser</w:t>
      </w:r>
      <w:proofErr w:type="spellEnd"/>
      <w:r w:rsidRPr="001B6954">
        <w:rPr>
          <w:color w:val="000000" w:themeColor="text1"/>
        </w:rPr>
        <w:t xml:space="preserve"> application. The estimation of soil organic C resulted in the change in soil organic C composition over the period 2001-2020, shown in Figure </w:t>
      </w:r>
      <w:r w:rsidR="00640E8B" w:rsidRPr="001B6954">
        <w:rPr>
          <w:color w:val="000000" w:themeColor="text1"/>
        </w:rPr>
        <w:t>2</w:t>
      </w:r>
      <w:r w:rsidRPr="001B6954">
        <w:rPr>
          <w:color w:val="000000" w:themeColor="text1"/>
        </w:rPr>
        <w:t>.</w:t>
      </w:r>
      <w:r w:rsidR="00991436" w:rsidRPr="00991436">
        <w:rPr>
          <w:color w:val="000000" w:themeColor="text1"/>
        </w:rPr>
        <w:t xml:space="preserve"> </w:t>
      </w:r>
      <w:r w:rsidRPr="001B6954">
        <w:rPr>
          <w:color w:val="000000" w:themeColor="text1"/>
        </w:rPr>
        <w:t xml:space="preserve">Using the </w:t>
      </w:r>
      <w:proofErr w:type="spellStart"/>
      <w:r w:rsidRPr="001B6954">
        <w:rPr>
          <w:color w:val="000000" w:themeColor="text1"/>
        </w:rPr>
        <w:t>Trends.Earth</w:t>
      </w:r>
      <w:proofErr w:type="spellEnd"/>
      <w:r w:rsidRPr="001B6954">
        <w:rPr>
          <w:color w:val="000000" w:themeColor="text1"/>
        </w:rPr>
        <w:t xml:space="preserve"> tool, the change in soil organic C from the baseline from 2001 to 2020 was calculated, the units of imported raster: metric tonnes of organic C per hectare (Table 1</w:t>
      </w:r>
      <w:r w:rsidR="00640E8B" w:rsidRPr="001B6954">
        <w:rPr>
          <w:color w:val="000000" w:themeColor="text1"/>
        </w:rPr>
        <w:t>,</w:t>
      </w:r>
      <w:r w:rsidR="003022CF" w:rsidRPr="001B6954">
        <w:rPr>
          <w:color w:val="000000" w:themeColor="text1"/>
        </w:rPr>
        <w:t xml:space="preserve"> </w:t>
      </w:r>
      <w:r w:rsidRPr="001B6954">
        <w:rPr>
          <w:color w:val="000000" w:themeColor="text1"/>
        </w:rPr>
        <w:t>2).</w:t>
      </w:r>
      <w:r w:rsidR="00991436" w:rsidRPr="00991436">
        <w:rPr>
          <w:color w:val="000000" w:themeColor="text1"/>
        </w:rPr>
        <w:t xml:space="preserve"> </w:t>
      </w:r>
      <w:r w:rsidR="0090514A" w:rsidRPr="001B6954">
        <w:rPr>
          <w:color w:val="000000" w:themeColor="text1"/>
        </w:rPr>
        <w:t xml:space="preserve">According to the data presented in Table 1, the percentage change in soil organic carbon accumulation from the baseline to the target level was 0.08%. In addition, the change in soil organic matter content from the baseline for the study period was calculated. The choice of the value of 0.08% as a measure of change in SOC content was due to several factors (Wu et al., 2022). Firstly, this value corresponds to the average percentage change in SOC calculated from time series analyses of land use and cover change data derived from satellite imagery and the </w:t>
      </w:r>
      <w:proofErr w:type="spellStart"/>
      <w:r w:rsidR="0090514A" w:rsidRPr="001B6954">
        <w:rPr>
          <w:color w:val="000000" w:themeColor="text1"/>
        </w:rPr>
        <w:t>SoilGrid</w:t>
      </w:r>
      <w:proofErr w:type="spellEnd"/>
      <w:r w:rsidR="0090514A" w:rsidRPr="001B6954">
        <w:rPr>
          <w:color w:val="000000" w:themeColor="text1"/>
        </w:rPr>
        <w:t xml:space="preserve"> database. Secondly, this value was adjusted to the results of in-situ SOC measurements to refine the model calculations and ensure their greater accuracy. This section describes the results of a study we conducted to examine changes in soil organic carbon (SOC) content in experimental plots. We </w:t>
      </w:r>
      <w:proofErr w:type="spellStart"/>
      <w:r w:rsidR="0090514A" w:rsidRPr="001B6954">
        <w:rPr>
          <w:color w:val="000000" w:themeColor="text1"/>
        </w:rPr>
        <w:t>analysed</w:t>
      </w:r>
      <w:proofErr w:type="spellEnd"/>
      <w:r w:rsidR="0090514A" w:rsidRPr="001B6954">
        <w:rPr>
          <w:color w:val="000000" w:themeColor="text1"/>
        </w:rPr>
        <w:t xml:space="preserve"> several key indicators that helped us to assess changes in SOC content. One of these indicators is the target soil organic carbon content, expressed in tonnes. This indicator represents the projected amount of SOC by the end of the study period, 2020, based on model projections. These projections take into account current trends in land use change and agroecosystem management. Another important indicator is the change in soil organic carbon, also expressed in tonnes. It represents the difference between target and baseline SOC values for the period from 2001 to 2020, which allows us to estimate the total increase or decrease in SOC stocks over the study period. In addition, we considered the percentage change in soil organic C content, which allows us to assess the dynamics of change in the context of reference stocks and allows comparison between different sites or management practices</w:t>
      </w:r>
      <w:r w:rsidR="001418E2" w:rsidRPr="001B6954">
        <w:rPr>
          <w:color w:val="000000" w:themeColor="text1"/>
        </w:rPr>
        <w:t>.</w:t>
      </w:r>
      <w:r w:rsidR="00464545" w:rsidRPr="00464545">
        <w:rPr>
          <w:rStyle w:val="CETCaptionCarattere"/>
          <w:i w:val="0"/>
          <w:color w:val="000000" w:themeColor="text1"/>
        </w:rPr>
        <w:t xml:space="preserve"> </w:t>
      </w:r>
      <w:r w:rsidR="00464545" w:rsidRPr="00464545">
        <w:rPr>
          <w:rStyle w:val="CETCaptionCarattere"/>
          <w:i w:val="0"/>
          <w:color w:val="000000" w:themeColor="text1"/>
        </w:rPr>
        <w:t>This calculation is presented in Table 2.</w:t>
      </w:r>
      <w:r w:rsidR="00464545" w:rsidRPr="001B6954">
        <w:rPr>
          <w:color w:val="000000" w:themeColor="text1"/>
          <w:lang w:val="kk-KZ"/>
        </w:rPr>
        <w:t xml:space="preserve"> </w:t>
      </w:r>
      <w:r w:rsidR="00464545" w:rsidRPr="001B6954">
        <w:rPr>
          <w:color w:val="000000" w:themeColor="text1"/>
          <w:lang w:val="kk-KZ"/>
        </w:rPr>
        <w:lastRenderedPageBreak/>
        <w:t>Based on the simulation data presented in Tables 1, 2, and 3, it was determined that from 2001 to 2020, SOC stocks diminished at an average rate of 96×10³ kg C ha</w:t>
      </w:r>
      <w:r w:rsidR="00464545" w:rsidRPr="001B6954">
        <w:rPr>
          <w:rFonts w:ascii="Cambria Math" w:hAnsi="Cambria Math" w:cs="Cambria Math"/>
          <w:color w:val="000000" w:themeColor="text1"/>
          <w:lang w:val="kk-KZ"/>
        </w:rPr>
        <w:t>⁻</w:t>
      </w:r>
      <w:r w:rsidR="00464545" w:rsidRPr="001B6954">
        <w:rPr>
          <w:color w:val="000000" w:themeColor="text1"/>
          <w:lang w:val="kk-KZ"/>
        </w:rPr>
        <w:t>¹ year</w:t>
      </w:r>
      <w:r w:rsidR="00464545" w:rsidRPr="001B6954">
        <w:rPr>
          <w:rFonts w:ascii="Cambria Math" w:hAnsi="Cambria Math" w:cs="Cambria Math"/>
          <w:color w:val="000000" w:themeColor="text1"/>
          <w:lang w:val="kk-KZ"/>
        </w:rPr>
        <w:t>⁻</w:t>
      </w:r>
      <w:r w:rsidR="00464545" w:rsidRPr="001B6954">
        <w:rPr>
          <w:color w:val="000000" w:themeColor="text1"/>
          <w:lang w:val="kk-KZ"/>
        </w:rPr>
        <w:t>¹ in Polygon 1 and 87×10³ kg C ha</w:t>
      </w:r>
      <w:r w:rsidR="00464545" w:rsidRPr="001B6954">
        <w:rPr>
          <w:rFonts w:ascii="Cambria Math" w:hAnsi="Cambria Math" w:cs="Cambria Math"/>
          <w:color w:val="000000" w:themeColor="text1"/>
          <w:lang w:val="kk-KZ"/>
        </w:rPr>
        <w:t>⁻</w:t>
      </w:r>
      <w:r w:rsidR="00464545" w:rsidRPr="001B6954">
        <w:rPr>
          <w:color w:val="000000" w:themeColor="text1"/>
          <w:lang w:val="kk-KZ"/>
        </w:rPr>
        <w:t>¹ year</w:t>
      </w:r>
      <w:r w:rsidR="00464545" w:rsidRPr="001B6954">
        <w:rPr>
          <w:rFonts w:ascii="Cambria Math" w:hAnsi="Cambria Math" w:cs="Cambria Math"/>
          <w:color w:val="000000" w:themeColor="text1"/>
          <w:lang w:val="kk-KZ"/>
        </w:rPr>
        <w:t>⁻</w:t>
      </w:r>
      <w:r w:rsidR="00464545" w:rsidRPr="001B6954">
        <w:rPr>
          <w:color w:val="000000" w:themeColor="text1"/>
          <w:lang w:val="kk-KZ"/>
        </w:rPr>
        <w:t>¹ in Polygon 2.</w:t>
      </w:r>
    </w:p>
    <w:p w14:paraId="5EF3EF87" w14:textId="77777777" w:rsidR="002D318F" w:rsidRPr="001B6954" w:rsidRDefault="002D318F" w:rsidP="002D318F">
      <w:pPr>
        <w:pStyle w:val="CETTabletitle"/>
        <w:rPr>
          <w:color w:val="000000" w:themeColor="text1"/>
        </w:rPr>
      </w:pPr>
      <w:r w:rsidRPr="001B6954">
        <w:rPr>
          <w:color w:val="000000" w:themeColor="text1"/>
        </w:rPr>
        <w:t>Table 1: Change in soil organic C in Polygon 1, from baseline over the period 2001-2020</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276"/>
        <w:gridCol w:w="1559"/>
        <w:gridCol w:w="1276"/>
        <w:gridCol w:w="1701"/>
        <w:gridCol w:w="1276"/>
      </w:tblGrid>
      <w:tr w:rsidR="001B6954" w:rsidRPr="001B6954" w14:paraId="20A2950C" w14:textId="77777777" w:rsidTr="00151DE4">
        <w:tc>
          <w:tcPr>
            <w:tcW w:w="1701" w:type="dxa"/>
            <w:tcBorders>
              <w:top w:val="single" w:sz="12" w:space="0" w:color="auto"/>
              <w:left w:val="nil"/>
              <w:bottom w:val="single" w:sz="6" w:space="0" w:color="auto"/>
              <w:right w:val="nil"/>
            </w:tcBorders>
            <w:vAlign w:val="center"/>
          </w:tcPr>
          <w:p w14:paraId="4F38FD29" w14:textId="77777777" w:rsidR="00151DE4" w:rsidRPr="001B6954" w:rsidRDefault="00151DE4" w:rsidP="00DF7E40">
            <w:pPr>
              <w:pStyle w:val="CETBodytext"/>
              <w:jc w:val="center"/>
              <w:rPr>
                <w:color w:val="000000" w:themeColor="text1"/>
                <w:lang w:val="en-GB"/>
              </w:rPr>
            </w:pPr>
          </w:p>
        </w:tc>
        <w:tc>
          <w:tcPr>
            <w:tcW w:w="1276" w:type="dxa"/>
            <w:tcBorders>
              <w:top w:val="single" w:sz="12" w:space="0" w:color="auto"/>
              <w:left w:val="nil"/>
              <w:bottom w:val="single" w:sz="6" w:space="0" w:color="auto"/>
              <w:right w:val="nil"/>
            </w:tcBorders>
            <w:vAlign w:val="center"/>
          </w:tcPr>
          <w:p w14:paraId="5854F60B" w14:textId="77777777" w:rsidR="00151DE4" w:rsidRPr="001B6954" w:rsidRDefault="00151DE4" w:rsidP="00DF7E40">
            <w:pPr>
              <w:tabs>
                <w:tab w:val="left" w:pos="-437"/>
              </w:tabs>
              <w:suppressAutoHyphens/>
              <w:jc w:val="center"/>
              <w:rPr>
                <w:color w:val="000000" w:themeColor="text1"/>
                <w:spacing w:val="-3"/>
              </w:rPr>
            </w:pPr>
            <w:r w:rsidRPr="001B6954">
              <w:rPr>
                <w:color w:val="000000" w:themeColor="text1"/>
                <w:spacing w:val="-3"/>
              </w:rPr>
              <w:t>Baseline area</w:t>
            </w:r>
          </w:p>
          <w:p w14:paraId="4E6FF044" w14:textId="77777777" w:rsidR="00151DE4" w:rsidRPr="001B6954" w:rsidRDefault="00151DE4" w:rsidP="00DF7E40">
            <w:pPr>
              <w:pStyle w:val="CETBodytext"/>
              <w:jc w:val="center"/>
              <w:rPr>
                <w:color w:val="000000" w:themeColor="text1"/>
                <w:lang w:val="en-GB"/>
              </w:rPr>
            </w:pPr>
            <w:r w:rsidRPr="001B6954">
              <w:rPr>
                <w:color w:val="000000" w:themeColor="text1"/>
                <w:spacing w:val="-3"/>
              </w:rPr>
              <w:t>(sq. km)</w:t>
            </w:r>
          </w:p>
        </w:tc>
        <w:tc>
          <w:tcPr>
            <w:tcW w:w="1559" w:type="dxa"/>
            <w:tcBorders>
              <w:top w:val="single" w:sz="12" w:space="0" w:color="auto"/>
              <w:left w:val="nil"/>
              <w:bottom w:val="single" w:sz="6" w:space="0" w:color="auto"/>
              <w:right w:val="nil"/>
            </w:tcBorders>
            <w:vAlign w:val="center"/>
          </w:tcPr>
          <w:p w14:paraId="4E62D2A9"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rPr>
              <w:t>Baseline soil organic carbon (tonnes)</w:t>
            </w:r>
          </w:p>
        </w:tc>
        <w:tc>
          <w:tcPr>
            <w:tcW w:w="1276" w:type="dxa"/>
            <w:tcBorders>
              <w:top w:val="single" w:sz="12" w:space="0" w:color="auto"/>
              <w:left w:val="nil"/>
              <w:bottom w:val="single" w:sz="6" w:space="0" w:color="auto"/>
              <w:right w:val="nil"/>
            </w:tcBorders>
            <w:vAlign w:val="center"/>
          </w:tcPr>
          <w:p w14:paraId="4038792F"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rPr>
              <w:t>Target soil organic carbon (tonnes)</w:t>
            </w:r>
          </w:p>
        </w:tc>
        <w:tc>
          <w:tcPr>
            <w:tcW w:w="1701" w:type="dxa"/>
            <w:tcBorders>
              <w:top w:val="single" w:sz="12" w:space="0" w:color="auto"/>
              <w:left w:val="nil"/>
              <w:bottom w:val="single" w:sz="6" w:space="0" w:color="auto"/>
              <w:right w:val="nil"/>
            </w:tcBorders>
            <w:vAlign w:val="center"/>
          </w:tcPr>
          <w:p w14:paraId="518DC71B" w14:textId="77777777" w:rsidR="00151DE4" w:rsidRPr="001B6954" w:rsidRDefault="00151DE4" w:rsidP="00DF7E40">
            <w:pPr>
              <w:pStyle w:val="CETBodytext"/>
              <w:ind w:right="-1"/>
              <w:jc w:val="center"/>
              <w:rPr>
                <w:color w:val="000000" w:themeColor="text1"/>
                <w:lang w:val="en-GB"/>
              </w:rPr>
            </w:pPr>
            <w:r w:rsidRPr="001B6954">
              <w:rPr>
                <w:color w:val="000000" w:themeColor="text1"/>
                <w:spacing w:val="-3"/>
              </w:rPr>
              <w:t>Change in soil organic carbon (tonnes)</w:t>
            </w:r>
          </w:p>
        </w:tc>
        <w:tc>
          <w:tcPr>
            <w:tcW w:w="1276" w:type="dxa"/>
            <w:tcBorders>
              <w:top w:val="single" w:sz="12" w:space="0" w:color="auto"/>
              <w:left w:val="nil"/>
              <w:bottom w:val="single" w:sz="6" w:space="0" w:color="auto"/>
              <w:right w:val="nil"/>
            </w:tcBorders>
            <w:vAlign w:val="center"/>
          </w:tcPr>
          <w:p w14:paraId="471C3824" w14:textId="77777777" w:rsidR="00151DE4" w:rsidRPr="001B6954" w:rsidRDefault="00151DE4" w:rsidP="00DF7E40">
            <w:pPr>
              <w:pStyle w:val="CETBodytext"/>
              <w:ind w:right="-1"/>
              <w:jc w:val="center"/>
              <w:rPr>
                <w:color w:val="000000" w:themeColor="text1"/>
                <w:lang w:val="en-GB"/>
              </w:rPr>
            </w:pPr>
            <w:r w:rsidRPr="001B6954">
              <w:rPr>
                <w:color w:val="000000" w:themeColor="text1"/>
                <w:spacing w:val="-3"/>
              </w:rPr>
              <w:t>Change in soil organic carbon</w:t>
            </w:r>
          </w:p>
        </w:tc>
      </w:tr>
      <w:tr w:rsidR="001B6954" w:rsidRPr="001B6954" w14:paraId="2F428546" w14:textId="77777777" w:rsidTr="00151DE4">
        <w:tc>
          <w:tcPr>
            <w:tcW w:w="1701" w:type="dxa"/>
            <w:tcBorders>
              <w:top w:val="nil"/>
              <w:left w:val="nil"/>
              <w:bottom w:val="nil"/>
              <w:right w:val="nil"/>
            </w:tcBorders>
            <w:vAlign w:val="center"/>
          </w:tcPr>
          <w:p w14:paraId="183CAA47" w14:textId="77777777" w:rsidR="00151DE4" w:rsidRPr="001B6954" w:rsidRDefault="00151DE4" w:rsidP="00DF7E40">
            <w:pPr>
              <w:pStyle w:val="CETBodytext"/>
              <w:jc w:val="center"/>
              <w:rPr>
                <w:color w:val="000000" w:themeColor="text1"/>
                <w:lang w:val="en-GB"/>
              </w:rPr>
            </w:pPr>
            <w:r w:rsidRPr="001B6954">
              <w:rPr>
                <w:color w:val="000000" w:themeColor="text1"/>
                <w:spacing w:val="-3"/>
              </w:rPr>
              <w:t>Tree-covered areas</w:t>
            </w:r>
          </w:p>
        </w:tc>
        <w:tc>
          <w:tcPr>
            <w:tcW w:w="1276" w:type="dxa"/>
            <w:tcBorders>
              <w:top w:val="nil"/>
              <w:left w:val="nil"/>
              <w:bottom w:val="nil"/>
              <w:right w:val="nil"/>
            </w:tcBorders>
            <w:vAlign w:val="center"/>
          </w:tcPr>
          <w:p w14:paraId="6A5D331E" w14:textId="77777777" w:rsidR="00151DE4" w:rsidRPr="001B6954" w:rsidRDefault="00151DE4" w:rsidP="00DF7E40">
            <w:pPr>
              <w:pStyle w:val="CETBodytext"/>
              <w:jc w:val="center"/>
              <w:rPr>
                <w:color w:val="000000" w:themeColor="text1"/>
                <w:lang w:val="en-GB"/>
              </w:rPr>
            </w:pPr>
            <w:r w:rsidRPr="001B6954">
              <w:rPr>
                <w:color w:val="000000" w:themeColor="text1"/>
                <w:spacing w:val="-3"/>
                <w:lang w:val="ru-RU"/>
              </w:rPr>
              <w:t>156.75</w:t>
            </w:r>
          </w:p>
        </w:tc>
        <w:tc>
          <w:tcPr>
            <w:tcW w:w="1559" w:type="dxa"/>
            <w:tcBorders>
              <w:top w:val="nil"/>
              <w:left w:val="nil"/>
              <w:bottom w:val="nil"/>
              <w:right w:val="nil"/>
            </w:tcBorders>
            <w:vAlign w:val="center"/>
          </w:tcPr>
          <w:p w14:paraId="64F50954"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292177.31</w:t>
            </w:r>
          </w:p>
        </w:tc>
        <w:tc>
          <w:tcPr>
            <w:tcW w:w="1276" w:type="dxa"/>
            <w:tcBorders>
              <w:top w:val="nil"/>
              <w:left w:val="nil"/>
              <w:bottom w:val="nil"/>
              <w:right w:val="nil"/>
            </w:tcBorders>
            <w:vAlign w:val="center"/>
          </w:tcPr>
          <w:p w14:paraId="2773B7E7"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292487.05</w:t>
            </w:r>
          </w:p>
        </w:tc>
        <w:tc>
          <w:tcPr>
            <w:tcW w:w="1701" w:type="dxa"/>
            <w:tcBorders>
              <w:top w:val="nil"/>
              <w:left w:val="nil"/>
              <w:bottom w:val="nil"/>
              <w:right w:val="nil"/>
            </w:tcBorders>
            <w:vAlign w:val="center"/>
          </w:tcPr>
          <w:p w14:paraId="1D62F156"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310.70</w:t>
            </w:r>
          </w:p>
        </w:tc>
        <w:tc>
          <w:tcPr>
            <w:tcW w:w="1276" w:type="dxa"/>
            <w:tcBorders>
              <w:top w:val="nil"/>
              <w:left w:val="nil"/>
              <w:bottom w:val="nil"/>
              <w:right w:val="nil"/>
            </w:tcBorders>
            <w:vAlign w:val="center"/>
          </w:tcPr>
          <w:p w14:paraId="77D1309A"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0.11%</w:t>
            </w:r>
          </w:p>
        </w:tc>
      </w:tr>
      <w:tr w:rsidR="001B6954" w:rsidRPr="001B6954" w14:paraId="5526C123" w14:textId="77777777" w:rsidTr="00151DE4">
        <w:tc>
          <w:tcPr>
            <w:tcW w:w="1701" w:type="dxa"/>
            <w:tcBorders>
              <w:top w:val="nil"/>
              <w:left w:val="nil"/>
              <w:bottom w:val="nil"/>
              <w:right w:val="nil"/>
            </w:tcBorders>
            <w:vAlign w:val="center"/>
          </w:tcPr>
          <w:p w14:paraId="25FF95B0" w14:textId="77777777" w:rsidR="00151DE4" w:rsidRPr="001B6954" w:rsidRDefault="00151DE4" w:rsidP="00DF7E40">
            <w:pPr>
              <w:pStyle w:val="CETBodytext"/>
              <w:jc w:val="center"/>
              <w:rPr>
                <w:color w:val="000000" w:themeColor="text1"/>
                <w:lang w:val="en-GB"/>
              </w:rPr>
            </w:pPr>
            <w:r w:rsidRPr="001B6954">
              <w:rPr>
                <w:color w:val="000000" w:themeColor="text1"/>
                <w:spacing w:val="-3"/>
              </w:rPr>
              <w:t>Grasslands</w:t>
            </w:r>
          </w:p>
        </w:tc>
        <w:tc>
          <w:tcPr>
            <w:tcW w:w="1276" w:type="dxa"/>
            <w:tcBorders>
              <w:top w:val="nil"/>
              <w:left w:val="nil"/>
              <w:bottom w:val="nil"/>
              <w:right w:val="nil"/>
            </w:tcBorders>
            <w:vAlign w:val="center"/>
          </w:tcPr>
          <w:p w14:paraId="591E50CF" w14:textId="77777777" w:rsidR="00151DE4" w:rsidRPr="001B6954" w:rsidRDefault="00151DE4" w:rsidP="00DF7E40">
            <w:pPr>
              <w:pStyle w:val="CETBodytext"/>
              <w:jc w:val="center"/>
              <w:rPr>
                <w:color w:val="000000" w:themeColor="text1"/>
                <w:lang w:val="en-GB"/>
              </w:rPr>
            </w:pPr>
            <w:r w:rsidRPr="001B6954">
              <w:rPr>
                <w:color w:val="000000" w:themeColor="text1"/>
                <w:spacing w:val="-3"/>
                <w:lang w:val="ru-RU"/>
              </w:rPr>
              <w:t>1108.02</w:t>
            </w:r>
          </w:p>
        </w:tc>
        <w:tc>
          <w:tcPr>
            <w:tcW w:w="1559" w:type="dxa"/>
            <w:tcBorders>
              <w:top w:val="nil"/>
              <w:left w:val="nil"/>
              <w:bottom w:val="nil"/>
              <w:right w:val="nil"/>
            </w:tcBorders>
            <w:vAlign w:val="center"/>
          </w:tcPr>
          <w:p w14:paraId="0A92BAAA"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1570894.80</w:t>
            </w:r>
          </w:p>
        </w:tc>
        <w:tc>
          <w:tcPr>
            <w:tcW w:w="1276" w:type="dxa"/>
            <w:tcBorders>
              <w:top w:val="nil"/>
              <w:left w:val="nil"/>
              <w:bottom w:val="nil"/>
              <w:right w:val="nil"/>
            </w:tcBorders>
            <w:vAlign w:val="center"/>
          </w:tcPr>
          <w:p w14:paraId="3A0FCE85"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1551393.41</w:t>
            </w:r>
          </w:p>
        </w:tc>
        <w:tc>
          <w:tcPr>
            <w:tcW w:w="1701" w:type="dxa"/>
            <w:tcBorders>
              <w:top w:val="nil"/>
              <w:left w:val="nil"/>
              <w:bottom w:val="nil"/>
              <w:right w:val="nil"/>
            </w:tcBorders>
            <w:vAlign w:val="center"/>
          </w:tcPr>
          <w:p w14:paraId="0B729817"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-19474.38</w:t>
            </w:r>
          </w:p>
        </w:tc>
        <w:tc>
          <w:tcPr>
            <w:tcW w:w="1276" w:type="dxa"/>
            <w:tcBorders>
              <w:top w:val="nil"/>
              <w:left w:val="nil"/>
              <w:bottom w:val="nil"/>
              <w:right w:val="nil"/>
            </w:tcBorders>
            <w:vAlign w:val="center"/>
          </w:tcPr>
          <w:p w14:paraId="464160AE"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-1.24%</w:t>
            </w:r>
          </w:p>
        </w:tc>
      </w:tr>
      <w:tr w:rsidR="001B6954" w:rsidRPr="001B6954" w14:paraId="7346F7D1" w14:textId="77777777" w:rsidTr="00151DE4">
        <w:tc>
          <w:tcPr>
            <w:tcW w:w="1701" w:type="dxa"/>
            <w:tcBorders>
              <w:top w:val="nil"/>
              <w:left w:val="nil"/>
              <w:bottom w:val="nil"/>
              <w:right w:val="nil"/>
            </w:tcBorders>
            <w:vAlign w:val="center"/>
          </w:tcPr>
          <w:p w14:paraId="4ACC31F5" w14:textId="77777777" w:rsidR="00151DE4" w:rsidRPr="001B6954" w:rsidRDefault="00151DE4" w:rsidP="00DF7E40">
            <w:pPr>
              <w:pStyle w:val="CETBodytext"/>
              <w:jc w:val="center"/>
              <w:rPr>
                <w:color w:val="000000" w:themeColor="text1"/>
                <w:lang w:val="en-GB"/>
              </w:rPr>
            </w:pPr>
            <w:r w:rsidRPr="001B6954">
              <w:rPr>
                <w:color w:val="000000" w:themeColor="text1"/>
                <w:spacing w:val="-3"/>
              </w:rPr>
              <w:t>Croplands</w:t>
            </w:r>
          </w:p>
        </w:tc>
        <w:tc>
          <w:tcPr>
            <w:tcW w:w="1276" w:type="dxa"/>
            <w:tcBorders>
              <w:top w:val="nil"/>
              <w:left w:val="nil"/>
              <w:bottom w:val="nil"/>
              <w:right w:val="nil"/>
            </w:tcBorders>
            <w:vAlign w:val="center"/>
          </w:tcPr>
          <w:p w14:paraId="16A56078" w14:textId="77777777" w:rsidR="00151DE4" w:rsidRPr="001B6954" w:rsidRDefault="00151DE4" w:rsidP="00DF7E40">
            <w:pPr>
              <w:pStyle w:val="CETBodytext"/>
              <w:jc w:val="center"/>
              <w:rPr>
                <w:color w:val="000000" w:themeColor="text1"/>
                <w:lang w:val="en-GB"/>
              </w:rPr>
            </w:pPr>
            <w:r w:rsidRPr="001B6954">
              <w:rPr>
                <w:color w:val="000000" w:themeColor="text1"/>
                <w:spacing w:val="-3"/>
                <w:lang w:val="ru-RU"/>
              </w:rPr>
              <w:t>283.84</w:t>
            </w:r>
          </w:p>
        </w:tc>
        <w:tc>
          <w:tcPr>
            <w:tcW w:w="1559" w:type="dxa"/>
            <w:tcBorders>
              <w:top w:val="nil"/>
              <w:left w:val="nil"/>
              <w:bottom w:val="nil"/>
              <w:right w:val="nil"/>
            </w:tcBorders>
            <w:vAlign w:val="center"/>
          </w:tcPr>
          <w:p w14:paraId="03BC2DA5"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443230.06</w:t>
            </w:r>
          </w:p>
        </w:tc>
        <w:tc>
          <w:tcPr>
            <w:tcW w:w="1276" w:type="dxa"/>
            <w:tcBorders>
              <w:top w:val="nil"/>
              <w:left w:val="nil"/>
              <w:bottom w:val="nil"/>
              <w:right w:val="nil"/>
            </w:tcBorders>
            <w:vAlign w:val="center"/>
          </w:tcPr>
          <w:p w14:paraId="652FC7EA"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465372.8</w:t>
            </w:r>
          </w:p>
        </w:tc>
        <w:tc>
          <w:tcPr>
            <w:tcW w:w="1701" w:type="dxa"/>
            <w:tcBorders>
              <w:top w:val="nil"/>
              <w:left w:val="nil"/>
              <w:bottom w:val="nil"/>
              <w:right w:val="nil"/>
            </w:tcBorders>
            <w:vAlign w:val="center"/>
          </w:tcPr>
          <w:p w14:paraId="751545F4"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22121.94</w:t>
            </w:r>
          </w:p>
        </w:tc>
        <w:tc>
          <w:tcPr>
            <w:tcW w:w="1276" w:type="dxa"/>
            <w:tcBorders>
              <w:top w:val="nil"/>
              <w:left w:val="nil"/>
              <w:bottom w:val="nil"/>
              <w:right w:val="nil"/>
            </w:tcBorders>
            <w:vAlign w:val="center"/>
          </w:tcPr>
          <w:p w14:paraId="4C299BB3"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5.00%</w:t>
            </w:r>
          </w:p>
        </w:tc>
      </w:tr>
      <w:tr w:rsidR="001B6954" w:rsidRPr="001B6954" w14:paraId="20C81059" w14:textId="77777777" w:rsidTr="00151DE4">
        <w:tc>
          <w:tcPr>
            <w:tcW w:w="1701" w:type="dxa"/>
            <w:tcBorders>
              <w:top w:val="nil"/>
              <w:left w:val="nil"/>
              <w:bottom w:val="nil"/>
              <w:right w:val="nil"/>
            </w:tcBorders>
            <w:vAlign w:val="center"/>
          </w:tcPr>
          <w:p w14:paraId="049E0C4F" w14:textId="77777777" w:rsidR="00151DE4" w:rsidRPr="001B6954" w:rsidRDefault="00151DE4" w:rsidP="00DF7E40">
            <w:pPr>
              <w:pStyle w:val="CETBodytext"/>
              <w:jc w:val="center"/>
              <w:rPr>
                <w:color w:val="000000" w:themeColor="text1"/>
                <w:lang w:val="en-GB"/>
              </w:rPr>
            </w:pPr>
            <w:r w:rsidRPr="001B6954">
              <w:rPr>
                <w:color w:val="000000" w:themeColor="text1"/>
                <w:spacing w:val="-3"/>
              </w:rPr>
              <w:t>Wetlands</w:t>
            </w:r>
          </w:p>
        </w:tc>
        <w:tc>
          <w:tcPr>
            <w:tcW w:w="1276" w:type="dxa"/>
            <w:tcBorders>
              <w:top w:val="nil"/>
              <w:left w:val="nil"/>
              <w:bottom w:val="nil"/>
              <w:right w:val="nil"/>
            </w:tcBorders>
            <w:vAlign w:val="center"/>
          </w:tcPr>
          <w:p w14:paraId="3E4ADE15" w14:textId="77777777" w:rsidR="00151DE4" w:rsidRPr="001B6954" w:rsidRDefault="00151DE4" w:rsidP="00DF7E40">
            <w:pPr>
              <w:pStyle w:val="CETBodytext"/>
              <w:jc w:val="center"/>
              <w:rPr>
                <w:color w:val="000000" w:themeColor="text1"/>
                <w:lang w:val="en-GB"/>
              </w:rPr>
            </w:pPr>
            <w:r w:rsidRPr="001B6954">
              <w:rPr>
                <w:color w:val="000000" w:themeColor="text1"/>
                <w:spacing w:val="-3"/>
                <w:lang w:val="ru-RU"/>
              </w:rPr>
              <w:t>5.24</w:t>
            </w:r>
          </w:p>
        </w:tc>
        <w:tc>
          <w:tcPr>
            <w:tcW w:w="1559" w:type="dxa"/>
            <w:tcBorders>
              <w:top w:val="nil"/>
              <w:left w:val="nil"/>
              <w:bottom w:val="nil"/>
              <w:right w:val="nil"/>
            </w:tcBorders>
            <w:vAlign w:val="center"/>
          </w:tcPr>
          <w:p w14:paraId="2170D304"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10843.31</w:t>
            </w:r>
          </w:p>
        </w:tc>
        <w:tc>
          <w:tcPr>
            <w:tcW w:w="1276" w:type="dxa"/>
            <w:tcBorders>
              <w:top w:val="nil"/>
              <w:left w:val="nil"/>
              <w:bottom w:val="nil"/>
              <w:right w:val="nil"/>
            </w:tcBorders>
            <w:vAlign w:val="center"/>
          </w:tcPr>
          <w:p w14:paraId="005C0C96"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10808.70</w:t>
            </w:r>
          </w:p>
        </w:tc>
        <w:tc>
          <w:tcPr>
            <w:tcW w:w="1701" w:type="dxa"/>
            <w:tcBorders>
              <w:top w:val="nil"/>
              <w:left w:val="nil"/>
              <w:bottom w:val="nil"/>
              <w:right w:val="nil"/>
            </w:tcBorders>
            <w:vAlign w:val="center"/>
          </w:tcPr>
          <w:p w14:paraId="665B7895"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-34.53</w:t>
            </w:r>
          </w:p>
        </w:tc>
        <w:tc>
          <w:tcPr>
            <w:tcW w:w="1276" w:type="dxa"/>
            <w:tcBorders>
              <w:top w:val="nil"/>
              <w:left w:val="nil"/>
              <w:bottom w:val="nil"/>
              <w:right w:val="nil"/>
            </w:tcBorders>
            <w:vAlign w:val="center"/>
          </w:tcPr>
          <w:p w14:paraId="5E2DDEC5"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-0.32%</w:t>
            </w:r>
          </w:p>
        </w:tc>
      </w:tr>
      <w:tr w:rsidR="001B6954" w:rsidRPr="001B6954" w14:paraId="31D54984" w14:textId="77777777" w:rsidTr="00151DE4">
        <w:tc>
          <w:tcPr>
            <w:tcW w:w="1701" w:type="dxa"/>
            <w:tcBorders>
              <w:top w:val="nil"/>
              <w:left w:val="nil"/>
              <w:bottom w:val="nil"/>
              <w:right w:val="nil"/>
            </w:tcBorders>
            <w:vAlign w:val="center"/>
          </w:tcPr>
          <w:p w14:paraId="3627E593" w14:textId="77777777" w:rsidR="00151DE4" w:rsidRPr="001B6954" w:rsidRDefault="00151DE4" w:rsidP="00DF7E40">
            <w:pPr>
              <w:pStyle w:val="CETBodytext"/>
              <w:jc w:val="center"/>
              <w:rPr>
                <w:color w:val="000000" w:themeColor="text1"/>
                <w:lang w:val="en-GB"/>
              </w:rPr>
            </w:pPr>
            <w:r w:rsidRPr="001B6954">
              <w:rPr>
                <w:color w:val="000000" w:themeColor="text1"/>
                <w:spacing w:val="-3"/>
              </w:rPr>
              <w:t>Artificial areas</w:t>
            </w:r>
          </w:p>
        </w:tc>
        <w:tc>
          <w:tcPr>
            <w:tcW w:w="1276" w:type="dxa"/>
            <w:tcBorders>
              <w:top w:val="nil"/>
              <w:left w:val="nil"/>
              <w:bottom w:val="nil"/>
              <w:right w:val="nil"/>
            </w:tcBorders>
            <w:vAlign w:val="center"/>
          </w:tcPr>
          <w:p w14:paraId="339EF791" w14:textId="77777777" w:rsidR="00151DE4" w:rsidRPr="001B6954" w:rsidRDefault="00151DE4" w:rsidP="00DF7E40">
            <w:pPr>
              <w:pStyle w:val="CETBodytext"/>
              <w:jc w:val="center"/>
              <w:rPr>
                <w:color w:val="000000" w:themeColor="text1"/>
                <w:lang w:val="en-GB"/>
              </w:rPr>
            </w:pPr>
            <w:r w:rsidRPr="001B6954">
              <w:rPr>
                <w:color w:val="000000" w:themeColor="text1"/>
                <w:spacing w:val="-3"/>
                <w:lang w:val="ru-RU"/>
              </w:rPr>
              <w:t>1.33</w:t>
            </w:r>
          </w:p>
        </w:tc>
        <w:tc>
          <w:tcPr>
            <w:tcW w:w="1559" w:type="dxa"/>
            <w:tcBorders>
              <w:top w:val="nil"/>
              <w:left w:val="nil"/>
              <w:bottom w:val="nil"/>
              <w:right w:val="nil"/>
            </w:tcBorders>
            <w:vAlign w:val="center"/>
          </w:tcPr>
          <w:p w14:paraId="4688647A"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1721.95</w:t>
            </w:r>
          </w:p>
        </w:tc>
        <w:tc>
          <w:tcPr>
            <w:tcW w:w="1276" w:type="dxa"/>
            <w:tcBorders>
              <w:top w:val="nil"/>
              <w:left w:val="nil"/>
              <w:bottom w:val="nil"/>
              <w:right w:val="nil"/>
            </w:tcBorders>
            <w:vAlign w:val="center"/>
          </w:tcPr>
          <w:p w14:paraId="79837EB3"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2044.64</w:t>
            </w:r>
          </w:p>
        </w:tc>
        <w:tc>
          <w:tcPr>
            <w:tcW w:w="1701" w:type="dxa"/>
            <w:tcBorders>
              <w:top w:val="nil"/>
              <w:left w:val="nil"/>
              <w:bottom w:val="nil"/>
              <w:right w:val="nil"/>
            </w:tcBorders>
            <w:vAlign w:val="center"/>
          </w:tcPr>
          <w:p w14:paraId="44A085D3"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322.36</w:t>
            </w:r>
          </w:p>
        </w:tc>
        <w:tc>
          <w:tcPr>
            <w:tcW w:w="1276" w:type="dxa"/>
            <w:tcBorders>
              <w:top w:val="nil"/>
              <w:left w:val="nil"/>
              <w:bottom w:val="nil"/>
              <w:right w:val="nil"/>
            </w:tcBorders>
            <w:vAlign w:val="center"/>
          </w:tcPr>
          <w:p w14:paraId="5D3ABF99"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18.74%</w:t>
            </w:r>
          </w:p>
        </w:tc>
      </w:tr>
      <w:tr w:rsidR="001B6954" w:rsidRPr="001B6954" w14:paraId="61508256" w14:textId="77777777" w:rsidTr="00151DE4">
        <w:tc>
          <w:tcPr>
            <w:tcW w:w="1701" w:type="dxa"/>
            <w:tcBorders>
              <w:top w:val="nil"/>
              <w:left w:val="nil"/>
              <w:bottom w:val="single" w:sz="12" w:space="0" w:color="auto"/>
              <w:right w:val="nil"/>
            </w:tcBorders>
            <w:vAlign w:val="center"/>
          </w:tcPr>
          <w:p w14:paraId="5E722D3C" w14:textId="77777777" w:rsidR="00151DE4" w:rsidRPr="001B6954" w:rsidRDefault="00151DE4" w:rsidP="00DF7E40">
            <w:pPr>
              <w:pStyle w:val="CETBodytext"/>
              <w:jc w:val="center"/>
              <w:rPr>
                <w:color w:val="000000" w:themeColor="text1"/>
                <w:lang w:val="en-GB"/>
              </w:rPr>
            </w:pPr>
            <w:r w:rsidRPr="001B6954">
              <w:rPr>
                <w:color w:val="000000" w:themeColor="text1"/>
                <w:spacing w:val="-3"/>
              </w:rPr>
              <w:t>Other lands</w:t>
            </w:r>
          </w:p>
        </w:tc>
        <w:tc>
          <w:tcPr>
            <w:tcW w:w="1276" w:type="dxa"/>
            <w:tcBorders>
              <w:top w:val="nil"/>
              <w:left w:val="nil"/>
              <w:bottom w:val="single" w:sz="12" w:space="0" w:color="auto"/>
              <w:right w:val="nil"/>
            </w:tcBorders>
            <w:vAlign w:val="center"/>
          </w:tcPr>
          <w:p w14:paraId="5D3E404B" w14:textId="77777777" w:rsidR="00151DE4" w:rsidRPr="001B6954" w:rsidRDefault="00151DE4" w:rsidP="00DF7E40">
            <w:pPr>
              <w:pStyle w:val="CETBodytext"/>
              <w:jc w:val="center"/>
              <w:rPr>
                <w:color w:val="000000" w:themeColor="text1"/>
                <w:lang w:val="en-GB"/>
              </w:rPr>
            </w:pPr>
            <w:r w:rsidRPr="001B6954">
              <w:rPr>
                <w:color w:val="000000" w:themeColor="text1"/>
                <w:spacing w:val="-3"/>
                <w:lang w:val="ru-RU"/>
              </w:rPr>
              <w:t>17.45</w:t>
            </w:r>
          </w:p>
        </w:tc>
        <w:tc>
          <w:tcPr>
            <w:tcW w:w="1559" w:type="dxa"/>
            <w:tcBorders>
              <w:top w:val="nil"/>
              <w:left w:val="nil"/>
              <w:bottom w:val="single" w:sz="12" w:space="0" w:color="auto"/>
              <w:right w:val="nil"/>
            </w:tcBorders>
            <w:vAlign w:val="center"/>
          </w:tcPr>
          <w:p w14:paraId="75AA8700"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21023.75</w:t>
            </w:r>
          </w:p>
        </w:tc>
        <w:tc>
          <w:tcPr>
            <w:tcW w:w="1276" w:type="dxa"/>
            <w:tcBorders>
              <w:top w:val="nil"/>
              <w:left w:val="nil"/>
              <w:bottom w:val="single" w:sz="12" w:space="0" w:color="auto"/>
              <w:right w:val="nil"/>
            </w:tcBorders>
            <w:vAlign w:val="center"/>
          </w:tcPr>
          <w:p w14:paraId="2A0A012A"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19614.31</w:t>
            </w:r>
          </w:p>
        </w:tc>
        <w:tc>
          <w:tcPr>
            <w:tcW w:w="1701" w:type="dxa"/>
            <w:tcBorders>
              <w:top w:val="nil"/>
              <w:left w:val="nil"/>
              <w:bottom w:val="single" w:sz="12" w:space="0" w:color="auto"/>
              <w:right w:val="nil"/>
            </w:tcBorders>
            <w:vAlign w:val="center"/>
          </w:tcPr>
          <w:p w14:paraId="5CDB6CF7"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-1407.90</w:t>
            </w:r>
          </w:p>
        </w:tc>
        <w:tc>
          <w:tcPr>
            <w:tcW w:w="1276" w:type="dxa"/>
            <w:tcBorders>
              <w:top w:val="nil"/>
              <w:left w:val="nil"/>
              <w:bottom w:val="single" w:sz="12" w:space="0" w:color="auto"/>
              <w:right w:val="nil"/>
            </w:tcBorders>
            <w:vAlign w:val="center"/>
          </w:tcPr>
          <w:p w14:paraId="68F02F39"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-6.70%</w:t>
            </w:r>
          </w:p>
        </w:tc>
      </w:tr>
      <w:tr w:rsidR="001B6954" w:rsidRPr="001B6954" w14:paraId="3E71565C" w14:textId="77777777" w:rsidTr="00151DE4">
        <w:tc>
          <w:tcPr>
            <w:tcW w:w="1701" w:type="dxa"/>
            <w:tcBorders>
              <w:top w:val="nil"/>
              <w:left w:val="nil"/>
              <w:bottom w:val="single" w:sz="12" w:space="0" w:color="auto"/>
              <w:right w:val="nil"/>
            </w:tcBorders>
            <w:vAlign w:val="center"/>
          </w:tcPr>
          <w:p w14:paraId="68A4F4E8"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rPr>
              <w:t>Total:</w:t>
            </w:r>
          </w:p>
        </w:tc>
        <w:tc>
          <w:tcPr>
            <w:tcW w:w="1276" w:type="dxa"/>
            <w:tcBorders>
              <w:top w:val="nil"/>
              <w:left w:val="nil"/>
              <w:bottom w:val="single" w:sz="12" w:space="0" w:color="auto"/>
              <w:right w:val="nil"/>
            </w:tcBorders>
            <w:vAlign w:val="center"/>
          </w:tcPr>
          <w:p w14:paraId="1B54560E"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1572.66</w:t>
            </w:r>
          </w:p>
        </w:tc>
        <w:tc>
          <w:tcPr>
            <w:tcW w:w="1559" w:type="dxa"/>
            <w:tcBorders>
              <w:top w:val="nil"/>
              <w:left w:val="nil"/>
              <w:bottom w:val="single" w:sz="12" w:space="0" w:color="auto"/>
              <w:right w:val="nil"/>
            </w:tcBorders>
            <w:vAlign w:val="center"/>
          </w:tcPr>
          <w:p w14:paraId="05186122"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2339891.22</w:t>
            </w:r>
          </w:p>
        </w:tc>
        <w:tc>
          <w:tcPr>
            <w:tcW w:w="1276" w:type="dxa"/>
            <w:tcBorders>
              <w:top w:val="nil"/>
              <w:left w:val="nil"/>
              <w:bottom w:val="single" w:sz="12" w:space="0" w:color="auto"/>
              <w:right w:val="nil"/>
            </w:tcBorders>
            <w:vAlign w:val="center"/>
          </w:tcPr>
          <w:p w14:paraId="13531425"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2341721</w:t>
            </w:r>
          </w:p>
        </w:tc>
        <w:tc>
          <w:tcPr>
            <w:tcW w:w="1701" w:type="dxa"/>
            <w:tcBorders>
              <w:top w:val="nil"/>
              <w:left w:val="nil"/>
              <w:bottom w:val="single" w:sz="12" w:space="0" w:color="auto"/>
              <w:right w:val="nil"/>
            </w:tcBorders>
            <w:vAlign w:val="center"/>
          </w:tcPr>
          <w:p w14:paraId="75388B28" w14:textId="77777777" w:rsidR="00151DE4" w:rsidRPr="001B6954" w:rsidRDefault="00151DE4" w:rsidP="00DF7E40">
            <w:pPr>
              <w:pStyle w:val="CETBodytext"/>
              <w:ind w:right="-1"/>
              <w:jc w:val="center"/>
              <w:rPr>
                <w:rFonts w:cs="Arial"/>
                <w:color w:val="000000" w:themeColor="text1"/>
                <w:szCs w:val="18"/>
                <w:lang w:val="en-GB"/>
              </w:rPr>
            </w:pPr>
            <w:r w:rsidRPr="001B6954">
              <w:rPr>
                <w:color w:val="000000" w:themeColor="text1"/>
                <w:spacing w:val="-3"/>
                <w:lang w:val="ru-RU"/>
              </w:rPr>
              <w:t>1838.19</w:t>
            </w:r>
          </w:p>
        </w:tc>
        <w:tc>
          <w:tcPr>
            <w:tcW w:w="1276" w:type="dxa"/>
            <w:tcBorders>
              <w:top w:val="nil"/>
              <w:left w:val="nil"/>
              <w:bottom w:val="single" w:sz="12" w:space="0" w:color="auto"/>
              <w:right w:val="nil"/>
            </w:tcBorders>
            <w:vAlign w:val="center"/>
          </w:tcPr>
          <w:p w14:paraId="153F74D2" w14:textId="77777777" w:rsidR="00151DE4" w:rsidRPr="001B6954" w:rsidRDefault="00151DE4" w:rsidP="00DF7E40">
            <w:pPr>
              <w:pStyle w:val="CETBodytext"/>
              <w:ind w:right="-1"/>
              <w:jc w:val="center"/>
              <w:rPr>
                <w:rFonts w:cs="Arial"/>
                <w:color w:val="000000" w:themeColor="text1"/>
                <w:szCs w:val="18"/>
                <w:lang w:val="en-GB"/>
              </w:rPr>
            </w:pPr>
          </w:p>
        </w:tc>
      </w:tr>
    </w:tbl>
    <w:p w14:paraId="34DDB826" w14:textId="1F2F807C" w:rsidR="0003209D" w:rsidRPr="001B6954" w:rsidRDefault="0003209D" w:rsidP="0003209D">
      <w:pPr>
        <w:pStyle w:val="CETCaption"/>
        <w:rPr>
          <w:color w:val="000000" w:themeColor="text1"/>
        </w:rPr>
      </w:pPr>
      <w:r w:rsidRPr="001B6954">
        <w:rPr>
          <w:noProof/>
          <w:color w:val="000000" w:themeColor="text1"/>
        </w:rPr>
        <w:drawing>
          <wp:inline distT="0" distB="0" distL="0" distR="0" wp14:anchorId="7C60DF39" wp14:editId="493BA87C">
            <wp:extent cx="2946400" cy="3042408"/>
            <wp:effectExtent l="0" t="0" r="635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211" cy="3134113"/>
                    </a:xfrm>
                    <a:prstGeom prst="rect">
                      <a:avLst/>
                    </a:prstGeom>
                    <a:noFill/>
                    <a:ln>
                      <a:noFill/>
                    </a:ln>
                  </pic:spPr>
                </pic:pic>
              </a:graphicData>
            </a:graphic>
          </wp:inline>
        </w:drawing>
      </w:r>
    </w:p>
    <w:p w14:paraId="38EE5482" w14:textId="27DB3276" w:rsidR="0003209D" w:rsidRPr="001B6954" w:rsidRDefault="0003209D" w:rsidP="0003209D">
      <w:pPr>
        <w:pStyle w:val="CETCaption"/>
        <w:rPr>
          <w:rStyle w:val="CETCaptionCarattere"/>
          <w:iCs/>
          <w:color w:val="000000" w:themeColor="text1"/>
        </w:rPr>
      </w:pPr>
      <w:r w:rsidRPr="001B6954">
        <w:rPr>
          <w:rStyle w:val="CETCaptionCarattere"/>
          <w:i/>
          <w:color w:val="000000" w:themeColor="text1"/>
        </w:rPr>
        <w:t xml:space="preserve">Figure </w:t>
      </w:r>
      <w:r w:rsidR="00640E8B" w:rsidRPr="001B6954">
        <w:rPr>
          <w:rStyle w:val="CETCaptionCarattere"/>
          <w:i/>
          <w:color w:val="000000" w:themeColor="text1"/>
        </w:rPr>
        <w:t>2</w:t>
      </w:r>
      <w:r w:rsidRPr="001B6954">
        <w:rPr>
          <w:rStyle w:val="CETCaptionCarattere"/>
          <w:i/>
          <w:color w:val="000000" w:themeColor="text1"/>
        </w:rPr>
        <w:t>: Change in soil organic carbon composition over the period 2001-2020 (a) Polygon 2; (b) Polygon 1</w:t>
      </w:r>
    </w:p>
    <w:p w14:paraId="1F2B9C4E" w14:textId="2DC229B1" w:rsidR="003022CF" w:rsidRPr="001B6954" w:rsidRDefault="00205AE0" w:rsidP="00205AE0">
      <w:pPr>
        <w:pStyle w:val="CETBodytext"/>
        <w:rPr>
          <w:rStyle w:val="CETCaptionCarattere"/>
          <w:i w:val="0"/>
          <w:color w:val="000000" w:themeColor="text1"/>
          <w:lang w:val="en-US"/>
        </w:rPr>
      </w:pPr>
      <w:r w:rsidRPr="001B6954">
        <w:rPr>
          <w:color w:val="000000" w:themeColor="text1"/>
          <w:lang w:val="kk-KZ"/>
        </w:rPr>
        <w:t>This translates to a reduction of organic carbon by 1838.19 tonnes in Polygon 1 and by 1655.22 tonnes in Polygon 2 over the two decades, with the latter representing an 11% smaller loss than the former. The substantial difference in organic carbon loss is attributed to the divergent agro-ecological conditions of the Irtysh River's right bank compared to its left, including variations in temperature, precipitation, and soil content and quality. Consequently, the study proposes methods to augment organic carbon in the soil of Polygon 1, including the implementation of soil conservation practices such as mulching, green manuring, and reduced tillage. These methods are designed to preserve and increase the organic material in the soil, thereby significantly reducing carbon emissions into the atmosphere. Table 3 provides a comprehensive view of the changes in SOC content in different land cover types from initial to target levels, expressed as a percentage of the initial stock. Here is a detailed breakdown of SOC changes: see note</w:t>
      </w:r>
      <w:r w:rsidRPr="001B6954">
        <w:rPr>
          <w:color w:val="000000" w:themeColor="text1"/>
        </w:rPr>
        <w:t>.</w:t>
      </w:r>
      <w:r w:rsidR="00991436" w:rsidRPr="00991436">
        <w:rPr>
          <w:color w:val="000000" w:themeColor="text1"/>
        </w:rPr>
        <w:t xml:space="preserve"> </w:t>
      </w:r>
      <w:r w:rsidR="00991436" w:rsidRPr="001B6954">
        <w:rPr>
          <w:color w:val="000000" w:themeColor="text1"/>
        </w:rPr>
        <w:t>Table 3 offers a thorough overview of the shifts in SOC content across different types of land cover from the initial to the target level, showcasing these changes as a percentage of the initial stock. It details that there is no change in SOC when tree-covered areas transition to other tree-covered areas, grasslands, or wetlands. However, a 3.80% reduction in SOC is noted when shifting to croplands, with more significant losses observed when moving to artificial areas (18.53% decrease) and other lands (12.92% decrease). Grasslands exhibit a similar pattern where no SOC change is noted within the same category, but shifting from grasslands to croplands results in a 3.15% loss.</w:t>
      </w:r>
      <w:r w:rsidR="00464545" w:rsidRPr="00464545">
        <w:rPr>
          <w:color w:val="000000" w:themeColor="text1"/>
        </w:rPr>
        <w:t xml:space="preserve"> </w:t>
      </w:r>
      <w:r w:rsidR="00464545" w:rsidRPr="001B6954">
        <w:rPr>
          <w:color w:val="000000" w:themeColor="text1"/>
        </w:rPr>
        <w:t>Transitioning to artificial areas and other lands from grasslands leads to decreases of 14.94% and 16.80%, respectively. Conversely, when tree-</w:t>
      </w:r>
      <w:r w:rsidR="00464545" w:rsidRPr="001B6954">
        <w:rPr>
          <w:color w:val="000000" w:themeColor="text1"/>
        </w:rPr>
        <w:lastRenderedPageBreak/>
        <w:t>covered areas and grasslands are converted into croplands, there is an increase in SOC by 4.62% and 5.29%, respectively, and croplands maintain their SOC stock if no land cover change occurs.</w:t>
      </w:r>
    </w:p>
    <w:p w14:paraId="40B62133" w14:textId="1E722D21" w:rsidR="0003209D" w:rsidRPr="001B6954" w:rsidRDefault="0003209D" w:rsidP="0003209D">
      <w:pPr>
        <w:pStyle w:val="CETTabletitle"/>
        <w:rPr>
          <w:color w:val="000000" w:themeColor="text1"/>
        </w:rPr>
      </w:pPr>
      <w:r w:rsidRPr="001B6954">
        <w:rPr>
          <w:color w:val="000000" w:themeColor="text1"/>
        </w:rPr>
        <w:t xml:space="preserve">Table </w:t>
      </w:r>
      <w:r w:rsidR="00DE3B29" w:rsidRPr="001B6954">
        <w:rPr>
          <w:color w:val="000000" w:themeColor="text1"/>
        </w:rPr>
        <w:t>2</w:t>
      </w:r>
      <w:r w:rsidRPr="001B6954">
        <w:rPr>
          <w:color w:val="000000" w:themeColor="text1"/>
        </w:rPr>
        <w:t xml:space="preserve">: </w:t>
      </w:r>
      <w:r w:rsidR="00DE3B29" w:rsidRPr="001B6954">
        <w:rPr>
          <w:color w:val="000000" w:themeColor="text1"/>
        </w:rPr>
        <w:t>Change in soil organic C in Polygon 2, from baseline over the period 2001-2020</w:t>
      </w:r>
    </w:p>
    <w:tbl>
      <w:tblPr>
        <w:tblW w:w="878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1134"/>
        <w:gridCol w:w="1842"/>
        <w:gridCol w:w="1843"/>
        <w:gridCol w:w="1275"/>
        <w:gridCol w:w="1134"/>
      </w:tblGrid>
      <w:tr w:rsidR="001B6954" w:rsidRPr="001B6954" w14:paraId="7DCB2904" w14:textId="77777777" w:rsidTr="00A25C02">
        <w:tc>
          <w:tcPr>
            <w:tcW w:w="1560" w:type="dxa"/>
            <w:tcBorders>
              <w:top w:val="single" w:sz="12" w:space="0" w:color="auto"/>
              <w:left w:val="nil"/>
              <w:bottom w:val="single" w:sz="6" w:space="0" w:color="auto"/>
              <w:right w:val="nil"/>
            </w:tcBorders>
            <w:vAlign w:val="center"/>
          </w:tcPr>
          <w:p w14:paraId="26248569" w14:textId="77777777" w:rsidR="00151DE4" w:rsidRPr="001B6954" w:rsidRDefault="00151DE4" w:rsidP="0003209D">
            <w:pPr>
              <w:pStyle w:val="CETBodytext"/>
              <w:jc w:val="center"/>
              <w:rPr>
                <w:color w:val="000000" w:themeColor="text1"/>
                <w:lang w:val="en-GB"/>
              </w:rPr>
            </w:pPr>
          </w:p>
        </w:tc>
        <w:tc>
          <w:tcPr>
            <w:tcW w:w="1134" w:type="dxa"/>
            <w:tcBorders>
              <w:top w:val="single" w:sz="12" w:space="0" w:color="auto"/>
              <w:left w:val="nil"/>
              <w:bottom w:val="single" w:sz="6" w:space="0" w:color="auto"/>
              <w:right w:val="nil"/>
            </w:tcBorders>
            <w:vAlign w:val="center"/>
          </w:tcPr>
          <w:p w14:paraId="43613A9D" w14:textId="7C1F2085" w:rsidR="00151DE4" w:rsidRPr="001B6954" w:rsidRDefault="00151DE4" w:rsidP="0003209D">
            <w:pPr>
              <w:tabs>
                <w:tab w:val="left" w:pos="-437"/>
              </w:tabs>
              <w:suppressAutoHyphens/>
              <w:jc w:val="center"/>
              <w:rPr>
                <w:color w:val="000000" w:themeColor="text1"/>
                <w:spacing w:val="-3"/>
              </w:rPr>
            </w:pPr>
            <w:r w:rsidRPr="001B6954">
              <w:rPr>
                <w:color w:val="000000" w:themeColor="text1"/>
                <w:spacing w:val="-3"/>
              </w:rPr>
              <w:t>Baseline area</w:t>
            </w:r>
          </w:p>
          <w:p w14:paraId="518B3D07" w14:textId="04126744" w:rsidR="00151DE4" w:rsidRPr="001B6954" w:rsidRDefault="00151DE4" w:rsidP="0003209D">
            <w:pPr>
              <w:pStyle w:val="CETBodytext"/>
              <w:jc w:val="center"/>
              <w:rPr>
                <w:color w:val="000000" w:themeColor="text1"/>
                <w:lang w:val="en-GB"/>
              </w:rPr>
            </w:pPr>
            <w:r w:rsidRPr="001B6954">
              <w:rPr>
                <w:color w:val="000000" w:themeColor="text1"/>
                <w:spacing w:val="-3"/>
              </w:rPr>
              <w:t>(sq. km)</w:t>
            </w:r>
          </w:p>
        </w:tc>
        <w:tc>
          <w:tcPr>
            <w:tcW w:w="1842" w:type="dxa"/>
            <w:tcBorders>
              <w:top w:val="single" w:sz="12" w:space="0" w:color="auto"/>
              <w:left w:val="nil"/>
              <w:bottom w:val="single" w:sz="6" w:space="0" w:color="auto"/>
              <w:right w:val="nil"/>
            </w:tcBorders>
            <w:vAlign w:val="center"/>
          </w:tcPr>
          <w:p w14:paraId="1526387E" w14:textId="4D252BC0"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rPr>
              <w:t>Baseline soil organic carbon (tonnes)</w:t>
            </w:r>
          </w:p>
        </w:tc>
        <w:tc>
          <w:tcPr>
            <w:tcW w:w="1843" w:type="dxa"/>
            <w:tcBorders>
              <w:top w:val="single" w:sz="12" w:space="0" w:color="auto"/>
              <w:left w:val="nil"/>
              <w:bottom w:val="single" w:sz="6" w:space="0" w:color="auto"/>
              <w:right w:val="nil"/>
            </w:tcBorders>
            <w:vAlign w:val="center"/>
          </w:tcPr>
          <w:p w14:paraId="7652091F" w14:textId="41B556E7"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rPr>
              <w:t>Target soil organic carbon (tonnes)</w:t>
            </w:r>
          </w:p>
        </w:tc>
        <w:tc>
          <w:tcPr>
            <w:tcW w:w="1275" w:type="dxa"/>
            <w:tcBorders>
              <w:top w:val="single" w:sz="12" w:space="0" w:color="auto"/>
              <w:left w:val="nil"/>
              <w:bottom w:val="single" w:sz="6" w:space="0" w:color="auto"/>
              <w:right w:val="nil"/>
            </w:tcBorders>
            <w:vAlign w:val="center"/>
          </w:tcPr>
          <w:p w14:paraId="4434D1D0" w14:textId="2946E145" w:rsidR="00151DE4" w:rsidRPr="001B6954" w:rsidRDefault="00151DE4" w:rsidP="0003209D">
            <w:pPr>
              <w:pStyle w:val="CETBodytext"/>
              <w:ind w:right="-1"/>
              <w:jc w:val="center"/>
              <w:rPr>
                <w:color w:val="000000" w:themeColor="text1"/>
                <w:lang w:val="en-GB"/>
              </w:rPr>
            </w:pPr>
            <w:r w:rsidRPr="001B6954">
              <w:rPr>
                <w:color w:val="000000" w:themeColor="text1"/>
                <w:spacing w:val="-3"/>
              </w:rPr>
              <w:t>Change in soil organic carbon (tonnes)</w:t>
            </w:r>
          </w:p>
        </w:tc>
        <w:tc>
          <w:tcPr>
            <w:tcW w:w="1134" w:type="dxa"/>
            <w:tcBorders>
              <w:top w:val="single" w:sz="12" w:space="0" w:color="auto"/>
              <w:left w:val="nil"/>
              <w:bottom w:val="single" w:sz="6" w:space="0" w:color="auto"/>
              <w:right w:val="nil"/>
            </w:tcBorders>
            <w:vAlign w:val="center"/>
          </w:tcPr>
          <w:p w14:paraId="3961F39A" w14:textId="260012B9" w:rsidR="00151DE4" w:rsidRPr="001B6954" w:rsidRDefault="00151DE4" w:rsidP="0003209D">
            <w:pPr>
              <w:pStyle w:val="CETBodytext"/>
              <w:ind w:right="-1"/>
              <w:jc w:val="center"/>
              <w:rPr>
                <w:color w:val="000000" w:themeColor="text1"/>
                <w:lang w:val="en-GB"/>
              </w:rPr>
            </w:pPr>
            <w:r w:rsidRPr="001B6954">
              <w:rPr>
                <w:color w:val="000000" w:themeColor="text1"/>
                <w:spacing w:val="-3"/>
              </w:rPr>
              <w:t>Change in soil organic carbon</w:t>
            </w:r>
          </w:p>
        </w:tc>
      </w:tr>
      <w:tr w:rsidR="001B6954" w:rsidRPr="001B6954" w14:paraId="02C3BAA5" w14:textId="77777777" w:rsidTr="00A25C02">
        <w:tc>
          <w:tcPr>
            <w:tcW w:w="1560" w:type="dxa"/>
            <w:tcBorders>
              <w:top w:val="nil"/>
              <w:left w:val="nil"/>
              <w:bottom w:val="nil"/>
              <w:right w:val="nil"/>
            </w:tcBorders>
            <w:vAlign w:val="center"/>
          </w:tcPr>
          <w:p w14:paraId="75F188FE" w14:textId="76AD88DF" w:rsidR="00151DE4" w:rsidRPr="001B6954" w:rsidRDefault="00151DE4" w:rsidP="0003209D">
            <w:pPr>
              <w:pStyle w:val="CETBodytext"/>
              <w:jc w:val="center"/>
              <w:rPr>
                <w:color w:val="000000" w:themeColor="text1"/>
                <w:lang w:val="en-GB"/>
              </w:rPr>
            </w:pPr>
            <w:r w:rsidRPr="001B6954">
              <w:rPr>
                <w:color w:val="000000" w:themeColor="text1"/>
                <w:spacing w:val="-3"/>
              </w:rPr>
              <w:t>Tree-covered areas</w:t>
            </w:r>
          </w:p>
        </w:tc>
        <w:tc>
          <w:tcPr>
            <w:tcW w:w="1134" w:type="dxa"/>
            <w:tcBorders>
              <w:top w:val="nil"/>
              <w:left w:val="nil"/>
              <w:bottom w:val="nil"/>
              <w:right w:val="nil"/>
            </w:tcBorders>
            <w:vAlign w:val="center"/>
          </w:tcPr>
          <w:p w14:paraId="4E2172EE" w14:textId="2181A1E8" w:rsidR="00151DE4" w:rsidRPr="001B6954" w:rsidRDefault="00151DE4" w:rsidP="0003209D">
            <w:pPr>
              <w:pStyle w:val="CETBodytext"/>
              <w:jc w:val="center"/>
              <w:rPr>
                <w:color w:val="000000" w:themeColor="text1"/>
                <w:lang w:val="en-GB"/>
              </w:rPr>
            </w:pPr>
            <w:r w:rsidRPr="001B6954">
              <w:rPr>
                <w:color w:val="000000" w:themeColor="text1"/>
                <w:spacing w:val="-3"/>
                <w:lang w:val="ru-RU"/>
              </w:rPr>
              <w:t>174.21</w:t>
            </w:r>
          </w:p>
        </w:tc>
        <w:tc>
          <w:tcPr>
            <w:tcW w:w="1842" w:type="dxa"/>
            <w:tcBorders>
              <w:top w:val="nil"/>
              <w:left w:val="nil"/>
              <w:bottom w:val="nil"/>
              <w:right w:val="nil"/>
            </w:tcBorders>
            <w:vAlign w:val="center"/>
          </w:tcPr>
          <w:p w14:paraId="48BC7AA0" w14:textId="1A717645"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263234.27</w:t>
            </w:r>
          </w:p>
        </w:tc>
        <w:tc>
          <w:tcPr>
            <w:tcW w:w="1843" w:type="dxa"/>
            <w:tcBorders>
              <w:top w:val="nil"/>
              <w:left w:val="nil"/>
              <w:bottom w:val="nil"/>
              <w:right w:val="nil"/>
            </w:tcBorders>
            <w:vAlign w:val="center"/>
          </w:tcPr>
          <w:p w14:paraId="01B920DF" w14:textId="6E49F883"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263541.66</w:t>
            </w:r>
          </w:p>
        </w:tc>
        <w:tc>
          <w:tcPr>
            <w:tcW w:w="1275" w:type="dxa"/>
            <w:tcBorders>
              <w:top w:val="nil"/>
              <w:left w:val="nil"/>
              <w:bottom w:val="nil"/>
              <w:right w:val="nil"/>
            </w:tcBorders>
            <w:vAlign w:val="center"/>
          </w:tcPr>
          <w:p w14:paraId="362ECF33" w14:textId="07B04E2C"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279.77</w:t>
            </w:r>
          </w:p>
        </w:tc>
        <w:tc>
          <w:tcPr>
            <w:tcW w:w="1134" w:type="dxa"/>
            <w:tcBorders>
              <w:top w:val="nil"/>
              <w:left w:val="nil"/>
              <w:bottom w:val="nil"/>
              <w:right w:val="nil"/>
            </w:tcBorders>
            <w:vAlign w:val="center"/>
          </w:tcPr>
          <w:p w14:paraId="3CCF963F" w14:textId="342ED311"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0.106%</w:t>
            </w:r>
          </w:p>
        </w:tc>
      </w:tr>
      <w:tr w:rsidR="001B6954" w:rsidRPr="001B6954" w14:paraId="204022EE" w14:textId="77777777" w:rsidTr="00A25C02">
        <w:tc>
          <w:tcPr>
            <w:tcW w:w="1560" w:type="dxa"/>
            <w:tcBorders>
              <w:top w:val="nil"/>
              <w:left w:val="nil"/>
              <w:bottom w:val="nil"/>
              <w:right w:val="nil"/>
            </w:tcBorders>
            <w:vAlign w:val="center"/>
          </w:tcPr>
          <w:p w14:paraId="29DBF18F" w14:textId="2C3AF355" w:rsidR="00151DE4" w:rsidRPr="001B6954" w:rsidRDefault="00151DE4" w:rsidP="0003209D">
            <w:pPr>
              <w:pStyle w:val="CETBodytext"/>
              <w:jc w:val="center"/>
              <w:rPr>
                <w:color w:val="000000" w:themeColor="text1"/>
                <w:lang w:val="en-GB"/>
              </w:rPr>
            </w:pPr>
            <w:r w:rsidRPr="001B6954">
              <w:rPr>
                <w:color w:val="000000" w:themeColor="text1"/>
                <w:spacing w:val="-3"/>
              </w:rPr>
              <w:t>Grasslands</w:t>
            </w:r>
          </w:p>
        </w:tc>
        <w:tc>
          <w:tcPr>
            <w:tcW w:w="1134" w:type="dxa"/>
            <w:tcBorders>
              <w:top w:val="nil"/>
              <w:left w:val="nil"/>
              <w:bottom w:val="nil"/>
              <w:right w:val="nil"/>
            </w:tcBorders>
            <w:vAlign w:val="center"/>
          </w:tcPr>
          <w:p w14:paraId="75CEB578" w14:textId="47CA42AB" w:rsidR="00151DE4" w:rsidRPr="001B6954" w:rsidRDefault="00151DE4" w:rsidP="0003209D">
            <w:pPr>
              <w:pStyle w:val="CETBodytext"/>
              <w:jc w:val="center"/>
              <w:rPr>
                <w:color w:val="000000" w:themeColor="text1"/>
                <w:lang w:val="en-GB"/>
              </w:rPr>
            </w:pPr>
            <w:r w:rsidRPr="001B6954">
              <w:rPr>
                <w:color w:val="000000" w:themeColor="text1"/>
                <w:spacing w:val="-3"/>
                <w:lang w:val="ru-RU"/>
              </w:rPr>
              <w:t>1231.45</w:t>
            </w:r>
          </w:p>
        </w:tc>
        <w:tc>
          <w:tcPr>
            <w:tcW w:w="1842" w:type="dxa"/>
            <w:tcBorders>
              <w:top w:val="nil"/>
              <w:left w:val="nil"/>
              <w:bottom w:val="nil"/>
              <w:right w:val="nil"/>
            </w:tcBorders>
            <w:vAlign w:val="center"/>
          </w:tcPr>
          <w:p w14:paraId="3182538D" w14:textId="251C3E02"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1415282.15</w:t>
            </w:r>
          </w:p>
        </w:tc>
        <w:tc>
          <w:tcPr>
            <w:tcW w:w="1843" w:type="dxa"/>
            <w:tcBorders>
              <w:top w:val="nil"/>
              <w:left w:val="nil"/>
              <w:bottom w:val="nil"/>
              <w:right w:val="nil"/>
            </w:tcBorders>
            <w:vAlign w:val="center"/>
          </w:tcPr>
          <w:p w14:paraId="6FCC1B17" w14:textId="1BE2C903"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1397862.88</w:t>
            </w:r>
          </w:p>
        </w:tc>
        <w:tc>
          <w:tcPr>
            <w:tcW w:w="1275" w:type="dxa"/>
            <w:tcBorders>
              <w:top w:val="nil"/>
              <w:left w:val="nil"/>
              <w:bottom w:val="nil"/>
              <w:right w:val="nil"/>
            </w:tcBorders>
            <w:vAlign w:val="center"/>
          </w:tcPr>
          <w:p w14:paraId="04383D84" w14:textId="31073D0D"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-17535.94</w:t>
            </w:r>
          </w:p>
        </w:tc>
        <w:tc>
          <w:tcPr>
            <w:tcW w:w="1134" w:type="dxa"/>
            <w:tcBorders>
              <w:top w:val="nil"/>
              <w:left w:val="nil"/>
              <w:bottom w:val="nil"/>
              <w:right w:val="nil"/>
            </w:tcBorders>
            <w:vAlign w:val="center"/>
          </w:tcPr>
          <w:p w14:paraId="7C9CA3AD" w14:textId="78D08605"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-1.25%</w:t>
            </w:r>
          </w:p>
        </w:tc>
      </w:tr>
      <w:tr w:rsidR="001B6954" w:rsidRPr="001B6954" w14:paraId="02DFF1A3" w14:textId="77777777" w:rsidTr="00A25C02">
        <w:tc>
          <w:tcPr>
            <w:tcW w:w="1560" w:type="dxa"/>
            <w:tcBorders>
              <w:top w:val="nil"/>
              <w:left w:val="nil"/>
              <w:bottom w:val="nil"/>
              <w:right w:val="nil"/>
            </w:tcBorders>
            <w:vAlign w:val="center"/>
          </w:tcPr>
          <w:p w14:paraId="5788BA55" w14:textId="40E61691" w:rsidR="00151DE4" w:rsidRPr="001B6954" w:rsidRDefault="00151DE4" w:rsidP="0003209D">
            <w:pPr>
              <w:pStyle w:val="CETBodytext"/>
              <w:jc w:val="center"/>
              <w:rPr>
                <w:color w:val="000000" w:themeColor="text1"/>
                <w:lang w:val="en-GB"/>
              </w:rPr>
            </w:pPr>
            <w:r w:rsidRPr="001B6954">
              <w:rPr>
                <w:color w:val="000000" w:themeColor="text1"/>
                <w:spacing w:val="-3"/>
              </w:rPr>
              <w:t>Croplands</w:t>
            </w:r>
          </w:p>
        </w:tc>
        <w:tc>
          <w:tcPr>
            <w:tcW w:w="1134" w:type="dxa"/>
            <w:tcBorders>
              <w:top w:val="nil"/>
              <w:left w:val="nil"/>
              <w:bottom w:val="nil"/>
              <w:right w:val="nil"/>
            </w:tcBorders>
            <w:vAlign w:val="center"/>
          </w:tcPr>
          <w:p w14:paraId="33613FB9" w14:textId="53713BF0" w:rsidR="00151DE4" w:rsidRPr="001B6954" w:rsidRDefault="00151DE4" w:rsidP="0003209D">
            <w:pPr>
              <w:pStyle w:val="CETBodytext"/>
              <w:jc w:val="center"/>
              <w:rPr>
                <w:color w:val="000000" w:themeColor="text1"/>
                <w:lang w:val="en-GB"/>
              </w:rPr>
            </w:pPr>
            <w:r w:rsidRPr="001B6954">
              <w:rPr>
                <w:color w:val="000000" w:themeColor="text1"/>
                <w:spacing w:val="-3"/>
                <w:lang w:val="ru-RU"/>
              </w:rPr>
              <w:t>315.46</w:t>
            </w:r>
          </w:p>
        </w:tc>
        <w:tc>
          <w:tcPr>
            <w:tcW w:w="1842" w:type="dxa"/>
            <w:tcBorders>
              <w:top w:val="nil"/>
              <w:left w:val="nil"/>
              <w:bottom w:val="nil"/>
              <w:right w:val="nil"/>
            </w:tcBorders>
            <w:vAlign w:val="center"/>
          </w:tcPr>
          <w:p w14:paraId="1FE659C7" w14:textId="626766CC"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399323.75</w:t>
            </w:r>
          </w:p>
        </w:tc>
        <w:tc>
          <w:tcPr>
            <w:tcW w:w="1843" w:type="dxa"/>
            <w:tcBorders>
              <w:top w:val="nil"/>
              <w:left w:val="nil"/>
              <w:bottom w:val="nil"/>
              <w:right w:val="nil"/>
            </w:tcBorders>
            <w:vAlign w:val="center"/>
          </w:tcPr>
          <w:p w14:paraId="630EF571" w14:textId="1F5BF0B1"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419318.17</w:t>
            </w:r>
          </w:p>
        </w:tc>
        <w:tc>
          <w:tcPr>
            <w:tcW w:w="1275" w:type="dxa"/>
            <w:tcBorders>
              <w:top w:val="nil"/>
              <w:left w:val="nil"/>
              <w:bottom w:val="nil"/>
              <w:right w:val="nil"/>
            </w:tcBorders>
            <w:vAlign w:val="center"/>
          </w:tcPr>
          <w:p w14:paraId="4FEADB33" w14:textId="5EB215C0"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19919.96</w:t>
            </w:r>
          </w:p>
        </w:tc>
        <w:tc>
          <w:tcPr>
            <w:tcW w:w="1134" w:type="dxa"/>
            <w:tcBorders>
              <w:top w:val="nil"/>
              <w:left w:val="nil"/>
              <w:bottom w:val="nil"/>
              <w:right w:val="nil"/>
            </w:tcBorders>
            <w:vAlign w:val="center"/>
          </w:tcPr>
          <w:p w14:paraId="7FE8039F" w14:textId="27C4D4C9"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4.75%</w:t>
            </w:r>
          </w:p>
        </w:tc>
      </w:tr>
      <w:tr w:rsidR="001B6954" w:rsidRPr="001B6954" w14:paraId="0EEB120D" w14:textId="77777777" w:rsidTr="00A25C02">
        <w:tc>
          <w:tcPr>
            <w:tcW w:w="1560" w:type="dxa"/>
            <w:tcBorders>
              <w:top w:val="nil"/>
              <w:left w:val="nil"/>
              <w:bottom w:val="nil"/>
              <w:right w:val="nil"/>
            </w:tcBorders>
            <w:vAlign w:val="center"/>
          </w:tcPr>
          <w:p w14:paraId="6445ABE4" w14:textId="0C868530" w:rsidR="00151DE4" w:rsidRPr="001B6954" w:rsidRDefault="00151DE4" w:rsidP="0003209D">
            <w:pPr>
              <w:pStyle w:val="CETBodytext"/>
              <w:jc w:val="center"/>
              <w:rPr>
                <w:color w:val="000000" w:themeColor="text1"/>
                <w:lang w:val="en-GB"/>
              </w:rPr>
            </w:pPr>
            <w:r w:rsidRPr="001B6954">
              <w:rPr>
                <w:color w:val="000000" w:themeColor="text1"/>
                <w:spacing w:val="-3"/>
              </w:rPr>
              <w:t>Wetlands</w:t>
            </w:r>
          </w:p>
        </w:tc>
        <w:tc>
          <w:tcPr>
            <w:tcW w:w="1134" w:type="dxa"/>
            <w:tcBorders>
              <w:top w:val="nil"/>
              <w:left w:val="nil"/>
              <w:bottom w:val="nil"/>
              <w:right w:val="nil"/>
            </w:tcBorders>
            <w:vAlign w:val="center"/>
          </w:tcPr>
          <w:p w14:paraId="5FE03414" w14:textId="490DC147" w:rsidR="00151DE4" w:rsidRPr="001B6954" w:rsidRDefault="00151DE4" w:rsidP="0003209D">
            <w:pPr>
              <w:pStyle w:val="CETBodytext"/>
              <w:jc w:val="center"/>
              <w:rPr>
                <w:color w:val="000000" w:themeColor="text1"/>
                <w:lang w:val="en-GB"/>
              </w:rPr>
            </w:pPr>
            <w:r w:rsidRPr="001B6954">
              <w:rPr>
                <w:color w:val="000000" w:themeColor="text1"/>
                <w:spacing w:val="-3"/>
                <w:lang w:val="ru-RU"/>
              </w:rPr>
              <w:t>5.83</w:t>
            </w:r>
          </w:p>
        </w:tc>
        <w:tc>
          <w:tcPr>
            <w:tcW w:w="1842" w:type="dxa"/>
            <w:tcBorders>
              <w:top w:val="nil"/>
              <w:left w:val="nil"/>
              <w:bottom w:val="nil"/>
              <w:right w:val="nil"/>
            </w:tcBorders>
            <w:vAlign w:val="center"/>
          </w:tcPr>
          <w:p w14:paraId="6469DB7C" w14:textId="64633BD3"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9769.17</w:t>
            </w:r>
          </w:p>
        </w:tc>
        <w:tc>
          <w:tcPr>
            <w:tcW w:w="1843" w:type="dxa"/>
            <w:tcBorders>
              <w:top w:val="nil"/>
              <w:left w:val="nil"/>
              <w:bottom w:val="nil"/>
              <w:right w:val="nil"/>
            </w:tcBorders>
            <w:vAlign w:val="center"/>
          </w:tcPr>
          <w:p w14:paraId="4C161EC7" w14:textId="2F97E70A"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9739.04</w:t>
            </w:r>
          </w:p>
        </w:tc>
        <w:tc>
          <w:tcPr>
            <w:tcW w:w="1275" w:type="dxa"/>
            <w:tcBorders>
              <w:top w:val="nil"/>
              <w:left w:val="nil"/>
              <w:bottom w:val="nil"/>
              <w:right w:val="nil"/>
            </w:tcBorders>
            <w:vAlign w:val="center"/>
          </w:tcPr>
          <w:p w14:paraId="07A7A65E" w14:textId="6ABCE5C2"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-31.09</w:t>
            </w:r>
          </w:p>
        </w:tc>
        <w:tc>
          <w:tcPr>
            <w:tcW w:w="1134" w:type="dxa"/>
            <w:tcBorders>
              <w:top w:val="nil"/>
              <w:left w:val="nil"/>
              <w:bottom w:val="nil"/>
              <w:right w:val="nil"/>
            </w:tcBorders>
            <w:vAlign w:val="center"/>
          </w:tcPr>
          <w:p w14:paraId="45A6111B" w14:textId="5698FA97"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-0.31%</w:t>
            </w:r>
          </w:p>
        </w:tc>
      </w:tr>
      <w:tr w:rsidR="001B6954" w:rsidRPr="001B6954" w14:paraId="42D2A359" w14:textId="77777777" w:rsidTr="00A25C02">
        <w:tc>
          <w:tcPr>
            <w:tcW w:w="1560" w:type="dxa"/>
            <w:tcBorders>
              <w:top w:val="nil"/>
              <w:left w:val="nil"/>
              <w:bottom w:val="nil"/>
              <w:right w:val="nil"/>
            </w:tcBorders>
            <w:vAlign w:val="center"/>
          </w:tcPr>
          <w:p w14:paraId="6B203D02" w14:textId="2F56A007" w:rsidR="00151DE4" w:rsidRPr="001B6954" w:rsidRDefault="00151DE4" w:rsidP="0003209D">
            <w:pPr>
              <w:pStyle w:val="CETBodytext"/>
              <w:jc w:val="center"/>
              <w:rPr>
                <w:color w:val="000000" w:themeColor="text1"/>
                <w:lang w:val="en-GB"/>
              </w:rPr>
            </w:pPr>
            <w:r w:rsidRPr="001B6954">
              <w:rPr>
                <w:color w:val="000000" w:themeColor="text1"/>
                <w:spacing w:val="-3"/>
              </w:rPr>
              <w:t>Artificial areas</w:t>
            </w:r>
          </w:p>
        </w:tc>
        <w:tc>
          <w:tcPr>
            <w:tcW w:w="1134" w:type="dxa"/>
            <w:tcBorders>
              <w:top w:val="nil"/>
              <w:left w:val="nil"/>
              <w:bottom w:val="nil"/>
              <w:right w:val="nil"/>
            </w:tcBorders>
            <w:vAlign w:val="center"/>
          </w:tcPr>
          <w:p w14:paraId="4ED17015" w14:textId="7CCC0227" w:rsidR="00151DE4" w:rsidRPr="001B6954" w:rsidRDefault="00151DE4" w:rsidP="0003209D">
            <w:pPr>
              <w:pStyle w:val="CETBodytext"/>
              <w:jc w:val="center"/>
              <w:rPr>
                <w:color w:val="000000" w:themeColor="text1"/>
                <w:lang w:val="en-GB"/>
              </w:rPr>
            </w:pPr>
            <w:r w:rsidRPr="001B6954">
              <w:rPr>
                <w:color w:val="000000" w:themeColor="text1"/>
                <w:spacing w:val="-3"/>
                <w:lang w:val="ru-RU"/>
              </w:rPr>
              <w:t>1.48</w:t>
            </w:r>
          </w:p>
        </w:tc>
        <w:tc>
          <w:tcPr>
            <w:tcW w:w="1842" w:type="dxa"/>
            <w:tcBorders>
              <w:top w:val="nil"/>
              <w:left w:val="nil"/>
              <w:bottom w:val="nil"/>
              <w:right w:val="nil"/>
            </w:tcBorders>
            <w:vAlign w:val="center"/>
          </w:tcPr>
          <w:p w14:paraId="657B7723" w14:textId="5C701748"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1551.37</w:t>
            </w:r>
          </w:p>
        </w:tc>
        <w:tc>
          <w:tcPr>
            <w:tcW w:w="1843" w:type="dxa"/>
            <w:tcBorders>
              <w:top w:val="nil"/>
              <w:left w:val="nil"/>
              <w:bottom w:val="nil"/>
              <w:right w:val="nil"/>
            </w:tcBorders>
            <w:vAlign w:val="center"/>
          </w:tcPr>
          <w:p w14:paraId="4C967353" w14:textId="73572A0A"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1842.30</w:t>
            </w:r>
          </w:p>
        </w:tc>
        <w:tc>
          <w:tcPr>
            <w:tcW w:w="1275" w:type="dxa"/>
            <w:tcBorders>
              <w:top w:val="nil"/>
              <w:left w:val="nil"/>
              <w:bottom w:val="nil"/>
              <w:right w:val="nil"/>
            </w:tcBorders>
            <w:vAlign w:val="center"/>
          </w:tcPr>
          <w:p w14:paraId="42D3096C" w14:textId="5289C56C"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290.28</w:t>
            </w:r>
          </w:p>
        </w:tc>
        <w:tc>
          <w:tcPr>
            <w:tcW w:w="1134" w:type="dxa"/>
            <w:tcBorders>
              <w:top w:val="nil"/>
              <w:left w:val="nil"/>
              <w:bottom w:val="nil"/>
              <w:right w:val="nil"/>
            </w:tcBorders>
            <w:vAlign w:val="center"/>
          </w:tcPr>
          <w:p w14:paraId="351D5F02" w14:textId="43609EA5"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15.75%</w:t>
            </w:r>
          </w:p>
        </w:tc>
      </w:tr>
      <w:tr w:rsidR="001B6954" w:rsidRPr="001B6954" w14:paraId="568516C4" w14:textId="77777777" w:rsidTr="00A25C02">
        <w:tc>
          <w:tcPr>
            <w:tcW w:w="1560" w:type="dxa"/>
            <w:tcBorders>
              <w:top w:val="nil"/>
              <w:left w:val="nil"/>
              <w:bottom w:val="single" w:sz="12" w:space="0" w:color="auto"/>
              <w:right w:val="nil"/>
            </w:tcBorders>
            <w:vAlign w:val="center"/>
          </w:tcPr>
          <w:p w14:paraId="25D15C15" w14:textId="277612BB" w:rsidR="00151DE4" w:rsidRPr="001B6954" w:rsidRDefault="00151DE4" w:rsidP="0003209D">
            <w:pPr>
              <w:pStyle w:val="CETBodytext"/>
              <w:jc w:val="center"/>
              <w:rPr>
                <w:color w:val="000000" w:themeColor="text1"/>
                <w:lang w:val="en-GB"/>
              </w:rPr>
            </w:pPr>
            <w:r w:rsidRPr="001B6954">
              <w:rPr>
                <w:color w:val="000000" w:themeColor="text1"/>
                <w:spacing w:val="-3"/>
              </w:rPr>
              <w:t>Other lands</w:t>
            </w:r>
          </w:p>
        </w:tc>
        <w:tc>
          <w:tcPr>
            <w:tcW w:w="1134" w:type="dxa"/>
            <w:tcBorders>
              <w:top w:val="nil"/>
              <w:left w:val="nil"/>
              <w:bottom w:val="single" w:sz="12" w:space="0" w:color="auto"/>
              <w:right w:val="nil"/>
            </w:tcBorders>
            <w:vAlign w:val="center"/>
          </w:tcPr>
          <w:p w14:paraId="6BC667CB" w14:textId="19F15E18" w:rsidR="00151DE4" w:rsidRPr="001B6954" w:rsidRDefault="00151DE4" w:rsidP="0003209D">
            <w:pPr>
              <w:pStyle w:val="CETBodytext"/>
              <w:jc w:val="center"/>
              <w:rPr>
                <w:color w:val="000000" w:themeColor="text1"/>
                <w:lang w:val="en-GB"/>
              </w:rPr>
            </w:pPr>
            <w:r w:rsidRPr="001B6954">
              <w:rPr>
                <w:color w:val="000000" w:themeColor="text1"/>
                <w:spacing w:val="-3"/>
                <w:lang w:val="ru-RU"/>
              </w:rPr>
              <w:t>19.40</w:t>
            </w:r>
          </w:p>
        </w:tc>
        <w:tc>
          <w:tcPr>
            <w:tcW w:w="1842" w:type="dxa"/>
            <w:tcBorders>
              <w:top w:val="nil"/>
              <w:left w:val="nil"/>
              <w:bottom w:val="single" w:sz="12" w:space="0" w:color="auto"/>
              <w:right w:val="nil"/>
            </w:tcBorders>
            <w:vAlign w:val="center"/>
          </w:tcPr>
          <w:p w14:paraId="5D044186" w14:textId="771CB0C0"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18941.14</w:t>
            </w:r>
          </w:p>
        </w:tc>
        <w:tc>
          <w:tcPr>
            <w:tcW w:w="1843" w:type="dxa"/>
            <w:tcBorders>
              <w:top w:val="nil"/>
              <w:left w:val="nil"/>
              <w:bottom w:val="single" w:sz="12" w:space="0" w:color="auto"/>
              <w:right w:val="nil"/>
            </w:tcBorders>
            <w:vAlign w:val="center"/>
          </w:tcPr>
          <w:p w14:paraId="07529AE2" w14:textId="2D6BC1E9"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17673.22</w:t>
            </w:r>
          </w:p>
        </w:tc>
        <w:tc>
          <w:tcPr>
            <w:tcW w:w="1275" w:type="dxa"/>
            <w:tcBorders>
              <w:top w:val="nil"/>
              <w:left w:val="nil"/>
              <w:bottom w:val="single" w:sz="12" w:space="0" w:color="auto"/>
              <w:right w:val="nil"/>
            </w:tcBorders>
            <w:vAlign w:val="center"/>
          </w:tcPr>
          <w:p w14:paraId="070C847B" w14:textId="45E8E367"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-1267.76</w:t>
            </w:r>
          </w:p>
        </w:tc>
        <w:tc>
          <w:tcPr>
            <w:tcW w:w="1134" w:type="dxa"/>
            <w:tcBorders>
              <w:top w:val="nil"/>
              <w:left w:val="nil"/>
              <w:bottom w:val="single" w:sz="12" w:space="0" w:color="auto"/>
              <w:right w:val="nil"/>
            </w:tcBorders>
            <w:vAlign w:val="center"/>
          </w:tcPr>
          <w:p w14:paraId="064314E4" w14:textId="5967C158"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-7.17%</w:t>
            </w:r>
          </w:p>
        </w:tc>
      </w:tr>
      <w:tr w:rsidR="00A25C02" w:rsidRPr="001B6954" w14:paraId="673F3AD0" w14:textId="77777777" w:rsidTr="00A25C02">
        <w:tc>
          <w:tcPr>
            <w:tcW w:w="1560" w:type="dxa"/>
            <w:tcBorders>
              <w:top w:val="nil"/>
              <w:left w:val="nil"/>
              <w:bottom w:val="single" w:sz="12" w:space="0" w:color="auto"/>
              <w:right w:val="nil"/>
            </w:tcBorders>
            <w:vAlign w:val="center"/>
          </w:tcPr>
          <w:p w14:paraId="4AC72FEC" w14:textId="1C9FBCBA"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rPr>
              <w:t>Total:</w:t>
            </w:r>
          </w:p>
        </w:tc>
        <w:tc>
          <w:tcPr>
            <w:tcW w:w="1134" w:type="dxa"/>
            <w:tcBorders>
              <w:top w:val="nil"/>
              <w:left w:val="nil"/>
              <w:bottom w:val="single" w:sz="12" w:space="0" w:color="auto"/>
              <w:right w:val="nil"/>
            </w:tcBorders>
            <w:vAlign w:val="center"/>
          </w:tcPr>
          <w:p w14:paraId="56865EF4" w14:textId="2B1C524A"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1747.86</w:t>
            </w:r>
          </w:p>
        </w:tc>
        <w:tc>
          <w:tcPr>
            <w:tcW w:w="1842" w:type="dxa"/>
            <w:tcBorders>
              <w:top w:val="nil"/>
              <w:left w:val="nil"/>
              <w:bottom w:val="single" w:sz="12" w:space="0" w:color="auto"/>
              <w:right w:val="nil"/>
            </w:tcBorders>
            <w:vAlign w:val="center"/>
          </w:tcPr>
          <w:p w14:paraId="17D1238E" w14:textId="49F9CE44"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2108101.89</w:t>
            </w:r>
          </w:p>
        </w:tc>
        <w:tc>
          <w:tcPr>
            <w:tcW w:w="1843" w:type="dxa"/>
            <w:tcBorders>
              <w:top w:val="nil"/>
              <w:left w:val="nil"/>
              <w:bottom w:val="single" w:sz="12" w:space="0" w:color="auto"/>
              <w:right w:val="nil"/>
            </w:tcBorders>
            <w:vAlign w:val="center"/>
          </w:tcPr>
          <w:p w14:paraId="4D4DBFB3" w14:textId="109438EC"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2109977.28</w:t>
            </w:r>
          </w:p>
        </w:tc>
        <w:tc>
          <w:tcPr>
            <w:tcW w:w="1275" w:type="dxa"/>
            <w:tcBorders>
              <w:top w:val="nil"/>
              <w:left w:val="nil"/>
              <w:bottom w:val="single" w:sz="12" w:space="0" w:color="auto"/>
              <w:right w:val="nil"/>
            </w:tcBorders>
            <w:vAlign w:val="center"/>
          </w:tcPr>
          <w:p w14:paraId="3AC009F3" w14:textId="5B07C8EA" w:rsidR="00151DE4" w:rsidRPr="001B6954" w:rsidRDefault="00151DE4" w:rsidP="0003209D">
            <w:pPr>
              <w:pStyle w:val="CETBodytext"/>
              <w:ind w:right="-1"/>
              <w:jc w:val="center"/>
              <w:rPr>
                <w:rFonts w:cs="Arial"/>
                <w:color w:val="000000" w:themeColor="text1"/>
                <w:szCs w:val="18"/>
                <w:lang w:val="en-GB"/>
              </w:rPr>
            </w:pPr>
            <w:r w:rsidRPr="001B6954">
              <w:rPr>
                <w:color w:val="000000" w:themeColor="text1"/>
                <w:spacing w:val="-3"/>
                <w:lang w:val="ru-RU"/>
              </w:rPr>
              <w:t>1655.22</w:t>
            </w:r>
          </w:p>
        </w:tc>
        <w:tc>
          <w:tcPr>
            <w:tcW w:w="1134" w:type="dxa"/>
            <w:tcBorders>
              <w:top w:val="nil"/>
              <w:left w:val="nil"/>
              <w:bottom w:val="single" w:sz="12" w:space="0" w:color="auto"/>
              <w:right w:val="nil"/>
            </w:tcBorders>
            <w:vAlign w:val="center"/>
          </w:tcPr>
          <w:p w14:paraId="744A7389" w14:textId="77777777" w:rsidR="00151DE4" w:rsidRPr="001B6954" w:rsidRDefault="00151DE4" w:rsidP="0003209D">
            <w:pPr>
              <w:pStyle w:val="CETBodytext"/>
              <w:ind w:right="-1"/>
              <w:jc w:val="center"/>
              <w:rPr>
                <w:rFonts w:cs="Arial"/>
                <w:color w:val="000000" w:themeColor="text1"/>
                <w:szCs w:val="18"/>
                <w:lang w:val="en-GB"/>
              </w:rPr>
            </w:pPr>
          </w:p>
        </w:tc>
      </w:tr>
    </w:tbl>
    <w:p w14:paraId="1C1C3FAE" w14:textId="1456B191" w:rsidR="0003209D" w:rsidRPr="001B6954" w:rsidRDefault="0003209D" w:rsidP="0003209D">
      <w:pPr>
        <w:pStyle w:val="CETTabletitle"/>
        <w:rPr>
          <w:color w:val="000000" w:themeColor="text1"/>
        </w:rPr>
      </w:pPr>
      <w:r w:rsidRPr="001B6954">
        <w:rPr>
          <w:color w:val="000000" w:themeColor="text1"/>
        </w:rPr>
        <w:t xml:space="preserve">Table </w:t>
      </w:r>
      <w:r w:rsidR="00DE3B29" w:rsidRPr="001B6954">
        <w:rPr>
          <w:color w:val="000000" w:themeColor="text1"/>
        </w:rPr>
        <w:t>3</w:t>
      </w:r>
      <w:r w:rsidRPr="001B6954">
        <w:rPr>
          <w:color w:val="000000" w:themeColor="text1"/>
        </w:rPr>
        <w:t xml:space="preserve">: </w:t>
      </w:r>
      <w:r w:rsidR="00DE3B29" w:rsidRPr="001B6954">
        <w:rPr>
          <w:color w:val="000000" w:themeColor="text1"/>
        </w:rPr>
        <w:t>Change in soil organic C from the initial level to the target level depending on the type of land cover transition (percentage of initial stock)</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134"/>
        <w:gridCol w:w="1134"/>
        <w:gridCol w:w="1134"/>
        <w:gridCol w:w="1134"/>
        <w:gridCol w:w="1276"/>
        <w:gridCol w:w="1134"/>
      </w:tblGrid>
      <w:tr w:rsidR="001B6954" w:rsidRPr="001B6954" w14:paraId="31EE142A" w14:textId="77777777" w:rsidTr="00DE3B29">
        <w:tc>
          <w:tcPr>
            <w:tcW w:w="1843" w:type="dxa"/>
            <w:tcBorders>
              <w:top w:val="single" w:sz="12" w:space="0" w:color="auto"/>
              <w:left w:val="nil"/>
              <w:bottom w:val="single" w:sz="6" w:space="0" w:color="auto"/>
              <w:right w:val="nil"/>
            </w:tcBorders>
            <w:vAlign w:val="center"/>
          </w:tcPr>
          <w:p w14:paraId="6EEDD1FF" w14:textId="77777777" w:rsidR="0003209D" w:rsidRPr="001B6954" w:rsidRDefault="0003209D" w:rsidP="0003209D">
            <w:pPr>
              <w:pStyle w:val="CETBodytext"/>
              <w:jc w:val="center"/>
              <w:rPr>
                <w:color w:val="000000" w:themeColor="text1"/>
                <w:lang w:val="en-GB"/>
              </w:rPr>
            </w:pPr>
          </w:p>
        </w:tc>
        <w:tc>
          <w:tcPr>
            <w:tcW w:w="1134" w:type="dxa"/>
            <w:tcBorders>
              <w:top w:val="single" w:sz="12" w:space="0" w:color="auto"/>
              <w:left w:val="nil"/>
              <w:bottom w:val="single" w:sz="6" w:space="0" w:color="auto"/>
              <w:right w:val="nil"/>
            </w:tcBorders>
            <w:vAlign w:val="center"/>
          </w:tcPr>
          <w:p w14:paraId="309E2E9E" w14:textId="68196AB0" w:rsidR="0003209D" w:rsidRPr="001B6954" w:rsidRDefault="0003209D" w:rsidP="0003209D">
            <w:pPr>
              <w:pStyle w:val="CETBodytext"/>
              <w:jc w:val="center"/>
              <w:rPr>
                <w:color w:val="000000" w:themeColor="text1"/>
                <w:lang w:val="en-GB"/>
              </w:rPr>
            </w:pPr>
            <w:r w:rsidRPr="001B6954">
              <w:rPr>
                <w:color w:val="000000" w:themeColor="text1"/>
                <w:spacing w:val="-3"/>
              </w:rPr>
              <w:t>Tree-covered areas</w:t>
            </w:r>
          </w:p>
        </w:tc>
        <w:tc>
          <w:tcPr>
            <w:tcW w:w="1134" w:type="dxa"/>
            <w:tcBorders>
              <w:top w:val="single" w:sz="12" w:space="0" w:color="auto"/>
              <w:left w:val="nil"/>
              <w:bottom w:val="single" w:sz="6" w:space="0" w:color="auto"/>
              <w:right w:val="nil"/>
            </w:tcBorders>
            <w:vAlign w:val="center"/>
          </w:tcPr>
          <w:p w14:paraId="2693611B" w14:textId="6052F03F" w:rsidR="0003209D" w:rsidRPr="001B6954" w:rsidRDefault="0003209D" w:rsidP="0003209D">
            <w:pPr>
              <w:pStyle w:val="CETBodytext"/>
              <w:jc w:val="center"/>
              <w:rPr>
                <w:color w:val="000000" w:themeColor="text1"/>
                <w:lang w:val="en-GB"/>
              </w:rPr>
            </w:pPr>
            <w:r w:rsidRPr="001B6954">
              <w:rPr>
                <w:color w:val="000000" w:themeColor="text1"/>
                <w:spacing w:val="-3"/>
              </w:rPr>
              <w:t>Grasslands</w:t>
            </w:r>
          </w:p>
        </w:tc>
        <w:tc>
          <w:tcPr>
            <w:tcW w:w="1134" w:type="dxa"/>
            <w:tcBorders>
              <w:top w:val="single" w:sz="12" w:space="0" w:color="auto"/>
              <w:left w:val="nil"/>
              <w:bottom w:val="single" w:sz="6" w:space="0" w:color="auto"/>
              <w:right w:val="nil"/>
            </w:tcBorders>
            <w:vAlign w:val="center"/>
          </w:tcPr>
          <w:p w14:paraId="7F010DBD" w14:textId="31C1F2BF"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Croplands</w:t>
            </w:r>
          </w:p>
        </w:tc>
        <w:tc>
          <w:tcPr>
            <w:tcW w:w="1134" w:type="dxa"/>
            <w:tcBorders>
              <w:top w:val="single" w:sz="12" w:space="0" w:color="auto"/>
              <w:left w:val="nil"/>
              <w:bottom w:val="single" w:sz="6" w:space="0" w:color="auto"/>
              <w:right w:val="nil"/>
            </w:tcBorders>
            <w:vAlign w:val="center"/>
          </w:tcPr>
          <w:p w14:paraId="6679100E" w14:textId="6E5B6D45"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Wetlands</w:t>
            </w:r>
          </w:p>
        </w:tc>
        <w:tc>
          <w:tcPr>
            <w:tcW w:w="1276" w:type="dxa"/>
            <w:tcBorders>
              <w:top w:val="single" w:sz="12" w:space="0" w:color="auto"/>
              <w:left w:val="nil"/>
              <w:bottom w:val="single" w:sz="6" w:space="0" w:color="auto"/>
              <w:right w:val="nil"/>
            </w:tcBorders>
            <w:vAlign w:val="center"/>
          </w:tcPr>
          <w:p w14:paraId="4D69E7CA" w14:textId="5D340D0F" w:rsidR="0003209D" w:rsidRPr="001B6954" w:rsidRDefault="0003209D" w:rsidP="0003209D">
            <w:pPr>
              <w:pStyle w:val="CETBodytext"/>
              <w:ind w:right="-1"/>
              <w:jc w:val="center"/>
              <w:rPr>
                <w:color w:val="000000" w:themeColor="text1"/>
                <w:lang w:val="en-GB"/>
              </w:rPr>
            </w:pPr>
            <w:r w:rsidRPr="001B6954">
              <w:rPr>
                <w:color w:val="000000" w:themeColor="text1"/>
                <w:spacing w:val="-3"/>
              </w:rPr>
              <w:t>Artificial areas</w:t>
            </w:r>
          </w:p>
        </w:tc>
        <w:tc>
          <w:tcPr>
            <w:tcW w:w="1134" w:type="dxa"/>
            <w:tcBorders>
              <w:top w:val="single" w:sz="12" w:space="0" w:color="auto"/>
              <w:left w:val="nil"/>
              <w:bottom w:val="single" w:sz="6" w:space="0" w:color="auto"/>
              <w:right w:val="nil"/>
            </w:tcBorders>
            <w:vAlign w:val="center"/>
          </w:tcPr>
          <w:p w14:paraId="72EE1023" w14:textId="7F05ACEB" w:rsidR="0003209D" w:rsidRPr="001B6954" w:rsidRDefault="0003209D" w:rsidP="0003209D">
            <w:pPr>
              <w:pStyle w:val="CETBodytext"/>
              <w:ind w:right="-1"/>
              <w:jc w:val="center"/>
              <w:rPr>
                <w:color w:val="000000" w:themeColor="text1"/>
                <w:lang w:val="en-GB"/>
              </w:rPr>
            </w:pPr>
            <w:r w:rsidRPr="001B6954">
              <w:rPr>
                <w:color w:val="000000" w:themeColor="text1"/>
                <w:spacing w:val="-3"/>
              </w:rPr>
              <w:t>Other lands</w:t>
            </w:r>
          </w:p>
        </w:tc>
      </w:tr>
      <w:tr w:rsidR="001B6954" w:rsidRPr="001B6954" w14:paraId="511A9178" w14:textId="77777777" w:rsidTr="00DE3B29">
        <w:tc>
          <w:tcPr>
            <w:tcW w:w="1843" w:type="dxa"/>
            <w:tcBorders>
              <w:top w:val="nil"/>
              <w:left w:val="nil"/>
              <w:bottom w:val="nil"/>
              <w:right w:val="nil"/>
            </w:tcBorders>
            <w:vAlign w:val="center"/>
          </w:tcPr>
          <w:p w14:paraId="15885611" w14:textId="61B1520C" w:rsidR="0003209D" w:rsidRPr="001B6954" w:rsidRDefault="0003209D" w:rsidP="0003209D">
            <w:pPr>
              <w:pStyle w:val="CETBodytext"/>
              <w:jc w:val="center"/>
              <w:rPr>
                <w:color w:val="000000" w:themeColor="text1"/>
                <w:lang w:val="en-GB"/>
              </w:rPr>
            </w:pPr>
            <w:r w:rsidRPr="001B6954">
              <w:rPr>
                <w:color w:val="000000" w:themeColor="text1"/>
                <w:spacing w:val="-3"/>
              </w:rPr>
              <w:t>Tree-covered areas</w:t>
            </w:r>
          </w:p>
        </w:tc>
        <w:tc>
          <w:tcPr>
            <w:tcW w:w="1134" w:type="dxa"/>
            <w:tcBorders>
              <w:top w:val="nil"/>
              <w:left w:val="nil"/>
              <w:bottom w:val="nil"/>
              <w:right w:val="nil"/>
            </w:tcBorders>
            <w:vAlign w:val="center"/>
          </w:tcPr>
          <w:p w14:paraId="2A5A969B" w14:textId="6D180949" w:rsidR="0003209D" w:rsidRPr="001B6954" w:rsidRDefault="0003209D" w:rsidP="0003209D">
            <w:pPr>
              <w:pStyle w:val="CETBodytext"/>
              <w:jc w:val="center"/>
              <w:rPr>
                <w:color w:val="000000" w:themeColor="text1"/>
                <w:lang w:val="en-GB"/>
              </w:rPr>
            </w:pPr>
            <w:r w:rsidRPr="001B6954">
              <w:rPr>
                <w:color w:val="000000" w:themeColor="text1"/>
                <w:spacing w:val="-3"/>
              </w:rPr>
              <w:t>0.00%</w:t>
            </w:r>
          </w:p>
        </w:tc>
        <w:tc>
          <w:tcPr>
            <w:tcW w:w="1134" w:type="dxa"/>
            <w:tcBorders>
              <w:top w:val="nil"/>
              <w:left w:val="nil"/>
              <w:bottom w:val="nil"/>
              <w:right w:val="nil"/>
            </w:tcBorders>
            <w:vAlign w:val="center"/>
          </w:tcPr>
          <w:p w14:paraId="70507646" w14:textId="1A80D41A" w:rsidR="0003209D" w:rsidRPr="001B6954" w:rsidRDefault="0003209D" w:rsidP="0003209D">
            <w:pPr>
              <w:pStyle w:val="CETBodytext"/>
              <w:jc w:val="center"/>
              <w:rPr>
                <w:color w:val="000000" w:themeColor="text1"/>
                <w:lang w:val="en-GB"/>
              </w:rPr>
            </w:pPr>
            <w:r w:rsidRPr="001B6954">
              <w:rPr>
                <w:color w:val="000000" w:themeColor="text1"/>
                <w:spacing w:val="-3"/>
              </w:rPr>
              <w:t>0.00%</w:t>
            </w:r>
          </w:p>
        </w:tc>
        <w:tc>
          <w:tcPr>
            <w:tcW w:w="1134" w:type="dxa"/>
            <w:tcBorders>
              <w:top w:val="nil"/>
              <w:left w:val="nil"/>
              <w:bottom w:val="nil"/>
              <w:right w:val="nil"/>
            </w:tcBorders>
            <w:vAlign w:val="center"/>
          </w:tcPr>
          <w:p w14:paraId="59D63D96" w14:textId="00B96128"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-3.80%</w:t>
            </w:r>
          </w:p>
        </w:tc>
        <w:tc>
          <w:tcPr>
            <w:tcW w:w="1134" w:type="dxa"/>
            <w:tcBorders>
              <w:top w:val="nil"/>
              <w:left w:val="nil"/>
              <w:bottom w:val="nil"/>
              <w:right w:val="nil"/>
            </w:tcBorders>
            <w:vAlign w:val="center"/>
          </w:tcPr>
          <w:p w14:paraId="0B057B89" w14:textId="05794560"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0.00%</w:t>
            </w:r>
          </w:p>
        </w:tc>
        <w:tc>
          <w:tcPr>
            <w:tcW w:w="1276" w:type="dxa"/>
            <w:tcBorders>
              <w:top w:val="nil"/>
              <w:left w:val="nil"/>
              <w:bottom w:val="nil"/>
              <w:right w:val="nil"/>
            </w:tcBorders>
            <w:vAlign w:val="center"/>
          </w:tcPr>
          <w:p w14:paraId="6C60FAA7" w14:textId="4A1265B6"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-18.53%</w:t>
            </w:r>
          </w:p>
        </w:tc>
        <w:tc>
          <w:tcPr>
            <w:tcW w:w="1134" w:type="dxa"/>
            <w:tcBorders>
              <w:top w:val="nil"/>
              <w:left w:val="nil"/>
              <w:bottom w:val="nil"/>
              <w:right w:val="nil"/>
            </w:tcBorders>
            <w:vAlign w:val="center"/>
          </w:tcPr>
          <w:p w14:paraId="5F7CC83C" w14:textId="036CEF2F"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-12.92%</w:t>
            </w:r>
          </w:p>
        </w:tc>
      </w:tr>
      <w:tr w:rsidR="001B6954" w:rsidRPr="001B6954" w14:paraId="1D8A9955" w14:textId="77777777" w:rsidTr="00DE3B29">
        <w:tc>
          <w:tcPr>
            <w:tcW w:w="1843" w:type="dxa"/>
            <w:tcBorders>
              <w:top w:val="nil"/>
              <w:left w:val="nil"/>
              <w:bottom w:val="nil"/>
              <w:right w:val="nil"/>
            </w:tcBorders>
            <w:vAlign w:val="center"/>
          </w:tcPr>
          <w:p w14:paraId="034B831C" w14:textId="4BA5351B" w:rsidR="0003209D" w:rsidRPr="001B6954" w:rsidRDefault="0003209D" w:rsidP="0003209D">
            <w:pPr>
              <w:pStyle w:val="CETBodytext"/>
              <w:jc w:val="center"/>
              <w:rPr>
                <w:color w:val="000000" w:themeColor="text1"/>
                <w:lang w:val="en-GB"/>
              </w:rPr>
            </w:pPr>
            <w:r w:rsidRPr="001B6954">
              <w:rPr>
                <w:color w:val="000000" w:themeColor="text1"/>
                <w:spacing w:val="-3"/>
              </w:rPr>
              <w:t>Grasslands</w:t>
            </w:r>
          </w:p>
        </w:tc>
        <w:tc>
          <w:tcPr>
            <w:tcW w:w="1134" w:type="dxa"/>
            <w:tcBorders>
              <w:top w:val="nil"/>
              <w:left w:val="nil"/>
              <w:bottom w:val="nil"/>
              <w:right w:val="nil"/>
            </w:tcBorders>
            <w:vAlign w:val="center"/>
          </w:tcPr>
          <w:p w14:paraId="02F18CD6" w14:textId="57D9DA19" w:rsidR="0003209D" w:rsidRPr="001B6954" w:rsidRDefault="0003209D" w:rsidP="0003209D">
            <w:pPr>
              <w:pStyle w:val="CETBodytext"/>
              <w:jc w:val="center"/>
              <w:rPr>
                <w:color w:val="000000" w:themeColor="text1"/>
                <w:lang w:val="en-GB"/>
              </w:rPr>
            </w:pPr>
            <w:r w:rsidRPr="001B6954">
              <w:rPr>
                <w:color w:val="000000" w:themeColor="text1"/>
                <w:spacing w:val="-3"/>
              </w:rPr>
              <w:t>0.00%</w:t>
            </w:r>
          </w:p>
        </w:tc>
        <w:tc>
          <w:tcPr>
            <w:tcW w:w="1134" w:type="dxa"/>
            <w:tcBorders>
              <w:top w:val="nil"/>
              <w:left w:val="nil"/>
              <w:bottom w:val="nil"/>
              <w:right w:val="nil"/>
            </w:tcBorders>
            <w:vAlign w:val="center"/>
          </w:tcPr>
          <w:p w14:paraId="07B4A20C" w14:textId="60B963E2" w:rsidR="0003209D" w:rsidRPr="001B6954" w:rsidRDefault="0003209D" w:rsidP="0003209D">
            <w:pPr>
              <w:pStyle w:val="CETBodytext"/>
              <w:jc w:val="center"/>
              <w:rPr>
                <w:color w:val="000000" w:themeColor="text1"/>
                <w:lang w:val="en-GB"/>
              </w:rPr>
            </w:pPr>
            <w:r w:rsidRPr="001B6954">
              <w:rPr>
                <w:color w:val="000000" w:themeColor="text1"/>
                <w:spacing w:val="-3"/>
              </w:rPr>
              <w:t>0.00%</w:t>
            </w:r>
          </w:p>
        </w:tc>
        <w:tc>
          <w:tcPr>
            <w:tcW w:w="1134" w:type="dxa"/>
            <w:tcBorders>
              <w:top w:val="nil"/>
              <w:left w:val="nil"/>
              <w:bottom w:val="nil"/>
              <w:right w:val="nil"/>
            </w:tcBorders>
            <w:vAlign w:val="center"/>
          </w:tcPr>
          <w:p w14:paraId="37B96898" w14:textId="17FBD996"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-3.15%</w:t>
            </w:r>
          </w:p>
        </w:tc>
        <w:tc>
          <w:tcPr>
            <w:tcW w:w="1134" w:type="dxa"/>
            <w:tcBorders>
              <w:top w:val="nil"/>
              <w:left w:val="nil"/>
              <w:bottom w:val="nil"/>
              <w:right w:val="nil"/>
            </w:tcBorders>
            <w:vAlign w:val="center"/>
          </w:tcPr>
          <w:p w14:paraId="5EEE50F3" w14:textId="5C71208E"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lang w:val="kk-KZ"/>
              </w:rPr>
              <w:t>-</w:t>
            </w:r>
          </w:p>
        </w:tc>
        <w:tc>
          <w:tcPr>
            <w:tcW w:w="1276" w:type="dxa"/>
            <w:tcBorders>
              <w:top w:val="nil"/>
              <w:left w:val="nil"/>
              <w:bottom w:val="nil"/>
              <w:right w:val="nil"/>
            </w:tcBorders>
            <w:vAlign w:val="center"/>
          </w:tcPr>
          <w:p w14:paraId="77A457B6" w14:textId="02FD6BB4"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-14.94%</w:t>
            </w:r>
          </w:p>
        </w:tc>
        <w:tc>
          <w:tcPr>
            <w:tcW w:w="1134" w:type="dxa"/>
            <w:tcBorders>
              <w:top w:val="nil"/>
              <w:left w:val="nil"/>
              <w:bottom w:val="nil"/>
              <w:right w:val="nil"/>
            </w:tcBorders>
            <w:vAlign w:val="center"/>
          </w:tcPr>
          <w:p w14:paraId="76C5CE5C" w14:textId="1FAAB142"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-16.80%</w:t>
            </w:r>
          </w:p>
        </w:tc>
      </w:tr>
      <w:tr w:rsidR="001B6954" w:rsidRPr="001B6954" w14:paraId="241C6DF5" w14:textId="77777777" w:rsidTr="00DE3B29">
        <w:tc>
          <w:tcPr>
            <w:tcW w:w="1843" w:type="dxa"/>
            <w:tcBorders>
              <w:top w:val="nil"/>
              <w:left w:val="nil"/>
              <w:bottom w:val="nil"/>
              <w:right w:val="nil"/>
            </w:tcBorders>
            <w:vAlign w:val="center"/>
          </w:tcPr>
          <w:p w14:paraId="692919BC" w14:textId="41FB3370" w:rsidR="0003209D" w:rsidRPr="001B6954" w:rsidRDefault="0003209D" w:rsidP="0003209D">
            <w:pPr>
              <w:pStyle w:val="CETBodytext"/>
              <w:jc w:val="center"/>
              <w:rPr>
                <w:color w:val="000000" w:themeColor="text1"/>
                <w:lang w:val="en-GB"/>
              </w:rPr>
            </w:pPr>
            <w:r w:rsidRPr="001B6954">
              <w:rPr>
                <w:color w:val="000000" w:themeColor="text1"/>
                <w:spacing w:val="-3"/>
              </w:rPr>
              <w:t>Croplands</w:t>
            </w:r>
          </w:p>
        </w:tc>
        <w:tc>
          <w:tcPr>
            <w:tcW w:w="1134" w:type="dxa"/>
            <w:tcBorders>
              <w:top w:val="nil"/>
              <w:left w:val="nil"/>
              <w:bottom w:val="nil"/>
              <w:right w:val="nil"/>
            </w:tcBorders>
            <w:vAlign w:val="center"/>
          </w:tcPr>
          <w:p w14:paraId="68CD228D" w14:textId="27DC13DC" w:rsidR="0003209D" w:rsidRPr="001B6954" w:rsidRDefault="0003209D" w:rsidP="0003209D">
            <w:pPr>
              <w:pStyle w:val="CETBodytext"/>
              <w:jc w:val="center"/>
              <w:rPr>
                <w:color w:val="000000" w:themeColor="text1"/>
                <w:lang w:val="en-GB"/>
              </w:rPr>
            </w:pPr>
            <w:r w:rsidRPr="001B6954">
              <w:rPr>
                <w:color w:val="000000" w:themeColor="text1"/>
                <w:spacing w:val="-3"/>
              </w:rPr>
              <w:t>4.62%</w:t>
            </w:r>
          </w:p>
        </w:tc>
        <w:tc>
          <w:tcPr>
            <w:tcW w:w="1134" w:type="dxa"/>
            <w:tcBorders>
              <w:top w:val="nil"/>
              <w:left w:val="nil"/>
              <w:bottom w:val="nil"/>
              <w:right w:val="nil"/>
            </w:tcBorders>
            <w:vAlign w:val="center"/>
          </w:tcPr>
          <w:p w14:paraId="20B37296" w14:textId="36E6CDB5" w:rsidR="0003209D" w:rsidRPr="001B6954" w:rsidRDefault="0003209D" w:rsidP="0003209D">
            <w:pPr>
              <w:pStyle w:val="CETBodytext"/>
              <w:jc w:val="center"/>
              <w:rPr>
                <w:color w:val="000000" w:themeColor="text1"/>
                <w:lang w:val="en-GB"/>
              </w:rPr>
            </w:pPr>
            <w:r w:rsidRPr="001B6954">
              <w:rPr>
                <w:color w:val="000000" w:themeColor="text1"/>
                <w:spacing w:val="-3"/>
              </w:rPr>
              <w:t>5.29%</w:t>
            </w:r>
          </w:p>
        </w:tc>
        <w:tc>
          <w:tcPr>
            <w:tcW w:w="1134" w:type="dxa"/>
            <w:tcBorders>
              <w:top w:val="nil"/>
              <w:left w:val="nil"/>
              <w:bottom w:val="nil"/>
              <w:right w:val="nil"/>
            </w:tcBorders>
            <w:vAlign w:val="center"/>
          </w:tcPr>
          <w:p w14:paraId="1F3FA588" w14:textId="5A6B8BAF"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0.00%</w:t>
            </w:r>
          </w:p>
        </w:tc>
        <w:tc>
          <w:tcPr>
            <w:tcW w:w="1134" w:type="dxa"/>
            <w:tcBorders>
              <w:top w:val="nil"/>
              <w:left w:val="nil"/>
              <w:bottom w:val="nil"/>
              <w:right w:val="nil"/>
            </w:tcBorders>
            <w:vAlign w:val="center"/>
          </w:tcPr>
          <w:p w14:paraId="67BE1F5B" w14:textId="5FDEEAC7"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lang w:val="kk-KZ"/>
              </w:rPr>
              <w:t>-</w:t>
            </w:r>
          </w:p>
        </w:tc>
        <w:tc>
          <w:tcPr>
            <w:tcW w:w="1276" w:type="dxa"/>
            <w:tcBorders>
              <w:top w:val="nil"/>
              <w:left w:val="nil"/>
              <w:bottom w:val="nil"/>
              <w:right w:val="nil"/>
            </w:tcBorders>
            <w:vAlign w:val="center"/>
          </w:tcPr>
          <w:p w14:paraId="03C5D4CE" w14:textId="42E9E616"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-14.08%</w:t>
            </w:r>
          </w:p>
        </w:tc>
        <w:tc>
          <w:tcPr>
            <w:tcW w:w="1134" w:type="dxa"/>
            <w:tcBorders>
              <w:top w:val="nil"/>
              <w:left w:val="nil"/>
              <w:bottom w:val="nil"/>
              <w:right w:val="nil"/>
            </w:tcBorders>
            <w:vAlign w:val="center"/>
          </w:tcPr>
          <w:p w14:paraId="5781A825" w14:textId="27328D1B"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-23.08%</w:t>
            </w:r>
          </w:p>
        </w:tc>
      </w:tr>
      <w:tr w:rsidR="001B6954" w:rsidRPr="001B6954" w14:paraId="48D9B011" w14:textId="77777777" w:rsidTr="00DE3B29">
        <w:tc>
          <w:tcPr>
            <w:tcW w:w="1843" w:type="dxa"/>
            <w:tcBorders>
              <w:top w:val="nil"/>
              <w:left w:val="nil"/>
              <w:bottom w:val="nil"/>
              <w:right w:val="nil"/>
            </w:tcBorders>
            <w:vAlign w:val="center"/>
          </w:tcPr>
          <w:p w14:paraId="71B313A9" w14:textId="3B3C3891" w:rsidR="0003209D" w:rsidRPr="001B6954" w:rsidRDefault="0003209D" w:rsidP="0003209D">
            <w:pPr>
              <w:pStyle w:val="CETBodytext"/>
              <w:jc w:val="center"/>
              <w:rPr>
                <w:color w:val="000000" w:themeColor="text1"/>
                <w:lang w:val="en-GB"/>
              </w:rPr>
            </w:pPr>
            <w:r w:rsidRPr="001B6954">
              <w:rPr>
                <w:color w:val="000000" w:themeColor="text1"/>
                <w:spacing w:val="-3"/>
              </w:rPr>
              <w:t>Wetlands</w:t>
            </w:r>
          </w:p>
        </w:tc>
        <w:tc>
          <w:tcPr>
            <w:tcW w:w="1134" w:type="dxa"/>
            <w:tcBorders>
              <w:top w:val="nil"/>
              <w:left w:val="nil"/>
              <w:bottom w:val="nil"/>
              <w:right w:val="nil"/>
            </w:tcBorders>
            <w:vAlign w:val="center"/>
          </w:tcPr>
          <w:p w14:paraId="7E063B6B" w14:textId="589E91BE" w:rsidR="0003209D" w:rsidRPr="001B6954" w:rsidRDefault="0003209D" w:rsidP="0003209D">
            <w:pPr>
              <w:pStyle w:val="CETBodytext"/>
              <w:jc w:val="center"/>
              <w:rPr>
                <w:color w:val="000000" w:themeColor="text1"/>
                <w:lang w:val="en-GB"/>
              </w:rPr>
            </w:pPr>
            <w:r w:rsidRPr="001B6954">
              <w:rPr>
                <w:color w:val="000000" w:themeColor="text1"/>
                <w:spacing w:val="-3"/>
              </w:rPr>
              <w:t>0.00%</w:t>
            </w:r>
          </w:p>
        </w:tc>
        <w:tc>
          <w:tcPr>
            <w:tcW w:w="1134" w:type="dxa"/>
            <w:tcBorders>
              <w:top w:val="nil"/>
              <w:left w:val="nil"/>
              <w:bottom w:val="nil"/>
              <w:right w:val="nil"/>
            </w:tcBorders>
            <w:vAlign w:val="center"/>
          </w:tcPr>
          <w:p w14:paraId="50226FFB" w14:textId="74506042" w:rsidR="0003209D" w:rsidRPr="001B6954" w:rsidRDefault="0003209D" w:rsidP="0003209D">
            <w:pPr>
              <w:pStyle w:val="CETBodytext"/>
              <w:jc w:val="center"/>
              <w:rPr>
                <w:color w:val="000000" w:themeColor="text1"/>
                <w:lang w:val="en-GB"/>
              </w:rPr>
            </w:pPr>
            <w:r w:rsidRPr="001B6954">
              <w:rPr>
                <w:color w:val="000000" w:themeColor="text1"/>
                <w:spacing w:val="-3"/>
                <w:lang w:val="kk-KZ"/>
              </w:rPr>
              <w:t>-</w:t>
            </w:r>
          </w:p>
        </w:tc>
        <w:tc>
          <w:tcPr>
            <w:tcW w:w="1134" w:type="dxa"/>
            <w:tcBorders>
              <w:top w:val="nil"/>
              <w:left w:val="nil"/>
              <w:bottom w:val="nil"/>
              <w:right w:val="nil"/>
            </w:tcBorders>
            <w:vAlign w:val="center"/>
          </w:tcPr>
          <w:p w14:paraId="542ED09E" w14:textId="2185B27A"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lang w:val="kk-KZ"/>
              </w:rPr>
              <w:t>-</w:t>
            </w:r>
          </w:p>
        </w:tc>
        <w:tc>
          <w:tcPr>
            <w:tcW w:w="1134" w:type="dxa"/>
            <w:tcBorders>
              <w:top w:val="nil"/>
              <w:left w:val="nil"/>
              <w:bottom w:val="nil"/>
              <w:right w:val="nil"/>
            </w:tcBorders>
            <w:vAlign w:val="center"/>
          </w:tcPr>
          <w:p w14:paraId="23060E79" w14:textId="67D6FDD1"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0.00%</w:t>
            </w:r>
          </w:p>
        </w:tc>
        <w:tc>
          <w:tcPr>
            <w:tcW w:w="1276" w:type="dxa"/>
            <w:tcBorders>
              <w:top w:val="nil"/>
              <w:left w:val="nil"/>
              <w:bottom w:val="nil"/>
              <w:right w:val="nil"/>
            </w:tcBorders>
            <w:vAlign w:val="center"/>
          </w:tcPr>
          <w:p w14:paraId="3A65FFF7" w14:textId="0E18FEC3"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lang w:val="kk-KZ"/>
              </w:rPr>
              <w:t>-</w:t>
            </w:r>
          </w:p>
        </w:tc>
        <w:tc>
          <w:tcPr>
            <w:tcW w:w="1134" w:type="dxa"/>
            <w:tcBorders>
              <w:top w:val="nil"/>
              <w:left w:val="nil"/>
              <w:bottom w:val="nil"/>
              <w:right w:val="nil"/>
            </w:tcBorders>
            <w:vAlign w:val="center"/>
          </w:tcPr>
          <w:p w14:paraId="76196F8F" w14:textId="3D10561A"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lang w:val="kk-KZ"/>
              </w:rPr>
              <w:t>-</w:t>
            </w:r>
          </w:p>
        </w:tc>
      </w:tr>
      <w:tr w:rsidR="001B6954" w:rsidRPr="001B6954" w14:paraId="787BE035" w14:textId="77777777" w:rsidTr="00DE3B29">
        <w:tc>
          <w:tcPr>
            <w:tcW w:w="1843" w:type="dxa"/>
            <w:tcBorders>
              <w:top w:val="nil"/>
              <w:left w:val="nil"/>
              <w:bottom w:val="nil"/>
              <w:right w:val="nil"/>
            </w:tcBorders>
            <w:vAlign w:val="center"/>
          </w:tcPr>
          <w:p w14:paraId="62446466" w14:textId="177CAF55" w:rsidR="0003209D" w:rsidRPr="001B6954" w:rsidRDefault="0003209D" w:rsidP="0003209D">
            <w:pPr>
              <w:pStyle w:val="CETBodytext"/>
              <w:jc w:val="center"/>
              <w:rPr>
                <w:color w:val="000000" w:themeColor="text1"/>
                <w:lang w:val="en-GB"/>
              </w:rPr>
            </w:pPr>
            <w:r w:rsidRPr="001B6954">
              <w:rPr>
                <w:color w:val="000000" w:themeColor="text1"/>
                <w:spacing w:val="-3"/>
              </w:rPr>
              <w:t>Artificial areas</w:t>
            </w:r>
          </w:p>
        </w:tc>
        <w:tc>
          <w:tcPr>
            <w:tcW w:w="1134" w:type="dxa"/>
            <w:tcBorders>
              <w:top w:val="nil"/>
              <w:left w:val="nil"/>
              <w:bottom w:val="nil"/>
              <w:right w:val="nil"/>
            </w:tcBorders>
            <w:vAlign w:val="center"/>
          </w:tcPr>
          <w:p w14:paraId="74CC904B" w14:textId="4B832F89" w:rsidR="0003209D" w:rsidRPr="001B6954" w:rsidRDefault="0003209D" w:rsidP="0003209D">
            <w:pPr>
              <w:pStyle w:val="CETBodytext"/>
              <w:jc w:val="center"/>
              <w:rPr>
                <w:color w:val="000000" w:themeColor="text1"/>
                <w:lang w:val="en-GB"/>
              </w:rPr>
            </w:pPr>
            <w:r w:rsidRPr="001B6954">
              <w:rPr>
                <w:color w:val="000000" w:themeColor="text1"/>
                <w:spacing w:val="-3"/>
                <w:lang w:val="kk-KZ"/>
              </w:rPr>
              <w:t>-</w:t>
            </w:r>
          </w:p>
        </w:tc>
        <w:tc>
          <w:tcPr>
            <w:tcW w:w="1134" w:type="dxa"/>
            <w:tcBorders>
              <w:top w:val="nil"/>
              <w:left w:val="nil"/>
              <w:bottom w:val="nil"/>
              <w:right w:val="nil"/>
            </w:tcBorders>
            <w:vAlign w:val="center"/>
          </w:tcPr>
          <w:p w14:paraId="66C87505" w14:textId="22A4B095" w:rsidR="0003209D" w:rsidRPr="001B6954" w:rsidRDefault="0003209D" w:rsidP="0003209D">
            <w:pPr>
              <w:pStyle w:val="CETBodytext"/>
              <w:jc w:val="center"/>
              <w:rPr>
                <w:color w:val="000000" w:themeColor="text1"/>
                <w:lang w:val="en-GB"/>
              </w:rPr>
            </w:pPr>
            <w:r w:rsidRPr="001B6954">
              <w:rPr>
                <w:color w:val="000000" w:themeColor="text1"/>
                <w:spacing w:val="-3"/>
                <w:lang w:val="kk-KZ"/>
              </w:rPr>
              <w:t>-</w:t>
            </w:r>
          </w:p>
        </w:tc>
        <w:tc>
          <w:tcPr>
            <w:tcW w:w="1134" w:type="dxa"/>
            <w:tcBorders>
              <w:top w:val="nil"/>
              <w:left w:val="nil"/>
              <w:bottom w:val="nil"/>
              <w:right w:val="nil"/>
            </w:tcBorders>
            <w:vAlign w:val="center"/>
          </w:tcPr>
          <w:p w14:paraId="333E30AF" w14:textId="46B7F4DC"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lang w:val="kk-KZ"/>
              </w:rPr>
              <w:t>-</w:t>
            </w:r>
          </w:p>
        </w:tc>
        <w:tc>
          <w:tcPr>
            <w:tcW w:w="1134" w:type="dxa"/>
            <w:tcBorders>
              <w:top w:val="nil"/>
              <w:left w:val="nil"/>
              <w:bottom w:val="nil"/>
              <w:right w:val="nil"/>
            </w:tcBorders>
            <w:vAlign w:val="center"/>
          </w:tcPr>
          <w:p w14:paraId="73DE8AAE" w14:textId="270EC68B"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lang w:val="kk-KZ"/>
              </w:rPr>
              <w:t>-</w:t>
            </w:r>
          </w:p>
        </w:tc>
        <w:tc>
          <w:tcPr>
            <w:tcW w:w="1276" w:type="dxa"/>
            <w:tcBorders>
              <w:top w:val="nil"/>
              <w:left w:val="nil"/>
              <w:bottom w:val="nil"/>
              <w:right w:val="nil"/>
            </w:tcBorders>
            <w:vAlign w:val="center"/>
          </w:tcPr>
          <w:p w14:paraId="3B7B1EA3" w14:textId="3FB86608"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0.00%</w:t>
            </w:r>
          </w:p>
        </w:tc>
        <w:tc>
          <w:tcPr>
            <w:tcW w:w="1134" w:type="dxa"/>
            <w:tcBorders>
              <w:top w:val="nil"/>
              <w:left w:val="nil"/>
              <w:bottom w:val="nil"/>
              <w:right w:val="nil"/>
            </w:tcBorders>
            <w:vAlign w:val="center"/>
          </w:tcPr>
          <w:p w14:paraId="7D531C91" w14:textId="49196EF5"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lang w:val="kk-KZ"/>
              </w:rPr>
              <w:t>-</w:t>
            </w:r>
          </w:p>
        </w:tc>
      </w:tr>
      <w:tr w:rsidR="00DE3B29" w:rsidRPr="001B6954" w14:paraId="5AE605EC" w14:textId="77777777" w:rsidTr="00DE3B29">
        <w:tc>
          <w:tcPr>
            <w:tcW w:w="1843" w:type="dxa"/>
            <w:tcBorders>
              <w:top w:val="nil"/>
              <w:left w:val="nil"/>
              <w:bottom w:val="single" w:sz="12" w:space="0" w:color="auto"/>
              <w:right w:val="nil"/>
            </w:tcBorders>
            <w:vAlign w:val="center"/>
          </w:tcPr>
          <w:p w14:paraId="43554312" w14:textId="13FE26AE" w:rsidR="0003209D" w:rsidRPr="001B6954" w:rsidRDefault="0003209D" w:rsidP="0003209D">
            <w:pPr>
              <w:pStyle w:val="CETBodytext"/>
              <w:jc w:val="center"/>
              <w:rPr>
                <w:color w:val="000000" w:themeColor="text1"/>
                <w:lang w:val="en-GB"/>
              </w:rPr>
            </w:pPr>
            <w:r w:rsidRPr="001B6954">
              <w:rPr>
                <w:color w:val="000000" w:themeColor="text1"/>
                <w:spacing w:val="-3"/>
              </w:rPr>
              <w:t>Other lands</w:t>
            </w:r>
          </w:p>
        </w:tc>
        <w:tc>
          <w:tcPr>
            <w:tcW w:w="1134" w:type="dxa"/>
            <w:tcBorders>
              <w:top w:val="nil"/>
              <w:left w:val="nil"/>
              <w:bottom w:val="single" w:sz="12" w:space="0" w:color="auto"/>
              <w:right w:val="nil"/>
            </w:tcBorders>
            <w:vAlign w:val="center"/>
          </w:tcPr>
          <w:p w14:paraId="38FAE015" w14:textId="68ADF06F" w:rsidR="0003209D" w:rsidRPr="001B6954" w:rsidRDefault="0003209D" w:rsidP="0003209D">
            <w:pPr>
              <w:pStyle w:val="CETBodytext"/>
              <w:jc w:val="center"/>
              <w:rPr>
                <w:color w:val="000000" w:themeColor="text1"/>
                <w:lang w:val="en-GB"/>
              </w:rPr>
            </w:pPr>
            <w:r w:rsidRPr="001B6954">
              <w:rPr>
                <w:color w:val="000000" w:themeColor="text1"/>
                <w:spacing w:val="-3"/>
              </w:rPr>
              <w:t>18.64%</w:t>
            </w:r>
          </w:p>
        </w:tc>
        <w:tc>
          <w:tcPr>
            <w:tcW w:w="1134" w:type="dxa"/>
            <w:tcBorders>
              <w:top w:val="nil"/>
              <w:left w:val="nil"/>
              <w:bottom w:val="single" w:sz="12" w:space="0" w:color="auto"/>
              <w:right w:val="nil"/>
            </w:tcBorders>
            <w:vAlign w:val="center"/>
          </w:tcPr>
          <w:p w14:paraId="0B73579B" w14:textId="03EC2B27" w:rsidR="0003209D" w:rsidRPr="001B6954" w:rsidRDefault="0003209D" w:rsidP="0003209D">
            <w:pPr>
              <w:pStyle w:val="CETBodytext"/>
              <w:jc w:val="center"/>
              <w:rPr>
                <w:color w:val="000000" w:themeColor="text1"/>
                <w:lang w:val="en-GB"/>
              </w:rPr>
            </w:pPr>
            <w:r w:rsidRPr="001B6954">
              <w:rPr>
                <w:color w:val="000000" w:themeColor="text1"/>
                <w:spacing w:val="-3"/>
              </w:rPr>
              <w:t>10.63%</w:t>
            </w:r>
          </w:p>
        </w:tc>
        <w:tc>
          <w:tcPr>
            <w:tcW w:w="1134" w:type="dxa"/>
            <w:tcBorders>
              <w:top w:val="nil"/>
              <w:left w:val="nil"/>
              <w:bottom w:val="single" w:sz="12" w:space="0" w:color="auto"/>
              <w:right w:val="nil"/>
            </w:tcBorders>
            <w:vAlign w:val="center"/>
          </w:tcPr>
          <w:p w14:paraId="62F47DD8" w14:textId="36775033"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20.76%</w:t>
            </w:r>
          </w:p>
        </w:tc>
        <w:tc>
          <w:tcPr>
            <w:tcW w:w="1134" w:type="dxa"/>
            <w:tcBorders>
              <w:top w:val="nil"/>
              <w:left w:val="nil"/>
              <w:bottom w:val="single" w:sz="12" w:space="0" w:color="auto"/>
              <w:right w:val="nil"/>
            </w:tcBorders>
            <w:vAlign w:val="center"/>
          </w:tcPr>
          <w:p w14:paraId="588CAB92" w14:textId="06C7B4C5"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lang w:val="kk-KZ"/>
              </w:rPr>
              <w:t>-</w:t>
            </w:r>
          </w:p>
        </w:tc>
        <w:tc>
          <w:tcPr>
            <w:tcW w:w="1276" w:type="dxa"/>
            <w:tcBorders>
              <w:top w:val="nil"/>
              <w:left w:val="nil"/>
              <w:bottom w:val="single" w:sz="12" w:space="0" w:color="auto"/>
              <w:right w:val="nil"/>
            </w:tcBorders>
            <w:vAlign w:val="center"/>
          </w:tcPr>
          <w:p w14:paraId="279EF3A8" w14:textId="4F3D61A1"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0.00%</w:t>
            </w:r>
          </w:p>
        </w:tc>
        <w:tc>
          <w:tcPr>
            <w:tcW w:w="1134" w:type="dxa"/>
            <w:tcBorders>
              <w:top w:val="nil"/>
              <w:left w:val="nil"/>
              <w:bottom w:val="single" w:sz="12" w:space="0" w:color="auto"/>
              <w:right w:val="nil"/>
            </w:tcBorders>
            <w:vAlign w:val="center"/>
          </w:tcPr>
          <w:p w14:paraId="17F631ED" w14:textId="5CA3157A" w:rsidR="0003209D" w:rsidRPr="001B6954" w:rsidRDefault="0003209D" w:rsidP="0003209D">
            <w:pPr>
              <w:pStyle w:val="CETBodytext"/>
              <w:ind w:right="-1"/>
              <w:jc w:val="center"/>
              <w:rPr>
                <w:rFonts w:cs="Arial"/>
                <w:color w:val="000000" w:themeColor="text1"/>
                <w:szCs w:val="18"/>
                <w:lang w:val="en-GB"/>
              </w:rPr>
            </w:pPr>
            <w:r w:rsidRPr="001B6954">
              <w:rPr>
                <w:color w:val="000000" w:themeColor="text1"/>
                <w:spacing w:val="-3"/>
              </w:rPr>
              <w:t>0.00%</w:t>
            </w:r>
          </w:p>
        </w:tc>
      </w:tr>
    </w:tbl>
    <w:p w14:paraId="7B40B078" w14:textId="77777777" w:rsidR="0003209D" w:rsidRPr="001B6954" w:rsidRDefault="0003209D" w:rsidP="0003209D">
      <w:pPr>
        <w:pStyle w:val="CETBodytext"/>
        <w:rPr>
          <w:color w:val="000000" w:themeColor="text1"/>
          <w:lang w:val="en-GB"/>
        </w:rPr>
      </w:pPr>
    </w:p>
    <w:p w14:paraId="1822945E" w14:textId="1246BBCB" w:rsidR="00D72ABA" w:rsidRPr="001B6954" w:rsidRDefault="00205AE0" w:rsidP="00D72ABA">
      <w:pPr>
        <w:pStyle w:val="CETBodytext"/>
        <w:rPr>
          <w:color w:val="000000" w:themeColor="text1"/>
        </w:rPr>
      </w:pPr>
      <w:r w:rsidRPr="001B6954">
        <w:rPr>
          <w:color w:val="000000" w:themeColor="text1"/>
        </w:rPr>
        <w:t xml:space="preserve">However, significant SOC losses are recorded when croplands transition to artificial areas (14.08% decrease) and other lands (23.08% decrease). Wetlands show stability within their category with no data available for transitions to other land cover types. In the case of artificial areas, no SOC change is observed when transitioning within the same category, and no data is available for transitions from artificial areas to other types. Interestingly, substantial increases in SOC are seen when other lands transition to tree-covered areas (18.64% increase), grasslands (10.63% increase), and croplands (20.76% increase), indicating that converting these lands to more vegetative states could be beneficial for SOC accumulation. The change in SOC content for each land category over the study period (2001-2020) was calculated using data from the </w:t>
      </w:r>
      <w:proofErr w:type="spellStart"/>
      <w:r w:rsidRPr="001B6954">
        <w:rPr>
          <w:color w:val="000000" w:themeColor="text1"/>
        </w:rPr>
        <w:t>SoilGrid</w:t>
      </w:r>
      <w:proofErr w:type="spellEnd"/>
      <w:r w:rsidRPr="001B6954">
        <w:rPr>
          <w:color w:val="000000" w:themeColor="text1"/>
        </w:rPr>
        <w:t xml:space="preserve"> database and satellite imagery to estimate the changes in the coverage and utilization of these lands. The SOC changes were estimated using a </w:t>
      </w:r>
      <w:proofErr w:type="spellStart"/>
      <w:r w:rsidRPr="001B6954">
        <w:rPr>
          <w:color w:val="000000" w:themeColor="text1"/>
        </w:rPr>
        <w:t>RothC</w:t>
      </w:r>
      <w:proofErr w:type="spellEnd"/>
      <w:r w:rsidRPr="001B6954">
        <w:rPr>
          <w:color w:val="000000" w:themeColor="text1"/>
        </w:rPr>
        <w:t xml:space="preserve"> model, adapted for each land type based on their specific </w:t>
      </w:r>
      <w:proofErr w:type="spellStart"/>
      <w:r w:rsidRPr="001B6954">
        <w:rPr>
          <w:color w:val="000000" w:themeColor="text1"/>
        </w:rPr>
        <w:t>agro</w:t>
      </w:r>
      <w:proofErr w:type="spellEnd"/>
      <w:r w:rsidRPr="001B6954">
        <w:rPr>
          <w:color w:val="000000" w:themeColor="text1"/>
        </w:rPr>
        <w:t>-ecological and climatic conditions.</w:t>
      </w:r>
      <w:r w:rsidR="00991436" w:rsidRPr="00991436">
        <w:rPr>
          <w:color w:val="000000" w:themeColor="text1"/>
        </w:rPr>
        <w:t xml:space="preserve"> </w:t>
      </w:r>
      <w:r w:rsidR="00D72ABA" w:rsidRPr="001B6954">
        <w:rPr>
          <w:color w:val="000000" w:themeColor="text1"/>
        </w:rPr>
        <w:t>This table points to the importance of land cover type in SOC dynamics. For example, the significant increase in SOC when other lands transition to more vegetative states could imply that reforestation or revegetation of degraded lands could be a potent strategy for carbon sequestration. Conversely, the losses noted when agricultural lands transition to artificial areas may reflect the impact of urbanization on SOC stocks.</w:t>
      </w:r>
      <w:r w:rsidR="00991436" w:rsidRPr="00991436">
        <w:rPr>
          <w:color w:val="000000" w:themeColor="text1"/>
        </w:rPr>
        <w:t xml:space="preserve"> </w:t>
      </w:r>
      <w:r w:rsidR="00D72ABA" w:rsidRPr="001B6954">
        <w:rPr>
          <w:color w:val="000000" w:themeColor="text1"/>
        </w:rPr>
        <w:t>The absence of change within certain categories indicates a stable SOC stock, which is a good sign of equilibrium in the carbon cycle of those ecosystems. However, the losses in SOC with certain transitions underscore the need for careful land management practices to prevent soil degradation and promote carbon sequestration.</w:t>
      </w:r>
      <w:r w:rsidR="00991436" w:rsidRPr="00991436">
        <w:rPr>
          <w:color w:val="000000" w:themeColor="text1"/>
        </w:rPr>
        <w:t xml:space="preserve"> </w:t>
      </w:r>
      <w:r w:rsidR="00D72ABA" w:rsidRPr="001B6954">
        <w:rPr>
          <w:color w:val="000000" w:themeColor="text1"/>
        </w:rPr>
        <w:t>In summary, the data from Table 3 highlight the complex interactions between land cover change and SOC levels, emphasizing the critical role of sustainable land management in maintaining and enhancing soil carbon stocks.</w:t>
      </w:r>
    </w:p>
    <w:p w14:paraId="68D26B83" w14:textId="77777777" w:rsidR="00600535" w:rsidRPr="001B6954" w:rsidRDefault="00600535" w:rsidP="00600535">
      <w:pPr>
        <w:pStyle w:val="CETHeading1"/>
        <w:rPr>
          <w:color w:val="000000" w:themeColor="text1"/>
          <w:lang w:val="en-GB"/>
        </w:rPr>
      </w:pPr>
      <w:r w:rsidRPr="001B6954">
        <w:rPr>
          <w:color w:val="000000" w:themeColor="text1"/>
          <w:lang w:val="en-GB"/>
        </w:rPr>
        <w:t>Conclusions</w:t>
      </w:r>
    </w:p>
    <w:p w14:paraId="78B21B63" w14:textId="20166964" w:rsidR="00582BF0" w:rsidRPr="001B6954" w:rsidRDefault="00582BF0" w:rsidP="00582BF0">
      <w:pPr>
        <w:pStyle w:val="CETBodytext"/>
        <w:rPr>
          <w:color w:val="000000" w:themeColor="text1"/>
          <w:lang w:val="en-GB"/>
        </w:rPr>
      </w:pPr>
      <w:r w:rsidRPr="001B6954">
        <w:rPr>
          <w:color w:val="000000" w:themeColor="text1"/>
          <w:lang w:val="en-GB"/>
        </w:rPr>
        <w:t xml:space="preserve">The findings from this investigation suggest that the land degradation neutrality approach, employing the computational module </w:t>
      </w:r>
      <w:proofErr w:type="spellStart"/>
      <w:r w:rsidRPr="001B6954">
        <w:rPr>
          <w:color w:val="000000" w:themeColor="text1"/>
          <w:lang w:val="en-GB"/>
        </w:rPr>
        <w:t>Trends.Earth</w:t>
      </w:r>
      <w:proofErr w:type="spellEnd"/>
      <w:r w:rsidRPr="001B6954">
        <w:rPr>
          <w:color w:val="000000" w:themeColor="text1"/>
          <w:lang w:val="en-GB"/>
        </w:rPr>
        <w:t>, is a viable method for assessing land degradation in areas with conditions analogous to Eastern Kazakhstan. The module successfully captures key trends in land cover and productivity, aligning with the United Nations Sustainable Development Goals (UN SDGs). It enables the calculation of the proportion of degraded land relative to the total land area, which is crucial for the formulation of land management strategies and decision-making processes aimed at sustainable regional development.</w:t>
      </w:r>
      <w:r w:rsidR="00991436" w:rsidRPr="00991436">
        <w:rPr>
          <w:color w:val="000000" w:themeColor="text1"/>
        </w:rPr>
        <w:t xml:space="preserve"> </w:t>
      </w:r>
      <w:r w:rsidRPr="001B6954">
        <w:rPr>
          <w:color w:val="000000" w:themeColor="text1"/>
          <w:lang w:val="en-GB"/>
        </w:rPr>
        <w:t xml:space="preserve">Moreover, the application of the </w:t>
      </w:r>
      <w:proofErr w:type="spellStart"/>
      <w:r w:rsidRPr="001B6954">
        <w:rPr>
          <w:color w:val="000000" w:themeColor="text1"/>
          <w:lang w:val="en-GB"/>
        </w:rPr>
        <w:t>Trends.Earth</w:t>
      </w:r>
      <w:proofErr w:type="spellEnd"/>
      <w:r w:rsidRPr="001B6954">
        <w:rPr>
          <w:color w:val="000000" w:themeColor="text1"/>
          <w:lang w:val="en-GB"/>
        </w:rPr>
        <w:t xml:space="preserve"> module, founded on the </w:t>
      </w:r>
      <w:proofErr w:type="spellStart"/>
      <w:r w:rsidRPr="001B6954">
        <w:rPr>
          <w:color w:val="000000" w:themeColor="text1"/>
          <w:lang w:val="en-GB"/>
        </w:rPr>
        <w:t>RothC</w:t>
      </w:r>
      <w:proofErr w:type="spellEnd"/>
      <w:r w:rsidRPr="001B6954">
        <w:rPr>
          <w:color w:val="000000" w:themeColor="text1"/>
          <w:lang w:val="en-GB"/>
        </w:rPr>
        <w:t xml:space="preserve"> model, has proven effective for the quantitative assessment of SOC stocks. The research indicates that SOC in the eastern part of Kazakhstan has </w:t>
      </w:r>
      <w:r w:rsidRPr="001B6954">
        <w:rPr>
          <w:color w:val="000000" w:themeColor="text1"/>
          <w:lang w:val="en-GB"/>
        </w:rPr>
        <w:lastRenderedPageBreak/>
        <w:t>undergone significant changes from 2001 to 2020, with a decrease in SOC stocks at an average rate of 96×10³ kg C ha</w:t>
      </w:r>
      <w:r w:rsidRPr="001B6954">
        <w:rPr>
          <w:rFonts w:ascii="Cambria Math" w:hAnsi="Cambria Math" w:cs="Cambria Math"/>
          <w:color w:val="000000" w:themeColor="text1"/>
          <w:lang w:val="en-GB"/>
        </w:rPr>
        <w:t>⁻</w:t>
      </w:r>
      <w:r w:rsidRPr="001B6954">
        <w:rPr>
          <w:color w:val="000000" w:themeColor="text1"/>
          <w:lang w:val="en-GB"/>
        </w:rPr>
        <w:t>¹ year</w:t>
      </w:r>
      <w:r w:rsidRPr="001B6954">
        <w:rPr>
          <w:rFonts w:ascii="Cambria Math" w:hAnsi="Cambria Math" w:cs="Cambria Math"/>
          <w:color w:val="000000" w:themeColor="text1"/>
          <w:lang w:val="en-GB"/>
        </w:rPr>
        <w:t>⁻</w:t>
      </w:r>
      <w:r w:rsidRPr="001B6954">
        <w:rPr>
          <w:color w:val="000000" w:themeColor="text1"/>
          <w:lang w:val="en-GB"/>
        </w:rPr>
        <w:t>¹ in Polygon 1, and 87×10³ kg C ha</w:t>
      </w:r>
      <w:r w:rsidRPr="001B6954">
        <w:rPr>
          <w:rFonts w:ascii="Cambria Math" w:hAnsi="Cambria Math" w:cs="Cambria Math"/>
          <w:color w:val="000000" w:themeColor="text1"/>
          <w:lang w:val="en-GB"/>
        </w:rPr>
        <w:t>⁻</w:t>
      </w:r>
      <w:r w:rsidRPr="001B6954">
        <w:rPr>
          <w:color w:val="000000" w:themeColor="text1"/>
          <w:lang w:val="en-GB"/>
        </w:rPr>
        <w:t>¹ year</w:t>
      </w:r>
      <w:r w:rsidRPr="001B6954">
        <w:rPr>
          <w:rFonts w:ascii="Cambria Math" w:hAnsi="Cambria Math" w:cs="Cambria Math"/>
          <w:color w:val="000000" w:themeColor="text1"/>
          <w:lang w:val="en-GB"/>
        </w:rPr>
        <w:t>⁻</w:t>
      </w:r>
      <w:r w:rsidRPr="001B6954">
        <w:rPr>
          <w:color w:val="000000" w:themeColor="text1"/>
          <w:lang w:val="en-GB"/>
        </w:rPr>
        <w:t xml:space="preserve">¹ in Polygon 2. It is noteworthy that Polygon 1 exhibited an 11% greater reduction in organic carbon than Polygon 2, a discrepancy likely attributable to the different </w:t>
      </w:r>
      <w:proofErr w:type="spellStart"/>
      <w:r w:rsidRPr="001B6954">
        <w:rPr>
          <w:color w:val="000000" w:themeColor="text1"/>
          <w:lang w:val="en-GB"/>
        </w:rPr>
        <w:t>agro</w:t>
      </w:r>
      <w:proofErr w:type="spellEnd"/>
      <w:r w:rsidRPr="001B6954">
        <w:rPr>
          <w:color w:val="000000" w:themeColor="text1"/>
          <w:lang w:val="en-GB"/>
        </w:rPr>
        <w:t>-ecological conditions on the right bank of the Irtysh River.</w:t>
      </w:r>
      <w:r w:rsidR="00991436" w:rsidRPr="00991436">
        <w:rPr>
          <w:color w:val="000000" w:themeColor="text1"/>
        </w:rPr>
        <w:t xml:space="preserve"> </w:t>
      </w:r>
      <w:r w:rsidRPr="001B6954">
        <w:rPr>
          <w:color w:val="000000" w:themeColor="text1"/>
          <w:lang w:val="en-GB"/>
        </w:rPr>
        <w:t>The study's data, showing changes in SOC across different land cover types, underscores the potential of improving SOC through targeted land management practices. By increasing soil organic carbon, we can substantially mitigate CO</w:t>
      </w:r>
      <w:r w:rsidRPr="001B6954">
        <w:rPr>
          <w:color w:val="000000" w:themeColor="text1"/>
          <w:vertAlign w:val="subscript"/>
          <w:lang w:val="en-GB"/>
        </w:rPr>
        <w:t>2</w:t>
      </w:r>
      <w:r w:rsidRPr="001B6954">
        <w:rPr>
          <w:color w:val="000000" w:themeColor="text1"/>
          <w:lang w:val="en-GB"/>
        </w:rPr>
        <w:t xml:space="preserve"> emissions to the atmosphere.</w:t>
      </w:r>
      <w:r w:rsidR="00A25C02" w:rsidRPr="00991436">
        <w:rPr>
          <w:color w:val="000000" w:themeColor="text1"/>
        </w:rPr>
        <w:t xml:space="preserve"> The analysis showed that implementing sustainable land management practices can reduce CO2 emissions by 0.08-0.1 per cent per year per unit area, depending on land type and regional conditions. While these values may seem small, they have a significant impact on the global carbon balance when scaled to large areas.</w:t>
      </w:r>
      <w:r w:rsidRPr="001B6954">
        <w:rPr>
          <w:color w:val="000000" w:themeColor="text1"/>
          <w:lang w:val="en-GB"/>
        </w:rPr>
        <w:t xml:space="preserve"> Enhancing SOC not only contributes to the reduction of atmospheric carbon dioxide but also bolsters soil fertility, structural integrity, and biodiversity conservation.</w:t>
      </w:r>
      <w:r w:rsidR="00991436" w:rsidRPr="00991436">
        <w:rPr>
          <w:color w:val="000000" w:themeColor="text1"/>
        </w:rPr>
        <w:t xml:space="preserve"> </w:t>
      </w:r>
      <w:r w:rsidRPr="001B6954">
        <w:rPr>
          <w:color w:val="000000" w:themeColor="text1"/>
          <w:lang w:val="en-GB"/>
        </w:rPr>
        <w:t xml:space="preserve">In summary, the land degradation neutrality methodology and the insights provided by the </w:t>
      </w:r>
      <w:proofErr w:type="spellStart"/>
      <w:r w:rsidRPr="001B6954">
        <w:rPr>
          <w:color w:val="000000" w:themeColor="text1"/>
          <w:lang w:val="en-GB"/>
        </w:rPr>
        <w:t>Trends.Earth</w:t>
      </w:r>
      <w:proofErr w:type="spellEnd"/>
      <w:r w:rsidRPr="001B6954">
        <w:rPr>
          <w:color w:val="000000" w:themeColor="text1"/>
          <w:lang w:val="en-GB"/>
        </w:rPr>
        <w:t xml:space="preserve"> module constitute valuable tools in advancing sustainable land management and combating climate change. The adoption of these tools and the implementation of conservation-oriented agricultural practices, such as mulching, green manuring, and reduced tillage, are recommended to preserve and enrich the soil's organic matter, thereby contributing significantly to the region's sustainable development and ecological stability.</w:t>
      </w:r>
    </w:p>
    <w:p w14:paraId="2A46AC86" w14:textId="526CD0CC" w:rsidR="001418E2" w:rsidRPr="001B6954" w:rsidRDefault="00600535" w:rsidP="00A25C02">
      <w:pPr>
        <w:pStyle w:val="CETReference"/>
        <w:rPr>
          <w:color w:val="000000" w:themeColor="text1"/>
          <w:lang w:val="en-US"/>
        </w:rPr>
      </w:pPr>
      <w:r w:rsidRPr="001B6954">
        <w:rPr>
          <w:color w:val="000000" w:themeColor="text1"/>
        </w:rPr>
        <w:t>References</w:t>
      </w:r>
    </w:p>
    <w:p w14:paraId="70DBF26B" w14:textId="77777777" w:rsidR="006A214E" w:rsidRPr="001B6954" w:rsidRDefault="006A214E" w:rsidP="006B7B7D">
      <w:pPr>
        <w:pStyle w:val="CETReferencetext"/>
        <w:rPr>
          <w:color w:val="000000" w:themeColor="text1"/>
          <w:lang w:val="en-US"/>
        </w:rPr>
      </w:pPr>
      <w:proofErr w:type="spellStart"/>
      <w:r w:rsidRPr="001B6954">
        <w:rPr>
          <w:color w:val="000000" w:themeColor="text1"/>
          <w:lang w:val="en-US"/>
        </w:rPr>
        <w:t>Adilet-zan</w:t>
      </w:r>
      <w:proofErr w:type="spellEnd"/>
      <w:r w:rsidRPr="001B6954">
        <w:rPr>
          <w:color w:val="000000" w:themeColor="text1"/>
          <w:lang w:val="en-US"/>
        </w:rPr>
        <w:t>, 2023, U2300000121 On Approval of the Strategy for Achieving Carbon Neutrality of the Republic of Kazakhstan until 2060. Decree of the President of the Republic of Kazakhstan dated 2 February 2023 No. 121. &lt;https://adilet.zan.kz/rus/docs/U2300000121 &gt;, accessed 11.03.2024</w:t>
      </w:r>
    </w:p>
    <w:p w14:paraId="40EFF998" w14:textId="77777777" w:rsidR="006A214E" w:rsidRPr="001B6954" w:rsidRDefault="006A214E" w:rsidP="006B7B7D">
      <w:pPr>
        <w:pStyle w:val="CETReferencetext"/>
        <w:rPr>
          <w:color w:val="000000" w:themeColor="text1"/>
        </w:rPr>
      </w:pPr>
      <w:proofErr w:type="spellStart"/>
      <w:r w:rsidRPr="001B6954">
        <w:rPr>
          <w:color w:val="000000" w:themeColor="text1"/>
        </w:rPr>
        <w:t>Beisekenov</w:t>
      </w:r>
      <w:proofErr w:type="spellEnd"/>
      <w:r w:rsidRPr="001B6954">
        <w:rPr>
          <w:color w:val="000000" w:themeColor="text1"/>
        </w:rPr>
        <w:t xml:space="preserve"> N.A., Sadenova М.А., </w:t>
      </w:r>
      <w:proofErr w:type="spellStart"/>
      <w:r w:rsidRPr="001B6954">
        <w:rPr>
          <w:color w:val="000000" w:themeColor="text1"/>
        </w:rPr>
        <w:t>Kulenova</w:t>
      </w:r>
      <w:proofErr w:type="spellEnd"/>
      <w:r w:rsidRPr="001B6954">
        <w:rPr>
          <w:color w:val="000000" w:themeColor="text1"/>
        </w:rPr>
        <w:t xml:space="preserve"> N.A., </w:t>
      </w:r>
      <w:proofErr w:type="spellStart"/>
      <w:r w:rsidRPr="001B6954">
        <w:rPr>
          <w:color w:val="000000" w:themeColor="text1"/>
        </w:rPr>
        <w:t>Mukhtarkanovna</w:t>
      </w:r>
      <w:proofErr w:type="spellEnd"/>
      <w:r w:rsidRPr="001B6954">
        <w:rPr>
          <w:color w:val="000000" w:themeColor="text1"/>
        </w:rPr>
        <w:t xml:space="preserve"> M.A., 2021. Development of a preliminary version of a model for machine learning in predicting yield on the example of wheat in the conditions of East Kazakhstan. Conference: 2021 16th International Conference on Electronics Computer and Computation (ICECCO). https://doi.org/10.1109/icecco53203.2021.9663758</w:t>
      </w:r>
    </w:p>
    <w:p w14:paraId="51470679" w14:textId="77777777" w:rsidR="006A214E" w:rsidRPr="001B6954" w:rsidRDefault="006A214E" w:rsidP="006B7B7D">
      <w:pPr>
        <w:pStyle w:val="CETReferencetext"/>
        <w:rPr>
          <w:color w:val="000000" w:themeColor="text1"/>
        </w:rPr>
      </w:pPr>
      <w:r w:rsidRPr="001B6954">
        <w:rPr>
          <w:color w:val="000000" w:themeColor="text1"/>
        </w:rPr>
        <w:t>González</w:t>
      </w:r>
      <w:r w:rsidRPr="001B6954">
        <w:rPr>
          <w:rFonts w:ascii="Cambria Math" w:hAnsi="Cambria Math" w:cs="Cambria Math"/>
          <w:color w:val="000000" w:themeColor="text1"/>
        </w:rPr>
        <w:t>‐</w:t>
      </w:r>
      <w:proofErr w:type="spellStart"/>
      <w:r w:rsidRPr="001B6954">
        <w:rPr>
          <w:color w:val="000000" w:themeColor="text1"/>
        </w:rPr>
        <w:t>Roglich</w:t>
      </w:r>
      <w:proofErr w:type="spellEnd"/>
      <w:r w:rsidRPr="001B6954">
        <w:rPr>
          <w:color w:val="000000" w:themeColor="text1"/>
        </w:rPr>
        <w:t xml:space="preserve"> M., </w:t>
      </w:r>
      <w:proofErr w:type="spellStart"/>
      <w:r w:rsidRPr="001B6954">
        <w:rPr>
          <w:color w:val="000000" w:themeColor="text1"/>
        </w:rPr>
        <w:t>Zvoleff</w:t>
      </w:r>
      <w:proofErr w:type="spellEnd"/>
      <w:r w:rsidRPr="001B6954">
        <w:rPr>
          <w:color w:val="000000" w:themeColor="text1"/>
        </w:rPr>
        <w:t xml:space="preserve"> A., Noon M., </w:t>
      </w:r>
      <w:proofErr w:type="spellStart"/>
      <w:r w:rsidRPr="001B6954">
        <w:rPr>
          <w:color w:val="000000" w:themeColor="text1"/>
        </w:rPr>
        <w:t>Liniger</w:t>
      </w:r>
      <w:proofErr w:type="spellEnd"/>
      <w:r w:rsidRPr="001B6954">
        <w:rPr>
          <w:color w:val="000000" w:themeColor="text1"/>
        </w:rPr>
        <w:t xml:space="preserve"> H., </w:t>
      </w:r>
      <w:proofErr w:type="spellStart"/>
      <w:r w:rsidRPr="001B6954">
        <w:rPr>
          <w:color w:val="000000" w:themeColor="text1"/>
        </w:rPr>
        <w:t>Fleiner</w:t>
      </w:r>
      <w:proofErr w:type="spellEnd"/>
      <w:r w:rsidRPr="001B6954">
        <w:rPr>
          <w:color w:val="000000" w:themeColor="text1"/>
        </w:rPr>
        <w:t xml:space="preserve"> R., Harari N., García C.L., 2019. Synergizing global tools to monitor progress towards land degradation neutrality: </w:t>
      </w:r>
      <w:proofErr w:type="spellStart"/>
      <w:r w:rsidRPr="001B6954">
        <w:rPr>
          <w:color w:val="000000" w:themeColor="text1"/>
        </w:rPr>
        <w:t>Trends.Earth</w:t>
      </w:r>
      <w:proofErr w:type="spellEnd"/>
      <w:r w:rsidRPr="001B6954">
        <w:rPr>
          <w:color w:val="000000" w:themeColor="text1"/>
        </w:rPr>
        <w:t xml:space="preserve"> and the World Overview of Conservation Approaches and Technologies sustainable land management database. Environmental Science &amp; Policy 93, 34–42. https://doi.org/10.1016/j.envsci.2018.12.019</w:t>
      </w:r>
    </w:p>
    <w:p w14:paraId="2CD02A06" w14:textId="77777777" w:rsidR="006A214E" w:rsidRPr="001B6954" w:rsidRDefault="006A214E" w:rsidP="006B7B7D">
      <w:pPr>
        <w:pStyle w:val="CETReferencetext"/>
        <w:rPr>
          <w:color w:val="000000" w:themeColor="text1"/>
        </w:rPr>
      </w:pPr>
      <w:r w:rsidRPr="001B6954">
        <w:rPr>
          <w:color w:val="000000" w:themeColor="text1"/>
        </w:rPr>
        <w:t>Lee S.-H., Han K.-J., Lee K., Lee K.-J., Oh K.-Y., Lee M.-J., 2020. Classification of landscape affected by deforestation using High-Resolution Remote sensing data and Deep-Learning techniques. Remote Sensing 12, 3372. https://doi.org/10.3390/rs12203372</w:t>
      </w:r>
    </w:p>
    <w:p w14:paraId="48E8E865" w14:textId="77777777" w:rsidR="006A214E" w:rsidRPr="001B6954" w:rsidRDefault="006A214E" w:rsidP="006B7B7D">
      <w:pPr>
        <w:pStyle w:val="CETReferencetext"/>
        <w:rPr>
          <w:color w:val="000000" w:themeColor="text1"/>
        </w:rPr>
      </w:pPr>
      <w:r w:rsidRPr="001B6954">
        <w:rPr>
          <w:color w:val="000000" w:themeColor="text1"/>
        </w:rPr>
        <w:t xml:space="preserve">Liu F., Zhang G., Song X., Li D., Zhao Y.-G., Yang J.-L., Wu H., Yang F., 2020. High-resolution and three-dimensional mapping of soil texture of China. </w:t>
      </w:r>
      <w:proofErr w:type="spellStart"/>
      <w:r w:rsidRPr="001B6954">
        <w:rPr>
          <w:color w:val="000000" w:themeColor="text1"/>
        </w:rPr>
        <w:t>Geoderma</w:t>
      </w:r>
      <w:proofErr w:type="spellEnd"/>
      <w:r w:rsidRPr="001B6954">
        <w:rPr>
          <w:color w:val="000000" w:themeColor="text1"/>
        </w:rPr>
        <w:t xml:space="preserve"> 361, 114061. https://doi.org/10.1016/j.geoderma.2019.114061</w:t>
      </w:r>
    </w:p>
    <w:p w14:paraId="2A2837B8" w14:textId="77777777" w:rsidR="006A214E" w:rsidRPr="001B6954" w:rsidRDefault="006A214E" w:rsidP="006B7B7D">
      <w:pPr>
        <w:pStyle w:val="CETReferencetext"/>
        <w:rPr>
          <w:color w:val="000000" w:themeColor="text1"/>
        </w:rPr>
      </w:pPr>
      <w:proofErr w:type="spellStart"/>
      <w:r w:rsidRPr="001B6954">
        <w:rPr>
          <w:color w:val="000000" w:themeColor="text1"/>
        </w:rPr>
        <w:t>Lozbenev</w:t>
      </w:r>
      <w:proofErr w:type="spellEnd"/>
      <w:r w:rsidRPr="001B6954">
        <w:rPr>
          <w:color w:val="000000" w:themeColor="text1"/>
        </w:rPr>
        <w:t xml:space="preserve"> N., </w:t>
      </w:r>
      <w:proofErr w:type="spellStart"/>
      <w:r w:rsidRPr="001B6954">
        <w:rPr>
          <w:color w:val="000000" w:themeColor="text1"/>
        </w:rPr>
        <w:t>Komissarov</w:t>
      </w:r>
      <w:proofErr w:type="spellEnd"/>
      <w:r w:rsidRPr="001B6954">
        <w:rPr>
          <w:color w:val="000000" w:themeColor="text1"/>
        </w:rPr>
        <w:t xml:space="preserve"> M., </w:t>
      </w:r>
      <w:proofErr w:type="spellStart"/>
      <w:r w:rsidRPr="001B6954">
        <w:rPr>
          <w:color w:val="000000" w:themeColor="text1"/>
        </w:rPr>
        <w:t>Zhidkin</w:t>
      </w:r>
      <w:proofErr w:type="spellEnd"/>
      <w:r w:rsidRPr="001B6954">
        <w:rPr>
          <w:color w:val="000000" w:themeColor="text1"/>
        </w:rPr>
        <w:t xml:space="preserve"> A.P., </w:t>
      </w:r>
      <w:proofErr w:type="spellStart"/>
      <w:r w:rsidRPr="001B6954">
        <w:rPr>
          <w:color w:val="000000" w:themeColor="text1"/>
        </w:rPr>
        <w:t>Gusarov</w:t>
      </w:r>
      <w:proofErr w:type="spellEnd"/>
      <w:r w:rsidRPr="001B6954">
        <w:rPr>
          <w:color w:val="000000" w:themeColor="text1"/>
        </w:rPr>
        <w:t xml:space="preserve"> A.V., </w:t>
      </w:r>
      <w:proofErr w:type="spellStart"/>
      <w:r w:rsidRPr="001B6954">
        <w:rPr>
          <w:color w:val="000000" w:themeColor="text1"/>
        </w:rPr>
        <w:t>Fomicheva</w:t>
      </w:r>
      <w:proofErr w:type="spellEnd"/>
      <w:r w:rsidRPr="001B6954">
        <w:rPr>
          <w:color w:val="000000" w:themeColor="text1"/>
        </w:rPr>
        <w:t xml:space="preserve"> D., 2022. Comparative assessment of digital and conventional soil mapping: a case study of the Southern Cis-Ural Region, Russia. Soil Systems 6, 14. https://doi.org/10.3390/soilsystems6010014</w:t>
      </w:r>
    </w:p>
    <w:p w14:paraId="63EE5D31" w14:textId="77777777" w:rsidR="006A214E" w:rsidRPr="001B6954" w:rsidRDefault="006A214E" w:rsidP="006B7B7D">
      <w:pPr>
        <w:pStyle w:val="CETReferencetext"/>
        <w:rPr>
          <w:color w:val="000000" w:themeColor="text1"/>
        </w:rPr>
      </w:pPr>
      <w:proofErr w:type="spellStart"/>
      <w:r w:rsidRPr="001B6954">
        <w:rPr>
          <w:color w:val="000000" w:themeColor="text1"/>
        </w:rPr>
        <w:t>Péteri</w:t>
      </w:r>
      <w:proofErr w:type="spellEnd"/>
      <w:r w:rsidRPr="001B6954">
        <w:rPr>
          <w:color w:val="000000" w:themeColor="text1"/>
        </w:rPr>
        <w:t xml:space="preserve"> R., </w:t>
      </w:r>
      <w:proofErr w:type="spellStart"/>
      <w:r w:rsidRPr="001B6954">
        <w:rPr>
          <w:color w:val="000000" w:themeColor="text1"/>
        </w:rPr>
        <w:t>Ranchin</w:t>
      </w:r>
      <w:proofErr w:type="spellEnd"/>
      <w:r w:rsidRPr="001B6954">
        <w:rPr>
          <w:color w:val="000000" w:themeColor="text1"/>
        </w:rPr>
        <w:t xml:space="preserve"> T., </w:t>
      </w:r>
      <w:proofErr w:type="spellStart"/>
      <w:r w:rsidRPr="001B6954">
        <w:rPr>
          <w:color w:val="000000" w:themeColor="text1"/>
        </w:rPr>
        <w:t>Couloigner</w:t>
      </w:r>
      <w:proofErr w:type="spellEnd"/>
      <w:r w:rsidRPr="001B6954">
        <w:rPr>
          <w:color w:val="000000" w:themeColor="text1"/>
        </w:rPr>
        <w:t xml:space="preserve"> I., 2001. A multiresolution modelling approach for semi-automatic extraction of streets: application to high resolution images from the IKONOS satellite. HAL (Le Centre Pour La Communication </w:t>
      </w:r>
      <w:proofErr w:type="spellStart"/>
      <w:r w:rsidRPr="001B6954">
        <w:rPr>
          <w:color w:val="000000" w:themeColor="text1"/>
        </w:rPr>
        <w:t>Scientifique</w:t>
      </w:r>
      <w:proofErr w:type="spellEnd"/>
      <w:r w:rsidRPr="001B6954">
        <w:rPr>
          <w:color w:val="000000" w:themeColor="text1"/>
        </w:rPr>
        <w:t xml:space="preserve"> </w:t>
      </w:r>
      <w:proofErr w:type="spellStart"/>
      <w:r w:rsidRPr="001B6954">
        <w:rPr>
          <w:color w:val="000000" w:themeColor="text1"/>
        </w:rPr>
        <w:t>Directe</w:t>
      </w:r>
      <w:proofErr w:type="spellEnd"/>
      <w:r w:rsidRPr="001B6954">
        <w:rPr>
          <w:color w:val="000000" w:themeColor="text1"/>
        </w:rPr>
        <w:t>).</w:t>
      </w:r>
    </w:p>
    <w:p w14:paraId="4A7A085A" w14:textId="77777777" w:rsidR="006A214E" w:rsidRPr="001B6954" w:rsidRDefault="006A214E" w:rsidP="006B7B7D">
      <w:pPr>
        <w:pStyle w:val="CETReferencetext"/>
        <w:rPr>
          <w:color w:val="000000" w:themeColor="text1"/>
        </w:rPr>
      </w:pPr>
      <w:r w:rsidRPr="001B6954">
        <w:rPr>
          <w:color w:val="000000" w:themeColor="text1"/>
        </w:rPr>
        <w:t xml:space="preserve">Pham T.G., </w:t>
      </w:r>
      <w:proofErr w:type="spellStart"/>
      <w:r w:rsidRPr="001B6954">
        <w:rPr>
          <w:color w:val="000000" w:themeColor="text1"/>
        </w:rPr>
        <w:t>Degener</w:t>
      </w:r>
      <w:proofErr w:type="spellEnd"/>
      <w:r w:rsidRPr="001B6954">
        <w:rPr>
          <w:color w:val="000000" w:themeColor="text1"/>
        </w:rPr>
        <w:t xml:space="preserve"> J., </w:t>
      </w:r>
      <w:proofErr w:type="spellStart"/>
      <w:r w:rsidRPr="001B6954">
        <w:rPr>
          <w:color w:val="000000" w:themeColor="text1"/>
        </w:rPr>
        <w:t>Kappas</w:t>
      </w:r>
      <w:proofErr w:type="spellEnd"/>
      <w:r w:rsidRPr="001B6954">
        <w:rPr>
          <w:color w:val="000000" w:themeColor="text1"/>
        </w:rPr>
        <w:t xml:space="preserve"> M., 2018. Integrated universal soil loss equation (USLE) and Geographical Information System (GIS) for soil erosion estimation in A Sap basin: Central Vietnam. International Soil and Water Conservation Research 6, 99–110. https://doi.org/10.1016/j.iswcr.2018.01.001</w:t>
      </w:r>
    </w:p>
    <w:p w14:paraId="469F3F95" w14:textId="77777777" w:rsidR="006A214E" w:rsidRPr="001B6954" w:rsidRDefault="006A214E" w:rsidP="006B7B7D">
      <w:pPr>
        <w:pStyle w:val="CETReferencetext"/>
        <w:rPr>
          <w:color w:val="000000" w:themeColor="text1"/>
        </w:rPr>
      </w:pPr>
      <w:r w:rsidRPr="001B6954">
        <w:rPr>
          <w:color w:val="000000" w:themeColor="text1"/>
        </w:rPr>
        <w:t xml:space="preserve">Sadenova M., </w:t>
      </w:r>
      <w:proofErr w:type="spellStart"/>
      <w:r w:rsidRPr="001B6954">
        <w:rPr>
          <w:color w:val="000000" w:themeColor="text1"/>
        </w:rPr>
        <w:t>Beisekenov</w:t>
      </w:r>
      <w:proofErr w:type="spellEnd"/>
      <w:r w:rsidRPr="001B6954">
        <w:rPr>
          <w:color w:val="000000" w:themeColor="text1"/>
        </w:rPr>
        <w:t xml:space="preserve"> N.A., </w:t>
      </w:r>
      <w:proofErr w:type="spellStart"/>
      <w:r w:rsidRPr="001B6954">
        <w:rPr>
          <w:color w:val="000000" w:themeColor="text1"/>
        </w:rPr>
        <w:t>Varbanov</w:t>
      </w:r>
      <w:proofErr w:type="spellEnd"/>
      <w:r w:rsidRPr="001B6954">
        <w:rPr>
          <w:color w:val="000000" w:themeColor="text1"/>
        </w:rPr>
        <w:t xml:space="preserve"> P.S., Pan T., 2023. Application of machine learning and neural networks to predict the yield of cereals, legumes, oilseeds and forage crops in Kazakhstan. Agriculture 13, 1195. https://doi.org/10.3390/agriculture13061195</w:t>
      </w:r>
    </w:p>
    <w:p w14:paraId="66571DA1" w14:textId="77777777" w:rsidR="006A214E" w:rsidRPr="001B6954" w:rsidRDefault="006A214E" w:rsidP="006B7B7D">
      <w:pPr>
        <w:pStyle w:val="CETReferencetext"/>
        <w:rPr>
          <w:color w:val="000000" w:themeColor="text1"/>
        </w:rPr>
      </w:pPr>
      <w:r w:rsidRPr="001B6954">
        <w:rPr>
          <w:color w:val="000000" w:themeColor="text1"/>
        </w:rPr>
        <w:t xml:space="preserve">Sadenova M.A., </w:t>
      </w:r>
      <w:proofErr w:type="spellStart"/>
      <w:r w:rsidRPr="001B6954">
        <w:rPr>
          <w:color w:val="000000" w:themeColor="text1"/>
        </w:rPr>
        <w:t>Beisekenov</w:t>
      </w:r>
      <w:proofErr w:type="spellEnd"/>
      <w:r w:rsidRPr="001B6954">
        <w:rPr>
          <w:color w:val="000000" w:themeColor="text1"/>
        </w:rPr>
        <w:t xml:space="preserve"> N.A., </w:t>
      </w:r>
      <w:proofErr w:type="spellStart"/>
      <w:r w:rsidRPr="001B6954">
        <w:rPr>
          <w:color w:val="000000" w:themeColor="text1"/>
        </w:rPr>
        <w:t>Ualiyev</w:t>
      </w:r>
      <w:proofErr w:type="spellEnd"/>
      <w:r w:rsidRPr="001B6954">
        <w:rPr>
          <w:color w:val="000000" w:themeColor="text1"/>
        </w:rPr>
        <w:t xml:space="preserve"> Y.T., </w:t>
      </w:r>
      <w:proofErr w:type="spellStart"/>
      <w:r w:rsidRPr="001B6954">
        <w:rPr>
          <w:color w:val="000000" w:themeColor="text1"/>
        </w:rPr>
        <w:t>Kulenova</w:t>
      </w:r>
      <w:proofErr w:type="spellEnd"/>
      <w:r w:rsidRPr="001B6954">
        <w:rPr>
          <w:color w:val="000000" w:themeColor="text1"/>
        </w:rPr>
        <w:t xml:space="preserve"> N.A., </w:t>
      </w:r>
      <w:proofErr w:type="spellStart"/>
      <w:r w:rsidRPr="001B6954">
        <w:rPr>
          <w:color w:val="000000" w:themeColor="text1"/>
        </w:rPr>
        <w:t>Varbanov</w:t>
      </w:r>
      <w:proofErr w:type="spellEnd"/>
      <w:r w:rsidRPr="001B6954">
        <w:rPr>
          <w:color w:val="000000" w:themeColor="text1"/>
        </w:rPr>
        <w:t xml:space="preserve"> P.S., 2022, Modelling of Forecasting Crop Yields Based on Earth Remote Sensing Data and Remote Sensing Methods, Chemical Engineering Transactions, 94, 19-24.</w:t>
      </w:r>
    </w:p>
    <w:p w14:paraId="371895E9" w14:textId="77777777" w:rsidR="006A214E" w:rsidRPr="001B6954" w:rsidRDefault="006A214E" w:rsidP="006B7B7D">
      <w:pPr>
        <w:pStyle w:val="CETReferencetext"/>
        <w:rPr>
          <w:color w:val="000000" w:themeColor="text1"/>
        </w:rPr>
      </w:pPr>
      <w:proofErr w:type="spellStart"/>
      <w:r w:rsidRPr="001B6954">
        <w:rPr>
          <w:color w:val="000000" w:themeColor="text1"/>
        </w:rPr>
        <w:t>Su</w:t>
      </w:r>
      <w:proofErr w:type="spellEnd"/>
      <w:r w:rsidRPr="001B6954">
        <w:rPr>
          <w:color w:val="000000" w:themeColor="text1"/>
        </w:rPr>
        <w:t xml:space="preserve"> F., Xu S., Sayer E.J., Chen W., Du Y., Lu X., 2021. Distinct storage mechanisms of soil organic carbon in coniferous forest and evergreen broadleaf forest in tropical China. Journal of Environmental Management 295, 113142. https://doi.org/10.1016/j.jenvman.2021.113142</w:t>
      </w:r>
    </w:p>
    <w:p w14:paraId="453BDF1D" w14:textId="35D2479E" w:rsidR="006A214E" w:rsidRPr="001B6954" w:rsidRDefault="006A214E" w:rsidP="006B7B7D">
      <w:pPr>
        <w:pStyle w:val="CETReferencetext"/>
        <w:rPr>
          <w:color w:val="000000" w:themeColor="text1"/>
        </w:rPr>
      </w:pPr>
      <w:r w:rsidRPr="001B6954">
        <w:rPr>
          <w:color w:val="000000" w:themeColor="text1"/>
        </w:rPr>
        <w:t>Wu X., Wang L., An J., Wang Y., Song H., Wu Y., Liu Q., 2022. Relationship between soil organic carbon, soil nutrients, and land use in Linyi city (east China). Sustainability, 14(20), 13585.</w:t>
      </w:r>
    </w:p>
    <w:p w14:paraId="0D302BA1" w14:textId="1427D776" w:rsidR="006B7B7D" w:rsidRPr="006B7B7D" w:rsidRDefault="006A214E" w:rsidP="006B7B7D">
      <w:pPr>
        <w:pStyle w:val="CETReferencetext"/>
        <w:rPr>
          <w:lang w:val="ru-RU"/>
        </w:rPr>
      </w:pPr>
      <w:proofErr w:type="spellStart"/>
      <w:r w:rsidRPr="001B6954">
        <w:rPr>
          <w:color w:val="000000" w:themeColor="text1"/>
        </w:rPr>
        <w:t>Zeraatpisheh</w:t>
      </w:r>
      <w:proofErr w:type="spellEnd"/>
      <w:r w:rsidRPr="001B6954">
        <w:rPr>
          <w:color w:val="000000" w:themeColor="text1"/>
        </w:rPr>
        <w:t xml:space="preserve"> M., </w:t>
      </w:r>
      <w:proofErr w:type="spellStart"/>
      <w:r w:rsidRPr="001B6954">
        <w:rPr>
          <w:color w:val="000000" w:themeColor="text1"/>
        </w:rPr>
        <w:t>Garosi</w:t>
      </w:r>
      <w:proofErr w:type="spellEnd"/>
      <w:r w:rsidRPr="001B6954">
        <w:rPr>
          <w:color w:val="000000" w:themeColor="text1"/>
        </w:rPr>
        <w:t xml:space="preserve"> Y., </w:t>
      </w:r>
      <w:proofErr w:type="spellStart"/>
      <w:r w:rsidRPr="001B6954">
        <w:rPr>
          <w:color w:val="000000" w:themeColor="text1"/>
        </w:rPr>
        <w:t>Owliaie</w:t>
      </w:r>
      <w:proofErr w:type="spellEnd"/>
      <w:r w:rsidRPr="001B6954">
        <w:rPr>
          <w:color w:val="000000" w:themeColor="text1"/>
        </w:rPr>
        <w:t xml:space="preserve"> H., </w:t>
      </w:r>
      <w:proofErr w:type="spellStart"/>
      <w:r w:rsidRPr="001B6954">
        <w:rPr>
          <w:color w:val="000000" w:themeColor="text1"/>
        </w:rPr>
        <w:t>Ayoubi</w:t>
      </w:r>
      <w:proofErr w:type="spellEnd"/>
      <w:r w:rsidRPr="001B6954">
        <w:rPr>
          <w:color w:val="000000" w:themeColor="text1"/>
        </w:rPr>
        <w:t xml:space="preserve"> S., </w:t>
      </w:r>
      <w:proofErr w:type="spellStart"/>
      <w:r w:rsidRPr="001B6954">
        <w:rPr>
          <w:color w:val="000000" w:themeColor="text1"/>
        </w:rPr>
        <w:t>Taghizadeh</w:t>
      </w:r>
      <w:proofErr w:type="spellEnd"/>
      <w:r w:rsidRPr="001B6954">
        <w:rPr>
          <w:color w:val="000000" w:themeColor="text1"/>
        </w:rPr>
        <w:t>–</w:t>
      </w:r>
      <w:proofErr w:type="spellStart"/>
      <w:r w:rsidRPr="001B6954">
        <w:rPr>
          <w:color w:val="000000" w:themeColor="text1"/>
        </w:rPr>
        <w:t>Mehrjardi</w:t>
      </w:r>
      <w:proofErr w:type="spellEnd"/>
      <w:r w:rsidRPr="001B6954">
        <w:rPr>
          <w:color w:val="000000" w:themeColor="text1"/>
        </w:rPr>
        <w:t xml:space="preserve"> R., Scholten T., Xu M., 2022. Improving the spatial prediction of soil organic carbon using environmental covariates selection: A comparison of a group of environmental covariates. CATENA 208, 105723.</w:t>
      </w:r>
    </w:p>
    <w:sectPr w:rsidR="006B7B7D" w:rsidRPr="006B7B7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7ABB0" w14:textId="77777777" w:rsidR="002A6457" w:rsidRDefault="002A6457" w:rsidP="004F5E36">
      <w:r>
        <w:separator/>
      </w:r>
    </w:p>
  </w:endnote>
  <w:endnote w:type="continuationSeparator" w:id="0">
    <w:p w14:paraId="76E947FD" w14:textId="77777777" w:rsidR="002A6457" w:rsidRDefault="002A645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67204" w14:textId="77777777" w:rsidR="002A6457" w:rsidRDefault="002A6457" w:rsidP="004F5E36">
      <w:r>
        <w:separator/>
      </w:r>
    </w:p>
  </w:footnote>
  <w:footnote w:type="continuationSeparator" w:id="0">
    <w:p w14:paraId="2B9D92F3" w14:textId="77777777" w:rsidR="002A6457" w:rsidRDefault="002A645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76A3479"/>
    <w:multiLevelType w:val="multilevel"/>
    <w:tmpl w:val="7AEE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4A3D87"/>
    <w:multiLevelType w:val="hybridMultilevel"/>
    <w:tmpl w:val="6CD6B496"/>
    <w:lvl w:ilvl="0" w:tplc="5A2A54F6">
      <w:start w:val="1"/>
      <w:numFmt w:val="decimal"/>
      <w:pStyle w:val="reference"/>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764A39F9"/>
    <w:multiLevelType w:val="multilevel"/>
    <w:tmpl w:val="7286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22"/>
  </w:num>
  <w:num w:numId="24">
    <w:abstractNumId w:val="1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8B5"/>
    <w:rsid w:val="0003148D"/>
    <w:rsid w:val="00031EEC"/>
    <w:rsid w:val="0003209D"/>
    <w:rsid w:val="00051566"/>
    <w:rsid w:val="000562A9"/>
    <w:rsid w:val="00062A9A"/>
    <w:rsid w:val="00065058"/>
    <w:rsid w:val="00086C39"/>
    <w:rsid w:val="000949E7"/>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18E2"/>
    <w:rsid w:val="00144D16"/>
    <w:rsid w:val="00150E59"/>
    <w:rsid w:val="00151DE4"/>
    <w:rsid w:val="00152DE3"/>
    <w:rsid w:val="00156F74"/>
    <w:rsid w:val="00164CF9"/>
    <w:rsid w:val="001656BC"/>
    <w:rsid w:val="001667A6"/>
    <w:rsid w:val="00175A38"/>
    <w:rsid w:val="00184AD6"/>
    <w:rsid w:val="001A4AF7"/>
    <w:rsid w:val="001B0349"/>
    <w:rsid w:val="001B1E93"/>
    <w:rsid w:val="001B4159"/>
    <w:rsid w:val="001B65C1"/>
    <w:rsid w:val="001B6954"/>
    <w:rsid w:val="001C684B"/>
    <w:rsid w:val="001D0CFB"/>
    <w:rsid w:val="001D21AF"/>
    <w:rsid w:val="001D53FC"/>
    <w:rsid w:val="001E2659"/>
    <w:rsid w:val="001F42A5"/>
    <w:rsid w:val="001F7B9D"/>
    <w:rsid w:val="00201C93"/>
    <w:rsid w:val="00205AE0"/>
    <w:rsid w:val="002224B4"/>
    <w:rsid w:val="002447EF"/>
    <w:rsid w:val="00251550"/>
    <w:rsid w:val="00263B05"/>
    <w:rsid w:val="0027221A"/>
    <w:rsid w:val="00275B61"/>
    <w:rsid w:val="00280FAF"/>
    <w:rsid w:val="00282656"/>
    <w:rsid w:val="00296B83"/>
    <w:rsid w:val="002A6457"/>
    <w:rsid w:val="002B4015"/>
    <w:rsid w:val="002B78CE"/>
    <w:rsid w:val="002C2FB6"/>
    <w:rsid w:val="002D318F"/>
    <w:rsid w:val="002D5E59"/>
    <w:rsid w:val="002E5FA7"/>
    <w:rsid w:val="002F2DAC"/>
    <w:rsid w:val="002F3309"/>
    <w:rsid w:val="003008CE"/>
    <w:rsid w:val="003009B7"/>
    <w:rsid w:val="00300E56"/>
    <w:rsid w:val="0030152C"/>
    <w:rsid w:val="003022CF"/>
    <w:rsid w:val="0030469C"/>
    <w:rsid w:val="00321CA6"/>
    <w:rsid w:val="00323763"/>
    <w:rsid w:val="00323C5F"/>
    <w:rsid w:val="003268D6"/>
    <w:rsid w:val="00334C09"/>
    <w:rsid w:val="00355896"/>
    <w:rsid w:val="003723D4"/>
    <w:rsid w:val="00373930"/>
    <w:rsid w:val="00381905"/>
    <w:rsid w:val="00384CC8"/>
    <w:rsid w:val="003871FD"/>
    <w:rsid w:val="003A1E30"/>
    <w:rsid w:val="003A2829"/>
    <w:rsid w:val="003A6FC6"/>
    <w:rsid w:val="003A7D1C"/>
    <w:rsid w:val="003B304B"/>
    <w:rsid w:val="003B3146"/>
    <w:rsid w:val="003D087C"/>
    <w:rsid w:val="003F015E"/>
    <w:rsid w:val="00400414"/>
    <w:rsid w:val="0041446B"/>
    <w:rsid w:val="0044071E"/>
    <w:rsid w:val="0044329C"/>
    <w:rsid w:val="00453E24"/>
    <w:rsid w:val="00457456"/>
    <w:rsid w:val="004577FE"/>
    <w:rsid w:val="00457B9C"/>
    <w:rsid w:val="0046164A"/>
    <w:rsid w:val="004628D2"/>
    <w:rsid w:val="00462DCD"/>
    <w:rsid w:val="00464545"/>
    <w:rsid w:val="004648AD"/>
    <w:rsid w:val="004703A9"/>
    <w:rsid w:val="004760DE"/>
    <w:rsid w:val="004761E9"/>
    <w:rsid w:val="004763D7"/>
    <w:rsid w:val="00481B55"/>
    <w:rsid w:val="004A004E"/>
    <w:rsid w:val="004A24CF"/>
    <w:rsid w:val="004C3D1D"/>
    <w:rsid w:val="004C3D84"/>
    <w:rsid w:val="004C7913"/>
    <w:rsid w:val="004E4DD6"/>
    <w:rsid w:val="004E7B6F"/>
    <w:rsid w:val="004F5E36"/>
    <w:rsid w:val="00507B47"/>
    <w:rsid w:val="00507BEF"/>
    <w:rsid w:val="00507CC9"/>
    <w:rsid w:val="005119A5"/>
    <w:rsid w:val="00516AAC"/>
    <w:rsid w:val="005278B7"/>
    <w:rsid w:val="00532016"/>
    <w:rsid w:val="005346C8"/>
    <w:rsid w:val="00543E7D"/>
    <w:rsid w:val="00547A68"/>
    <w:rsid w:val="005531C9"/>
    <w:rsid w:val="00570C43"/>
    <w:rsid w:val="00582BF0"/>
    <w:rsid w:val="005877DB"/>
    <w:rsid w:val="005B2110"/>
    <w:rsid w:val="005B61E6"/>
    <w:rsid w:val="005C77E1"/>
    <w:rsid w:val="005D668A"/>
    <w:rsid w:val="005D6A2F"/>
    <w:rsid w:val="005E1A82"/>
    <w:rsid w:val="005E794C"/>
    <w:rsid w:val="005F0A28"/>
    <w:rsid w:val="005F0E5E"/>
    <w:rsid w:val="005F5193"/>
    <w:rsid w:val="00600535"/>
    <w:rsid w:val="00610CD6"/>
    <w:rsid w:val="00620DEE"/>
    <w:rsid w:val="00621F92"/>
    <w:rsid w:val="0062280A"/>
    <w:rsid w:val="00625639"/>
    <w:rsid w:val="00627D99"/>
    <w:rsid w:val="00631B33"/>
    <w:rsid w:val="00640E8B"/>
    <w:rsid w:val="0064184D"/>
    <w:rsid w:val="006422CC"/>
    <w:rsid w:val="00660E3E"/>
    <w:rsid w:val="00662E74"/>
    <w:rsid w:val="00680C23"/>
    <w:rsid w:val="00693766"/>
    <w:rsid w:val="006A214E"/>
    <w:rsid w:val="006A23E9"/>
    <w:rsid w:val="006A3281"/>
    <w:rsid w:val="006B4888"/>
    <w:rsid w:val="006B7B7D"/>
    <w:rsid w:val="006C2E45"/>
    <w:rsid w:val="006C359C"/>
    <w:rsid w:val="006C5579"/>
    <w:rsid w:val="006D402D"/>
    <w:rsid w:val="006D6E8B"/>
    <w:rsid w:val="006E737D"/>
    <w:rsid w:val="0071118E"/>
    <w:rsid w:val="00713973"/>
    <w:rsid w:val="00720A24"/>
    <w:rsid w:val="00722116"/>
    <w:rsid w:val="00732386"/>
    <w:rsid w:val="0073514D"/>
    <w:rsid w:val="007447F3"/>
    <w:rsid w:val="0075499F"/>
    <w:rsid w:val="00764F4C"/>
    <w:rsid w:val="007661C8"/>
    <w:rsid w:val="0077098D"/>
    <w:rsid w:val="007931FA"/>
    <w:rsid w:val="00797C5E"/>
    <w:rsid w:val="007A4861"/>
    <w:rsid w:val="007A7BBA"/>
    <w:rsid w:val="007B0C50"/>
    <w:rsid w:val="007B48F9"/>
    <w:rsid w:val="007C1A43"/>
    <w:rsid w:val="007D0951"/>
    <w:rsid w:val="007D4CD9"/>
    <w:rsid w:val="0080013E"/>
    <w:rsid w:val="00813288"/>
    <w:rsid w:val="008168FC"/>
    <w:rsid w:val="00830996"/>
    <w:rsid w:val="008345F1"/>
    <w:rsid w:val="00843EAC"/>
    <w:rsid w:val="00856DD9"/>
    <w:rsid w:val="00865B07"/>
    <w:rsid w:val="008667EA"/>
    <w:rsid w:val="0087637F"/>
    <w:rsid w:val="00880C2E"/>
    <w:rsid w:val="00892AD5"/>
    <w:rsid w:val="008A1512"/>
    <w:rsid w:val="008B6DBA"/>
    <w:rsid w:val="008B7C03"/>
    <w:rsid w:val="008D32B9"/>
    <w:rsid w:val="008D433B"/>
    <w:rsid w:val="008D4A16"/>
    <w:rsid w:val="008E566E"/>
    <w:rsid w:val="0090161A"/>
    <w:rsid w:val="00901EB6"/>
    <w:rsid w:val="00902EDA"/>
    <w:rsid w:val="00904C62"/>
    <w:rsid w:val="0090514A"/>
    <w:rsid w:val="00922BA8"/>
    <w:rsid w:val="00924DAC"/>
    <w:rsid w:val="00927058"/>
    <w:rsid w:val="00931A44"/>
    <w:rsid w:val="00940DE2"/>
    <w:rsid w:val="00942750"/>
    <w:rsid w:val="009450CE"/>
    <w:rsid w:val="009459BB"/>
    <w:rsid w:val="00947179"/>
    <w:rsid w:val="0095164B"/>
    <w:rsid w:val="00954090"/>
    <w:rsid w:val="009573E7"/>
    <w:rsid w:val="0096178A"/>
    <w:rsid w:val="00963E05"/>
    <w:rsid w:val="00964A45"/>
    <w:rsid w:val="00967843"/>
    <w:rsid w:val="00967D54"/>
    <w:rsid w:val="00971028"/>
    <w:rsid w:val="00991436"/>
    <w:rsid w:val="00993B84"/>
    <w:rsid w:val="00996483"/>
    <w:rsid w:val="00996F5A"/>
    <w:rsid w:val="009B041A"/>
    <w:rsid w:val="009C3770"/>
    <w:rsid w:val="009C37C3"/>
    <w:rsid w:val="009C7C86"/>
    <w:rsid w:val="009D2FF7"/>
    <w:rsid w:val="009E7884"/>
    <w:rsid w:val="009E788A"/>
    <w:rsid w:val="009F0E08"/>
    <w:rsid w:val="00A1763D"/>
    <w:rsid w:val="00A17CEC"/>
    <w:rsid w:val="00A250FF"/>
    <w:rsid w:val="00A25C02"/>
    <w:rsid w:val="00A27CD4"/>
    <w:rsid w:val="00A27EF0"/>
    <w:rsid w:val="00A421A3"/>
    <w:rsid w:val="00A42361"/>
    <w:rsid w:val="00A50B20"/>
    <w:rsid w:val="00A51390"/>
    <w:rsid w:val="00A60D13"/>
    <w:rsid w:val="00A60F01"/>
    <w:rsid w:val="00A7223D"/>
    <w:rsid w:val="00A726A5"/>
    <w:rsid w:val="00A72745"/>
    <w:rsid w:val="00A76EFC"/>
    <w:rsid w:val="00A87D50"/>
    <w:rsid w:val="00A91010"/>
    <w:rsid w:val="00A97F29"/>
    <w:rsid w:val="00AA47AD"/>
    <w:rsid w:val="00AA702E"/>
    <w:rsid w:val="00AA7D26"/>
    <w:rsid w:val="00AB0964"/>
    <w:rsid w:val="00AB5011"/>
    <w:rsid w:val="00AC7368"/>
    <w:rsid w:val="00AD16B9"/>
    <w:rsid w:val="00AD2869"/>
    <w:rsid w:val="00AE377D"/>
    <w:rsid w:val="00AF0EBA"/>
    <w:rsid w:val="00B02C8A"/>
    <w:rsid w:val="00B15EBF"/>
    <w:rsid w:val="00B17FBD"/>
    <w:rsid w:val="00B26E65"/>
    <w:rsid w:val="00B315A6"/>
    <w:rsid w:val="00B31813"/>
    <w:rsid w:val="00B33365"/>
    <w:rsid w:val="00B57B36"/>
    <w:rsid w:val="00B57E6F"/>
    <w:rsid w:val="00B71298"/>
    <w:rsid w:val="00B8686D"/>
    <w:rsid w:val="00B93F69"/>
    <w:rsid w:val="00BB1DDC"/>
    <w:rsid w:val="00BC30C9"/>
    <w:rsid w:val="00BD077D"/>
    <w:rsid w:val="00BE3E58"/>
    <w:rsid w:val="00BF6268"/>
    <w:rsid w:val="00C01616"/>
    <w:rsid w:val="00C0162B"/>
    <w:rsid w:val="00C068ED"/>
    <w:rsid w:val="00C16C85"/>
    <w:rsid w:val="00C22E0C"/>
    <w:rsid w:val="00C31E95"/>
    <w:rsid w:val="00C345B1"/>
    <w:rsid w:val="00C40142"/>
    <w:rsid w:val="00C4165A"/>
    <w:rsid w:val="00C52C3C"/>
    <w:rsid w:val="00C57182"/>
    <w:rsid w:val="00C57863"/>
    <w:rsid w:val="00C640AF"/>
    <w:rsid w:val="00C655FD"/>
    <w:rsid w:val="00C75407"/>
    <w:rsid w:val="00C870A8"/>
    <w:rsid w:val="00C931D4"/>
    <w:rsid w:val="00C94434"/>
    <w:rsid w:val="00CA0D4A"/>
    <w:rsid w:val="00CA0D75"/>
    <w:rsid w:val="00CA1C95"/>
    <w:rsid w:val="00CA5A9C"/>
    <w:rsid w:val="00CC4C20"/>
    <w:rsid w:val="00CD3517"/>
    <w:rsid w:val="00CD5FE2"/>
    <w:rsid w:val="00CE7C68"/>
    <w:rsid w:val="00D02B4C"/>
    <w:rsid w:val="00D040C4"/>
    <w:rsid w:val="00D20AD1"/>
    <w:rsid w:val="00D46B7E"/>
    <w:rsid w:val="00D57C84"/>
    <w:rsid w:val="00D6057D"/>
    <w:rsid w:val="00D648EC"/>
    <w:rsid w:val="00D70AC8"/>
    <w:rsid w:val="00D71640"/>
    <w:rsid w:val="00D72ABA"/>
    <w:rsid w:val="00D836C5"/>
    <w:rsid w:val="00D84576"/>
    <w:rsid w:val="00DA1399"/>
    <w:rsid w:val="00DA24C6"/>
    <w:rsid w:val="00DA4D7B"/>
    <w:rsid w:val="00DB3233"/>
    <w:rsid w:val="00DD271C"/>
    <w:rsid w:val="00DE264A"/>
    <w:rsid w:val="00DE3B29"/>
    <w:rsid w:val="00DF5072"/>
    <w:rsid w:val="00E02D18"/>
    <w:rsid w:val="00E041E7"/>
    <w:rsid w:val="00E1001B"/>
    <w:rsid w:val="00E121C6"/>
    <w:rsid w:val="00E23CA1"/>
    <w:rsid w:val="00E33DD7"/>
    <w:rsid w:val="00E409A8"/>
    <w:rsid w:val="00E50C12"/>
    <w:rsid w:val="00E65B91"/>
    <w:rsid w:val="00E7209D"/>
    <w:rsid w:val="00E72EAD"/>
    <w:rsid w:val="00E77223"/>
    <w:rsid w:val="00E801BD"/>
    <w:rsid w:val="00E8528B"/>
    <w:rsid w:val="00E85B94"/>
    <w:rsid w:val="00E978D0"/>
    <w:rsid w:val="00EA4613"/>
    <w:rsid w:val="00EA7F91"/>
    <w:rsid w:val="00EB1523"/>
    <w:rsid w:val="00EB1D09"/>
    <w:rsid w:val="00EC0E49"/>
    <w:rsid w:val="00EC101F"/>
    <w:rsid w:val="00EC1D9F"/>
    <w:rsid w:val="00EE0131"/>
    <w:rsid w:val="00EE17B0"/>
    <w:rsid w:val="00EF06D9"/>
    <w:rsid w:val="00F12ABF"/>
    <w:rsid w:val="00F3049E"/>
    <w:rsid w:val="00F30C64"/>
    <w:rsid w:val="00F32BA2"/>
    <w:rsid w:val="00F32CDB"/>
    <w:rsid w:val="00F565FE"/>
    <w:rsid w:val="00F63A70"/>
    <w:rsid w:val="00F63D8C"/>
    <w:rsid w:val="00F7534E"/>
    <w:rsid w:val="00F93EDF"/>
    <w:rsid w:val="00FA1802"/>
    <w:rsid w:val="00FA21D0"/>
    <w:rsid w:val="00FA5F5F"/>
    <w:rsid w:val="00FB730C"/>
    <w:rsid w:val="00FC2695"/>
    <w:rsid w:val="00FC3E03"/>
    <w:rsid w:val="00FC3FC1"/>
    <w:rsid w:val="00FD056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10">
    <w:name w:val="heading 1"/>
    <w:basedOn w:val="CETHeading1"/>
    <w:next w:val="a1"/>
    <w:link w:val="11"/>
    <w:uiPriority w:val="9"/>
    <w:rsid w:val="004F5E36"/>
    <w:pPr>
      <w:tabs>
        <w:tab w:val="clear" w:pos="360"/>
        <w:tab w:val="right" w:pos="7100"/>
      </w:tabs>
      <w:jc w:val="both"/>
      <w:outlineLvl w:val="0"/>
    </w:pPr>
    <w:rPr>
      <w:lang w:val="en-GB"/>
    </w:rPr>
  </w:style>
  <w:style w:type="paragraph" w:styleId="21">
    <w:name w:val="heading 2"/>
    <w:basedOn w:val="a1"/>
    <w:next w:val="a1"/>
    <w:link w:val="22"/>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41">
    <w:name w:val="heading 4"/>
    <w:basedOn w:val="a1"/>
    <w:next w:val="a1"/>
    <w:link w:val="42"/>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basedOn w:val="a1"/>
    <w:next w:val="a1"/>
    <w:link w:val="52"/>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1"/>
    <w:next w:val="a1"/>
    <w:link w:val="90"/>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1">
    <w:name w:val="Table Simple 1"/>
    <w:basedOn w:val="a3"/>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a5">
    <w:name w:val="annotation reference"/>
    <w:basedOn w:val="a2"/>
    <w:uiPriority w:val="99"/>
    <w:semiHidden/>
    <w:unhideWhenUsed/>
    <w:rsid w:val="004577FE"/>
    <w:rPr>
      <w:sz w:val="16"/>
      <w:szCs w:val="16"/>
    </w:rPr>
  </w:style>
  <w:style w:type="paragraph" w:styleId="a6">
    <w:name w:val="Balloon Text"/>
    <w:basedOn w:val="a1"/>
    <w:link w:val="a7"/>
    <w:uiPriority w:val="99"/>
    <w:semiHidden/>
    <w:unhideWhenUsed/>
    <w:rsid w:val="000D34BE"/>
    <w:pPr>
      <w:spacing w:line="240" w:lineRule="auto"/>
    </w:pPr>
    <w:rPr>
      <w:rFonts w:ascii="Tahoma" w:hAnsi="Tahoma" w:cs="Tahoma"/>
      <w:sz w:val="16"/>
      <w:szCs w:val="16"/>
    </w:rPr>
  </w:style>
  <w:style w:type="character" w:customStyle="1" w:styleId="a7">
    <w:name w:val="Текст выноски Знак"/>
    <w:basedOn w:val="a2"/>
    <w:link w:val="a6"/>
    <w:uiPriority w:val="99"/>
    <w:semiHidden/>
    <w:rsid w:val="000D34BE"/>
    <w:rPr>
      <w:rFonts w:ascii="Tahoma" w:hAnsi="Tahoma" w:cs="Tahoma"/>
      <w:sz w:val="16"/>
      <w:szCs w:val="16"/>
    </w:rPr>
  </w:style>
  <w:style w:type="paragraph" w:styleId="a8">
    <w:name w:val="Bibliography"/>
    <w:basedOn w:val="CETReferencetext"/>
    <w:uiPriority w:val="37"/>
    <w:unhideWhenUsed/>
    <w:rsid w:val="00631B33"/>
    <w:pPr>
      <w:spacing w:line="240" w:lineRule="auto"/>
      <w:ind w:left="720" w:hanging="720"/>
    </w:pPr>
  </w:style>
  <w:style w:type="paragraph" w:styleId="23">
    <w:name w:val="Body Text 2"/>
    <w:basedOn w:val="a1"/>
    <w:link w:val="24"/>
    <w:uiPriority w:val="99"/>
    <w:semiHidden/>
    <w:unhideWhenUsed/>
    <w:rsid w:val="0003148D"/>
    <w:pPr>
      <w:spacing w:after="120" w:line="480" w:lineRule="auto"/>
    </w:pPr>
  </w:style>
  <w:style w:type="character" w:customStyle="1" w:styleId="24">
    <w:name w:val="Основной текст 2 Знак"/>
    <w:basedOn w:val="a2"/>
    <w:link w:val="23"/>
    <w:uiPriority w:val="99"/>
    <w:semiHidden/>
    <w:rsid w:val="0003148D"/>
  </w:style>
  <w:style w:type="paragraph" w:styleId="33">
    <w:name w:val="Body Text 3"/>
    <w:basedOn w:val="a1"/>
    <w:link w:val="34"/>
    <w:uiPriority w:val="99"/>
    <w:semiHidden/>
    <w:unhideWhenUsed/>
    <w:rsid w:val="0003148D"/>
    <w:pPr>
      <w:spacing w:after="120"/>
    </w:pPr>
    <w:rPr>
      <w:sz w:val="16"/>
      <w:szCs w:val="16"/>
    </w:rPr>
  </w:style>
  <w:style w:type="character" w:customStyle="1" w:styleId="34">
    <w:name w:val="Основной текст 3 Знак"/>
    <w:basedOn w:val="a2"/>
    <w:link w:val="33"/>
    <w:uiPriority w:val="99"/>
    <w:semiHidden/>
    <w:rsid w:val="0003148D"/>
    <w:rPr>
      <w:sz w:val="16"/>
      <w:szCs w:val="16"/>
    </w:rPr>
  </w:style>
  <w:style w:type="paragraph" w:styleId="a9">
    <w:name w:val="Body Text"/>
    <w:basedOn w:val="a1"/>
    <w:link w:val="aa"/>
    <w:uiPriority w:val="99"/>
    <w:semiHidden/>
    <w:unhideWhenUsed/>
    <w:rsid w:val="0003148D"/>
    <w:pPr>
      <w:spacing w:after="120"/>
    </w:pPr>
  </w:style>
  <w:style w:type="character" w:customStyle="1" w:styleId="aa">
    <w:name w:val="Основной текст Знак"/>
    <w:basedOn w:val="a2"/>
    <w:link w:val="a9"/>
    <w:uiPriority w:val="99"/>
    <w:semiHidden/>
    <w:rsid w:val="0003148D"/>
  </w:style>
  <w:style w:type="paragraph" w:styleId="ab">
    <w:name w:val="Date"/>
    <w:basedOn w:val="a1"/>
    <w:next w:val="a1"/>
    <w:link w:val="ac"/>
    <w:uiPriority w:val="99"/>
    <w:semiHidden/>
    <w:unhideWhenUsed/>
    <w:rsid w:val="0003148D"/>
  </w:style>
  <w:style w:type="character" w:customStyle="1" w:styleId="ac">
    <w:name w:val="Дата Знак"/>
    <w:basedOn w:val="a2"/>
    <w:link w:val="ab"/>
    <w:uiPriority w:val="99"/>
    <w:semiHidden/>
    <w:rsid w:val="0003148D"/>
  </w:style>
  <w:style w:type="paragraph" w:styleId="ad">
    <w:name w:val="caption"/>
    <w:basedOn w:val="a1"/>
    <w:next w:val="a1"/>
    <w:uiPriority w:val="35"/>
    <w:semiHidden/>
    <w:unhideWhenUsed/>
    <w:qFormat/>
    <w:rsid w:val="0003148D"/>
    <w:pPr>
      <w:spacing w:line="240" w:lineRule="auto"/>
    </w:pPr>
    <w:rPr>
      <w:b/>
      <w:bCs/>
      <w:color w:val="4F81BD" w:themeColor="accent1"/>
      <w:szCs w:val="18"/>
    </w:rPr>
  </w:style>
  <w:style w:type="paragraph" w:styleId="ae">
    <w:name w:val="List"/>
    <w:basedOn w:val="a1"/>
    <w:uiPriority w:val="99"/>
    <w:semiHidden/>
    <w:unhideWhenUsed/>
    <w:rsid w:val="0003148D"/>
    <w:pPr>
      <w:ind w:left="283" w:hanging="283"/>
      <w:contextualSpacing/>
    </w:pPr>
  </w:style>
  <w:style w:type="paragraph" w:styleId="25">
    <w:name w:val="List 2"/>
    <w:basedOn w:val="a1"/>
    <w:uiPriority w:val="99"/>
    <w:semiHidden/>
    <w:unhideWhenUsed/>
    <w:rsid w:val="0003148D"/>
    <w:pPr>
      <w:ind w:left="566" w:hanging="283"/>
      <w:contextualSpacing/>
    </w:pPr>
  </w:style>
  <w:style w:type="paragraph" w:styleId="35">
    <w:name w:val="List 3"/>
    <w:basedOn w:val="a1"/>
    <w:uiPriority w:val="99"/>
    <w:semiHidden/>
    <w:unhideWhenUsed/>
    <w:rsid w:val="0003148D"/>
    <w:pPr>
      <w:ind w:left="849" w:hanging="283"/>
      <w:contextualSpacing/>
    </w:pPr>
  </w:style>
  <w:style w:type="paragraph" w:styleId="43">
    <w:name w:val="List 4"/>
    <w:basedOn w:val="a1"/>
    <w:uiPriority w:val="99"/>
    <w:semiHidden/>
    <w:unhideWhenUsed/>
    <w:rsid w:val="0003148D"/>
    <w:pPr>
      <w:ind w:left="1132" w:hanging="283"/>
      <w:contextualSpacing/>
    </w:pPr>
  </w:style>
  <w:style w:type="paragraph" w:styleId="53">
    <w:name w:val="List 5"/>
    <w:basedOn w:val="a1"/>
    <w:uiPriority w:val="99"/>
    <w:semiHidden/>
    <w:unhideWhenUsed/>
    <w:rsid w:val="0003148D"/>
    <w:pPr>
      <w:ind w:left="1415" w:hanging="283"/>
      <w:contextualSpacing/>
    </w:pPr>
  </w:style>
  <w:style w:type="paragraph" w:styleId="af">
    <w:name w:val="List Continue"/>
    <w:basedOn w:val="a1"/>
    <w:uiPriority w:val="99"/>
    <w:semiHidden/>
    <w:unhideWhenUsed/>
    <w:rsid w:val="0003148D"/>
    <w:pPr>
      <w:spacing w:after="120"/>
      <w:ind w:left="283"/>
      <w:contextualSpacing/>
    </w:pPr>
  </w:style>
  <w:style w:type="paragraph" w:styleId="26">
    <w:name w:val="List Continue 2"/>
    <w:basedOn w:val="a1"/>
    <w:uiPriority w:val="99"/>
    <w:semiHidden/>
    <w:unhideWhenUsed/>
    <w:rsid w:val="0003148D"/>
    <w:pPr>
      <w:spacing w:after="120"/>
      <w:ind w:left="566"/>
      <w:contextualSpacing/>
    </w:pPr>
  </w:style>
  <w:style w:type="paragraph" w:styleId="36">
    <w:name w:val="List Continue 3"/>
    <w:basedOn w:val="a1"/>
    <w:uiPriority w:val="99"/>
    <w:semiHidden/>
    <w:unhideWhenUsed/>
    <w:rsid w:val="0003148D"/>
    <w:pPr>
      <w:spacing w:after="120"/>
      <w:ind w:left="849"/>
      <w:contextualSpacing/>
    </w:pPr>
  </w:style>
  <w:style w:type="paragraph" w:styleId="44">
    <w:name w:val="List Continue 4"/>
    <w:basedOn w:val="a1"/>
    <w:uiPriority w:val="99"/>
    <w:semiHidden/>
    <w:unhideWhenUsed/>
    <w:rsid w:val="0003148D"/>
    <w:pPr>
      <w:spacing w:after="120"/>
      <w:ind w:left="1132"/>
      <w:contextualSpacing/>
    </w:pPr>
  </w:style>
  <w:style w:type="paragraph" w:styleId="54">
    <w:name w:val="List Continue 5"/>
    <w:basedOn w:val="a1"/>
    <w:uiPriority w:val="99"/>
    <w:semiHidden/>
    <w:unhideWhenUsed/>
    <w:rsid w:val="0003148D"/>
    <w:pPr>
      <w:spacing w:after="120"/>
      <w:ind w:left="1415"/>
      <w:contextualSpacing/>
    </w:pPr>
  </w:style>
  <w:style w:type="paragraph" w:styleId="af0">
    <w:name w:val="Signature"/>
    <w:basedOn w:val="a1"/>
    <w:link w:val="af1"/>
    <w:uiPriority w:val="99"/>
    <w:semiHidden/>
    <w:unhideWhenUsed/>
    <w:rsid w:val="0003148D"/>
    <w:pPr>
      <w:spacing w:line="240" w:lineRule="auto"/>
      <w:ind w:left="4252"/>
    </w:pPr>
  </w:style>
  <w:style w:type="character" w:customStyle="1" w:styleId="af1">
    <w:name w:val="Подпись Знак"/>
    <w:basedOn w:val="a2"/>
    <w:link w:val="af0"/>
    <w:uiPriority w:val="99"/>
    <w:semiHidden/>
    <w:rsid w:val="0003148D"/>
  </w:style>
  <w:style w:type="paragraph" w:styleId="af2">
    <w:name w:val="E-mail Signature"/>
    <w:basedOn w:val="a1"/>
    <w:link w:val="af3"/>
    <w:uiPriority w:val="99"/>
    <w:semiHidden/>
    <w:unhideWhenUsed/>
    <w:rsid w:val="0003148D"/>
    <w:pPr>
      <w:spacing w:line="240" w:lineRule="auto"/>
    </w:pPr>
  </w:style>
  <w:style w:type="character" w:customStyle="1" w:styleId="af3">
    <w:name w:val="Электронная подпись Знак"/>
    <w:basedOn w:val="a2"/>
    <w:link w:val="af2"/>
    <w:uiPriority w:val="99"/>
    <w:semiHidden/>
    <w:rsid w:val="0003148D"/>
  </w:style>
  <w:style w:type="paragraph" w:styleId="af4">
    <w:name w:val="Salutation"/>
    <w:basedOn w:val="a1"/>
    <w:next w:val="a1"/>
    <w:link w:val="af5"/>
    <w:uiPriority w:val="99"/>
    <w:semiHidden/>
    <w:unhideWhenUsed/>
    <w:rsid w:val="0003148D"/>
  </w:style>
  <w:style w:type="character" w:customStyle="1" w:styleId="af5">
    <w:name w:val="Приветствие Знак"/>
    <w:basedOn w:val="a2"/>
    <w:link w:val="af4"/>
    <w:uiPriority w:val="99"/>
    <w:semiHidden/>
    <w:rsid w:val="0003148D"/>
  </w:style>
  <w:style w:type="paragraph" w:styleId="af6">
    <w:name w:val="Closing"/>
    <w:basedOn w:val="a1"/>
    <w:link w:val="af7"/>
    <w:uiPriority w:val="99"/>
    <w:semiHidden/>
    <w:unhideWhenUsed/>
    <w:rsid w:val="0003148D"/>
    <w:pPr>
      <w:spacing w:line="240" w:lineRule="auto"/>
      <w:ind w:left="4252"/>
    </w:pPr>
  </w:style>
  <w:style w:type="character" w:customStyle="1" w:styleId="af7">
    <w:name w:val="Прощание Знак"/>
    <w:basedOn w:val="a2"/>
    <w:link w:val="af6"/>
    <w:uiPriority w:val="99"/>
    <w:semiHidden/>
    <w:rsid w:val="0003148D"/>
  </w:style>
  <w:style w:type="paragraph" w:styleId="12">
    <w:name w:val="index 1"/>
    <w:basedOn w:val="a1"/>
    <w:next w:val="a1"/>
    <w:autoRedefine/>
    <w:uiPriority w:val="99"/>
    <w:semiHidden/>
    <w:unhideWhenUsed/>
    <w:rsid w:val="0003148D"/>
    <w:pPr>
      <w:spacing w:line="240" w:lineRule="auto"/>
      <w:ind w:left="220" w:hanging="220"/>
    </w:pPr>
  </w:style>
  <w:style w:type="paragraph" w:styleId="27">
    <w:name w:val="index 2"/>
    <w:basedOn w:val="a1"/>
    <w:next w:val="a1"/>
    <w:autoRedefine/>
    <w:uiPriority w:val="99"/>
    <w:semiHidden/>
    <w:unhideWhenUsed/>
    <w:rsid w:val="0003148D"/>
    <w:pPr>
      <w:spacing w:line="240" w:lineRule="auto"/>
      <w:ind w:left="440" w:hanging="220"/>
    </w:pPr>
  </w:style>
  <w:style w:type="paragraph" w:styleId="37">
    <w:name w:val="index 3"/>
    <w:basedOn w:val="a1"/>
    <w:next w:val="a1"/>
    <w:autoRedefine/>
    <w:uiPriority w:val="99"/>
    <w:semiHidden/>
    <w:unhideWhenUsed/>
    <w:rsid w:val="0003148D"/>
    <w:pPr>
      <w:spacing w:line="240" w:lineRule="auto"/>
      <w:ind w:left="660" w:hanging="220"/>
    </w:pPr>
  </w:style>
  <w:style w:type="paragraph" w:styleId="45">
    <w:name w:val="index 4"/>
    <w:basedOn w:val="a1"/>
    <w:next w:val="a1"/>
    <w:autoRedefine/>
    <w:uiPriority w:val="99"/>
    <w:semiHidden/>
    <w:unhideWhenUsed/>
    <w:rsid w:val="0003148D"/>
    <w:pPr>
      <w:spacing w:line="240" w:lineRule="auto"/>
      <w:ind w:left="880" w:hanging="220"/>
    </w:pPr>
  </w:style>
  <w:style w:type="paragraph" w:styleId="55">
    <w:name w:val="index 5"/>
    <w:basedOn w:val="a1"/>
    <w:next w:val="a1"/>
    <w:autoRedefine/>
    <w:uiPriority w:val="99"/>
    <w:semiHidden/>
    <w:unhideWhenUsed/>
    <w:rsid w:val="0003148D"/>
    <w:pPr>
      <w:spacing w:line="240" w:lineRule="auto"/>
      <w:ind w:left="1100" w:hanging="220"/>
    </w:pPr>
  </w:style>
  <w:style w:type="paragraph" w:styleId="61">
    <w:name w:val="index 6"/>
    <w:basedOn w:val="a1"/>
    <w:next w:val="a1"/>
    <w:autoRedefine/>
    <w:uiPriority w:val="99"/>
    <w:semiHidden/>
    <w:unhideWhenUsed/>
    <w:rsid w:val="0003148D"/>
    <w:pPr>
      <w:spacing w:line="240" w:lineRule="auto"/>
      <w:ind w:left="1320" w:hanging="220"/>
    </w:pPr>
  </w:style>
  <w:style w:type="paragraph" w:styleId="71">
    <w:name w:val="index 7"/>
    <w:basedOn w:val="a1"/>
    <w:next w:val="a1"/>
    <w:autoRedefine/>
    <w:uiPriority w:val="99"/>
    <w:semiHidden/>
    <w:unhideWhenUsed/>
    <w:rsid w:val="0003148D"/>
    <w:pPr>
      <w:spacing w:line="240" w:lineRule="auto"/>
      <w:ind w:left="1540" w:hanging="220"/>
    </w:pPr>
  </w:style>
  <w:style w:type="paragraph" w:styleId="81">
    <w:name w:val="index 8"/>
    <w:basedOn w:val="a1"/>
    <w:next w:val="a1"/>
    <w:autoRedefine/>
    <w:uiPriority w:val="99"/>
    <w:semiHidden/>
    <w:unhideWhenUsed/>
    <w:rsid w:val="0003148D"/>
    <w:pPr>
      <w:spacing w:line="240" w:lineRule="auto"/>
      <w:ind w:left="1760" w:hanging="220"/>
    </w:pPr>
  </w:style>
  <w:style w:type="paragraph" w:styleId="91">
    <w:name w:val="index 9"/>
    <w:basedOn w:val="a1"/>
    <w:next w:val="a1"/>
    <w:autoRedefine/>
    <w:uiPriority w:val="99"/>
    <w:semiHidden/>
    <w:unhideWhenUsed/>
    <w:rsid w:val="0003148D"/>
    <w:pPr>
      <w:spacing w:line="240" w:lineRule="auto"/>
      <w:ind w:left="1980" w:hanging="220"/>
    </w:pPr>
  </w:style>
  <w:style w:type="paragraph" w:styleId="af8">
    <w:name w:val="table of figures"/>
    <w:basedOn w:val="a1"/>
    <w:next w:val="a1"/>
    <w:uiPriority w:val="99"/>
    <w:semiHidden/>
    <w:unhideWhenUsed/>
    <w:rsid w:val="0003148D"/>
  </w:style>
  <w:style w:type="paragraph" w:styleId="af9">
    <w:name w:val="table of authorities"/>
    <w:basedOn w:val="a1"/>
    <w:next w:val="a1"/>
    <w:uiPriority w:val="99"/>
    <w:semiHidden/>
    <w:unhideWhenUsed/>
    <w:rsid w:val="0003148D"/>
    <w:pPr>
      <w:ind w:left="220" w:hanging="220"/>
    </w:pPr>
  </w:style>
  <w:style w:type="paragraph" w:styleId="afa">
    <w:name w:val="envelope address"/>
    <w:basedOn w:val="a1"/>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
    <w:name w:val="HTML Address"/>
    <w:basedOn w:val="a1"/>
    <w:link w:val="HTML0"/>
    <w:uiPriority w:val="99"/>
    <w:semiHidden/>
    <w:unhideWhenUsed/>
    <w:rsid w:val="0003148D"/>
    <w:pPr>
      <w:spacing w:line="240" w:lineRule="auto"/>
    </w:pPr>
    <w:rPr>
      <w:i/>
      <w:iCs/>
    </w:rPr>
  </w:style>
  <w:style w:type="character" w:customStyle="1" w:styleId="HTML0">
    <w:name w:val="Адрес HTML Знак"/>
    <w:basedOn w:val="a2"/>
    <w:link w:val="HTML"/>
    <w:uiPriority w:val="99"/>
    <w:semiHidden/>
    <w:rsid w:val="0003148D"/>
    <w:rPr>
      <w:i/>
      <w:iCs/>
    </w:rPr>
  </w:style>
  <w:style w:type="paragraph" w:styleId="28">
    <w:name w:val="envelope return"/>
    <w:basedOn w:val="a1"/>
    <w:uiPriority w:val="99"/>
    <w:semiHidden/>
    <w:unhideWhenUsed/>
    <w:rsid w:val="0003148D"/>
    <w:pPr>
      <w:spacing w:line="240" w:lineRule="auto"/>
    </w:pPr>
    <w:rPr>
      <w:rFonts w:asciiTheme="majorHAnsi" w:eastAsiaTheme="majorEastAsia" w:hAnsiTheme="majorHAnsi" w:cstheme="majorBidi"/>
    </w:rPr>
  </w:style>
  <w:style w:type="paragraph" w:styleId="afb">
    <w:name w:val="Message Header"/>
    <w:basedOn w:val="a1"/>
    <w:link w:val="afc"/>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afc">
    <w:name w:val="Шапка Знак"/>
    <w:basedOn w:val="a2"/>
    <w:link w:val="afb"/>
    <w:uiPriority w:val="99"/>
    <w:semiHidden/>
    <w:rsid w:val="0003148D"/>
    <w:rPr>
      <w:rFonts w:asciiTheme="majorHAnsi" w:eastAsiaTheme="majorEastAsia" w:hAnsiTheme="majorHAnsi" w:cstheme="majorBidi"/>
      <w:sz w:val="24"/>
      <w:szCs w:val="24"/>
      <w:shd w:val="pct20" w:color="auto" w:fill="auto"/>
    </w:rPr>
  </w:style>
  <w:style w:type="paragraph" w:styleId="afd">
    <w:name w:val="Note Heading"/>
    <w:basedOn w:val="a1"/>
    <w:next w:val="a1"/>
    <w:link w:val="afe"/>
    <w:uiPriority w:val="99"/>
    <w:semiHidden/>
    <w:unhideWhenUsed/>
    <w:rsid w:val="0003148D"/>
    <w:pPr>
      <w:spacing w:line="240" w:lineRule="auto"/>
    </w:pPr>
  </w:style>
  <w:style w:type="character" w:customStyle="1" w:styleId="afe">
    <w:name w:val="Заголовок записки Знак"/>
    <w:basedOn w:val="a2"/>
    <w:link w:val="afd"/>
    <w:uiPriority w:val="99"/>
    <w:semiHidden/>
    <w:rsid w:val="0003148D"/>
  </w:style>
  <w:style w:type="paragraph" w:styleId="aff">
    <w:name w:val="Document Map"/>
    <w:basedOn w:val="a1"/>
    <w:link w:val="aff0"/>
    <w:uiPriority w:val="99"/>
    <w:semiHidden/>
    <w:unhideWhenUsed/>
    <w:rsid w:val="0003148D"/>
    <w:pPr>
      <w:spacing w:line="240" w:lineRule="auto"/>
    </w:pPr>
    <w:rPr>
      <w:rFonts w:ascii="Tahoma" w:hAnsi="Tahoma" w:cs="Tahoma"/>
      <w:sz w:val="16"/>
      <w:szCs w:val="16"/>
    </w:rPr>
  </w:style>
  <w:style w:type="character" w:customStyle="1" w:styleId="aff0">
    <w:name w:val="Схема документа Знак"/>
    <w:basedOn w:val="a2"/>
    <w:link w:val="aff"/>
    <w:uiPriority w:val="99"/>
    <w:semiHidden/>
    <w:rsid w:val="0003148D"/>
    <w:rPr>
      <w:rFonts w:ascii="Tahoma" w:hAnsi="Tahoma" w:cs="Tahoma"/>
      <w:sz w:val="16"/>
      <w:szCs w:val="16"/>
    </w:rPr>
  </w:style>
  <w:style w:type="paragraph" w:styleId="aff1">
    <w:name w:val="Normal (Web)"/>
    <w:basedOn w:val="a1"/>
    <w:uiPriority w:val="99"/>
    <w:semiHidden/>
    <w:unhideWhenUsed/>
    <w:rsid w:val="0003148D"/>
    <w:rPr>
      <w:sz w:val="24"/>
      <w:szCs w:val="24"/>
    </w:rPr>
  </w:style>
  <w:style w:type="paragraph" w:styleId="a">
    <w:name w:val="List Number"/>
    <w:basedOn w:val="a1"/>
    <w:uiPriority w:val="99"/>
    <w:semiHidden/>
    <w:unhideWhenUsed/>
    <w:rsid w:val="0003148D"/>
    <w:pPr>
      <w:numPr>
        <w:numId w:val="2"/>
      </w:numPr>
      <w:contextualSpacing/>
    </w:pPr>
  </w:style>
  <w:style w:type="paragraph" w:styleId="2">
    <w:name w:val="List Number 2"/>
    <w:basedOn w:val="a1"/>
    <w:uiPriority w:val="99"/>
    <w:semiHidden/>
    <w:unhideWhenUsed/>
    <w:rsid w:val="0003148D"/>
    <w:pPr>
      <w:numPr>
        <w:numId w:val="3"/>
      </w:numPr>
      <w:contextualSpacing/>
    </w:pPr>
  </w:style>
  <w:style w:type="paragraph" w:styleId="3">
    <w:name w:val="List Number 3"/>
    <w:basedOn w:val="a1"/>
    <w:uiPriority w:val="99"/>
    <w:semiHidden/>
    <w:unhideWhenUsed/>
    <w:rsid w:val="0003148D"/>
    <w:pPr>
      <w:numPr>
        <w:numId w:val="4"/>
      </w:numPr>
      <w:contextualSpacing/>
    </w:pPr>
  </w:style>
  <w:style w:type="paragraph" w:styleId="4">
    <w:name w:val="List Number 4"/>
    <w:basedOn w:val="a1"/>
    <w:uiPriority w:val="99"/>
    <w:semiHidden/>
    <w:unhideWhenUsed/>
    <w:rsid w:val="0003148D"/>
    <w:pPr>
      <w:numPr>
        <w:numId w:val="5"/>
      </w:numPr>
      <w:contextualSpacing/>
    </w:pPr>
  </w:style>
  <w:style w:type="paragraph" w:styleId="5">
    <w:name w:val="List Number 5"/>
    <w:basedOn w:val="a1"/>
    <w:uiPriority w:val="99"/>
    <w:semiHidden/>
    <w:unhideWhenUsed/>
    <w:rsid w:val="0003148D"/>
    <w:pPr>
      <w:numPr>
        <w:numId w:val="6"/>
      </w:numPr>
      <w:contextualSpacing/>
    </w:pPr>
  </w:style>
  <w:style w:type="paragraph" w:styleId="HTML1">
    <w:name w:val="HTML Preformatted"/>
    <w:basedOn w:val="a1"/>
    <w:link w:val="HTML2"/>
    <w:uiPriority w:val="99"/>
    <w:semiHidden/>
    <w:unhideWhenUsed/>
    <w:rsid w:val="0003148D"/>
    <w:pPr>
      <w:spacing w:line="240" w:lineRule="auto"/>
    </w:pPr>
    <w:rPr>
      <w:rFonts w:ascii="Consolas" w:hAnsi="Consolas" w:cs="Consolas"/>
    </w:rPr>
  </w:style>
  <w:style w:type="character" w:customStyle="1" w:styleId="HTML2">
    <w:name w:val="Стандартный HTML Знак"/>
    <w:basedOn w:val="a2"/>
    <w:link w:val="HTML1"/>
    <w:uiPriority w:val="99"/>
    <w:semiHidden/>
    <w:rsid w:val="0003148D"/>
    <w:rPr>
      <w:rFonts w:ascii="Consolas" w:hAnsi="Consolas" w:cs="Consolas"/>
      <w:sz w:val="20"/>
      <w:szCs w:val="20"/>
    </w:rPr>
  </w:style>
  <w:style w:type="paragraph" w:styleId="aff2">
    <w:name w:val="Body Text First Indent"/>
    <w:basedOn w:val="a9"/>
    <w:link w:val="aff3"/>
    <w:uiPriority w:val="99"/>
    <w:semiHidden/>
    <w:unhideWhenUsed/>
    <w:rsid w:val="0003148D"/>
    <w:pPr>
      <w:spacing w:after="200"/>
      <w:ind w:firstLine="360"/>
    </w:pPr>
  </w:style>
  <w:style w:type="character" w:customStyle="1" w:styleId="aff3">
    <w:name w:val="Красная строка Знак"/>
    <w:basedOn w:val="aa"/>
    <w:link w:val="aff2"/>
    <w:uiPriority w:val="99"/>
    <w:semiHidden/>
    <w:rsid w:val="0003148D"/>
  </w:style>
  <w:style w:type="paragraph" w:styleId="aff4">
    <w:name w:val="Body Text Indent"/>
    <w:basedOn w:val="a1"/>
    <w:link w:val="aff5"/>
    <w:uiPriority w:val="99"/>
    <w:semiHidden/>
    <w:unhideWhenUsed/>
    <w:rsid w:val="0003148D"/>
    <w:pPr>
      <w:spacing w:after="120"/>
      <w:ind w:left="283"/>
    </w:pPr>
  </w:style>
  <w:style w:type="character" w:customStyle="1" w:styleId="aff5">
    <w:name w:val="Основной текст с отступом Знак"/>
    <w:basedOn w:val="a2"/>
    <w:link w:val="aff4"/>
    <w:uiPriority w:val="99"/>
    <w:semiHidden/>
    <w:rsid w:val="0003148D"/>
  </w:style>
  <w:style w:type="paragraph" w:styleId="29">
    <w:name w:val="Body Text First Indent 2"/>
    <w:basedOn w:val="aff4"/>
    <w:link w:val="2a"/>
    <w:uiPriority w:val="99"/>
    <w:semiHidden/>
    <w:unhideWhenUsed/>
    <w:rsid w:val="0003148D"/>
    <w:pPr>
      <w:spacing w:after="200"/>
      <w:ind w:left="360" w:firstLine="360"/>
    </w:pPr>
  </w:style>
  <w:style w:type="character" w:customStyle="1" w:styleId="2a">
    <w:name w:val="Красная строка 2 Знак"/>
    <w:basedOn w:val="aff5"/>
    <w:link w:val="29"/>
    <w:uiPriority w:val="99"/>
    <w:semiHidden/>
    <w:rsid w:val="0003148D"/>
  </w:style>
  <w:style w:type="paragraph" w:styleId="a0">
    <w:name w:val="List Bullet"/>
    <w:basedOn w:val="a1"/>
    <w:uiPriority w:val="99"/>
    <w:semiHidden/>
    <w:unhideWhenUsed/>
    <w:rsid w:val="0003148D"/>
    <w:pPr>
      <w:numPr>
        <w:numId w:val="7"/>
      </w:numPr>
      <w:contextualSpacing/>
    </w:pPr>
  </w:style>
  <w:style w:type="paragraph" w:styleId="20">
    <w:name w:val="List Bullet 2"/>
    <w:basedOn w:val="a1"/>
    <w:uiPriority w:val="99"/>
    <w:semiHidden/>
    <w:unhideWhenUsed/>
    <w:rsid w:val="0003148D"/>
    <w:pPr>
      <w:numPr>
        <w:numId w:val="8"/>
      </w:numPr>
      <w:contextualSpacing/>
    </w:pPr>
  </w:style>
  <w:style w:type="paragraph" w:styleId="30">
    <w:name w:val="List Bullet 3"/>
    <w:basedOn w:val="a1"/>
    <w:uiPriority w:val="99"/>
    <w:semiHidden/>
    <w:unhideWhenUsed/>
    <w:rsid w:val="0003148D"/>
    <w:pPr>
      <w:numPr>
        <w:numId w:val="9"/>
      </w:numPr>
      <w:contextualSpacing/>
    </w:pPr>
  </w:style>
  <w:style w:type="paragraph" w:styleId="40">
    <w:name w:val="List Bullet 4"/>
    <w:basedOn w:val="a1"/>
    <w:uiPriority w:val="99"/>
    <w:semiHidden/>
    <w:unhideWhenUsed/>
    <w:rsid w:val="0003148D"/>
    <w:pPr>
      <w:numPr>
        <w:numId w:val="10"/>
      </w:numPr>
      <w:contextualSpacing/>
    </w:pPr>
  </w:style>
  <w:style w:type="paragraph" w:styleId="50">
    <w:name w:val="List Bullet 5"/>
    <w:basedOn w:val="a1"/>
    <w:uiPriority w:val="99"/>
    <w:semiHidden/>
    <w:unhideWhenUsed/>
    <w:rsid w:val="0003148D"/>
    <w:pPr>
      <w:numPr>
        <w:numId w:val="11"/>
      </w:numPr>
      <w:contextualSpacing/>
    </w:pPr>
  </w:style>
  <w:style w:type="paragraph" w:styleId="2b">
    <w:name w:val="Body Text Indent 2"/>
    <w:basedOn w:val="a1"/>
    <w:link w:val="2c"/>
    <w:uiPriority w:val="99"/>
    <w:semiHidden/>
    <w:unhideWhenUsed/>
    <w:rsid w:val="0003148D"/>
    <w:pPr>
      <w:spacing w:after="120" w:line="480" w:lineRule="auto"/>
      <w:ind w:left="283"/>
    </w:pPr>
  </w:style>
  <w:style w:type="character" w:customStyle="1" w:styleId="2c">
    <w:name w:val="Основной текст с отступом 2 Знак"/>
    <w:basedOn w:val="a2"/>
    <w:link w:val="2b"/>
    <w:uiPriority w:val="99"/>
    <w:semiHidden/>
    <w:rsid w:val="0003148D"/>
  </w:style>
  <w:style w:type="paragraph" w:styleId="38">
    <w:name w:val="Body Text Indent 3"/>
    <w:basedOn w:val="a1"/>
    <w:link w:val="39"/>
    <w:uiPriority w:val="99"/>
    <w:semiHidden/>
    <w:unhideWhenUsed/>
    <w:rsid w:val="0003148D"/>
    <w:pPr>
      <w:spacing w:after="120"/>
      <w:ind w:left="283"/>
    </w:pPr>
    <w:rPr>
      <w:sz w:val="16"/>
      <w:szCs w:val="16"/>
    </w:rPr>
  </w:style>
  <w:style w:type="character" w:customStyle="1" w:styleId="39">
    <w:name w:val="Основной текст с отступом 3 Знак"/>
    <w:basedOn w:val="a2"/>
    <w:link w:val="38"/>
    <w:uiPriority w:val="99"/>
    <w:semiHidden/>
    <w:rsid w:val="0003148D"/>
    <w:rPr>
      <w:sz w:val="16"/>
      <w:szCs w:val="16"/>
    </w:rPr>
  </w:style>
  <w:style w:type="paragraph" w:styleId="aff6">
    <w:name w:val="Normal Indent"/>
    <w:basedOn w:val="a1"/>
    <w:uiPriority w:val="99"/>
    <w:semiHidden/>
    <w:unhideWhenUsed/>
    <w:rsid w:val="0003148D"/>
    <w:pPr>
      <w:ind w:left="720"/>
    </w:pPr>
  </w:style>
  <w:style w:type="paragraph" w:styleId="aff7">
    <w:name w:val="annotation text"/>
    <w:basedOn w:val="a1"/>
    <w:link w:val="aff8"/>
    <w:uiPriority w:val="99"/>
    <w:unhideWhenUsed/>
    <w:rsid w:val="0003148D"/>
    <w:pPr>
      <w:spacing w:line="240" w:lineRule="auto"/>
    </w:pPr>
  </w:style>
  <w:style w:type="character" w:customStyle="1" w:styleId="aff8">
    <w:name w:val="Текст примечания Знак"/>
    <w:basedOn w:val="a2"/>
    <w:link w:val="aff7"/>
    <w:uiPriority w:val="99"/>
    <w:rsid w:val="0003148D"/>
    <w:rPr>
      <w:sz w:val="20"/>
      <w:szCs w:val="20"/>
    </w:rPr>
  </w:style>
  <w:style w:type="paragraph" w:styleId="aff9">
    <w:name w:val="annotation subject"/>
    <w:basedOn w:val="aff7"/>
    <w:next w:val="aff7"/>
    <w:link w:val="affa"/>
    <w:uiPriority w:val="99"/>
    <w:semiHidden/>
    <w:unhideWhenUsed/>
    <w:rsid w:val="0003148D"/>
    <w:rPr>
      <w:b/>
      <w:bCs/>
    </w:rPr>
  </w:style>
  <w:style w:type="character" w:customStyle="1" w:styleId="affa">
    <w:name w:val="Тема примечания Знак"/>
    <w:basedOn w:val="aff8"/>
    <w:link w:val="aff9"/>
    <w:uiPriority w:val="99"/>
    <w:semiHidden/>
    <w:rsid w:val="0003148D"/>
    <w:rPr>
      <w:b/>
      <w:bCs/>
      <w:sz w:val="20"/>
      <w:szCs w:val="20"/>
    </w:rPr>
  </w:style>
  <w:style w:type="paragraph" w:styleId="13">
    <w:name w:val="toc 1"/>
    <w:basedOn w:val="a1"/>
    <w:next w:val="a1"/>
    <w:autoRedefine/>
    <w:uiPriority w:val="39"/>
    <w:semiHidden/>
    <w:unhideWhenUsed/>
    <w:rsid w:val="0003148D"/>
    <w:pPr>
      <w:spacing w:after="100"/>
    </w:pPr>
  </w:style>
  <w:style w:type="paragraph" w:styleId="2d">
    <w:name w:val="toc 2"/>
    <w:basedOn w:val="a1"/>
    <w:next w:val="a1"/>
    <w:autoRedefine/>
    <w:uiPriority w:val="39"/>
    <w:semiHidden/>
    <w:unhideWhenUsed/>
    <w:rsid w:val="0003148D"/>
    <w:pPr>
      <w:spacing w:after="100"/>
      <w:ind w:left="220"/>
    </w:pPr>
  </w:style>
  <w:style w:type="paragraph" w:styleId="3a">
    <w:name w:val="toc 3"/>
    <w:basedOn w:val="a1"/>
    <w:next w:val="a1"/>
    <w:autoRedefine/>
    <w:uiPriority w:val="39"/>
    <w:semiHidden/>
    <w:unhideWhenUsed/>
    <w:rsid w:val="0003148D"/>
    <w:pPr>
      <w:spacing w:after="100"/>
      <w:ind w:left="440"/>
    </w:pPr>
  </w:style>
  <w:style w:type="paragraph" w:styleId="46">
    <w:name w:val="toc 4"/>
    <w:basedOn w:val="a1"/>
    <w:next w:val="a1"/>
    <w:autoRedefine/>
    <w:uiPriority w:val="39"/>
    <w:semiHidden/>
    <w:unhideWhenUsed/>
    <w:rsid w:val="0003148D"/>
    <w:pPr>
      <w:spacing w:after="100"/>
      <w:ind w:left="660"/>
    </w:pPr>
  </w:style>
  <w:style w:type="paragraph" w:styleId="56">
    <w:name w:val="toc 5"/>
    <w:basedOn w:val="a1"/>
    <w:next w:val="a1"/>
    <w:autoRedefine/>
    <w:uiPriority w:val="39"/>
    <w:semiHidden/>
    <w:unhideWhenUsed/>
    <w:rsid w:val="0003148D"/>
    <w:pPr>
      <w:spacing w:after="100"/>
      <w:ind w:left="880"/>
    </w:pPr>
  </w:style>
  <w:style w:type="paragraph" w:styleId="62">
    <w:name w:val="toc 6"/>
    <w:basedOn w:val="a1"/>
    <w:next w:val="a1"/>
    <w:autoRedefine/>
    <w:uiPriority w:val="39"/>
    <w:semiHidden/>
    <w:unhideWhenUsed/>
    <w:rsid w:val="0003148D"/>
    <w:pPr>
      <w:spacing w:after="100"/>
      <w:ind w:left="1100"/>
    </w:pPr>
  </w:style>
  <w:style w:type="paragraph" w:styleId="72">
    <w:name w:val="toc 7"/>
    <w:basedOn w:val="a1"/>
    <w:next w:val="a1"/>
    <w:autoRedefine/>
    <w:uiPriority w:val="39"/>
    <w:semiHidden/>
    <w:unhideWhenUsed/>
    <w:rsid w:val="0003148D"/>
    <w:pPr>
      <w:spacing w:after="100"/>
      <w:ind w:left="1320"/>
    </w:pPr>
  </w:style>
  <w:style w:type="paragraph" w:styleId="82">
    <w:name w:val="toc 8"/>
    <w:basedOn w:val="a1"/>
    <w:next w:val="a1"/>
    <w:autoRedefine/>
    <w:uiPriority w:val="39"/>
    <w:semiHidden/>
    <w:unhideWhenUsed/>
    <w:rsid w:val="0003148D"/>
    <w:pPr>
      <w:spacing w:after="100"/>
      <w:ind w:left="1540"/>
    </w:pPr>
  </w:style>
  <w:style w:type="paragraph" w:styleId="92">
    <w:name w:val="toc 9"/>
    <w:basedOn w:val="a1"/>
    <w:next w:val="a1"/>
    <w:autoRedefine/>
    <w:uiPriority w:val="39"/>
    <w:semiHidden/>
    <w:unhideWhenUsed/>
    <w:rsid w:val="0003148D"/>
    <w:pPr>
      <w:spacing w:after="100"/>
      <w:ind w:left="1760"/>
    </w:pPr>
  </w:style>
  <w:style w:type="paragraph" w:styleId="affb">
    <w:name w:val="Block Text"/>
    <w:basedOn w:val="a1"/>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affc">
    <w:name w:val="macro"/>
    <w:link w:val="affd"/>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affd">
    <w:name w:val="Текст макроса Знак"/>
    <w:basedOn w:val="a2"/>
    <w:link w:val="affc"/>
    <w:uiPriority w:val="99"/>
    <w:semiHidden/>
    <w:rsid w:val="0003148D"/>
    <w:rPr>
      <w:rFonts w:ascii="Consolas" w:hAnsi="Consolas" w:cs="Consolas"/>
      <w:sz w:val="20"/>
      <w:szCs w:val="20"/>
    </w:rPr>
  </w:style>
  <w:style w:type="paragraph" w:styleId="affe">
    <w:name w:val="Plain Text"/>
    <w:basedOn w:val="a1"/>
    <w:link w:val="afff"/>
    <w:uiPriority w:val="99"/>
    <w:semiHidden/>
    <w:unhideWhenUsed/>
    <w:rsid w:val="0003148D"/>
    <w:pPr>
      <w:spacing w:line="240" w:lineRule="auto"/>
    </w:pPr>
    <w:rPr>
      <w:rFonts w:ascii="Consolas" w:hAnsi="Consolas" w:cs="Consolas"/>
      <w:sz w:val="21"/>
      <w:szCs w:val="21"/>
    </w:rPr>
  </w:style>
  <w:style w:type="character" w:customStyle="1" w:styleId="afff">
    <w:name w:val="Текст Знак"/>
    <w:basedOn w:val="a2"/>
    <w:link w:val="affe"/>
    <w:uiPriority w:val="99"/>
    <w:semiHidden/>
    <w:rsid w:val="0003148D"/>
    <w:rPr>
      <w:rFonts w:ascii="Consolas" w:hAnsi="Consolas" w:cs="Consolas"/>
      <w:sz w:val="21"/>
      <w:szCs w:val="21"/>
    </w:rPr>
  </w:style>
  <w:style w:type="paragraph" w:styleId="afff0">
    <w:name w:val="footnote text"/>
    <w:basedOn w:val="a1"/>
    <w:link w:val="afff1"/>
    <w:uiPriority w:val="99"/>
    <w:semiHidden/>
    <w:unhideWhenUsed/>
    <w:rsid w:val="0003148D"/>
    <w:pPr>
      <w:spacing w:line="240" w:lineRule="auto"/>
    </w:pPr>
  </w:style>
  <w:style w:type="character" w:customStyle="1" w:styleId="afff1">
    <w:name w:val="Текст сноски Знак"/>
    <w:basedOn w:val="a2"/>
    <w:link w:val="afff0"/>
    <w:uiPriority w:val="99"/>
    <w:semiHidden/>
    <w:rsid w:val="0003148D"/>
    <w:rPr>
      <w:sz w:val="20"/>
      <w:szCs w:val="20"/>
    </w:rPr>
  </w:style>
  <w:style w:type="paragraph" w:styleId="afff2">
    <w:name w:val="endnote text"/>
    <w:basedOn w:val="a1"/>
    <w:link w:val="afff3"/>
    <w:uiPriority w:val="99"/>
    <w:semiHidden/>
    <w:unhideWhenUsed/>
    <w:rsid w:val="0003148D"/>
    <w:pPr>
      <w:spacing w:line="240" w:lineRule="auto"/>
    </w:pPr>
  </w:style>
  <w:style w:type="character" w:customStyle="1" w:styleId="afff3">
    <w:name w:val="Текст концевой сноски Знак"/>
    <w:basedOn w:val="a2"/>
    <w:link w:val="afff2"/>
    <w:uiPriority w:val="99"/>
    <w:semiHidden/>
    <w:rsid w:val="0003148D"/>
    <w:rPr>
      <w:sz w:val="20"/>
      <w:szCs w:val="20"/>
    </w:rPr>
  </w:style>
  <w:style w:type="character" w:customStyle="1" w:styleId="11">
    <w:name w:val="Заголовок 1 Знак"/>
    <w:basedOn w:val="a2"/>
    <w:link w:val="10"/>
    <w:uiPriority w:val="9"/>
    <w:rsid w:val="004F5E36"/>
    <w:rPr>
      <w:rFonts w:ascii="Arial" w:eastAsia="Times New Roman" w:hAnsi="Arial" w:cs="Times New Roman"/>
      <w:b/>
      <w:sz w:val="20"/>
      <w:szCs w:val="20"/>
      <w:lang w:val="en-GB"/>
    </w:rPr>
  </w:style>
  <w:style w:type="character" w:customStyle="1" w:styleId="22">
    <w:name w:val="Заголовок 2 Знак"/>
    <w:basedOn w:val="a2"/>
    <w:link w:val="21"/>
    <w:uiPriority w:val="9"/>
    <w:semiHidden/>
    <w:rsid w:val="0003148D"/>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semiHidden/>
    <w:rsid w:val="0003148D"/>
    <w:rPr>
      <w:rFonts w:asciiTheme="majorHAnsi" w:eastAsiaTheme="majorEastAsia" w:hAnsiTheme="majorHAnsi" w:cstheme="majorBidi"/>
      <w:b/>
      <w:bCs/>
      <w:color w:val="4F81BD" w:themeColor="accent1"/>
    </w:rPr>
  </w:style>
  <w:style w:type="character" w:customStyle="1" w:styleId="42">
    <w:name w:val="Заголовок 4 Знак"/>
    <w:basedOn w:val="a2"/>
    <w:link w:val="41"/>
    <w:uiPriority w:val="9"/>
    <w:semiHidden/>
    <w:rsid w:val="0003148D"/>
    <w:rPr>
      <w:rFonts w:asciiTheme="majorHAnsi" w:eastAsiaTheme="majorEastAsia" w:hAnsiTheme="majorHAnsi" w:cstheme="majorBidi"/>
      <w:b/>
      <w:bCs/>
      <w:i/>
      <w:iCs/>
      <w:color w:val="4F81BD" w:themeColor="accent1"/>
    </w:rPr>
  </w:style>
  <w:style w:type="character" w:customStyle="1" w:styleId="52">
    <w:name w:val="Заголовок 5 Знак"/>
    <w:basedOn w:val="a2"/>
    <w:link w:val="51"/>
    <w:uiPriority w:val="9"/>
    <w:semiHidden/>
    <w:rsid w:val="0003148D"/>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03148D"/>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03148D"/>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03148D"/>
    <w:rPr>
      <w:rFonts w:asciiTheme="majorHAnsi" w:eastAsiaTheme="majorEastAsia" w:hAnsiTheme="majorHAnsi" w:cstheme="majorBidi"/>
      <w:i/>
      <w:iCs/>
      <w:color w:val="404040" w:themeColor="text1" w:themeTint="BF"/>
      <w:sz w:val="20"/>
      <w:szCs w:val="20"/>
    </w:rPr>
  </w:style>
  <w:style w:type="paragraph" w:styleId="afff4">
    <w:name w:val="index heading"/>
    <w:basedOn w:val="a1"/>
    <w:next w:val="12"/>
    <w:uiPriority w:val="99"/>
    <w:semiHidden/>
    <w:unhideWhenUsed/>
    <w:rsid w:val="0003148D"/>
    <w:rPr>
      <w:rFonts w:asciiTheme="majorHAnsi" w:eastAsiaTheme="majorEastAsia" w:hAnsiTheme="majorHAnsi" w:cstheme="majorBidi"/>
      <w:b/>
      <w:bCs/>
    </w:rPr>
  </w:style>
  <w:style w:type="paragraph" w:styleId="afff5">
    <w:name w:val="toa heading"/>
    <w:basedOn w:val="a1"/>
    <w:next w:val="a1"/>
    <w:uiPriority w:val="99"/>
    <w:semiHidden/>
    <w:unhideWhenUsed/>
    <w:rsid w:val="0003148D"/>
    <w:pPr>
      <w:spacing w:before="120"/>
    </w:pPr>
    <w:rPr>
      <w:rFonts w:asciiTheme="majorHAnsi" w:eastAsiaTheme="majorEastAsia" w:hAnsiTheme="majorHAnsi" w:cstheme="majorBidi"/>
      <w:b/>
      <w:bCs/>
      <w:sz w:val="24"/>
      <w:szCs w:val="24"/>
    </w:rPr>
  </w:style>
  <w:style w:type="paragraph" w:styleId="afff6">
    <w:name w:val="TOC Heading"/>
    <w:basedOn w:val="10"/>
    <w:next w:val="a1"/>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2"/>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afff7">
    <w:name w:val="header"/>
    <w:basedOn w:val="a1"/>
    <w:link w:val="afff8"/>
    <w:uiPriority w:val="99"/>
    <w:unhideWhenUsed/>
    <w:rsid w:val="005278B7"/>
    <w:pPr>
      <w:tabs>
        <w:tab w:val="clear" w:pos="7100"/>
        <w:tab w:val="center" w:pos="4819"/>
        <w:tab w:val="right" w:pos="9638"/>
      </w:tabs>
      <w:spacing w:line="240" w:lineRule="auto"/>
    </w:pPr>
  </w:style>
  <w:style w:type="character" w:customStyle="1" w:styleId="afff8">
    <w:name w:val="Верхний колонтитул Знак"/>
    <w:basedOn w:val="a2"/>
    <w:link w:val="afff7"/>
    <w:uiPriority w:val="99"/>
    <w:rsid w:val="005278B7"/>
    <w:rPr>
      <w:rFonts w:ascii="Arial" w:eastAsia="Times New Roman" w:hAnsi="Arial" w:cs="Times New Roman"/>
      <w:sz w:val="18"/>
      <w:szCs w:val="20"/>
      <w:lang w:val="en-GB"/>
    </w:rPr>
  </w:style>
  <w:style w:type="paragraph" w:styleId="afff9">
    <w:name w:val="footer"/>
    <w:basedOn w:val="a1"/>
    <w:link w:val="afffa"/>
    <w:uiPriority w:val="99"/>
    <w:unhideWhenUsed/>
    <w:rsid w:val="005278B7"/>
    <w:pPr>
      <w:tabs>
        <w:tab w:val="clear" w:pos="7100"/>
        <w:tab w:val="center" w:pos="4819"/>
        <w:tab w:val="right" w:pos="9638"/>
      </w:tabs>
      <w:spacing w:line="240" w:lineRule="auto"/>
    </w:pPr>
  </w:style>
  <w:style w:type="character" w:customStyle="1" w:styleId="afffa">
    <w:name w:val="Нижний колонтитул Знак"/>
    <w:basedOn w:val="a2"/>
    <w:link w:val="afff9"/>
    <w:uiPriority w:val="99"/>
    <w:rsid w:val="005278B7"/>
    <w:rPr>
      <w:rFonts w:ascii="Arial" w:eastAsia="Times New Roman" w:hAnsi="Arial" w:cs="Times New Roman"/>
      <w:sz w:val="18"/>
      <w:szCs w:val="20"/>
      <w:lang w:val="en-GB"/>
    </w:rPr>
  </w:style>
  <w:style w:type="table" w:styleId="afffb">
    <w:name w:val="Table Grid"/>
    <w:basedOn w:val="a3"/>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Hyperlink"/>
    <w:basedOn w:val="a2"/>
    <w:uiPriority w:val="99"/>
    <w:unhideWhenUsed/>
    <w:rsid w:val="00904C62"/>
    <w:rPr>
      <w:color w:val="0000FF" w:themeColor="hyperlink"/>
      <w:u w:val="single"/>
    </w:rPr>
  </w:style>
  <w:style w:type="character" w:customStyle="1" w:styleId="eudoraheader">
    <w:name w:val="eudoraheader"/>
    <w:basedOn w:val="a2"/>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afffd">
    <w:name w:val="List Paragraph"/>
    <w:basedOn w:val="a1"/>
    <w:uiPriority w:val="34"/>
    <w:rsid w:val="00280FAF"/>
    <w:pPr>
      <w:ind w:left="720"/>
      <w:contextualSpacing/>
    </w:pPr>
  </w:style>
  <w:style w:type="paragraph" w:customStyle="1" w:styleId="reference">
    <w:name w:val="reference"/>
    <w:basedOn w:val="a1"/>
    <w:rsid w:val="0003209D"/>
    <w:pPr>
      <w:numPr>
        <w:numId w:val="23"/>
      </w:numPr>
      <w:tabs>
        <w:tab w:val="clear" w:pos="7100"/>
        <w:tab w:val="left" w:pos="-437"/>
        <w:tab w:val="num" w:pos="284"/>
      </w:tabs>
      <w:suppressAutoHyphens/>
      <w:autoSpaceDE w:val="0"/>
      <w:autoSpaceDN w:val="0"/>
      <w:spacing w:line="240" w:lineRule="auto"/>
      <w:ind w:left="284" w:hanging="295"/>
    </w:pPr>
    <w:rPr>
      <w:rFonts w:ascii="Times New Roman" w:hAnsi="Times New Roman"/>
      <w:spacing w:val="-3"/>
      <w:sz w:val="24"/>
      <w:szCs w:val="24"/>
    </w:rPr>
  </w:style>
  <w:style w:type="paragraph" w:styleId="afffe">
    <w:name w:val="Revision"/>
    <w:hidden/>
    <w:uiPriority w:val="99"/>
    <w:semiHidden/>
    <w:rsid w:val="00175A38"/>
    <w:pPr>
      <w:spacing w:after="0" w:line="240" w:lineRule="auto"/>
    </w:pPr>
    <w:rPr>
      <w:rFonts w:ascii="Arial" w:eastAsia="Times New Roman" w:hAnsi="Arial" w:cs="Times New Roman"/>
      <w:sz w:val="18"/>
      <w:szCs w:val="20"/>
      <w:lang w:val="en-GB"/>
    </w:rPr>
  </w:style>
  <w:style w:type="character" w:styleId="affff">
    <w:name w:val="Unresolved Mention"/>
    <w:basedOn w:val="a2"/>
    <w:uiPriority w:val="99"/>
    <w:semiHidden/>
    <w:unhideWhenUsed/>
    <w:rsid w:val="006A2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6222">
      <w:bodyDiv w:val="1"/>
      <w:marLeft w:val="0"/>
      <w:marRight w:val="0"/>
      <w:marTop w:val="0"/>
      <w:marBottom w:val="0"/>
      <w:divBdr>
        <w:top w:val="none" w:sz="0" w:space="0" w:color="auto"/>
        <w:left w:val="none" w:sz="0" w:space="0" w:color="auto"/>
        <w:bottom w:val="none" w:sz="0" w:space="0" w:color="auto"/>
        <w:right w:val="none" w:sz="0" w:space="0" w:color="auto"/>
      </w:divBdr>
    </w:div>
    <w:div w:id="455758257">
      <w:bodyDiv w:val="1"/>
      <w:marLeft w:val="0"/>
      <w:marRight w:val="0"/>
      <w:marTop w:val="0"/>
      <w:marBottom w:val="0"/>
      <w:divBdr>
        <w:top w:val="none" w:sz="0" w:space="0" w:color="auto"/>
        <w:left w:val="none" w:sz="0" w:space="0" w:color="auto"/>
        <w:bottom w:val="none" w:sz="0" w:space="0" w:color="auto"/>
        <w:right w:val="none" w:sz="0" w:space="0" w:color="auto"/>
      </w:divBdr>
      <w:divsChild>
        <w:div w:id="1585798001">
          <w:marLeft w:val="-720"/>
          <w:marRight w:val="0"/>
          <w:marTop w:val="0"/>
          <w:marBottom w:val="0"/>
          <w:divBdr>
            <w:top w:val="none" w:sz="0" w:space="0" w:color="auto"/>
            <w:left w:val="none" w:sz="0" w:space="0" w:color="auto"/>
            <w:bottom w:val="none" w:sz="0" w:space="0" w:color="auto"/>
            <w:right w:val="none" w:sz="0" w:space="0" w:color="auto"/>
          </w:divBdr>
        </w:div>
      </w:divsChild>
    </w:div>
    <w:div w:id="604851275">
      <w:bodyDiv w:val="1"/>
      <w:marLeft w:val="0"/>
      <w:marRight w:val="0"/>
      <w:marTop w:val="0"/>
      <w:marBottom w:val="0"/>
      <w:divBdr>
        <w:top w:val="none" w:sz="0" w:space="0" w:color="auto"/>
        <w:left w:val="none" w:sz="0" w:space="0" w:color="auto"/>
        <w:bottom w:val="none" w:sz="0" w:space="0" w:color="auto"/>
        <w:right w:val="none" w:sz="0" w:space="0" w:color="auto"/>
      </w:divBdr>
      <w:divsChild>
        <w:div w:id="902718709">
          <w:marLeft w:val="-72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01431">
      <w:bodyDiv w:val="1"/>
      <w:marLeft w:val="0"/>
      <w:marRight w:val="0"/>
      <w:marTop w:val="0"/>
      <w:marBottom w:val="0"/>
      <w:divBdr>
        <w:top w:val="none" w:sz="0" w:space="0" w:color="auto"/>
        <w:left w:val="none" w:sz="0" w:space="0" w:color="auto"/>
        <w:bottom w:val="none" w:sz="0" w:space="0" w:color="auto"/>
        <w:right w:val="none" w:sz="0" w:space="0" w:color="auto"/>
      </w:divBdr>
    </w:div>
    <w:div w:id="1814638093">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3D7E8-8FB5-4091-8B77-04FD9CCFA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4009</Words>
  <Characters>22856</Characters>
  <Application>Microsoft Office Word</Application>
  <DocSecurity>0</DocSecurity>
  <Lines>190</Lines>
  <Paragraphs>53</Paragraphs>
  <ScaleCrop>false</ScaleCrop>
  <HeadingPairs>
    <vt:vector size="6" baseType="variant">
      <vt:variant>
        <vt:lpstr>Название</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26812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asus</cp:lastModifiedBy>
  <cp:revision>2</cp:revision>
  <cp:lastPrinted>2015-05-12T18:31:00Z</cp:lastPrinted>
  <dcterms:created xsi:type="dcterms:W3CDTF">2024-03-16T06:30:00Z</dcterms:created>
  <dcterms:modified xsi:type="dcterms:W3CDTF">2024-03-16T06:30:00Z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