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163F9" w14:paraId="2A131A54" w14:textId="77777777" w:rsidTr="00FC2173">
        <w:trPr>
          <w:trHeight w:val="852"/>
          <w:jc w:val="center"/>
        </w:trPr>
        <w:tc>
          <w:tcPr>
            <w:tcW w:w="6940" w:type="dxa"/>
            <w:vMerge w:val="restart"/>
            <w:tcBorders>
              <w:right w:val="single" w:sz="4" w:space="0" w:color="auto"/>
            </w:tcBorders>
          </w:tcPr>
          <w:p w14:paraId="38C3D2BA" w14:textId="77777777" w:rsidR="000A03B2" w:rsidRPr="00A163F9" w:rsidRDefault="000A03B2" w:rsidP="00DE264A">
            <w:pPr>
              <w:tabs>
                <w:tab w:val="left" w:pos="-108"/>
              </w:tabs>
              <w:ind w:left="-108"/>
              <w:jc w:val="left"/>
              <w:rPr>
                <w:rFonts w:cs="Arial"/>
                <w:b/>
                <w:bCs/>
                <w:i/>
                <w:iCs/>
                <w:color w:val="000066"/>
                <w:sz w:val="12"/>
                <w:szCs w:val="12"/>
                <w:lang w:eastAsia="it-IT"/>
              </w:rPr>
            </w:pPr>
            <w:r w:rsidRPr="00A163F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163F9">
              <w:rPr>
                <w:rFonts w:ascii="AdvP6960" w:hAnsi="AdvP6960" w:cs="AdvP6960"/>
                <w:color w:val="241F20"/>
                <w:szCs w:val="18"/>
                <w:lang w:eastAsia="it-IT"/>
              </w:rPr>
              <w:t xml:space="preserve"> </w:t>
            </w:r>
            <w:r w:rsidRPr="00A163F9">
              <w:rPr>
                <w:rFonts w:cs="Arial"/>
                <w:b/>
                <w:bCs/>
                <w:i/>
                <w:iCs/>
                <w:color w:val="000066"/>
                <w:sz w:val="24"/>
                <w:szCs w:val="24"/>
                <w:lang w:eastAsia="it-IT"/>
              </w:rPr>
              <w:t>CHEMICAL ENGINEERING</w:t>
            </w:r>
            <w:r w:rsidRPr="00A163F9">
              <w:rPr>
                <w:rFonts w:cs="Arial"/>
                <w:b/>
                <w:bCs/>
                <w:i/>
                <w:iCs/>
                <w:color w:val="0033FF"/>
                <w:sz w:val="24"/>
                <w:szCs w:val="24"/>
                <w:lang w:eastAsia="it-IT"/>
              </w:rPr>
              <w:t xml:space="preserve"> </w:t>
            </w:r>
            <w:r w:rsidRPr="00A163F9">
              <w:rPr>
                <w:rFonts w:cs="Arial"/>
                <w:b/>
                <w:bCs/>
                <w:i/>
                <w:iCs/>
                <w:color w:val="666666"/>
                <w:sz w:val="24"/>
                <w:szCs w:val="24"/>
                <w:lang w:eastAsia="it-IT"/>
              </w:rPr>
              <w:t>TRANSACTIONS</w:t>
            </w:r>
            <w:r w:rsidRPr="00A163F9">
              <w:rPr>
                <w:color w:val="333333"/>
                <w:sz w:val="24"/>
                <w:szCs w:val="24"/>
                <w:lang w:eastAsia="it-IT"/>
              </w:rPr>
              <w:t xml:space="preserve"> </w:t>
            </w:r>
            <w:r w:rsidRPr="00A163F9">
              <w:rPr>
                <w:rFonts w:cs="Arial"/>
                <w:b/>
                <w:bCs/>
                <w:i/>
                <w:iCs/>
                <w:color w:val="000066"/>
                <w:sz w:val="27"/>
                <w:szCs w:val="27"/>
                <w:lang w:eastAsia="it-IT"/>
              </w:rPr>
              <w:br/>
            </w:r>
          </w:p>
          <w:p w14:paraId="4B780582" w14:textId="15DAE12D" w:rsidR="000A03B2" w:rsidRPr="00A163F9" w:rsidRDefault="00A76EFC" w:rsidP="001D21AF">
            <w:pPr>
              <w:tabs>
                <w:tab w:val="left" w:pos="-108"/>
              </w:tabs>
              <w:ind w:left="-108"/>
              <w:rPr>
                <w:rFonts w:cs="Arial"/>
                <w:b/>
                <w:bCs/>
                <w:i/>
                <w:iCs/>
                <w:color w:val="000066"/>
                <w:sz w:val="22"/>
                <w:szCs w:val="22"/>
                <w:lang w:eastAsia="it-IT"/>
              </w:rPr>
            </w:pPr>
            <w:r w:rsidRPr="00A163F9">
              <w:rPr>
                <w:rFonts w:cs="Arial"/>
                <w:b/>
                <w:bCs/>
                <w:i/>
                <w:iCs/>
                <w:color w:val="000066"/>
                <w:sz w:val="22"/>
                <w:szCs w:val="22"/>
                <w:lang w:eastAsia="it-IT"/>
              </w:rPr>
              <w:t>VOL.</w:t>
            </w:r>
            <w:r w:rsidR="00843EAC" w:rsidRPr="00A163F9">
              <w:rPr>
                <w:rFonts w:cs="Arial"/>
                <w:b/>
                <w:bCs/>
                <w:i/>
                <w:iCs/>
                <w:color w:val="000066"/>
                <w:sz w:val="22"/>
                <w:szCs w:val="22"/>
                <w:lang w:eastAsia="it-IT"/>
              </w:rPr>
              <w:t xml:space="preserve">    </w:t>
            </w:r>
            <w:r w:rsidR="004761E9" w:rsidRPr="00A163F9">
              <w:rPr>
                <w:rFonts w:cs="Arial"/>
                <w:b/>
                <w:bCs/>
                <w:i/>
                <w:iCs/>
                <w:color w:val="000066"/>
                <w:sz w:val="22"/>
                <w:szCs w:val="22"/>
                <w:lang w:eastAsia="it-IT"/>
              </w:rPr>
              <w:t xml:space="preserve"> </w:t>
            </w:r>
            <w:r w:rsidR="007B48F9" w:rsidRPr="00A163F9">
              <w:rPr>
                <w:rFonts w:cs="Arial"/>
                <w:b/>
                <w:bCs/>
                <w:i/>
                <w:iCs/>
                <w:color w:val="000066"/>
                <w:sz w:val="22"/>
                <w:szCs w:val="22"/>
                <w:lang w:eastAsia="it-IT"/>
              </w:rPr>
              <w:t>,</w:t>
            </w:r>
            <w:r w:rsidR="00FA5F5F" w:rsidRPr="00A163F9">
              <w:rPr>
                <w:rFonts w:cs="Arial"/>
                <w:b/>
                <w:bCs/>
                <w:i/>
                <w:iCs/>
                <w:color w:val="000066"/>
                <w:sz w:val="22"/>
                <w:szCs w:val="22"/>
                <w:lang w:eastAsia="it-IT"/>
              </w:rPr>
              <w:t xml:space="preserve"> </w:t>
            </w:r>
            <w:r w:rsidR="0030152C" w:rsidRPr="00A163F9">
              <w:rPr>
                <w:rFonts w:cs="Arial"/>
                <w:b/>
                <w:bCs/>
                <w:i/>
                <w:iCs/>
                <w:color w:val="000066"/>
                <w:sz w:val="22"/>
                <w:szCs w:val="22"/>
                <w:lang w:eastAsia="it-IT"/>
              </w:rPr>
              <w:t>202</w:t>
            </w:r>
            <w:r w:rsidR="00DB3233" w:rsidRPr="00A163F9">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A163F9" w:rsidRDefault="000A03B2" w:rsidP="00CD5FE2">
            <w:pPr>
              <w:spacing w:line="140" w:lineRule="atLeast"/>
              <w:jc w:val="right"/>
              <w:rPr>
                <w:rFonts w:cs="Arial"/>
                <w:sz w:val="14"/>
                <w:szCs w:val="14"/>
              </w:rPr>
            </w:pPr>
            <w:r w:rsidRPr="00A163F9">
              <w:rPr>
                <w:rFonts w:cs="Arial"/>
                <w:sz w:val="14"/>
                <w:szCs w:val="14"/>
              </w:rPr>
              <w:t>A publication of</w:t>
            </w:r>
          </w:p>
          <w:p w14:paraId="599E5441" w14:textId="77777777" w:rsidR="000A03B2" w:rsidRPr="00A163F9" w:rsidRDefault="000A03B2" w:rsidP="00CD5FE2">
            <w:pPr>
              <w:jc w:val="right"/>
            </w:pPr>
            <w:r w:rsidRPr="00A163F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163F9" w14:paraId="380FA3CD" w14:textId="77777777" w:rsidTr="00FC2173">
        <w:trPr>
          <w:trHeight w:val="567"/>
          <w:jc w:val="center"/>
        </w:trPr>
        <w:tc>
          <w:tcPr>
            <w:tcW w:w="6940" w:type="dxa"/>
            <w:vMerge/>
            <w:tcBorders>
              <w:right w:val="single" w:sz="4" w:space="0" w:color="auto"/>
            </w:tcBorders>
          </w:tcPr>
          <w:p w14:paraId="39E5E4C1" w14:textId="77777777" w:rsidR="000A03B2" w:rsidRPr="00A163F9"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A163F9" w:rsidRDefault="000A03B2" w:rsidP="00CD5FE2">
            <w:pPr>
              <w:spacing w:line="140" w:lineRule="atLeast"/>
              <w:jc w:val="right"/>
              <w:rPr>
                <w:rFonts w:cs="Arial"/>
                <w:sz w:val="14"/>
                <w:szCs w:val="14"/>
              </w:rPr>
            </w:pPr>
            <w:r w:rsidRPr="00A163F9">
              <w:rPr>
                <w:rFonts w:cs="Arial"/>
                <w:sz w:val="14"/>
                <w:szCs w:val="14"/>
              </w:rPr>
              <w:t>The Italian Association</w:t>
            </w:r>
          </w:p>
          <w:p w14:paraId="7522B1D2" w14:textId="77777777" w:rsidR="000A03B2" w:rsidRPr="00A163F9" w:rsidRDefault="000A03B2" w:rsidP="00CD5FE2">
            <w:pPr>
              <w:spacing w:line="140" w:lineRule="atLeast"/>
              <w:jc w:val="right"/>
              <w:rPr>
                <w:rFonts w:cs="Arial"/>
                <w:sz w:val="14"/>
                <w:szCs w:val="14"/>
              </w:rPr>
            </w:pPr>
            <w:r w:rsidRPr="00A163F9">
              <w:rPr>
                <w:rFonts w:cs="Arial"/>
                <w:sz w:val="14"/>
                <w:szCs w:val="14"/>
              </w:rPr>
              <w:t>of Chemical Engineering</w:t>
            </w:r>
          </w:p>
          <w:p w14:paraId="4F0CC5DE" w14:textId="47FDB2FC" w:rsidR="000A03B2" w:rsidRPr="00A163F9" w:rsidRDefault="000D0268" w:rsidP="00CD5FE2">
            <w:pPr>
              <w:spacing w:line="140" w:lineRule="atLeast"/>
              <w:jc w:val="right"/>
              <w:rPr>
                <w:rFonts w:cs="Arial"/>
                <w:sz w:val="13"/>
                <w:szCs w:val="13"/>
              </w:rPr>
            </w:pPr>
            <w:r w:rsidRPr="00A163F9">
              <w:rPr>
                <w:rFonts w:cs="Arial"/>
                <w:sz w:val="13"/>
                <w:szCs w:val="13"/>
              </w:rPr>
              <w:t>Online at www.cetjournal.it</w:t>
            </w:r>
          </w:p>
        </w:tc>
      </w:tr>
      <w:tr w:rsidR="000A03B2" w:rsidRPr="00A163F9" w14:paraId="2D1B7169" w14:textId="77777777" w:rsidTr="00FC2173">
        <w:trPr>
          <w:trHeight w:val="68"/>
          <w:jc w:val="center"/>
        </w:trPr>
        <w:tc>
          <w:tcPr>
            <w:tcW w:w="8782" w:type="dxa"/>
            <w:gridSpan w:val="2"/>
          </w:tcPr>
          <w:p w14:paraId="1D8DD3C9" w14:textId="475D992A" w:rsidR="00AA7D26" w:rsidRPr="00A163F9" w:rsidRDefault="00AA7D26" w:rsidP="00AA7D26">
            <w:pPr>
              <w:ind w:left="-107"/>
              <w:outlineLvl w:val="2"/>
              <w:rPr>
                <w:rFonts w:ascii="Tahoma" w:hAnsi="Tahoma" w:cs="Tahoma"/>
                <w:bCs/>
                <w:color w:val="000000"/>
                <w:sz w:val="14"/>
                <w:szCs w:val="14"/>
                <w:lang w:eastAsia="it-IT"/>
              </w:rPr>
            </w:pPr>
            <w:r w:rsidRPr="00A163F9">
              <w:rPr>
                <w:rFonts w:ascii="Tahoma" w:hAnsi="Tahoma" w:cs="Tahoma"/>
                <w:iCs/>
                <w:color w:val="333333"/>
                <w:sz w:val="14"/>
                <w:szCs w:val="14"/>
                <w:lang w:eastAsia="it-IT"/>
              </w:rPr>
              <w:t>Guest Editors:</w:t>
            </w:r>
            <w:r w:rsidRPr="00A163F9">
              <w:rPr>
                <w:rFonts w:ascii="Tahoma" w:hAnsi="Tahoma" w:cs="Tahoma"/>
                <w:color w:val="000000"/>
                <w:sz w:val="14"/>
                <w:szCs w:val="14"/>
                <w:shd w:val="clear" w:color="auto" w:fill="FFFFFF"/>
              </w:rPr>
              <w:t xml:space="preserve"> </w:t>
            </w:r>
            <w:r w:rsidR="006A23E9" w:rsidRPr="00A163F9">
              <w:rPr>
                <w:rFonts w:ascii="Tahoma" w:hAnsi="Tahoma" w:cs="Tahoma"/>
                <w:color w:val="000000"/>
                <w:sz w:val="14"/>
                <w:szCs w:val="14"/>
                <w:shd w:val="clear" w:color="auto" w:fill="FFFFFF"/>
              </w:rPr>
              <w:t xml:space="preserve">Leonardo Tognotti, </w:t>
            </w:r>
            <w:r w:rsidR="006A23E9" w:rsidRPr="00A163F9">
              <w:rPr>
                <w:rFonts w:ascii="Tahoma" w:hAnsi="Tahoma" w:cs="Tahoma"/>
                <w:color w:val="000000"/>
                <w:sz w:val="14"/>
                <w:szCs w:val="14"/>
              </w:rPr>
              <w:t>Rubens Maciel Filho</w:t>
            </w:r>
            <w:r w:rsidR="006A23E9" w:rsidRPr="00A163F9">
              <w:rPr>
                <w:rFonts w:ascii="Tahoma" w:hAnsi="Tahoma" w:cs="Tahoma"/>
                <w:color w:val="000000"/>
                <w:sz w:val="14"/>
                <w:szCs w:val="14"/>
                <w:shd w:val="clear" w:color="auto" w:fill="FFFFFF"/>
              </w:rPr>
              <w:t xml:space="preserve">, </w:t>
            </w:r>
            <w:r w:rsidR="006A23E9" w:rsidRPr="00A163F9">
              <w:rPr>
                <w:rFonts w:ascii="Tahoma" w:hAnsi="Tahoma" w:cs="Tahoma"/>
                <w:color w:val="000000"/>
                <w:sz w:val="14"/>
                <w:szCs w:val="14"/>
              </w:rPr>
              <w:t>Viatcheslav Kafarov</w:t>
            </w:r>
          </w:p>
          <w:p w14:paraId="1B0F1814" w14:textId="3AD74145" w:rsidR="000A03B2" w:rsidRPr="00A163F9" w:rsidRDefault="00AA7D26" w:rsidP="00AA7D26">
            <w:pPr>
              <w:tabs>
                <w:tab w:val="left" w:pos="-108"/>
              </w:tabs>
              <w:spacing w:line="140" w:lineRule="atLeast"/>
              <w:ind w:left="-107"/>
              <w:jc w:val="left"/>
            </w:pPr>
            <w:r w:rsidRPr="00A163F9">
              <w:rPr>
                <w:rFonts w:ascii="Tahoma" w:hAnsi="Tahoma" w:cs="Tahoma"/>
                <w:iCs/>
                <w:color w:val="333333"/>
                <w:sz w:val="14"/>
                <w:szCs w:val="14"/>
                <w:lang w:eastAsia="it-IT"/>
              </w:rPr>
              <w:t>Copyright © 202</w:t>
            </w:r>
            <w:r w:rsidR="00843EAC" w:rsidRPr="00A163F9">
              <w:rPr>
                <w:rFonts w:ascii="Tahoma" w:hAnsi="Tahoma" w:cs="Tahoma"/>
                <w:iCs/>
                <w:color w:val="333333"/>
                <w:sz w:val="14"/>
                <w:szCs w:val="14"/>
                <w:lang w:eastAsia="it-IT"/>
              </w:rPr>
              <w:t>4</w:t>
            </w:r>
            <w:r w:rsidRPr="00A163F9">
              <w:rPr>
                <w:rFonts w:ascii="Tahoma" w:hAnsi="Tahoma" w:cs="Tahoma"/>
                <w:iCs/>
                <w:color w:val="333333"/>
                <w:sz w:val="14"/>
                <w:szCs w:val="14"/>
                <w:lang w:eastAsia="it-IT"/>
              </w:rPr>
              <w:t>, AIDIC Servizi S.r.l.</w:t>
            </w:r>
            <w:r w:rsidRPr="00A163F9">
              <w:rPr>
                <w:rFonts w:ascii="Tahoma" w:hAnsi="Tahoma" w:cs="Tahoma"/>
                <w:iCs/>
                <w:color w:val="333333"/>
                <w:sz w:val="14"/>
                <w:szCs w:val="14"/>
                <w:lang w:eastAsia="it-IT"/>
              </w:rPr>
              <w:br/>
            </w:r>
            <w:r w:rsidRPr="00A163F9">
              <w:rPr>
                <w:rFonts w:ascii="Tahoma" w:hAnsi="Tahoma" w:cs="Tahoma"/>
                <w:b/>
                <w:iCs/>
                <w:color w:val="000000"/>
                <w:sz w:val="14"/>
                <w:szCs w:val="14"/>
                <w:lang w:eastAsia="it-IT"/>
              </w:rPr>
              <w:t>ISBN</w:t>
            </w:r>
            <w:r w:rsidRPr="00A163F9">
              <w:rPr>
                <w:rFonts w:ascii="Tahoma" w:hAnsi="Tahoma" w:cs="Tahoma"/>
                <w:iCs/>
                <w:color w:val="000000"/>
                <w:sz w:val="14"/>
                <w:szCs w:val="14"/>
                <w:lang w:eastAsia="it-IT"/>
              </w:rPr>
              <w:t xml:space="preserve"> </w:t>
            </w:r>
            <w:r w:rsidR="008B7C03" w:rsidRPr="00A163F9">
              <w:rPr>
                <w:rFonts w:ascii="Tahoma" w:hAnsi="Tahoma" w:cs="Tahoma"/>
                <w:sz w:val="14"/>
                <w:szCs w:val="14"/>
              </w:rPr>
              <w:t>979-12-81206</w:t>
            </w:r>
            <w:r w:rsidRPr="00A163F9">
              <w:rPr>
                <w:rFonts w:ascii="Tahoma" w:hAnsi="Tahoma" w:cs="Tahoma"/>
                <w:sz w:val="14"/>
                <w:szCs w:val="14"/>
              </w:rPr>
              <w:t>-</w:t>
            </w:r>
            <w:r w:rsidR="00DB3233" w:rsidRPr="00A163F9">
              <w:rPr>
                <w:rFonts w:ascii="Tahoma" w:hAnsi="Tahoma" w:cs="Tahoma"/>
                <w:sz w:val="14"/>
                <w:szCs w:val="14"/>
              </w:rPr>
              <w:t>09</w:t>
            </w:r>
            <w:r w:rsidRPr="00A163F9">
              <w:rPr>
                <w:rFonts w:ascii="Tahoma" w:hAnsi="Tahoma" w:cs="Tahoma"/>
                <w:sz w:val="14"/>
                <w:szCs w:val="14"/>
              </w:rPr>
              <w:t>-</w:t>
            </w:r>
            <w:r w:rsidR="00DB3233" w:rsidRPr="00A163F9">
              <w:rPr>
                <w:rFonts w:ascii="Tahoma" w:hAnsi="Tahoma" w:cs="Tahoma"/>
                <w:sz w:val="14"/>
                <w:szCs w:val="14"/>
              </w:rPr>
              <w:t>0</w:t>
            </w:r>
            <w:r w:rsidRPr="00A163F9">
              <w:rPr>
                <w:rFonts w:ascii="Tahoma" w:hAnsi="Tahoma" w:cs="Tahoma"/>
                <w:iCs/>
                <w:color w:val="333333"/>
                <w:sz w:val="14"/>
                <w:szCs w:val="14"/>
                <w:lang w:eastAsia="it-IT"/>
              </w:rPr>
              <w:t xml:space="preserve">; </w:t>
            </w:r>
            <w:r w:rsidRPr="00A163F9">
              <w:rPr>
                <w:rFonts w:ascii="Tahoma" w:hAnsi="Tahoma" w:cs="Tahoma"/>
                <w:b/>
                <w:iCs/>
                <w:color w:val="333333"/>
                <w:sz w:val="14"/>
                <w:szCs w:val="14"/>
                <w:lang w:eastAsia="it-IT"/>
              </w:rPr>
              <w:t>ISSN</w:t>
            </w:r>
            <w:r w:rsidRPr="00A163F9">
              <w:rPr>
                <w:rFonts w:ascii="Tahoma" w:hAnsi="Tahoma" w:cs="Tahoma"/>
                <w:iCs/>
                <w:color w:val="333333"/>
                <w:sz w:val="14"/>
                <w:szCs w:val="14"/>
                <w:lang w:eastAsia="it-IT"/>
              </w:rPr>
              <w:t xml:space="preserve"> 2283-9216</w:t>
            </w:r>
          </w:p>
        </w:tc>
      </w:tr>
    </w:tbl>
    <w:p w14:paraId="2E667253" w14:textId="1BB96C60" w:rsidR="00E978D0" w:rsidRPr="00A163F9" w:rsidRDefault="00FC2173" w:rsidP="00E978D0">
      <w:pPr>
        <w:pStyle w:val="CETTitle"/>
        <w:rPr>
          <w:lang w:val="en-US"/>
        </w:rPr>
      </w:pPr>
      <w:r w:rsidRPr="00A163F9">
        <w:rPr>
          <w:lang w:val="en-US"/>
        </w:rPr>
        <w:t>Impact of Biomass Harvest-to-Processing Time on Protein Extraction in a Green Biorefinery Demonstration Plant</w:t>
      </w:r>
    </w:p>
    <w:p w14:paraId="0488FED2" w14:textId="21807814" w:rsidR="00B57E6F" w:rsidRPr="00A163F9" w:rsidRDefault="00B8272B" w:rsidP="00B57E6F">
      <w:pPr>
        <w:pStyle w:val="CETAuthors"/>
        <w:rPr>
          <w:noProof w:val="0"/>
          <w:lang w:val="en-US"/>
        </w:rPr>
      </w:pPr>
      <w:r w:rsidRPr="00A163F9">
        <w:rPr>
          <w:noProof w:val="0"/>
          <w:lang w:val="en-US"/>
        </w:rPr>
        <w:t>Thalles A. Andrade*</w:t>
      </w:r>
      <w:r w:rsidR="00B57E6F" w:rsidRPr="00A163F9">
        <w:rPr>
          <w:noProof w:val="0"/>
          <w:lang w:val="en-US"/>
        </w:rPr>
        <w:t xml:space="preserve">, </w:t>
      </w:r>
      <w:r w:rsidR="00DE0AE5" w:rsidRPr="00A163F9">
        <w:rPr>
          <w:noProof w:val="0"/>
          <w:lang w:val="en-US"/>
        </w:rPr>
        <w:t>Natália H. M. dos Passos, Damian E. L. Fetzer, Morten Ambye-Jensen</w:t>
      </w:r>
    </w:p>
    <w:p w14:paraId="6B2D21B3" w14:textId="7028319E" w:rsidR="00B57E6F" w:rsidRPr="00A163F9" w:rsidRDefault="007C66B8" w:rsidP="00B57E6F">
      <w:pPr>
        <w:pStyle w:val="CETAddress"/>
        <w:rPr>
          <w:noProof w:val="0"/>
          <w:lang w:val="en-US"/>
        </w:rPr>
      </w:pPr>
      <w:r w:rsidRPr="00A163F9">
        <w:rPr>
          <w:noProof w:val="0"/>
          <w:lang w:val="en-US"/>
        </w:rPr>
        <w:t>Aarhus University, Department of Biological and Chemical Engineering, 8200 Aarhus N, Denmark</w:t>
      </w:r>
    </w:p>
    <w:p w14:paraId="3D72B0B0" w14:textId="43A9168E" w:rsidR="00B57E6F" w:rsidRPr="00A163F9" w:rsidRDefault="00576348" w:rsidP="00B57E6F">
      <w:pPr>
        <w:pStyle w:val="CETAddress"/>
        <w:rPr>
          <w:noProof w:val="0"/>
          <w:lang w:val="en-US"/>
        </w:rPr>
      </w:pPr>
      <w:r w:rsidRPr="00A163F9">
        <w:rPr>
          <w:noProof w:val="0"/>
          <w:lang w:val="en-US"/>
        </w:rPr>
        <w:t>CBIO, Aarhus University Centre for Circular Bioeconomy, 8830 Tjele, Denmark</w:t>
      </w:r>
      <w:r w:rsidR="00B57E6F" w:rsidRPr="00A163F9">
        <w:rPr>
          <w:noProof w:val="0"/>
          <w:lang w:val="en-US"/>
        </w:rPr>
        <w:t xml:space="preserve"> </w:t>
      </w:r>
    </w:p>
    <w:p w14:paraId="73F1267A" w14:textId="756CAA8D" w:rsidR="00B57E6F" w:rsidRPr="00A163F9" w:rsidRDefault="006A6F71" w:rsidP="00B57E6F">
      <w:pPr>
        <w:pStyle w:val="CETemail"/>
        <w:rPr>
          <w:noProof w:val="0"/>
          <w:lang w:val="en-US"/>
        </w:rPr>
      </w:pPr>
      <w:r w:rsidRPr="00A163F9">
        <w:rPr>
          <w:noProof w:val="0"/>
          <w:lang w:val="en-US"/>
        </w:rPr>
        <w:t>*thal@bce.au.dk</w:t>
      </w:r>
    </w:p>
    <w:p w14:paraId="14D0D552" w14:textId="14368D4B" w:rsidR="00E97DD5" w:rsidRPr="00A163F9" w:rsidRDefault="00527177" w:rsidP="00600535">
      <w:pPr>
        <w:pStyle w:val="CETBodytext"/>
      </w:pPr>
      <w:bookmarkStart w:id="0" w:name="_Hlk495475023"/>
      <w:r w:rsidRPr="00A163F9">
        <w:t xml:space="preserve">Given the increasing demand for sustainable and alternative protein sources, </w:t>
      </w:r>
      <w:r w:rsidR="00F23C89" w:rsidRPr="00A163F9">
        <w:t>exploring and replacing traditional monogastric animal feeds, such as soybean meal, with protein extracted from green biorefineries is necessary</w:t>
      </w:r>
      <w:r w:rsidRPr="00A163F9">
        <w:t xml:space="preserve">. </w:t>
      </w:r>
      <w:r w:rsidR="00852406" w:rsidRPr="00A163F9">
        <w:t>Th</w:t>
      </w:r>
      <w:r w:rsidR="00E62B38" w:rsidRPr="00A163F9">
        <w:t>e present</w:t>
      </w:r>
      <w:r w:rsidR="00852406" w:rsidRPr="00A163F9">
        <w:t xml:space="preserve"> study explore</w:t>
      </w:r>
      <w:r w:rsidR="00035F18" w:rsidRPr="00A163F9">
        <w:t>d</w:t>
      </w:r>
      <w:r w:rsidR="00852406" w:rsidRPr="00A163F9">
        <w:t xml:space="preserve"> the influence of the time interval between biomass harvesting and processing in a green biorefinery demonstration facility established at Aarhus University, Denmark. The study utiliz</w:t>
      </w:r>
      <w:r w:rsidR="00FA2C75" w:rsidRPr="00A163F9">
        <w:t>ed</w:t>
      </w:r>
      <w:r w:rsidR="00852406" w:rsidRPr="00A163F9">
        <w:t xml:space="preserve"> grass-clover mixture</w:t>
      </w:r>
      <w:r w:rsidR="007F1FD9">
        <w:t>s</w:t>
      </w:r>
      <w:r w:rsidR="00852406" w:rsidRPr="00A163F9">
        <w:t xml:space="preserve"> as feedstock over two seasons (August 2021 and August 2022) to extract protein concentrate. The investigation </w:t>
      </w:r>
      <w:r w:rsidR="00035F18" w:rsidRPr="00A163F9">
        <w:t>evaluated</w:t>
      </w:r>
      <w:r w:rsidR="00852406" w:rsidRPr="00A163F9">
        <w:t xml:space="preserve"> the impact of varying durations between biomass harvest and processing on protein extraction yield and the quality of </w:t>
      </w:r>
      <w:r w:rsidR="00886301" w:rsidRPr="00A163F9">
        <w:t>the l</w:t>
      </w:r>
      <w:r w:rsidR="00852406" w:rsidRPr="00A163F9">
        <w:t xml:space="preserve">eaf </w:t>
      </w:r>
      <w:r w:rsidR="00886301" w:rsidRPr="00A163F9">
        <w:t>p</w:t>
      </w:r>
      <w:r w:rsidR="00852406" w:rsidRPr="00A163F9">
        <w:t xml:space="preserve">rotein </w:t>
      </w:r>
      <w:r w:rsidR="00886301" w:rsidRPr="00A163F9">
        <w:t>c</w:t>
      </w:r>
      <w:r w:rsidR="00852406" w:rsidRPr="00A163F9">
        <w:t xml:space="preserve">oncentrate. </w:t>
      </w:r>
      <w:r w:rsidR="00A23B68" w:rsidRPr="00A163F9">
        <w:t xml:space="preserve">The findings indicate that protein degradation rises with </w:t>
      </w:r>
      <w:r w:rsidR="00462FFC" w:rsidRPr="00A163F9">
        <w:t>longer</w:t>
      </w:r>
      <w:r w:rsidR="00852406" w:rsidRPr="00A163F9">
        <w:t xml:space="preserve"> </w:t>
      </w:r>
      <w:r w:rsidR="002420EC" w:rsidRPr="00A163F9">
        <w:t>harvest-to-processin</w:t>
      </w:r>
      <w:r w:rsidR="00FE6077" w:rsidRPr="00A163F9">
        <w:t xml:space="preserve">g </w:t>
      </w:r>
      <w:r w:rsidR="00570F3C" w:rsidRPr="00A163F9">
        <w:t>intervals</w:t>
      </w:r>
      <w:r w:rsidR="00193949" w:rsidRPr="00A163F9">
        <w:t>. This reinforces</w:t>
      </w:r>
      <w:r w:rsidR="00852406" w:rsidRPr="00A163F9">
        <w:t xml:space="preserve"> the </w:t>
      </w:r>
      <w:r w:rsidR="000D318A" w:rsidRPr="00A163F9">
        <w:t>importance of</w:t>
      </w:r>
      <w:r w:rsidR="0028253E" w:rsidRPr="00A163F9">
        <w:t xml:space="preserve"> implement</w:t>
      </w:r>
      <w:r w:rsidR="000D318A" w:rsidRPr="00A163F9">
        <w:t>ing</w:t>
      </w:r>
      <w:r w:rsidR="0028253E" w:rsidRPr="00A163F9">
        <w:t xml:space="preserve"> the biorefinery </w:t>
      </w:r>
      <w:r w:rsidR="00BB473D" w:rsidRPr="00A163F9">
        <w:t>close to</w:t>
      </w:r>
      <w:r w:rsidR="0028253E" w:rsidRPr="00A163F9">
        <w:t xml:space="preserve"> the </w:t>
      </w:r>
      <w:r w:rsidR="00413393" w:rsidRPr="00A163F9">
        <w:t>harvesting field</w:t>
      </w:r>
      <w:r w:rsidR="00852406" w:rsidRPr="00A163F9">
        <w:t xml:space="preserve"> to </w:t>
      </w:r>
      <w:r w:rsidR="00BB473D" w:rsidRPr="00A163F9">
        <w:t>reduce</w:t>
      </w:r>
      <w:r w:rsidR="00852406" w:rsidRPr="00A163F9">
        <w:t xml:space="preserve"> this </w:t>
      </w:r>
      <w:r w:rsidR="00413393" w:rsidRPr="00A163F9">
        <w:t>time</w:t>
      </w:r>
      <w:r w:rsidR="00FA2C75" w:rsidRPr="00A163F9">
        <w:t xml:space="preserve"> and optimize logistics</w:t>
      </w:r>
      <w:r w:rsidR="00852406" w:rsidRPr="00A163F9">
        <w:t>. Th</w:t>
      </w:r>
      <w:r w:rsidR="00A767C7" w:rsidRPr="00A163F9">
        <w:t>is</w:t>
      </w:r>
      <w:r w:rsidR="00852406" w:rsidRPr="00A163F9">
        <w:t xml:space="preserve"> research aim</w:t>
      </w:r>
      <w:r w:rsidR="00A767C7" w:rsidRPr="00A163F9">
        <w:t>ed</w:t>
      </w:r>
      <w:r w:rsidR="00852406" w:rsidRPr="00A163F9">
        <w:t xml:space="preserve"> to contribute valuable insights for implementing efficient and sustainable processes in green biorefineries to maximize protein yields from fresh biomass.</w:t>
      </w:r>
    </w:p>
    <w:bookmarkEnd w:id="0"/>
    <w:p w14:paraId="476B2F2E" w14:textId="77777777" w:rsidR="00600535" w:rsidRPr="00A163F9" w:rsidRDefault="00600535" w:rsidP="00600535">
      <w:pPr>
        <w:pStyle w:val="CETHeading1"/>
      </w:pPr>
      <w:r w:rsidRPr="00A163F9">
        <w:t>Introduction</w:t>
      </w:r>
    </w:p>
    <w:p w14:paraId="3F9A8346" w14:textId="26B41BF3" w:rsidR="009349AE" w:rsidRPr="00A163F9" w:rsidRDefault="004D3FA1" w:rsidP="00600535">
      <w:pPr>
        <w:pStyle w:val="CETBodytext"/>
      </w:pPr>
      <w:r w:rsidRPr="00A163F9">
        <w:t xml:space="preserve">The increasing global population and economic prosperity have led to an escalating demand for protein worldwide. Concurrently, the need to address climate change and promote sustainable food production requires </w:t>
      </w:r>
      <w:r w:rsidR="001C16E7" w:rsidRPr="00A163F9">
        <w:t>developing</w:t>
      </w:r>
      <w:r w:rsidRPr="00A163F9">
        <w:t xml:space="preserve"> solutions within the food and feed system. These solutions aim to facilitate the local sourcing of high-quality protein with enhanced land productivity and minimized environmental impacts</w:t>
      </w:r>
      <w:r w:rsidR="00F167A5" w:rsidRPr="00A163F9">
        <w:t xml:space="preserve"> </w:t>
      </w:r>
      <w:r w:rsidR="00282881" w:rsidRPr="00A163F9">
        <w:fldChar w:fldCharType="begin"/>
      </w:r>
      <w:r w:rsidR="00282881" w:rsidRPr="00A163F9">
        <w:instrText xml:space="preserve"> ADDIN ZOTERO_ITEM CSL_CITATION {"citationID":"pr5tK5IX","properties":{"formattedCitation":"(Chan et al., 2024)","plainCitation":"(Chan et al., 2024)","noteIndex":0},"citationItems":[{"id":1936,"uris":["http://zotero.org/users/11878636/items/8I9TV6EL"],"itemData":{"id":1936,"type":"article-journal","abstract":"The consistent population growth is directly tied to the annual rise in livestock production, placing a substantial burden on the crop sector that supplies animal feed. The Danish government has been relying on importing soybeans and soybean meal to be used as animal feed. However, this sparked environmental concerns that require more environmentally friendly solutions, such as self-sufficiency in animal feed production. The rise of green biorefineries allows new avenues of animal proteinaceous feed production using green biomass to produce leaf protein concentrate (LPC) and utilize side-stream products, such as brown juice and press cake, for feed-quality products. This study evaluated the combination of grass-clover biorefinery and the power-to-X concept, including power-to-protein technology, for its environmental sustainability through a consequential life cycle assessment (CLCA). The production of protein concentrate from organic grass clover exhibits optimal environmental performance when press cake and brown juice are used for bioenergy recovery. The findings indicate that combining a green biorefinery with power-to-protein to fully valorize the carbon and nitrogen content of brown juice and press cake into feed-grade protein can increase the environmental benefits. Such an integration resulted in an avoided impact of −995.9 kg CO2-eq/tonne of protein concentrate. The avoided impacts of climate change could be higher within the first 20 years due to a higher carbon sequestration rate. However, even after 20 years when a new carbon balance in the soil is reached, the environmental gain could be big enough to encourage the production and use of organic grass-clover protein concentrate.","container-title":"Science of The Total Environment","DOI":"10.1016/j.scitotenv.2023.167943","ISSN":"0048-9697","journalAbbreviation":"Science of The Total Environment","page":"167943","source":"ScienceDirect","title":"Environmental impacts of a novel biorefinery platform integrated with power-to-protein technology to decrease dependencies on soybean imports","volume":"907","author":[{"family":"Chan","given":"Shealtiel William S."},{"family":"Marami","given":"Hadis"},{"family":"Tayo","given":"Lemmuel L."},{"family":"Fog","given":"Erik"},{"family":"Andrade","given":"Thalles A."},{"family":"Ambye-Jensen","given":"Morten"},{"family":"Birkved","given":"Morten"},{"family":"Khoshnevisan","given":"Benyamin"}],"issued":{"date-parts":[["2024",1,10]]}}}],"schema":"https://github.com/citation-style-language/schema/raw/master/csl-citation.json"} </w:instrText>
      </w:r>
      <w:r w:rsidR="00282881" w:rsidRPr="00A163F9">
        <w:fldChar w:fldCharType="separate"/>
      </w:r>
      <w:r w:rsidR="00282881" w:rsidRPr="00A163F9">
        <w:rPr>
          <w:rFonts w:cs="Arial"/>
        </w:rPr>
        <w:t>(Chan et al., 2024)</w:t>
      </w:r>
      <w:r w:rsidR="00282881" w:rsidRPr="00A163F9">
        <w:fldChar w:fldCharType="end"/>
      </w:r>
      <w:r w:rsidR="001A2C28" w:rsidRPr="00A163F9">
        <w:t>.</w:t>
      </w:r>
      <w:r w:rsidRPr="00A163F9">
        <w:t xml:space="preserve"> One promising technology is green biorefinery, which offers a holistic solution to enable sustainable local production of a leaf protein concentrate (LPC) from green forage, such as grasses and legumes. The LPC offers a compelling substitute for soybean meals in monogastric animal nutrition, such as pigs and poultry, mitigating the European Union's reliance on soybean imports</w:t>
      </w:r>
      <w:r w:rsidR="004056C0" w:rsidRPr="00A163F9">
        <w:t xml:space="preserve"> </w:t>
      </w:r>
      <w:r w:rsidR="004056C0" w:rsidRPr="00A163F9">
        <w:fldChar w:fldCharType="begin"/>
      </w:r>
      <w:r w:rsidR="008B5CB2" w:rsidRPr="00A163F9">
        <w:instrText xml:space="preserve"> ADDIN ZOTERO_ITEM CSL_CITATION {"citationID":"RhwHmAmV","properties":{"formattedCitation":"(Andersen and Kiel, 2000; Ravindran et al., 2021)","plainCitation":"(Andersen and Kiel, 2000; Ravindran et al., 2021)","noteIndex":0},"citationItems":[{"id":236,"uris":["http://zotero.org/users/11878636/items/ARMTKBB3"],"itemData":{"id":236,"type":"article-journal","abstract":"Grass, clover and alfalfa are used for production of fodder pellets. In the green crop drying factories in the northern countries the drying is combined with pressing of the green crops resulting in production of large volumes of plant juices, green and brown juice. In order to get rid of these enormous amounts of plant juice, representing an environmental threat, it is our aim to convert the simple drying industry to a whole crop utilisation factory, a green bioreﬁnery, where the plant juice can be used as raw material in a fermentation process. As the plant juice is very unstable, it has been necessary to develop a method for both conservation and utilisation of the juice. The plant juice is converted to a nice universal fermentation medium by lactic acid bacteria. A number of lactic acid producing strains have been tested. Among the most productive strains, Lactobacillus paracasei ssp. paracasei P4155 is found to be the most effective in utilising fructans and citric acid. Most carbohydrates and organic acids in the juice can be converted to lactic acid by two homofermentative lactobacilli. The highest lactic acid yield and productivity is reached when using not-heat sterilised brown or green juice as the fermentation medium. The amount of free amino acids in the juice is increased and the content of vitamins and other important growth factors kept unspoiled by the lactic acid fermentation. The fermented juice can be stored as it is or evaporated to a concentrated form and used in fermentation industries for production of amino acids, organic acids, enzymes etc. © 2000 Elsevier Science B.V. All rights reserved.","container-title":"Industrial Crops and Products","DOI":"10.1016/S0926-6690(99)00055-2","ISSN":"09266690","issue":"2-3","journalAbbreviation":"Industrial Crops and Products","language":"en","page":"129-137","source":"DOI.org (Crossref)","title":"Integrated utilisation of green biomass in the green biorefinery","volume":"11","author":[{"family":"Andersen","given":"Margrethe"},{"family":"Kiel","given":"Pauli"}],"issued":{"date-parts":[["2000",3]]}}},{"id":254,"uris":["http://zotero.org/users/11878636/items/KB538AF2"],"itemData":{"id":254,"type":"article-journal","abstract":"Perennial rye grass is a widely used forage species in Ireland, on which the ruminant sector of agriculture is heavily dependent. While this species of grass is the primary source of fodder for cows, it is also abundant in plant protein, which could form a potential alternative ingredient in monogastric animal feed using a green bioreﬁnery approach. In this study, perennial rye grass was processed using a novel bioreﬁning process to extract value added products including protein as a potential replacement for soybean meal in monogastric feeds. Feed trials were conducted on a commercial farm with 55 weaner pigs for 31 days until slaughter. The diets comprised a control and a trial diet which integrated the green bioreﬁnery protein concentrate. The effects of the new diet were determined by measuring the daily feed intake (DFI), average weight gain (AWG) and feed conversion ratio (FCR). Amino acid proﬁles of grass protein concentrate and soybean meal were comparable, with the latter having a slightly higher amount of total protein content, lysine and cysteine. The DFI and ADW indicated that the treatment diet was superior to the control. DFI for the treatment diet (1.512 kg/d) was 8% higher than the control diet (1.400 kg/d) by the end of the trial. Additionally, the ADW for the treatment diet was 6.44% higher than that achieved in the control sample. Meanwhile, FCR calculations indicated that the treatment diet is just as efﬁcient as the conventional diet. Overall, the results of the study indicate positive potential for perennial ryegrass-derived green bioreﬁnery protein concentrate as an alternative protein source for pig feed formulations in Ireland.","container-title":"Clean Technologies","DOI":"10.3390/cleantechnol3030039","ISSN":"2571-8797","issue":"3","journalAbbreviation":"Clean Technol.","language":"en","page":"656-669","source":"DOI.org (Crossref)","title":"Production of Green Biorefinery Protein Concentrate Derived from Perennial Ryegrass as an Alternative Feed for Pigs","volume":"3","author":[{"family":"Ravindran","given":"Rajeev"},{"family":"Koopmans","given":"Sybrandus"},{"family":"Sanders","given":"Johan P. M."},{"family":"McMahon","given":"Helena"},{"family":"Gaffey","given":"James"}],"issued":{"date-parts":[["2021",9,14]]}}}],"schema":"https://github.com/citation-style-language/schema/raw/master/csl-citation.json"} </w:instrText>
      </w:r>
      <w:r w:rsidR="004056C0" w:rsidRPr="00A163F9">
        <w:fldChar w:fldCharType="separate"/>
      </w:r>
      <w:r w:rsidR="008B5CB2" w:rsidRPr="00A163F9">
        <w:rPr>
          <w:rFonts w:cs="Arial"/>
        </w:rPr>
        <w:t>(Andersen and Kiel, 2000; Ravindran et al., 2021)</w:t>
      </w:r>
      <w:r w:rsidR="004056C0" w:rsidRPr="00A163F9">
        <w:fldChar w:fldCharType="end"/>
      </w:r>
      <w:r w:rsidRPr="00A163F9">
        <w:t>.</w:t>
      </w:r>
    </w:p>
    <w:p w14:paraId="78A23B2D" w14:textId="54916896" w:rsidR="00D05FE5" w:rsidRPr="00A163F9" w:rsidRDefault="00D05FE5" w:rsidP="00600535">
      <w:pPr>
        <w:pStyle w:val="CETBodytext"/>
      </w:pPr>
      <w:r w:rsidRPr="00A163F9">
        <w:t xml:space="preserve">The initial stage of a sustainable green biorefinery involves mechanical </w:t>
      </w:r>
      <w:r w:rsidR="00FA2C75" w:rsidRPr="00A163F9">
        <w:t xml:space="preserve">fractionation of </w:t>
      </w:r>
      <w:r w:rsidRPr="00A163F9">
        <w:t xml:space="preserve">harvested biomass into two </w:t>
      </w:r>
      <w:r w:rsidR="00A80E0A" w:rsidRPr="00A163F9">
        <w:t>fractions</w:t>
      </w:r>
      <w:r w:rsidRPr="00A163F9">
        <w:t xml:space="preserve">: a fiber press cake containing abundant lignocellulosic materials, and a liquid green juice (GJ) with high protein content. The GJ </w:t>
      </w:r>
      <w:r w:rsidR="005925F1" w:rsidRPr="00A163F9">
        <w:t>is submitted to</w:t>
      </w:r>
      <w:r w:rsidRPr="00A163F9">
        <w:t xml:space="preserve"> a protein precipitation process, including heat coagulation, fermentation, or chemical treatment</w:t>
      </w:r>
      <w:r w:rsidR="00193949" w:rsidRPr="00A163F9">
        <w:t xml:space="preserve"> methods</w:t>
      </w:r>
      <w:r w:rsidRPr="00A163F9">
        <w:t xml:space="preserve">. Subsequently, the resulting LPC is separated from the </w:t>
      </w:r>
      <w:r w:rsidR="005925F1" w:rsidRPr="00A163F9">
        <w:t>residual</w:t>
      </w:r>
      <w:r w:rsidRPr="00A163F9">
        <w:t xml:space="preserve"> brown juice (BJ) through centrifugation and </w:t>
      </w:r>
      <w:r w:rsidR="00176CE1" w:rsidRPr="00A163F9">
        <w:t>finally</w:t>
      </w:r>
      <w:r w:rsidRPr="00A163F9">
        <w:t xml:space="preserve"> subjected to</w:t>
      </w:r>
      <w:r w:rsidR="006A5DB4" w:rsidRPr="00A163F9">
        <w:t xml:space="preserve"> a</w:t>
      </w:r>
      <w:r w:rsidRPr="00A163F9">
        <w:t xml:space="preserve"> drying process</w:t>
      </w:r>
      <w:r w:rsidR="00AB626A" w:rsidRPr="00A163F9">
        <w:t xml:space="preserve"> </w:t>
      </w:r>
      <w:r w:rsidR="00C96D0B" w:rsidRPr="00A163F9">
        <w:fldChar w:fldCharType="begin"/>
      </w:r>
      <w:r w:rsidR="00C96D0B" w:rsidRPr="00A163F9">
        <w:instrText xml:space="preserve"> ADDIN ZOTERO_ITEM CSL_CITATION {"citationID":"6PCz4jaq","properties":{"formattedCitation":"(Kamm et al., 2016)","plainCitation":"(Kamm et al., 2016)","noteIndex":0},"citationItems":[{"id":28,"uris":["http://zotero.org/users/11878636/items/83B56B4T"],"itemData":{"id":28,"type":"article-journal","abstract":"Oil reﬁneries currently generate a multitude of products for almost every sphere of life at very high efﬁciency. However, fossil raw materials are just available in limited quantities. The development of comparable BIOREFINERIES is necessary to make a variety of competitive biological products regarding their equivalent products based on fossil raw materials. The product range of a bioreﬁnery comprises products that can be manufactured on the basis of crude oil, as well as such products that cannot be produced on the basis of crude oil (Kamm, Gruber, &amp; Kamm, 2011). GREEN BIOREFINERIES [GBR’s] are complex systems of sustainable, environment- and resource-friendly technologies for a comprehensive material and energy use or recovery of renewable raw materials in form of green and waste biomasses from a sustainable land use as target (Kamm et al., 2009; Digman, Runge, Shinners, &amp; Hatﬁeld, 2013).","container-title":"Food Chemistry","DOI":"10.1016/j.foodchem.2015.11.088","ISSN":"03088146","journalAbbreviation":"Food Chemistry","language":"en","page":"1341-1345","source":"DOI.org (Crossref)","title":"Green biorefinery – Industrial implementation","volume":"197","author":[{"family":"Kamm","given":"B."},{"family":"Schönicke","given":"P."},{"family":"Hille","given":"Ch."}],"issued":{"date-parts":[["2016",4]]}}}],"schema":"https://github.com/citation-style-language/schema/raw/master/csl-citation.json"} </w:instrText>
      </w:r>
      <w:r w:rsidR="00C96D0B" w:rsidRPr="00A163F9">
        <w:fldChar w:fldCharType="separate"/>
      </w:r>
      <w:r w:rsidR="00C96D0B" w:rsidRPr="00A163F9">
        <w:rPr>
          <w:rFonts w:cs="Arial"/>
        </w:rPr>
        <w:t>(Kamm et al., 2016)</w:t>
      </w:r>
      <w:r w:rsidR="00C96D0B" w:rsidRPr="00A163F9">
        <w:fldChar w:fldCharType="end"/>
      </w:r>
      <w:r w:rsidRPr="00A163F9">
        <w:t>.</w:t>
      </w:r>
    </w:p>
    <w:p w14:paraId="18550CA9" w14:textId="643281E6" w:rsidR="00274776" w:rsidRPr="00A163F9" w:rsidRDefault="00FA2C75" w:rsidP="00600535">
      <w:pPr>
        <w:pStyle w:val="CETBodytext"/>
      </w:pPr>
      <w:r w:rsidRPr="00A163F9">
        <w:t>The f</w:t>
      </w:r>
      <w:r w:rsidR="00023A03" w:rsidRPr="00A163F9">
        <w:t>iber</w:t>
      </w:r>
      <w:r w:rsidR="00644859" w:rsidRPr="00A163F9">
        <w:t xml:space="preserve"> fraction </w:t>
      </w:r>
      <w:r w:rsidR="001B08F8" w:rsidRPr="00A163F9">
        <w:t>is</w:t>
      </w:r>
      <w:r w:rsidR="00644859" w:rsidRPr="00A163F9">
        <w:t xml:space="preserve"> suitable for serving as feed for ruminant animals due to its</w:t>
      </w:r>
      <w:r w:rsidRPr="00A163F9">
        <w:t xml:space="preserve"> slightly disrupted </w:t>
      </w:r>
      <w:r w:rsidR="00394FD0" w:rsidRPr="00A163F9">
        <w:t>fiber structure</w:t>
      </w:r>
      <w:r w:rsidRPr="00A163F9">
        <w:t xml:space="preserve"> and remaining protein content,</w:t>
      </w:r>
      <w:r w:rsidR="00644859" w:rsidRPr="00A163F9">
        <w:t xml:space="preserve"> fulfilling the requisite nutritional</w:t>
      </w:r>
      <w:r w:rsidRPr="00A163F9">
        <w:t xml:space="preserve"> feed</w:t>
      </w:r>
      <w:r w:rsidR="00644859" w:rsidRPr="00A163F9">
        <w:t xml:space="preserve"> requirements</w:t>
      </w:r>
      <w:r w:rsidR="00394FD0" w:rsidRPr="00A163F9">
        <w:t xml:space="preserve"> </w:t>
      </w:r>
      <w:r w:rsidR="00394FD0" w:rsidRPr="00A163F9">
        <w:fldChar w:fldCharType="begin"/>
      </w:r>
      <w:r w:rsidR="00394FD0" w:rsidRPr="00A163F9">
        <w:instrText xml:space="preserve"> ADDIN ZOTERO_ITEM CSL_CITATION {"citationID":"XAWUDtzl","properties":{"formattedCitation":"(Hansen et al., 2023)","plainCitation":"(Hansen et al., 2023)","noteIndex":0},"citationItems":[{"id":184,"uris":["http://zotero.org/users/11878636/items/877RMICT"],"itemData":{"id":184,"type":"article-journal","container-title":"Journal of Dairy Science","DOI":"10.3168/jds.2022-21851","ISSN":"00220302","issue":"2","journalAbbreviation":"Journal of Dairy Science","language":"en","page":"937-953","source":"DOI.org (Crossref)","title":"Fiber digestibility and protein value of pulp silage for lactating dairy cows: Effects of wet fractionation by screw pressing of perennial ryegrass","title-short":"Fiber digestibility and protein value of pulp silage for lactating dairy cows","volume":"106","author":[{"family":"Hansen","given":"N.P."},{"family":"Jensen","given":"S.K."},{"family":"Johansen","given":"M."},{"family":"Hellwing","given":"A.L.F."},{"family":"Ambye-Jensen","given":"M."},{"family":"Larsen","given":"M."},{"family":"Weisbjerg","given":"M.R."}],"issued":{"date-parts":[["2023",2]]}}}],"schema":"https://github.com/citation-style-language/schema/raw/master/csl-citation.json"} </w:instrText>
      </w:r>
      <w:r w:rsidR="00394FD0" w:rsidRPr="00A163F9">
        <w:fldChar w:fldCharType="separate"/>
      </w:r>
      <w:r w:rsidR="00394FD0" w:rsidRPr="00A163F9">
        <w:rPr>
          <w:rFonts w:cs="Arial"/>
        </w:rPr>
        <w:t>(Hansen et al., 2023)</w:t>
      </w:r>
      <w:r w:rsidR="00394FD0" w:rsidRPr="00A163F9">
        <w:fldChar w:fldCharType="end"/>
      </w:r>
      <w:r w:rsidR="00394FD0" w:rsidRPr="00A163F9">
        <w:t>.</w:t>
      </w:r>
      <w:r w:rsidR="00644859" w:rsidRPr="00A163F9">
        <w:t xml:space="preserve"> Furthermore, the fiber fraction finds applications in various areas, including energy production through methods such as anaerobic digestion and pyrolysis. Additionally, it can be refined into biomaterials and biochemicals</w:t>
      </w:r>
      <w:r w:rsidR="0005015F" w:rsidRPr="00A163F9">
        <w:t xml:space="preserve"> </w:t>
      </w:r>
      <w:r w:rsidR="00F371FE" w:rsidRPr="00A163F9">
        <w:fldChar w:fldCharType="begin"/>
      </w:r>
      <w:r w:rsidR="0080133F" w:rsidRPr="00A163F9">
        <w:instrText xml:space="preserve"> ADDIN ZOTERO_ITEM CSL_CITATION {"citationID":"f1yTD89c","properties":{"formattedCitation":"(Hansen et al., 2023; Ravenni et al., 2023; Sharma et al., 2011)","plainCitation":"(Hansen et al., 2023; Ravenni et al., 2023; Sharma et al., 2011)","noteIndex":0},"citationItems":[{"id":184,"uris":["http://zotero.org/users/11878636/items/877RMICT"],"itemData":{"id":184,"type":"article-journal","container-title":"Journal of Dairy Science","DOI":"10.3168/jds.2022-21851","ISSN":"00220302","issue":"2","journalAbbreviation":"Journal of Dairy Science","language":"en","page":"937-953","source":"DOI.org (Crossref)","title":"Fiber digestibility and protein value of pulp silage for lactating dairy cows: Effects of wet fractionation by screw pressing of perennial ryegrass","title-short":"Fiber digestibility and protein value of pulp silage for lactating dairy cows","volume":"106","author":[{"family":"Hansen","given":"N.P."},{"family":"Jensen","given":"S.K."},{"family":"Johansen","given":"M."},{"family":"Hellwing","given":"A.L.F."},{"family":"Ambye-Jensen","given":"M."},{"family":"Larsen","given":"M."},{"family":"Weisbjerg","given":"M.R."}],"issued":{"date-parts":[["2023",2]]}}},{"id":1934,"uris":["http://zotero.org/users/11878636/items/KHJ5Z8VF"],"itemData":{"id":1934,"type":"article-journal","abstract":"Green biorefineries can support the reduction of soybeans imports to Europe, by producing protein-rich animal feed from alternative feedstock such as perennial grass and legume species. Once the protein-rich green juice is extracted, a fiber-rich pulp is left as a residue. This work investigates the thermochemical processing of the pulp via pyrolysis as an option to improve the energy balance and climate footprint of a green biorefinery, by producing non-fossil energy and a high-value biochar product. Laboratory-scale pyrolysis and biochar activation were carried out on pulp samples obtained from different perennial species, different pressing method, and maturity at harvest. The results highlighted the importance of the activation stage to obtain a porous biochar, potentially suitable as animal feed additive. The effects on the overall energy balance and climate impact of the system following the integration of pulp drying and pyrolysis, plus a possible activation step for the biochar, were evaluated with a techno-environmental assessment. The pulp sample composition had only limited influence on the climate impact potentials identified. In all cases, it was found that the integration of a combined drying-pyrolysis-activation system in the green biorefinery may provide substantial additional climate benefits but also that the magnitude of these is strongly dependent on the substitution use-value of the energy products.","container-title":"Biomass Conversion and Biorefinery","DOI":"10.1007/s13399-023-04877-4","ISSN":"2190-6823","journalAbbreviation":"Biomass Conv. Bioref.","language":"en","source":"Springer Link","title":"Integration of a drying and pyrolysis system in a green biorefinery: biochar product quality and impacts on the overall energy balance and climate footprint","title-short":"Integration of a drying and pyrolysis system in a green biorefinery","URL":"https://doi.org/10.1007/s13399-023-04877-4","author":[{"family":"Ravenni","given":"G."},{"family":"Thomsen","given":"T. P."},{"family":"Smith","given":"A. M."},{"family":"Ambye-Jensen","given":"M."},{"family":"Rohde-Nielsen","given":"K. T."},{"family":"Henriksen","given":"Ulrik B."}],"accessed":{"date-parts":[["2023",10,24]]},"issued":{"date-parts":[["2023",9,25]]}}},{"id":39,"uris":["http://zotero.org/users/11878636/items/XCAU5VZK"],"itemData":{"id":39,"type":"article-journal","abstract":"This paper reviews recent developments on the fractionation and processing of perennial grasses. The value of grass as a ruminant feed is based on its protein and ﬁbre contents, and consists of hemicellulose, cellulose, lignin, proteins, lipids and minor fractions. Since the lignocellulosic fraction constitutes the largest component, the overall viability of a bioreﬁning plant will be determined by ﬁbre processing steps to add value in terms of functionality for various end use applications. The utilisation of grass and forage offers an opportunity to develop integrated schemes from primary production to bio-energy generation, the separation and fractionation of ﬁbre, amino acid and protein fractions. Under a multifunctional management of grassland, the utilisation of silage/hay/forage for bioreﬁning and as feed for animals could offer signiﬁcant opportunities for Northern Ireland and this will ultimately have a positive impact on green house gas emissions.","container-title":"Chemical Engineering Research and Design","DOI":"10.1016/j.cherd.2011.03.004","ISSN":"02638762","issue":"11","journalAbbreviation":"Chemical Engineering Research and Design","language":"en","page":"2309-2321","source":"DOI.org (Crossref)","title":"Biorefining of perennial grasses: A potential sustainable option for Northern Ireland grassland production","title-short":"Biorefining of perennial grasses","volume":"89","author":[{"family":"Sharma","given":"H.S. Shekhar"},{"family":"Lyons","given":"Gary"},{"family":"McRoberts","given":"Colin"}],"issued":{"date-parts":[["2011",11]]}}}],"schema":"https://github.com/citation-style-language/schema/raw/master/csl-citation.json"} </w:instrText>
      </w:r>
      <w:r w:rsidR="00F371FE" w:rsidRPr="00A163F9">
        <w:fldChar w:fldCharType="separate"/>
      </w:r>
      <w:r w:rsidR="0080133F" w:rsidRPr="00A163F9">
        <w:rPr>
          <w:rFonts w:cs="Arial"/>
        </w:rPr>
        <w:t>(Hansen et al., 2023; Ravenni et al., 2023; Sharma et al., 2011)</w:t>
      </w:r>
      <w:r w:rsidR="00F371FE" w:rsidRPr="00A163F9">
        <w:fldChar w:fldCharType="end"/>
      </w:r>
      <w:r w:rsidR="00644859" w:rsidRPr="00A163F9">
        <w:t xml:space="preserve">. The </w:t>
      </w:r>
      <w:r w:rsidR="00121300" w:rsidRPr="00A163F9">
        <w:t>BJ</w:t>
      </w:r>
      <w:r w:rsidR="00644859" w:rsidRPr="00A163F9">
        <w:t xml:space="preserve"> exhibits richness in organic compounds, including sugars and amino acids. Notable applications of BJ encompass biogas production, ferti-irrigation, and its utility as a substrate for the fermentation of diverse substances such as single-cell protein, astaxanthin, and bioethanol</w:t>
      </w:r>
      <w:r w:rsidR="007C005E" w:rsidRPr="00A163F9">
        <w:t xml:space="preserve"> </w:t>
      </w:r>
      <w:r w:rsidR="00725F35" w:rsidRPr="00A163F9">
        <w:fldChar w:fldCharType="begin"/>
      </w:r>
      <w:r w:rsidR="00E752F0" w:rsidRPr="00A163F9">
        <w:instrText xml:space="preserve"> ADDIN ZOTERO_ITEM CSL_CITATION {"citationID":"faRUwTmv","properties":{"formattedCitation":"(Andrade et al., 2023; Kisvarga et al., 2020; Martinez et al., 2018)","plainCitation":"(Andrade et al., 2023; Kisvarga et al., 2020; Martinez et al., 2018)","noteIndex":0},"citationItems":[{"id":1928,"uris":["http://zotero.org/users/11878636/items/CTAGLX4N"],"itemData":{"id":1928,"type":"article-journal","abstract":"The objective of this study is to propose the integration of a green protein biorefinery with ethanol production and to highlight the potential of nanofiltration membrane technologies and extractive distillation in the separation and purification of valuable substances. Depending on the product and its purity, the nanofiltration membrane can help in decreasing energy expenditure and greenhouse gas emissions while extractive distillation overcomes the water–ethanol azeotrope formation. The aim is to enhance the sustainability of biorefinery processes by integrating new separation techniques and adopting process intensification. The concentration of the residual brown juice using nanofiltration reduced its water content and favored the sugar conversion into ethanol while concomitantly decreasing the formation of byproducts. It has been shown that these configurations (with the presence of nanofiltration and intensified) have lower energy consumption compared to the proposed classical sequence. The results of the simulations indicate that better results are obtained with the extractive distillation using a dividing-wall column, achieving around a 50 % reduction in energy consumption and a 58 % reduction in CO2 emissions.","container-title":"Separation and Purification Technology","DOI":"10.1016/j.seppur.2023.124887","ISSN":"1383-5866","journalAbbreviation":"Separation and Purification Technology","license":"All rights reserved","page":"124887","source":"ScienceDirect","title":"Process simulation of an integrated green protein biorefinery using nanofiltration membrane and ethanol fermentation","volume":"327","author":[{"family":"Andrade","given":"Thalles Allan"},{"family":"Ramírez-Márquez","given":"César"},{"family":"Ambye-Jensen","given":"Morten"}],"issued":{"date-parts":[["2023",12,15]]}}},{"id":187,"uris":["http://zotero.org/users/11878636/items/X3VTHX7W"],"itemData":{"id":187,"type":"article-journal","abstract":"Fertilization management is a key issue in plant nutrition to produce plants with good quality and quantity. Deproteinized leaf juice or brown juice (BJ) is a by-product during the isolation of leaf protein from biomass crops such as alfalfa. The idea of using BJ as a biostimulant ﬁts well in the aspect of circular economy since BJ is currently a problematic issue of the leaf protein production approach. Fractionation of one-kilogram fresh biomass results in approximately 500 cm3 BJ. Due to fast spoil of fresh BJ, if left on room temperature, it is found that fermentation of fresh BJ using lactic acid bacteria and reducing its pH increases its stability and storage on room temperature. In the present study, we examined the eﬀect of fermented alfalfa BJ on vegetative, physiological, and anatomical properties of the versatile sweet basil (Ocimum basilicum L. ‘Bíborfelho˝’) plants. Sweet basil seedlings were sprayed at diﬀerent doses of fermented alfalfa BJ (i.e., 0.5%, 1.0%, and 2.5%) and tap water served as a control (0.0% BJ). The results revealed that foliar application of fermented alfalfa BJ signiﬁcantly improved the biometrical features of sweet basil plants. Plants treated with fermented BJ showed signiﬁcantly higher values of all the measured parameters compared to the control (0.0%), except for the number of leaves per plants where control plants (0.0%) had more leaves. However, the leaves of control plants (0.0%) were smaller than treated plants as data of leaf area showed. Fermented alfalfa BJ signiﬁcantly increased the content of photosynthetic pigments (chl a and chl b), relative chlorophyll (SPAD value), lengths of stem and root, fresh masses of stem, root, and leaves, volumes of stem and root, and leaf area. Despite all rates of fermented BJ displayed higher values over control plants (0.0%), the rate of 0.5% was the best one supported by results. Application of fermented alfalfa BJ inﬂuenced the anatomical parameters as well. These ﬁndings demonstrate the possible use of fermented alfalfa BJ as a promising novel plant biostimulant.","container-title":"Agronomy","DOI":"10.3390/agronomy10050657","ISSN":"2073-4395","issue":"5","journalAbbreviation":"Agronomy","language":"en","page":"657","source":"DOI.org (Crossref)","title":"Fermented Alfalfa Brown Juice Significantly Stimulates the Growth and Development of Sweet Basil (Ocimum basilicum L.) Plants","volume":"10","author":[{"family":"Kisvarga","given":"Szilvia"},{"family":"Barna","given":"Döme"},{"family":"Kovács","given":"Szilvia"},{"family":"Csatári","given":"Gábor"},{"family":"O. Tóth","given":"Ibolya"},{"family":"Fári","given":"Miklós Gábor"},{"family":"Makleit","given":"Péter"},{"family":"Veres","given":"Szilvia"},{"family":"Alshaal","given":"Tarek"},{"family":"Bákonyi","given":"Nóra"}],"issued":{"date-parts":[["2020",5,7]]}}},{"id":250,"uris":["http://zotero.org/users/11878636/items/KPA4IRAC"],"itemData":{"id":250,"type":"article-journal","abstract":"This work studied the anaerobic digestion of brown juice, a liquid residual stream generated from biomass fractionation in a green biorefinery. Biomethane potential batch tests and inhibition studies of brown juice were performed during continuous processing in an upflow anaerobic sludge blanket reactor. Prolongation of the lag phase in the batch tests with increasing substrate/inoculum ratio suggested initial inhibition, which was, however, overcome by adaptation. This was indicated by high final methane yields, which were close to the theoretical maximum of up to 500 L-CH4 kg-VS−1, achieved after 15 days for most of the set-ups. Reactor operation at the organic loading rate of 13.9 g-COD L−1 day−1 and hydraulic retention time of 3 days revealed methane yields of 202 L-CH4 kg-COD−1 (307 L-CH4 kg-VS−1). Particle size analysis of the granules used in the reactor showed disintegration of the larger granules.","container-title":"International Journal of Environmental Science and Technology","DOI":"10.1007/s13762-017-1637-z","ISSN":"1735-1472, 1735-2630","issue":"12","journalAbbreviation":"Int. J. Environ. Sci. Technol.","language":"en","page":"2615-2624","source":"DOI.org (Crossref)","title":"Anaerobic digestion of residual liquid effluent (brown juice) from a green biorefinery","volume":"15","author":[{"family":"Martinez","given":"E. J."},{"family":"Micolucci","given":"F."},{"family":"Gomez","given":"X."},{"family":"Molinuevo-Salces","given":"B."},{"family":"Uellendahl","given":"H."}],"issued":{"date-parts":[["2018",12]]}}}],"schema":"https://github.com/citation-style-language/schema/raw/master/csl-citation.json"} </w:instrText>
      </w:r>
      <w:r w:rsidR="00725F35" w:rsidRPr="00A163F9">
        <w:fldChar w:fldCharType="separate"/>
      </w:r>
      <w:r w:rsidR="00E752F0" w:rsidRPr="00A163F9">
        <w:rPr>
          <w:rFonts w:cs="Arial"/>
        </w:rPr>
        <w:t>(Andrade et al., 2023; Kisvarga et al., 2020; Martinez et al., 2018)</w:t>
      </w:r>
      <w:r w:rsidR="00725F35" w:rsidRPr="00A163F9">
        <w:fldChar w:fldCharType="end"/>
      </w:r>
      <w:r w:rsidR="00644859" w:rsidRPr="00A163F9">
        <w:t>.</w:t>
      </w:r>
    </w:p>
    <w:p w14:paraId="524AA826" w14:textId="25363CDD" w:rsidR="00D91BC7" w:rsidRPr="00A163F9" w:rsidRDefault="00FA2C75" w:rsidP="00600535">
      <w:pPr>
        <w:pStyle w:val="CETBodytext"/>
      </w:pPr>
      <w:r w:rsidRPr="00A163F9">
        <w:t>S</w:t>
      </w:r>
      <w:r w:rsidR="00E448F1" w:rsidRPr="00A163F9">
        <w:t>tudies have shown that the LPC</w:t>
      </w:r>
      <w:r w:rsidR="00A0256D" w:rsidRPr="00A163F9">
        <w:t xml:space="preserve"> presents an amino acid profile compared to the ones utilized as </w:t>
      </w:r>
      <w:r w:rsidR="007A2644" w:rsidRPr="00A163F9">
        <w:t xml:space="preserve">feed for </w:t>
      </w:r>
      <w:r w:rsidR="00A0256D" w:rsidRPr="00A163F9">
        <w:t>monogastric animals and can be used without compromising the feed efficiency and meat sensory profile</w:t>
      </w:r>
      <w:r w:rsidR="00D53051" w:rsidRPr="00A163F9">
        <w:t xml:space="preserve"> </w:t>
      </w:r>
      <w:r w:rsidR="00D53051" w:rsidRPr="00A163F9">
        <w:fldChar w:fldCharType="begin"/>
      </w:r>
      <w:r w:rsidR="00D53051" w:rsidRPr="00A163F9">
        <w:instrText xml:space="preserve"> ADDIN ZOTERO_ITEM CSL_CITATION {"citationID":"xwwVYMRt","properties":{"formattedCitation":"(Bals et al., 2012; St\\uc0\\u248{}dkilde et al., 2021a)","plainCitation":"(Bals et al., 2012; Stødkilde et al., 2021a)","noteIndex":0},"citationItems":[{"id":1961,"uris":["http://zotero.org/users/11878636/items/GLUXHA5N"],"itemData":{"id":1961,"type":"chapter","abstract":"This chapter contains sections titled: Introduction Methods of Separating Protein Protein Concentration Uses for Leaf Protein Integration with Biofuel Production Conclusions References","container-title":"Biorefinery Co-Products","ISBN":"978-0-470-97669-2","language":"en","license":"Copyright © 2012 John Wiley &amp; Sons, Ltd","note":"section: 9\n_eprint: https://onlinelibrary.wiley.com/doi/pdf/10.1002/9780470976692.ch9\nDOI: 10.1002/9780470976692.ch9","page":"179-197","publisher":"John Wiley &amp; Sons, Ltd","source":"Wiley Online Library","title":"Recovery of Leaf Protein for Animal Feed and High-Value Uses","URL":"https://onlinelibrary.wiley.com/doi/abs/10.1002/9780470976692.ch9","author":[{"family":"Bals","given":"Bryan D."},{"family":"Dale","given":"Bruce E."},{"family":"Balan","given":"Venkatesh"}],"accessed":{"date-parts":[["2024",1,9]]},"issued":{"date-parts":[["2012"]]}}},{"id":194,"uris":["http://zotero.org/users/11878636/items/RWWYR5CW"],"itemData":{"id":194,"type":"article-journal","abstract":"The purpose of the study was to extract protein from organic grass-clover in a green biorefining process and perform a dose-response feeding experiment with pigs on feed utilization, perfor­ mance and slaughter quality. Forty-eight pigs were fed one of four experimental diets from 1 week post-weaning to slaughter. The diets consisted of a control diet and diets with 5, 10, or 15 % freeze-dried extracted grass-clover protein included. The extracted protein had a crude protein content of 458 g/kg dry matter, a content of total sulphur-containing amino acids comparable to soybean press cake but a lower lysine content. Acid-insoluble residue constituted 215 g/kg dry matter, and the dominating fatty acid was α-linoleic acid. Addition of grass-clover protein extract to the diet did not affect feed intake or growth in starter, grower, or finisher pigs, and no dif­ ference was found in animal slaughter weight. The meat percentage measured at slaughter increased linearly with inclusion of grass-clover protein in the feed. Increased addition of grassclover increased the content of n-3 fatty acids and lowered the n-6/n-3 ratio in adipose tissue, liver, and Longissimus dorsi muscle as well as the α-tocopherol content. In conclusion, this study shows that protein extracted from organic forages through green biorefining can be used as a protein source for organic slaughter pigs.","container-title":"Animal Feed Science and Technology","DOI":"10.1016/j.anifeedsci.2021.114943","ISSN":"03778401","journalAbbreviation":"Animal Feed Science and Technology","language":"en","page":"114943","source":"DOI.org (Crossref)","title":"Biorefined organic grass-clover protein concentrate for growing pigs: Effect on growth performance and meat fatty acid profile","title-short":"Biorefined organic grass-clover protein concentrate for growing pigs","volume":"276","author":[{"family":"Stødkilde","given":"Lene"},{"family":"Ambye-Jensen","given":"Morten"},{"family":"Jensen","given":"Søren Krogh"}],"issued":{"date-parts":[["2021",6]]}}}],"schema":"https://github.com/citation-style-language/schema/raw/master/csl-citation.json"} </w:instrText>
      </w:r>
      <w:r w:rsidR="00D53051" w:rsidRPr="00A163F9">
        <w:fldChar w:fldCharType="separate"/>
      </w:r>
      <w:r w:rsidR="00D53051" w:rsidRPr="00A163F9">
        <w:rPr>
          <w:rFonts w:cs="Arial"/>
        </w:rPr>
        <w:t xml:space="preserve">(Bals </w:t>
      </w:r>
      <w:r w:rsidR="00D53051" w:rsidRPr="00A163F9">
        <w:rPr>
          <w:rFonts w:cs="Arial"/>
        </w:rPr>
        <w:lastRenderedPageBreak/>
        <w:t>et al., 2012; Stødkilde et al., 2021a)</w:t>
      </w:r>
      <w:r w:rsidR="00D53051" w:rsidRPr="00A163F9">
        <w:fldChar w:fldCharType="end"/>
      </w:r>
      <w:r w:rsidR="00A0256D" w:rsidRPr="00A163F9">
        <w:t xml:space="preserve">. </w:t>
      </w:r>
      <w:r w:rsidR="000F10BF" w:rsidRPr="00A163F9">
        <w:t>To</w:t>
      </w:r>
      <w:r w:rsidR="00131954" w:rsidRPr="00A163F9">
        <w:t xml:space="preserve"> implement a sustainable and profitable green biorefinery, i</w:t>
      </w:r>
      <w:r w:rsidR="00A0256D" w:rsidRPr="00A163F9">
        <w:t>t is crucial to guarantee an efficient process and maximize the protein yield extracted from the fresh biomass. The interval between grass harvesting and processing holds significant relevance in mitigating protein degradation and unfavorable biological interactions</w:t>
      </w:r>
      <w:r w:rsidR="001D169C" w:rsidRPr="00A163F9">
        <w:t xml:space="preserve"> </w:t>
      </w:r>
      <w:r w:rsidR="001D169C" w:rsidRPr="00A163F9">
        <w:fldChar w:fldCharType="begin"/>
      </w:r>
      <w:r w:rsidR="001D169C" w:rsidRPr="00A163F9">
        <w:instrText xml:space="preserve"> ADDIN ZOTERO_ITEM CSL_CITATION {"citationID":"osxXXHyk","properties":{"formattedCitation":"(St\\uc0\\u248{}dkilde et al., 2021b)","plainCitation":"(Stødkilde et al., 2021b)","noteIndex":0},"citationItems":[{"id":1883,"uris":["http://zotero.org/users/11878636/items/K8IL84VW"],"itemData":{"id":1883,"type":"article-journal","abstract":"Biorefining is a promising method for sustainable feed production through conversion of biomass into a protein concentrate for monogastrics and fibrous pulp for ruminants. Nitrogen (N) content and recovery in pulp and protein concentrate from lucerne, red clover, white clover, perennial ryegrass and tall fescue harvested at different spring cut harvest times were analysed to assess the effect of plant species, developmental stage and number of screw press processing. Plant species and spring cut harvest time affected N content of pulps and protein concentrates (P &lt; 0.01). The N contents of the legume pulps and protein concentrates (22.0–43.2 g/kg dry matter (DM) and 52.1–68.9 g/kg DM, respectively) were higher than corresponding values of the grasses (16.4–31.2 and 38.1–58.9 g/kg DM, respectively) and lowest in late harvested pulps (16.4–29.2 g/kg DM). The proportion of N retained in pulp increased with spring cut harvest time (P &lt; 0.01) and was higher in grasses compared to legumes (544.5–715.1 and 334.0–565.2 g/kg plant N, respectively). Plant species and spring cut harvest time affected N recovery in protein concentrate (P &lt; 0.01) and correlated positively with the plant N content (P &lt; 0.01) and negatively with the plant DM (P &lt; 0.01). The legumes had a higher recovery than grasses (160.2–556.2 g/kg plant N and 160.2–335.6 g/kg plant N, respectively). Regardless of plant species, late spring cut harvests reduced the total N extractability, i.e. recovery after application of a two-step extraction procedure, to 342.8–490.9 g/kg plant N (P &lt; 0.01). The largest proportion of N was extracted from the three legumes (458.4–653.8 g/kg plant N), with the lowest extractability in the late spring cut harvest. The N content and recovery in fractions produced in the biorefining process were dynamic variables influenced by plant species, spring cut harvest time and number of screw press processings. More N was retained in the pulp from late cut grasses whereas the N recovery in protein concentrate was highest in early and intermediate cuts from legumes. The dynamics of N distribution between pulp and protein concentrate highlight the importance of considering input plant species, time of harvest and processing technique in order to enhance recovery and secure efficient utilisation of the biomass as feed for monogastrics and ruminants.","container-title":"Animal Feed Science and Technology","DOI":"10.1016/j.anifeedsci.2021.115016","ISSN":"0377-8401","journalAbbreviation":"Animal Feed Science and Technology","language":"en","page":"115016","source":"ScienceDirect","title":"Enhancing protein recovery in green biorefineries through selection of plant species and time of harvest","volume":"278","author":[{"family":"Stødkilde","given":"Lene"},{"family":"Lashkari","given":"Saman"},{"family":"Eriksen","given":"Jørgen"},{"family":"Jensen","given":"Søren Krogh"}],"issued":{"date-parts":[["2021",8,1]]}}}],"schema":"https://github.com/citation-style-language/schema/raw/master/csl-citation.json"} </w:instrText>
      </w:r>
      <w:r w:rsidR="001D169C" w:rsidRPr="00A163F9">
        <w:fldChar w:fldCharType="separate"/>
      </w:r>
      <w:r w:rsidR="001D169C" w:rsidRPr="00A163F9">
        <w:rPr>
          <w:rFonts w:cs="Arial"/>
        </w:rPr>
        <w:t>(Stødkilde et al., 2021b)</w:t>
      </w:r>
      <w:r w:rsidR="001D169C" w:rsidRPr="00A163F9">
        <w:fldChar w:fldCharType="end"/>
      </w:r>
      <w:r w:rsidR="00A0256D" w:rsidRPr="00A163F9">
        <w:t xml:space="preserve">. </w:t>
      </w:r>
      <w:r w:rsidR="00D91BC7" w:rsidRPr="00A163F9">
        <w:t>Therefore, i</w:t>
      </w:r>
      <w:r w:rsidR="00A0256D" w:rsidRPr="00A163F9">
        <w:t>t is advisable to position the field in proximity to the biorefinery to minimize such time</w:t>
      </w:r>
      <w:r w:rsidRPr="00A163F9">
        <w:t xml:space="preserve"> for transport and </w:t>
      </w:r>
      <w:r w:rsidR="00634D81" w:rsidRPr="00A163F9">
        <w:t>planning</w:t>
      </w:r>
      <w:r w:rsidRPr="00A163F9">
        <w:t xml:space="preserve">. </w:t>
      </w:r>
      <w:r w:rsidR="00D73BA4" w:rsidRPr="00A163F9">
        <w:t xml:space="preserve">However, determining the suitable </w:t>
      </w:r>
      <w:r w:rsidR="00634D81" w:rsidRPr="00A163F9">
        <w:t>time</w:t>
      </w:r>
      <w:r w:rsidR="00D73BA4" w:rsidRPr="00A163F9">
        <w:t xml:space="preserve"> for transportation, as well as the appropriate handling of biomass during transit, remains </w:t>
      </w:r>
      <w:r w:rsidR="00B1556F" w:rsidRPr="00A163F9">
        <w:t>unresolved</w:t>
      </w:r>
      <w:r w:rsidR="00D73BA4" w:rsidRPr="00A163F9">
        <w:t>.</w:t>
      </w:r>
      <w:r w:rsidR="00A0256D" w:rsidRPr="00A163F9">
        <w:t xml:space="preserve"> </w:t>
      </w:r>
    </w:p>
    <w:p w14:paraId="4800D694" w14:textId="4C4D158F" w:rsidR="002A2B44" w:rsidRPr="00A163F9" w:rsidRDefault="00D91BC7" w:rsidP="00600535">
      <w:pPr>
        <w:pStyle w:val="CETBodytext"/>
      </w:pPr>
      <w:r w:rsidRPr="00A163F9">
        <w:t>A</w:t>
      </w:r>
      <w:r w:rsidR="00A0256D" w:rsidRPr="00A163F9">
        <w:t xml:space="preserve"> green biorefinery demonstration facility was established at Aarhus University, in Foulum, Denmark, </w:t>
      </w:r>
      <w:r w:rsidR="004B16D7" w:rsidRPr="00A163F9">
        <w:t>to generate</w:t>
      </w:r>
      <w:r w:rsidR="00A0256D" w:rsidRPr="00A163F9">
        <w:t xml:space="preserve"> a rich protein concentrate from green biomasses.</w:t>
      </w:r>
      <w:r w:rsidR="00131954" w:rsidRPr="00A163F9">
        <w:t xml:space="preserve"> This study focuses on the use of a grass-clover mixture as feedstock </w:t>
      </w:r>
      <w:r w:rsidR="007A2644" w:rsidRPr="00A163F9">
        <w:t>throughout</w:t>
      </w:r>
      <w:r w:rsidR="00131954" w:rsidRPr="00A163F9">
        <w:t xml:space="preserve"> two consecutive seasons (</w:t>
      </w:r>
      <w:r w:rsidR="00606A9C" w:rsidRPr="00A163F9">
        <w:t xml:space="preserve">August </w:t>
      </w:r>
      <w:r w:rsidR="00131954" w:rsidRPr="00A163F9">
        <w:t xml:space="preserve">2021 and </w:t>
      </w:r>
      <w:r w:rsidR="00606A9C" w:rsidRPr="00A163F9">
        <w:t xml:space="preserve">August </w:t>
      </w:r>
      <w:r w:rsidR="00131954" w:rsidRPr="00A163F9">
        <w:t xml:space="preserve">2022). </w:t>
      </w:r>
      <w:r w:rsidR="0051404E" w:rsidRPr="00A163F9">
        <w:t>Biomass</w:t>
      </w:r>
      <w:r w:rsidR="00131954" w:rsidRPr="00A163F9">
        <w:t xml:space="preserve"> was processed to </w:t>
      </w:r>
      <w:r w:rsidR="0051404E" w:rsidRPr="00A163F9">
        <w:t>assess the impact of the duration between harvest and processing on protein extraction yield and LPC quality, along with determining optimal conditions for biomass handling during transportation</w:t>
      </w:r>
      <w:r w:rsidR="00131954" w:rsidRPr="00A163F9">
        <w:t>.</w:t>
      </w:r>
      <w:r w:rsidR="00A7600F" w:rsidRPr="00A163F9">
        <w:t xml:space="preserve"> The investigated </w:t>
      </w:r>
      <w:r w:rsidR="0053378C" w:rsidRPr="00A163F9">
        <w:t>period</w:t>
      </w:r>
      <w:r w:rsidR="00A7600F" w:rsidRPr="00A163F9">
        <w:t xml:space="preserve"> ranged from immediate processing to a delay of up to 12 hours after biomass harvest.</w:t>
      </w:r>
    </w:p>
    <w:p w14:paraId="7A338EEE" w14:textId="35434E0D" w:rsidR="00A7600F" w:rsidRPr="00A163F9" w:rsidRDefault="00A7600F" w:rsidP="00A7600F">
      <w:pPr>
        <w:pStyle w:val="CETHeading1"/>
      </w:pPr>
      <w:r w:rsidRPr="00A163F9">
        <w:t xml:space="preserve">Materials and </w:t>
      </w:r>
      <w:r w:rsidR="00043642" w:rsidRPr="00A163F9">
        <w:t>m</w:t>
      </w:r>
      <w:r w:rsidRPr="00A163F9">
        <w:t>ethods</w:t>
      </w:r>
    </w:p>
    <w:p w14:paraId="7F64E817" w14:textId="2D66D5C5" w:rsidR="00A7600F" w:rsidRPr="00A163F9" w:rsidRDefault="00FA2C75" w:rsidP="00600535">
      <w:pPr>
        <w:pStyle w:val="CETBodytext"/>
      </w:pPr>
      <w:r w:rsidRPr="00A163F9">
        <w:t>Two different demo</w:t>
      </w:r>
      <w:r w:rsidR="00712F61" w:rsidRPr="00A163F9">
        <w:t>nstration</w:t>
      </w:r>
      <w:r w:rsidR="00104725">
        <w:t>-</w:t>
      </w:r>
      <w:r w:rsidRPr="00A163F9">
        <w:t xml:space="preserve">scale experiments were conducted for this study, in </w:t>
      </w:r>
      <w:r w:rsidR="00BB774E" w:rsidRPr="00A163F9">
        <w:t xml:space="preserve">late August </w:t>
      </w:r>
      <w:r w:rsidRPr="00A163F9">
        <w:t xml:space="preserve">2021 and </w:t>
      </w:r>
      <w:r w:rsidR="00BB774E" w:rsidRPr="00A163F9">
        <w:t xml:space="preserve">late August </w:t>
      </w:r>
      <w:r w:rsidRPr="00A163F9">
        <w:t xml:space="preserve">2022. Both experiments aimed to investigate the effect of harvest method and time between harvest and processing, but both </w:t>
      </w:r>
      <w:r w:rsidR="00DE23AD" w:rsidRPr="00A163F9">
        <w:t xml:space="preserve">grass-clover mixtures </w:t>
      </w:r>
      <w:r w:rsidRPr="00A163F9">
        <w:t>and time intervals differed between the two experiments</w:t>
      </w:r>
      <w:r w:rsidR="00672023">
        <w:t>.</w:t>
      </w:r>
      <w:r w:rsidRPr="00A163F9">
        <w:t xml:space="preserve"> </w:t>
      </w:r>
      <w:r w:rsidR="000B54E2" w:rsidRPr="00A163F9">
        <w:t>In 2021, a ForageMax 45, including 7</w:t>
      </w:r>
      <w:r w:rsidR="002B3E7F" w:rsidRPr="00A163F9">
        <w:t xml:space="preserve"> </w:t>
      </w:r>
      <w:r w:rsidR="000B54E2" w:rsidRPr="00A163F9">
        <w:t>% white clover, 11</w:t>
      </w:r>
      <w:r w:rsidR="002B3E7F" w:rsidRPr="00A163F9">
        <w:t xml:space="preserve"> </w:t>
      </w:r>
      <w:r w:rsidR="000B54E2" w:rsidRPr="00A163F9">
        <w:t>% red clover, 3</w:t>
      </w:r>
      <w:r w:rsidR="002B3E7F" w:rsidRPr="00A163F9">
        <w:t xml:space="preserve"> </w:t>
      </w:r>
      <w:r w:rsidR="000B54E2" w:rsidRPr="00A163F9">
        <w:t>% ryegrass, and 45</w:t>
      </w:r>
      <w:r w:rsidR="002B3E7F" w:rsidRPr="00A163F9">
        <w:t xml:space="preserve"> </w:t>
      </w:r>
      <w:r w:rsidR="000B54E2" w:rsidRPr="00A163F9">
        <w:t>% festulolium was the green biorefinery feedstock. In 2022, the biomass was a ForageMax 55, with a seed mixture of 10</w:t>
      </w:r>
      <w:r w:rsidR="002B3E7F" w:rsidRPr="00A163F9">
        <w:t xml:space="preserve"> </w:t>
      </w:r>
      <w:r w:rsidR="000B54E2" w:rsidRPr="00A163F9">
        <w:t>% white clover, 65</w:t>
      </w:r>
      <w:r w:rsidR="002B3E7F" w:rsidRPr="00A163F9">
        <w:t xml:space="preserve"> </w:t>
      </w:r>
      <w:r w:rsidR="000B54E2" w:rsidRPr="00A163F9">
        <w:t>% ryegrass, and 25</w:t>
      </w:r>
      <w:r w:rsidR="002B3E7F" w:rsidRPr="00A163F9">
        <w:t xml:space="preserve"> </w:t>
      </w:r>
      <w:r w:rsidR="000B54E2" w:rsidRPr="00A163F9">
        <w:t>% red fescue.</w:t>
      </w:r>
    </w:p>
    <w:p w14:paraId="1D7A1E7A" w14:textId="54055955" w:rsidR="000B54E2" w:rsidRPr="00A163F9" w:rsidRDefault="000B54E2" w:rsidP="000B54E2">
      <w:pPr>
        <w:pStyle w:val="CETheadingx"/>
      </w:pPr>
      <w:r w:rsidRPr="00A163F9">
        <w:t xml:space="preserve">Process </w:t>
      </w:r>
      <w:r w:rsidR="00043642" w:rsidRPr="00A163F9">
        <w:t>d</w:t>
      </w:r>
      <w:r w:rsidRPr="00A163F9">
        <w:t>escription</w:t>
      </w:r>
    </w:p>
    <w:p w14:paraId="0FBE22D2" w14:textId="4A2524A0" w:rsidR="000E770E" w:rsidRPr="00A163F9" w:rsidRDefault="000E770E" w:rsidP="00600535">
      <w:pPr>
        <w:pStyle w:val="CETBodytext"/>
      </w:pPr>
      <w:r w:rsidRPr="00A163F9">
        <w:t xml:space="preserve">Figure 1 illustrates the green biorefinery demonstration platform </w:t>
      </w:r>
      <w:r w:rsidR="00B3579B" w:rsidRPr="00A163F9">
        <w:t>located</w:t>
      </w:r>
      <w:r w:rsidRPr="00A163F9">
        <w:t xml:space="preserve"> at Aarhus University Viborg. The </w:t>
      </w:r>
      <w:r w:rsidR="00FD154C" w:rsidRPr="00A163F9">
        <w:t xml:space="preserve">fresh biomass </w:t>
      </w:r>
      <w:r w:rsidRPr="00A163F9">
        <w:t>process</w:t>
      </w:r>
      <w:r w:rsidR="00FD154C" w:rsidRPr="00A163F9">
        <w:t>ed</w:t>
      </w:r>
      <w:r w:rsidRPr="00A163F9">
        <w:t xml:space="preserve"> </w:t>
      </w:r>
      <w:r w:rsidR="00F75821" w:rsidRPr="00A163F9">
        <w:t>averaged</w:t>
      </w:r>
      <w:r w:rsidRPr="00A163F9">
        <w:t xml:space="preserve"> 4-4.8 tonnes </w:t>
      </w:r>
      <w:r w:rsidR="001A6287" w:rsidRPr="00A163F9">
        <w:t>per trial</w:t>
      </w:r>
      <w:r w:rsidRPr="00A163F9">
        <w:t xml:space="preserve">. Two distinct harvesting and cutting methods were </w:t>
      </w:r>
      <w:r w:rsidR="001A6287" w:rsidRPr="00A163F9">
        <w:t>assessed</w:t>
      </w:r>
      <w:r w:rsidRPr="00A163F9">
        <w:t>. In the first scenario, referred to as "in-field cutting"</w:t>
      </w:r>
      <w:r w:rsidR="00A517B6" w:rsidRPr="00A163F9">
        <w:t>,</w:t>
      </w:r>
      <w:r w:rsidRPr="00A163F9">
        <w:t xml:space="preserve"> both biomass harvesting and cutting occurred in the field, employing a JF-STOLL FCT 900 cutter set to a 30 mm cutting length. In the second scenario, </w:t>
      </w:r>
      <w:r w:rsidR="00A517B6" w:rsidRPr="00A163F9">
        <w:t>named</w:t>
      </w:r>
      <w:r w:rsidRPr="00A163F9">
        <w:t xml:space="preserve"> "stationary cutting"</w:t>
      </w:r>
      <w:r w:rsidR="00A517B6" w:rsidRPr="00A163F9">
        <w:t>,</w:t>
      </w:r>
      <w:r w:rsidRPr="00A163F9">
        <w:t xml:space="preserve"> the </w:t>
      </w:r>
      <w:r w:rsidR="0051404E" w:rsidRPr="00A163F9">
        <w:t>grass</w:t>
      </w:r>
      <w:r w:rsidR="00F55842" w:rsidRPr="00A163F9">
        <w:t>-</w:t>
      </w:r>
      <w:r w:rsidR="0051404E" w:rsidRPr="00A163F9">
        <w:t>clover</w:t>
      </w:r>
      <w:r w:rsidRPr="00A163F9">
        <w:t xml:space="preserve"> was harvested intact using a GrassTech GT140 harvester, ensuring a minimum biomass length of 30 cm. In this case, biomass cutting took place </w:t>
      </w:r>
      <w:r w:rsidR="007D087A" w:rsidRPr="00A163F9">
        <w:t xml:space="preserve">after harvesting </w:t>
      </w:r>
      <w:r w:rsidRPr="00A163F9">
        <w:t>at the demonstration plant</w:t>
      </w:r>
      <w:r w:rsidR="00FA2C75" w:rsidRPr="00A163F9">
        <w:t xml:space="preserve"> just before the wet fractionation</w:t>
      </w:r>
      <w:r w:rsidRPr="00A163F9">
        <w:t xml:space="preserve"> using a custom-built stationary cutter configured to a theoretical length of 40-50 mm.</w:t>
      </w:r>
    </w:p>
    <w:p w14:paraId="619DC7EC" w14:textId="249A1C55" w:rsidR="003B40F2" w:rsidRPr="00A163F9" w:rsidRDefault="003B40F2" w:rsidP="00F63172">
      <w:pPr>
        <w:pStyle w:val="CETBodytext"/>
        <w:jc w:val="left"/>
      </w:pPr>
      <w:r w:rsidRPr="00A163F9">
        <w:rPr>
          <w:noProof/>
        </w:rPr>
        <w:drawing>
          <wp:inline distT="0" distB="0" distL="0" distR="0" wp14:anchorId="6CB72E3A" wp14:editId="683D235F">
            <wp:extent cx="5580000" cy="3080525"/>
            <wp:effectExtent l="0" t="0" r="1905" b="0"/>
            <wp:docPr id="263911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000" cy="3080525"/>
                    </a:xfrm>
                    <a:prstGeom prst="rect">
                      <a:avLst/>
                    </a:prstGeom>
                    <a:noFill/>
                    <a:ln>
                      <a:noFill/>
                    </a:ln>
                  </pic:spPr>
                </pic:pic>
              </a:graphicData>
            </a:graphic>
          </wp:inline>
        </w:drawing>
      </w:r>
    </w:p>
    <w:p w14:paraId="16723F4F" w14:textId="365DCD42" w:rsidR="00C42DA7" w:rsidRPr="00A163F9" w:rsidRDefault="00C42DA7" w:rsidP="006B3245">
      <w:pPr>
        <w:pStyle w:val="CETCaption"/>
        <w:spacing w:before="0"/>
        <w:rPr>
          <w:rStyle w:val="CETCaptionCarattere"/>
          <w:i/>
          <w:lang w:val="en-US"/>
        </w:rPr>
      </w:pPr>
      <w:r w:rsidRPr="00A163F9">
        <w:rPr>
          <w:rStyle w:val="CETCaptionCarattere"/>
          <w:i/>
          <w:lang w:val="en-US"/>
        </w:rPr>
        <w:t xml:space="preserve">Figure 1: Green biorefinery demonstration plant. </w:t>
      </w:r>
    </w:p>
    <w:p w14:paraId="0A1138AE" w14:textId="69DF27AF" w:rsidR="00B738DE" w:rsidRPr="00A163F9" w:rsidRDefault="00674A37" w:rsidP="00600535">
      <w:pPr>
        <w:pStyle w:val="CETBodytext"/>
      </w:pPr>
      <w:r w:rsidRPr="00A163F9">
        <w:t xml:space="preserve">Following the harvest and cutting of the grass-clover mixture, the cut biomass </w:t>
      </w:r>
      <w:r w:rsidR="00B738DE" w:rsidRPr="00A163F9">
        <w:t xml:space="preserve">was submitted to </w:t>
      </w:r>
      <w:r w:rsidRPr="00A163F9">
        <w:t xml:space="preserve">wet fractionation using a Cir-Tech P25 Twin Screw Press, facilitating the separation of the fiber fraction from the </w:t>
      </w:r>
      <w:r w:rsidR="00B738DE" w:rsidRPr="00A163F9">
        <w:t>GJ</w:t>
      </w:r>
      <w:r w:rsidRPr="00A163F9">
        <w:t xml:space="preserve">. </w:t>
      </w:r>
      <w:r w:rsidR="00EB78CA" w:rsidRPr="00A163F9">
        <w:t>T</w:t>
      </w:r>
      <w:r w:rsidRPr="00A163F9">
        <w:t xml:space="preserve">he GJ </w:t>
      </w:r>
      <w:r w:rsidR="00EB78CA" w:rsidRPr="00A163F9">
        <w:t>was filtered</w:t>
      </w:r>
      <w:r w:rsidRPr="00A163F9">
        <w:t xml:space="preserve"> in a 50 µm-filter bow screen to </w:t>
      </w:r>
      <w:r w:rsidR="00F005F5" w:rsidRPr="00A163F9">
        <w:t>retain</w:t>
      </w:r>
      <w:r w:rsidRPr="00A163F9">
        <w:t xml:space="preserve"> residual solid particles intended for recirculation to the screw press and eventual recovery in the fiber press cake.</w:t>
      </w:r>
      <w:r w:rsidR="006B3245" w:rsidRPr="00A163F9">
        <w:t xml:space="preserve"> </w:t>
      </w:r>
    </w:p>
    <w:p w14:paraId="6FE615E3" w14:textId="1C5DCBED" w:rsidR="0008732B" w:rsidRPr="00A163F9" w:rsidRDefault="00F13D3E" w:rsidP="00600535">
      <w:pPr>
        <w:pStyle w:val="CETBodytext"/>
      </w:pPr>
      <w:r w:rsidRPr="00A163F9">
        <w:lastRenderedPageBreak/>
        <w:t>The GJ was</w:t>
      </w:r>
      <w:r w:rsidR="00FA2C75" w:rsidRPr="00A163F9">
        <w:t xml:space="preserve"> directly</w:t>
      </w:r>
      <w:r w:rsidRPr="00A163F9">
        <w:t xml:space="preserve"> heated to 85</w:t>
      </w:r>
      <w:r w:rsidR="00712F61" w:rsidRPr="00A163F9">
        <w:t xml:space="preserve"> </w:t>
      </w:r>
      <w:r w:rsidRPr="00A163F9">
        <w:t xml:space="preserve">°C for </w:t>
      </w:r>
      <w:r w:rsidR="00FA2C75" w:rsidRPr="00A163F9">
        <w:t xml:space="preserve">protein </w:t>
      </w:r>
      <w:r w:rsidRPr="00A163F9">
        <w:t>precipitation using Alfa Laval WideGap 100 gasketed plate exchanger</w:t>
      </w:r>
      <w:r w:rsidR="00FA2C75" w:rsidRPr="00A163F9">
        <w:t>s</w:t>
      </w:r>
      <w:r w:rsidR="0008732B" w:rsidRPr="00A163F9">
        <w:t xml:space="preserve">. This heating process </w:t>
      </w:r>
      <w:r w:rsidR="00BE0E94" w:rsidRPr="00A163F9">
        <w:t xml:space="preserve">was </w:t>
      </w:r>
      <w:r w:rsidR="00CB7209" w:rsidRPr="00A163F9">
        <w:t>conducted</w:t>
      </w:r>
      <w:r w:rsidR="0008732B" w:rsidRPr="00A163F9">
        <w:t xml:space="preserve"> in two stages: initially, the GJ was heated to 65 °C by exchanging heat with the </w:t>
      </w:r>
      <w:r w:rsidR="00BE0E94" w:rsidRPr="00A163F9">
        <w:t>BJ</w:t>
      </w:r>
      <w:r w:rsidR="0008732B" w:rsidRPr="00A163F9">
        <w:t xml:space="preserve">, followed by the application </w:t>
      </w:r>
      <w:r w:rsidR="00712F61" w:rsidRPr="00A163F9">
        <w:t>of additional heat with hot pressurized water</w:t>
      </w:r>
      <w:r w:rsidR="0008732B" w:rsidRPr="00A163F9">
        <w:t xml:space="preserve"> to achieve the target temperature. A GEA CF 4000 Decanter Centrifuge was employed to separate the</w:t>
      </w:r>
      <w:r w:rsidRPr="00A163F9">
        <w:t xml:space="preserve"> precipitated protein </w:t>
      </w:r>
      <w:r w:rsidR="0008732B" w:rsidRPr="00A163F9">
        <w:t>fraction from the BJ</w:t>
      </w:r>
      <w:r w:rsidRPr="00A163F9">
        <w:t xml:space="preserve"> as a protein-rich LPC</w:t>
      </w:r>
      <w:r w:rsidR="0008732B" w:rsidRPr="00A163F9">
        <w:t xml:space="preserve">. Lastly, the LPC was subjected to drying in a vacuum dryer to </w:t>
      </w:r>
      <w:r w:rsidR="00DF40EB" w:rsidRPr="00A163F9">
        <w:t>reach</w:t>
      </w:r>
      <w:r w:rsidR="0008732B" w:rsidRPr="00A163F9">
        <w:t xml:space="preserve"> a dry matter (DM) concentration of 95</w:t>
      </w:r>
      <w:r w:rsidR="00DF40EB" w:rsidRPr="00A163F9">
        <w:t xml:space="preserve"> </w:t>
      </w:r>
      <w:r w:rsidR="0008732B" w:rsidRPr="00A163F9">
        <w:t>%.</w:t>
      </w:r>
    </w:p>
    <w:p w14:paraId="670F2255" w14:textId="2B7B3FA9" w:rsidR="00043642" w:rsidRPr="00A163F9" w:rsidRDefault="00043642" w:rsidP="00043642">
      <w:pPr>
        <w:pStyle w:val="CETheadingx"/>
      </w:pPr>
      <w:r w:rsidRPr="00A163F9">
        <w:t>Process set-up</w:t>
      </w:r>
    </w:p>
    <w:p w14:paraId="1E8ECB04" w14:textId="624BB27B" w:rsidR="00043642" w:rsidRPr="00A163F9" w:rsidRDefault="000640F1" w:rsidP="00600535">
      <w:pPr>
        <w:pStyle w:val="CETBodytext"/>
      </w:pPr>
      <w:r w:rsidRPr="00A163F9">
        <w:t>Table 1 provides a summary of the experimental trials. The minimum time duration of 30 minutes corresponds to the time required for harvesting the biomass in the field, transporting it to the biorefinery, and initiating the fractionation process.</w:t>
      </w:r>
    </w:p>
    <w:p w14:paraId="6A0FB69B" w14:textId="1FC22FA9" w:rsidR="00043642" w:rsidRPr="00A163F9" w:rsidRDefault="00043642" w:rsidP="00043642">
      <w:pPr>
        <w:pStyle w:val="CETTabletitle"/>
        <w:rPr>
          <w:lang w:val="en-US"/>
        </w:rPr>
      </w:pPr>
      <w:r w:rsidRPr="00A163F9">
        <w:rPr>
          <w:lang w:val="en-US"/>
        </w:rPr>
        <w:t>Table 1: Experimental set-up at the green biorefinery demonstration platform</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276"/>
        <w:gridCol w:w="1985"/>
        <w:gridCol w:w="1959"/>
        <w:gridCol w:w="167"/>
        <w:gridCol w:w="3260"/>
      </w:tblGrid>
      <w:tr w:rsidR="003029EE" w:rsidRPr="00A163F9" w14:paraId="60A83CF0" w14:textId="77777777" w:rsidTr="00287B55">
        <w:tc>
          <w:tcPr>
            <w:tcW w:w="1276" w:type="dxa"/>
            <w:tcBorders>
              <w:top w:val="single" w:sz="12" w:space="0" w:color="008000"/>
              <w:bottom w:val="single" w:sz="6" w:space="0" w:color="008000"/>
            </w:tcBorders>
            <w:shd w:val="clear" w:color="auto" w:fill="FFFFFF"/>
          </w:tcPr>
          <w:p w14:paraId="77DD592F" w14:textId="557DBE52" w:rsidR="00043642" w:rsidRPr="00A163F9" w:rsidRDefault="003029EE" w:rsidP="00A4033A">
            <w:pPr>
              <w:pStyle w:val="CETBodytext"/>
            </w:pPr>
            <w:r w:rsidRPr="00A163F9">
              <w:t>Period</w:t>
            </w:r>
            <w:r w:rsidR="00043642" w:rsidRPr="00A163F9">
              <w:t xml:space="preserve"> </w:t>
            </w:r>
          </w:p>
        </w:tc>
        <w:tc>
          <w:tcPr>
            <w:tcW w:w="1985" w:type="dxa"/>
            <w:tcBorders>
              <w:top w:val="single" w:sz="12" w:space="0" w:color="008000"/>
              <w:bottom w:val="single" w:sz="6" w:space="0" w:color="008000"/>
            </w:tcBorders>
            <w:shd w:val="clear" w:color="auto" w:fill="FFFFFF"/>
          </w:tcPr>
          <w:p w14:paraId="01B34A1A" w14:textId="3A9492CE" w:rsidR="00043642" w:rsidRPr="00A163F9" w:rsidRDefault="003029EE" w:rsidP="00A4033A">
            <w:pPr>
              <w:pStyle w:val="CETBodytext"/>
            </w:pPr>
            <w:r w:rsidRPr="00A163F9">
              <w:t>Grass-clover mixture</w:t>
            </w:r>
          </w:p>
        </w:tc>
        <w:tc>
          <w:tcPr>
            <w:tcW w:w="1959" w:type="dxa"/>
            <w:tcBorders>
              <w:top w:val="single" w:sz="12" w:space="0" w:color="008000"/>
              <w:bottom w:val="single" w:sz="6" w:space="0" w:color="008000"/>
            </w:tcBorders>
            <w:shd w:val="clear" w:color="auto" w:fill="FFFFFF"/>
          </w:tcPr>
          <w:p w14:paraId="562E7BD2" w14:textId="14FFD5B2" w:rsidR="00043642" w:rsidRPr="00A163F9" w:rsidRDefault="003029EE" w:rsidP="00A4033A">
            <w:pPr>
              <w:pStyle w:val="CETBodytext"/>
            </w:pPr>
            <w:r w:rsidRPr="00A163F9">
              <w:t>Harvest and cutting type</w:t>
            </w:r>
          </w:p>
        </w:tc>
        <w:tc>
          <w:tcPr>
            <w:tcW w:w="167" w:type="dxa"/>
            <w:tcBorders>
              <w:top w:val="single" w:sz="12" w:space="0" w:color="008000"/>
              <w:bottom w:val="single" w:sz="6" w:space="0" w:color="008000"/>
            </w:tcBorders>
            <w:shd w:val="clear" w:color="auto" w:fill="FFFFFF"/>
          </w:tcPr>
          <w:p w14:paraId="5050FFDB" w14:textId="45D15890" w:rsidR="00043642" w:rsidRPr="00A163F9" w:rsidRDefault="003029EE" w:rsidP="00A4033A">
            <w:pPr>
              <w:pStyle w:val="CETBodytext"/>
              <w:ind w:right="-1"/>
              <w:rPr>
                <w:rFonts w:cs="Arial"/>
                <w:szCs w:val="18"/>
              </w:rPr>
            </w:pPr>
            <w:r w:rsidRPr="00A163F9">
              <w:rPr>
                <w:rFonts w:cs="Arial"/>
                <w:szCs w:val="18"/>
              </w:rPr>
              <w:t xml:space="preserve"> </w:t>
            </w:r>
          </w:p>
        </w:tc>
        <w:tc>
          <w:tcPr>
            <w:tcW w:w="3260" w:type="dxa"/>
            <w:tcBorders>
              <w:top w:val="single" w:sz="12" w:space="0" w:color="008000"/>
              <w:bottom w:val="single" w:sz="6" w:space="0" w:color="008000"/>
            </w:tcBorders>
            <w:shd w:val="clear" w:color="auto" w:fill="FFFFFF"/>
          </w:tcPr>
          <w:p w14:paraId="4E7459DC" w14:textId="16EC7C16" w:rsidR="00043642" w:rsidRPr="00A163F9" w:rsidRDefault="003029EE" w:rsidP="00A4033A">
            <w:pPr>
              <w:pStyle w:val="CETBodytext"/>
              <w:ind w:right="-1"/>
              <w:rPr>
                <w:rFonts w:cs="Arial"/>
                <w:szCs w:val="18"/>
              </w:rPr>
            </w:pPr>
            <w:r w:rsidRPr="00A163F9">
              <w:rPr>
                <w:rFonts w:cs="Arial"/>
                <w:szCs w:val="18"/>
              </w:rPr>
              <w:t>Time between harvesting and processing</w:t>
            </w:r>
          </w:p>
        </w:tc>
      </w:tr>
      <w:tr w:rsidR="003029EE" w:rsidRPr="00A163F9" w14:paraId="130D4EE2" w14:textId="77777777" w:rsidTr="00287B55">
        <w:tc>
          <w:tcPr>
            <w:tcW w:w="1276" w:type="dxa"/>
            <w:shd w:val="clear" w:color="auto" w:fill="FFFFFF"/>
          </w:tcPr>
          <w:p w14:paraId="3136B23C" w14:textId="59703D33" w:rsidR="00043642" w:rsidRPr="00A163F9" w:rsidRDefault="003029EE" w:rsidP="00A4033A">
            <w:pPr>
              <w:pStyle w:val="CETBodytext"/>
            </w:pPr>
            <w:r w:rsidRPr="00A163F9">
              <w:t>August 2021</w:t>
            </w:r>
          </w:p>
        </w:tc>
        <w:tc>
          <w:tcPr>
            <w:tcW w:w="1985" w:type="dxa"/>
            <w:shd w:val="clear" w:color="auto" w:fill="FFFFFF"/>
          </w:tcPr>
          <w:p w14:paraId="1A60629E" w14:textId="1B813BF4" w:rsidR="00043642" w:rsidRPr="00A163F9" w:rsidRDefault="003029EE" w:rsidP="00A4033A">
            <w:pPr>
              <w:pStyle w:val="CETBodytext"/>
            </w:pPr>
            <w:r w:rsidRPr="00A163F9">
              <w:t>ForageMax 45</w:t>
            </w:r>
          </w:p>
        </w:tc>
        <w:tc>
          <w:tcPr>
            <w:tcW w:w="1959" w:type="dxa"/>
            <w:shd w:val="clear" w:color="auto" w:fill="FFFFFF"/>
          </w:tcPr>
          <w:p w14:paraId="7EB4116D" w14:textId="66693D0E" w:rsidR="00043642" w:rsidRPr="00A163F9" w:rsidRDefault="003029EE" w:rsidP="00A4033A">
            <w:pPr>
              <w:pStyle w:val="CETBodytext"/>
            </w:pPr>
            <w:r w:rsidRPr="00A163F9">
              <w:t>In-field</w:t>
            </w:r>
          </w:p>
        </w:tc>
        <w:tc>
          <w:tcPr>
            <w:tcW w:w="167" w:type="dxa"/>
            <w:shd w:val="clear" w:color="auto" w:fill="FFFFFF"/>
          </w:tcPr>
          <w:p w14:paraId="5D0D6E1E" w14:textId="77777777" w:rsidR="00043642" w:rsidRPr="00A163F9" w:rsidRDefault="00043642" w:rsidP="00A4033A">
            <w:pPr>
              <w:pStyle w:val="CETBodytext"/>
              <w:ind w:right="-1"/>
              <w:rPr>
                <w:rFonts w:cs="Arial"/>
                <w:szCs w:val="18"/>
              </w:rPr>
            </w:pPr>
          </w:p>
        </w:tc>
        <w:tc>
          <w:tcPr>
            <w:tcW w:w="3260" w:type="dxa"/>
            <w:shd w:val="clear" w:color="auto" w:fill="FFFFFF"/>
          </w:tcPr>
          <w:p w14:paraId="674667E9" w14:textId="32241079" w:rsidR="00043642" w:rsidRPr="00A163F9" w:rsidRDefault="003029EE" w:rsidP="00A4033A">
            <w:pPr>
              <w:pStyle w:val="CETBodytext"/>
              <w:ind w:right="-1"/>
              <w:rPr>
                <w:rFonts w:cs="Arial"/>
                <w:szCs w:val="18"/>
              </w:rPr>
            </w:pPr>
            <w:r w:rsidRPr="00A163F9">
              <w:rPr>
                <w:rFonts w:cs="Arial"/>
                <w:szCs w:val="18"/>
              </w:rPr>
              <w:t>0.5, 6, 12 h</w:t>
            </w:r>
          </w:p>
        </w:tc>
      </w:tr>
      <w:tr w:rsidR="003029EE" w:rsidRPr="00A163F9" w14:paraId="5BA28A67" w14:textId="77777777" w:rsidTr="00287B55">
        <w:tc>
          <w:tcPr>
            <w:tcW w:w="1276" w:type="dxa"/>
            <w:shd w:val="clear" w:color="auto" w:fill="FFFFFF"/>
          </w:tcPr>
          <w:p w14:paraId="260D5A8F" w14:textId="77777777" w:rsidR="003029EE" w:rsidRPr="00A163F9" w:rsidRDefault="003029EE" w:rsidP="00A4033A">
            <w:pPr>
              <w:pStyle w:val="CETBodytext"/>
            </w:pPr>
          </w:p>
        </w:tc>
        <w:tc>
          <w:tcPr>
            <w:tcW w:w="1985" w:type="dxa"/>
            <w:shd w:val="clear" w:color="auto" w:fill="FFFFFF"/>
          </w:tcPr>
          <w:p w14:paraId="6957E4E2" w14:textId="77777777" w:rsidR="003029EE" w:rsidRPr="00A163F9" w:rsidRDefault="003029EE" w:rsidP="00A4033A">
            <w:pPr>
              <w:pStyle w:val="CETBodytext"/>
            </w:pPr>
          </w:p>
        </w:tc>
        <w:tc>
          <w:tcPr>
            <w:tcW w:w="1959" w:type="dxa"/>
            <w:shd w:val="clear" w:color="auto" w:fill="FFFFFF"/>
          </w:tcPr>
          <w:p w14:paraId="6BF49022" w14:textId="588D68C2" w:rsidR="003029EE" w:rsidRPr="00A163F9" w:rsidRDefault="003029EE" w:rsidP="00A4033A">
            <w:pPr>
              <w:pStyle w:val="CETBodytext"/>
            </w:pPr>
            <w:r w:rsidRPr="00A163F9">
              <w:t>Standard</w:t>
            </w:r>
          </w:p>
        </w:tc>
        <w:tc>
          <w:tcPr>
            <w:tcW w:w="167" w:type="dxa"/>
            <w:shd w:val="clear" w:color="auto" w:fill="FFFFFF"/>
          </w:tcPr>
          <w:p w14:paraId="204A66FC" w14:textId="77777777" w:rsidR="003029EE" w:rsidRPr="00A163F9" w:rsidRDefault="003029EE" w:rsidP="00A4033A">
            <w:pPr>
              <w:pStyle w:val="CETBodytext"/>
              <w:ind w:right="-1"/>
              <w:rPr>
                <w:rFonts w:cs="Arial"/>
                <w:szCs w:val="18"/>
              </w:rPr>
            </w:pPr>
          </w:p>
        </w:tc>
        <w:tc>
          <w:tcPr>
            <w:tcW w:w="3260" w:type="dxa"/>
            <w:shd w:val="clear" w:color="auto" w:fill="FFFFFF"/>
          </w:tcPr>
          <w:p w14:paraId="615D841F" w14:textId="7B95D0E0" w:rsidR="003029EE" w:rsidRPr="00A163F9" w:rsidRDefault="003029EE" w:rsidP="00A4033A">
            <w:pPr>
              <w:pStyle w:val="CETBodytext"/>
              <w:ind w:right="-1"/>
              <w:rPr>
                <w:rFonts w:cs="Arial"/>
                <w:szCs w:val="18"/>
              </w:rPr>
            </w:pPr>
            <w:r w:rsidRPr="00A163F9">
              <w:rPr>
                <w:rFonts w:cs="Arial"/>
                <w:szCs w:val="18"/>
              </w:rPr>
              <w:t>0.5, 6, 12 h</w:t>
            </w:r>
          </w:p>
        </w:tc>
      </w:tr>
      <w:tr w:rsidR="003029EE" w:rsidRPr="00A163F9" w14:paraId="15293559" w14:textId="77777777" w:rsidTr="00287B55">
        <w:tc>
          <w:tcPr>
            <w:tcW w:w="1276" w:type="dxa"/>
            <w:shd w:val="clear" w:color="auto" w:fill="FFFFFF"/>
          </w:tcPr>
          <w:p w14:paraId="0097E389" w14:textId="45D7FA80" w:rsidR="00043642" w:rsidRPr="00A163F9" w:rsidRDefault="003029EE" w:rsidP="00A4033A">
            <w:pPr>
              <w:pStyle w:val="CETBodytext"/>
              <w:ind w:right="-1"/>
              <w:rPr>
                <w:rFonts w:cs="Arial"/>
                <w:szCs w:val="18"/>
              </w:rPr>
            </w:pPr>
            <w:r w:rsidRPr="00A163F9">
              <w:rPr>
                <w:rFonts w:cs="Arial"/>
                <w:szCs w:val="18"/>
              </w:rPr>
              <w:t>August 2022</w:t>
            </w:r>
          </w:p>
        </w:tc>
        <w:tc>
          <w:tcPr>
            <w:tcW w:w="1985" w:type="dxa"/>
            <w:shd w:val="clear" w:color="auto" w:fill="FFFFFF"/>
          </w:tcPr>
          <w:p w14:paraId="5E00B16B" w14:textId="11C58696" w:rsidR="00043642" w:rsidRPr="00A163F9" w:rsidRDefault="003029EE" w:rsidP="00A4033A">
            <w:pPr>
              <w:pStyle w:val="CETBodytext"/>
              <w:ind w:right="-1"/>
              <w:rPr>
                <w:rFonts w:cs="Arial"/>
                <w:szCs w:val="18"/>
              </w:rPr>
            </w:pPr>
            <w:r w:rsidRPr="00A163F9">
              <w:rPr>
                <w:rFonts w:cs="Arial"/>
                <w:szCs w:val="18"/>
              </w:rPr>
              <w:t>ForageMax</w:t>
            </w:r>
            <w:r w:rsidR="00DB3A41" w:rsidRPr="00A163F9">
              <w:rPr>
                <w:rFonts w:cs="Arial"/>
                <w:szCs w:val="18"/>
              </w:rPr>
              <w:t xml:space="preserve"> </w:t>
            </w:r>
            <w:r w:rsidRPr="00A163F9">
              <w:rPr>
                <w:rFonts w:cs="Arial"/>
                <w:szCs w:val="18"/>
              </w:rPr>
              <w:t>55</w:t>
            </w:r>
          </w:p>
        </w:tc>
        <w:tc>
          <w:tcPr>
            <w:tcW w:w="1959" w:type="dxa"/>
            <w:shd w:val="clear" w:color="auto" w:fill="FFFFFF"/>
          </w:tcPr>
          <w:p w14:paraId="5BA34DFB" w14:textId="0A918E7C" w:rsidR="00043642" w:rsidRPr="00A163F9" w:rsidRDefault="003029EE" w:rsidP="00A4033A">
            <w:pPr>
              <w:pStyle w:val="CETBodytext"/>
              <w:ind w:right="-1"/>
              <w:rPr>
                <w:rFonts w:cs="Arial"/>
                <w:szCs w:val="18"/>
              </w:rPr>
            </w:pPr>
            <w:r w:rsidRPr="00A163F9">
              <w:rPr>
                <w:rFonts w:cs="Arial"/>
                <w:szCs w:val="18"/>
              </w:rPr>
              <w:t>In-field</w:t>
            </w:r>
          </w:p>
        </w:tc>
        <w:tc>
          <w:tcPr>
            <w:tcW w:w="167" w:type="dxa"/>
            <w:shd w:val="clear" w:color="auto" w:fill="FFFFFF"/>
          </w:tcPr>
          <w:p w14:paraId="22F38202" w14:textId="77777777" w:rsidR="00043642" w:rsidRPr="00A163F9" w:rsidRDefault="00043642" w:rsidP="00A4033A">
            <w:pPr>
              <w:pStyle w:val="CETBodytext"/>
              <w:ind w:right="-1"/>
              <w:rPr>
                <w:rFonts w:cs="Arial"/>
                <w:szCs w:val="18"/>
              </w:rPr>
            </w:pPr>
          </w:p>
        </w:tc>
        <w:tc>
          <w:tcPr>
            <w:tcW w:w="3260" w:type="dxa"/>
            <w:shd w:val="clear" w:color="auto" w:fill="FFFFFF"/>
          </w:tcPr>
          <w:p w14:paraId="72CF48CF" w14:textId="44B8DEA7" w:rsidR="00043642" w:rsidRPr="00A163F9" w:rsidRDefault="003029EE" w:rsidP="00A4033A">
            <w:pPr>
              <w:pStyle w:val="CETBodytext"/>
              <w:ind w:right="-1"/>
              <w:rPr>
                <w:rFonts w:cs="Arial"/>
                <w:szCs w:val="18"/>
              </w:rPr>
            </w:pPr>
            <w:r w:rsidRPr="00A163F9">
              <w:rPr>
                <w:rFonts w:cs="Arial"/>
                <w:szCs w:val="18"/>
              </w:rPr>
              <w:t xml:space="preserve">0.5, </w:t>
            </w:r>
            <w:r w:rsidR="00546B00" w:rsidRPr="00A163F9">
              <w:rPr>
                <w:rFonts w:cs="Arial"/>
                <w:szCs w:val="18"/>
              </w:rPr>
              <w:t>2, 4, 6 h</w:t>
            </w:r>
          </w:p>
        </w:tc>
      </w:tr>
      <w:tr w:rsidR="003029EE" w:rsidRPr="00A163F9" w14:paraId="5A8E4DC7" w14:textId="77777777" w:rsidTr="00287B55">
        <w:tc>
          <w:tcPr>
            <w:tcW w:w="1276" w:type="dxa"/>
            <w:shd w:val="clear" w:color="auto" w:fill="FFFFFF"/>
          </w:tcPr>
          <w:p w14:paraId="26ECD5D3" w14:textId="77777777" w:rsidR="003029EE" w:rsidRPr="00A163F9" w:rsidRDefault="003029EE" w:rsidP="00A4033A">
            <w:pPr>
              <w:pStyle w:val="CETBodytext"/>
              <w:ind w:right="-1"/>
              <w:rPr>
                <w:rFonts w:cs="Arial"/>
                <w:szCs w:val="18"/>
              </w:rPr>
            </w:pPr>
          </w:p>
        </w:tc>
        <w:tc>
          <w:tcPr>
            <w:tcW w:w="1985" w:type="dxa"/>
            <w:shd w:val="clear" w:color="auto" w:fill="FFFFFF"/>
          </w:tcPr>
          <w:p w14:paraId="66D3B79F" w14:textId="77777777" w:rsidR="003029EE" w:rsidRPr="00A163F9" w:rsidRDefault="003029EE" w:rsidP="00A4033A">
            <w:pPr>
              <w:pStyle w:val="CETBodytext"/>
              <w:ind w:right="-1"/>
              <w:rPr>
                <w:rFonts w:cs="Arial"/>
                <w:szCs w:val="18"/>
              </w:rPr>
            </w:pPr>
          </w:p>
        </w:tc>
        <w:tc>
          <w:tcPr>
            <w:tcW w:w="1959" w:type="dxa"/>
            <w:shd w:val="clear" w:color="auto" w:fill="FFFFFF"/>
          </w:tcPr>
          <w:p w14:paraId="633842E6" w14:textId="63CB9158" w:rsidR="003029EE" w:rsidRPr="00A163F9" w:rsidRDefault="003029EE" w:rsidP="00A4033A">
            <w:pPr>
              <w:pStyle w:val="CETBodytext"/>
              <w:ind w:right="-1"/>
              <w:rPr>
                <w:rFonts w:cs="Arial"/>
                <w:szCs w:val="18"/>
              </w:rPr>
            </w:pPr>
            <w:r w:rsidRPr="00A163F9">
              <w:rPr>
                <w:rFonts w:cs="Arial"/>
                <w:szCs w:val="18"/>
              </w:rPr>
              <w:t>Standard</w:t>
            </w:r>
          </w:p>
        </w:tc>
        <w:tc>
          <w:tcPr>
            <w:tcW w:w="167" w:type="dxa"/>
            <w:shd w:val="clear" w:color="auto" w:fill="FFFFFF"/>
          </w:tcPr>
          <w:p w14:paraId="006B603A" w14:textId="77777777" w:rsidR="003029EE" w:rsidRPr="00A163F9" w:rsidRDefault="003029EE" w:rsidP="00A4033A">
            <w:pPr>
              <w:pStyle w:val="CETBodytext"/>
              <w:ind w:right="-1"/>
              <w:rPr>
                <w:rFonts w:cs="Arial"/>
                <w:szCs w:val="18"/>
              </w:rPr>
            </w:pPr>
          </w:p>
        </w:tc>
        <w:tc>
          <w:tcPr>
            <w:tcW w:w="3260" w:type="dxa"/>
            <w:shd w:val="clear" w:color="auto" w:fill="FFFFFF"/>
          </w:tcPr>
          <w:p w14:paraId="32574F69" w14:textId="3DB7D61C" w:rsidR="003029EE" w:rsidRPr="00A163F9" w:rsidRDefault="00546B00" w:rsidP="00A4033A">
            <w:pPr>
              <w:pStyle w:val="CETBodytext"/>
              <w:ind w:right="-1"/>
              <w:rPr>
                <w:rFonts w:cs="Arial"/>
                <w:szCs w:val="18"/>
              </w:rPr>
            </w:pPr>
            <w:r w:rsidRPr="00A163F9">
              <w:rPr>
                <w:rFonts w:cs="Arial"/>
                <w:szCs w:val="18"/>
              </w:rPr>
              <w:t>0.5, 2, 4, 6 h</w:t>
            </w:r>
          </w:p>
        </w:tc>
      </w:tr>
    </w:tbl>
    <w:p w14:paraId="4E519602" w14:textId="5C47F53A" w:rsidR="00402E78" w:rsidRPr="00A163F9" w:rsidRDefault="00402E78" w:rsidP="00402E78">
      <w:pPr>
        <w:pStyle w:val="CETheadingx"/>
      </w:pPr>
      <w:r w:rsidRPr="00A163F9">
        <w:t>Sampling and analysis</w:t>
      </w:r>
    </w:p>
    <w:p w14:paraId="28A1CB50" w14:textId="02C3F600" w:rsidR="00E27F2B" w:rsidRPr="00A163F9" w:rsidRDefault="00E27F2B" w:rsidP="00600535">
      <w:pPr>
        <w:pStyle w:val="CETBodytext"/>
      </w:pPr>
      <w:r w:rsidRPr="00A163F9">
        <w:t>Upon reaching a steady state in the process, samples of all fractions (biomass, fiber,</w:t>
      </w:r>
      <w:r w:rsidR="009E0B7E" w:rsidRPr="00A163F9">
        <w:t xml:space="preserve"> GJ</w:t>
      </w:r>
      <w:r w:rsidRPr="00A163F9">
        <w:t xml:space="preserve">, </w:t>
      </w:r>
      <w:r w:rsidR="009E0B7E" w:rsidRPr="00A163F9">
        <w:t>BJ</w:t>
      </w:r>
      <w:r w:rsidRPr="00A163F9">
        <w:t xml:space="preserve">, </w:t>
      </w:r>
      <w:r w:rsidR="009E0B7E" w:rsidRPr="00A163F9">
        <w:t>LPC</w:t>
      </w:r>
      <w:r w:rsidRPr="00A163F9">
        <w:t>) were collected</w:t>
      </w:r>
      <w:r w:rsidR="00213D46" w:rsidRPr="00A163F9">
        <w:t xml:space="preserve"> in duplicate</w:t>
      </w:r>
      <w:r w:rsidRPr="00A163F9">
        <w:t>. The pH and degrees Brix of the GJ and BJ were promptly measured. Samples from all fractions were subjected to overnight drying at 105 °C for analysis of D</w:t>
      </w:r>
      <w:r w:rsidR="00657F78" w:rsidRPr="00A163F9">
        <w:t>M</w:t>
      </w:r>
      <w:r w:rsidRPr="00A163F9">
        <w:t xml:space="preserve"> concentration. The determination of ash concentration involved exposing the samples to a high-temperature muffle furnace at 550 °C for 3 h.</w:t>
      </w:r>
    </w:p>
    <w:p w14:paraId="2BBBD746" w14:textId="34917DF1" w:rsidR="0002478E" w:rsidRPr="00A163F9" w:rsidRDefault="0028244D" w:rsidP="0002478E">
      <w:pPr>
        <w:pStyle w:val="CETBodytext"/>
      </w:pPr>
      <w:r w:rsidRPr="00A163F9">
        <w:t xml:space="preserve">The total organic carbon (TOC) and total nitrogen (TN) concentrations in both </w:t>
      </w:r>
      <w:r w:rsidR="00912C94" w:rsidRPr="00A163F9">
        <w:t>GJ and BJ</w:t>
      </w:r>
      <w:r w:rsidRPr="00A163F9">
        <w:t xml:space="preserve"> were determined using a scalar FORMACS HT-I TOC/TN analyzer, employing the Kjeldahl method. </w:t>
      </w:r>
      <w:r w:rsidR="002467BF" w:rsidRPr="00A163F9">
        <w:t>F</w:t>
      </w:r>
      <w:r w:rsidRPr="00A163F9">
        <w:t xml:space="preserve">resh biomass, fiber, and </w:t>
      </w:r>
      <w:r w:rsidR="002467BF" w:rsidRPr="00A163F9">
        <w:t>LPC</w:t>
      </w:r>
      <w:r w:rsidRPr="00A163F9">
        <w:t xml:space="preserve">, </w:t>
      </w:r>
      <w:r w:rsidR="0019656B" w:rsidRPr="00A163F9">
        <w:t>were sent to</w:t>
      </w:r>
      <w:r w:rsidRPr="00A163F9">
        <w:t xml:space="preserve"> carbon, hydrogen, nitrogen, and sulfur elemental analysis (CHNS) using an Elementar vario MACRO cube elemental analyzer </w:t>
      </w:r>
      <w:r w:rsidR="0019656B" w:rsidRPr="00A163F9">
        <w:t>(</w:t>
      </w:r>
      <w:r w:rsidRPr="00A163F9">
        <w:t>Langenselbold, Germany</w:t>
      </w:r>
      <w:r w:rsidR="0019656B" w:rsidRPr="00A163F9">
        <w:t>)</w:t>
      </w:r>
      <w:r w:rsidRPr="00A163F9">
        <w:t xml:space="preserve">. Nitrogen values were converted to crude protein (CP) concentration by multiplying the nitrogen concentration by a factor of 6.25, a </w:t>
      </w:r>
      <w:r w:rsidR="002D106A" w:rsidRPr="00A163F9">
        <w:t>common</w:t>
      </w:r>
      <w:r w:rsidRPr="00A163F9">
        <w:t xml:space="preserve"> practice in the </w:t>
      </w:r>
      <w:r w:rsidR="002D106A" w:rsidRPr="00A163F9">
        <w:t xml:space="preserve">standard </w:t>
      </w:r>
      <w:r w:rsidRPr="00A163F9">
        <w:t>feed industry</w:t>
      </w:r>
      <w:r w:rsidR="00E976F1" w:rsidRPr="00A163F9">
        <w:t xml:space="preserve"> </w:t>
      </w:r>
      <w:r w:rsidR="00E976F1" w:rsidRPr="00A163F9">
        <w:fldChar w:fldCharType="begin"/>
      </w:r>
      <w:r w:rsidR="00E976F1" w:rsidRPr="00A163F9">
        <w:instrText xml:space="preserve"> ADDIN ZOTERO_ITEM CSL_CITATION {"citationID":"OPLiKEuY","properties":{"formattedCitation":"(Petersen et al., 2022)","plainCitation":"(Petersen et al., 2022)","noteIndex":0},"citationItems":[{"id":123,"uris":["http://zotero.org/users/11878636/items/P7YBLH8N"],"itemData":{"id":123,"type":"article-journal","abstract":"By considering neutral and alkaline extraction processes, this study aimed to maximize the yield and quality of a protein isolate from yellow peas while minimizing minimum selling price (MSP), then investigate the feasibility of integrating ethanol production from the starch in the spent pea residue from an optimized protein-extraction process. Thus, response surface methodologies were used to optimize experimental measurements and industrially simulated outcomes (Aspen Plus®) from variations in pH, temperature, time and solid loading. Then the energy and stream integration of ethanol production were simulated and costed. Alkaline extractions optimized at pH 10, 20 °C, 100 min and a 5.3% solid loading resulted in a protein yield of 73.6% and MSP of 3.25 US$/kg, at a processing rate of 2000 kg/h. These outcomes were technically and economically superior to water extractions, which only obtained a maximum protein yield of 56.2% and lowest MSP of 3.52 US$/kg. The output of ethanol integration was 8 million litres per annum, but further capital and energy demands of 230% and 126%, respectively, increased the MSP of the pea protein to 4.58 US$/kg. Sensitivity analysis showed that process changes, larger scales and incentives for renewable fuels are needed to favour the integration of ethanol.","container-title":"Biomass Conversion and Biorefinery","DOI":"10.1007/s13399-020-00851-6","ISSN":"2190-6815, 2190-6823","issue":"7","journalAbbreviation":"Biomass Conv. Bioref.","language":"en","page":"2913-2924","source":"DOI.org (Crossref)","title":"Optimizing the processes of extracting proteins from yellow peas and ethanol production from spent pea residues","volume":"12","author":[{"family":"Petersen","given":"Abdul Muhaymin"},{"family":"Annoh-Quarshie","given":"Julia"},{"family":"Van Rensburg","given":"Eugéne"},{"family":"Görgens","given":"Johann F."}],"issued":{"date-parts":[["2022",7]]}}}],"schema":"https://github.com/citation-style-language/schema/raw/master/csl-citation.json"} </w:instrText>
      </w:r>
      <w:r w:rsidR="00E976F1" w:rsidRPr="00A163F9">
        <w:fldChar w:fldCharType="separate"/>
      </w:r>
      <w:r w:rsidR="00E976F1" w:rsidRPr="00A163F9">
        <w:rPr>
          <w:rFonts w:cs="Arial"/>
        </w:rPr>
        <w:t>(Petersen et al., 2022)</w:t>
      </w:r>
      <w:r w:rsidR="00E976F1" w:rsidRPr="00A163F9">
        <w:fldChar w:fldCharType="end"/>
      </w:r>
      <w:r w:rsidRPr="00A163F9">
        <w:t xml:space="preserve">. The CP concentration was reported on a </w:t>
      </w:r>
      <w:r w:rsidR="00E976F1" w:rsidRPr="00A163F9">
        <w:t>DM</w:t>
      </w:r>
      <w:r w:rsidRPr="00A163F9">
        <w:t xml:space="preserve"> basis.</w:t>
      </w:r>
    </w:p>
    <w:p w14:paraId="705ACB32" w14:textId="12BA53C8" w:rsidR="00717B20" w:rsidRPr="00A163F9" w:rsidRDefault="00717B20" w:rsidP="00717B20">
      <w:pPr>
        <w:pStyle w:val="CETHeading1"/>
      </w:pPr>
      <w:r w:rsidRPr="00A163F9">
        <w:t>Results and discussion</w:t>
      </w:r>
    </w:p>
    <w:p w14:paraId="6A1B78DB" w14:textId="57EBE1C6" w:rsidR="00001F18" w:rsidRPr="00A163F9" w:rsidRDefault="00001F18" w:rsidP="00717B20">
      <w:pPr>
        <w:pStyle w:val="CETBodytext"/>
      </w:pPr>
      <w:r w:rsidRPr="00A163F9">
        <w:t>Table 2 depicts the CP and ash</w:t>
      </w:r>
      <w:r w:rsidR="00A138DC">
        <w:t xml:space="preserve"> </w:t>
      </w:r>
      <w:r w:rsidR="00A138DC" w:rsidRPr="00A163F9">
        <w:t>concentrations</w:t>
      </w:r>
      <w:r w:rsidRPr="00A163F9">
        <w:t xml:space="preserve"> within the LPC fraction. In the context of the 2021 processing </w:t>
      </w:r>
      <w:r w:rsidR="009E53AF" w:rsidRPr="00A163F9">
        <w:t>season</w:t>
      </w:r>
      <w:r w:rsidRPr="00A163F9">
        <w:t xml:space="preserve">, </w:t>
      </w:r>
      <w:r w:rsidR="00FB4674" w:rsidRPr="00A163F9">
        <w:t>when</w:t>
      </w:r>
      <w:r w:rsidRPr="00A163F9">
        <w:t xml:space="preserve"> the stationary cutting approach was employed, it was observed that the CP concentration exhibited minimal fluctuation over an extended interval between harvest and processing. This is </w:t>
      </w:r>
      <w:r w:rsidR="00843A8E" w:rsidRPr="00A163F9">
        <w:t>attributable</w:t>
      </w:r>
      <w:r w:rsidRPr="00A163F9">
        <w:t xml:space="preserve"> to the preservation of the fresh biomass in an uncut state </w:t>
      </w:r>
      <w:r w:rsidR="00505409" w:rsidRPr="00A163F9">
        <w:t xml:space="preserve">before starting </w:t>
      </w:r>
      <w:r w:rsidRPr="00A163F9">
        <w:t>the</w:t>
      </w:r>
      <w:r w:rsidR="002A1BD1" w:rsidRPr="00A163F9">
        <w:t xml:space="preserve"> </w:t>
      </w:r>
      <w:r w:rsidR="00F13D3E" w:rsidRPr="00A163F9">
        <w:t>process</w:t>
      </w:r>
      <w:r w:rsidRPr="00A163F9">
        <w:t xml:space="preserve">, thereby maintaining the stability of component </w:t>
      </w:r>
      <w:r w:rsidR="004A2025" w:rsidRPr="00A163F9">
        <w:t>properties,</w:t>
      </w:r>
      <w:r w:rsidRPr="00A163F9">
        <w:t xml:space="preserve"> and resulting in limited observable variations. A similar pattern emerged in the case of CP concentration during the 2022 stationary</w:t>
      </w:r>
      <w:r w:rsidR="009466D8" w:rsidRPr="00A163F9">
        <w:t>-</w:t>
      </w:r>
      <w:r w:rsidRPr="00A163F9">
        <w:t xml:space="preserve">cutting scenario, indicating a consistent trend. </w:t>
      </w:r>
    </w:p>
    <w:p w14:paraId="08488184" w14:textId="310E1F40" w:rsidR="00357042" w:rsidRPr="00A163F9" w:rsidRDefault="00357042" w:rsidP="00357042">
      <w:pPr>
        <w:pStyle w:val="CETTabletitle"/>
        <w:rPr>
          <w:lang w:val="en-US"/>
        </w:rPr>
      </w:pPr>
      <w:r w:rsidRPr="00A163F9">
        <w:rPr>
          <w:lang w:val="en-US"/>
        </w:rPr>
        <w:t>Table 2: CP and ash concentrations in the LPC fraction</w:t>
      </w:r>
      <w:r w:rsidR="002B6070" w:rsidRPr="00A163F9">
        <w:rPr>
          <w:lang w:val="en-US"/>
        </w:rPr>
        <w:t xml:space="preserve"> when processing grass-clover in 2021 and 2022.</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27"/>
        <w:gridCol w:w="1374"/>
        <w:gridCol w:w="1104"/>
        <w:gridCol w:w="1117"/>
        <w:gridCol w:w="1075"/>
        <w:gridCol w:w="1075"/>
      </w:tblGrid>
      <w:tr w:rsidR="001F13E4" w:rsidRPr="00A163F9" w14:paraId="72A27959" w14:textId="38202B9A" w:rsidTr="00C5161D">
        <w:tc>
          <w:tcPr>
            <w:tcW w:w="827" w:type="dxa"/>
            <w:vMerge w:val="restart"/>
            <w:tcBorders>
              <w:top w:val="single" w:sz="12" w:space="0" w:color="008000"/>
            </w:tcBorders>
            <w:shd w:val="clear" w:color="auto" w:fill="FFFFFF"/>
          </w:tcPr>
          <w:p w14:paraId="0E0A49F0" w14:textId="299B8C15" w:rsidR="001F13E4" w:rsidRPr="00A163F9" w:rsidRDefault="001F13E4" w:rsidP="00AA6108">
            <w:pPr>
              <w:pStyle w:val="CETBodytext"/>
            </w:pPr>
            <w:r w:rsidRPr="00A163F9">
              <w:t>Year</w:t>
            </w:r>
          </w:p>
        </w:tc>
        <w:tc>
          <w:tcPr>
            <w:tcW w:w="1374" w:type="dxa"/>
            <w:vMerge w:val="restart"/>
            <w:tcBorders>
              <w:top w:val="single" w:sz="12" w:space="0" w:color="008000"/>
            </w:tcBorders>
            <w:shd w:val="clear" w:color="auto" w:fill="FFFFFF"/>
          </w:tcPr>
          <w:p w14:paraId="3BC324E0" w14:textId="0CF56003" w:rsidR="001F13E4" w:rsidRPr="00A163F9" w:rsidRDefault="001F13E4" w:rsidP="007E5729">
            <w:pPr>
              <w:pStyle w:val="CETBodytext"/>
              <w:jc w:val="center"/>
            </w:pPr>
            <w:r w:rsidRPr="00A163F9">
              <w:t>Time after harvest (h)</w:t>
            </w:r>
          </w:p>
        </w:tc>
        <w:tc>
          <w:tcPr>
            <w:tcW w:w="2221" w:type="dxa"/>
            <w:gridSpan w:val="2"/>
            <w:tcBorders>
              <w:top w:val="single" w:sz="12" w:space="0" w:color="008000"/>
              <w:bottom w:val="single" w:sz="4" w:space="0" w:color="FFFFFF" w:themeColor="background1"/>
            </w:tcBorders>
            <w:shd w:val="clear" w:color="auto" w:fill="FFFFFF"/>
          </w:tcPr>
          <w:p w14:paraId="46C75E53" w14:textId="6F00E813" w:rsidR="001F13E4" w:rsidRPr="00A163F9" w:rsidRDefault="001F13E4" w:rsidP="00C842CE">
            <w:pPr>
              <w:pStyle w:val="CETBodytext"/>
              <w:ind w:right="-1"/>
              <w:jc w:val="center"/>
              <w:rPr>
                <w:rFonts w:cs="Arial"/>
                <w:szCs w:val="18"/>
              </w:rPr>
            </w:pPr>
            <w:r w:rsidRPr="00A163F9">
              <w:t>CP (%DM)</w:t>
            </w:r>
          </w:p>
        </w:tc>
        <w:tc>
          <w:tcPr>
            <w:tcW w:w="2150" w:type="dxa"/>
            <w:gridSpan w:val="2"/>
            <w:tcBorders>
              <w:top w:val="single" w:sz="12" w:space="0" w:color="008000"/>
              <w:bottom w:val="single" w:sz="4" w:space="0" w:color="FFFFFF" w:themeColor="background1"/>
            </w:tcBorders>
            <w:shd w:val="clear" w:color="auto" w:fill="FFFFFF"/>
          </w:tcPr>
          <w:p w14:paraId="45358D9C" w14:textId="665ABFB9" w:rsidR="001F13E4" w:rsidRPr="00A163F9" w:rsidRDefault="001F13E4" w:rsidP="00C842CE">
            <w:pPr>
              <w:pStyle w:val="CETBodytext"/>
              <w:ind w:right="-1"/>
              <w:jc w:val="center"/>
              <w:rPr>
                <w:rFonts w:cs="Arial"/>
                <w:szCs w:val="18"/>
              </w:rPr>
            </w:pPr>
            <w:r w:rsidRPr="00A163F9">
              <w:rPr>
                <w:rFonts w:cs="Arial"/>
                <w:szCs w:val="18"/>
              </w:rPr>
              <w:t>Ash (%DM)</w:t>
            </w:r>
          </w:p>
        </w:tc>
      </w:tr>
      <w:tr w:rsidR="001F13E4" w:rsidRPr="00A163F9" w14:paraId="028591E0" w14:textId="202875C2" w:rsidTr="00C842CE">
        <w:tc>
          <w:tcPr>
            <w:tcW w:w="827" w:type="dxa"/>
            <w:vMerge/>
            <w:tcBorders>
              <w:bottom w:val="single" w:sz="6" w:space="0" w:color="008000"/>
            </w:tcBorders>
            <w:shd w:val="clear" w:color="auto" w:fill="FFFFFF"/>
          </w:tcPr>
          <w:p w14:paraId="658156AC" w14:textId="77777777" w:rsidR="001F13E4" w:rsidRPr="00A163F9" w:rsidRDefault="001F13E4" w:rsidP="00C842CE">
            <w:pPr>
              <w:pStyle w:val="CETBodytext"/>
            </w:pPr>
          </w:p>
        </w:tc>
        <w:tc>
          <w:tcPr>
            <w:tcW w:w="1374" w:type="dxa"/>
            <w:vMerge/>
            <w:tcBorders>
              <w:bottom w:val="single" w:sz="6" w:space="0" w:color="008000"/>
            </w:tcBorders>
            <w:shd w:val="clear" w:color="auto" w:fill="FFFFFF"/>
          </w:tcPr>
          <w:p w14:paraId="2DE7018B" w14:textId="77777777" w:rsidR="001F13E4" w:rsidRPr="00A163F9" w:rsidRDefault="001F13E4" w:rsidP="007E5729">
            <w:pPr>
              <w:pStyle w:val="CETBodytext"/>
              <w:jc w:val="center"/>
            </w:pPr>
          </w:p>
        </w:tc>
        <w:tc>
          <w:tcPr>
            <w:tcW w:w="1104" w:type="dxa"/>
            <w:tcBorders>
              <w:top w:val="single" w:sz="4" w:space="0" w:color="FFFFFF" w:themeColor="background1"/>
              <w:bottom w:val="single" w:sz="6" w:space="0" w:color="008000"/>
            </w:tcBorders>
            <w:shd w:val="clear" w:color="auto" w:fill="FFFFFF"/>
          </w:tcPr>
          <w:p w14:paraId="49E4AA85" w14:textId="2D1DAF7A" w:rsidR="001F13E4" w:rsidRPr="00A163F9" w:rsidRDefault="001F13E4" w:rsidP="00AC3176">
            <w:pPr>
              <w:pStyle w:val="CETBodytext"/>
              <w:ind w:right="-1"/>
              <w:jc w:val="center"/>
              <w:rPr>
                <w:rFonts w:cs="Arial"/>
                <w:szCs w:val="18"/>
              </w:rPr>
            </w:pPr>
            <w:r w:rsidRPr="00A163F9">
              <w:t>In-field</w:t>
            </w:r>
          </w:p>
        </w:tc>
        <w:tc>
          <w:tcPr>
            <w:tcW w:w="1117" w:type="dxa"/>
            <w:tcBorders>
              <w:top w:val="single" w:sz="4" w:space="0" w:color="FFFFFF" w:themeColor="background1"/>
              <w:bottom w:val="single" w:sz="6" w:space="0" w:color="008000"/>
            </w:tcBorders>
            <w:shd w:val="clear" w:color="auto" w:fill="FFFFFF"/>
          </w:tcPr>
          <w:p w14:paraId="646E9CE3" w14:textId="66E1A38D" w:rsidR="001F13E4" w:rsidRPr="00A163F9" w:rsidRDefault="001F13E4" w:rsidP="00AC3176">
            <w:pPr>
              <w:pStyle w:val="CETBodytext"/>
              <w:ind w:right="-1"/>
              <w:jc w:val="center"/>
              <w:rPr>
                <w:rFonts w:cs="Arial"/>
                <w:szCs w:val="18"/>
              </w:rPr>
            </w:pPr>
            <w:r w:rsidRPr="00A163F9">
              <w:t>Stationary</w:t>
            </w:r>
          </w:p>
        </w:tc>
        <w:tc>
          <w:tcPr>
            <w:tcW w:w="1075" w:type="dxa"/>
            <w:tcBorders>
              <w:top w:val="single" w:sz="4" w:space="0" w:color="FFFFFF" w:themeColor="background1"/>
              <w:bottom w:val="single" w:sz="6" w:space="0" w:color="008000"/>
            </w:tcBorders>
            <w:shd w:val="clear" w:color="auto" w:fill="FFFFFF"/>
          </w:tcPr>
          <w:p w14:paraId="648D2230" w14:textId="7D383C03" w:rsidR="001F13E4" w:rsidRPr="00A163F9" w:rsidRDefault="001F13E4" w:rsidP="00AC3176">
            <w:pPr>
              <w:pStyle w:val="CETBodytext"/>
              <w:ind w:right="-1"/>
              <w:jc w:val="center"/>
            </w:pPr>
            <w:r w:rsidRPr="00A163F9">
              <w:t>In-field</w:t>
            </w:r>
          </w:p>
        </w:tc>
        <w:tc>
          <w:tcPr>
            <w:tcW w:w="1075" w:type="dxa"/>
            <w:tcBorders>
              <w:top w:val="single" w:sz="4" w:space="0" w:color="FFFFFF" w:themeColor="background1"/>
              <w:bottom w:val="single" w:sz="6" w:space="0" w:color="008000"/>
            </w:tcBorders>
            <w:shd w:val="clear" w:color="auto" w:fill="FFFFFF"/>
          </w:tcPr>
          <w:p w14:paraId="4B3A5EDB" w14:textId="716329C9" w:rsidR="001F13E4" w:rsidRPr="00A163F9" w:rsidRDefault="001F13E4" w:rsidP="00AC3176">
            <w:pPr>
              <w:pStyle w:val="CETBodytext"/>
              <w:ind w:right="-1"/>
              <w:jc w:val="center"/>
            </w:pPr>
            <w:r w:rsidRPr="00A163F9">
              <w:t>Stationary</w:t>
            </w:r>
          </w:p>
        </w:tc>
      </w:tr>
      <w:tr w:rsidR="001F13E4" w:rsidRPr="00A163F9" w14:paraId="793FD36A" w14:textId="5CF32F0C" w:rsidTr="00C842CE">
        <w:tc>
          <w:tcPr>
            <w:tcW w:w="827" w:type="dxa"/>
            <w:vMerge w:val="restart"/>
            <w:shd w:val="clear" w:color="auto" w:fill="FFFFFF"/>
          </w:tcPr>
          <w:p w14:paraId="5E164ADC" w14:textId="7BBEDAC2" w:rsidR="001F13E4" w:rsidRPr="00A163F9" w:rsidRDefault="001F13E4" w:rsidP="00201EF2">
            <w:pPr>
              <w:pStyle w:val="CETBodytext"/>
            </w:pPr>
            <w:r w:rsidRPr="00A163F9">
              <w:t>2021</w:t>
            </w:r>
          </w:p>
        </w:tc>
        <w:tc>
          <w:tcPr>
            <w:tcW w:w="1374" w:type="dxa"/>
            <w:shd w:val="clear" w:color="auto" w:fill="FFFFFF"/>
          </w:tcPr>
          <w:p w14:paraId="1842B9C2" w14:textId="48371D7C" w:rsidR="001F13E4" w:rsidRPr="00A163F9" w:rsidRDefault="001F13E4" w:rsidP="007E5729">
            <w:pPr>
              <w:pStyle w:val="CETBodytext"/>
              <w:jc w:val="center"/>
            </w:pPr>
            <w:r w:rsidRPr="00A163F9">
              <w:t>0.5</w:t>
            </w:r>
          </w:p>
        </w:tc>
        <w:tc>
          <w:tcPr>
            <w:tcW w:w="1104" w:type="dxa"/>
            <w:shd w:val="clear" w:color="auto" w:fill="FFFFFF"/>
          </w:tcPr>
          <w:p w14:paraId="417D26A1" w14:textId="67E296D1" w:rsidR="001F13E4" w:rsidRPr="00A163F9" w:rsidRDefault="001F13E4" w:rsidP="00201EF2">
            <w:pPr>
              <w:pStyle w:val="CETBodytext"/>
              <w:ind w:right="-1"/>
              <w:jc w:val="center"/>
              <w:rPr>
                <w:rFonts w:cs="Arial"/>
                <w:szCs w:val="18"/>
              </w:rPr>
            </w:pPr>
            <w:r w:rsidRPr="00A163F9">
              <w:t>54.0</w:t>
            </w:r>
          </w:p>
        </w:tc>
        <w:tc>
          <w:tcPr>
            <w:tcW w:w="1117" w:type="dxa"/>
            <w:shd w:val="clear" w:color="auto" w:fill="FFFFFF"/>
          </w:tcPr>
          <w:p w14:paraId="40532BC9" w14:textId="4F7970A1" w:rsidR="001F13E4" w:rsidRPr="00A163F9" w:rsidRDefault="001F13E4" w:rsidP="00201EF2">
            <w:pPr>
              <w:pStyle w:val="CETBodytext"/>
              <w:ind w:right="-1"/>
              <w:jc w:val="center"/>
              <w:rPr>
                <w:rFonts w:cs="Arial"/>
                <w:szCs w:val="18"/>
              </w:rPr>
            </w:pPr>
            <w:r w:rsidRPr="00A163F9">
              <w:t>53.7</w:t>
            </w:r>
          </w:p>
        </w:tc>
        <w:tc>
          <w:tcPr>
            <w:tcW w:w="1075" w:type="dxa"/>
            <w:shd w:val="clear" w:color="auto" w:fill="FFFFFF"/>
          </w:tcPr>
          <w:p w14:paraId="229A7310" w14:textId="12FDA692" w:rsidR="001F13E4" w:rsidRPr="00A163F9" w:rsidRDefault="001F13E4" w:rsidP="00201EF2">
            <w:pPr>
              <w:pStyle w:val="CETBodytext"/>
              <w:ind w:right="-1"/>
              <w:jc w:val="center"/>
            </w:pPr>
            <w:r w:rsidRPr="00A163F9">
              <w:t>4.4</w:t>
            </w:r>
          </w:p>
        </w:tc>
        <w:tc>
          <w:tcPr>
            <w:tcW w:w="1075" w:type="dxa"/>
            <w:shd w:val="clear" w:color="auto" w:fill="FFFFFF"/>
          </w:tcPr>
          <w:p w14:paraId="7860C69C" w14:textId="1F41006C" w:rsidR="001F13E4" w:rsidRPr="00A163F9" w:rsidRDefault="001F13E4" w:rsidP="00201EF2">
            <w:pPr>
              <w:pStyle w:val="CETBodytext"/>
              <w:ind w:right="-1"/>
              <w:jc w:val="center"/>
            </w:pPr>
            <w:r w:rsidRPr="00A163F9">
              <w:t>4.4</w:t>
            </w:r>
          </w:p>
        </w:tc>
      </w:tr>
      <w:tr w:rsidR="001F13E4" w:rsidRPr="00A163F9" w14:paraId="358D1CE2" w14:textId="1828A5C4" w:rsidTr="00C842CE">
        <w:tc>
          <w:tcPr>
            <w:tcW w:w="827" w:type="dxa"/>
            <w:vMerge/>
            <w:shd w:val="clear" w:color="auto" w:fill="FFFFFF"/>
          </w:tcPr>
          <w:p w14:paraId="4B4379CA" w14:textId="77777777" w:rsidR="001F13E4" w:rsidRPr="00A163F9" w:rsidRDefault="001F13E4" w:rsidP="00201EF2">
            <w:pPr>
              <w:pStyle w:val="CETBodytext"/>
            </w:pPr>
          </w:p>
        </w:tc>
        <w:tc>
          <w:tcPr>
            <w:tcW w:w="1374" w:type="dxa"/>
            <w:shd w:val="clear" w:color="auto" w:fill="FFFFFF"/>
          </w:tcPr>
          <w:p w14:paraId="76A4144B" w14:textId="258E5D4C" w:rsidR="001F13E4" w:rsidRPr="00A163F9" w:rsidRDefault="001F13E4" w:rsidP="007E5729">
            <w:pPr>
              <w:pStyle w:val="CETBodytext"/>
              <w:jc w:val="center"/>
            </w:pPr>
            <w:r w:rsidRPr="00A163F9">
              <w:t>6</w:t>
            </w:r>
          </w:p>
        </w:tc>
        <w:tc>
          <w:tcPr>
            <w:tcW w:w="1104" w:type="dxa"/>
            <w:shd w:val="clear" w:color="auto" w:fill="FFFFFF"/>
          </w:tcPr>
          <w:p w14:paraId="317858CA" w14:textId="66A829A8" w:rsidR="001F13E4" w:rsidRPr="00A163F9" w:rsidRDefault="001F13E4" w:rsidP="00201EF2">
            <w:pPr>
              <w:pStyle w:val="CETBodytext"/>
              <w:ind w:right="-1"/>
              <w:jc w:val="center"/>
              <w:rPr>
                <w:rFonts w:cs="Arial"/>
                <w:szCs w:val="18"/>
              </w:rPr>
            </w:pPr>
            <w:r w:rsidRPr="00A163F9">
              <w:t>50.4</w:t>
            </w:r>
          </w:p>
        </w:tc>
        <w:tc>
          <w:tcPr>
            <w:tcW w:w="1117" w:type="dxa"/>
            <w:shd w:val="clear" w:color="auto" w:fill="FFFFFF"/>
          </w:tcPr>
          <w:p w14:paraId="70F3017D" w14:textId="75E48806" w:rsidR="001F13E4" w:rsidRPr="00A163F9" w:rsidRDefault="001F13E4" w:rsidP="00201EF2">
            <w:pPr>
              <w:pStyle w:val="CETBodytext"/>
              <w:ind w:right="-1"/>
              <w:jc w:val="center"/>
              <w:rPr>
                <w:rFonts w:cs="Arial"/>
                <w:szCs w:val="18"/>
              </w:rPr>
            </w:pPr>
            <w:r w:rsidRPr="00A163F9">
              <w:t>53.5</w:t>
            </w:r>
          </w:p>
        </w:tc>
        <w:tc>
          <w:tcPr>
            <w:tcW w:w="1075" w:type="dxa"/>
            <w:shd w:val="clear" w:color="auto" w:fill="FFFFFF"/>
          </w:tcPr>
          <w:p w14:paraId="7C3F60E5" w14:textId="3E2EADDA" w:rsidR="001F13E4" w:rsidRPr="00A163F9" w:rsidRDefault="001F13E4" w:rsidP="00201EF2">
            <w:pPr>
              <w:pStyle w:val="CETBodytext"/>
              <w:ind w:right="-1"/>
              <w:jc w:val="center"/>
            </w:pPr>
            <w:r w:rsidRPr="00A163F9">
              <w:t>6.0</w:t>
            </w:r>
          </w:p>
        </w:tc>
        <w:tc>
          <w:tcPr>
            <w:tcW w:w="1075" w:type="dxa"/>
            <w:shd w:val="clear" w:color="auto" w:fill="FFFFFF"/>
          </w:tcPr>
          <w:p w14:paraId="6A6C0746" w14:textId="16E83A20" w:rsidR="001F13E4" w:rsidRPr="00A163F9" w:rsidRDefault="001F13E4" w:rsidP="00201EF2">
            <w:pPr>
              <w:pStyle w:val="CETBodytext"/>
              <w:ind w:right="-1"/>
              <w:jc w:val="center"/>
            </w:pPr>
            <w:r w:rsidRPr="00A163F9">
              <w:t>4.8</w:t>
            </w:r>
          </w:p>
        </w:tc>
      </w:tr>
      <w:tr w:rsidR="001F13E4" w:rsidRPr="00A163F9" w14:paraId="15D44F2B" w14:textId="1BE247BC" w:rsidTr="00C842CE">
        <w:tc>
          <w:tcPr>
            <w:tcW w:w="827" w:type="dxa"/>
            <w:vMerge/>
            <w:shd w:val="clear" w:color="auto" w:fill="FFFFFF"/>
          </w:tcPr>
          <w:p w14:paraId="647E71F8" w14:textId="77777777" w:rsidR="001F13E4" w:rsidRPr="00A163F9" w:rsidRDefault="001F13E4" w:rsidP="00201EF2">
            <w:pPr>
              <w:pStyle w:val="CETBodytext"/>
            </w:pPr>
          </w:p>
        </w:tc>
        <w:tc>
          <w:tcPr>
            <w:tcW w:w="1374" w:type="dxa"/>
            <w:shd w:val="clear" w:color="auto" w:fill="FFFFFF"/>
          </w:tcPr>
          <w:p w14:paraId="61E72CF4" w14:textId="0128F7FA" w:rsidR="001F13E4" w:rsidRPr="00A163F9" w:rsidRDefault="001F13E4" w:rsidP="007E5729">
            <w:pPr>
              <w:pStyle w:val="CETBodytext"/>
              <w:jc w:val="center"/>
            </w:pPr>
            <w:r w:rsidRPr="00A163F9">
              <w:t>12</w:t>
            </w:r>
          </w:p>
        </w:tc>
        <w:tc>
          <w:tcPr>
            <w:tcW w:w="1104" w:type="dxa"/>
            <w:shd w:val="clear" w:color="auto" w:fill="FFFFFF"/>
          </w:tcPr>
          <w:p w14:paraId="3F65742E" w14:textId="6733B5C0" w:rsidR="001F13E4" w:rsidRPr="00A163F9" w:rsidRDefault="001F13E4" w:rsidP="00201EF2">
            <w:pPr>
              <w:pStyle w:val="CETBodytext"/>
              <w:ind w:right="-1"/>
              <w:jc w:val="center"/>
              <w:rPr>
                <w:rFonts w:cs="Arial"/>
                <w:szCs w:val="18"/>
              </w:rPr>
            </w:pPr>
            <w:r w:rsidRPr="00A163F9">
              <w:t>49.0</w:t>
            </w:r>
          </w:p>
        </w:tc>
        <w:tc>
          <w:tcPr>
            <w:tcW w:w="1117" w:type="dxa"/>
            <w:shd w:val="clear" w:color="auto" w:fill="FFFFFF"/>
          </w:tcPr>
          <w:p w14:paraId="3226CEB2" w14:textId="6B6E94F7" w:rsidR="001F13E4" w:rsidRPr="00A163F9" w:rsidRDefault="001F13E4" w:rsidP="00201EF2">
            <w:pPr>
              <w:pStyle w:val="CETBodytext"/>
              <w:ind w:right="-1"/>
              <w:jc w:val="center"/>
              <w:rPr>
                <w:rFonts w:cs="Arial"/>
                <w:szCs w:val="18"/>
              </w:rPr>
            </w:pPr>
            <w:r w:rsidRPr="00A163F9">
              <w:t>54.7</w:t>
            </w:r>
          </w:p>
        </w:tc>
        <w:tc>
          <w:tcPr>
            <w:tcW w:w="1075" w:type="dxa"/>
            <w:shd w:val="clear" w:color="auto" w:fill="FFFFFF"/>
          </w:tcPr>
          <w:p w14:paraId="37DC12F2" w14:textId="510F3724" w:rsidR="001F13E4" w:rsidRPr="00A163F9" w:rsidRDefault="001F13E4" w:rsidP="00201EF2">
            <w:pPr>
              <w:pStyle w:val="CETBodytext"/>
              <w:ind w:right="-1"/>
              <w:jc w:val="center"/>
            </w:pPr>
            <w:r w:rsidRPr="00A163F9">
              <w:t>5.6</w:t>
            </w:r>
          </w:p>
        </w:tc>
        <w:tc>
          <w:tcPr>
            <w:tcW w:w="1075" w:type="dxa"/>
            <w:shd w:val="clear" w:color="auto" w:fill="FFFFFF"/>
          </w:tcPr>
          <w:p w14:paraId="52E6B377" w14:textId="10411628" w:rsidR="001F13E4" w:rsidRPr="00A163F9" w:rsidRDefault="001F13E4" w:rsidP="00201EF2">
            <w:pPr>
              <w:pStyle w:val="CETBodytext"/>
              <w:ind w:right="-1"/>
              <w:jc w:val="center"/>
            </w:pPr>
            <w:r w:rsidRPr="00A163F9">
              <w:t>5.3</w:t>
            </w:r>
          </w:p>
        </w:tc>
      </w:tr>
      <w:tr w:rsidR="001F13E4" w:rsidRPr="00A163F9" w14:paraId="78F1C07E" w14:textId="77777777" w:rsidTr="00C842CE">
        <w:tc>
          <w:tcPr>
            <w:tcW w:w="827" w:type="dxa"/>
            <w:shd w:val="clear" w:color="auto" w:fill="FFFFFF"/>
          </w:tcPr>
          <w:p w14:paraId="4D2F2F1E" w14:textId="77777777" w:rsidR="001F13E4" w:rsidRPr="00A163F9" w:rsidRDefault="001F13E4" w:rsidP="00201EF2">
            <w:pPr>
              <w:pStyle w:val="CETBodytext"/>
            </w:pPr>
          </w:p>
        </w:tc>
        <w:tc>
          <w:tcPr>
            <w:tcW w:w="1374" w:type="dxa"/>
            <w:shd w:val="clear" w:color="auto" w:fill="FFFFFF"/>
          </w:tcPr>
          <w:p w14:paraId="262F660B" w14:textId="77777777" w:rsidR="001F13E4" w:rsidRPr="00A163F9" w:rsidRDefault="001F13E4" w:rsidP="007E5729">
            <w:pPr>
              <w:pStyle w:val="CETBodytext"/>
              <w:jc w:val="center"/>
            </w:pPr>
          </w:p>
        </w:tc>
        <w:tc>
          <w:tcPr>
            <w:tcW w:w="1104" w:type="dxa"/>
            <w:shd w:val="clear" w:color="auto" w:fill="FFFFFF"/>
          </w:tcPr>
          <w:p w14:paraId="4F652EE1" w14:textId="77777777" w:rsidR="001F13E4" w:rsidRPr="00A163F9" w:rsidRDefault="001F13E4" w:rsidP="00201EF2">
            <w:pPr>
              <w:pStyle w:val="CETBodytext"/>
              <w:ind w:right="-1"/>
              <w:jc w:val="center"/>
            </w:pPr>
          </w:p>
        </w:tc>
        <w:tc>
          <w:tcPr>
            <w:tcW w:w="1117" w:type="dxa"/>
            <w:shd w:val="clear" w:color="auto" w:fill="FFFFFF"/>
          </w:tcPr>
          <w:p w14:paraId="77C45EF4" w14:textId="77777777" w:rsidR="001F13E4" w:rsidRPr="00A163F9" w:rsidRDefault="001F13E4" w:rsidP="00201EF2">
            <w:pPr>
              <w:pStyle w:val="CETBodytext"/>
              <w:ind w:right="-1"/>
              <w:jc w:val="center"/>
            </w:pPr>
          </w:p>
        </w:tc>
        <w:tc>
          <w:tcPr>
            <w:tcW w:w="1075" w:type="dxa"/>
            <w:shd w:val="clear" w:color="auto" w:fill="FFFFFF"/>
          </w:tcPr>
          <w:p w14:paraId="437BA217" w14:textId="77777777" w:rsidR="001F13E4" w:rsidRPr="00A163F9" w:rsidRDefault="001F13E4" w:rsidP="00201EF2">
            <w:pPr>
              <w:pStyle w:val="CETBodytext"/>
              <w:ind w:right="-1"/>
              <w:jc w:val="center"/>
            </w:pPr>
          </w:p>
        </w:tc>
        <w:tc>
          <w:tcPr>
            <w:tcW w:w="1075" w:type="dxa"/>
            <w:shd w:val="clear" w:color="auto" w:fill="FFFFFF"/>
          </w:tcPr>
          <w:p w14:paraId="7906121C" w14:textId="77777777" w:rsidR="001F13E4" w:rsidRPr="00A163F9" w:rsidRDefault="001F13E4" w:rsidP="00201EF2">
            <w:pPr>
              <w:pStyle w:val="CETBodytext"/>
              <w:ind w:right="-1"/>
              <w:jc w:val="center"/>
            </w:pPr>
          </w:p>
        </w:tc>
      </w:tr>
      <w:tr w:rsidR="001F13E4" w:rsidRPr="00A163F9" w14:paraId="154DC573" w14:textId="31DF9910" w:rsidTr="00C842CE">
        <w:tc>
          <w:tcPr>
            <w:tcW w:w="827" w:type="dxa"/>
            <w:vMerge w:val="restart"/>
            <w:shd w:val="clear" w:color="auto" w:fill="FFFFFF"/>
          </w:tcPr>
          <w:p w14:paraId="5357C945" w14:textId="08786F43" w:rsidR="001F13E4" w:rsidRPr="00A163F9" w:rsidRDefault="001F13E4" w:rsidP="00201EF2">
            <w:pPr>
              <w:pStyle w:val="CETBodytext"/>
            </w:pPr>
            <w:r w:rsidRPr="00A163F9">
              <w:t>2022</w:t>
            </w:r>
          </w:p>
        </w:tc>
        <w:tc>
          <w:tcPr>
            <w:tcW w:w="1374" w:type="dxa"/>
            <w:shd w:val="clear" w:color="auto" w:fill="FFFFFF"/>
          </w:tcPr>
          <w:p w14:paraId="69D137C7" w14:textId="609394F3" w:rsidR="001F13E4" w:rsidRPr="00A163F9" w:rsidRDefault="001F13E4" w:rsidP="007E5729">
            <w:pPr>
              <w:pStyle w:val="CETBodytext"/>
              <w:jc w:val="center"/>
            </w:pPr>
            <w:r w:rsidRPr="00A163F9">
              <w:t>0.5</w:t>
            </w:r>
          </w:p>
        </w:tc>
        <w:tc>
          <w:tcPr>
            <w:tcW w:w="1104" w:type="dxa"/>
            <w:shd w:val="clear" w:color="auto" w:fill="FFFFFF"/>
          </w:tcPr>
          <w:p w14:paraId="7A0C5E33" w14:textId="1F0FA6FF" w:rsidR="001F13E4" w:rsidRPr="00A163F9" w:rsidRDefault="001F13E4" w:rsidP="00201EF2">
            <w:pPr>
              <w:pStyle w:val="CETBodytext"/>
              <w:ind w:right="-1"/>
              <w:jc w:val="center"/>
              <w:rPr>
                <w:rFonts w:cs="Arial"/>
                <w:szCs w:val="18"/>
              </w:rPr>
            </w:pPr>
            <w:r w:rsidRPr="00A163F9">
              <w:t>52.3</w:t>
            </w:r>
          </w:p>
        </w:tc>
        <w:tc>
          <w:tcPr>
            <w:tcW w:w="1117" w:type="dxa"/>
            <w:shd w:val="clear" w:color="auto" w:fill="FFFFFF"/>
          </w:tcPr>
          <w:p w14:paraId="4786B154" w14:textId="568DDD6C" w:rsidR="001F13E4" w:rsidRPr="00A163F9" w:rsidRDefault="001F13E4" w:rsidP="00201EF2">
            <w:pPr>
              <w:pStyle w:val="CETBodytext"/>
              <w:ind w:right="-1"/>
              <w:jc w:val="center"/>
              <w:rPr>
                <w:rFonts w:cs="Arial"/>
                <w:szCs w:val="18"/>
              </w:rPr>
            </w:pPr>
            <w:r w:rsidRPr="00A163F9">
              <w:t>49.9</w:t>
            </w:r>
          </w:p>
        </w:tc>
        <w:tc>
          <w:tcPr>
            <w:tcW w:w="1075" w:type="dxa"/>
            <w:shd w:val="clear" w:color="auto" w:fill="FFFFFF"/>
          </w:tcPr>
          <w:p w14:paraId="5839141F" w14:textId="589193AB" w:rsidR="001F13E4" w:rsidRPr="00A163F9" w:rsidRDefault="001F13E4" w:rsidP="00201EF2">
            <w:pPr>
              <w:pStyle w:val="CETBodytext"/>
              <w:ind w:right="-1"/>
              <w:jc w:val="center"/>
            </w:pPr>
            <w:r w:rsidRPr="00A163F9">
              <w:t>5.4</w:t>
            </w:r>
          </w:p>
        </w:tc>
        <w:tc>
          <w:tcPr>
            <w:tcW w:w="1075" w:type="dxa"/>
            <w:shd w:val="clear" w:color="auto" w:fill="FFFFFF"/>
          </w:tcPr>
          <w:p w14:paraId="69FFDB18" w14:textId="6050DF64" w:rsidR="001F13E4" w:rsidRPr="00A163F9" w:rsidRDefault="001F13E4" w:rsidP="00201EF2">
            <w:pPr>
              <w:pStyle w:val="CETBodytext"/>
              <w:ind w:right="-1"/>
              <w:jc w:val="center"/>
            </w:pPr>
            <w:r w:rsidRPr="00A163F9">
              <w:t>5.8</w:t>
            </w:r>
          </w:p>
        </w:tc>
      </w:tr>
      <w:tr w:rsidR="001F13E4" w:rsidRPr="00A163F9" w14:paraId="6213DFF0" w14:textId="7B96CC4C" w:rsidTr="00C842CE">
        <w:tc>
          <w:tcPr>
            <w:tcW w:w="827" w:type="dxa"/>
            <w:vMerge/>
            <w:shd w:val="clear" w:color="auto" w:fill="FFFFFF"/>
          </w:tcPr>
          <w:p w14:paraId="3139E3E1" w14:textId="77777777" w:rsidR="001F13E4" w:rsidRPr="00A163F9" w:rsidRDefault="001F13E4" w:rsidP="00201EF2">
            <w:pPr>
              <w:pStyle w:val="CETBodytext"/>
            </w:pPr>
          </w:p>
        </w:tc>
        <w:tc>
          <w:tcPr>
            <w:tcW w:w="1374" w:type="dxa"/>
            <w:shd w:val="clear" w:color="auto" w:fill="FFFFFF"/>
          </w:tcPr>
          <w:p w14:paraId="14E7EB22" w14:textId="05554D72" w:rsidR="001F13E4" w:rsidRPr="00A163F9" w:rsidRDefault="001F13E4" w:rsidP="007E5729">
            <w:pPr>
              <w:pStyle w:val="CETBodytext"/>
              <w:jc w:val="center"/>
            </w:pPr>
            <w:r w:rsidRPr="00A163F9">
              <w:t>2</w:t>
            </w:r>
          </w:p>
        </w:tc>
        <w:tc>
          <w:tcPr>
            <w:tcW w:w="1104" w:type="dxa"/>
            <w:shd w:val="clear" w:color="auto" w:fill="FFFFFF"/>
          </w:tcPr>
          <w:p w14:paraId="773DE6CD" w14:textId="71B95E48" w:rsidR="001F13E4" w:rsidRPr="00A163F9" w:rsidRDefault="001F13E4" w:rsidP="00201EF2">
            <w:pPr>
              <w:pStyle w:val="CETBodytext"/>
              <w:ind w:right="-1"/>
              <w:jc w:val="center"/>
              <w:rPr>
                <w:rFonts w:cs="Arial"/>
                <w:szCs w:val="18"/>
              </w:rPr>
            </w:pPr>
            <w:r w:rsidRPr="00A163F9">
              <w:t>52.8</w:t>
            </w:r>
          </w:p>
        </w:tc>
        <w:tc>
          <w:tcPr>
            <w:tcW w:w="1117" w:type="dxa"/>
            <w:shd w:val="clear" w:color="auto" w:fill="FFFFFF"/>
          </w:tcPr>
          <w:p w14:paraId="1CCC3B83" w14:textId="3FF6DED4" w:rsidR="001F13E4" w:rsidRPr="00A163F9" w:rsidRDefault="001F13E4" w:rsidP="00201EF2">
            <w:pPr>
              <w:pStyle w:val="CETBodytext"/>
              <w:ind w:right="-1"/>
              <w:jc w:val="center"/>
              <w:rPr>
                <w:rFonts w:cs="Arial"/>
                <w:szCs w:val="18"/>
              </w:rPr>
            </w:pPr>
            <w:r w:rsidRPr="00A163F9">
              <w:t>48.3</w:t>
            </w:r>
          </w:p>
        </w:tc>
        <w:tc>
          <w:tcPr>
            <w:tcW w:w="1075" w:type="dxa"/>
            <w:shd w:val="clear" w:color="auto" w:fill="FFFFFF"/>
          </w:tcPr>
          <w:p w14:paraId="595098AC" w14:textId="33B17857" w:rsidR="001F13E4" w:rsidRPr="00A163F9" w:rsidRDefault="001F13E4" w:rsidP="00201EF2">
            <w:pPr>
              <w:pStyle w:val="CETBodytext"/>
              <w:ind w:right="-1"/>
              <w:jc w:val="center"/>
            </w:pPr>
            <w:r w:rsidRPr="00A163F9">
              <w:t>5.2</w:t>
            </w:r>
          </w:p>
        </w:tc>
        <w:tc>
          <w:tcPr>
            <w:tcW w:w="1075" w:type="dxa"/>
            <w:shd w:val="clear" w:color="auto" w:fill="FFFFFF"/>
          </w:tcPr>
          <w:p w14:paraId="632875C5" w14:textId="6C3B37B5" w:rsidR="001F13E4" w:rsidRPr="00A163F9" w:rsidRDefault="001F13E4" w:rsidP="00201EF2">
            <w:pPr>
              <w:pStyle w:val="CETBodytext"/>
              <w:ind w:right="-1"/>
              <w:jc w:val="center"/>
            </w:pPr>
            <w:r w:rsidRPr="00A163F9">
              <w:t>8.5</w:t>
            </w:r>
          </w:p>
        </w:tc>
      </w:tr>
      <w:tr w:rsidR="001F13E4" w:rsidRPr="00A163F9" w14:paraId="7A95C5E2" w14:textId="3696A962" w:rsidTr="00C842CE">
        <w:tc>
          <w:tcPr>
            <w:tcW w:w="827" w:type="dxa"/>
            <w:vMerge/>
            <w:shd w:val="clear" w:color="auto" w:fill="FFFFFF"/>
          </w:tcPr>
          <w:p w14:paraId="79A41751" w14:textId="77777777" w:rsidR="001F13E4" w:rsidRPr="00A163F9" w:rsidRDefault="001F13E4" w:rsidP="00201EF2">
            <w:pPr>
              <w:pStyle w:val="CETBodytext"/>
            </w:pPr>
          </w:p>
        </w:tc>
        <w:tc>
          <w:tcPr>
            <w:tcW w:w="1374" w:type="dxa"/>
            <w:shd w:val="clear" w:color="auto" w:fill="FFFFFF"/>
          </w:tcPr>
          <w:p w14:paraId="271F7557" w14:textId="7D215DE5" w:rsidR="001F13E4" w:rsidRPr="00A163F9" w:rsidRDefault="001F13E4" w:rsidP="007E5729">
            <w:pPr>
              <w:pStyle w:val="CETBodytext"/>
              <w:jc w:val="center"/>
            </w:pPr>
            <w:r w:rsidRPr="00A163F9">
              <w:t>4</w:t>
            </w:r>
          </w:p>
        </w:tc>
        <w:tc>
          <w:tcPr>
            <w:tcW w:w="1104" w:type="dxa"/>
            <w:shd w:val="clear" w:color="auto" w:fill="FFFFFF"/>
          </w:tcPr>
          <w:p w14:paraId="74BB0DA4" w14:textId="4DD1B345" w:rsidR="001F13E4" w:rsidRPr="00A163F9" w:rsidRDefault="001F13E4" w:rsidP="00201EF2">
            <w:pPr>
              <w:pStyle w:val="CETBodytext"/>
              <w:ind w:right="-1"/>
              <w:jc w:val="center"/>
              <w:rPr>
                <w:rFonts w:cs="Arial"/>
                <w:szCs w:val="18"/>
              </w:rPr>
            </w:pPr>
            <w:r w:rsidRPr="00A163F9">
              <w:t>50.5</w:t>
            </w:r>
          </w:p>
        </w:tc>
        <w:tc>
          <w:tcPr>
            <w:tcW w:w="1117" w:type="dxa"/>
            <w:shd w:val="clear" w:color="auto" w:fill="FFFFFF"/>
          </w:tcPr>
          <w:p w14:paraId="47073555" w14:textId="5B4C33AB" w:rsidR="001F13E4" w:rsidRPr="00A163F9" w:rsidRDefault="001F13E4" w:rsidP="00201EF2">
            <w:pPr>
              <w:pStyle w:val="CETBodytext"/>
              <w:ind w:right="-1"/>
              <w:jc w:val="center"/>
              <w:rPr>
                <w:rFonts w:cs="Arial"/>
                <w:szCs w:val="18"/>
              </w:rPr>
            </w:pPr>
            <w:r w:rsidRPr="00A163F9">
              <w:t>50.3</w:t>
            </w:r>
          </w:p>
        </w:tc>
        <w:tc>
          <w:tcPr>
            <w:tcW w:w="1075" w:type="dxa"/>
            <w:shd w:val="clear" w:color="auto" w:fill="FFFFFF"/>
          </w:tcPr>
          <w:p w14:paraId="43A21976" w14:textId="2D040A57" w:rsidR="001F13E4" w:rsidRPr="00A163F9" w:rsidRDefault="001F13E4" w:rsidP="00201EF2">
            <w:pPr>
              <w:pStyle w:val="CETBodytext"/>
              <w:ind w:right="-1"/>
              <w:jc w:val="center"/>
            </w:pPr>
            <w:r w:rsidRPr="00A163F9">
              <w:t>5.9</w:t>
            </w:r>
          </w:p>
        </w:tc>
        <w:tc>
          <w:tcPr>
            <w:tcW w:w="1075" w:type="dxa"/>
            <w:shd w:val="clear" w:color="auto" w:fill="FFFFFF"/>
          </w:tcPr>
          <w:p w14:paraId="4CECEC44" w14:textId="110AE306" w:rsidR="001F13E4" w:rsidRPr="00A163F9" w:rsidRDefault="001F13E4" w:rsidP="00201EF2">
            <w:pPr>
              <w:pStyle w:val="CETBodytext"/>
              <w:ind w:right="-1"/>
              <w:jc w:val="center"/>
            </w:pPr>
            <w:r w:rsidRPr="00A163F9">
              <w:t>6.1</w:t>
            </w:r>
          </w:p>
        </w:tc>
      </w:tr>
      <w:tr w:rsidR="001F13E4" w:rsidRPr="00A163F9" w14:paraId="6B4651B2" w14:textId="649415ED" w:rsidTr="00C842CE">
        <w:tc>
          <w:tcPr>
            <w:tcW w:w="827" w:type="dxa"/>
            <w:vMerge/>
            <w:shd w:val="clear" w:color="auto" w:fill="FFFFFF"/>
          </w:tcPr>
          <w:p w14:paraId="209E7D0D" w14:textId="77777777" w:rsidR="001F13E4" w:rsidRPr="00A163F9" w:rsidRDefault="001F13E4" w:rsidP="00201EF2">
            <w:pPr>
              <w:pStyle w:val="CETBodytext"/>
              <w:ind w:right="-1"/>
              <w:rPr>
                <w:rFonts w:cs="Arial"/>
                <w:szCs w:val="18"/>
              </w:rPr>
            </w:pPr>
          </w:p>
        </w:tc>
        <w:tc>
          <w:tcPr>
            <w:tcW w:w="1374" w:type="dxa"/>
            <w:shd w:val="clear" w:color="auto" w:fill="FFFFFF"/>
          </w:tcPr>
          <w:p w14:paraId="7B3012CB" w14:textId="431C7E3C" w:rsidR="001F13E4" w:rsidRPr="00A163F9" w:rsidRDefault="001F13E4" w:rsidP="007E5729">
            <w:pPr>
              <w:pStyle w:val="CETBodytext"/>
              <w:ind w:right="-1"/>
              <w:jc w:val="center"/>
              <w:rPr>
                <w:rFonts w:cs="Arial"/>
                <w:szCs w:val="18"/>
              </w:rPr>
            </w:pPr>
            <w:r w:rsidRPr="00A163F9">
              <w:t>6</w:t>
            </w:r>
          </w:p>
        </w:tc>
        <w:tc>
          <w:tcPr>
            <w:tcW w:w="1104" w:type="dxa"/>
            <w:shd w:val="clear" w:color="auto" w:fill="FFFFFF"/>
          </w:tcPr>
          <w:p w14:paraId="535B2925" w14:textId="64E60B5C" w:rsidR="001F13E4" w:rsidRPr="00A163F9" w:rsidRDefault="001F13E4" w:rsidP="00201EF2">
            <w:pPr>
              <w:pStyle w:val="CETBodytext"/>
              <w:ind w:right="-1"/>
              <w:jc w:val="center"/>
              <w:rPr>
                <w:rFonts w:cs="Arial"/>
                <w:szCs w:val="18"/>
              </w:rPr>
            </w:pPr>
            <w:r w:rsidRPr="00A163F9">
              <w:t>47.9</w:t>
            </w:r>
          </w:p>
        </w:tc>
        <w:tc>
          <w:tcPr>
            <w:tcW w:w="1117" w:type="dxa"/>
            <w:shd w:val="clear" w:color="auto" w:fill="FFFFFF"/>
          </w:tcPr>
          <w:p w14:paraId="682F561F" w14:textId="2F936965" w:rsidR="001F13E4" w:rsidRPr="00A163F9" w:rsidRDefault="001F13E4" w:rsidP="00201EF2">
            <w:pPr>
              <w:pStyle w:val="CETBodytext"/>
              <w:ind w:right="-1"/>
              <w:jc w:val="center"/>
              <w:rPr>
                <w:rFonts w:cs="Arial"/>
                <w:szCs w:val="18"/>
              </w:rPr>
            </w:pPr>
            <w:r w:rsidRPr="00A163F9">
              <w:t>49.5</w:t>
            </w:r>
          </w:p>
        </w:tc>
        <w:tc>
          <w:tcPr>
            <w:tcW w:w="1075" w:type="dxa"/>
            <w:shd w:val="clear" w:color="auto" w:fill="FFFFFF"/>
          </w:tcPr>
          <w:p w14:paraId="370A8461" w14:textId="218BD4DE" w:rsidR="001F13E4" w:rsidRPr="00A163F9" w:rsidRDefault="001F13E4" w:rsidP="00201EF2">
            <w:pPr>
              <w:pStyle w:val="CETBodytext"/>
              <w:ind w:right="-1"/>
              <w:jc w:val="center"/>
            </w:pPr>
            <w:r w:rsidRPr="00A163F9">
              <w:t>6.3</w:t>
            </w:r>
          </w:p>
        </w:tc>
        <w:tc>
          <w:tcPr>
            <w:tcW w:w="1075" w:type="dxa"/>
            <w:shd w:val="clear" w:color="auto" w:fill="FFFFFF"/>
          </w:tcPr>
          <w:p w14:paraId="201A0A41" w14:textId="0BAB8BC2" w:rsidR="001F13E4" w:rsidRPr="00A163F9" w:rsidRDefault="001F13E4" w:rsidP="00201EF2">
            <w:pPr>
              <w:pStyle w:val="CETBodytext"/>
              <w:ind w:right="-1"/>
              <w:jc w:val="center"/>
            </w:pPr>
            <w:r w:rsidRPr="00A163F9">
              <w:t>6.4</w:t>
            </w:r>
          </w:p>
        </w:tc>
      </w:tr>
    </w:tbl>
    <w:p w14:paraId="608EA521" w14:textId="77777777" w:rsidR="00A10542" w:rsidRPr="00A163F9" w:rsidRDefault="00A10542" w:rsidP="00717B20">
      <w:pPr>
        <w:pStyle w:val="CETBodytext"/>
      </w:pPr>
    </w:p>
    <w:p w14:paraId="3EC92987" w14:textId="06241389" w:rsidR="00EF367B" w:rsidRPr="00A163F9" w:rsidRDefault="00EF367B" w:rsidP="00717B20">
      <w:pPr>
        <w:pStyle w:val="CETBodytext"/>
      </w:pPr>
      <w:r w:rsidRPr="00A163F9">
        <w:t xml:space="preserve">In the context of the in-field cutting scenario, </w:t>
      </w:r>
      <w:r w:rsidR="002A5AC1" w:rsidRPr="00A163F9">
        <w:t>the CP</w:t>
      </w:r>
      <w:r w:rsidRPr="00A163F9">
        <w:t xml:space="preserve"> concentration</w:t>
      </w:r>
      <w:r w:rsidR="00FA2C75" w:rsidRPr="00A163F9">
        <w:t xml:space="preserve"> in LPC declines in both experiments (2021 and 2022) after 6 h</w:t>
      </w:r>
      <w:r w:rsidR="00D73BA4" w:rsidRPr="00A163F9">
        <w:t>,</w:t>
      </w:r>
      <w:r w:rsidRPr="00A163F9">
        <w:t xml:space="preserve"> </w:t>
      </w:r>
      <w:r w:rsidR="00D73BA4" w:rsidRPr="00A163F9">
        <w:t>with the 2022 experiment exhibiting a more pronounced reduction evident as early as 4 h</w:t>
      </w:r>
      <w:r w:rsidR="00FA2C75" w:rsidRPr="00A163F9">
        <w:t>. For the stationary cutting at the biorefinery</w:t>
      </w:r>
      <w:r w:rsidR="00776153" w:rsidRPr="00A163F9">
        <w:t>,</w:t>
      </w:r>
      <w:r w:rsidR="00FA2C75" w:rsidRPr="00A163F9">
        <w:t xml:space="preserve"> the CP concentration does not seem to decline in any of the experiments</w:t>
      </w:r>
      <w:r w:rsidRPr="00A163F9">
        <w:t>. The decrease in CP concentration</w:t>
      </w:r>
      <w:r w:rsidR="00FA2C75" w:rsidRPr="00A163F9">
        <w:t xml:space="preserve"> for the in-field harvesting</w:t>
      </w:r>
      <w:r w:rsidRPr="00A163F9">
        <w:t xml:space="preserve"> can be attributed to the biomass being cut to a shorter length </w:t>
      </w:r>
      <w:r w:rsidR="002A5AC1" w:rsidRPr="00A163F9">
        <w:t>in</w:t>
      </w:r>
      <w:r w:rsidRPr="00A163F9">
        <w:t xml:space="preserve"> this scenario</w:t>
      </w:r>
      <w:r w:rsidR="00FA2C75" w:rsidRPr="00A163F9">
        <w:t xml:space="preserve"> as well as the fact that the cutting takes place before the time intervals</w:t>
      </w:r>
      <w:r w:rsidRPr="00A163F9">
        <w:t xml:space="preserve">. </w:t>
      </w:r>
      <w:r w:rsidRPr="00A163F9">
        <w:lastRenderedPageBreak/>
        <w:t>With an extended</w:t>
      </w:r>
      <w:r w:rsidR="0057187C" w:rsidRPr="00A163F9">
        <w:t xml:space="preserve"> post-harvest</w:t>
      </w:r>
      <w:r w:rsidRPr="00A163F9">
        <w:t xml:space="preserve"> </w:t>
      </w:r>
      <w:r w:rsidR="00FA2C75" w:rsidRPr="00A163F9">
        <w:t xml:space="preserve">time before </w:t>
      </w:r>
      <w:r w:rsidRPr="00A163F9">
        <w:t>process</w:t>
      </w:r>
      <w:r w:rsidR="00FA2C75" w:rsidRPr="00A163F9">
        <w:t>ing</w:t>
      </w:r>
      <w:r w:rsidRPr="00A163F9">
        <w:t>, the likelihood of protein degradation increases</w:t>
      </w:r>
      <w:r w:rsidR="007329CC" w:rsidRPr="00A163F9">
        <w:t xml:space="preserve"> when the </w:t>
      </w:r>
      <w:r w:rsidR="00FA2C75" w:rsidRPr="00A163F9">
        <w:t>biomass is disrupted</w:t>
      </w:r>
      <w:r w:rsidR="007329CC" w:rsidRPr="00A163F9">
        <w:t xml:space="preserve"> </w:t>
      </w:r>
      <w:r w:rsidR="00FA2C75" w:rsidRPr="00A163F9">
        <w:t>to a larger extent</w:t>
      </w:r>
      <w:r w:rsidRPr="00A163F9">
        <w:t>, leading to a reduction in its content within the LPC fraction. This aligns with the observed trend in ash concentration, which, overall, demonstrates an increase after a prolonged period</w:t>
      </w:r>
      <w:r w:rsidR="00D4721D" w:rsidRPr="00A163F9">
        <w:t xml:space="preserve"> between harvest and process</w:t>
      </w:r>
      <w:r w:rsidRPr="00A163F9">
        <w:t>.</w:t>
      </w:r>
    </w:p>
    <w:p w14:paraId="468B22DF" w14:textId="24AE6699" w:rsidR="00EF367B" w:rsidRPr="00A163F9" w:rsidRDefault="00B90314" w:rsidP="00717B20">
      <w:pPr>
        <w:pStyle w:val="CETBodytext"/>
      </w:pPr>
      <w:r w:rsidRPr="00A163F9">
        <w:t>Overall, t</w:t>
      </w:r>
      <w:r w:rsidR="008E0BD2" w:rsidRPr="00A163F9">
        <w:t xml:space="preserve">he </w:t>
      </w:r>
      <w:r w:rsidRPr="00A163F9">
        <w:t xml:space="preserve">CP concentration </w:t>
      </w:r>
      <w:r w:rsidR="00603BED" w:rsidRPr="00A163F9">
        <w:t xml:space="preserve">was higher in the LPC fractions </w:t>
      </w:r>
      <w:r w:rsidR="003A0B56" w:rsidRPr="00A163F9">
        <w:t>in</w:t>
      </w:r>
      <w:r w:rsidR="00603BED" w:rsidRPr="00A163F9">
        <w:t xml:space="preserve"> 2021 than </w:t>
      </w:r>
      <w:r w:rsidR="003A0B56" w:rsidRPr="00A163F9">
        <w:t xml:space="preserve">in </w:t>
      </w:r>
      <w:r w:rsidR="00603BED" w:rsidRPr="00A163F9">
        <w:t xml:space="preserve">2022. </w:t>
      </w:r>
      <w:r w:rsidR="00323F00" w:rsidRPr="00A163F9">
        <w:t xml:space="preserve">This difference </w:t>
      </w:r>
      <w:r w:rsidR="005828FA" w:rsidRPr="00A163F9">
        <w:t xml:space="preserve">is </w:t>
      </w:r>
      <w:r w:rsidR="00323F00" w:rsidRPr="00A163F9">
        <w:t xml:space="preserve">attributed to the composition of the </w:t>
      </w:r>
      <w:r w:rsidR="00FA2C75" w:rsidRPr="00A163F9">
        <w:t>biomass</w:t>
      </w:r>
      <w:r w:rsidR="00323F00" w:rsidRPr="00A163F9">
        <w:t xml:space="preserve"> utilized in 2021, which featured a higher clover content than the mixture used in 2022</w:t>
      </w:r>
      <w:r w:rsidR="00910132" w:rsidRPr="00A163F9">
        <w:t>. This</w:t>
      </w:r>
      <w:r w:rsidR="00FA2C75" w:rsidRPr="00A163F9">
        <w:t xml:space="preserve"> could be seen in the seed mixtures </w:t>
      </w:r>
      <w:r w:rsidR="00926EC5" w:rsidRPr="00A163F9">
        <w:t>with 18 % clover content in 2021 versus 10 % in 2022</w:t>
      </w:r>
      <w:r w:rsidR="00323F00" w:rsidRPr="00A163F9">
        <w:t>. Both white and red clover</w:t>
      </w:r>
      <w:r w:rsidR="0023624E" w:rsidRPr="00A163F9">
        <w:t xml:space="preserve"> have a higher leaf-to-stem ratio</w:t>
      </w:r>
      <w:r w:rsidR="009C2356" w:rsidRPr="00A163F9">
        <w:t xml:space="preserve"> than grass forage biomasses, and therefore,</w:t>
      </w:r>
      <w:r w:rsidR="00323F00" w:rsidRPr="00A163F9">
        <w:t xml:space="preserve"> are acknowledged for their </w:t>
      </w:r>
      <w:r w:rsidR="00F301C3" w:rsidRPr="00A163F9">
        <w:t xml:space="preserve">more </w:t>
      </w:r>
      <w:r w:rsidR="00323F00" w:rsidRPr="00A163F9">
        <w:t xml:space="preserve">elevated </w:t>
      </w:r>
      <w:r w:rsidR="00A573BE" w:rsidRPr="00A163F9">
        <w:t>CP</w:t>
      </w:r>
      <w:r w:rsidR="00323F00" w:rsidRPr="00A163F9">
        <w:t xml:space="preserve"> concentrations, thus explaining the observed variation in CP levels between the two years</w:t>
      </w:r>
      <w:r w:rsidR="00F301C3" w:rsidRPr="00A163F9">
        <w:t xml:space="preserve"> </w:t>
      </w:r>
      <w:r w:rsidR="003A7CEB" w:rsidRPr="00A163F9">
        <w:fldChar w:fldCharType="begin"/>
      </w:r>
      <w:r w:rsidR="003A7CEB" w:rsidRPr="00A163F9">
        <w:instrText xml:space="preserve"> ADDIN ZOTERO_ITEM CSL_CITATION {"citationID":"pFqrG26d","properties":{"formattedCitation":"(Gaffey et al., 2023; St\\uc0\\u248{}dkilde et al., 2021b)","plainCitation":"(Gaffey et al., 2023; Stødkilde et al., 2021b)","noteIndex":0},"citationItems":[{"id":1866,"uris":["http://zotero.org/users/11878636/items/GKWSL442"],"itemData":{"id":1866,"type":"article-journal","abstract":"Grasses, legumes and green plant wastes represent a ubiquitous feedstock for developing a bioeconomy in regions across Europe. These feedstocks are often an important source of ruminant feed, although much remains unused or underutilised. In addition to proteins, these materials are rich in fibres, sugars, minerals and other components that could also be used as inputs for bio-based product development. Green Biorefinery processes and initiatives are being developed to better capitalise on the potential of these feedstocks to produce sustainable food, feed, materials and energy in an integrated way. Such systems may support a more sustainable primary production sector, enable the valorisation of green waste streams, and provide new business models for farmers. This review presents the current developments in Green Biorefining, focusing on a broad feedstock and product base to include different models of Green Biorefinery. It demonstrates the potential and wide applicability of Green Biorefinery systems, the range of bio-based product opportunities and highlights the way forward for their broader implementation. While the potential for new products is extensive, quality control approval will be required prior to market entry.","container-title":"Biotechnology Advances","DOI":"10.1016/j.biotechadv.2023.108168","ISSN":"0734-9750","journalAbbreviation":"Biotechnology Advances","language":"en","page":"108168","source":"ScienceDirect","title":"Green Biorefinery systems for the production of climate-smart sustainable products from grasses, legumes and green crop residues","volume":"66","author":[{"family":"Gaffey","given":"James"},{"family":"Rajauria","given":"Gaurav"},{"family":"McMahon","given":"Helena"},{"family":"Ravindran","given":"Rajeev"},{"family":"Dominguez","given":"Carmen"},{"family":"Ambye-Jensen","given":"Morten"},{"family":"Souza","given":"Macella F."},{"family":"Meers","given":"Erik"},{"family":"Aragonés","given":"Marta Macias"},{"family":"Skunca","given":"Dubravka"},{"family":"Sanders","given":"Johan P. M."}],"issued":{"date-parts":[["2023",9,1]]}}},{"id":1883,"uris":["http://zotero.org/users/11878636/items/K8IL84VW"],"itemData":{"id":1883,"type":"article-journal","abstract":"Biorefining is a promising method for sustainable feed production through conversion of biomass into a protein concentrate for monogastrics and fibrous pulp for ruminants. Nitrogen (N) content and recovery in pulp and protein concentrate from lucerne, red clover, white clover, perennial ryegrass and tall fescue harvested at different spring cut harvest times were analysed to assess the effect of plant species, developmental stage and number of screw press processing. Plant species and spring cut harvest time affected N content of pulps and protein concentrates (P &lt; 0.01). The N contents of the legume pulps and protein concentrates (22.0–43.2 g/kg dry matter (DM) and 52.1–68.9 g/kg DM, respectively) were higher than corresponding values of the grasses (16.4–31.2 and 38.1–58.9 g/kg DM, respectively) and lowest in late harvested pulps (16.4–29.2 g/kg DM). The proportion of N retained in pulp increased with spring cut harvest time (P &lt; 0.01) and was higher in grasses compared to legumes (544.5–715.1 and 334.0–565.2 g/kg plant N, respectively). Plant species and spring cut harvest time affected N recovery in protein concentrate (P &lt; 0.01) and correlated positively with the plant N content (P &lt; 0.01) and negatively with the plant DM (P &lt; 0.01). The legumes had a higher recovery than grasses (160.2–556.2 g/kg plant N and 160.2–335.6 g/kg plant N, respectively). Regardless of plant species, late spring cut harvests reduced the total N extractability, i.e. recovery after application of a two-step extraction procedure, to 342.8–490.9 g/kg plant N (P &lt; 0.01). The largest proportion of N was extracted from the three legumes (458.4–653.8 g/kg plant N), with the lowest extractability in the late spring cut harvest. The N content and recovery in fractions produced in the biorefining process were dynamic variables influenced by plant species, spring cut harvest time and number of screw press processings. More N was retained in the pulp from late cut grasses whereas the N recovery in protein concentrate was highest in early and intermediate cuts from legumes. The dynamics of N distribution between pulp and protein concentrate highlight the importance of considering input plant species, time of harvest and processing technique in order to enhance recovery and secure efficient utilisation of the biomass as feed for monogastrics and ruminants.","container-title":"Animal Feed Science and Technology","DOI":"10.1016/j.anifeedsci.2021.115016","ISSN":"0377-8401","journalAbbreviation":"Animal Feed Science and Technology","language":"en","page":"115016","source":"ScienceDirect","title":"Enhancing protein recovery in green biorefineries through selection of plant species and time of harvest","volume":"278","author":[{"family":"Stødkilde","given":"Lene"},{"family":"Lashkari","given":"Saman"},{"family":"Eriksen","given":"Jørgen"},{"family":"Jensen","given":"Søren Krogh"}],"issued":{"date-parts":[["2021",8,1]]}}}],"schema":"https://github.com/citation-style-language/schema/raw/master/csl-citation.json"} </w:instrText>
      </w:r>
      <w:r w:rsidR="003A7CEB" w:rsidRPr="00A163F9">
        <w:fldChar w:fldCharType="separate"/>
      </w:r>
      <w:r w:rsidR="003A7CEB" w:rsidRPr="00A163F9">
        <w:rPr>
          <w:rFonts w:cs="Arial"/>
        </w:rPr>
        <w:t>(Gaffey et al., 2023; Stødkilde et al., 2021b)</w:t>
      </w:r>
      <w:r w:rsidR="003A7CEB" w:rsidRPr="00A163F9">
        <w:fldChar w:fldCharType="end"/>
      </w:r>
      <w:r w:rsidR="00323F00" w:rsidRPr="00A163F9">
        <w:t>.</w:t>
      </w:r>
    </w:p>
    <w:p w14:paraId="4F56B424" w14:textId="77777777" w:rsidR="008701AD" w:rsidRPr="00A163F9" w:rsidRDefault="00FB379F" w:rsidP="00FB379F">
      <w:pPr>
        <w:pStyle w:val="CETBodytext"/>
      </w:pPr>
      <w:r w:rsidRPr="00A163F9">
        <w:t xml:space="preserve">Figure 2 illustrates the DM and CP yields within the </w:t>
      </w:r>
      <w:r w:rsidR="00412F30" w:rsidRPr="00A163F9">
        <w:t>LPC</w:t>
      </w:r>
      <w:r w:rsidRPr="00A163F9">
        <w:t xml:space="preserve"> fraction for the 2021 and 2022 seasons. The yields are presented relative to the total DM and CP contents in the fresh biomass. </w:t>
      </w:r>
      <w:r w:rsidR="00A55836" w:rsidRPr="00A163F9">
        <w:t>I</w:t>
      </w:r>
      <w:r w:rsidRPr="00A163F9">
        <w:t xml:space="preserve">n both years, </w:t>
      </w:r>
      <w:r w:rsidR="00A55836" w:rsidRPr="00A163F9">
        <w:t>higher</w:t>
      </w:r>
      <w:r w:rsidRPr="00A163F9">
        <w:t xml:space="preserve"> DM and CP yields were </w:t>
      </w:r>
      <w:r w:rsidR="00A55836" w:rsidRPr="00A163F9">
        <w:t>achieved</w:t>
      </w:r>
      <w:r w:rsidRPr="00A163F9">
        <w:t xml:space="preserve"> when employing stationary cutting as opposed to in-field cutting. This observation suggests enhanced stability of protein and other solid components when the biomass remained uncut, in contrast to being cut in the field. </w:t>
      </w:r>
    </w:p>
    <w:p w14:paraId="4ABB27D3" w14:textId="79A09FE0" w:rsidR="00FB379F" w:rsidRPr="00A163F9" w:rsidRDefault="008701AD" w:rsidP="00FB379F">
      <w:pPr>
        <w:pStyle w:val="CETBodytext"/>
      </w:pPr>
      <w:r w:rsidRPr="00A163F9">
        <w:t>B</w:t>
      </w:r>
      <w:r w:rsidR="00FB379F" w:rsidRPr="00A163F9">
        <w:t xml:space="preserve">oth DM and CP yields </w:t>
      </w:r>
      <w:r w:rsidR="009466D8" w:rsidRPr="00A163F9">
        <w:t>tended</w:t>
      </w:r>
      <w:r w:rsidR="00FB379F" w:rsidRPr="00A163F9">
        <w:t xml:space="preserve"> to decrease with </w:t>
      </w:r>
      <w:r w:rsidR="00F55842" w:rsidRPr="00A163F9">
        <w:t xml:space="preserve">a </w:t>
      </w:r>
      <w:r w:rsidR="00FB379F" w:rsidRPr="00A163F9">
        <w:t>prolonged</w:t>
      </w:r>
      <w:r w:rsidR="00FA2C75" w:rsidRPr="00A163F9">
        <w:t xml:space="preserve"> </w:t>
      </w:r>
      <w:r w:rsidR="00FB379F" w:rsidRPr="00A163F9">
        <w:t xml:space="preserve">time before </w:t>
      </w:r>
      <w:r w:rsidR="00205EBD" w:rsidRPr="00A163F9">
        <w:t xml:space="preserve">starting the </w:t>
      </w:r>
      <w:r w:rsidR="00FB379F" w:rsidRPr="00A163F9">
        <w:t>process.</w:t>
      </w:r>
      <w:r w:rsidR="00205EBD" w:rsidRPr="00A163F9">
        <w:t xml:space="preserve"> </w:t>
      </w:r>
      <w:r w:rsidR="00FB379F" w:rsidRPr="00A163F9">
        <w:t xml:space="preserve">In the 2021 experiment, </w:t>
      </w:r>
      <w:r w:rsidR="00B35013" w:rsidRPr="00A163F9">
        <w:t>the</w:t>
      </w:r>
      <w:r w:rsidR="00FB379F" w:rsidRPr="00A163F9">
        <w:t xml:space="preserve"> DM yield </w:t>
      </w:r>
      <w:r w:rsidR="00B35013" w:rsidRPr="00A163F9">
        <w:t>reduced from 7.8 to 5.5 %</w:t>
      </w:r>
      <w:r w:rsidR="00CF56C0" w:rsidRPr="00A163F9">
        <w:t xml:space="preserve"> in the in-field scenario</w:t>
      </w:r>
      <w:r w:rsidR="00FB379F" w:rsidRPr="00A163F9">
        <w:t xml:space="preserve">, and </w:t>
      </w:r>
      <w:r w:rsidR="00B35013" w:rsidRPr="00A163F9">
        <w:t>from 8.1 to 6.7 %</w:t>
      </w:r>
      <w:r w:rsidR="00FB379F" w:rsidRPr="00A163F9">
        <w:t xml:space="preserve"> in the stationary scenario when the </w:t>
      </w:r>
      <w:r w:rsidR="00C51A77" w:rsidRPr="00A163F9">
        <w:t xml:space="preserve">biomass </w:t>
      </w:r>
      <w:r w:rsidR="00FB379F" w:rsidRPr="00A163F9">
        <w:t xml:space="preserve">standing time increased to 12 h. In the 2022 experiment, the </w:t>
      </w:r>
      <w:r w:rsidR="00CF56C0" w:rsidRPr="00A163F9">
        <w:t xml:space="preserve">DM yield </w:t>
      </w:r>
      <w:r w:rsidR="00FB379F" w:rsidRPr="00A163F9">
        <w:t>decrease</w:t>
      </w:r>
      <w:r w:rsidR="00CF56C0" w:rsidRPr="00A163F9">
        <w:t>d</w:t>
      </w:r>
      <w:r w:rsidR="00FB379F" w:rsidRPr="00A163F9">
        <w:t xml:space="preserve"> </w:t>
      </w:r>
      <w:r w:rsidR="00CF56C0" w:rsidRPr="00A163F9">
        <w:t>from 3.9</w:t>
      </w:r>
      <w:r w:rsidR="00FB379F" w:rsidRPr="00A163F9">
        <w:t xml:space="preserve"> to </w:t>
      </w:r>
      <w:r w:rsidR="00CF56C0" w:rsidRPr="00A163F9">
        <w:t>2.4</w:t>
      </w:r>
      <w:r w:rsidR="00A664A2" w:rsidRPr="00A163F9">
        <w:t xml:space="preserve"> </w:t>
      </w:r>
      <w:r w:rsidR="00FB379F" w:rsidRPr="00A163F9">
        <w:t xml:space="preserve">% in the in-field scenario and </w:t>
      </w:r>
      <w:r w:rsidR="00CF56C0" w:rsidRPr="00A163F9">
        <w:t>from 4.6 to 3.9</w:t>
      </w:r>
      <w:r w:rsidR="00A664A2" w:rsidRPr="00A163F9">
        <w:t xml:space="preserve"> </w:t>
      </w:r>
      <w:r w:rsidR="00FB379F" w:rsidRPr="00A163F9">
        <w:t>% in the stationary scenario when the time between harvest and processing was extended to 6 h.</w:t>
      </w:r>
      <w:r w:rsidR="00FB5AE6" w:rsidRPr="00A163F9">
        <w:t xml:space="preserve"> Regarding the CP, </w:t>
      </w:r>
      <w:r w:rsidR="00DE74CC" w:rsidRPr="00A163F9">
        <w:t>an unexp</w:t>
      </w:r>
      <w:r w:rsidR="001F4F23" w:rsidRPr="00A163F9">
        <w:t>ected</w:t>
      </w:r>
      <w:r w:rsidR="00FA2303" w:rsidRPr="00A163F9">
        <w:t xml:space="preserve"> </w:t>
      </w:r>
      <w:r w:rsidR="00D72896" w:rsidRPr="00A163F9">
        <w:t>rise in CP yield was noted with extended biomass standing time in the initial period, specifically under stationary cutting conditions in both experimental years.</w:t>
      </w:r>
      <w:r w:rsidR="008A3206" w:rsidRPr="00A163F9">
        <w:t xml:space="preserve"> When using in-field cutting, </w:t>
      </w:r>
      <w:r w:rsidR="00E30351" w:rsidRPr="00A163F9">
        <w:t xml:space="preserve">the CP yield decreased </w:t>
      </w:r>
      <w:r w:rsidR="00CF56C0" w:rsidRPr="00A163F9">
        <w:t>from 21.0 to 14.0</w:t>
      </w:r>
      <w:r w:rsidR="00652CAF" w:rsidRPr="00A163F9">
        <w:t xml:space="preserve"> % in 2021, and </w:t>
      </w:r>
      <w:r w:rsidR="00366887" w:rsidRPr="00A163F9">
        <w:t>from 9.2 to 5.5</w:t>
      </w:r>
      <w:r w:rsidR="00DA0E13" w:rsidRPr="00A163F9">
        <w:t xml:space="preserve"> % in 2022.</w:t>
      </w:r>
      <w:r w:rsidR="00E76838" w:rsidRPr="00A163F9">
        <w:t xml:space="preserve"> </w:t>
      </w:r>
      <w:r w:rsidR="008F4BEC">
        <w:t>The increase</w:t>
      </w:r>
      <w:r w:rsidR="00E76838" w:rsidRPr="00A163F9">
        <w:t xml:space="preserve"> in</w:t>
      </w:r>
      <w:r w:rsidR="00526A13" w:rsidRPr="00A163F9">
        <w:t xml:space="preserve"> the</w:t>
      </w:r>
      <w:r w:rsidR="00E76838" w:rsidRPr="00A163F9">
        <w:t xml:space="preserve"> CP yield under stationary cutting conditions is probably due to </w:t>
      </w:r>
      <w:r w:rsidR="00F96CBF" w:rsidRPr="00A163F9">
        <w:t xml:space="preserve">the </w:t>
      </w:r>
      <w:r w:rsidR="00E76838" w:rsidRPr="00A163F9">
        <w:t>potential enzymatic oxidation of the biomass throughout its processing and storage. Th</w:t>
      </w:r>
      <w:r w:rsidR="006A288C" w:rsidRPr="00A163F9">
        <w:t xml:space="preserve">ese reactions lead </w:t>
      </w:r>
      <w:r w:rsidR="00E76838" w:rsidRPr="00A163F9">
        <w:t xml:space="preserve">to the browning of the biomass, due to the formation of reactive quinones, that can form a protein–quinone complex. </w:t>
      </w:r>
      <w:r w:rsidR="00FC0335" w:rsidRPr="00A163F9">
        <w:t>This event</w:t>
      </w:r>
      <w:r w:rsidR="00E76838" w:rsidRPr="00A163F9">
        <w:t xml:space="preserve"> diminish</w:t>
      </w:r>
      <w:r w:rsidR="00FC0335" w:rsidRPr="00A163F9">
        <w:t>es</w:t>
      </w:r>
      <w:r w:rsidR="00E76838" w:rsidRPr="00A163F9">
        <w:t xml:space="preserve"> the solubility and digestibility of proteins, causing increased </w:t>
      </w:r>
      <w:r w:rsidR="007B75B8" w:rsidRPr="00A163F9">
        <w:t xml:space="preserve">CP </w:t>
      </w:r>
      <w:r w:rsidR="00E76838" w:rsidRPr="00A163F9">
        <w:t>precipitation, although with reduced quality</w:t>
      </w:r>
      <w:r w:rsidR="007B75B8" w:rsidRPr="00A163F9">
        <w:t xml:space="preserve"> </w:t>
      </w:r>
      <w:r w:rsidR="007B75B8" w:rsidRPr="00A163F9">
        <w:fldChar w:fldCharType="begin"/>
      </w:r>
      <w:r w:rsidR="007B75B8" w:rsidRPr="00A163F9">
        <w:instrText xml:space="preserve"> ADDIN ZOTERO_ITEM CSL_CITATION {"citationID":"eD05n9EM","properties":{"formattedCitation":"(Amer et al., 2021)","plainCitation":"(Amer et al., 2021)","noteIndex":0},"citationItems":[{"id":1964,"uris":["http://zotero.org/users/11878636/items/L9C2A5Z9"],"itemData":{"id":1964,"type":"article-journal","abstract":"New alternative protein sources are needed. Clover grasses as white clover (WC) and red clover (RC) may provide a novel protein source to achieve high-quality food protein. To prevent protein oxidation, endogenous oxidative enzymes as polyphenol oxidase (PPO) and peroxidases were inhibited with sulphite. RC showed higher PPO activity than WC. Low sulphite inhibited the PPO activity in both species, but browning still occurred in RC. Sulphite did not affect the polyphenol (PP) content in WC, rather suggesting peroxidase than PPO activity. In RC juice, the PP content increased in a dose-dependent manner with increasing sulphite. High sulphite impaired browning and increased the content of soluble rubisco in RC, mainly by increasing the content of native rubisco. In vitro digestibility of RC protein increased with increasing sulphite. In conclusion, sulphite inhibited oxidative enzymes and increased the quality of protein extracted from WC and RC.","container-title":"International Journal of Food Science &amp; Technology","DOI":"10.1111/ijfs.14632","ISSN":"1365-2621","issue":"1","language":"en","note":"_eprint: https://onlinelibrary.wiley.com/doi/pdf/10.1111/ijfs.14632","page":"302-311","source":"Wiley Online Library","title":"Improved solubility of proteins from white and red clover – inhibition of redox enzymes","volume":"56","author":[{"family":"Amer","given":"Bashar"},{"family":"Juul","given":"Louise"},{"family":"Møller","given":"Anders Hauer"},{"family":"Møller","given":"Hanne Søndergård"},{"family":"Dalsgaard","given":"Trine Kastrup"}],"issued":{"date-parts":[["2021"]]}}}],"schema":"https://github.com/citation-style-language/schema/raw/master/csl-citation.json"} </w:instrText>
      </w:r>
      <w:r w:rsidR="007B75B8" w:rsidRPr="00A163F9">
        <w:fldChar w:fldCharType="separate"/>
      </w:r>
      <w:r w:rsidR="007B75B8" w:rsidRPr="00A163F9">
        <w:rPr>
          <w:rFonts w:cs="Arial"/>
        </w:rPr>
        <w:t>(Amer et al., 2021)</w:t>
      </w:r>
      <w:r w:rsidR="007B75B8" w:rsidRPr="00A163F9">
        <w:fldChar w:fldCharType="end"/>
      </w:r>
      <w:r w:rsidR="00E76838" w:rsidRPr="00A163F9">
        <w:t xml:space="preserve">. An increase in the </w:t>
      </w:r>
      <w:r w:rsidR="007B75B8" w:rsidRPr="00A163F9">
        <w:t>CP</w:t>
      </w:r>
      <w:r w:rsidR="00E76838" w:rsidRPr="00A163F9">
        <w:t xml:space="preserve"> precipitation continues while this effect is more predominant than protein degradation.</w:t>
      </w:r>
      <w:r w:rsidR="007B75B8" w:rsidRPr="00A163F9">
        <w:t xml:space="preserve"> F</w:t>
      </w:r>
      <w:r w:rsidR="00435639" w:rsidRPr="00A163F9">
        <w:t>urther investigation</w:t>
      </w:r>
      <w:r w:rsidR="007B75B8" w:rsidRPr="00A163F9">
        <w:t xml:space="preserve"> is required</w:t>
      </w:r>
      <w:r w:rsidR="00435639" w:rsidRPr="00A163F9">
        <w:t xml:space="preserve"> to elucidate the fundamental mechanisms that contribute to this phenomenon and assess its reproducibility.</w:t>
      </w:r>
      <w:r w:rsidR="0062355D" w:rsidRPr="00A163F9">
        <w:t xml:space="preserve"> Overall, t</w:t>
      </w:r>
      <w:r w:rsidR="00FB379F" w:rsidRPr="00A163F9">
        <w:t xml:space="preserve">hese findings </w:t>
      </w:r>
      <w:r w:rsidR="00B82471" w:rsidRPr="00A163F9">
        <w:t>underline</w:t>
      </w:r>
      <w:r w:rsidR="00FB379F" w:rsidRPr="00A163F9">
        <w:t xml:space="preserve"> the importance of </w:t>
      </w:r>
      <w:r w:rsidR="00673076" w:rsidRPr="00A163F9">
        <w:t>minimizing the time between harvest and process</w:t>
      </w:r>
      <w:r w:rsidR="00FB379F" w:rsidRPr="00A163F9">
        <w:t xml:space="preserve"> to optimize DM and CP yields, with stationary cutting demonstrating a more favorable impact on overall yield compared to in-field cutting in both experimental years.</w:t>
      </w:r>
    </w:p>
    <w:p w14:paraId="4666CA1C" w14:textId="6018BF38" w:rsidR="00EB2CCA" w:rsidRPr="00A163F9" w:rsidRDefault="004E77FC" w:rsidP="008B2EFF">
      <w:pPr>
        <w:pStyle w:val="CETBodytext"/>
        <w:jc w:val="left"/>
      </w:pPr>
      <w:r w:rsidRPr="00A163F9">
        <w:rPr>
          <w:noProof/>
        </w:rPr>
        <w:drawing>
          <wp:inline distT="0" distB="0" distL="0" distR="0" wp14:anchorId="683B9249" wp14:editId="62317074">
            <wp:extent cx="2772000" cy="1878448"/>
            <wp:effectExtent l="0" t="0" r="9525" b="7620"/>
            <wp:docPr id="6220283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000" cy="1878448"/>
                    </a:xfrm>
                    <a:prstGeom prst="rect">
                      <a:avLst/>
                    </a:prstGeom>
                    <a:noFill/>
                  </pic:spPr>
                </pic:pic>
              </a:graphicData>
            </a:graphic>
          </wp:inline>
        </w:drawing>
      </w:r>
      <w:r w:rsidR="00344B17" w:rsidRPr="00A163F9">
        <w:rPr>
          <w:noProof/>
        </w:rPr>
        <w:drawing>
          <wp:inline distT="0" distB="0" distL="0" distR="0" wp14:anchorId="44F0E695" wp14:editId="46C1EB32">
            <wp:extent cx="2772000" cy="1883287"/>
            <wp:effectExtent l="0" t="0" r="0" b="3175"/>
            <wp:docPr id="20734503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000" cy="1883287"/>
                    </a:xfrm>
                    <a:prstGeom prst="rect">
                      <a:avLst/>
                    </a:prstGeom>
                    <a:noFill/>
                  </pic:spPr>
                </pic:pic>
              </a:graphicData>
            </a:graphic>
          </wp:inline>
        </w:drawing>
      </w:r>
    </w:p>
    <w:p w14:paraId="285FA27A" w14:textId="1D826D90" w:rsidR="006D427D" w:rsidRPr="00A163F9" w:rsidRDefault="006D427D" w:rsidP="006B3245">
      <w:pPr>
        <w:pStyle w:val="CETCaption"/>
        <w:spacing w:before="0"/>
        <w:rPr>
          <w:rStyle w:val="CETCaptionCarattere"/>
          <w:i/>
          <w:lang w:val="en-US"/>
        </w:rPr>
      </w:pPr>
      <w:r w:rsidRPr="00A163F9">
        <w:rPr>
          <w:rStyle w:val="CETCaptionCarattere"/>
          <w:i/>
          <w:lang w:val="en-US"/>
        </w:rPr>
        <w:t xml:space="preserve">Figure 2: </w:t>
      </w:r>
      <w:r w:rsidR="00997392" w:rsidRPr="00A163F9">
        <w:rPr>
          <w:rStyle w:val="CETCaptionCarattere"/>
          <w:i/>
          <w:lang w:val="en-US"/>
        </w:rPr>
        <w:t xml:space="preserve">DM and </w:t>
      </w:r>
      <w:r w:rsidRPr="00A163F9">
        <w:rPr>
          <w:rStyle w:val="CETCaptionCarattere"/>
          <w:i/>
          <w:lang w:val="en-US"/>
        </w:rPr>
        <w:t xml:space="preserve">CP yield in the LPC </w:t>
      </w:r>
      <w:r w:rsidR="003A0B56" w:rsidRPr="00A163F9">
        <w:rPr>
          <w:rStyle w:val="CETCaptionCarattere"/>
          <w:i/>
          <w:lang w:val="en-US"/>
        </w:rPr>
        <w:t>concerning</w:t>
      </w:r>
      <w:r w:rsidR="00997392" w:rsidRPr="00A163F9">
        <w:rPr>
          <w:rStyle w:val="CETCaptionCarattere"/>
          <w:i/>
          <w:lang w:val="en-US"/>
        </w:rPr>
        <w:t xml:space="preserve"> their content in the biomass </w:t>
      </w:r>
      <w:r w:rsidR="008349C0" w:rsidRPr="00A163F9">
        <w:rPr>
          <w:rStyle w:val="CETCaptionCarattere"/>
          <w:i/>
          <w:lang w:val="en-US"/>
        </w:rPr>
        <w:t>in (a)</w:t>
      </w:r>
      <w:r w:rsidR="000956BE" w:rsidRPr="00A163F9">
        <w:rPr>
          <w:rStyle w:val="CETCaptionCarattere"/>
          <w:i/>
          <w:lang w:val="en-US"/>
        </w:rPr>
        <w:t xml:space="preserve"> 2021</w:t>
      </w:r>
      <w:r w:rsidR="008349C0" w:rsidRPr="00A163F9">
        <w:rPr>
          <w:rStyle w:val="CETCaptionCarattere"/>
          <w:i/>
          <w:lang w:val="en-US"/>
        </w:rPr>
        <w:t xml:space="preserve"> and (b) 2022</w:t>
      </w:r>
      <w:r w:rsidR="004B79E2" w:rsidRPr="00A163F9">
        <w:rPr>
          <w:rStyle w:val="CETCaptionCarattere"/>
          <w:i/>
          <w:lang w:val="en-US"/>
        </w:rPr>
        <w:t>.</w:t>
      </w:r>
    </w:p>
    <w:p w14:paraId="279DF66B" w14:textId="5D2CA5BE" w:rsidR="0026333F" w:rsidRPr="00A163F9" w:rsidRDefault="002C4BE7" w:rsidP="0026333F">
      <w:pPr>
        <w:pStyle w:val="CETBodytext"/>
        <w:spacing w:before="240"/>
      </w:pPr>
      <w:r w:rsidRPr="00A163F9">
        <w:t xml:space="preserve">The DM yield in the LPC fraction </w:t>
      </w:r>
      <w:r w:rsidR="005116A1" w:rsidRPr="00A163F9">
        <w:t>was higher</w:t>
      </w:r>
      <w:r w:rsidRPr="00A163F9">
        <w:t xml:space="preserve"> in 2021 compared to 2022 across all scenarios. This disparity is attributed to the utilization of ForageMax 55 feedstock in 2022, which contains a higher proportion of grass relative to ForageMax 45 feedstock used in 2021. The elevated stem content in grasses, as opposed to the higher leaf content in legumes like clover</w:t>
      </w:r>
      <w:r w:rsidR="00494E40" w:rsidRPr="00A163F9">
        <w:t>s</w:t>
      </w:r>
      <w:r w:rsidRPr="00A163F9">
        <w:t xml:space="preserve">, suggests that the DM content in grass comprises a richer source of lignocellulosic materials, </w:t>
      </w:r>
      <w:r w:rsidR="00023A03" w:rsidRPr="00A163F9">
        <w:t>which</w:t>
      </w:r>
      <w:r w:rsidR="00494E40" w:rsidRPr="00A163F9">
        <w:t xml:space="preserve"> are </w:t>
      </w:r>
      <w:r w:rsidRPr="00A163F9">
        <w:t xml:space="preserve">subsequently allocated to the fiber fraction following wet fractionation. This pattern is evident in Figure 3, </w:t>
      </w:r>
      <w:r w:rsidR="00EA5E8B" w:rsidRPr="00A163F9">
        <w:t>which shows</w:t>
      </w:r>
      <w:r w:rsidRPr="00A163F9">
        <w:t xml:space="preserve"> the distribution of DM content from</w:t>
      </w:r>
      <w:r w:rsidR="00C5302F" w:rsidRPr="00A163F9">
        <w:t xml:space="preserve"> the</w:t>
      </w:r>
      <w:r w:rsidRPr="00A163F9">
        <w:t xml:space="preserve"> biomass across fiber, BJ, and LPC fractions. The figure </w:t>
      </w:r>
      <w:r w:rsidR="00F15573" w:rsidRPr="00A163F9">
        <w:t>indicates</w:t>
      </w:r>
      <w:r w:rsidRPr="00A163F9">
        <w:t xml:space="preserve"> that a greater proportion of DM was allocated to the fiber fraction</w:t>
      </w:r>
      <w:r w:rsidR="00586B43" w:rsidRPr="00A163F9">
        <w:t xml:space="preserve"> in the 2022 trial</w:t>
      </w:r>
      <w:r w:rsidR="00F97A90" w:rsidRPr="00A163F9">
        <w:t>s</w:t>
      </w:r>
      <w:r w:rsidRPr="00A163F9">
        <w:t xml:space="preserve"> due to feedstock quality. Additionally, Figure 3 illustrates a trend, particularly noticeable in the 2022 experiment, where the DM </w:t>
      </w:r>
      <w:r w:rsidR="00D114F7" w:rsidRPr="00A163F9">
        <w:t>yield</w:t>
      </w:r>
      <w:r w:rsidRPr="00A163F9">
        <w:t xml:space="preserve"> in the fiber fraction </w:t>
      </w:r>
      <w:r w:rsidR="00D114F7" w:rsidRPr="00A163F9">
        <w:t>reduces</w:t>
      </w:r>
      <w:r w:rsidRPr="00A163F9">
        <w:t xml:space="preserve"> with prolonged biomass standing time, </w:t>
      </w:r>
      <w:r w:rsidR="001906A7" w:rsidRPr="00A163F9">
        <w:t>associated</w:t>
      </w:r>
      <w:r w:rsidRPr="00A163F9">
        <w:t xml:space="preserve"> with a continuous increase in solid particles allocated to the BJ fraction. This observation is linked to the potential degradation of biomass components over time</w:t>
      </w:r>
      <w:r w:rsidR="00DC57B8" w:rsidRPr="00A163F9">
        <w:t xml:space="preserve"> after harvesting</w:t>
      </w:r>
      <w:r w:rsidR="00FD62BA" w:rsidRPr="00A163F9">
        <w:t xml:space="preserve">, </w:t>
      </w:r>
      <w:r w:rsidR="002E1005" w:rsidRPr="00A163F9">
        <w:t>including</w:t>
      </w:r>
      <w:r w:rsidR="00FD62BA" w:rsidRPr="00A163F9">
        <w:t xml:space="preserve"> </w:t>
      </w:r>
      <w:r w:rsidR="00672333" w:rsidRPr="00A163F9">
        <w:t>protei</w:t>
      </w:r>
      <w:r w:rsidR="00BE5656" w:rsidRPr="00A163F9">
        <w:t>n molecules that</w:t>
      </w:r>
      <w:r w:rsidR="009B0ECE" w:rsidRPr="00A163F9">
        <w:t xml:space="preserve"> undergo </w:t>
      </w:r>
      <w:r w:rsidR="009B0ECE" w:rsidRPr="00A163F9">
        <w:lastRenderedPageBreak/>
        <w:t>proteolysis,</w:t>
      </w:r>
      <w:r w:rsidR="00BE5656" w:rsidRPr="00A163F9">
        <w:t xml:space="preserve"> break</w:t>
      </w:r>
      <w:r w:rsidR="009B0ECE" w:rsidRPr="00A163F9">
        <w:t>ing</w:t>
      </w:r>
      <w:r w:rsidR="00BE5656" w:rsidRPr="00A163F9">
        <w:t xml:space="preserve"> down</w:t>
      </w:r>
      <w:r w:rsidR="000803FE" w:rsidRPr="00A163F9">
        <w:t xml:space="preserve"> into smaller peptides and amino acids</w:t>
      </w:r>
      <w:r w:rsidR="00BF4021" w:rsidRPr="00A163F9">
        <w:t>, and</w:t>
      </w:r>
      <w:r w:rsidR="00535B50" w:rsidRPr="00A163F9">
        <w:t xml:space="preserve"> that </w:t>
      </w:r>
      <w:r w:rsidR="00E52E34" w:rsidRPr="00A163F9">
        <w:t>will</w:t>
      </w:r>
      <w:r w:rsidR="00CF1E66" w:rsidRPr="00A163F9">
        <w:t xml:space="preserve"> be incorporated into the composition</w:t>
      </w:r>
      <w:r w:rsidR="00535B50" w:rsidRPr="00A163F9">
        <w:t xml:space="preserve"> </w:t>
      </w:r>
      <w:r w:rsidR="00CF1E66" w:rsidRPr="00A163F9">
        <w:t>of</w:t>
      </w:r>
      <w:r w:rsidR="00535B50" w:rsidRPr="00A163F9">
        <w:t xml:space="preserve"> the </w:t>
      </w:r>
      <w:r w:rsidR="00A573BE" w:rsidRPr="00A163F9">
        <w:t>GJ</w:t>
      </w:r>
      <w:r w:rsidRPr="00A163F9">
        <w:t>.</w:t>
      </w:r>
      <w:r w:rsidR="00216DF7" w:rsidRPr="00A163F9">
        <w:t xml:space="preserve"> </w:t>
      </w:r>
      <w:r w:rsidR="00337842" w:rsidRPr="00A163F9">
        <w:t xml:space="preserve">Apart from proteins, various other plant constituents may be more readily extracted into the juice during pressing. </w:t>
      </w:r>
      <w:r w:rsidR="00C80311" w:rsidRPr="00A163F9">
        <w:t xml:space="preserve">Further analysis to quantify the amino acid content </w:t>
      </w:r>
      <w:r w:rsidR="00855574" w:rsidRPr="00A163F9">
        <w:t xml:space="preserve">in the </w:t>
      </w:r>
      <w:r w:rsidR="00A573BE" w:rsidRPr="00A163F9">
        <w:t>GJ and BJ</w:t>
      </w:r>
      <w:r w:rsidR="00855574" w:rsidRPr="00A163F9">
        <w:t xml:space="preserve"> </w:t>
      </w:r>
      <w:r w:rsidR="00C80311" w:rsidRPr="00A163F9">
        <w:t>is necessary to validate this observation.</w:t>
      </w:r>
    </w:p>
    <w:p w14:paraId="7E33ADCA" w14:textId="09E169A1" w:rsidR="00E55374" w:rsidRPr="00A163F9" w:rsidRDefault="00C33831" w:rsidP="006B255F">
      <w:pPr>
        <w:pStyle w:val="CETBodytext"/>
        <w:rPr>
          <w:rStyle w:val="CETCaptionCarattere"/>
          <w:i w:val="0"/>
          <w:lang w:val="en-US"/>
        </w:rPr>
      </w:pPr>
      <w:r w:rsidRPr="00A163F9">
        <w:rPr>
          <w:rStyle w:val="CETCaptionCarattere"/>
          <w:i w:val="0"/>
          <w:noProof/>
          <w:lang w:val="en-US"/>
        </w:rPr>
        <w:drawing>
          <wp:inline distT="0" distB="0" distL="0" distR="0" wp14:anchorId="79A08E87" wp14:editId="7317A2A9">
            <wp:extent cx="5040000" cy="2640101"/>
            <wp:effectExtent l="0" t="0" r="8255" b="8255"/>
            <wp:docPr id="7476719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l="1569" t="1712" r="1204" b="3010"/>
                    <a:stretch/>
                  </pic:blipFill>
                  <pic:spPr bwMode="auto">
                    <a:xfrm>
                      <a:off x="0" y="0"/>
                      <a:ext cx="5040000" cy="2640101"/>
                    </a:xfrm>
                    <a:prstGeom prst="rect">
                      <a:avLst/>
                    </a:prstGeom>
                    <a:noFill/>
                    <a:ln>
                      <a:noFill/>
                    </a:ln>
                    <a:extLst>
                      <a:ext uri="{53640926-AAD7-44D8-BBD7-CCE9431645EC}">
                        <a14:shadowObscured xmlns:a14="http://schemas.microsoft.com/office/drawing/2010/main"/>
                      </a:ext>
                    </a:extLst>
                  </pic:spPr>
                </pic:pic>
              </a:graphicData>
            </a:graphic>
          </wp:inline>
        </w:drawing>
      </w:r>
    </w:p>
    <w:p w14:paraId="6EBAD167" w14:textId="31BEEFDA" w:rsidR="00DC57B8" w:rsidRPr="00A163F9" w:rsidRDefault="00DC57B8" w:rsidP="006B3245">
      <w:pPr>
        <w:pStyle w:val="CETCaption"/>
        <w:spacing w:before="0"/>
        <w:rPr>
          <w:rStyle w:val="CETCaptionCarattere"/>
          <w:i/>
          <w:lang w:val="en-US"/>
        </w:rPr>
      </w:pPr>
      <w:r w:rsidRPr="00A163F9">
        <w:rPr>
          <w:rStyle w:val="CETCaptionCarattere"/>
          <w:i/>
          <w:lang w:val="en-US"/>
        </w:rPr>
        <w:t xml:space="preserve">Figure 3: </w:t>
      </w:r>
      <w:r w:rsidR="001E2020" w:rsidRPr="00A163F9">
        <w:rPr>
          <w:rStyle w:val="CETCaptionCarattere"/>
          <w:i/>
          <w:lang w:val="en-US"/>
        </w:rPr>
        <w:t xml:space="preserve">Distribution of the </w:t>
      </w:r>
      <w:r w:rsidRPr="00A163F9">
        <w:rPr>
          <w:rStyle w:val="CETCaptionCarattere"/>
          <w:i/>
          <w:lang w:val="en-US"/>
        </w:rPr>
        <w:t>DM</w:t>
      </w:r>
      <w:r w:rsidR="00890A1D" w:rsidRPr="00A163F9">
        <w:rPr>
          <w:rStyle w:val="CETCaptionCarattere"/>
          <w:i/>
          <w:lang w:val="en-US"/>
        </w:rPr>
        <w:t xml:space="preserve"> biomass</w:t>
      </w:r>
      <w:r w:rsidRPr="00A163F9">
        <w:rPr>
          <w:rStyle w:val="CETCaptionCarattere"/>
          <w:i/>
          <w:lang w:val="en-US"/>
        </w:rPr>
        <w:t xml:space="preserve"> </w:t>
      </w:r>
      <w:r w:rsidR="00890A1D" w:rsidRPr="00A163F9">
        <w:rPr>
          <w:rStyle w:val="CETCaptionCarattere"/>
          <w:i/>
          <w:lang w:val="en-US"/>
        </w:rPr>
        <w:t>into fiber, BJ, and LPC fractions</w:t>
      </w:r>
      <w:r w:rsidRPr="00A163F9">
        <w:rPr>
          <w:rStyle w:val="CETCaptionCarattere"/>
          <w:i/>
          <w:lang w:val="en-US"/>
        </w:rPr>
        <w:t>.</w:t>
      </w:r>
    </w:p>
    <w:p w14:paraId="603F7155" w14:textId="06E4B0B3" w:rsidR="007410E4" w:rsidRPr="00A163F9" w:rsidRDefault="007410E4" w:rsidP="00987949">
      <w:pPr>
        <w:pStyle w:val="CETBodytext"/>
      </w:pPr>
      <w:r w:rsidRPr="00A163F9">
        <w:t>Figure 4 presents the DM and CP yields within the LPC fraction relative to the total DM and CP contents in the GJ for the 2021 and 2022 seasons. The remaining DM and CP contents</w:t>
      </w:r>
      <w:r w:rsidR="00B86F6E" w:rsidRPr="00A163F9">
        <w:t xml:space="preserve"> not recovered in the LPC fraction</w:t>
      </w:r>
      <w:r w:rsidRPr="00A163F9">
        <w:t xml:space="preserve"> were retained in the BJ. In 2021, the GJ exhibited a DM </w:t>
      </w:r>
      <w:r w:rsidR="007B75B8" w:rsidRPr="00A163F9">
        <w:t>yield</w:t>
      </w:r>
      <w:r w:rsidRPr="00A163F9">
        <w:t xml:space="preserve"> ranging from 20</w:t>
      </w:r>
      <w:r w:rsidR="00C84051" w:rsidRPr="00A163F9">
        <w:t xml:space="preserve"> </w:t>
      </w:r>
      <w:r w:rsidRPr="00A163F9">
        <w:t>% to 25</w:t>
      </w:r>
      <w:r w:rsidR="00C84051" w:rsidRPr="00A163F9">
        <w:t xml:space="preserve"> </w:t>
      </w:r>
      <w:r w:rsidRPr="00A163F9">
        <w:t xml:space="preserve">%, with a CP </w:t>
      </w:r>
      <w:r w:rsidR="007B75B8" w:rsidRPr="00A163F9">
        <w:t>yield</w:t>
      </w:r>
      <w:r w:rsidRPr="00A163F9">
        <w:t xml:space="preserve"> averaging between 21</w:t>
      </w:r>
      <w:r w:rsidR="00C84051" w:rsidRPr="00A163F9">
        <w:t xml:space="preserve"> </w:t>
      </w:r>
      <w:r w:rsidRPr="00A163F9">
        <w:t>% and 28</w:t>
      </w:r>
      <w:r w:rsidR="00C84051" w:rsidRPr="00A163F9">
        <w:t xml:space="preserve"> </w:t>
      </w:r>
      <w:r w:rsidRPr="00A163F9">
        <w:t>%. Both DM and CP yields showed a reduction of approximately 15</w:t>
      </w:r>
      <w:r w:rsidR="00952C49" w:rsidRPr="00A163F9">
        <w:t xml:space="preserve"> </w:t>
      </w:r>
      <w:r w:rsidRPr="00A163F9">
        <w:t>% when extending the biomass standing period. In contrast, for the 2022 season</w:t>
      </w:r>
      <w:r w:rsidR="00E6500C" w:rsidRPr="00A163F9">
        <w:t>,</w:t>
      </w:r>
      <w:r w:rsidRPr="00A163F9">
        <w:t xml:space="preserve"> the GJ displayed a DM </w:t>
      </w:r>
      <w:r w:rsidR="006B3245" w:rsidRPr="00A163F9">
        <w:t>yield</w:t>
      </w:r>
      <w:r w:rsidRPr="00A163F9">
        <w:t xml:space="preserve"> of 14.5</w:t>
      </w:r>
      <w:r w:rsidR="00B269FD" w:rsidRPr="00A163F9">
        <w:t xml:space="preserve"> </w:t>
      </w:r>
      <w:r w:rsidRPr="00A163F9">
        <w:t xml:space="preserve">%, with a CP </w:t>
      </w:r>
      <w:r w:rsidR="006B3245" w:rsidRPr="00A163F9">
        <w:t>yield</w:t>
      </w:r>
      <w:r w:rsidRPr="00A163F9">
        <w:t xml:space="preserve"> averaging 15.5</w:t>
      </w:r>
      <w:r w:rsidR="00BA4EFA" w:rsidRPr="00A163F9">
        <w:t xml:space="preserve"> </w:t>
      </w:r>
      <w:r w:rsidRPr="00A163F9">
        <w:t>%.</w:t>
      </w:r>
      <w:r w:rsidR="00515667" w:rsidRPr="00A163F9">
        <w:t xml:space="preserve"> Those </w:t>
      </w:r>
      <w:r w:rsidR="006B3245" w:rsidRPr="00A163F9">
        <w:t>yields</w:t>
      </w:r>
      <w:r w:rsidR="00515667" w:rsidRPr="00A163F9">
        <w:t xml:space="preserve"> </w:t>
      </w:r>
      <w:r w:rsidR="0065428B" w:rsidRPr="00A163F9">
        <w:t xml:space="preserve">in the GJ </w:t>
      </w:r>
      <w:r w:rsidR="00515667" w:rsidRPr="00A163F9">
        <w:t xml:space="preserve">are lower than the DM and CP </w:t>
      </w:r>
      <w:r w:rsidR="006B3245" w:rsidRPr="00A163F9">
        <w:t>yields</w:t>
      </w:r>
      <w:r w:rsidR="00515667" w:rsidRPr="00A163F9">
        <w:t xml:space="preserve"> in 2021 since a higher DM content was retained in the fiber fraction</w:t>
      </w:r>
      <w:r w:rsidR="0065428B" w:rsidRPr="00A163F9">
        <w:t>.</w:t>
      </w:r>
      <w:r w:rsidRPr="00A163F9">
        <w:t xml:space="preserve"> The DM and CP yields decreased by 8</w:t>
      </w:r>
      <w:r w:rsidR="00E6500C" w:rsidRPr="00A163F9">
        <w:t xml:space="preserve"> </w:t>
      </w:r>
      <w:r w:rsidRPr="00A163F9">
        <w:t>% and 15</w:t>
      </w:r>
      <w:r w:rsidR="00E6500C" w:rsidRPr="00A163F9">
        <w:t xml:space="preserve"> </w:t>
      </w:r>
      <w:r w:rsidRPr="00A163F9">
        <w:t>%, respectively</w:t>
      </w:r>
      <w:r w:rsidR="00E6500C" w:rsidRPr="00A163F9">
        <w:t>, for a longer time between harvesting and processing</w:t>
      </w:r>
      <w:r w:rsidR="00E656AC" w:rsidRPr="00A163F9">
        <w:t xml:space="preserve"> the biomass</w:t>
      </w:r>
      <w:r w:rsidRPr="00A163F9">
        <w:t>.</w:t>
      </w:r>
      <w:r w:rsidR="00A97AFA" w:rsidRPr="00A163F9">
        <w:t xml:space="preserve"> </w:t>
      </w:r>
      <w:r w:rsidR="00056ADA" w:rsidRPr="00A163F9">
        <w:t xml:space="preserve">The reduction in the CP yield within the LPC is linked to the protein degradation resulting from the extended standing period preceding </w:t>
      </w:r>
      <w:r w:rsidR="002634F4" w:rsidRPr="00A163F9">
        <w:t xml:space="preserve">the biomass </w:t>
      </w:r>
      <w:r w:rsidR="00056ADA" w:rsidRPr="00A163F9">
        <w:t xml:space="preserve">processing. </w:t>
      </w:r>
      <w:r w:rsidR="00855574" w:rsidRPr="00A163F9">
        <w:t>This longer time intensifies proteolysis and proteins break down into free amino acids, peptides, and ammonia</w:t>
      </w:r>
      <w:r w:rsidR="00056ADA" w:rsidRPr="00A163F9">
        <w:t xml:space="preserve">. Consequently, these components do not </w:t>
      </w:r>
      <w:r w:rsidR="001C0F94" w:rsidRPr="00A163F9">
        <w:t>precipitate</w:t>
      </w:r>
      <w:r w:rsidR="00056ADA" w:rsidRPr="00A163F9">
        <w:t xml:space="preserve"> during the heat coagulation step, persisting instead in </w:t>
      </w:r>
      <w:r w:rsidR="001C0F94" w:rsidRPr="00A163F9">
        <w:t>BJ</w:t>
      </w:r>
      <w:r w:rsidR="00056ADA" w:rsidRPr="00A163F9">
        <w:t>.</w:t>
      </w:r>
      <w:r w:rsidR="001C0F94" w:rsidRPr="00A163F9">
        <w:t xml:space="preserve"> </w:t>
      </w:r>
      <w:r w:rsidRPr="00A163F9">
        <w:t xml:space="preserve">Intriguingly, under the stationary cutting scenario in 2022, the highest DM and CP yields were observed when processing the biomass after 4 h of harvest. This phenomenon </w:t>
      </w:r>
      <w:r w:rsidR="00E656AC" w:rsidRPr="00A163F9">
        <w:t>requires</w:t>
      </w:r>
      <w:r w:rsidRPr="00A163F9">
        <w:t xml:space="preserve"> further investigation to </w:t>
      </w:r>
      <w:r w:rsidR="00E656AC" w:rsidRPr="00A163F9">
        <w:t>establish</w:t>
      </w:r>
      <w:r w:rsidRPr="00A163F9">
        <w:t xml:space="preserve"> if it is attributable to experimental errors or measurement variations.</w:t>
      </w:r>
    </w:p>
    <w:p w14:paraId="57F72471" w14:textId="10916F6D" w:rsidR="006D427D" w:rsidRPr="00A163F9" w:rsidRDefault="00D05293" w:rsidP="008B2EFF">
      <w:pPr>
        <w:pStyle w:val="CETBodytext"/>
        <w:jc w:val="left"/>
      </w:pPr>
      <w:r w:rsidRPr="00A163F9">
        <w:rPr>
          <w:noProof/>
        </w:rPr>
        <w:drawing>
          <wp:anchor distT="0" distB="0" distL="114300" distR="114300" simplePos="0" relativeHeight="251658240" behindDoc="0" locked="0" layoutInCell="1" allowOverlap="1" wp14:anchorId="70C37AAB" wp14:editId="01765BEF">
            <wp:simplePos x="0" y="0"/>
            <wp:positionH relativeFrom="column">
              <wp:posOffset>2814955</wp:posOffset>
            </wp:positionH>
            <wp:positionV relativeFrom="paragraph">
              <wp:posOffset>106841</wp:posOffset>
            </wp:positionV>
            <wp:extent cx="135890" cy="1193800"/>
            <wp:effectExtent l="0" t="0" r="0" b="6350"/>
            <wp:wrapNone/>
            <wp:docPr id="31616692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66920" name="Picture 1" descr="A graph of different colored lines&#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1970" t="5820" r="93105" b="34256"/>
                    <a:stretch/>
                  </pic:blipFill>
                  <pic:spPr bwMode="auto">
                    <a:xfrm>
                      <a:off x="0" y="0"/>
                      <a:ext cx="135890" cy="1193800"/>
                    </a:xfrm>
                    <a:prstGeom prst="rect">
                      <a:avLst/>
                    </a:prstGeom>
                    <a:noFill/>
                    <a:ln>
                      <a:noFill/>
                    </a:ln>
                    <a:extLst>
                      <a:ext uri="{53640926-AAD7-44D8-BBD7-CCE9431645EC}">
                        <a14:shadowObscured xmlns:a14="http://schemas.microsoft.com/office/drawing/2010/main"/>
                      </a:ext>
                    </a:extLst>
                  </pic:spPr>
                </pic:pic>
              </a:graphicData>
            </a:graphic>
          </wp:anchor>
        </w:drawing>
      </w:r>
      <w:r w:rsidR="00C556C2" w:rsidRPr="00A163F9">
        <w:rPr>
          <w:noProof/>
        </w:rPr>
        <w:drawing>
          <wp:inline distT="0" distB="0" distL="0" distR="0" wp14:anchorId="1A99107F" wp14:editId="34DB8046">
            <wp:extent cx="2772000" cy="1883287"/>
            <wp:effectExtent l="0" t="0" r="0" b="3175"/>
            <wp:docPr id="21156896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2000" cy="1883287"/>
                    </a:xfrm>
                    <a:prstGeom prst="rect">
                      <a:avLst/>
                    </a:prstGeom>
                    <a:noFill/>
                  </pic:spPr>
                </pic:pic>
              </a:graphicData>
            </a:graphic>
          </wp:inline>
        </w:drawing>
      </w:r>
      <w:r w:rsidRPr="00A163F9">
        <w:rPr>
          <w:noProof/>
        </w:rPr>
        <w:drawing>
          <wp:inline distT="0" distB="0" distL="0" distR="0" wp14:anchorId="234DAA66" wp14:editId="3AA620F9">
            <wp:extent cx="2772000" cy="1883287"/>
            <wp:effectExtent l="0" t="0" r="0" b="3175"/>
            <wp:docPr id="21384727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000" cy="1883287"/>
                    </a:xfrm>
                    <a:prstGeom prst="rect">
                      <a:avLst/>
                    </a:prstGeom>
                    <a:noFill/>
                  </pic:spPr>
                </pic:pic>
              </a:graphicData>
            </a:graphic>
          </wp:inline>
        </w:drawing>
      </w:r>
    </w:p>
    <w:p w14:paraId="136451D8" w14:textId="2666E8A1" w:rsidR="006B3245" w:rsidRPr="00A163F9" w:rsidRDefault="000956BE" w:rsidP="00A84957">
      <w:pPr>
        <w:pStyle w:val="CETCaption"/>
        <w:rPr>
          <w:rStyle w:val="CETCaptionCarattere"/>
          <w:i/>
          <w:lang w:val="en-US"/>
        </w:rPr>
      </w:pPr>
      <w:r w:rsidRPr="00A163F9">
        <w:rPr>
          <w:rStyle w:val="CETCaptionCarattere"/>
          <w:i/>
          <w:lang w:val="en-US"/>
        </w:rPr>
        <w:t xml:space="preserve">Figure </w:t>
      </w:r>
      <w:r w:rsidR="00DC57B8" w:rsidRPr="00A163F9">
        <w:rPr>
          <w:rStyle w:val="CETCaptionCarattere"/>
          <w:i/>
          <w:lang w:val="en-US"/>
        </w:rPr>
        <w:t>4</w:t>
      </w:r>
      <w:r w:rsidRPr="00A163F9">
        <w:rPr>
          <w:rStyle w:val="CETCaptionCarattere"/>
          <w:i/>
          <w:lang w:val="en-US"/>
        </w:rPr>
        <w:t xml:space="preserve">: </w:t>
      </w:r>
      <w:r w:rsidR="008349C0" w:rsidRPr="00A163F9">
        <w:rPr>
          <w:rStyle w:val="CETCaptionCarattere"/>
          <w:i/>
          <w:lang w:val="en-US"/>
        </w:rPr>
        <w:t xml:space="preserve">DM and CP yield in the LPC </w:t>
      </w:r>
      <w:r w:rsidR="008E2A1F" w:rsidRPr="00A163F9">
        <w:rPr>
          <w:rStyle w:val="CETCaptionCarattere"/>
          <w:i/>
          <w:lang w:val="en-US"/>
        </w:rPr>
        <w:t>concerning</w:t>
      </w:r>
      <w:r w:rsidR="008349C0" w:rsidRPr="00A163F9">
        <w:rPr>
          <w:rStyle w:val="CETCaptionCarattere"/>
          <w:i/>
          <w:lang w:val="en-US"/>
        </w:rPr>
        <w:t xml:space="preserve"> their content in the GJ in (a) 2021 and (b) 2022</w:t>
      </w:r>
      <w:r w:rsidRPr="00A163F9">
        <w:rPr>
          <w:rStyle w:val="CETCaptionCarattere"/>
          <w:i/>
          <w:lang w:val="en-US"/>
        </w:rPr>
        <w:t>.</w:t>
      </w:r>
    </w:p>
    <w:p w14:paraId="68D26B83" w14:textId="77777777" w:rsidR="00600535" w:rsidRPr="00A163F9" w:rsidRDefault="00600535" w:rsidP="00600535">
      <w:pPr>
        <w:pStyle w:val="CETHeading1"/>
      </w:pPr>
      <w:r w:rsidRPr="00A163F9">
        <w:t>Conclusions</w:t>
      </w:r>
    </w:p>
    <w:p w14:paraId="16281588" w14:textId="504EB342" w:rsidR="004B3499" w:rsidRPr="00A163F9" w:rsidRDefault="004B3499" w:rsidP="008451C6">
      <w:pPr>
        <w:pStyle w:val="CETBodytext"/>
        <w:widowControl w:val="0"/>
      </w:pPr>
      <w:r w:rsidRPr="00A163F9">
        <w:t xml:space="preserve">In this investigation </w:t>
      </w:r>
      <w:r w:rsidR="00D35628" w:rsidRPr="00A163F9">
        <w:t>covering</w:t>
      </w:r>
      <w:r w:rsidRPr="00A163F9">
        <w:t xml:space="preserve"> two consecutive</w:t>
      </w:r>
      <w:r w:rsidR="00FA2C75" w:rsidRPr="00A163F9">
        <w:t xml:space="preserve"> experiments in the</w:t>
      </w:r>
      <w:r w:rsidRPr="00A163F9">
        <w:t xml:space="preserve"> seasons 2021 and 2022, the impact of the </w:t>
      </w:r>
      <w:r w:rsidR="00FA2C75" w:rsidRPr="00A163F9">
        <w:t xml:space="preserve">time interval </w:t>
      </w:r>
      <w:r w:rsidRPr="00A163F9">
        <w:t xml:space="preserve">between biomass harvesting and processing in a green biorefinery for the extraction of </w:t>
      </w:r>
      <w:r w:rsidR="00A573BE" w:rsidRPr="00A163F9">
        <w:t>LPC</w:t>
      </w:r>
      <w:r w:rsidRPr="00A163F9">
        <w:t xml:space="preserve"> was </w:t>
      </w:r>
      <w:r w:rsidRPr="00A163F9">
        <w:lastRenderedPageBreak/>
        <w:t xml:space="preserve">assessed, utilizing two distinct grass-clover mixtures. A notable </w:t>
      </w:r>
      <w:r w:rsidR="006E66A9" w:rsidRPr="00A163F9">
        <w:t>higher</w:t>
      </w:r>
      <w:r w:rsidRPr="00A163F9">
        <w:t xml:space="preserve"> </w:t>
      </w:r>
      <w:r w:rsidR="00A573BE" w:rsidRPr="00A163F9">
        <w:t>CP</w:t>
      </w:r>
      <w:r w:rsidRPr="00A163F9">
        <w:t xml:space="preserve"> yield was observed in 2021, attributed to a higher clover content in the grass-clover mixture of that specific year. The study highlights that an extended period </w:t>
      </w:r>
      <w:r w:rsidR="008E2A1F" w:rsidRPr="00A163F9">
        <w:t>before</w:t>
      </w:r>
      <w:r w:rsidRPr="00A163F9">
        <w:t xml:space="preserve"> processing intensifies protein and </w:t>
      </w:r>
      <w:r w:rsidR="00C30A24" w:rsidRPr="00A163F9">
        <w:t xml:space="preserve">other </w:t>
      </w:r>
      <w:r w:rsidRPr="00A163F9">
        <w:t>solid compound degradation, reduc</w:t>
      </w:r>
      <w:r w:rsidR="00A573BE" w:rsidRPr="00A163F9">
        <w:t>ing the LPC</w:t>
      </w:r>
      <w:r w:rsidRPr="00A163F9">
        <w:t xml:space="preserve"> yields</w:t>
      </w:r>
      <w:r w:rsidR="0026333F" w:rsidRPr="00A163F9">
        <w:t xml:space="preserve"> by up to 33.5 % in 2021, and 40.5 % in 2022</w:t>
      </w:r>
      <w:r w:rsidRPr="00A163F9">
        <w:t xml:space="preserve">. Additionally, two harvest and cutting combinations were </w:t>
      </w:r>
      <w:r w:rsidR="002F6DBE" w:rsidRPr="00A163F9">
        <w:t>assessed</w:t>
      </w:r>
      <w:r w:rsidRPr="00A163F9">
        <w:t xml:space="preserve">, with stationary cutting, where the biomass remained uncut before utilization, resulting in </w:t>
      </w:r>
      <w:r w:rsidR="00FA2C75" w:rsidRPr="00A163F9">
        <w:t>less decline of yields over time, especially within the first 6 hours.</w:t>
      </w:r>
    </w:p>
    <w:p w14:paraId="459D05E6" w14:textId="77777777" w:rsidR="00600535" w:rsidRPr="00A163F9" w:rsidRDefault="00600535" w:rsidP="00600535">
      <w:pPr>
        <w:pStyle w:val="CETAcknowledgementstitle"/>
        <w:rPr>
          <w:lang w:val="en-US"/>
        </w:rPr>
      </w:pPr>
      <w:r w:rsidRPr="00A163F9">
        <w:rPr>
          <w:lang w:val="en-US"/>
        </w:rPr>
        <w:t>Acknowledgments</w:t>
      </w:r>
    </w:p>
    <w:p w14:paraId="33F8138F" w14:textId="031BE25D" w:rsidR="00600535" w:rsidRPr="00A163F9" w:rsidRDefault="00006A3F" w:rsidP="00600535">
      <w:pPr>
        <w:pStyle w:val="CETBodytext"/>
      </w:pPr>
      <w:r w:rsidRPr="00A163F9">
        <w:t>The authors acknowledge the financial support from GO-GRASS (European Union’s Horizon 2020 Research and Innovation program, grant agreement No 862674), and Græs-Prof – Value creation with grass protein (GUDP Danish National funding, grant agreement No 34009-19-1591).</w:t>
      </w:r>
    </w:p>
    <w:p w14:paraId="4F1327F8" w14:textId="4346B49C" w:rsidR="00600535" w:rsidRPr="00A163F9" w:rsidRDefault="00600535" w:rsidP="00600535">
      <w:pPr>
        <w:pStyle w:val="CETReference"/>
        <w:rPr>
          <w:lang w:val="en-US"/>
        </w:rPr>
      </w:pPr>
      <w:r w:rsidRPr="00A163F9">
        <w:rPr>
          <w:lang w:val="en-US"/>
        </w:rPr>
        <w:t>References</w:t>
      </w:r>
    </w:p>
    <w:p w14:paraId="52DE068A" w14:textId="1E7272B6" w:rsidR="007B75B8" w:rsidRPr="00A163F9" w:rsidRDefault="00F3098F" w:rsidP="007B75B8">
      <w:pPr>
        <w:pStyle w:val="Bibliography"/>
        <w:rPr>
          <w:rFonts w:cs="Arial"/>
          <w:lang w:val="en-US"/>
        </w:rPr>
      </w:pPr>
      <w:r w:rsidRPr="00A163F9">
        <w:rPr>
          <w:lang w:val="en-US"/>
        </w:rPr>
        <w:fldChar w:fldCharType="begin"/>
      </w:r>
      <w:r w:rsidR="00991C64" w:rsidRPr="00A163F9">
        <w:rPr>
          <w:lang w:val="en-US"/>
        </w:rPr>
        <w:instrText xml:space="preserve"> ADDIN ZOTERO_BIBL {"uncited":[],"omitted":[],"custom":[]} CSL_BIBLIOGRAPHY </w:instrText>
      </w:r>
      <w:r w:rsidRPr="00A163F9">
        <w:rPr>
          <w:lang w:val="en-US"/>
        </w:rPr>
        <w:fldChar w:fldCharType="separate"/>
      </w:r>
      <w:r w:rsidR="007B75B8" w:rsidRPr="00A163F9">
        <w:rPr>
          <w:rFonts w:cs="Arial"/>
          <w:lang w:val="en-US"/>
        </w:rPr>
        <w:t>Amer, B., Juul, L., Møller, A.H., Møller, H.S., Dalsgaard, T.K., 2021. Improved solubility of proteins from white and red clover – inhibition of redox enzymes. International Journal of Food Science &amp; Technology 56, 302–311.</w:t>
      </w:r>
    </w:p>
    <w:p w14:paraId="2AADB41A" w14:textId="09806A16" w:rsidR="007B75B8" w:rsidRPr="00A163F9" w:rsidRDefault="007B75B8" w:rsidP="007B75B8">
      <w:pPr>
        <w:pStyle w:val="Bibliography"/>
        <w:rPr>
          <w:rFonts w:cs="Arial"/>
          <w:lang w:val="en-US"/>
        </w:rPr>
      </w:pPr>
      <w:r w:rsidRPr="00A163F9">
        <w:rPr>
          <w:rFonts w:cs="Arial"/>
          <w:lang w:val="en-US"/>
        </w:rPr>
        <w:t>Andersen, M., Kiel, P., 2000. Integrated utilisation of green biomass in the green biorefinery. Industrial Crops and Products 11, 129–137.</w:t>
      </w:r>
    </w:p>
    <w:p w14:paraId="64E3065C" w14:textId="063534A8" w:rsidR="007B75B8" w:rsidRPr="00A163F9" w:rsidRDefault="007B75B8" w:rsidP="007B75B8">
      <w:pPr>
        <w:pStyle w:val="Bibliography"/>
        <w:rPr>
          <w:rFonts w:cs="Arial"/>
          <w:lang w:val="en-US"/>
        </w:rPr>
      </w:pPr>
      <w:r w:rsidRPr="00A163F9">
        <w:rPr>
          <w:rFonts w:cs="Arial"/>
          <w:lang w:val="en-US"/>
        </w:rPr>
        <w:t>Andrade, T.A., Ramírez-Márquez, C., Ambye-Jensen, M., 2023. Process simulation of an integrated green protein biorefinery using nanofiltration membrane and ethanol fermentation. Separation and Purification Technology 327, 124887.</w:t>
      </w:r>
    </w:p>
    <w:p w14:paraId="7477EB1C" w14:textId="5D0E3C89" w:rsidR="007B75B8" w:rsidRPr="00A163F9" w:rsidRDefault="007B75B8" w:rsidP="007B75B8">
      <w:pPr>
        <w:pStyle w:val="Bibliography"/>
        <w:rPr>
          <w:rFonts w:cs="Arial"/>
          <w:lang w:val="en-US"/>
        </w:rPr>
      </w:pPr>
      <w:r w:rsidRPr="00A163F9">
        <w:rPr>
          <w:rFonts w:cs="Arial"/>
          <w:lang w:val="en-US"/>
        </w:rPr>
        <w:t>Bals, B.D., Dale, B.E., Balan, V., 2012. Recovery of Leaf Protein for Animal Feed and High-Value Uses, in: Biorefinery Co-Products. John Wiley &amp; Sons, Ltd, pp. 179–197.</w:t>
      </w:r>
    </w:p>
    <w:p w14:paraId="37837C65" w14:textId="07326AE3" w:rsidR="007B75B8" w:rsidRPr="00A163F9" w:rsidRDefault="007B75B8" w:rsidP="007B75B8">
      <w:pPr>
        <w:pStyle w:val="Bibliography"/>
        <w:rPr>
          <w:rFonts w:cs="Arial"/>
          <w:lang w:val="en-US"/>
        </w:rPr>
      </w:pPr>
      <w:r w:rsidRPr="00A163F9">
        <w:rPr>
          <w:rFonts w:cs="Arial"/>
          <w:lang w:val="en-US"/>
        </w:rPr>
        <w:t>Chan, S.W.S., Marami, H., Tayo, L.L., Fog, E., Andrade, T.A., Ambye-Jensen, M., Birkved, M., Khoshnevisan, B., 2024. Environmental impacts of a novel biorefinery platform integrated with power-to-protein technology to decrease dependencies on soybean imports. Science of The Total Environment 907, 167943.</w:t>
      </w:r>
    </w:p>
    <w:p w14:paraId="4A4805D5" w14:textId="3B02FD3E" w:rsidR="007B75B8" w:rsidRPr="00A163F9" w:rsidRDefault="007B75B8" w:rsidP="007B75B8">
      <w:pPr>
        <w:pStyle w:val="Bibliography"/>
        <w:rPr>
          <w:rFonts w:cs="Arial"/>
          <w:lang w:val="en-US"/>
        </w:rPr>
      </w:pPr>
      <w:r w:rsidRPr="00A163F9">
        <w:rPr>
          <w:rFonts w:cs="Arial"/>
          <w:lang w:val="en-US"/>
        </w:rPr>
        <w:t>Gaffey, J., Rajauria, G., McMahon, H., Ravindran, R., Dominguez, C., Ambye-Jensen, M., Souza, M.F., Meers, E., Aragonés, M.M., Skunca, D., Sanders, J.P.M., 2023. Green Biorefinery systems for the production of climate-smart sustainable products from grasses, legumes and green crop residues. Biotechnology Advances 66, 108168.</w:t>
      </w:r>
    </w:p>
    <w:p w14:paraId="48149FBC" w14:textId="48F93D5C" w:rsidR="007B75B8" w:rsidRPr="00A163F9" w:rsidRDefault="007B75B8" w:rsidP="007B75B8">
      <w:pPr>
        <w:pStyle w:val="Bibliography"/>
        <w:rPr>
          <w:rFonts w:cs="Arial"/>
          <w:lang w:val="en-US"/>
        </w:rPr>
      </w:pPr>
      <w:r w:rsidRPr="00A163F9">
        <w:rPr>
          <w:rFonts w:cs="Arial"/>
          <w:lang w:val="en-US"/>
        </w:rPr>
        <w:t xml:space="preserve">Hansen, N.P., Jensen, S.K., Johansen, M., Hellwing, A.L.F., Ambye-Jensen, M., Larsen, M., Weisbjerg, M.R., 2023. Fiber digestibility and protein value of pulp silage for lactating dairy cows: Effects of wet fractionation by screw pressing of perennial ryegrass. Journal of Dairy Science 106, 937–953. </w:t>
      </w:r>
    </w:p>
    <w:p w14:paraId="5A40C397" w14:textId="03CF7647" w:rsidR="007B75B8" w:rsidRPr="00A163F9" w:rsidRDefault="007B75B8" w:rsidP="007B75B8">
      <w:pPr>
        <w:pStyle w:val="Bibliography"/>
        <w:rPr>
          <w:rFonts w:cs="Arial"/>
          <w:lang w:val="en-US"/>
        </w:rPr>
      </w:pPr>
      <w:r w:rsidRPr="00A163F9">
        <w:rPr>
          <w:rFonts w:cs="Arial"/>
          <w:lang w:val="en-US"/>
        </w:rPr>
        <w:t>Kamm, B., Schönicke, P., Hille, Ch., 2016. Green biorefinery – Industrial implementation. Food Chemistry 197, 1341–1345.</w:t>
      </w:r>
    </w:p>
    <w:p w14:paraId="019C5EF6" w14:textId="1764ADAF" w:rsidR="007B75B8" w:rsidRPr="00A163F9" w:rsidRDefault="007B75B8" w:rsidP="007B75B8">
      <w:pPr>
        <w:pStyle w:val="Bibliography"/>
        <w:rPr>
          <w:rFonts w:cs="Arial"/>
          <w:lang w:val="en-US"/>
        </w:rPr>
      </w:pPr>
      <w:r w:rsidRPr="00A163F9">
        <w:rPr>
          <w:rFonts w:cs="Arial"/>
          <w:lang w:val="en-US"/>
        </w:rPr>
        <w:t>Kisvarga, S., Barna, D., Kovács, S., Csatári, G., O. Tóth, I., Fári, M.G., Makleit, P., Veres, S., Alshaal, T., Bákonyi, N., 2020. Fermented Alfalfa Brown Juice Significantly Stimulates the Growth and Development of Sweet Basil (Ocimum basilicum L.) Plants. Agronomy 10, 657.</w:t>
      </w:r>
    </w:p>
    <w:p w14:paraId="66F3B471" w14:textId="108BC001" w:rsidR="007B75B8" w:rsidRPr="00A163F9" w:rsidRDefault="007B75B8" w:rsidP="007B75B8">
      <w:pPr>
        <w:pStyle w:val="Bibliography"/>
        <w:rPr>
          <w:rFonts w:cs="Arial"/>
          <w:lang w:val="en-US"/>
        </w:rPr>
      </w:pPr>
      <w:r w:rsidRPr="00A163F9">
        <w:rPr>
          <w:rFonts w:cs="Arial"/>
          <w:lang w:val="en-US"/>
        </w:rPr>
        <w:t>Martinez, E.J., Micolucci, F., Gomez, X., Molinuevo-Salces, B., Uellendahl, H., 2018. Anaerobic digestion of residual liquid effluent (brown juice) from a green biorefinery. Int. J. Environ. Sci. Technol. 15, 2615–2624.</w:t>
      </w:r>
    </w:p>
    <w:p w14:paraId="2E5E5248" w14:textId="673F3556" w:rsidR="007B75B8" w:rsidRPr="00A163F9" w:rsidRDefault="007B75B8" w:rsidP="007B75B8">
      <w:pPr>
        <w:pStyle w:val="Bibliography"/>
        <w:rPr>
          <w:rFonts w:cs="Arial"/>
          <w:lang w:val="en-US"/>
        </w:rPr>
      </w:pPr>
      <w:r w:rsidRPr="00A163F9">
        <w:rPr>
          <w:rFonts w:cs="Arial"/>
          <w:lang w:val="en-US"/>
        </w:rPr>
        <w:t>Petersen, A.M., Annoh-Quarshie, J., Van Rensburg, E., Görgens, J.F., 2022. Optimizing the processes of extracting proteins from yellow peas and ethanol production from spent pea residues. Biomass Conv. Bioref. 12, 2913–2924.</w:t>
      </w:r>
    </w:p>
    <w:p w14:paraId="7387636D" w14:textId="38E96DD2" w:rsidR="007B75B8" w:rsidRPr="00A163F9" w:rsidRDefault="007B75B8" w:rsidP="007B75B8">
      <w:pPr>
        <w:pStyle w:val="Bibliography"/>
        <w:rPr>
          <w:rFonts w:cs="Arial"/>
          <w:lang w:val="en-US"/>
        </w:rPr>
      </w:pPr>
      <w:r w:rsidRPr="00A163F9">
        <w:rPr>
          <w:rFonts w:cs="Arial"/>
          <w:lang w:val="en-US"/>
        </w:rPr>
        <w:t>Ravenni, G., Thomsen, T.P., Smith, A.M., Ambye-Jensen, M., Rohde-Nielsen, K.T., Henriksen, U.B., 2023. Integration of a drying and pyrolysis system in a green biorefinery: biochar product quality and impacts on the overall energy balance and climate footprint. Biomass Conv. Bioref.</w:t>
      </w:r>
    </w:p>
    <w:p w14:paraId="2BFE538C" w14:textId="7BFC0A9B" w:rsidR="007B75B8" w:rsidRPr="00A163F9" w:rsidRDefault="007B75B8" w:rsidP="007B75B8">
      <w:pPr>
        <w:pStyle w:val="Bibliography"/>
        <w:rPr>
          <w:rFonts w:cs="Arial"/>
          <w:lang w:val="en-US"/>
        </w:rPr>
      </w:pPr>
      <w:r w:rsidRPr="00A163F9">
        <w:rPr>
          <w:rFonts w:cs="Arial"/>
          <w:lang w:val="en-US"/>
        </w:rPr>
        <w:t>Ravindran, R., Koopmans, S., Sanders, J.P.M., McMahon, H., Gaffey, J., 2021. Production of Green Biorefinery Protein Concentrate Derived from Perennial Ryegrass as an Alternative Feed for Pigs. Clean Technol. 3, 656–669.</w:t>
      </w:r>
    </w:p>
    <w:p w14:paraId="56D7DA94" w14:textId="7180F9CC" w:rsidR="007B75B8" w:rsidRPr="00A163F9" w:rsidRDefault="007B75B8" w:rsidP="007B75B8">
      <w:pPr>
        <w:pStyle w:val="Bibliography"/>
        <w:rPr>
          <w:rFonts w:cs="Arial"/>
          <w:lang w:val="en-US"/>
        </w:rPr>
      </w:pPr>
      <w:r w:rsidRPr="00A163F9">
        <w:rPr>
          <w:rFonts w:cs="Arial"/>
          <w:lang w:val="en-US"/>
        </w:rPr>
        <w:t>Sharma, H.S.S., Lyons, G., McRoberts, C., 2011. Biorefining of perennial grasses: A potential sustainable option for Northern Ireland grassland production. Chemical Engineering Research and Design 89, 2309–2321.</w:t>
      </w:r>
    </w:p>
    <w:p w14:paraId="31E94CDD" w14:textId="495EEEEE" w:rsidR="007B75B8" w:rsidRPr="00A163F9" w:rsidRDefault="007B75B8" w:rsidP="007B75B8">
      <w:pPr>
        <w:pStyle w:val="Bibliography"/>
        <w:rPr>
          <w:rFonts w:cs="Arial"/>
          <w:lang w:val="en-US"/>
        </w:rPr>
      </w:pPr>
      <w:r w:rsidRPr="00A163F9">
        <w:rPr>
          <w:rFonts w:cs="Arial"/>
          <w:lang w:val="en-US"/>
        </w:rPr>
        <w:t>Stødkilde, L., Ambye-Jensen, M., Jensen, S.K., 2021a. Biorefined organic grass-clover protein concentrate for growing pigs: Effect on growth performance and meat fatty acid profile. Animal Feed Science and Technology 276, 114943.</w:t>
      </w:r>
    </w:p>
    <w:p w14:paraId="08A41788" w14:textId="3E6F2804" w:rsidR="008451C6" w:rsidRDefault="007B75B8" w:rsidP="00A573BE">
      <w:pPr>
        <w:pStyle w:val="Bibliography"/>
      </w:pPr>
      <w:r w:rsidRPr="00A163F9">
        <w:rPr>
          <w:rFonts w:cs="Arial"/>
          <w:lang w:val="en-US"/>
        </w:rPr>
        <w:t>Stødkilde, L., Lashkari, S., Eriksen, J., Jensen, S.K., 2021b. Enhancing protein recovery in green biorefineries through selection of plant species and time of harvest. Animal Feed Science and Technology 278, 115016.</w:t>
      </w:r>
      <w:r w:rsidR="00F3098F" w:rsidRPr="00A163F9">
        <w:rPr>
          <w:lang w:val="en-US"/>
        </w:rPr>
        <w:fldChar w:fldCharType="end"/>
      </w:r>
    </w:p>
    <w:sectPr w:rsidR="008451C6" w:rsidSect="00CC248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65500" w14:textId="77777777" w:rsidR="00CC2483" w:rsidRPr="00A163F9" w:rsidRDefault="00CC2483" w:rsidP="004F5E36">
      <w:r w:rsidRPr="00A163F9">
        <w:separator/>
      </w:r>
    </w:p>
  </w:endnote>
  <w:endnote w:type="continuationSeparator" w:id="0">
    <w:p w14:paraId="7BF6584C" w14:textId="77777777" w:rsidR="00CC2483" w:rsidRPr="00A163F9" w:rsidRDefault="00CC2483" w:rsidP="004F5E36">
      <w:r w:rsidRPr="00A163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AEE6" w14:textId="77777777" w:rsidR="00CC2483" w:rsidRPr="00A163F9" w:rsidRDefault="00CC2483" w:rsidP="004F5E36">
      <w:r w:rsidRPr="00A163F9">
        <w:separator/>
      </w:r>
    </w:p>
  </w:footnote>
  <w:footnote w:type="continuationSeparator" w:id="0">
    <w:p w14:paraId="39FD2190" w14:textId="77777777" w:rsidR="00CC2483" w:rsidRPr="00A163F9" w:rsidRDefault="00CC2483" w:rsidP="004F5E36">
      <w:r w:rsidRPr="00A163F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gFADPRo54tAAAA"/>
  </w:docVars>
  <w:rsids>
    <w:rsidRoot w:val="000E414A"/>
    <w:rsid w:val="00000D12"/>
    <w:rsid w:val="00001F18"/>
    <w:rsid w:val="000027C0"/>
    <w:rsid w:val="000052FB"/>
    <w:rsid w:val="000058AD"/>
    <w:rsid w:val="000064B3"/>
    <w:rsid w:val="00006A3F"/>
    <w:rsid w:val="000117CB"/>
    <w:rsid w:val="0001266F"/>
    <w:rsid w:val="00016C17"/>
    <w:rsid w:val="00022195"/>
    <w:rsid w:val="00023A03"/>
    <w:rsid w:val="0002478E"/>
    <w:rsid w:val="0003148D"/>
    <w:rsid w:val="00031EEC"/>
    <w:rsid w:val="00035F18"/>
    <w:rsid w:val="000432A1"/>
    <w:rsid w:val="00043642"/>
    <w:rsid w:val="0005015F"/>
    <w:rsid w:val="00051566"/>
    <w:rsid w:val="000562A9"/>
    <w:rsid w:val="00056ADA"/>
    <w:rsid w:val="00062A9A"/>
    <w:rsid w:val="000640F1"/>
    <w:rsid w:val="00065058"/>
    <w:rsid w:val="00075311"/>
    <w:rsid w:val="000803FE"/>
    <w:rsid w:val="00083217"/>
    <w:rsid w:val="00086C39"/>
    <w:rsid w:val="0008732B"/>
    <w:rsid w:val="000956BE"/>
    <w:rsid w:val="0009592E"/>
    <w:rsid w:val="00097DFC"/>
    <w:rsid w:val="000A03B2"/>
    <w:rsid w:val="000B101A"/>
    <w:rsid w:val="000B54E2"/>
    <w:rsid w:val="000D0268"/>
    <w:rsid w:val="000D2DE7"/>
    <w:rsid w:val="000D318A"/>
    <w:rsid w:val="000D34BE"/>
    <w:rsid w:val="000E102F"/>
    <w:rsid w:val="000E36F1"/>
    <w:rsid w:val="000E3A73"/>
    <w:rsid w:val="000E414A"/>
    <w:rsid w:val="000E770E"/>
    <w:rsid w:val="000F093C"/>
    <w:rsid w:val="000F10BF"/>
    <w:rsid w:val="000F787B"/>
    <w:rsid w:val="00100323"/>
    <w:rsid w:val="00103D50"/>
    <w:rsid w:val="00104725"/>
    <w:rsid w:val="00107E0F"/>
    <w:rsid w:val="00112F59"/>
    <w:rsid w:val="0011602E"/>
    <w:rsid w:val="0012063B"/>
    <w:rsid w:val="0012091F"/>
    <w:rsid w:val="00121300"/>
    <w:rsid w:val="00126ABD"/>
    <w:rsid w:val="00126BC2"/>
    <w:rsid w:val="00127CE4"/>
    <w:rsid w:val="001308B6"/>
    <w:rsid w:val="0013121F"/>
    <w:rsid w:val="00131954"/>
    <w:rsid w:val="00131FE6"/>
    <w:rsid w:val="0013263F"/>
    <w:rsid w:val="001331DF"/>
    <w:rsid w:val="00134DE4"/>
    <w:rsid w:val="0014034D"/>
    <w:rsid w:val="00144D16"/>
    <w:rsid w:val="00150E59"/>
    <w:rsid w:val="001525F5"/>
    <w:rsid w:val="00152DE3"/>
    <w:rsid w:val="001544B3"/>
    <w:rsid w:val="00156F74"/>
    <w:rsid w:val="00157BD9"/>
    <w:rsid w:val="001635F1"/>
    <w:rsid w:val="0016374E"/>
    <w:rsid w:val="00164CF9"/>
    <w:rsid w:val="001667A6"/>
    <w:rsid w:val="0017297C"/>
    <w:rsid w:val="00176CE1"/>
    <w:rsid w:val="00177DC5"/>
    <w:rsid w:val="001808A5"/>
    <w:rsid w:val="00183460"/>
    <w:rsid w:val="001849B8"/>
    <w:rsid w:val="00184AD6"/>
    <w:rsid w:val="001906A7"/>
    <w:rsid w:val="00193949"/>
    <w:rsid w:val="00194776"/>
    <w:rsid w:val="0019656B"/>
    <w:rsid w:val="001A1870"/>
    <w:rsid w:val="001A18B1"/>
    <w:rsid w:val="001A2C28"/>
    <w:rsid w:val="001A3627"/>
    <w:rsid w:val="001A4AF7"/>
    <w:rsid w:val="001A4DDE"/>
    <w:rsid w:val="001A6287"/>
    <w:rsid w:val="001B0349"/>
    <w:rsid w:val="001B08F8"/>
    <w:rsid w:val="001B1E93"/>
    <w:rsid w:val="001B30E1"/>
    <w:rsid w:val="001B65C1"/>
    <w:rsid w:val="001C08D5"/>
    <w:rsid w:val="001C0F94"/>
    <w:rsid w:val="001C16E7"/>
    <w:rsid w:val="001C2222"/>
    <w:rsid w:val="001C684B"/>
    <w:rsid w:val="001D0CFB"/>
    <w:rsid w:val="001D0F9C"/>
    <w:rsid w:val="001D169C"/>
    <w:rsid w:val="001D1C17"/>
    <w:rsid w:val="001D21AF"/>
    <w:rsid w:val="001D53FC"/>
    <w:rsid w:val="001E2020"/>
    <w:rsid w:val="001E5EE5"/>
    <w:rsid w:val="001F13E4"/>
    <w:rsid w:val="001F404F"/>
    <w:rsid w:val="001F4182"/>
    <w:rsid w:val="001F42A5"/>
    <w:rsid w:val="001F4F23"/>
    <w:rsid w:val="001F7B9D"/>
    <w:rsid w:val="00201C93"/>
    <w:rsid w:val="00201EF2"/>
    <w:rsid w:val="00205EBD"/>
    <w:rsid w:val="00213D46"/>
    <w:rsid w:val="00215713"/>
    <w:rsid w:val="00216DF7"/>
    <w:rsid w:val="002224B4"/>
    <w:rsid w:val="0023624E"/>
    <w:rsid w:val="00241F53"/>
    <w:rsid w:val="002420EC"/>
    <w:rsid w:val="002447EF"/>
    <w:rsid w:val="00245726"/>
    <w:rsid w:val="002463FF"/>
    <w:rsid w:val="002467BF"/>
    <w:rsid w:val="00251550"/>
    <w:rsid w:val="002518E2"/>
    <w:rsid w:val="00252B47"/>
    <w:rsid w:val="0026333F"/>
    <w:rsid w:val="002634F4"/>
    <w:rsid w:val="00263B05"/>
    <w:rsid w:val="002651A2"/>
    <w:rsid w:val="00267C68"/>
    <w:rsid w:val="00270931"/>
    <w:rsid w:val="00270E51"/>
    <w:rsid w:val="0027221A"/>
    <w:rsid w:val="00274776"/>
    <w:rsid w:val="00274973"/>
    <w:rsid w:val="00274EDE"/>
    <w:rsid w:val="00275B61"/>
    <w:rsid w:val="00280FAF"/>
    <w:rsid w:val="0028244D"/>
    <w:rsid w:val="0028253E"/>
    <w:rsid w:val="00282656"/>
    <w:rsid w:val="00282881"/>
    <w:rsid w:val="00287B55"/>
    <w:rsid w:val="00296B83"/>
    <w:rsid w:val="002A1BD1"/>
    <w:rsid w:val="002A2B44"/>
    <w:rsid w:val="002A5AC1"/>
    <w:rsid w:val="002A7078"/>
    <w:rsid w:val="002B3E7F"/>
    <w:rsid w:val="002B4015"/>
    <w:rsid w:val="002B6070"/>
    <w:rsid w:val="002B78CE"/>
    <w:rsid w:val="002C2FB6"/>
    <w:rsid w:val="002C4BE7"/>
    <w:rsid w:val="002C578C"/>
    <w:rsid w:val="002C668C"/>
    <w:rsid w:val="002C717C"/>
    <w:rsid w:val="002D106A"/>
    <w:rsid w:val="002E1005"/>
    <w:rsid w:val="002E2901"/>
    <w:rsid w:val="002E4211"/>
    <w:rsid w:val="002E5FA7"/>
    <w:rsid w:val="002F3309"/>
    <w:rsid w:val="002F3EF5"/>
    <w:rsid w:val="002F4069"/>
    <w:rsid w:val="002F6DBE"/>
    <w:rsid w:val="002F7386"/>
    <w:rsid w:val="003008CE"/>
    <w:rsid w:val="003009B7"/>
    <w:rsid w:val="00300E56"/>
    <w:rsid w:val="0030152C"/>
    <w:rsid w:val="003029EE"/>
    <w:rsid w:val="0030469C"/>
    <w:rsid w:val="00305626"/>
    <w:rsid w:val="00306C9C"/>
    <w:rsid w:val="00314043"/>
    <w:rsid w:val="00321CA6"/>
    <w:rsid w:val="00323763"/>
    <w:rsid w:val="0032378B"/>
    <w:rsid w:val="00323C5F"/>
    <w:rsid w:val="00323F00"/>
    <w:rsid w:val="00324D1D"/>
    <w:rsid w:val="00330F4D"/>
    <w:rsid w:val="003327DF"/>
    <w:rsid w:val="00334C09"/>
    <w:rsid w:val="00337842"/>
    <w:rsid w:val="0034378E"/>
    <w:rsid w:val="00344B17"/>
    <w:rsid w:val="003456A8"/>
    <w:rsid w:val="00351C7D"/>
    <w:rsid w:val="00357042"/>
    <w:rsid w:val="00364F69"/>
    <w:rsid w:val="00366887"/>
    <w:rsid w:val="0037114B"/>
    <w:rsid w:val="003723D4"/>
    <w:rsid w:val="003738D2"/>
    <w:rsid w:val="00381905"/>
    <w:rsid w:val="00384CC8"/>
    <w:rsid w:val="003871FD"/>
    <w:rsid w:val="00394FD0"/>
    <w:rsid w:val="00397EF6"/>
    <w:rsid w:val="003A0B56"/>
    <w:rsid w:val="003A1E30"/>
    <w:rsid w:val="003A2829"/>
    <w:rsid w:val="003A6FC6"/>
    <w:rsid w:val="003A7CEB"/>
    <w:rsid w:val="003A7D1C"/>
    <w:rsid w:val="003B304B"/>
    <w:rsid w:val="003B3146"/>
    <w:rsid w:val="003B40F2"/>
    <w:rsid w:val="003C3204"/>
    <w:rsid w:val="003D0357"/>
    <w:rsid w:val="003E11C8"/>
    <w:rsid w:val="003F015E"/>
    <w:rsid w:val="003F2D54"/>
    <w:rsid w:val="00400414"/>
    <w:rsid w:val="00402E78"/>
    <w:rsid w:val="004056C0"/>
    <w:rsid w:val="00412F30"/>
    <w:rsid w:val="00413393"/>
    <w:rsid w:val="0041363F"/>
    <w:rsid w:val="0041446B"/>
    <w:rsid w:val="0043215F"/>
    <w:rsid w:val="00435639"/>
    <w:rsid w:val="0044071E"/>
    <w:rsid w:val="0044329C"/>
    <w:rsid w:val="00453E24"/>
    <w:rsid w:val="00457456"/>
    <w:rsid w:val="004577FE"/>
    <w:rsid w:val="00457B9C"/>
    <w:rsid w:val="0046164A"/>
    <w:rsid w:val="004628D2"/>
    <w:rsid w:val="00462DCD"/>
    <w:rsid w:val="00462FFC"/>
    <w:rsid w:val="0046396B"/>
    <w:rsid w:val="004648AD"/>
    <w:rsid w:val="004675D9"/>
    <w:rsid w:val="004703A9"/>
    <w:rsid w:val="0047193E"/>
    <w:rsid w:val="004760DE"/>
    <w:rsid w:val="004761E9"/>
    <w:rsid w:val="004763D7"/>
    <w:rsid w:val="00477D19"/>
    <w:rsid w:val="00486531"/>
    <w:rsid w:val="00494E40"/>
    <w:rsid w:val="004950FE"/>
    <w:rsid w:val="004A004E"/>
    <w:rsid w:val="004A2025"/>
    <w:rsid w:val="004A24CF"/>
    <w:rsid w:val="004A4990"/>
    <w:rsid w:val="004B16D7"/>
    <w:rsid w:val="004B2DBF"/>
    <w:rsid w:val="004B3499"/>
    <w:rsid w:val="004B79E2"/>
    <w:rsid w:val="004C02E9"/>
    <w:rsid w:val="004C2C89"/>
    <w:rsid w:val="004C3D1D"/>
    <w:rsid w:val="004C3D84"/>
    <w:rsid w:val="004C7913"/>
    <w:rsid w:val="004D1D6C"/>
    <w:rsid w:val="004D30A1"/>
    <w:rsid w:val="004D39F9"/>
    <w:rsid w:val="004D3FA1"/>
    <w:rsid w:val="004D5BBE"/>
    <w:rsid w:val="004E1BC4"/>
    <w:rsid w:val="004E4DD6"/>
    <w:rsid w:val="004E73D4"/>
    <w:rsid w:val="004E77FC"/>
    <w:rsid w:val="004F5480"/>
    <w:rsid w:val="004F5E36"/>
    <w:rsid w:val="0050230F"/>
    <w:rsid w:val="00505409"/>
    <w:rsid w:val="00507B47"/>
    <w:rsid w:val="00507BEF"/>
    <w:rsid w:val="00507CC9"/>
    <w:rsid w:val="005116A1"/>
    <w:rsid w:val="005119A5"/>
    <w:rsid w:val="0051404E"/>
    <w:rsid w:val="00515667"/>
    <w:rsid w:val="00515998"/>
    <w:rsid w:val="00515A2F"/>
    <w:rsid w:val="00516AAC"/>
    <w:rsid w:val="00526A13"/>
    <w:rsid w:val="00527177"/>
    <w:rsid w:val="005278B7"/>
    <w:rsid w:val="00532016"/>
    <w:rsid w:val="0053378C"/>
    <w:rsid w:val="005346C8"/>
    <w:rsid w:val="00534BD6"/>
    <w:rsid w:val="00535B50"/>
    <w:rsid w:val="00543E7D"/>
    <w:rsid w:val="00544294"/>
    <w:rsid w:val="00546B00"/>
    <w:rsid w:val="00547A68"/>
    <w:rsid w:val="005511BE"/>
    <w:rsid w:val="005531C9"/>
    <w:rsid w:val="00562EF1"/>
    <w:rsid w:val="00564D09"/>
    <w:rsid w:val="00570C43"/>
    <w:rsid w:val="00570F3C"/>
    <w:rsid w:val="0057187C"/>
    <w:rsid w:val="00576348"/>
    <w:rsid w:val="00580D3E"/>
    <w:rsid w:val="005828FA"/>
    <w:rsid w:val="00586B43"/>
    <w:rsid w:val="005925F1"/>
    <w:rsid w:val="00597939"/>
    <w:rsid w:val="005A01AB"/>
    <w:rsid w:val="005A30D1"/>
    <w:rsid w:val="005B2110"/>
    <w:rsid w:val="005B5D3E"/>
    <w:rsid w:val="005B61E6"/>
    <w:rsid w:val="005B66E3"/>
    <w:rsid w:val="005C4A5B"/>
    <w:rsid w:val="005C4D9F"/>
    <w:rsid w:val="005C6405"/>
    <w:rsid w:val="005C77E1"/>
    <w:rsid w:val="005D30B1"/>
    <w:rsid w:val="005D668A"/>
    <w:rsid w:val="005D6A2F"/>
    <w:rsid w:val="005E1A82"/>
    <w:rsid w:val="005E31D1"/>
    <w:rsid w:val="005E7667"/>
    <w:rsid w:val="005E794C"/>
    <w:rsid w:val="005F0A28"/>
    <w:rsid w:val="005F0E5E"/>
    <w:rsid w:val="00600535"/>
    <w:rsid w:val="00603947"/>
    <w:rsid w:val="00603BED"/>
    <w:rsid w:val="00606A9C"/>
    <w:rsid w:val="00610CD6"/>
    <w:rsid w:val="00612241"/>
    <w:rsid w:val="0061247B"/>
    <w:rsid w:val="00620DEE"/>
    <w:rsid w:val="00621F92"/>
    <w:rsid w:val="006222DC"/>
    <w:rsid w:val="0062280A"/>
    <w:rsid w:val="0062355D"/>
    <w:rsid w:val="00625639"/>
    <w:rsid w:val="00631B33"/>
    <w:rsid w:val="00634D81"/>
    <w:rsid w:val="006378B4"/>
    <w:rsid w:val="00637EA1"/>
    <w:rsid w:val="0064184D"/>
    <w:rsid w:val="006422CC"/>
    <w:rsid w:val="00644859"/>
    <w:rsid w:val="00652CAF"/>
    <w:rsid w:val="0065428B"/>
    <w:rsid w:val="00657C57"/>
    <w:rsid w:val="00657F78"/>
    <w:rsid w:val="00660E3E"/>
    <w:rsid w:val="00662E74"/>
    <w:rsid w:val="00662EFB"/>
    <w:rsid w:val="00672023"/>
    <w:rsid w:val="00672333"/>
    <w:rsid w:val="00673076"/>
    <w:rsid w:val="00674A37"/>
    <w:rsid w:val="00680C23"/>
    <w:rsid w:val="00693766"/>
    <w:rsid w:val="00694231"/>
    <w:rsid w:val="006A23E9"/>
    <w:rsid w:val="006A288C"/>
    <w:rsid w:val="006A3281"/>
    <w:rsid w:val="006A5DB4"/>
    <w:rsid w:val="006A62E0"/>
    <w:rsid w:val="006A6F71"/>
    <w:rsid w:val="006B255F"/>
    <w:rsid w:val="006B3245"/>
    <w:rsid w:val="006B4888"/>
    <w:rsid w:val="006B6C0A"/>
    <w:rsid w:val="006C2E45"/>
    <w:rsid w:val="006C359C"/>
    <w:rsid w:val="006C5579"/>
    <w:rsid w:val="006C55B7"/>
    <w:rsid w:val="006D427D"/>
    <w:rsid w:val="006D6E8B"/>
    <w:rsid w:val="006E1BBB"/>
    <w:rsid w:val="006E47FA"/>
    <w:rsid w:val="006E66A9"/>
    <w:rsid w:val="006E737D"/>
    <w:rsid w:val="00710A69"/>
    <w:rsid w:val="00712F61"/>
    <w:rsid w:val="00713973"/>
    <w:rsid w:val="00717B20"/>
    <w:rsid w:val="0072095A"/>
    <w:rsid w:val="00720A24"/>
    <w:rsid w:val="00725F35"/>
    <w:rsid w:val="00732386"/>
    <w:rsid w:val="007329CC"/>
    <w:rsid w:val="0073514D"/>
    <w:rsid w:val="00736F87"/>
    <w:rsid w:val="007410E4"/>
    <w:rsid w:val="0074440D"/>
    <w:rsid w:val="007447F3"/>
    <w:rsid w:val="00745324"/>
    <w:rsid w:val="00747A75"/>
    <w:rsid w:val="0075499F"/>
    <w:rsid w:val="007604FB"/>
    <w:rsid w:val="007661C8"/>
    <w:rsid w:val="00767300"/>
    <w:rsid w:val="0077098D"/>
    <w:rsid w:val="00776153"/>
    <w:rsid w:val="00782B94"/>
    <w:rsid w:val="0078476C"/>
    <w:rsid w:val="00791E58"/>
    <w:rsid w:val="007931FA"/>
    <w:rsid w:val="00797C5E"/>
    <w:rsid w:val="007A2644"/>
    <w:rsid w:val="007A2D42"/>
    <w:rsid w:val="007A4861"/>
    <w:rsid w:val="007A5A3C"/>
    <w:rsid w:val="007A7BBA"/>
    <w:rsid w:val="007B0C50"/>
    <w:rsid w:val="007B48F9"/>
    <w:rsid w:val="007B75B8"/>
    <w:rsid w:val="007C005E"/>
    <w:rsid w:val="007C1A43"/>
    <w:rsid w:val="007C52BD"/>
    <w:rsid w:val="007C66B8"/>
    <w:rsid w:val="007D087A"/>
    <w:rsid w:val="007D0951"/>
    <w:rsid w:val="007D7FE3"/>
    <w:rsid w:val="007E0C6E"/>
    <w:rsid w:val="007E5729"/>
    <w:rsid w:val="007F1FD9"/>
    <w:rsid w:val="0080013E"/>
    <w:rsid w:val="0080133F"/>
    <w:rsid w:val="00813288"/>
    <w:rsid w:val="008168FC"/>
    <w:rsid w:val="00821DBD"/>
    <w:rsid w:val="008302DE"/>
    <w:rsid w:val="00830996"/>
    <w:rsid w:val="008345F1"/>
    <w:rsid w:val="008349C0"/>
    <w:rsid w:val="008405E8"/>
    <w:rsid w:val="00843A8E"/>
    <w:rsid w:val="00843EAC"/>
    <w:rsid w:val="008451C6"/>
    <w:rsid w:val="00846990"/>
    <w:rsid w:val="00851433"/>
    <w:rsid w:val="00852406"/>
    <w:rsid w:val="00855574"/>
    <w:rsid w:val="008556C2"/>
    <w:rsid w:val="00861CD5"/>
    <w:rsid w:val="00865B07"/>
    <w:rsid w:val="008667EA"/>
    <w:rsid w:val="008668B0"/>
    <w:rsid w:val="008701AD"/>
    <w:rsid w:val="0087225A"/>
    <w:rsid w:val="0087637F"/>
    <w:rsid w:val="00882B5A"/>
    <w:rsid w:val="00886301"/>
    <w:rsid w:val="00890A1D"/>
    <w:rsid w:val="00892AD5"/>
    <w:rsid w:val="008A1512"/>
    <w:rsid w:val="008A1789"/>
    <w:rsid w:val="008A2EA7"/>
    <w:rsid w:val="008A3206"/>
    <w:rsid w:val="008A3C25"/>
    <w:rsid w:val="008A4CA8"/>
    <w:rsid w:val="008A7A8B"/>
    <w:rsid w:val="008B06ED"/>
    <w:rsid w:val="008B2EFF"/>
    <w:rsid w:val="008B5CB2"/>
    <w:rsid w:val="008B7C03"/>
    <w:rsid w:val="008C1168"/>
    <w:rsid w:val="008C31EF"/>
    <w:rsid w:val="008C5456"/>
    <w:rsid w:val="008C7D5D"/>
    <w:rsid w:val="008D32B9"/>
    <w:rsid w:val="008D433B"/>
    <w:rsid w:val="008D4A16"/>
    <w:rsid w:val="008E0BD2"/>
    <w:rsid w:val="008E155F"/>
    <w:rsid w:val="008E1FA6"/>
    <w:rsid w:val="008E2A1F"/>
    <w:rsid w:val="008E3178"/>
    <w:rsid w:val="008E566E"/>
    <w:rsid w:val="008E5C56"/>
    <w:rsid w:val="008E7D43"/>
    <w:rsid w:val="008F077F"/>
    <w:rsid w:val="008F2A5D"/>
    <w:rsid w:val="008F4BEC"/>
    <w:rsid w:val="0090161A"/>
    <w:rsid w:val="00901EB6"/>
    <w:rsid w:val="00902EDA"/>
    <w:rsid w:val="00903E81"/>
    <w:rsid w:val="00904C62"/>
    <w:rsid w:val="00910132"/>
    <w:rsid w:val="00912C94"/>
    <w:rsid w:val="00914C71"/>
    <w:rsid w:val="00922BA8"/>
    <w:rsid w:val="00924DAC"/>
    <w:rsid w:val="0092538F"/>
    <w:rsid w:val="00926EC5"/>
    <w:rsid w:val="00927058"/>
    <w:rsid w:val="009349AE"/>
    <w:rsid w:val="00942750"/>
    <w:rsid w:val="009450CE"/>
    <w:rsid w:val="009450DF"/>
    <w:rsid w:val="009459BB"/>
    <w:rsid w:val="009466D8"/>
    <w:rsid w:val="00947179"/>
    <w:rsid w:val="0095164B"/>
    <w:rsid w:val="00952C49"/>
    <w:rsid w:val="00954090"/>
    <w:rsid w:val="00956934"/>
    <w:rsid w:val="009573E7"/>
    <w:rsid w:val="0096178A"/>
    <w:rsid w:val="00963E05"/>
    <w:rsid w:val="00964A45"/>
    <w:rsid w:val="00967843"/>
    <w:rsid w:val="00967D54"/>
    <w:rsid w:val="00970F00"/>
    <w:rsid w:val="00971028"/>
    <w:rsid w:val="009765D9"/>
    <w:rsid w:val="00982D7A"/>
    <w:rsid w:val="00987949"/>
    <w:rsid w:val="00991C64"/>
    <w:rsid w:val="00993B84"/>
    <w:rsid w:val="00996483"/>
    <w:rsid w:val="00996F5A"/>
    <w:rsid w:val="00997392"/>
    <w:rsid w:val="009B041A"/>
    <w:rsid w:val="009B0ECE"/>
    <w:rsid w:val="009B3188"/>
    <w:rsid w:val="009B70BB"/>
    <w:rsid w:val="009C2356"/>
    <w:rsid w:val="009C37C3"/>
    <w:rsid w:val="009C7C86"/>
    <w:rsid w:val="009D2CC0"/>
    <w:rsid w:val="009D2FF7"/>
    <w:rsid w:val="009E0B7E"/>
    <w:rsid w:val="009E53AF"/>
    <w:rsid w:val="009E7884"/>
    <w:rsid w:val="009E788A"/>
    <w:rsid w:val="009F0E08"/>
    <w:rsid w:val="00A0256D"/>
    <w:rsid w:val="00A10542"/>
    <w:rsid w:val="00A11BB4"/>
    <w:rsid w:val="00A134C4"/>
    <w:rsid w:val="00A138DC"/>
    <w:rsid w:val="00A163F9"/>
    <w:rsid w:val="00A1763D"/>
    <w:rsid w:val="00A17CEC"/>
    <w:rsid w:val="00A23B68"/>
    <w:rsid w:val="00A27EF0"/>
    <w:rsid w:val="00A413EF"/>
    <w:rsid w:val="00A42361"/>
    <w:rsid w:val="00A430DE"/>
    <w:rsid w:val="00A50B20"/>
    <w:rsid w:val="00A51390"/>
    <w:rsid w:val="00A517B6"/>
    <w:rsid w:val="00A53A91"/>
    <w:rsid w:val="00A55836"/>
    <w:rsid w:val="00A573BE"/>
    <w:rsid w:val="00A60D13"/>
    <w:rsid w:val="00A6648E"/>
    <w:rsid w:val="00A664A2"/>
    <w:rsid w:val="00A66A3C"/>
    <w:rsid w:val="00A7223D"/>
    <w:rsid w:val="00A72456"/>
    <w:rsid w:val="00A72745"/>
    <w:rsid w:val="00A752B8"/>
    <w:rsid w:val="00A7600F"/>
    <w:rsid w:val="00A767C7"/>
    <w:rsid w:val="00A76EFC"/>
    <w:rsid w:val="00A80E0A"/>
    <w:rsid w:val="00A80ED3"/>
    <w:rsid w:val="00A84957"/>
    <w:rsid w:val="00A862E7"/>
    <w:rsid w:val="00A87D50"/>
    <w:rsid w:val="00A91010"/>
    <w:rsid w:val="00A912CB"/>
    <w:rsid w:val="00A920DE"/>
    <w:rsid w:val="00A97AFA"/>
    <w:rsid w:val="00A97F29"/>
    <w:rsid w:val="00AA1A09"/>
    <w:rsid w:val="00AA5565"/>
    <w:rsid w:val="00AA6108"/>
    <w:rsid w:val="00AA702E"/>
    <w:rsid w:val="00AA7D26"/>
    <w:rsid w:val="00AB0964"/>
    <w:rsid w:val="00AB33AA"/>
    <w:rsid w:val="00AB5011"/>
    <w:rsid w:val="00AB626A"/>
    <w:rsid w:val="00AC2C23"/>
    <w:rsid w:val="00AC3176"/>
    <w:rsid w:val="00AC7368"/>
    <w:rsid w:val="00AD16B9"/>
    <w:rsid w:val="00AD7610"/>
    <w:rsid w:val="00AE28DA"/>
    <w:rsid w:val="00AE377D"/>
    <w:rsid w:val="00AE4F85"/>
    <w:rsid w:val="00AF0EBA"/>
    <w:rsid w:val="00AF119A"/>
    <w:rsid w:val="00B02C8A"/>
    <w:rsid w:val="00B03010"/>
    <w:rsid w:val="00B03C1B"/>
    <w:rsid w:val="00B13F39"/>
    <w:rsid w:val="00B1556F"/>
    <w:rsid w:val="00B15EBF"/>
    <w:rsid w:val="00B17B83"/>
    <w:rsid w:val="00B17FBD"/>
    <w:rsid w:val="00B23AF7"/>
    <w:rsid w:val="00B269FD"/>
    <w:rsid w:val="00B315A6"/>
    <w:rsid w:val="00B31813"/>
    <w:rsid w:val="00B33365"/>
    <w:rsid w:val="00B3453E"/>
    <w:rsid w:val="00B35013"/>
    <w:rsid w:val="00B3579B"/>
    <w:rsid w:val="00B53EBB"/>
    <w:rsid w:val="00B553F3"/>
    <w:rsid w:val="00B57B36"/>
    <w:rsid w:val="00B57E6F"/>
    <w:rsid w:val="00B60770"/>
    <w:rsid w:val="00B663A7"/>
    <w:rsid w:val="00B70AAA"/>
    <w:rsid w:val="00B714E5"/>
    <w:rsid w:val="00B72E0B"/>
    <w:rsid w:val="00B738DE"/>
    <w:rsid w:val="00B77230"/>
    <w:rsid w:val="00B81A39"/>
    <w:rsid w:val="00B82471"/>
    <w:rsid w:val="00B8272B"/>
    <w:rsid w:val="00B854C4"/>
    <w:rsid w:val="00B8686D"/>
    <w:rsid w:val="00B86F6E"/>
    <w:rsid w:val="00B87E58"/>
    <w:rsid w:val="00B90314"/>
    <w:rsid w:val="00B91115"/>
    <w:rsid w:val="00B93F69"/>
    <w:rsid w:val="00B95865"/>
    <w:rsid w:val="00BA4EFA"/>
    <w:rsid w:val="00BB1DDC"/>
    <w:rsid w:val="00BB3352"/>
    <w:rsid w:val="00BB473D"/>
    <w:rsid w:val="00BB774E"/>
    <w:rsid w:val="00BC0B68"/>
    <w:rsid w:val="00BC30C9"/>
    <w:rsid w:val="00BC63C6"/>
    <w:rsid w:val="00BC6CAD"/>
    <w:rsid w:val="00BD077D"/>
    <w:rsid w:val="00BE0E94"/>
    <w:rsid w:val="00BE3E58"/>
    <w:rsid w:val="00BE5656"/>
    <w:rsid w:val="00BF4021"/>
    <w:rsid w:val="00C01616"/>
    <w:rsid w:val="00C0162B"/>
    <w:rsid w:val="00C025BE"/>
    <w:rsid w:val="00C068ED"/>
    <w:rsid w:val="00C149D3"/>
    <w:rsid w:val="00C21F49"/>
    <w:rsid w:val="00C22E0C"/>
    <w:rsid w:val="00C30A24"/>
    <w:rsid w:val="00C32501"/>
    <w:rsid w:val="00C33831"/>
    <w:rsid w:val="00C345B1"/>
    <w:rsid w:val="00C37272"/>
    <w:rsid w:val="00C40142"/>
    <w:rsid w:val="00C4165A"/>
    <w:rsid w:val="00C42DA7"/>
    <w:rsid w:val="00C43800"/>
    <w:rsid w:val="00C51A77"/>
    <w:rsid w:val="00C52128"/>
    <w:rsid w:val="00C52C3C"/>
    <w:rsid w:val="00C5302F"/>
    <w:rsid w:val="00C556C2"/>
    <w:rsid w:val="00C57182"/>
    <w:rsid w:val="00C57863"/>
    <w:rsid w:val="00C57D52"/>
    <w:rsid w:val="00C60C30"/>
    <w:rsid w:val="00C6227C"/>
    <w:rsid w:val="00C62885"/>
    <w:rsid w:val="00C63321"/>
    <w:rsid w:val="00C640AF"/>
    <w:rsid w:val="00C655FD"/>
    <w:rsid w:val="00C75407"/>
    <w:rsid w:val="00C77BDF"/>
    <w:rsid w:val="00C80311"/>
    <w:rsid w:val="00C81A27"/>
    <w:rsid w:val="00C84051"/>
    <w:rsid w:val="00C842CE"/>
    <w:rsid w:val="00C870A8"/>
    <w:rsid w:val="00C94434"/>
    <w:rsid w:val="00C96B85"/>
    <w:rsid w:val="00C96D0B"/>
    <w:rsid w:val="00CA0D4A"/>
    <w:rsid w:val="00CA0D75"/>
    <w:rsid w:val="00CA1C95"/>
    <w:rsid w:val="00CA361D"/>
    <w:rsid w:val="00CA5A9C"/>
    <w:rsid w:val="00CB7209"/>
    <w:rsid w:val="00CC0B84"/>
    <w:rsid w:val="00CC2483"/>
    <w:rsid w:val="00CC4C20"/>
    <w:rsid w:val="00CC6FAE"/>
    <w:rsid w:val="00CD3517"/>
    <w:rsid w:val="00CD4189"/>
    <w:rsid w:val="00CD5FE2"/>
    <w:rsid w:val="00CE7C68"/>
    <w:rsid w:val="00CF036A"/>
    <w:rsid w:val="00CF1E66"/>
    <w:rsid w:val="00CF2D3D"/>
    <w:rsid w:val="00CF56C0"/>
    <w:rsid w:val="00D0037B"/>
    <w:rsid w:val="00D02049"/>
    <w:rsid w:val="00D02B4C"/>
    <w:rsid w:val="00D040C4"/>
    <w:rsid w:val="00D05293"/>
    <w:rsid w:val="00D05FE5"/>
    <w:rsid w:val="00D07EE1"/>
    <w:rsid w:val="00D114F7"/>
    <w:rsid w:val="00D20AD1"/>
    <w:rsid w:val="00D35628"/>
    <w:rsid w:val="00D402BF"/>
    <w:rsid w:val="00D4300D"/>
    <w:rsid w:val="00D46B7E"/>
    <w:rsid w:val="00D4721D"/>
    <w:rsid w:val="00D50B08"/>
    <w:rsid w:val="00D53051"/>
    <w:rsid w:val="00D57C84"/>
    <w:rsid w:val="00D6057D"/>
    <w:rsid w:val="00D60B70"/>
    <w:rsid w:val="00D648EC"/>
    <w:rsid w:val="00D661B8"/>
    <w:rsid w:val="00D71640"/>
    <w:rsid w:val="00D72840"/>
    <w:rsid w:val="00D72896"/>
    <w:rsid w:val="00D73BA4"/>
    <w:rsid w:val="00D800D5"/>
    <w:rsid w:val="00D836C5"/>
    <w:rsid w:val="00D84576"/>
    <w:rsid w:val="00D91BC7"/>
    <w:rsid w:val="00D93B40"/>
    <w:rsid w:val="00DA0E13"/>
    <w:rsid w:val="00DA1399"/>
    <w:rsid w:val="00DA21F7"/>
    <w:rsid w:val="00DA24C6"/>
    <w:rsid w:val="00DA4D7B"/>
    <w:rsid w:val="00DB3233"/>
    <w:rsid w:val="00DB3A41"/>
    <w:rsid w:val="00DB4B68"/>
    <w:rsid w:val="00DC57B8"/>
    <w:rsid w:val="00DD22E6"/>
    <w:rsid w:val="00DD271C"/>
    <w:rsid w:val="00DD2BFE"/>
    <w:rsid w:val="00DD37AA"/>
    <w:rsid w:val="00DD40F2"/>
    <w:rsid w:val="00DE0AE5"/>
    <w:rsid w:val="00DE23AD"/>
    <w:rsid w:val="00DE264A"/>
    <w:rsid w:val="00DE3855"/>
    <w:rsid w:val="00DE4318"/>
    <w:rsid w:val="00DE74CC"/>
    <w:rsid w:val="00DF40EB"/>
    <w:rsid w:val="00DF5072"/>
    <w:rsid w:val="00E02D18"/>
    <w:rsid w:val="00E041E7"/>
    <w:rsid w:val="00E052EB"/>
    <w:rsid w:val="00E121F1"/>
    <w:rsid w:val="00E20F73"/>
    <w:rsid w:val="00E231F3"/>
    <w:rsid w:val="00E23CA1"/>
    <w:rsid w:val="00E27F2B"/>
    <w:rsid w:val="00E30351"/>
    <w:rsid w:val="00E33DD7"/>
    <w:rsid w:val="00E3636A"/>
    <w:rsid w:val="00E36999"/>
    <w:rsid w:val="00E36E55"/>
    <w:rsid w:val="00E409A8"/>
    <w:rsid w:val="00E41A0F"/>
    <w:rsid w:val="00E41CAC"/>
    <w:rsid w:val="00E43F66"/>
    <w:rsid w:val="00E448F1"/>
    <w:rsid w:val="00E4777C"/>
    <w:rsid w:val="00E50C12"/>
    <w:rsid w:val="00E52E34"/>
    <w:rsid w:val="00E53091"/>
    <w:rsid w:val="00E54B2D"/>
    <w:rsid w:val="00E55374"/>
    <w:rsid w:val="00E62B38"/>
    <w:rsid w:val="00E6500C"/>
    <w:rsid w:val="00E656AC"/>
    <w:rsid w:val="00E65B91"/>
    <w:rsid w:val="00E7209D"/>
    <w:rsid w:val="00E72EAD"/>
    <w:rsid w:val="00E752F0"/>
    <w:rsid w:val="00E76838"/>
    <w:rsid w:val="00E77223"/>
    <w:rsid w:val="00E81419"/>
    <w:rsid w:val="00E8528B"/>
    <w:rsid w:val="00E85B94"/>
    <w:rsid w:val="00E8798E"/>
    <w:rsid w:val="00E908CA"/>
    <w:rsid w:val="00E976F1"/>
    <w:rsid w:val="00E978D0"/>
    <w:rsid w:val="00E97DD5"/>
    <w:rsid w:val="00EA019A"/>
    <w:rsid w:val="00EA4613"/>
    <w:rsid w:val="00EA5E8B"/>
    <w:rsid w:val="00EA769F"/>
    <w:rsid w:val="00EA7F91"/>
    <w:rsid w:val="00EB1523"/>
    <w:rsid w:val="00EB1DCF"/>
    <w:rsid w:val="00EB2CCA"/>
    <w:rsid w:val="00EB78CA"/>
    <w:rsid w:val="00EC0937"/>
    <w:rsid w:val="00EC0E49"/>
    <w:rsid w:val="00EC101F"/>
    <w:rsid w:val="00EC1D9F"/>
    <w:rsid w:val="00EE0131"/>
    <w:rsid w:val="00EE17B0"/>
    <w:rsid w:val="00EE227B"/>
    <w:rsid w:val="00EF06D9"/>
    <w:rsid w:val="00EF2894"/>
    <w:rsid w:val="00EF3516"/>
    <w:rsid w:val="00EF367B"/>
    <w:rsid w:val="00F005F5"/>
    <w:rsid w:val="00F025B0"/>
    <w:rsid w:val="00F13D3E"/>
    <w:rsid w:val="00F15573"/>
    <w:rsid w:val="00F167A5"/>
    <w:rsid w:val="00F23C89"/>
    <w:rsid w:val="00F301C3"/>
    <w:rsid w:val="00F3049E"/>
    <w:rsid w:val="00F3098F"/>
    <w:rsid w:val="00F30C64"/>
    <w:rsid w:val="00F3109C"/>
    <w:rsid w:val="00F314D7"/>
    <w:rsid w:val="00F32BA2"/>
    <w:rsid w:val="00F32CDB"/>
    <w:rsid w:val="00F35999"/>
    <w:rsid w:val="00F36A96"/>
    <w:rsid w:val="00F371FE"/>
    <w:rsid w:val="00F50052"/>
    <w:rsid w:val="00F52F48"/>
    <w:rsid w:val="00F55842"/>
    <w:rsid w:val="00F565FE"/>
    <w:rsid w:val="00F56EDA"/>
    <w:rsid w:val="00F63172"/>
    <w:rsid w:val="00F63A70"/>
    <w:rsid w:val="00F63D8C"/>
    <w:rsid w:val="00F74B22"/>
    <w:rsid w:val="00F7534E"/>
    <w:rsid w:val="00F75821"/>
    <w:rsid w:val="00F82C96"/>
    <w:rsid w:val="00F93EDF"/>
    <w:rsid w:val="00F96CBF"/>
    <w:rsid w:val="00F97A90"/>
    <w:rsid w:val="00FA1802"/>
    <w:rsid w:val="00FA19B7"/>
    <w:rsid w:val="00FA21D0"/>
    <w:rsid w:val="00FA2303"/>
    <w:rsid w:val="00FA2C75"/>
    <w:rsid w:val="00FA3F01"/>
    <w:rsid w:val="00FA5F5F"/>
    <w:rsid w:val="00FB379F"/>
    <w:rsid w:val="00FB4489"/>
    <w:rsid w:val="00FB4674"/>
    <w:rsid w:val="00FB5AE6"/>
    <w:rsid w:val="00FB730C"/>
    <w:rsid w:val="00FB7903"/>
    <w:rsid w:val="00FB79B5"/>
    <w:rsid w:val="00FC007D"/>
    <w:rsid w:val="00FC0335"/>
    <w:rsid w:val="00FC2173"/>
    <w:rsid w:val="00FC2695"/>
    <w:rsid w:val="00FC3E03"/>
    <w:rsid w:val="00FC3FC1"/>
    <w:rsid w:val="00FC775C"/>
    <w:rsid w:val="00FD05FB"/>
    <w:rsid w:val="00FD154C"/>
    <w:rsid w:val="00FD1A80"/>
    <w:rsid w:val="00FD2776"/>
    <w:rsid w:val="00FD62BA"/>
    <w:rsid w:val="00FE607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styleId="Revision">
    <w:name w:val="Revision"/>
    <w:hidden/>
    <w:uiPriority w:val="99"/>
    <w:semiHidden/>
    <w:rsid w:val="00F75821"/>
    <w:pPr>
      <w:spacing w:after="0" w:line="240" w:lineRule="auto"/>
    </w:pPr>
    <w:rPr>
      <w:rFonts w:ascii="Arial" w:eastAsia="Times New Roman" w:hAnsi="Arial" w:cs="Times New Roman"/>
      <w:sz w:val="18"/>
      <w:szCs w:val="20"/>
      <w:lang w:val="en-GB"/>
    </w:rPr>
  </w:style>
  <w:style w:type="character" w:styleId="UnresolvedMention">
    <w:name w:val="Unresolved Mention"/>
    <w:basedOn w:val="DefaultParagraphFont"/>
    <w:uiPriority w:val="99"/>
    <w:semiHidden/>
    <w:unhideWhenUsed/>
    <w:rsid w:val="00FA2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731bb78-918f-41e9-b6c4-fae79335be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48073F9861F59429E469784EA8C612C" ma:contentTypeVersion="18" ma:contentTypeDescription="Opret et nyt dokument." ma:contentTypeScope="" ma:versionID="44d05cc2e6c93b1ea81b8e9a0e248840">
  <xsd:schema xmlns:xsd="http://www.w3.org/2001/XMLSchema" xmlns:xs="http://www.w3.org/2001/XMLSchema" xmlns:p="http://schemas.microsoft.com/office/2006/metadata/properties" xmlns:ns3="8731bb78-918f-41e9-b6c4-fae79335be6b" xmlns:ns4="3814c70c-c723-450d-85c4-d82cb98d93e3" targetNamespace="http://schemas.microsoft.com/office/2006/metadata/properties" ma:root="true" ma:fieldsID="6f6ad2c520ca84aeece38f09d31ae8ed" ns3:_="" ns4:_="">
    <xsd:import namespace="8731bb78-918f-41e9-b6c4-fae79335be6b"/>
    <xsd:import namespace="3814c70c-c723-450d-85c4-d82cb98d93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1bb78-918f-41e9-b6c4-fae79335b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14c70c-c723-450d-85c4-d82cb98d93e3"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element name="SharingHintHash" ma:index="21"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35D99-52AC-4363-A606-756C3089C5DF}">
  <ds:schemaRefs>
    <ds:schemaRef ds:uri="http://schemas.microsoft.com/office/2006/metadata/properties"/>
    <ds:schemaRef ds:uri="http://schemas.microsoft.com/office/infopath/2007/PartnerControls"/>
    <ds:schemaRef ds:uri="8731bb78-918f-41e9-b6c4-fae79335be6b"/>
  </ds:schemaRefs>
</ds:datastoreItem>
</file>

<file path=customXml/itemProps2.xml><?xml version="1.0" encoding="utf-8"?>
<ds:datastoreItem xmlns:ds="http://schemas.openxmlformats.org/officeDocument/2006/customXml" ds:itemID="{29628F06-A197-4F01-B586-425C87AE468D}">
  <ds:schemaRefs>
    <ds:schemaRef ds:uri="http://schemas.microsoft.com/sharepoint/v3/contenttype/forms"/>
  </ds:schemaRefs>
</ds:datastoreItem>
</file>

<file path=customXml/itemProps3.xml><?xml version="1.0" encoding="utf-8"?>
<ds:datastoreItem xmlns:ds="http://schemas.openxmlformats.org/officeDocument/2006/customXml" ds:itemID="{C4CD579A-0A3E-445E-86FE-7ADE03CA5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1bb78-918f-41e9-b6c4-fae79335be6b"/>
    <ds:schemaRef ds:uri="3814c70c-c723-450d-85c4-d82cb98d9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9623</Words>
  <Characters>53123</Characters>
  <Application>Microsoft Office Word</Application>
  <DocSecurity>0</DocSecurity>
  <Lines>931</Lines>
  <Paragraphs>412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62334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Thalles Allan Andrade</cp:lastModifiedBy>
  <cp:revision>2</cp:revision>
  <cp:lastPrinted>2015-05-12T23:31:00Z</cp:lastPrinted>
  <dcterms:created xsi:type="dcterms:W3CDTF">2024-03-07T14:19:00Z</dcterms:created>
  <dcterms:modified xsi:type="dcterms:W3CDTF">2024-03-07T14:19:00Z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id="KpwdQ9Wo"/&gt;&lt;style id="http://www.zotero.org/styles/bioresource-technology" hasBibliography="1" bibliographyStyleHasBeenSet="1"/&gt;&lt;prefs&gt;&lt;pref name="fieldType" value="Field"/&gt;&lt;pref name="storeRefer</vt:lpwstr>
  </property>
  <property fmtid="{D5CDD505-2E9C-101B-9397-08002B2CF9AE}" pid="3" name="ZOTERO_PREF_2">
    <vt:lpwstr>ences" value="true"/&gt;&lt;/prefs&gt;&lt;/data&gt;</vt:lpwstr>
  </property>
  <property fmtid="{D5CDD505-2E9C-101B-9397-08002B2CF9AE}" pid="4" name="ContentTypeId">
    <vt:lpwstr>0x010100148073F9861F59429E469784EA8C612C</vt:lpwstr>
  </property>
  <property fmtid="{D5CDD505-2E9C-101B-9397-08002B2CF9AE}" pid="5" name="GrammarlyDocumentId">
    <vt:lpwstr>764a981bad8cfcf82dcf2514dea9d5b5497b6049431a084c74b2a400a88e03f4</vt:lpwstr>
  </property>
</Properties>
</file>