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AC3324" w14:paraId="2A131A54" w14:textId="77777777" w:rsidTr="009D345F">
        <w:trPr>
          <w:trHeight w:val="852"/>
          <w:jc w:val="center"/>
        </w:trPr>
        <w:tc>
          <w:tcPr>
            <w:tcW w:w="6940" w:type="dxa"/>
            <w:vMerge w:val="restart"/>
            <w:tcBorders>
              <w:right w:val="single" w:sz="4" w:space="0" w:color="auto"/>
            </w:tcBorders>
          </w:tcPr>
          <w:p w14:paraId="38C3D2BA" w14:textId="77777777" w:rsidR="000A03B2" w:rsidRPr="00AC3324" w:rsidRDefault="000A03B2" w:rsidP="00DE264A">
            <w:pPr>
              <w:tabs>
                <w:tab w:val="left" w:pos="-108"/>
              </w:tabs>
              <w:ind w:left="-108"/>
              <w:jc w:val="left"/>
              <w:rPr>
                <w:rFonts w:cs="Arial"/>
                <w:b/>
                <w:bCs/>
                <w:i/>
                <w:iCs/>
                <w:color w:val="000066"/>
                <w:sz w:val="12"/>
                <w:szCs w:val="12"/>
                <w:lang w:eastAsia="it-IT"/>
              </w:rPr>
            </w:pPr>
            <w:r w:rsidRPr="00AC3324">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AC3324">
              <w:rPr>
                <w:rFonts w:ascii="AdvP6960" w:hAnsi="AdvP6960" w:cs="AdvP6960"/>
                <w:color w:val="241F20"/>
                <w:szCs w:val="18"/>
                <w:lang w:eastAsia="it-IT"/>
              </w:rPr>
              <w:t xml:space="preserve"> </w:t>
            </w:r>
            <w:r w:rsidRPr="00AC3324">
              <w:rPr>
                <w:rFonts w:cs="Arial"/>
                <w:b/>
                <w:bCs/>
                <w:i/>
                <w:iCs/>
                <w:color w:val="000066"/>
                <w:sz w:val="24"/>
                <w:szCs w:val="24"/>
                <w:lang w:eastAsia="it-IT"/>
              </w:rPr>
              <w:t>CHEMICAL ENGINEERING</w:t>
            </w:r>
            <w:r w:rsidRPr="00AC3324">
              <w:rPr>
                <w:rFonts w:cs="Arial"/>
                <w:b/>
                <w:bCs/>
                <w:i/>
                <w:iCs/>
                <w:color w:val="0033FF"/>
                <w:sz w:val="24"/>
                <w:szCs w:val="24"/>
                <w:lang w:eastAsia="it-IT"/>
              </w:rPr>
              <w:t xml:space="preserve"> </w:t>
            </w:r>
            <w:r w:rsidRPr="00AC3324">
              <w:rPr>
                <w:rFonts w:cs="Arial"/>
                <w:b/>
                <w:bCs/>
                <w:i/>
                <w:iCs/>
                <w:color w:val="666666"/>
                <w:sz w:val="24"/>
                <w:szCs w:val="24"/>
                <w:lang w:eastAsia="it-IT"/>
              </w:rPr>
              <w:t>TRANSACTIONS</w:t>
            </w:r>
            <w:r w:rsidRPr="00AC3324">
              <w:rPr>
                <w:color w:val="333333"/>
                <w:sz w:val="24"/>
                <w:szCs w:val="24"/>
                <w:lang w:eastAsia="it-IT"/>
              </w:rPr>
              <w:t xml:space="preserve"> </w:t>
            </w:r>
            <w:r w:rsidRPr="00AC3324">
              <w:rPr>
                <w:rFonts w:cs="Arial"/>
                <w:b/>
                <w:bCs/>
                <w:i/>
                <w:iCs/>
                <w:color w:val="000066"/>
                <w:sz w:val="27"/>
                <w:szCs w:val="27"/>
                <w:lang w:eastAsia="it-IT"/>
              </w:rPr>
              <w:br/>
            </w:r>
          </w:p>
          <w:p w14:paraId="4B780582" w14:textId="15DAE12D" w:rsidR="000A03B2" w:rsidRPr="00AC3324" w:rsidRDefault="00A76EFC" w:rsidP="001D21AF">
            <w:pPr>
              <w:tabs>
                <w:tab w:val="left" w:pos="-108"/>
              </w:tabs>
              <w:ind w:left="-108"/>
              <w:rPr>
                <w:rFonts w:cs="Arial"/>
                <w:b/>
                <w:bCs/>
                <w:i/>
                <w:iCs/>
                <w:color w:val="000066"/>
                <w:sz w:val="22"/>
                <w:szCs w:val="22"/>
                <w:lang w:eastAsia="it-IT"/>
              </w:rPr>
            </w:pPr>
            <w:r w:rsidRPr="00AC3324">
              <w:rPr>
                <w:rFonts w:cs="Arial"/>
                <w:b/>
                <w:bCs/>
                <w:i/>
                <w:iCs/>
                <w:color w:val="000066"/>
                <w:sz w:val="22"/>
                <w:szCs w:val="22"/>
                <w:lang w:eastAsia="it-IT"/>
              </w:rPr>
              <w:t>VOL.</w:t>
            </w:r>
            <w:r w:rsidR="00843EAC" w:rsidRPr="00AC3324">
              <w:rPr>
                <w:rFonts w:cs="Arial"/>
                <w:b/>
                <w:bCs/>
                <w:i/>
                <w:iCs/>
                <w:color w:val="000066"/>
                <w:sz w:val="22"/>
                <w:szCs w:val="22"/>
                <w:lang w:eastAsia="it-IT"/>
              </w:rPr>
              <w:t xml:space="preserve">    </w:t>
            </w:r>
            <w:r w:rsidR="004761E9" w:rsidRPr="00AC3324">
              <w:rPr>
                <w:rFonts w:cs="Arial"/>
                <w:b/>
                <w:bCs/>
                <w:i/>
                <w:iCs/>
                <w:color w:val="000066"/>
                <w:sz w:val="22"/>
                <w:szCs w:val="22"/>
                <w:lang w:eastAsia="it-IT"/>
              </w:rPr>
              <w:t xml:space="preserve"> </w:t>
            </w:r>
            <w:r w:rsidR="007B48F9" w:rsidRPr="00AC3324">
              <w:rPr>
                <w:rFonts w:cs="Arial"/>
                <w:b/>
                <w:bCs/>
                <w:i/>
                <w:iCs/>
                <w:color w:val="000066"/>
                <w:sz w:val="22"/>
                <w:szCs w:val="22"/>
                <w:lang w:eastAsia="it-IT"/>
              </w:rPr>
              <w:t>,</w:t>
            </w:r>
            <w:r w:rsidR="00FA5F5F" w:rsidRPr="00AC3324">
              <w:rPr>
                <w:rFonts w:cs="Arial"/>
                <w:b/>
                <w:bCs/>
                <w:i/>
                <w:iCs/>
                <w:color w:val="000066"/>
                <w:sz w:val="22"/>
                <w:szCs w:val="22"/>
                <w:lang w:eastAsia="it-IT"/>
              </w:rPr>
              <w:t xml:space="preserve"> </w:t>
            </w:r>
            <w:r w:rsidR="0030152C" w:rsidRPr="00AC3324">
              <w:rPr>
                <w:rFonts w:cs="Arial"/>
                <w:b/>
                <w:bCs/>
                <w:i/>
                <w:iCs/>
                <w:color w:val="000066"/>
                <w:sz w:val="22"/>
                <w:szCs w:val="22"/>
                <w:lang w:eastAsia="it-IT"/>
              </w:rPr>
              <w:t>202</w:t>
            </w:r>
            <w:r w:rsidR="00DB3233" w:rsidRPr="00AC3324">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AC3324" w:rsidRDefault="000A03B2" w:rsidP="00CD5FE2">
            <w:pPr>
              <w:spacing w:line="140" w:lineRule="atLeast"/>
              <w:jc w:val="right"/>
              <w:rPr>
                <w:rFonts w:cs="Arial"/>
                <w:sz w:val="14"/>
                <w:szCs w:val="14"/>
              </w:rPr>
            </w:pPr>
            <w:r w:rsidRPr="00AC3324">
              <w:rPr>
                <w:rFonts w:cs="Arial"/>
                <w:sz w:val="14"/>
                <w:szCs w:val="14"/>
              </w:rPr>
              <w:t>A publication of</w:t>
            </w:r>
          </w:p>
          <w:p w14:paraId="599E5441" w14:textId="77777777" w:rsidR="000A03B2" w:rsidRPr="00AC3324" w:rsidRDefault="000A03B2" w:rsidP="00CD5FE2">
            <w:pPr>
              <w:jc w:val="right"/>
            </w:pPr>
            <w:r w:rsidRPr="00AC3324">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AC3324" w14:paraId="380FA3CD" w14:textId="77777777" w:rsidTr="009D345F">
        <w:trPr>
          <w:trHeight w:val="567"/>
          <w:jc w:val="center"/>
        </w:trPr>
        <w:tc>
          <w:tcPr>
            <w:tcW w:w="6940" w:type="dxa"/>
            <w:vMerge/>
            <w:tcBorders>
              <w:right w:val="single" w:sz="4" w:space="0" w:color="auto"/>
            </w:tcBorders>
          </w:tcPr>
          <w:p w14:paraId="39E5E4C1" w14:textId="77777777" w:rsidR="000A03B2" w:rsidRPr="00AC3324"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AC3324" w:rsidRDefault="000A03B2" w:rsidP="00CD5FE2">
            <w:pPr>
              <w:spacing w:line="140" w:lineRule="atLeast"/>
              <w:jc w:val="right"/>
              <w:rPr>
                <w:rFonts w:cs="Arial"/>
                <w:sz w:val="14"/>
                <w:szCs w:val="14"/>
              </w:rPr>
            </w:pPr>
            <w:r w:rsidRPr="00AC3324">
              <w:rPr>
                <w:rFonts w:cs="Arial"/>
                <w:sz w:val="14"/>
                <w:szCs w:val="14"/>
              </w:rPr>
              <w:t>The Italian Association</w:t>
            </w:r>
          </w:p>
          <w:p w14:paraId="7522B1D2" w14:textId="77777777" w:rsidR="000A03B2" w:rsidRPr="00AC3324" w:rsidRDefault="000A03B2" w:rsidP="00CD5FE2">
            <w:pPr>
              <w:spacing w:line="140" w:lineRule="atLeast"/>
              <w:jc w:val="right"/>
              <w:rPr>
                <w:rFonts w:cs="Arial"/>
                <w:sz w:val="14"/>
                <w:szCs w:val="14"/>
              </w:rPr>
            </w:pPr>
            <w:r w:rsidRPr="00AC3324">
              <w:rPr>
                <w:rFonts w:cs="Arial"/>
                <w:sz w:val="14"/>
                <w:szCs w:val="14"/>
              </w:rPr>
              <w:t>of Chemical Engineering</w:t>
            </w:r>
          </w:p>
          <w:p w14:paraId="4F0CC5DE" w14:textId="47FDB2FC" w:rsidR="000A03B2" w:rsidRPr="00AC3324" w:rsidRDefault="000D0268" w:rsidP="00CD5FE2">
            <w:pPr>
              <w:spacing w:line="140" w:lineRule="atLeast"/>
              <w:jc w:val="right"/>
              <w:rPr>
                <w:rFonts w:cs="Arial"/>
                <w:sz w:val="13"/>
                <w:szCs w:val="13"/>
              </w:rPr>
            </w:pPr>
            <w:r w:rsidRPr="00AC3324">
              <w:rPr>
                <w:rFonts w:cs="Arial"/>
                <w:sz w:val="13"/>
                <w:szCs w:val="13"/>
              </w:rPr>
              <w:t>Online at www.cetjournal.it</w:t>
            </w:r>
          </w:p>
        </w:tc>
      </w:tr>
      <w:tr w:rsidR="000A03B2" w:rsidRPr="00AC3324" w14:paraId="2D1B7169" w14:textId="77777777" w:rsidTr="009D345F">
        <w:trPr>
          <w:trHeight w:val="68"/>
          <w:jc w:val="center"/>
        </w:trPr>
        <w:tc>
          <w:tcPr>
            <w:tcW w:w="8782" w:type="dxa"/>
            <w:gridSpan w:val="2"/>
          </w:tcPr>
          <w:p w14:paraId="1D8DD3C9" w14:textId="475D992A" w:rsidR="00AA7D26" w:rsidRPr="00AC3324" w:rsidRDefault="00AA7D26" w:rsidP="00AA7D26">
            <w:pPr>
              <w:ind w:left="-107"/>
              <w:outlineLvl w:val="2"/>
              <w:rPr>
                <w:rFonts w:ascii="Tahoma" w:hAnsi="Tahoma" w:cs="Tahoma"/>
                <w:bCs/>
                <w:color w:val="000000"/>
                <w:sz w:val="14"/>
                <w:szCs w:val="14"/>
                <w:lang w:eastAsia="it-IT"/>
              </w:rPr>
            </w:pPr>
            <w:r w:rsidRPr="00AC3324">
              <w:rPr>
                <w:rFonts w:ascii="Tahoma" w:hAnsi="Tahoma" w:cs="Tahoma"/>
                <w:iCs/>
                <w:color w:val="333333"/>
                <w:sz w:val="14"/>
                <w:szCs w:val="14"/>
                <w:lang w:eastAsia="it-IT"/>
              </w:rPr>
              <w:t>Guest Editors:</w:t>
            </w:r>
            <w:r w:rsidRPr="00AC3324">
              <w:rPr>
                <w:rFonts w:ascii="Tahoma" w:hAnsi="Tahoma" w:cs="Tahoma"/>
                <w:color w:val="000000"/>
                <w:sz w:val="14"/>
                <w:szCs w:val="14"/>
                <w:shd w:val="clear" w:color="auto" w:fill="FFFFFF"/>
              </w:rPr>
              <w:t xml:space="preserve"> </w:t>
            </w:r>
            <w:r w:rsidR="006A23E9" w:rsidRPr="00AC3324">
              <w:rPr>
                <w:rFonts w:ascii="Tahoma" w:hAnsi="Tahoma" w:cs="Tahoma"/>
                <w:color w:val="000000"/>
                <w:sz w:val="14"/>
                <w:szCs w:val="14"/>
                <w:shd w:val="clear" w:color="auto" w:fill="FFFFFF"/>
              </w:rPr>
              <w:t xml:space="preserve">Leonardo Tognotti, </w:t>
            </w:r>
            <w:r w:rsidR="006A23E9" w:rsidRPr="00AC3324">
              <w:rPr>
                <w:rFonts w:ascii="Tahoma" w:hAnsi="Tahoma" w:cs="Tahoma"/>
                <w:color w:val="000000"/>
                <w:sz w:val="14"/>
                <w:szCs w:val="14"/>
              </w:rPr>
              <w:t>Rubens Maciel Filho</w:t>
            </w:r>
            <w:r w:rsidR="006A23E9" w:rsidRPr="00AC3324">
              <w:rPr>
                <w:rFonts w:ascii="Tahoma" w:hAnsi="Tahoma" w:cs="Tahoma"/>
                <w:color w:val="000000"/>
                <w:sz w:val="14"/>
                <w:szCs w:val="14"/>
                <w:shd w:val="clear" w:color="auto" w:fill="FFFFFF"/>
              </w:rPr>
              <w:t xml:space="preserve">, </w:t>
            </w:r>
            <w:r w:rsidR="006A23E9" w:rsidRPr="00AC3324">
              <w:rPr>
                <w:rFonts w:ascii="Tahoma" w:hAnsi="Tahoma" w:cs="Tahoma"/>
                <w:color w:val="000000"/>
                <w:sz w:val="14"/>
                <w:szCs w:val="14"/>
              </w:rPr>
              <w:t>Viatcheslav Kafarov</w:t>
            </w:r>
          </w:p>
          <w:p w14:paraId="1B0F1814" w14:textId="3AD74145" w:rsidR="000A03B2" w:rsidRPr="00AC3324" w:rsidRDefault="00AA7D26" w:rsidP="00AA7D26">
            <w:pPr>
              <w:tabs>
                <w:tab w:val="left" w:pos="-108"/>
              </w:tabs>
              <w:spacing w:line="140" w:lineRule="atLeast"/>
              <w:ind w:left="-107"/>
              <w:jc w:val="left"/>
            </w:pPr>
            <w:r w:rsidRPr="00AC3324">
              <w:rPr>
                <w:rFonts w:ascii="Tahoma" w:hAnsi="Tahoma" w:cs="Tahoma"/>
                <w:iCs/>
                <w:color w:val="333333"/>
                <w:sz w:val="14"/>
                <w:szCs w:val="14"/>
                <w:lang w:eastAsia="it-IT"/>
              </w:rPr>
              <w:t>Copyright © 202</w:t>
            </w:r>
            <w:r w:rsidR="00843EAC" w:rsidRPr="00AC3324">
              <w:rPr>
                <w:rFonts w:ascii="Tahoma" w:hAnsi="Tahoma" w:cs="Tahoma"/>
                <w:iCs/>
                <w:color w:val="333333"/>
                <w:sz w:val="14"/>
                <w:szCs w:val="14"/>
                <w:lang w:eastAsia="it-IT"/>
              </w:rPr>
              <w:t>4</w:t>
            </w:r>
            <w:r w:rsidRPr="00AC3324">
              <w:rPr>
                <w:rFonts w:ascii="Tahoma" w:hAnsi="Tahoma" w:cs="Tahoma"/>
                <w:iCs/>
                <w:color w:val="333333"/>
                <w:sz w:val="14"/>
                <w:szCs w:val="14"/>
                <w:lang w:eastAsia="it-IT"/>
              </w:rPr>
              <w:t>, AIDIC Servizi S.r.l.</w:t>
            </w:r>
            <w:r w:rsidRPr="00AC3324">
              <w:rPr>
                <w:rFonts w:ascii="Tahoma" w:hAnsi="Tahoma" w:cs="Tahoma"/>
                <w:iCs/>
                <w:color w:val="333333"/>
                <w:sz w:val="14"/>
                <w:szCs w:val="14"/>
                <w:lang w:eastAsia="it-IT"/>
              </w:rPr>
              <w:br/>
            </w:r>
            <w:r w:rsidRPr="00AC3324">
              <w:rPr>
                <w:rFonts w:ascii="Tahoma" w:hAnsi="Tahoma" w:cs="Tahoma"/>
                <w:b/>
                <w:iCs/>
                <w:color w:val="000000"/>
                <w:sz w:val="14"/>
                <w:szCs w:val="14"/>
                <w:lang w:eastAsia="it-IT"/>
              </w:rPr>
              <w:t>ISBN</w:t>
            </w:r>
            <w:r w:rsidRPr="00AC3324">
              <w:rPr>
                <w:rFonts w:ascii="Tahoma" w:hAnsi="Tahoma" w:cs="Tahoma"/>
                <w:iCs/>
                <w:color w:val="000000"/>
                <w:sz w:val="14"/>
                <w:szCs w:val="14"/>
                <w:lang w:eastAsia="it-IT"/>
              </w:rPr>
              <w:t xml:space="preserve"> </w:t>
            </w:r>
            <w:r w:rsidR="008B7C03" w:rsidRPr="00AC3324">
              <w:rPr>
                <w:rFonts w:ascii="Tahoma" w:hAnsi="Tahoma" w:cs="Tahoma"/>
                <w:sz w:val="14"/>
                <w:szCs w:val="14"/>
              </w:rPr>
              <w:t>979-12-81206</w:t>
            </w:r>
            <w:r w:rsidRPr="00AC3324">
              <w:rPr>
                <w:rFonts w:ascii="Tahoma" w:hAnsi="Tahoma" w:cs="Tahoma"/>
                <w:sz w:val="14"/>
                <w:szCs w:val="14"/>
              </w:rPr>
              <w:t>-</w:t>
            </w:r>
            <w:r w:rsidR="00DB3233" w:rsidRPr="00AC3324">
              <w:rPr>
                <w:rFonts w:ascii="Tahoma" w:hAnsi="Tahoma" w:cs="Tahoma"/>
                <w:sz w:val="14"/>
                <w:szCs w:val="14"/>
              </w:rPr>
              <w:t>09</w:t>
            </w:r>
            <w:r w:rsidRPr="00AC3324">
              <w:rPr>
                <w:rFonts w:ascii="Tahoma" w:hAnsi="Tahoma" w:cs="Tahoma"/>
                <w:sz w:val="14"/>
                <w:szCs w:val="14"/>
              </w:rPr>
              <w:t>-</w:t>
            </w:r>
            <w:r w:rsidR="00DB3233" w:rsidRPr="00AC3324">
              <w:rPr>
                <w:rFonts w:ascii="Tahoma" w:hAnsi="Tahoma" w:cs="Tahoma"/>
                <w:sz w:val="14"/>
                <w:szCs w:val="14"/>
              </w:rPr>
              <w:t>0</w:t>
            </w:r>
            <w:r w:rsidRPr="00AC3324">
              <w:rPr>
                <w:rFonts w:ascii="Tahoma" w:hAnsi="Tahoma" w:cs="Tahoma"/>
                <w:iCs/>
                <w:color w:val="333333"/>
                <w:sz w:val="14"/>
                <w:szCs w:val="14"/>
                <w:lang w:eastAsia="it-IT"/>
              </w:rPr>
              <w:t xml:space="preserve">; </w:t>
            </w:r>
            <w:r w:rsidRPr="00AC3324">
              <w:rPr>
                <w:rFonts w:ascii="Tahoma" w:hAnsi="Tahoma" w:cs="Tahoma"/>
                <w:b/>
                <w:iCs/>
                <w:color w:val="333333"/>
                <w:sz w:val="14"/>
                <w:szCs w:val="14"/>
                <w:lang w:eastAsia="it-IT"/>
              </w:rPr>
              <w:t>ISSN</w:t>
            </w:r>
            <w:r w:rsidRPr="00AC3324">
              <w:rPr>
                <w:rFonts w:ascii="Tahoma" w:hAnsi="Tahoma" w:cs="Tahoma"/>
                <w:iCs/>
                <w:color w:val="333333"/>
                <w:sz w:val="14"/>
                <w:szCs w:val="14"/>
                <w:lang w:eastAsia="it-IT"/>
              </w:rPr>
              <w:t xml:space="preserve"> 2283-9216</w:t>
            </w:r>
          </w:p>
        </w:tc>
      </w:tr>
    </w:tbl>
    <w:p w14:paraId="2E667253" w14:textId="32E053E0" w:rsidR="00E978D0" w:rsidRPr="00AC3324" w:rsidRDefault="00C244C4" w:rsidP="00E978D0">
      <w:pPr>
        <w:pStyle w:val="CETTitle"/>
      </w:pPr>
      <w:r w:rsidRPr="00AC3324">
        <w:t xml:space="preserve">Energy </w:t>
      </w:r>
      <w:r w:rsidR="000B5CE9">
        <w:t>A</w:t>
      </w:r>
      <w:r w:rsidRPr="00AC3324">
        <w:t xml:space="preserve">ssessment of a </w:t>
      </w:r>
      <w:r w:rsidR="000B5CE9">
        <w:t>S</w:t>
      </w:r>
      <w:r w:rsidRPr="00AC3324">
        <w:t xml:space="preserve">low </w:t>
      </w:r>
      <w:r w:rsidR="008F2BE7">
        <w:t>P</w:t>
      </w:r>
      <w:r w:rsidRPr="00AC3324">
        <w:t xml:space="preserve">yrolysis </w:t>
      </w:r>
      <w:r w:rsidR="008F2BE7">
        <w:t>P</w:t>
      </w:r>
      <w:r w:rsidRPr="00AC3324">
        <w:t xml:space="preserve">lant for </w:t>
      </w:r>
      <w:r w:rsidR="008F2BE7">
        <w:t>B</w:t>
      </w:r>
      <w:r w:rsidRPr="00AC3324">
        <w:t xml:space="preserve">iochar and </w:t>
      </w:r>
      <w:r w:rsidR="008F2BE7">
        <w:t>H</w:t>
      </w:r>
      <w:r w:rsidRPr="00AC3324">
        <w:t xml:space="preserve">eat </w:t>
      </w:r>
      <w:r w:rsidR="008F2BE7">
        <w:t>C</w:t>
      </w:r>
      <w:r w:rsidRPr="00AC3324">
        <w:t>ogeneration</w:t>
      </w:r>
    </w:p>
    <w:p w14:paraId="0488FED2" w14:textId="3886FC33" w:rsidR="00B57E6F" w:rsidRPr="001368FD" w:rsidRDefault="009D345F" w:rsidP="00B57E6F">
      <w:pPr>
        <w:pStyle w:val="CETAuthors"/>
        <w:rPr>
          <w:lang w:val="it-IT"/>
        </w:rPr>
      </w:pPr>
      <w:r w:rsidRPr="001368FD">
        <w:rPr>
          <w:lang w:val="it-IT"/>
        </w:rPr>
        <w:t>Gabriele Fambri</w:t>
      </w:r>
      <w:r w:rsidR="00B57E6F" w:rsidRPr="001368FD">
        <w:rPr>
          <w:vertAlign w:val="superscript"/>
          <w:lang w:val="it-IT"/>
        </w:rPr>
        <w:t>a</w:t>
      </w:r>
      <w:r w:rsidRPr="001368FD">
        <w:rPr>
          <w:vertAlign w:val="superscript"/>
          <w:lang w:val="it-IT"/>
        </w:rPr>
        <w:t>,</w:t>
      </w:r>
      <w:r w:rsidRPr="001368FD">
        <w:rPr>
          <w:lang w:val="it-IT"/>
        </w:rPr>
        <w:t>*</w:t>
      </w:r>
      <w:r w:rsidR="00B57E6F" w:rsidRPr="001368FD">
        <w:rPr>
          <w:lang w:val="it-IT"/>
        </w:rPr>
        <w:t xml:space="preserve">, </w:t>
      </w:r>
      <w:r w:rsidRPr="001368FD">
        <w:rPr>
          <w:lang w:val="it-IT"/>
        </w:rPr>
        <w:t>Giacomo Lombardi</w:t>
      </w:r>
      <w:r w:rsidR="00B57E6F" w:rsidRPr="001368FD">
        <w:rPr>
          <w:vertAlign w:val="superscript"/>
          <w:lang w:val="it-IT"/>
        </w:rPr>
        <w:t>b</w:t>
      </w:r>
      <w:r w:rsidR="00B57E6F" w:rsidRPr="001368FD">
        <w:rPr>
          <w:lang w:val="it-IT"/>
        </w:rPr>
        <w:t xml:space="preserve">, </w:t>
      </w:r>
      <w:r w:rsidRPr="001368FD">
        <w:rPr>
          <w:lang w:val="it-IT"/>
        </w:rPr>
        <w:t>Marco Badami</w:t>
      </w:r>
      <w:r w:rsidRPr="001368FD">
        <w:rPr>
          <w:vertAlign w:val="superscript"/>
          <w:lang w:val="it-IT"/>
        </w:rPr>
        <w:t>a</w:t>
      </w:r>
      <w:r w:rsidRPr="001368FD">
        <w:rPr>
          <w:lang w:val="it-IT"/>
        </w:rPr>
        <w:t>, David Chiaramonti</w:t>
      </w:r>
      <w:r w:rsidRPr="001368FD">
        <w:rPr>
          <w:vertAlign w:val="superscript"/>
          <w:lang w:val="it-IT"/>
        </w:rPr>
        <w:t xml:space="preserve"> a</w:t>
      </w:r>
    </w:p>
    <w:p w14:paraId="6B2D21B3" w14:textId="43DC1E28" w:rsidR="00B57E6F" w:rsidRPr="001368FD" w:rsidRDefault="00B57E6F" w:rsidP="00B57E6F">
      <w:pPr>
        <w:pStyle w:val="CETAddress"/>
        <w:rPr>
          <w:lang w:val="it-IT"/>
        </w:rPr>
      </w:pPr>
      <w:r w:rsidRPr="001368FD">
        <w:rPr>
          <w:vertAlign w:val="superscript"/>
          <w:lang w:val="it-IT"/>
        </w:rPr>
        <w:t>a</w:t>
      </w:r>
      <w:r w:rsidR="009D345F" w:rsidRPr="001368FD">
        <w:rPr>
          <w:lang w:val="it-IT"/>
        </w:rPr>
        <w:t xml:space="preserve"> Energy department, Politecnico di Torino, Corso Duca degli Abruzzi 24, 10129 Torino (TO), Italia </w:t>
      </w:r>
    </w:p>
    <w:p w14:paraId="3D72B0B0" w14:textId="425431F9" w:rsidR="00B57E6F" w:rsidRPr="001368FD" w:rsidRDefault="00B57E6F" w:rsidP="00B57E6F">
      <w:pPr>
        <w:pStyle w:val="CETAddress"/>
        <w:rPr>
          <w:lang w:val="it-IT"/>
        </w:rPr>
      </w:pPr>
      <w:r w:rsidRPr="001368FD">
        <w:rPr>
          <w:vertAlign w:val="superscript"/>
          <w:lang w:val="it-IT"/>
        </w:rPr>
        <w:t>b</w:t>
      </w:r>
      <w:r w:rsidR="009D345F" w:rsidRPr="001368FD">
        <w:rPr>
          <w:lang w:val="it-IT"/>
        </w:rPr>
        <w:t xml:space="preserve"> RE</w:t>
      </w:r>
      <w:r w:rsidR="00980452" w:rsidRPr="001368FD">
        <w:rPr>
          <w:lang w:val="it-IT"/>
        </w:rPr>
        <w:t>-</w:t>
      </w:r>
      <w:r w:rsidR="009D345F" w:rsidRPr="001368FD">
        <w:rPr>
          <w:lang w:val="it-IT"/>
        </w:rPr>
        <w:t>CORD, Viale Kennedy 182, 50038 Scarperia e San Piero (FI), Italia</w:t>
      </w:r>
    </w:p>
    <w:p w14:paraId="73F1267A" w14:textId="1C8EA106" w:rsidR="00B57E6F" w:rsidRPr="00AC3324" w:rsidRDefault="009D345F" w:rsidP="00B57E6F">
      <w:pPr>
        <w:pStyle w:val="CETemail"/>
      </w:pPr>
      <w:r w:rsidRPr="00AC3324">
        <w:t>gabriele</w:t>
      </w:r>
      <w:r w:rsidR="00B57E6F" w:rsidRPr="00AC3324">
        <w:t>.</w:t>
      </w:r>
      <w:r w:rsidRPr="00AC3324">
        <w:t>fambri</w:t>
      </w:r>
      <w:r w:rsidR="00B57E6F" w:rsidRPr="00AC3324">
        <w:t>@</w:t>
      </w:r>
      <w:r w:rsidRPr="00AC3324">
        <w:t>polito</w:t>
      </w:r>
      <w:r w:rsidR="00B57E6F" w:rsidRPr="00AC3324">
        <w:t>.</w:t>
      </w:r>
      <w:r w:rsidRPr="00AC3324">
        <w:t>it</w:t>
      </w:r>
    </w:p>
    <w:p w14:paraId="2337224B" w14:textId="6C7BA541" w:rsidR="00B25CA3" w:rsidRPr="00AC3324" w:rsidRDefault="005821AE" w:rsidP="00B25CA3">
      <w:pPr>
        <w:pStyle w:val="CETListbullets"/>
        <w:ind w:left="113" w:firstLine="0"/>
      </w:pPr>
      <w:r w:rsidRPr="00AC3324">
        <w:t xml:space="preserve">The production of biochar by slow pyrolysis systems is a promising technology to achieve negative emissions. In this paper, an energy analysis model for a biomass-based biochar production plant utilising the slow pyrolysis process is presented. The model was used to evaluate the energy analysis of a plant processing </w:t>
      </w:r>
      <w:r w:rsidR="0058253F" w:rsidRPr="00AC3324">
        <w:t xml:space="preserve">lignocellulosic </w:t>
      </w:r>
      <w:r w:rsidRPr="00AC3324">
        <w:t xml:space="preserve">biomass. The energy analysis </w:t>
      </w:r>
      <w:r w:rsidR="00A40F5E" w:rsidRPr="00AC3324">
        <w:t>considered</w:t>
      </w:r>
      <w:r w:rsidRPr="00AC3324">
        <w:t xml:space="preserve"> the main technical parameters of this type of plant, including the moisture content of the biomass, the moisture after drying, the pyrolysis temperature and the characteristics of the biomass. The results showed the heat losses for each component of the plant and the recoverable useful heat from the production process, which represents about 16% of the chemical energy originally contained in the biomass. Although this is a secondary output, this aspect is important for analysing the sustainability of the biochar production chain. The energy analysis enabled by the model presented is indeed a valuable tool for the technical, economic and environmental assessment of biochar production plants.</w:t>
      </w:r>
    </w:p>
    <w:p w14:paraId="476B2F2E" w14:textId="77777777" w:rsidR="00600535" w:rsidRPr="00AC3324" w:rsidRDefault="00600535" w:rsidP="00600535">
      <w:pPr>
        <w:pStyle w:val="CETHeading1"/>
        <w:rPr>
          <w:lang w:val="en-GB"/>
        </w:rPr>
      </w:pPr>
      <w:r w:rsidRPr="00AC3324">
        <w:rPr>
          <w:lang w:val="en-GB"/>
        </w:rPr>
        <w:t>Introduction</w:t>
      </w:r>
    </w:p>
    <w:p w14:paraId="2D195515" w14:textId="5B300AE5" w:rsidR="007F1337" w:rsidRPr="00AC3324" w:rsidRDefault="007F1337" w:rsidP="007F1337">
      <w:pPr>
        <w:pStyle w:val="CETBodytext"/>
        <w:rPr>
          <w:lang w:val="en-GB"/>
        </w:rPr>
      </w:pPr>
      <w:r w:rsidRPr="00AC3324">
        <w:rPr>
          <w:lang w:val="en-GB"/>
        </w:rPr>
        <w:t>The increase in greenhouse gases, especially carbon dioxide, is a critical factor in global warming. To keep global warming below 1.5 °C, techniques to remove atmospheric CO</w:t>
      </w:r>
      <w:r w:rsidRPr="00AC3324">
        <w:rPr>
          <w:vertAlign w:val="subscript"/>
          <w:lang w:val="en-GB"/>
        </w:rPr>
        <w:t>2</w:t>
      </w:r>
      <w:r w:rsidRPr="00AC3324">
        <w:rPr>
          <w:lang w:val="en-GB"/>
        </w:rPr>
        <w:t xml:space="preserve"> are needed (Chen and Wu, 2022). Biochar systems through pyrolysis stand out as one of the few currently effective carbon-negative solutions (</w:t>
      </w:r>
      <w:r w:rsidR="00714D07" w:rsidRPr="00AC3324">
        <w:rPr>
          <w:lang w:val="en-GB"/>
        </w:rPr>
        <w:t>Glaser et al., 2009</w:t>
      </w:r>
      <w:r w:rsidRPr="00AC3324">
        <w:rPr>
          <w:lang w:val="en-GB"/>
        </w:rPr>
        <w:t>). In addition to its carbon sequestration effect, biochar offers significant benefits as a soil amendment (</w:t>
      </w:r>
      <w:r w:rsidR="00183A52" w:rsidRPr="00AC3324">
        <w:rPr>
          <w:lang w:val="en-GB"/>
        </w:rPr>
        <w:t>Bong</w:t>
      </w:r>
      <w:r w:rsidR="00866BFD" w:rsidRPr="00AC3324">
        <w:rPr>
          <w:lang w:val="en-GB"/>
        </w:rPr>
        <w:t xml:space="preserve"> </w:t>
      </w:r>
      <w:r w:rsidRPr="00AC3324">
        <w:rPr>
          <w:lang w:val="en-GB"/>
        </w:rPr>
        <w:t>et al., 20</w:t>
      </w:r>
      <w:r w:rsidR="002F4D7A" w:rsidRPr="00AC3324">
        <w:rPr>
          <w:lang w:val="en-GB"/>
        </w:rPr>
        <w:t>21</w:t>
      </w:r>
      <w:r w:rsidRPr="00AC3324">
        <w:rPr>
          <w:lang w:val="en-GB"/>
        </w:rPr>
        <w:t>) and in other hard-to-abate sectors (Salimbeni et al. 2023).</w:t>
      </w:r>
    </w:p>
    <w:p w14:paraId="3FE1CAD0" w14:textId="77777777" w:rsidR="007F1337" w:rsidRPr="00AC3324" w:rsidRDefault="007F1337" w:rsidP="007F1337">
      <w:pPr>
        <w:pStyle w:val="CETBodytext"/>
        <w:rPr>
          <w:lang w:val="en-GB"/>
        </w:rPr>
      </w:pPr>
      <w:r w:rsidRPr="00AC3324">
        <w:rPr>
          <w:lang w:val="en-GB"/>
        </w:rPr>
        <w:t>Energy modelling is needed to evaluate biochar production processes from a techno-economic and environmental perspective by considering the energy flows and energy losses as well as possible secondary outputs such as the recovery of useful heat during the production process. Several energy models have been presented in the literature along these lines. Kliner (2016) presented a model based on a mass and energy balance of a plant processing previously dried biomass. Klinar et al. (2021) used this model to analyse a pyrolysis and subsequent gasification process. The energy yields of the pyrolysis products (biochar, pyrolysis gas and pyrolysis oil) from Cong et al. (2018). Salimbeni et al. (2023) modelled a pyrolysis plant for lignocellulosic biomass integrated into the steel production process based on experimental data.</w:t>
      </w:r>
    </w:p>
    <w:p w14:paraId="0D241552" w14:textId="4CFA9194" w:rsidR="000745A2" w:rsidRPr="00AC3324" w:rsidRDefault="007F1337" w:rsidP="007F1337">
      <w:pPr>
        <w:pStyle w:val="CETBodytext"/>
        <w:rPr>
          <w:lang w:val="en-GB"/>
        </w:rPr>
      </w:pPr>
      <w:r w:rsidRPr="00AC3324">
        <w:rPr>
          <w:lang w:val="en-GB"/>
        </w:rPr>
        <w:t xml:space="preserve">In this paper, an energy model for a complete biochar production plant is presented, including the biomass dryer, pyrolysis reactor, pyrogas burner and recovery heat exchanger. The model presented was developed to integrate specific experimental data that can be collected in the laboratory regarding the properties of input biomass and bioproducts. In this way, the same model can be used to analyse in detail the pyrolysis process on an industrial scale from an energetic point of view based on the experimental data obtained for different types of </w:t>
      </w:r>
      <w:r w:rsidR="00597BEA" w:rsidRPr="00AC3324">
        <w:rPr>
          <w:lang w:val="en-GB"/>
        </w:rPr>
        <w:t>biomasses</w:t>
      </w:r>
      <w:r w:rsidRPr="00AC3324">
        <w:rPr>
          <w:lang w:val="en-GB"/>
        </w:rPr>
        <w:t>. For these reasons, the model presented here is a valuable tool for carrying out technical, economic, and environmental analyses of biochar production facilities.</w:t>
      </w:r>
    </w:p>
    <w:p w14:paraId="5741900F" w14:textId="1A6DD17F" w:rsidR="00453E24" w:rsidRPr="00AC3324" w:rsidRDefault="002C0434" w:rsidP="00453E24">
      <w:pPr>
        <w:pStyle w:val="CETHeading1"/>
        <w:rPr>
          <w:lang w:val="en-GB"/>
        </w:rPr>
      </w:pPr>
      <w:r w:rsidRPr="00AC3324">
        <w:rPr>
          <w:lang w:val="en-GB"/>
        </w:rPr>
        <w:t>Material and methods</w:t>
      </w:r>
    </w:p>
    <w:p w14:paraId="377338F4" w14:textId="7B63C288" w:rsidR="002C0434" w:rsidRPr="00AC3324" w:rsidRDefault="002C0434" w:rsidP="00070280">
      <w:pPr>
        <w:pStyle w:val="CETheadingx"/>
        <w:rPr>
          <w:lang w:val="en-GB"/>
        </w:rPr>
      </w:pPr>
      <w:r w:rsidRPr="00AC3324">
        <w:rPr>
          <w:lang w:val="en-GB"/>
        </w:rPr>
        <w:t>Slow pyrolysis plant model</w:t>
      </w:r>
    </w:p>
    <w:p w14:paraId="0547DCBB" w14:textId="7EB61098" w:rsidR="00E63927" w:rsidRPr="00AC3324" w:rsidRDefault="008D022B" w:rsidP="00E63927">
      <w:pPr>
        <w:pStyle w:val="CETBodytext"/>
        <w:rPr>
          <w:lang w:val="en-GB"/>
        </w:rPr>
      </w:pPr>
      <w:r w:rsidRPr="00AC3324">
        <w:rPr>
          <w:lang w:val="en-GB"/>
        </w:rPr>
        <w:t>The analysed model of a slow pyrolysis plant consists of four main components: the biomass dryer, the pyrolyser, the pyrolysis gas burner and the recovery heat exchanger (</w:t>
      </w:r>
      <w:r w:rsidR="00C244C4" w:rsidRPr="00AC3324">
        <w:rPr>
          <w:lang w:val="en-GB"/>
        </w:rPr>
        <w:fldChar w:fldCharType="begin"/>
      </w:r>
      <w:r w:rsidR="00C244C4" w:rsidRPr="00AC3324">
        <w:rPr>
          <w:lang w:val="en-GB"/>
        </w:rPr>
        <w:instrText xml:space="preserve"> REF _Ref152678858 \h </w:instrText>
      </w:r>
      <w:r w:rsidR="00C244C4" w:rsidRPr="00AC3324">
        <w:rPr>
          <w:lang w:val="en-GB"/>
        </w:rPr>
      </w:r>
      <w:r w:rsidR="00C244C4" w:rsidRPr="00AC3324">
        <w:rPr>
          <w:lang w:val="en-GB"/>
        </w:rPr>
        <w:fldChar w:fldCharType="separate"/>
      </w:r>
      <w:r w:rsidR="005C60C5" w:rsidRPr="00AC3324">
        <w:t xml:space="preserve">Figure </w:t>
      </w:r>
      <w:r w:rsidR="005C60C5">
        <w:rPr>
          <w:noProof/>
        </w:rPr>
        <w:t>1</w:t>
      </w:r>
      <w:r w:rsidR="00C244C4" w:rsidRPr="00AC3324">
        <w:rPr>
          <w:lang w:val="en-GB"/>
        </w:rPr>
        <w:fldChar w:fldCharType="end"/>
      </w:r>
      <w:r w:rsidRPr="00AC3324">
        <w:rPr>
          <w:lang w:val="en-GB"/>
        </w:rPr>
        <w:t xml:space="preserve">). The biomass dryer reduces the </w:t>
      </w:r>
      <w:r w:rsidRPr="00AC3324">
        <w:rPr>
          <w:lang w:val="en-GB"/>
        </w:rPr>
        <w:lastRenderedPageBreak/>
        <w:t>moisture content of the biomass feedstock</w:t>
      </w:r>
      <w:r w:rsidR="00592081">
        <w:rPr>
          <w:lang w:val="en-GB"/>
        </w:rPr>
        <w:t xml:space="preserve">. </w:t>
      </w:r>
      <w:r w:rsidR="00592081" w:rsidRPr="00592081">
        <w:rPr>
          <w:lang w:val="en-GB"/>
        </w:rPr>
        <w:t>Part of the drying process of the biomass could be done by seasoning. However, this process cannot be carried out on the shredded material because it would trigger decomposition processes. To avoid this in industrial processes, moisture is usually removed with dryers</w:t>
      </w:r>
      <w:r w:rsidRPr="00AC3324">
        <w:rPr>
          <w:lang w:val="en-GB"/>
        </w:rPr>
        <w:t>. The dried biomass is then fed into the pyrolyser where it is heated in an oxygen-free environment, resulting in the production of pyrogas and biochar. It should be noted that in this configuration there is no recovery of the bio-oil contained in the pyrogas. The condensable organic compounds are then combusted in the pyrogas burner together with the non-condensable gases. The heat generated during the combustion of the pyrogas is used to maintain the pyrolysis process and to dry the biomass, while the rest is recovered via the heat exchanger for other applications. This integrated system ensures efficient use of biomass resources while maximising energy recovery.</w:t>
      </w:r>
    </w:p>
    <w:p w14:paraId="004608A5" w14:textId="23BC6F84" w:rsidR="00486DFE" w:rsidRPr="00AC3324" w:rsidRDefault="000266FB" w:rsidP="007A00A5">
      <w:pPr>
        <w:pStyle w:val="CETBodytext"/>
        <w:keepNext/>
        <w:jc w:val="left"/>
        <w:rPr>
          <w:lang w:val="en-GB"/>
        </w:rPr>
      </w:pPr>
      <w:r>
        <w:rPr>
          <w:noProof/>
          <w:lang w:val="en-GB"/>
        </w:rPr>
        <w:drawing>
          <wp:inline distT="0" distB="0" distL="0" distR="0" wp14:anchorId="2A825DF2" wp14:editId="324D4B64">
            <wp:extent cx="4744143" cy="1544128"/>
            <wp:effectExtent l="0" t="0" r="0" b="0"/>
            <wp:docPr id="693056276"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56276" name="Elemento grafico 693056276"/>
                    <pic:cNvPicPr/>
                  </pic:nvPicPr>
                  <pic:blipFill>
                    <a:blip r:embed="rId10">
                      <a:extLst>
                        <a:ext uri="{96DAC541-7B7A-43D3-8B79-37D633B846F1}">
                          <asvg:svgBlip xmlns:asvg="http://schemas.microsoft.com/office/drawing/2016/SVG/main" r:embed="rId11"/>
                        </a:ext>
                      </a:extLst>
                    </a:blip>
                    <a:stretch>
                      <a:fillRect/>
                    </a:stretch>
                  </pic:blipFill>
                  <pic:spPr>
                    <a:xfrm>
                      <a:off x="0" y="0"/>
                      <a:ext cx="4747355" cy="1545173"/>
                    </a:xfrm>
                    <a:prstGeom prst="rect">
                      <a:avLst/>
                    </a:prstGeom>
                  </pic:spPr>
                </pic:pic>
              </a:graphicData>
            </a:graphic>
          </wp:inline>
        </w:drawing>
      </w:r>
    </w:p>
    <w:p w14:paraId="0AC4B57D" w14:textId="631BD667" w:rsidR="002C0434" w:rsidRPr="00AC3324" w:rsidRDefault="00486DFE" w:rsidP="00486DFE">
      <w:pPr>
        <w:pStyle w:val="CETCaption"/>
      </w:pPr>
      <w:bookmarkStart w:id="0" w:name="_Ref152678858"/>
      <w:r w:rsidRPr="00AC3324">
        <w:t xml:space="preserve">Figure </w:t>
      </w:r>
      <w:r w:rsidRPr="00AC3324">
        <w:fldChar w:fldCharType="begin"/>
      </w:r>
      <w:r w:rsidRPr="00AC3324">
        <w:instrText xml:space="preserve"> SEQ Figure \* ARABIC </w:instrText>
      </w:r>
      <w:r w:rsidRPr="00AC3324">
        <w:fldChar w:fldCharType="separate"/>
      </w:r>
      <w:r w:rsidR="005C60C5">
        <w:rPr>
          <w:noProof/>
        </w:rPr>
        <w:t>1</w:t>
      </w:r>
      <w:r w:rsidRPr="00AC3324">
        <w:fldChar w:fldCharType="end"/>
      </w:r>
      <w:bookmarkEnd w:id="0"/>
      <w:r w:rsidR="006C0055" w:rsidRPr="00AC3324">
        <w:t xml:space="preserve">. Integrated model schema of slow pyrolysis plant. </w:t>
      </w:r>
    </w:p>
    <w:p w14:paraId="2BF96587" w14:textId="77777777" w:rsidR="00B25CA3" w:rsidRPr="00AC3324" w:rsidRDefault="00B25CA3" w:rsidP="00B25CA3">
      <w:pPr>
        <w:pStyle w:val="CETBodytext"/>
        <w:rPr>
          <w:rFonts w:ascii="Roboto" w:hAnsi="Roboto"/>
          <w:b/>
          <w:bCs/>
          <w:color w:val="111111"/>
          <w:lang w:val="en-GB"/>
        </w:rPr>
      </w:pPr>
      <w:r w:rsidRPr="00AC3324">
        <w:rPr>
          <w:rFonts w:ascii="Roboto" w:hAnsi="Roboto"/>
          <w:b/>
          <w:bCs/>
          <w:color w:val="111111"/>
          <w:lang w:val="en-GB"/>
        </w:rPr>
        <w:t>Biomass dryer</w:t>
      </w:r>
    </w:p>
    <w:p w14:paraId="08851F4B" w14:textId="001DC07B" w:rsidR="00F738DC" w:rsidRPr="000E4A08" w:rsidRDefault="008D022B" w:rsidP="00453E24">
      <w:pPr>
        <w:pStyle w:val="CETBodytext"/>
        <w:rPr>
          <w:rFonts w:ascii="Roboto" w:hAnsi="Roboto"/>
          <w:color w:val="111111"/>
          <w:lang w:val="en-GB"/>
        </w:rPr>
      </w:pPr>
      <w:r w:rsidRPr="00AC3324">
        <w:rPr>
          <w:rFonts w:ascii="Roboto" w:hAnsi="Roboto"/>
          <w:color w:val="111111"/>
          <w:lang w:val="en-GB"/>
        </w:rPr>
        <w:t>Fresh biomass (point 1) enters the dryer. The model assumes that the biomass leaving the dryer reaches a temperature of 100 °C (point 2) and a sufficiently low moisture content to be processed by the pyrolyser (15 %). The dryer is considered to have an efficiency of 70 %</w:t>
      </w:r>
      <w:r w:rsidR="00377DD1">
        <w:rPr>
          <w:rFonts w:ascii="Roboto" w:hAnsi="Roboto"/>
          <w:color w:val="111111"/>
          <w:lang w:val="en-GB"/>
        </w:rPr>
        <w:t xml:space="preserve"> (</w:t>
      </w:r>
      <m:oMath>
        <m:sSub>
          <m:sSubPr>
            <m:ctrlPr>
              <w:rPr>
                <w:rFonts w:ascii="Cambria Math" w:hAnsi="Cambria Math"/>
                <w:i/>
              </w:rPr>
            </m:ctrlPr>
          </m:sSubPr>
          <m:e>
            <m:r>
              <w:rPr>
                <w:rFonts w:ascii="Cambria Math" w:hAnsi="Cambria Math"/>
              </w:rPr>
              <m:t>η</m:t>
            </m:r>
          </m:e>
          <m:sub>
            <m:r>
              <w:rPr>
                <w:rFonts w:ascii="Cambria Math" w:hAnsi="Cambria Math"/>
              </w:rPr>
              <m:t>dryer</m:t>
            </m:r>
          </m:sub>
        </m:sSub>
      </m:oMath>
      <w:r w:rsidR="00377DD1">
        <w:rPr>
          <w:rFonts w:ascii="Roboto" w:hAnsi="Roboto"/>
          <w:color w:val="111111"/>
          <w:lang w:val="en-GB"/>
        </w:rPr>
        <w:t>)</w:t>
      </w:r>
      <w:r w:rsidRPr="00AC3324">
        <w:rPr>
          <w:rFonts w:ascii="Roboto" w:hAnsi="Roboto"/>
          <w:color w:val="111111"/>
          <w:lang w:val="en-GB"/>
        </w:rPr>
        <w:t>. The energy required to dry the biomass is equal to the heat required to bring the dry biomass and its moisture to the outlet temperature plus the heat required for evaporation. The heat required for drying comes from the combustion gases (point 8). To avoid acidic condensation, the exhaust gas temperature (point 9) is set at 120 °C.</w:t>
      </w:r>
      <w:r w:rsidR="00EE3AAA" w:rsidRPr="00AC3324">
        <w:rPr>
          <w:rFonts w:ascii="Roboto" w:hAnsi="Roboto"/>
          <w:color w:val="111111"/>
          <w:lang w:val="en-GB"/>
        </w:rPr>
        <w:t xml:space="preserve"> </w:t>
      </w:r>
    </w:p>
    <w:tbl>
      <w:tblPr>
        <w:tblW w:w="5000" w:type="pct"/>
        <w:tblLook w:val="04A0" w:firstRow="1" w:lastRow="0" w:firstColumn="1" w:lastColumn="0" w:noHBand="0" w:noVBand="1"/>
      </w:tblPr>
      <w:tblGrid>
        <w:gridCol w:w="8347"/>
        <w:gridCol w:w="440"/>
      </w:tblGrid>
      <w:tr w:rsidR="00951B64" w:rsidRPr="00AC3324" w14:paraId="716DD513" w14:textId="77777777" w:rsidTr="00B25CA3">
        <w:tc>
          <w:tcPr>
            <w:tcW w:w="8347" w:type="dxa"/>
            <w:shd w:val="clear" w:color="auto" w:fill="auto"/>
            <w:vAlign w:val="center"/>
          </w:tcPr>
          <w:p w14:paraId="53200863" w14:textId="63FEAD1D" w:rsidR="00951B64" w:rsidRPr="00AC3324" w:rsidRDefault="00000000" w:rsidP="00F11B78">
            <w:pPr>
              <w:pStyle w:val="CETEquation"/>
            </w:pPr>
            <m:oMathPara>
              <m:oMathParaPr>
                <m:jc m:val="left"/>
              </m:oMathParaPr>
              <m:oMath>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1</m:t>
                        </m:r>
                      </m:sub>
                    </m:sSub>
                    <m:r>
                      <w:rPr>
                        <w:rFonts w:ascii="Cambria Math" w:hAnsi="Cambria Math"/>
                      </w:rPr>
                      <m:t>∙</m:t>
                    </m:r>
                    <m:d>
                      <m:dPr>
                        <m:begChr m:val="["/>
                        <m:endChr m:val="]"/>
                        <m:ctrlPr>
                          <w:rPr>
                            <w:rFonts w:ascii="Cambria Math" w:hAnsi="Cambria Math"/>
                            <w:i/>
                          </w:rPr>
                        </m:ctrlPr>
                      </m:d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MC</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cp</m:t>
                            </m:r>
                          </m:e>
                          <m:sub>
                            <m:r>
                              <w:rPr>
                                <w:rFonts w:ascii="Cambria Math" w:hAnsi="Cambria Math"/>
                              </w:rPr>
                              <m:t>BM</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MC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cp</m:t>
                            </m:r>
                          </m:e>
                          <m:sub>
                            <m:r>
                              <w:rPr>
                                <w:rFonts w:ascii="Cambria Math" w:hAnsi="Cambria Math"/>
                              </w:rPr>
                              <m:t>H2O</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MC</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weva</m:t>
                            </m:r>
                          </m:sub>
                        </m:sSub>
                      </m:e>
                    </m:d>
                  </m:num>
                  <m:den>
                    <m:sSub>
                      <m:sSubPr>
                        <m:ctrlPr>
                          <w:rPr>
                            <w:rFonts w:ascii="Cambria Math" w:hAnsi="Cambria Math"/>
                            <w:i/>
                          </w:rPr>
                        </m:ctrlPr>
                      </m:sSubPr>
                      <m:e>
                        <m:r>
                          <w:rPr>
                            <w:rFonts w:ascii="Cambria Math" w:hAnsi="Cambria Math"/>
                          </w:rPr>
                          <m:t>η</m:t>
                        </m:r>
                      </m:e>
                      <m:sub>
                        <m:r>
                          <w:rPr>
                            <w:rFonts w:ascii="Cambria Math" w:hAnsi="Cambria Math"/>
                          </w:rPr>
                          <m:t>dryer</m:t>
                        </m:r>
                      </m:sub>
                    </m:sSub>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8</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8</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9</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9</m:t>
                    </m:r>
                  </m:sub>
                </m:sSub>
              </m:oMath>
            </m:oMathPara>
          </w:p>
        </w:tc>
        <w:tc>
          <w:tcPr>
            <w:tcW w:w="440" w:type="dxa"/>
            <w:shd w:val="clear" w:color="auto" w:fill="auto"/>
            <w:vAlign w:val="center"/>
          </w:tcPr>
          <w:p w14:paraId="0EEE9243" w14:textId="07C3FFE5" w:rsidR="00951B64" w:rsidRPr="00AC3324" w:rsidRDefault="00951B64" w:rsidP="00F11B78">
            <w:pPr>
              <w:pStyle w:val="CETEquation"/>
              <w:jc w:val="right"/>
            </w:pPr>
            <w:r w:rsidRPr="00AC3324">
              <w:t>(</w:t>
            </w:r>
            <w:r w:rsidR="00522AFF" w:rsidRPr="00AC3324">
              <w:t>1</w:t>
            </w:r>
            <w:r w:rsidRPr="00AC3324">
              <w:t>)</w:t>
            </w:r>
          </w:p>
        </w:tc>
      </w:tr>
    </w:tbl>
    <w:p w14:paraId="555258A8" w14:textId="5B9F04EB" w:rsidR="00951B64" w:rsidRPr="00AC3324" w:rsidRDefault="00B25CA3" w:rsidP="002C1686">
      <w:pPr>
        <w:pStyle w:val="CETBodytext"/>
        <w:rPr>
          <w:lang w:val="en-GB"/>
        </w:rPr>
      </w:pPr>
      <w:r w:rsidRPr="00AC3324">
        <w:rPr>
          <w:lang w:val="en-GB"/>
        </w:rPr>
        <w:t>Where</w:t>
      </w:r>
      <w:r w:rsidR="0080203D">
        <w:rPr>
          <w:lang w:val="en-GB"/>
        </w:rPr>
        <w:t xml:space="preserve"> the biomass </w:t>
      </w:r>
      <w:r w:rsidR="0080203D" w:rsidRPr="00AC3324">
        <w:rPr>
          <w:lang w:val="en-GB"/>
        </w:rPr>
        <w:t>specific heat capacity</w:t>
      </w:r>
      <w:r w:rsidRPr="00AC3324">
        <w:rPr>
          <w:lang w:val="en-GB"/>
        </w:rPr>
        <w:t xml:space="preserve"> </w:t>
      </w:r>
      <w:r w:rsidR="0080203D">
        <w:rPr>
          <w:lang w:val="en-GB"/>
        </w:rPr>
        <w:t>(</w:t>
      </w:r>
      <m:oMath>
        <m:sSub>
          <m:sSubPr>
            <m:ctrlPr>
              <w:rPr>
                <w:rFonts w:ascii="Cambria Math" w:hAnsi="Cambria Math"/>
                <w:i/>
                <w:lang w:val="en-GB"/>
              </w:rPr>
            </m:ctrlPr>
          </m:sSubPr>
          <m:e>
            <m:r>
              <w:rPr>
                <w:rFonts w:ascii="Cambria Math" w:hAnsi="Cambria Math"/>
                <w:lang w:val="en-GB"/>
              </w:rPr>
              <m:t>cp</m:t>
            </m:r>
          </m:e>
          <m:sub>
            <m:r>
              <w:rPr>
                <w:rFonts w:ascii="Cambria Math" w:hAnsi="Cambria Math"/>
                <w:lang w:val="en-GB"/>
              </w:rPr>
              <m:t>BM</m:t>
            </m:r>
          </m:sub>
        </m:sSub>
      </m:oMath>
      <w:r w:rsidR="0080203D">
        <w:rPr>
          <w:lang w:val="en-GB"/>
        </w:rPr>
        <w:t>)</w:t>
      </w:r>
      <w:r w:rsidRPr="00AC3324">
        <w:rPr>
          <w:lang w:val="en-GB"/>
        </w:rPr>
        <w:t xml:space="preserve"> is estimated as function of the temperature</w:t>
      </w:r>
      <w:r w:rsidR="00814BBD" w:rsidRPr="00AC3324">
        <w:rPr>
          <w:lang w:val="en-GB"/>
        </w:rPr>
        <w:t xml:space="preserve"> (</w:t>
      </w:r>
      <w:r w:rsidR="00F46941" w:rsidRPr="00AC3324">
        <w:rPr>
          <w:lang w:val="en-GB"/>
        </w:rPr>
        <w:t>Simpson and TenWolde</w:t>
      </w:r>
      <w:r w:rsidR="00135E1B" w:rsidRPr="00AC3324">
        <w:rPr>
          <w:lang w:val="en-GB"/>
        </w:rPr>
        <w:t xml:space="preserve">., </w:t>
      </w:r>
      <w:r w:rsidR="00F46941" w:rsidRPr="00AC3324">
        <w:rPr>
          <w:lang w:val="en-GB"/>
        </w:rPr>
        <w:t>1999)</w:t>
      </w:r>
      <w:r w:rsidR="00B711F5" w:rsidRPr="00AC3324">
        <w:rPr>
          <w:lang w:val="en-GB"/>
        </w:rPr>
        <w:t xml:space="preserve">. </w:t>
      </w:r>
    </w:p>
    <w:tbl>
      <w:tblPr>
        <w:tblW w:w="5000" w:type="pct"/>
        <w:tblLook w:val="04A0" w:firstRow="1" w:lastRow="0" w:firstColumn="1" w:lastColumn="0" w:noHBand="0" w:noVBand="1"/>
      </w:tblPr>
      <w:tblGrid>
        <w:gridCol w:w="8331"/>
        <w:gridCol w:w="456"/>
      </w:tblGrid>
      <w:tr w:rsidR="002D7C0C" w:rsidRPr="00AC3324" w14:paraId="203D7B4A" w14:textId="77777777" w:rsidTr="00814BBD">
        <w:tc>
          <w:tcPr>
            <w:tcW w:w="8331" w:type="dxa"/>
            <w:shd w:val="clear" w:color="auto" w:fill="auto"/>
            <w:vAlign w:val="center"/>
          </w:tcPr>
          <w:p w14:paraId="638AC2DC" w14:textId="685D1BBA" w:rsidR="002D7C0C" w:rsidRPr="00AC3324" w:rsidRDefault="00000000" w:rsidP="00EA7E73">
            <w:pPr>
              <w:pStyle w:val="CETEquation"/>
            </w:pPr>
            <m:oMathPara>
              <m:oMathParaPr>
                <m:jc m:val="left"/>
              </m:oMathParaPr>
              <m:oMath>
                <m:sSub>
                  <m:sSubPr>
                    <m:ctrlPr>
                      <w:rPr>
                        <w:rFonts w:ascii="Cambria Math" w:hAnsi="Cambria Math"/>
                        <w:i/>
                        <w:iCs/>
                      </w:rPr>
                    </m:ctrlPr>
                  </m:sSubPr>
                  <m:e>
                    <m:r>
                      <w:rPr>
                        <w:rFonts w:ascii="Cambria Math" w:hAnsi="Cambria Math"/>
                      </w:rPr>
                      <m:t>cp</m:t>
                    </m:r>
                  </m:e>
                  <m:sub>
                    <m:r>
                      <w:rPr>
                        <w:rFonts w:ascii="Cambria Math" w:hAnsi="Cambria Math"/>
                      </w:rPr>
                      <m:t>BM</m:t>
                    </m:r>
                  </m:sub>
                </m:sSub>
                <m:r>
                  <w:rPr>
                    <w:rFonts w:ascii="Cambria Math" w:hAnsi="Cambria Math"/>
                  </w:rPr>
                  <m:t>=0.1031+0.003867∙T</m:t>
                </m:r>
              </m:oMath>
            </m:oMathPara>
          </w:p>
        </w:tc>
        <w:tc>
          <w:tcPr>
            <w:tcW w:w="456" w:type="dxa"/>
            <w:shd w:val="clear" w:color="auto" w:fill="auto"/>
            <w:vAlign w:val="center"/>
          </w:tcPr>
          <w:p w14:paraId="5D625400" w14:textId="047A4B78" w:rsidR="002D7C0C" w:rsidRPr="00AC3324" w:rsidRDefault="002D7C0C" w:rsidP="00EA7E73">
            <w:pPr>
              <w:pStyle w:val="CETEquation"/>
              <w:jc w:val="right"/>
            </w:pPr>
            <w:r w:rsidRPr="00AC3324">
              <w:t>(</w:t>
            </w:r>
            <w:r w:rsidR="00522AFF" w:rsidRPr="00AC3324">
              <w:t>2</w:t>
            </w:r>
            <w:r w:rsidRPr="00AC3324">
              <w:t>)</w:t>
            </w:r>
          </w:p>
        </w:tc>
      </w:tr>
    </w:tbl>
    <w:p w14:paraId="0F8F2B76" w14:textId="77777777" w:rsidR="00B25CA3" w:rsidRPr="00AC3324" w:rsidRDefault="00B25CA3" w:rsidP="00B25CA3">
      <w:pPr>
        <w:pStyle w:val="CETBodytext"/>
        <w:rPr>
          <w:rFonts w:ascii="Roboto" w:hAnsi="Roboto"/>
          <w:b/>
          <w:bCs/>
          <w:color w:val="111111"/>
          <w:lang w:val="en-GB"/>
        </w:rPr>
      </w:pPr>
      <w:r w:rsidRPr="00AC3324">
        <w:rPr>
          <w:rFonts w:ascii="Roboto" w:hAnsi="Roboto"/>
          <w:b/>
          <w:bCs/>
          <w:color w:val="111111"/>
          <w:lang w:val="en-GB"/>
        </w:rPr>
        <w:t xml:space="preserve">Biomass pyrolysis </w:t>
      </w:r>
    </w:p>
    <w:p w14:paraId="0283058B" w14:textId="70AA95C9" w:rsidR="00B25CA3" w:rsidRPr="00AC3324" w:rsidRDefault="00B25CA3" w:rsidP="00B25CA3">
      <w:pPr>
        <w:pStyle w:val="CETBodytext"/>
        <w:rPr>
          <w:rFonts w:ascii="Roboto" w:hAnsi="Roboto"/>
          <w:color w:val="111111"/>
          <w:lang w:val="en-GB"/>
        </w:rPr>
      </w:pPr>
      <w:r w:rsidRPr="00AC3324">
        <w:rPr>
          <w:rFonts w:ascii="Roboto" w:hAnsi="Roboto"/>
          <w:color w:val="111111"/>
          <w:lang w:val="en-GB"/>
        </w:rPr>
        <w:t xml:space="preserve">The pyrolysis process is an endothermic process. As </w:t>
      </w:r>
      <w:r w:rsidR="00F16C12" w:rsidRPr="00AC3324">
        <w:rPr>
          <w:rFonts w:ascii="Roboto" w:hAnsi="Roboto"/>
          <w:color w:val="111111"/>
          <w:lang w:val="en-GB"/>
        </w:rPr>
        <w:t xml:space="preserve">described by </w:t>
      </w:r>
      <w:r w:rsidR="00F16C12" w:rsidRPr="00AC3324">
        <w:rPr>
          <w:lang w:val="en-GB"/>
        </w:rPr>
        <w:t>Salimbeni et al., (2023).</w:t>
      </w:r>
      <w:r w:rsidRPr="00AC3324">
        <w:rPr>
          <w:rFonts w:ascii="Roboto" w:hAnsi="Roboto"/>
          <w:color w:val="111111"/>
          <w:lang w:val="en-GB"/>
        </w:rPr>
        <w:t>, the heat required for pyrolysis can be estimated by assuming that it is equal to the heat required to bring the dry biomass and the moisture of the biomass from the inlet temperature to the pyrolysis temperature.</w:t>
      </w:r>
    </w:p>
    <w:tbl>
      <w:tblPr>
        <w:tblW w:w="5000" w:type="pct"/>
        <w:tblLook w:val="04A0" w:firstRow="1" w:lastRow="0" w:firstColumn="1" w:lastColumn="0" w:noHBand="0" w:noVBand="1"/>
      </w:tblPr>
      <w:tblGrid>
        <w:gridCol w:w="8347"/>
        <w:gridCol w:w="440"/>
      </w:tblGrid>
      <w:tr w:rsidR="00B25CA3" w:rsidRPr="00AC3324" w14:paraId="3002A4AE" w14:textId="77777777" w:rsidTr="0058308D">
        <w:tc>
          <w:tcPr>
            <w:tcW w:w="8347" w:type="dxa"/>
            <w:shd w:val="clear" w:color="auto" w:fill="auto"/>
            <w:vAlign w:val="center"/>
          </w:tcPr>
          <w:p w14:paraId="77785765" w14:textId="669AD259" w:rsidR="00B25CA3" w:rsidRPr="00AC3324" w:rsidRDefault="00000000" w:rsidP="0058308D">
            <w:pPr>
              <w:pStyle w:val="CETEquation"/>
            </w:pPr>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py</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2</m:t>
                    </m:r>
                  </m:sub>
                </m:sSub>
                <m:r>
                  <w:rPr>
                    <w:rFonts w:ascii="Cambria Math" w:hAnsi="Cambria Math"/>
                  </w:rPr>
                  <m:t>∙</m:t>
                </m:r>
                <m:d>
                  <m:dPr>
                    <m:begChr m:val="["/>
                    <m:endChr m:val="]"/>
                    <m:ctrlPr>
                      <w:rPr>
                        <w:rFonts w:ascii="Cambria Math" w:hAnsi="Cambria Math"/>
                        <w:i/>
                      </w:rPr>
                    </m:ctrlPr>
                  </m:d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MC</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cp</m:t>
                        </m:r>
                      </m:e>
                      <m:sub>
                        <m:r>
                          <w:rPr>
                            <w:rFonts w:ascii="Cambria Math" w:hAnsi="Cambria Math"/>
                          </w:rPr>
                          <m:t>BM</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py</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MC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 xml:space="preserve">w </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py</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sub>
                    </m:sSub>
                  </m:e>
                </m:d>
              </m:oMath>
            </m:oMathPara>
          </w:p>
        </w:tc>
        <w:tc>
          <w:tcPr>
            <w:tcW w:w="440" w:type="dxa"/>
            <w:shd w:val="clear" w:color="auto" w:fill="auto"/>
            <w:vAlign w:val="center"/>
          </w:tcPr>
          <w:p w14:paraId="5EBDBCD8" w14:textId="433D151C" w:rsidR="00B25CA3" w:rsidRPr="00AC3324" w:rsidRDefault="00B25CA3" w:rsidP="0058308D">
            <w:pPr>
              <w:pStyle w:val="CETEquation"/>
              <w:jc w:val="right"/>
            </w:pPr>
            <w:r w:rsidRPr="00AC3324">
              <w:t>(</w:t>
            </w:r>
            <w:r w:rsidR="00522AFF" w:rsidRPr="00AC3324">
              <w:t>3</w:t>
            </w:r>
            <w:r w:rsidRPr="00AC3324">
              <w:t>)</w:t>
            </w:r>
          </w:p>
        </w:tc>
      </w:tr>
    </w:tbl>
    <w:p w14:paraId="70746480" w14:textId="3A9111C8" w:rsidR="00B25CA3" w:rsidRPr="00AC3324" w:rsidRDefault="008D022B" w:rsidP="00B25CA3">
      <w:pPr>
        <w:pStyle w:val="CETBodytext"/>
        <w:rPr>
          <w:lang w:val="en-GB"/>
        </w:rPr>
      </w:pPr>
      <w:r w:rsidRPr="00AC3324">
        <w:rPr>
          <w:lang w:val="en-GB"/>
        </w:rPr>
        <w:t xml:space="preserve">The pyrolyser is heated by the hot combustion gases (point 6). The heat extracted from the combustion gases corresponds to the heat required for the pyrolysis process plus the heat losses, which were assumed to be 33 % as an average value in the literature (Harsono, 2009). </w:t>
      </w:r>
    </w:p>
    <w:tbl>
      <w:tblPr>
        <w:tblW w:w="5000" w:type="pct"/>
        <w:tblLook w:val="04A0" w:firstRow="1" w:lastRow="0" w:firstColumn="1" w:lastColumn="0" w:noHBand="0" w:noVBand="1"/>
      </w:tblPr>
      <w:tblGrid>
        <w:gridCol w:w="8347"/>
        <w:gridCol w:w="440"/>
      </w:tblGrid>
      <w:tr w:rsidR="00B25CA3" w:rsidRPr="00AC3324" w14:paraId="1E6C6B79" w14:textId="77777777" w:rsidTr="0058308D">
        <w:tc>
          <w:tcPr>
            <w:tcW w:w="8347" w:type="dxa"/>
            <w:shd w:val="clear" w:color="auto" w:fill="auto"/>
            <w:vAlign w:val="center"/>
          </w:tcPr>
          <w:p w14:paraId="3C4072AB" w14:textId="47071908" w:rsidR="00B25CA3" w:rsidRPr="00AC3324" w:rsidRDefault="00000000" w:rsidP="0058308D">
            <w:pPr>
              <w:pStyle w:val="CETEquation"/>
              <w:rPr>
                <w:rFonts w:ascii="Cambria Math" w:hAnsi="Cambria Math"/>
                <w:i/>
              </w:rPr>
            </w:pPr>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6</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7</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7</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py</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sSub>
                      <m:sSubPr>
                        <m:ctrlPr>
                          <w:rPr>
                            <w:rFonts w:ascii="Cambria Math" w:hAnsi="Cambria Math"/>
                            <w:i/>
                          </w:rPr>
                        </m:ctrlPr>
                      </m:sSubPr>
                      <m:e>
                        <m:r>
                          <w:rPr>
                            <w:rFonts w:ascii="Cambria Math" w:hAnsi="Cambria Math"/>
                          </w:rPr>
                          <m:t>py</m:t>
                        </m:r>
                      </m:e>
                      <m:sub>
                        <m:r>
                          <w:rPr>
                            <w:rFonts w:ascii="Cambria Math" w:hAnsi="Cambria Math"/>
                          </w:rPr>
                          <m:t>TH_loss</m:t>
                        </m:r>
                      </m:sub>
                    </m:sSub>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py</m:t>
                    </m:r>
                  </m:sub>
                </m:sSub>
                <m:r>
                  <w:rPr>
                    <w:rFonts w:ascii="Cambria Math" w:hAnsi="Cambria Math"/>
                  </w:rPr>
                  <m:t>∙(1+</m:t>
                </m:r>
                <m:sSub>
                  <m:sSubPr>
                    <m:ctrlPr>
                      <w:rPr>
                        <w:rFonts w:ascii="Cambria Math" w:hAnsi="Cambria Math"/>
                        <w:i/>
                      </w:rPr>
                    </m:ctrlPr>
                  </m:sSubPr>
                  <m:e>
                    <m:r>
                      <w:rPr>
                        <w:rFonts w:ascii="Cambria Math" w:hAnsi="Cambria Math"/>
                      </w:rPr>
                      <m:t>loss</m:t>
                    </m:r>
                  </m:e>
                  <m:sub>
                    <m:r>
                      <w:rPr>
                        <w:rFonts w:ascii="Cambria Math" w:hAnsi="Cambria Math"/>
                      </w:rPr>
                      <m:t>py</m:t>
                    </m:r>
                  </m:sub>
                </m:sSub>
                <m:r>
                  <w:rPr>
                    <w:rFonts w:ascii="Cambria Math" w:hAnsi="Cambria Math"/>
                  </w:rPr>
                  <m:t>)</m:t>
                </m:r>
              </m:oMath>
            </m:oMathPara>
          </w:p>
        </w:tc>
        <w:tc>
          <w:tcPr>
            <w:tcW w:w="440" w:type="dxa"/>
            <w:shd w:val="clear" w:color="auto" w:fill="auto"/>
            <w:vAlign w:val="center"/>
          </w:tcPr>
          <w:p w14:paraId="0F7BE0D1" w14:textId="0865C7C8" w:rsidR="00B25CA3" w:rsidRPr="00AC3324" w:rsidRDefault="00B25CA3" w:rsidP="0058308D">
            <w:pPr>
              <w:pStyle w:val="CETEquation"/>
              <w:jc w:val="right"/>
            </w:pPr>
            <w:r w:rsidRPr="00AC3324">
              <w:t>(</w:t>
            </w:r>
            <w:r w:rsidR="00522AFF" w:rsidRPr="00AC3324">
              <w:t>4</w:t>
            </w:r>
            <w:r w:rsidRPr="00AC3324">
              <w:t>)</w:t>
            </w:r>
          </w:p>
        </w:tc>
      </w:tr>
    </w:tbl>
    <w:p w14:paraId="4063C79D" w14:textId="60946B2C" w:rsidR="00B25CA3" w:rsidRPr="00AC3324" w:rsidRDefault="00B25CA3" w:rsidP="00B25CA3">
      <w:pPr>
        <w:pStyle w:val="CETBodytext"/>
        <w:rPr>
          <w:lang w:val="en-GB"/>
        </w:rPr>
      </w:pPr>
      <w:r w:rsidRPr="00AC3324">
        <w:rPr>
          <w:lang w:val="en-GB"/>
        </w:rPr>
        <w:t xml:space="preserve">The biomass is converted into a solid phase, the biochar (point 3), and into a gas phase (point 4). </w:t>
      </w:r>
    </w:p>
    <w:tbl>
      <w:tblPr>
        <w:tblW w:w="5000" w:type="pct"/>
        <w:tblLook w:val="04A0" w:firstRow="1" w:lastRow="0" w:firstColumn="1" w:lastColumn="0" w:noHBand="0" w:noVBand="1"/>
      </w:tblPr>
      <w:tblGrid>
        <w:gridCol w:w="8347"/>
        <w:gridCol w:w="440"/>
      </w:tblGrid>
      <w:tr w:rsidR="00B25CA3" w:rsidRPr="00AC3324" w14:paraId="34E3ADAD" w14:textId="77777777" w:rsidTr="0058308D">
        <w:tc>
          <w:tcPr>
            <w:tcW w:w="8347" w:type="dxa"/>
            <w:shd w:val="clear" w:color="auto" w:fill="auto"/>
            <w:vAlign w:val="center"/>
          </w:tcPr>
          <w:p w14:paraId="4EEDB6E3" w14:textId="0DB9748A" w:rsidR="00B25CA3" w:rsidRPr="00AC3324" w:rsidRDefault="00000000" w:rsidP="0058308D">
            <w:pPr>
              <w:pStyle w:val="CETEquation"/>
            </w:pPr>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3</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4</m:t>
                    </m:r>
                  </m:sub>
                </m:sSub>
              </m:oMath>
            </m:oMathPara>
          </w:p>
        </w:tc>
        <w:tc>
          <w:tcPr>
            <w:tcW w:w="440" w:type="dxa"/>
            <w:shd w:val="clear" w:color="auto" w:fill="auto"/>
            <w:vAlign w:val="center"/>
          </w:tcPr>
          <w:p w14:paraId="108E0F0A" w14:textId="025C3722" w:rsidR="00B25CA3" w:rsidRPr="00AC3324" w:rsidRDefault="00B25CA3" w:rsidP="0058308D">
            <w:pPr>
              <w:pStyle w:val="CETEquation"/>
              <w:jc w:val="right"/>
            </w:pPr>
            <w:r w:rsidRPr="00AC3324">
              <w:t>(</w:t>
            </w:r>
            <w:r w:rsidR="00522AFF" w:rsidRPr="00AC3324">
              <w:t>5</w:t>
            </w:r>
            <w:r w:rsidRPr="00AC3324">
              <w:t>)</w:t>
            </w:r>
          </w:p>
        </w:tc>
      </w:tr>
    </w:tbl>
    <w:p w14:paraId="21F1EECA" w14:textId="21126D32" w:rsidR="00050FCF" w:rsidRPr="00AC3324" w:rsidRDefault="008D022B" w:rsidP="00B25CA3">
      <w:pPr>
        <w:pStyle w:val="CETBodytext"/>
        <w:rPr>
          <w:lang w:val="en-GB"/>
        </w:rPr>
      </w:pPr>
      <w:r w:rsidRPr="00AC3324">
        <w:rPr>
          <w:lang w:val="en-GB"/>
        </w:rPr>
        <w:t xml:space="preserve">The gas phase consists of water vapour, which comes from the moisture in the biomass, the reaction water produced during pyrolysis, the organic vapours and the permanent gases </w:t>
      </w:r>
      <w:r w:rsidR="00B25CA3" w:rsidRPr="00AC3324">
        <w:rPr>
          <w:lang w:val="en-GB"/>
        </w:rPr>
        <w:t>(</w:t>
      </w:r>
      <w:r w:rsidR="00401D0E" w:rsidRPr="00AC3324">
        <w:rPr>
          <w:rFonts w:cs="Arial"/>
          <w:szCs w:val="18"/>
          <w:lang w:val="en-GB"/>
        </w:rPr>
        <w:t>CO</w:t>
      </w:r>
      <w:r w:rsidR="00401D0E" w:rsidRPr="00AC3324">
        <w:rPr>
          <w:rFonts w:cs="Arial"/>
          <w:szCs w:val="18"/>
          <w:vertAlign w:val="subscript"/>
          <w:lang w:val="en-GB"/>
        </w:rPr>
        <w:t>2</w:t>
      </w:r>
      <w:r w:rsidR="00401D0E" w:rsidRPr="00AC3324">
        <w:rPr>
          <w:lang w:val="en-GB"/>
        </w:rPr>
        <w:t xml:space="preserve">, </w:t>
      </w:r>
      <w:r w:rsidR="00401D0E" w:rsidRPr="00AC3324">
        <w:rPr>
          <w:rFonts w:cs="Arial"/>
          <w:szCs w:val="18"/>
          <w:lang w:val="en-GB"/>
        </w:rPr>
        <w:t>CO</w:t>
      </w:r>
      <w:r w:rsidR="00401D0E" w:rsidRPr="00AC3324">
        <w:rPr>
          <w:lang w:val="en-GB"/>
        </w:rPr>
        <w:t xml:space="preserve">, </w:t>
      </w:r>
      <w:r w:rsidR="00401D0E" w:rsidRPr="00AC3324">
        <w:rPr>
          <w:rFonts w:cs="Arial"/>
          <w:szCs w:val="18"/>
          <w:lang w:val="en-GB"/>
        </w:rPr>
        <w:t>CH</w:t>
      </w:r>
      <w:r w:rsidR="00401D0E" w:rsidRPr="00AC3324">
        <w:rPr>
          <w:rFonts w:cs="Arial"/>
          <w:szCs w:val="18"/>
          <w:vertAlign w:val="subscript"/>
          <w:lang w:val="en-GB"/>
        </w:rPr>
        <w:t>4</w:t>
      </w:r>
      <w:r w:rsidR="00401D0E" w:rsidRPr="00AC3324">
        <w:rPr>
          <w:lang w:val="en-GB"/>
        </w:rPr>
        <w:t xml:space="preserve">, </w:t>
      </w:r>
      <w:r w:rsidR="00401D0E" w:rsidRPr="00AC3324">
        <w:rPr>
          <w:rFonts w:cs="Arial"/>
          <w:szCs w:val="18"/>
          <w:lang w:val="en-GB"/>
        </w:rPr>
        <w:t>C</w:t>
      </w:r>
      <w:r w:rsidR="00401D0E" w:rsidRPr="00AC3324">
        <w:rPr>
          <w:rFonts w:cs="Arial"/>
          <w:szCs w:val="18"/>
          <w:vertAlign w:val="subscript"/>
          <w:lang w:val="en-GB"/>
        </w:rPr>
        <w:t>2</w:t>
      </w:r>
      <w:r w:rsidR="00401D0E" w:rsidRPr="00AC3324">
        <w:rPr>
          <w:rFonts w:cs="Arial"/>
          <w:szCs w:val="18"/>
          <w:lang w:val="en-GB"/>
        </w:rPr>
        <w:t>H</w:t>
      </w:r>
      <w:r w:rsidR="00401D0E" w:rsidRPr="00AC3324">
        <w:rPr>
          <w:rFonts w:cs="Arial"/>
          <w:szCs w:val="18"/>
          <w:vertAlign w:val="subscript"/>
          <w:lang w:val="en-GB"/>
        </w:rPr>
        <w:t>6</w:t>
      </w:r>
      <w:r w:rsidR="00401D0E" w:rsidRPr="00AC3324">
        <w:rPr>
          <w:lang w:val="en-GB"/>
        </w:rPr>
        <w:t xml:space="preserve">, </w:t>
      </w:r>
      <w:r w:rsidR="00401D0E" w:rsidRPr="00AC3324">
        <w:rPr>
          <w:rFonts w:cs="Arial"/>
          <w:szCs w:val="18"/>
          <w:lang w:val="en-GB"/>
        </w:rPr>
        <w:t>C</w:t>
      </w:r>
      <w:r w:rsidR="00401D0E" w:rsidRPr="00AC3324">
        <w:rPr>
          <w:rFonts w:cs="Arial"/>
          <w:szCs w:val="18"/>
          <w:vertAlign w:val="subscript"/>
          <w:lang w:val="en-GB"/>
        </w:rPr>
        <w:t>2</w:t>
      </w:r>
      <w:r w:rsidR="00401D0E" w:rsidRPr="00AC3324">
        <w:rPr>
          <w:rFonts w:cs="Arial"/>
          <w:szCs w:val="18"/>
          <w:lang w:val="en-GB"/>
        </w:rPr>
        <w:t>H</w:t>
      </w:r>
      <w:r w:rsidR="00401D0E" w:rsidRPr="00AC3324">
        <w:rPr>
          <w:rFonts w:cs="Arial"/>
          <w:szCs w:val="18"/>
          <w:vertAlign w:val="subscript"/>
          <w:lang w:val="en-GB"/>
        </w:rPr>
        <w:t xml:space="preserve">4 </w:t>
      </w:r>
      <w:r w:rsidR="00401D0E" w:rsidRPr="00AC3324">
        <w:rPr>
          <w:lang w:val="en-GB"/>
        </w:rPr>
        <w:t xml:space="preserve">and </w:t>
      </w:r>
      <w:r w:rsidR="00401D0E" w:rsidRPr="00AC3324">
        <w:rPr>
          <w:rFonts w:cs="Arial"/>
          <w:szCs w:val="18"/>
          <w:lang w:val="en-GB"/>
        </w:rPr>
        <w:t>H</w:t>
      </w:r>
      <w:r w:rsidR="00401D0E" w:rsidRPr="00AC3324">
        <w:rPr>
          <w:rFonts w:cs="Arial"/>
          <w:szCs w:val="18"/>
          <w:vertAlign w:val="subscript"/>
          <w:lang w:val="en-GB"/>
        </w:rPr>
        <w:t>2</w:t>
      </w:r>
      <w:r w:rsidR="00401D0E" w:rsidRPr="00AC3324">
        <w:rPr>
          <w:lang w:val="en-GB"/>
        </w:rPr>
        <w:t>).</w:t>
      </w:r>
      <w:r w:rsidR="00B25CA3" w:rsidRPr="00AC3324">
        <w:rPr>
          <w:lang w:val="en-GB"/>
        </w:rPr>
        <w:t xml:space="preserve"> </w:t>
      </w:r>
    </w:p>
    <w:p w14:paraId="3057DEB1" w14:textId="0E4F7612" w:rsidR="00050FCF" w:rsidRPr="00AC3324" w:rsidRDefault="008D022B" w:rsidP="00B25CA3">
      <w:pPr>
        <w:pStyle w:val="CETBodytext"/>
        <w:rPr>
          <w:lang w:val="en-GB"/>
        </w:rPr>
      </w:pPr>
      <w:r w:rsidRPr="00AC3324">
        <w:rPr>
          <w:lang w:val="en-GB"/>
        </w:rPr>
        <w:t>The energy of the biomass is equal to its calorific value plus the latent heat of the dry biomass and the moisture</w:t>
      </w:r>
      <w:r w:rsidR="00982408" w:rsidRPr="00AC3324">
        <w:rPr>
          <w:lang w:val="en-GB"/>
        </w:rPr>
        <w:t>.</w:t>
      </w:r>
    </w:p>
    <w:tbl>
      <w:tblPr>
        <w:tblW w:w="5000" w:type="pct"/>
        <w:tblLook w:val="04A0" w:firstRow="1" w:lastRow="0" w:firstColumn="1" w:lastColumn="0" w:noHBand="0" w:noVBand="1"/>
      </w:tblPr>
      <w:tblGrid>
        <w:gridCol w:w="8347"/>
        <w:gridCol w:w="440"/>
      </w:tblGrid>
      <w:tr w:rsidR="00050FCF" w:rsidRPr="00AC3324" w14:paraId="7E27C1A4" w14:textId="77777777" w:rsidTr="00EA7E73">
        <w:tc>
          <w:tcPr>
            <w:tcW w:w="8347" w:type="dxa"/>
            <w:shd w:val="clear" w:color="auto" w:fill="auto"/>
            <w:vAlign w:val="center"/>
          </w:tcPr>
          <w:p w14:paraId="1897E448" w14:textId="24D6E527" w:rsidR="00050FCF" w:rsidRPr="00AC3324" w:rsidRDefault="00000000" w:rsidP="00EA7E73">
            <w:pPr>
              <w:pStyle w:val="CETEquation"/>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BM</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2</m:t>
                    </m:r>
                  </m:sub>
                </m:sSub>
                <m:r>
                  <w:rPr>
                    <w:rFonts w:ascii="Cambria Math" w:hAnsi="Cambria Math"/>
                  </w:rPr>
                  <m:t>∙</m:t>
                </m:r>
                <m:d>
                  <m:dPr>
                    <m:begChr m:val="{"/>
                    <m:endChr m:val="}"/>
                    <m:ctrlPr>
                      <w:rPr>
                        <w:rFonts w:ascii="Cambria Math" w:hAnsi="Cambria Math"/>
                        <w:i/>
                      </w:rPr>
                    </m:ctrlPr>
                  </m:d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MC</m:t>
                            </m:r>
                          </m:e>
                          <m:sub>
                            <m:r>
                              <w:rPr>
                                <w:rFonts w:ascii="Cambria Math" w:hAnsi="Cambria Math"/>
                              </w:rPr>
                              <m:t>2</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HHV</m:t>
                            </m:r>
                          </m:e>
                          <m:sub>
                            <m:r>
                              <w:rPr>
                                <w:rFonts w:ascii="Cambria Math" w:hAnsi="Cambria Math"/>
                              </w:rPr>
                              <m:t>BM</m:t>
                            </m:r>
                          </m:sub>
                        </m:sSub>
                        <m:r>
                          <w:rPr>
                            <w:rFonts w:ascii="Cambria Math" w:hAnsi="Cambria Math"/>
                          </w:rPr>
                          <m:t>+</m:t>
                        </m:r>
                        <m:sSub>
                          <m:sSubPr>
                            <m:ctrlPr>
                              <w:rPr>
                                <w:rFonts w:ascii="Cambria Math" w:hAnsi="Cambria Math"/>
                                <w:i/>
                              </w:rPr>
                            </m:ctrlPr>
                          </m:sSubPr>
                          <m:e>
                            <m:r>
                              <w:rPr>
                                <w:rFonts w:ascii="Cambria Math" w:hAnsi="Cambria Math"/>
                              </w:rPr>
                              <m:t>cp</m:t>
                            </m:r>
                          </m:e>
                          <m:sub>
                            <m:r>
                              <w:rPr>
                                <w:rFonts w:ascii="Cambria Math" w:hAnsi="Cambria Math"/>
                              </w:rPr>
                              <m:t>BM</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ref</m:t>
                                </m:r>
                              </m:sub>
                            </m:sSub>
                          </m:e>
                        </m:d>
                      </m:e>
                    </m:d>
                    <m:r>
                      <w:rPr>
                        <w:rFonts w:ascii="Cambria Math" w:hAnsi="Cambria Math"/>
                      </w:rPr>
                      <m:t>+</m:t>
                    </m:r>
                    <m:sSub>
                      <m:sSubPr>
                        <m:ctrlPr>
                          <w:rPr>
                            <w:rFonts w:ascii="Cambria Math" w:hAnsi="Cambria Math"/>
                            <w:i/>
                          </w:rPr>
                        </m:ctrlPr>
                      </m:sSubPr>
                      <m:e>
                        <m:r>
                          <w:rPr>
                            <w:rFonts w:ascii="Cambria Math" w:hAnsi="Cambria Math"/>
                          </w:rPr>
                          <m:t>MC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cp</m:t>
                        </m:r>
                      </m:e>
                      <m:sub>
                        <m:r>
                          <w:rPr>
                            <w:rFonts w:ascii="Cambria Math" w:hAnsi="Cambria Math"/>
                          </w:rPr>
                          <m:t>w</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ref</m:t>
                            </m:r>
                          </m:sub>
                        </m:sSub>
                      </m:e>
                    </m:d>
                  </m:e>
                </m:d>
              </m:oMath>
            </m:oMathPara>
          </w:p>
        </w:tc>
        <w:tc>
          <w:tcPr>
            <w:tcW w:w="440" w:type="dxa"/>
            <w:shd w:val="clear" w:color="auto" w:fill="auto"/>
            <w:vAlign w:val="center"/>
          </w:tcPr>
          <w:p w14:paraId="161D53E2" w14:textId="0CEFC2E2" w:rsidR="00050FCF" w:rsidRPr="00AC3324" w:rsidRDefault="00050FCF" w:rsidP="00EA7E73">
            <w:pPr>
              <w:pStyle w:val="CETEquation"/>
              <w:jc w:val="right"/>
            </w:pPr>
            <w:r w:rsidRPr="00AC3324">
              <w:t>(</w:t>
            </w:r>
            <w:r w:rsidR="00522AFF" w:rsidRPr="00AC3324">
              <w:t>6</w:t>
            </w:r>
            <w:r w:rsidRPr="00AC3324">
              <w:t>)</w:t>
            </w:r>
          </w:p>
        </w:tc>
      </w:tr>
    </w:tbl>
    <w:p w14:paraId="58BB7223" w14:textId="2009337E" w:rsidR="000B67E7" w:rsidRPr="00AC3324" w:rsidRDefault="00B25CA3" w:rsidP="00B25CA3">
      <w:pPr>
        <w:pStyle w:val="CETBodytext"/>
        <w:rPr>
          <w:lang w:val="en-GB"/>
        </w:rPr>
      </w:pPr>
      <w:r w:rsidRPr="00AC3324">
        <w:rPr>
          <w:lang w:val="en-GB"/>
        </w:rPr>
        <w:lastRenderedPageBreak/>
        <w:t>The energy contained in biochar is equal to its calorific value plus latent heat.</w:t>
      </w:r>
    </w:p>
    <w:tbl>
      <w:tblPr>
        <w:tblW w:w="5000" w:type="pct"/>
        <w:tblLook w:val="04A0" w:firstRow="1" w:lastRow="0" w:firstColumn="1" w:lastColumn="0" w:noHBand="0" w:noVBand="1"/>
      </w:tblPr>
      <w:tblGrid>
        <w:gridCol w:w="8347"/>
        <w:gridCol w:w="440"/>
      </w:tblGrid>
      <w:tr w:rsidR="00B25CA3" w:rsidRPr="00AC3324" w14:paraId="74F927E6" w14:textId="77777777" w:rsidTr="0058308D">
        <w:tc>
          <w:tcPr>
            <w:tcW w:w="8347" w:type="dxa"/>
            <w:shd w:val="clear" w:color="auto" w:fill="auto"/>
            <w:vAlign w:val="center"/>
          </w:tcPr>
          <w:p w14:paraId="6AE06BD0" w14:textId="27DFC7F1" w:rsidR="00B25CA3" w:rsidRPr="00AC3324" w:rsidRDefault="00000000" w:rsidP="0058308D">
            <w:pPr>
              <w:pStyle w:val="CETEquation"/>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BC</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3</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HHV</m:t>
                        </m:r>
                      </m:e>
                      <m:sub>
                        <m:r>
                          <w:rPr>
                            <w:rFonts w:ascii="Cambria Math" w:hAnsi="Cambria Math"/>
                          </w:rPr>
                          <m:t>BC</m:t>
                        </m:r>
                      </m:sub>
                    </m:sSub>
                    <m:r>
                      <w:rPr>
                        <w:rFonts w:ascii="Cambria Math" w:hAnsi="Cambria Math"/>
                      </w:rPr>
                      <m:t>+</m:t>
                    </m:r>
                    <m:sSub>
                      <m:sSubPr>
                        <m:ctrlPr>
                          <w:rPr>
                            <w:rFonts w:ascii="Cambria Math" w:hAnsi="Cambria Math"/>
                            <w:i/>
                          </w:rPr>
                        </m:ctrlPr>
                      </m:sSubPr>
                      <m:e>
                        <m:r>
                          <w:rPr>
                            <w:rFonts w:ascii="Cambria Math" w:hAnsi="Cambria Math"/>
                          </w:rPr>
                          <m:t>cp</m:t>
                        </m:r>
                      </m:e>
                      <m:sub>
                        <m:r>
                          <w:rPr>
                            <w:rFonts w:ascii="Cambria Math" w:hAnsi="Cambria Math"/>
                          </w:rPr>
                          <m:t>BC</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ref</m:t>
                            </m:r>
                          </m:sub>
                        </m:sSub>
                      </m:e>
                    </m:d>
                  </m:e>
                </m:d>
              </m:oMath>
            </m:oMathPara>
          </w:p>
        </w:tc>
        <w:tc>
          <w:tcPr>
            <w:tcW w:w="440" w:type="dxa"/>
            <w:shd w:val="clear" w:color="auto" w:fill="auto"/>
            <w:vAlign w:val="center"/>
          </w:tcPr>
          <w:p w14:paraId="3E94FEA0" w14:textId="4D8898E0" w:rsidR="00B25CA3" w:rsidRPr="00AC3324" w:rsidRDefault="00B25CA3" w:rsidP="0058308D">
            <w:pPr>
              <w:pStyle w:val="CETEquation"/>
              <w:jc w:val="right"/>
            </w:pPr>
            <w:r w:rsidRPr="00AC3324">
              <w:t>(</w:t>
            </w:r>
            <w:r w:rsidR="00522AFF" w:rsidRPr="00AC3324">
              <w:t>7</w:t>
            </w:r>
            <w:r w:rsidRPr="00AC3324">
              <w:t>)</w:t>
            </w:r>
          </w:p>
        </w:tc>
      </w:tr>
    </w:tbl>
    <w:p w14:paraId="2D7A5E94" w14:textId="2CF7E06F" w:rsidR="000D696B" w:rsidRPr="00AC3324" w:rsidRDefault="00387D7E" w:rsidP="00B25CA3">
      <w:pPr>
        <w:pStyle w:val="CETBodytext"/>
        <w:rPr>
          <w:lang w:val="en-GB"/>
        </w:rPr>
      </w:pPr>
      <w:r w:rsidRPr="00AC3324">
        <w:rPr>
          <w:lang w:val="en-GB"/>
        </w:rPr>
        <w:t>The specific heat capacity (</w:t>
      </w:r>
      <m:oMath>
        <m:sSub>
          <m:sSubPr>
            <m:ctrlPr>
              <w:rPr>
                <w:rFonts w:ascii="Cambria Math" w:hAnsi="Cambria Math"/>
                <w:i/>
                <w:lang w:val="en-GB"/>
              </w:rPr>
            </m:ctrlPr>
          </m:sSubPr>
          <m:e>
            <m:r>
              <w:rPr>
                <w:rFonts w:ascii="Cambria Math" w:hAnsi="Cambria Math"/>
                <w:lang w:val="en-GB"/>
              </w:rPr>
              <m:t>cp</m:t>
            </m:r>
          </m:e>
          <m:sub>
            <m:r>
              <w:rPr>
                <w:rFonts w:ascii="Cambria Math" w:hAnsi="Cambria Math"/>
                <w:lang w:val="en-GB"/>
              </w:rPr>
              <m:t>BC</m:t>
            </m:r>
          </m:sub>
        </m:sSub>
      </m:oMath>
      <w:r w:rsidRPr="00AC3324">
        <w:rPr>
          <w:lang w:val="en-GB"/>
        </w:rPr>
        <w:t>) is assumed to be equal to</w:t>
      </w:r>
      <w:r w:rsidR="00023F16" w:rsidRPr="00AC3324">
        <w:rPr>
          <w:lang w:val="en-GB"/>
        </w:rPr>
        <w:t xml:space="preserve"> </w:t>
      </w:r>
      <w:r w:rsidR="00E73E01" w:rsidRPr="00AC3324">
        <w:rPr>
          <w:lang w:val="en-GB"/>
        </w:rPr>
        <w:t>1.</w:t>
      </w:r>
      <w:r w:rsidR="00EE6A0A" w:rsidRPr="00AC3324">
        <w:rPr>
          <w:lang w:val="en-GB"/>
        </w:rPr>
        <w:t>67</w:t>
      </w:r>
      <w:r w:rsidR="00E73E01" w:rsidRPr="00AC3324">
        <w:rPr>
          <w:lang w:val="en-GB"/>
        </w:rPr>
        <w:t xml:space="preserve"> kJ/(kg K) (</w:t>
      </w:r>
      <w:r w:rsidR="00365AB4" w:rsidRPr="00AC3324">
        <w:rPr>
          <w:lang w:val="en-GB"/>
        </w:rPr>
        <w:t>klinar</w:t>
      </w:r>
      <w:r w:rsidR="003503F7" w:rsidRPr="00AC3324">
        <w:rPr>
          <w:lang w:val="en-GB"/>
        </w:rPr>
        <w:t>, 2016</w:t>
      </w:r>
      <w:r w:rsidR="00E73E01" w:rsidRPr="00AC3324">
        <w:rPr>
          <w:lang w:val="en-GB"/>
        </w:rPr>
        <w:t>)</w:t>
      </w:r>
      <w:r w:rsidR="00872C38" w:rsidRPr="00AC3324">
        <w:rPr>
          <w:lang w:val="en-GB"/>
        </w:rPr>
        <w:t>.</w:t>
      </w:r>
    </w:p>
    <w:p w14:paraId="157C925A" w14:textId="5B9195DB" w:rsidR="00B25CA3" w:rsidRDefault="008D022B" w:rsidP="00B25CA3">
      <w:pPr>
        <w:pStyle w:val="CETBodytext"/>
        <w:rPr>
          <w:lang w:val="en-GB"/>
        </w:rPr>
      </w:pPr>
      <w:r w:rsidRPr="00AC3324">
        <w:rPr>
          <w:lang w:val="en-GB"/>
        </w:rPr>
        <w:t xml:space="preserve">The energy in the gas fraction can be calculated by applying an energy balance to the pyrolyser. The energy contained in the gases is equal to the energy contained in the biomass supplied plus the heat supplied from outside (minus losses) minus the energy contained in the biochar stream. </w:t>
      </w:r>
    </w:p>
    <w:tbl>
      <w:tblPr>
        <w:tblW w:w="5000" w:type="pct"/>
        <w:tblLook w:val="04A0" w:firstRow="1" w:lastRow="0" w:firstColumn="1" w:lastColumn="0" w:noHBand="0" w:noVBand="1"/>
      </w:tblPr>
      <w:tblGrid>
        <w:gridCol w:w="8331"/>
        <w:gridCol w:w="456"/>
      </w:tblGrid>
      <w:tr w:rsidR="00B25CA3" w:rsidRPr="00AC3324" w14:paraId="0C615CFD" w14:textId="77777777" w:rsidTr="00AE33A6">
        <w:tc>
          <w:tcPr>
            <w:tcW w:w="8331" w:type="dxa"/>
            <w:shd w:val="clear" w:color="auto" w:fill="auto"/>
            <w:vAlign w:val="center"/>
          </w:tcPr>
          <w:p w14:paraId="67073A78" w14:textId="19A9379E" w:rsidR="00B25CA3" w:rsidRPr="00AC3324" w:rsidRDefault="00000000" w:rsidP="0058308D">
            <w:pPr>
              <w:pStyle w:val="CETEquation"/>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PG</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BM</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py</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BC</m:t>
                    </m:r>
                  </m:sub>
                </m:sSub>
              </m:oMath>
            </m:oMathPara>
          </w:p>
        </w:tc>
        <w:tc>
          <w:tcPr>
            <w:tcW w:w="456" w:type="dxa"/>
            <w:shd w:val="clear" w:color="auto" w:fill="auto"/>
            <w:vAlign w:val="center"/>
          </w:tcPr>
          <w:p w14:paraId="1B5AFB24" w14:textId="016A8E37" w:rsidR="00B25CA3" w:rsidRPr="00AC3324" w:rsidRDefault="00B25CA3" w:rsidP="0058308D">
            <w:pPr>
              <w:pStyle w:val="CETEquation"/>
              <w:jc w:val="right"/>
            </w:pPr>
            <w:r w:rsidRPr="00AC3324">
              <w:t>(</w:t>
            </w:r>
            <w:r w:rsidR="00522AFF" w:rsidRPr="00AC3324">
              <w:t>8</w:t>
            </w:r>
            <w:r w:rsidRPr="00AC3324">
              <w:t>)</w:t>
            </w:r>
          </w:p>
        </w:tc>
      </w:tr>
    </w:tbl>
    <w:p w14:paraId="25115DD7" w14:textId="60A3A9DC" w:rsidR="00B25CA3" w:rsidRPr="00AC3324" w:rsidRDefault="00536B0B" w:rsidP="00453E24">
      <w:pPr>
        <w:pStyle w:val="CETBodytext"/>
        <w:rPr>
          <w:b/>
          <w:bCs/>
          <w:lang w:val="en-GB"/>
        </w:rPr>
      </w:pPr>
      <w:r w:rsidRPr="00AC3324">
        <w:rPr>
          <w:b/>
          <w:bCs/>
          <w:lang w:val="en-GB"/>
        </w:rPr>
        <w:t>Pyrogas burner</w:t>
      </w:r>
    </w:p>
    <w:p w14:paraId="4DC7A301" w14:textId="59498EED" w:rsidR="00691DDC" w:rsidRPr="00AC3324" w:rsidRDefault="008D022B" w:rsidP="00AA44FE">
      <w:pPr>
        <w:pStyle w:val="CETBodytext"/>
        <w:spacing w:after="80"/>
        <w:rPr>
          <w:lang w:val="en-GB"/>
        </w:rPr>
      </w:pPr>
      <w:r w:rsidRPr="00AC3324">
        <w:rPr>
          <w:lang w:val="en-GB"/>
        </w:rPr>
        <w:t>The combustion of pyrogas takes place in the burner. The composition of the combustion gases is evaluated under the assumption of perfect oxidation. Permanent gases and organic vapours are decomposed into CO</w:t>
      </w:r>
      <w:r w:rsidRPr="00AC3324">
        <w:rPr>
          <w:vertAlign w:val="subscript"/>
          <w:lang w:val="en-GB"/>
        </w:rPr>
        <w:t>2</w:t>
      </w:r>
      <w:r w:rsidRPr="00AC3324">
        <w:rPr>
          <w:lang w:val="en-GB"/>
        </w:rPr>
        <w:t>, H</w:t>
      </w:r>
      <w:r w:rsidRPr="00AC3324">
        <w:rPr>
          <w:vertAlign w:val="subscript"/>
          <w:lang w:val="en-GB"/>
        </w:rPr>
        <w:t>2</w:t>
      </w:r>
      <w:r w:rsidRPr="00AC3324">
        <w:rPr>
          <w:lang w:val="en-GB"/>
        </w:rPr>
        <w:t>O and N</w:t>
      </w:r>
      <w:r w:rsidRPr="00AC3324">
        <w:rPr>
          <w:vertAlign w:val="subscript"/>
          <w:lang w:val="en-GB"/>
        </w:rPr>
        <w:t>2</w:t>
      </w:r>
      <w:r w:rsidRPr="00AC3324">
        <w:rPr>
          <w:lang w:val="en-GB"/>
        </w:rPr>
        <w:t>. The oxidation of the permanent gases is described by the following chemical reactions:</w:t>
      </w:r>
    </w:p>
    <w:p w14:paraId="205E5111" w14:textId="532CC0B4" w:rsidR="00691DDC" w:rsidRPr="00AC3324" w:rsidRDefault="003A6B34" w:rsidP="008A0428">
      <w:pPr>
        <w:pStyle w:val="CETBodytext"/>
        <w:tabs>
          <w:tab w:val="clear" w:pos="7100"/>
        </w:tabs>
        <w:rPr>
          <w:lang w:val="en-GB"/>
        </w:rPr>
      </w:pPr>
      <w:r w:rsidRPr="00AC3324">
        <w:rPr>
          <w:rFonts w:cs="Arial"/>
          <w:szCs w:val="18"/>
          <w:lang w:val="en-GB"/>
        </w:rPr>
        <w:t>2</w:t>
      </w:r>
      <w:r w:rsidR="00172A9B">
        <w:rPr>
          <w:rFonts w:cs="Arial"/>
          <w:szCs w:val="18"/>
          <w:lang w:val="en-GB"/>
        </w:rPr>
        <w:t xml:space="preserve"> </w:t>
      </w:r>
      <w:r w:rsidR="00691DDC" w:rsidRPr="00AC3324">
        <w:rPr>
          <w:rFonts w:cs="Arial"/>
          <w:szCs w:val="18"/>
          <w:lang w:val="en-GB"/>
        </w:rPr>
        <w:t>CO +</w:t>
      </w:r>
      <w:r w:rsidRPr="00AC3324">
        <w:rPr>
          <w:rFonts w:cs="Arial"/>
          <w:szCs w:val="18"/>
          <w:lang w:val="en-GB"/>
        </w:rPr>
        <w:t xml:space="preserve"> </w:t>
      </w:r>
      <w:r w:rsidR="00691DDC" w:rsidRPr="00AC3324">
        <w:rPr>
          <w:lang w:val="en-GB"/>
        </w:rPr>
        <w:t>O</w:t>
      </w:r>
      <w:r w:rsidR="00691DDC" w:rsidRPr="00AC3324">
        <w:rPr>
          <w:rFonts w:cs="Arial"/>
          <w:szCs w:val="18"/>
          <w:vertAlign w:val="subscript"/>
          <w:lang w:val="en-GB"/>
        </w:rPr>
        <w:t>2</w:t>
      </w:r>
      <w:r w:rsidR="00691DDC" w:rsidRPr="00AC3324">
        <w:rPr>
          <w:lang w:val="en-GB"/>
        </w:rPr>
        <w:t xml:space="preserve"> </w:t>
      </w:r>
      <w:r w:rsidR="00691DDC" w:rsidRPr="00AC3324">
        <w:rPr>
          <w:lang w:val="en-GB"/>
        </w:rPr>
        <w:sym w:font="Wingdings" w:char="F0E0"/>
      </w:r>
      <w:r w:rsidR="00691DDC" w:rsidRPr="00AC3324">
        <w:rPr>
          <w:lang w:val="en-GB"/>
        </w:rPr>
        <w:t xml:space="preserve"> </w:t>
      </w:r>
      <w:r w:rsidRPr="00AC3324">
        <w:rPr>
          <w:lang w:val="en-GB"/>
        </w:rPr>
        <w:t>2</w:t>
      </w:r>
      <w:r w:rsidR="00172A9B">
        <w:rPr>
          <w:lang w:val="en-GB"/>
        </w:rPr>
        <w:t xml:space="preserve"> </w:t>
      </w:r>
      <w:r w:rsidR="00691DDC" w:rsidRPr="00AC3324">
        <w:rPr>
          <w:lang w:val="en-GB"/>
        </w:rPr>
        <w:t>CO</w:t>
      </w:r>
      <w:r w:rsidR="00691DDC" w:rsidRPr="00AC3324">
        <w:rPr>
          <w:rFonts w:cs="Arial"/>
          <w:szCs w:val="18"/>
          <w:vertAlign w:val="subscript"/>
          <w:lang w:val="en-GB"/>
        </w:rPr>
        <w:t>2</w:t>
      </w:r>
      <w:r w:rsidR="00C57B84" w:rsidRPr="00AC3324">
        <w:rPr>
          <w:rFonts w:cs="Arial"/>
          <w:szCs w:val="18"/>
          <w:vertAlign w:val="subscript"/>
          <w:lang w:val="en-GB"/>
        </w:rPr>
        <w:tab/>
      </w:r>
      <w:r w:rsidR="008A0428" w:rsidRPr="00AC3324">
        <w:rPr>
          <w:rFonts w:cs="Arial"/>
          <w:szCs w:val="18"/>
          <w:vertAlign w:val="subscript"/>
          <w:lang w:val="en-GB"/>
        </w:rPr>
        <w:tab/>
      </w:r>
      <w:r w:rsidR="0039408A" w:rsidRPr="00AC3324">
        <w:rPr>
          <w:rFonts w:cs="Arial"/>
          <w:szCs w:val="18"/>
          <w:lang w:val="en-GB"/>
        </w:rPr>
        <w:t>(</w:t>
      </w:r>
      <m:oMath>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°=-283</m:t>
        </m:r>
        <m:f>
          <m:fPr>
            <m:type m:val="lin"/>
            <m:ctrlPr>
              <w:rPr>
                <w:rFonts w:ascii="Cambria Math" w:hAnsi="Cambria Math"/>
                <w:i/>
              </w:rPr>
            </m:ctrlPr>
          </m:fPr>
          <m:num>
            <m:r>
              <w:rPr>
                <w:rFonts w:ascii="Cambria Math" w:hAnsi="Cambria Math"/>
              </w:rPr>
              <m:t>kJ</m:t>
            </m:r>
          </m:num>
          <m:den>
            <m:sSub>
              <m:sSubPr>
                <m:ctrlPr>
                  <w:rPr>
                    <w:rFonts w:ascii="Cambria Math" w:hAnsi="Cambria Math"/>
                    <w:i/>
                  </w:rPr>
                </m:ctrlPr>
              </m:sSubPr>
              <m:e>
                <m:r>
                  <w:rPr>
                    <w:rFonts w:ascii="Cambria Math" w:hAnsi="Cambria Math"/>
                  </w:rPr>
                  <m:t>mol</m:t>
                </m:r>
              </m:e>
              <m:sub>
                <m:r>
                  <w:rPr>
                    <w:rFonts w:ascii="Cambria Math" w:hAnsi="Cambria Math"/>
                  </w:rPr>
                  <m:t>CO</m:t>
                </m:r>
              </m:sub>
            </m:sSub>
          </m:den>
        </m:f>
      </m:oMath>
      <w:r w:rsidR="0039408A" w:rsidRPr="00AC3324">
        <w:rPr>
          <w:rFonts w:cs="Arial"/>
          <w:szCs w:val="18"/>
          <w:lang w:val="en-GB"/>
        </w:rPr>
        <w:t>)</w:t>
      </w:r>
    </w:p>
    <w:p w14:paraId="15EEB4B6" w14:textId="378816CD" w:rsidR="00401D0E" w:rsidRPr="001368FD" w:rsidRDefault="00691DDC" w:rsidP="008A0428">
      <w:pPr>
        <w:pStyle w:val="CETBodytext"/>
        <w:tabs>
          <w:tab w:val="clear" w:pos="7100"/>
        </w:tabs>
        <w:rPr>
          <w:lang w:val="it-IT"/>
        </w:rPr>
      </w:pPr>
      <w:r w:rsidRPr="001368FD">
        <w:rPr>
          <w:rFonts w:cs="Arial"/>
          <w:szCs w:val="18"/>
          <w:lang w:val="it-IT"/>
        </w:rPr>
        <w:t>CH</w:t>
      </w:r>
      <w:r w:rsidRPr="001368FD">
        <w:rPr>
          <w:rFonts w:cs="Arial"/>
          <w:szCs w:val="18"/>
          <w:vertAlign w:val="subscript"/>
          <w:lang w:val="it-IT"/>
        </w:rPr>
        <w:t>4</w:t>
      </w:r>
      <w:r w:rsidRPr="001368FD">
        <w:rPr>
          <w:rFonts w:cs="Arial"/>
          <w:szCs w:val="18"/>
          <w:lang w:val="it-IT"/>
        </w:rPr>
        <w:t xml:space="preserve"> + 2 </w:t>
      </w:r>
      <w:r w:rsidRPr="001368FD">
        <w:rPr>
          <w:lang w:val="it-IT"/>
        </w:rPr>
        <w:t>O</w:t>
      </w:r>
      <w:r w:rsidRPr="001368FD">
        <w:rPr>
          <w:rFonts w:cs="Arial"/>
          <w:szCs w:val="18"/>
          <w:vertAlign w:val="subscript"/>
          <w:lang w:val="it-IT"/>
        </w:rPr>
        <w:t>2</w:t>
      </w:r>
      <w:r w:rsidRPr="001368FD">
        <w:rPr>
          <w:lang w:val="it-IT"/>
        </w:rPr>
        <w:t xml:space="preserve"> </w:t>
      </w:r>
      <w:r w:rsidRPr="00AC3324">
        <w:rPr>
          <w:lang w:val="en-GB"/>
        </w:rPr>
        <w:sym w:font="Wingdings" w:char="F0E0"/>
      </w:r>
      <w:r w:rsidRPr="001368FD">
        <w:rPr>
          <w:lang w:val="it-IT"/>
        </w:rPr>
        <w:t xml:space="preserve"> CO</w:t>
      </w:r>
      <w:r w:rsidRPr="001368FD">
        <w:rPr>
          <w:rFonts w:cs="Arial"/>
          <w:szCs w:val="18"/>
          <w:vertAlign w:val="subscript"/>
          <w:lang w:val="it-IT"/>
        </w:rPr>
        <w:t>2</w:t>
      </w:r>
      <w:r w:rsidRPr="001368FD">
        <w:rPr>
          <w:lang w:val="it-IT"/>
        </w:rPr>
        <w:t xml:space="preserve"> + 2 H</w:t>
      </w:r>
      <w:r w:rsidRPr="001368FD">
        <w:rPr>
          <w:rFonts w:cs="Arial"/>
          <w:szCs w:val="18"/>
          <w:vertAlign w:val="subscript"/>
          <w:lang w:val="it-IT"/>
        </w:rPr>
        <w:t>2</w:t>
      </w:r>
      <w:r w:rsidRPr="001368FD">
        <w:rPr>
          <w:lang w:val="it-IT"/>
        </w:rPr>
        <w:t xml:space="preserve">O </w:t>
      </w:r>
      <w:r w:rsidR="008A0428" w:rsidRPr="001368FD">
        <w:rPr>
          <w:lang w:val="it-IT"/>
        </w:rPr>
        <w:tab/>
        <w:t>(</w:t>
      </w:r>
      <m:oMath>
        <m:sSub>
          <m:sSubPr>
            <m:ctrlPr>
              <w:rPr>
                <w:rFonts w:ascii="Cambria Math" w:hAnsi="Cambria Math"/>
                <w:i/>
              </w:rPr>
            </m:ctrlPr>
          </m:sSubPr>
          <m:e>
            <m:r>
              <w:rPr>
                <w:rFonts w:ascii="Cambria Math" w:hAnsi="Cambria Math"/>
                <w:lang w:val="it-IT"/>
              </w:rPr>
              <m:t>∆</m:t>
            </m:r>
            <m:r>
              <w:rPr>
                <w:rFonts w:ascii="Cambria Math" w:hAnsi="Cambria Math"/>
              </w:rPr>
              <m:t>H</m:t>
            </m:r>
          </m:e>
          <m:sub>
            <m:r>
              <w:rPr>
                <w:rFonts w:ascii="Cambria Math" w:hAnsi="Cambria Math"/>
              </w:rPr>
              <m:t>C</m:t>
            </m:r>
          </m:sub>
        </m:sSub>
        <m:r>
          <w:rPr>
            <w:rFonts w:ascii="Cambria Math" w:hAnsi="Cambria Math"/>
            <w:lang w:val="it-IT"/>
          </w:rPr>
          <m:t>°=-891</m:t>
        </m:r>
        <m:f>
          <m:fPr>
            <m:type m:val="lin"/>
            <m:ctrlPr>
              <w:rPr>
                <w:rFonts w:ascii="Cambria Math" w:hAnsi="Cambria Math"/>
                <w:i/>
              </w:rPr>
            </m:ctrlPr>
          </m:fPr>
          <m:num>
            <m:r>
              <w:rPr>
                <w:rFonts w:ascii="Cambria Math" w:hAnsi="Cambria Math"/>
              </w:rPr>
              <m:t>kJ</m:t>
            </m:r>
          </m:num>
          <m:den>
            <m:sSub>
              <m:sSubPr>
                <m:ctrlPr>
                  <w:rPr>
                    <w:rFonts w:ascii="Cambria Math" w:hAnsi="Cambria Math"/>
                    <w:i/>
                  </w:rPr>
                </m:ctrlPr>
              </m:sSubPr>
              <m:e>
                <m:r>
                  <w:rPr>
                    <w:rFonts w:ascii="Cambria Math" w:hAnsi="Cambria Math"/>
                  </w:rPr>
                  <m:t>mol</m:t>
                </m:r>
              </m:e>
              <m: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lang w:val="it-IT"/>
                      </w:rPr>
                      <m:t>4</m:t>
                    </m:r>
                  </m:sub>
                </m:sSub>
              </m:sub>
            </m:sSub>
          </m:den>
        </m:f>
      </m:oMath>
      <w:r w:rsidR="008A0428" w:rsidRPr="001368FD">
        <w:rPr>
          <w:lang w:val="it-IT"/>
        </w:rPr>
        <w:t>)</w:t>
      </w:r>
    </w:p>
    <w:p w14:paraId="5D8DD154" w14:textId="7A5D2501" w:rsidR="00050A39" w:rsidRPr="001368FD" w:rsidRDefault="00050A39" w:rsidP="008A0428">
      <w:pPr>
        <w:pStyle w:val="CETBodytext"/>
        <w:tabs>
          <w:tab w:val="clear" w:pos="7100"/>
        </w:tabs>
        <w:rPr>
          <w:lang w:val="it-IT"/>
        </w:rPr>
      </w:pPr>
      <w:r w:rsidRPr="001368FD">
        <w:rPr>
          <w:rFonts w:cs="Arial"/>
          <w:szCs w:val="18"/>
          <w:lang w:val="it-IT"/>
        </w:rPr>
        <w:t>2 C</w:t>
      </w:r>
      <w:r w:rsidRPr="001368FD">
        <w:rPr>
          <w:rFonts w:cs="Arial"/>
          <w:szCs w:val="18"/>
          <w:vertAlign w:val="subscript"/>
          <w:lang w:val="it-IT"/>
        </w:rPr>
        <w:t>2</w:t>
      </w:r>
      <w:r w:rsidRPr="001368FD">
        <w:rPr>
          <w:rFonts w:cs="Arial"/>
          <w:szCs w:val="18"/>
          <w:lang w:val="it-IT"/>
        </w:rPr>
        <w:t>H</w:t>
      </w:r>
      <w:r w:rsidRPr="001368FD">
        <w:rPr>
          <w:rFonts w:cs="Arial"/>
          <w:szCs w:val="18"/>
          <w:vertAlign w:val="subscript"/>
          <w:lang w:val="it-IT"/>
        </w:rPr>
        <w:t>6</w:t>
      </w:r>
      <w:r w:rsidRPr="001368FD">
        <w:rPr>
          <w:rFonts w:cs="Arial"/>
          <w:szCs w:val="18"/>
          <w:lang w:val="it-IT"/>
        </w:rPr>
        <w:t xml:space="preserve"> + 7 </w:t>
      </w:r>
      <w:r w:rsidRPr="001368FD">
        <w:rPr>
          <w:lang w:val="it-IT"/>
        </w:rPr>
        <w:t>O</w:t>
      </w:r>
      <w:r w:rsidRPr="001368FD">
        <w:rPr>
          <w:rFonts w:cs="Arial"/>
          <w:szCs w:val="18"/>
          <w:vertAlign w:val="subscript"/>
          <w:lang w:val="it-IT"/>
        </w:rPr>
        <w:t>2</w:t>
      </w:r>
      <w:r w:rsidRPr="001368FD">
        <w:rPr>
          <w:lang w:val="it-IT"/>
        </w:rPr>
        <w:t xml:space="preserve"> </w:t>
      </w:r>
      <w:r w:rsidRPr="00AC3324">
        <w:rPr>
          <w:lang w:val="en-GB"/>
        </w:rPr>
        <w:sym w:font="Wingdings" w:char="F0E0"/>
      </w:r>
      <w:r w:rsidRPr="001368FD">
        <w:rPr>
          <w:lang w:val="it-IT"/>
        </w:rPr>
        <w:t xml:space="preserve"> 4 CO</w:t>
      </w:r>
      <w:r w:rsidRPr="001368FD">
        <w:rPr>
          <w:rFonts w:cs="Arial"/>
          <w:szCs w:val="18"/>
          <w:vertAlign w:val="subscript"/>
          <w:lang w:val="it-IT"/>
        </w:rPr>
        <w:t>2</w:t>
      </w:r>
      <w:r w:rsidRPr="001368FD">
        <w:rPr>
          <w:lang w:val="it-IT"/>
        </w:rPr>
        <w:t xml:space="preserve"> + 6 H</w:t>
      </w:r>
      <w:r w:rsidRPr="001368FD">
        <w:rPr>
          <w:rFonts w:cs="Arial"/>
          <w:szCs w:val="18"/>
          <w:vertAlign w:val="subscript"/>
          <w:lang w:val="it-IT"/>
        </w:rPr>
        <w:t>2</w:t>
      </w:r>
      <w:r w:rsidRPr="001368FD">
        <w:rPr>
          <w:lang w:val="it-IT"/>
        </w:rPr>
        <w:t>O</w:t>
      </w:r>
      <w:r w:rsidR="008A0428" w:rsidRPr="001368FD">
        <w:rPr>
          <w:lang w:val="it-IT"/>
        </w:rPr>
        <w:tab/>
        <w:t>(</w:t>
      </w:r>
      <m:oMath>
        <m:sSub>
          <m:sSubPr>
            <m:ctrlPr>
              <w:rPr>
                <w:rFonts w:ascii="Cambria Math" w:hAnsi="Cambria Math"/>
                <w:i/>
              </w:rPr>
            </m:ctrlPr>
          </m:sSubPr>
          <m:e>
            <m:r>
              <w:rPr>
                <w:rFonts w:ascii="Cambria Math" w:hAnsi="Cambria Math"/>
                <w:lang w:val="it-IT"/>
              </w:rPr>
              <m:t>∆</m:t>
            </m:r>
            <m:r>
              <w:rPr>
                <w:rFonts w:ascii="Cambria Math" w:hAnsi="Cambria Math"/>
              </w:rPr>
              <m:t>H</m:t>
            </m:r>
          </m:e>
          <m:sub>
            <m:r>
              <w:rPr>
                <w:rFonts w:ascii="Cambria Math" w:hAnsi="Cambria Math"/>
              </w:rPr>
              <m:t>C</m:t>
            </m:r>
          </m:sub>
        </m:sSub>
        <m:r>
          <w:rPr>
            <w:rFonts w:ascii="Cambria Math" w:hAnsi="Cambria Math"/>
            <w:lang w:val="it-IT"/>
          </w:rPr>
          <m:t>°=-1561</m:t>
        </m:r>
        <m:f>
          <m:fPr>
            <m:type m:val="lin"/>
            <m:ctrlPr>
              <w:rPr>
                <w:rFonts w:ascii="Cambria Math" w:hAnsi="Cambria Math"/>
                <w:i/>
              </w:rPr>
            </m:ctrlPr>
          </m:fPr>
          <m:num>
            <m:r>
              <w:rPr>
                <w:rFonts w:ascii="Cambria Math" w:hAnsi="Cambria Math"/>
              </w:rPr>
              <m:t>kJ</m:t>
            </m:r>
          </m:num>
          <m:den>
            <m:sSub>
              <m:sSubPr>
                <m:ctrlPr>
                  <w:rPr>
                    <w:rFonts w:ascii="Cambria Math" w:hAnsi="Cambria Math"/>
                    <w:i/>
                  </w:rPr>
                </m:ctrlPr>
              </m:sSubPr>
              <m:e>
                <m:r>
                  <w:rPr>
                    <w:rFonts w:ascii="Cambria Math" w:hAnsi="Cambria Math"/>
                  </w:rPr>
                  <m:t>mol</m:t>
                </m:r>
              </m:e>
              <m:sub>
                <m:sSub>
                  <m:sSubPr>
                    <m:ctrlPr>
                      <w:rPr>
                        <w:rFonts w:ascii="Cambria Math" w:hAnsi="Cambria Math"/>
                        <w:i/>
                      </w:rPr>
                    </m:ctrlPr>
                  </m:sSubPr>
                  <m:e>
                    <m:r>
                      <w:rPr>
                        <w:rFonts w:ascii="Cambria Math" w:hAnsi="Cambria Math"/>
                      </w:rPr>
                      <m:t>C</m:t>
                    </m:r>
                  </m:e>
                  <m:sub>
                    <m:r>
                      <w:rPr>
                        <w:rFonts w:ascii="Cambria Math" w:hAnsi="Cambria Math"/>
                        <w:lang w:val="it-IT"/>
                      </w:rPr>
                      <m:t>2</m:t>
                    </m:r>
                  </m:sub>
                </m:sSub>
                <m:sSub>
                  <m:sSubPr>
                    <m:ctrlPr>
                      <w:rPr>
                        <w:rFonts w:ascii="Cambria Math" w:hAnsi="Cambria Math"/>
                        <w:i/>
                      </w:rPr>
                    </m:ctrlPr>
                  </m:sSubPr>
                  <m:e>
                    <m:r>
                      <w:rPr>
                        <w:rFonts w:ascii="Cambria Math" w:hAnsi="Cambria Math"/>
                      </w:rPr>
                      <m:t>H</m:t>
                    </m:r>
                  </m:e>
                  <m:sub>
                    <m:r>
                      <w:rPr>
                        <w:rFonts w:ascii="Cambria Math" w:hAnsi="Cambria Math"/>
                        <w:lang w:val="it-IT"/>
                      </w:rPr>
                      <m:t>6</m:t>
                    </m:r>
                  </m:sub>
                </m:sSub>
              </m:sub>
            </m:sSub>
          </m:den>
        </m:f>
      </m:oMath>
      <w:r w:rsidR="008A0428" w:rsidRPr="001368FD">
        <w:rPr>
          <w:lang w:val="it-IT"/>
        </w:rPr>
        <w:t>)</w:t>
      </w:r>
    </w:p>
    <w:p w14:paraId="6ED981B0" w14:textId="7CCDA13A" w:rsidR="00050A39" w:rsidRPr="001368FD" w:rsidRDefault="00050A39" w:rsidP="008A0428">
      <w:pPr>
        <w:pStyle w:val="CETBodytext"/>
        <w:tabs>
          <w:tab w:val="clear" w:pos="7100"/>
        </w:tabs>
        <w:spacing w:after="80"/>
        <w:rPr>
          <w:lang w:val="it-IT"/>
        </w:rPr>
      </w:pPr>
      <w:r w:rsidRPr="001368FD">
        <w:rPr>
          <w:rFonts w:cs="Arial"/>
          <w:szCs w:val="18"/>
          <w:lang w:val="it-IT"/>
        </w:rPr>
        <w:t>C</w:t>
      </w:r>
      <w:r w:rsidRPr="001368FD">
        <w:rPr>
          <w:rFonts w:cs="Arial"/>
          <w:szCs w:val="18"/>
          <w:vertAlign w:val="subscript"/>
          <w:lang w:val="it-IT"/>
        </w:rPr>
        <w:t>2</w:t>
      </w:r>
      <w:r w:rsidRPr="001368FD">
        <w:rPr>
          <w:rFonts w:cs="Arial"/>
          <w:szCs w:val="18"/>
          <w:lang w:val="it-IT"/>
        </w:rPr>
        <w:t>H</w:t>
      </w:r>
      <w:r w:rsidRPr="001368FD">
        <w:rPr>
          <w:rFonts w:cs="Arial"/>
          <w:szCs w:val="18"/>
          <w:vertAlign w:val="subscript"/>
          <w:lang w:val="it-IT"/>
        </w:rPr>
        <w:t>4</w:t>
      </w:r>
      <w:r w:rsidRPr="001368FD">
        <w:rPr>
          <w:rFonts w:cs="Arial"/>
          <w:szCs w:val="18"/>
          <w:lang w:val="it-IT"/>
        </w:rPr>
        <w:t xml:space="preserve"> + 3 </w:t>
      </w:r>
      <w:r w:rsidRPr="001368FD">
        <w:rPr>
          <w:lang w:val="it-IT"/>
        </w:rPr>
        <w:t>O</w:t>
      </w:r>
      <w:r w:rsidRPr="001368FD">
        <w:rPr>
          <w:rFonts w:cs="Arial"/>
          <w:szCs w:val="18"/>
          <w:vertAlign w:val="subscript"/>
          <w:lang w:val="it-IT"/>
        </w:rPr>
        <w:t>2</w:t>
      </w:r>
      <w:r w:rsidRPr="001368FD">
        <w:rPr>
          <w:lang w:val="it-IT"/>
        </w:rPr>
        <w:t xml:space="preserve"> </w:t>
      </w:r>
      <w:r w:rsidRPr="00AC3324">
        <w:rPr>
          <w:lang w:val="en-GB"/>
        </w:rPr>
        <w:sym w:font="Wingdings" w:char="F0E0"/>
      </w:r>
      <w:r w:rsidRPr="001368FD">
        <w:rPr>
          <w:lang w:val="it-IT"/>
        </w:rPr>
        <w:t xml:space="preserve"> 2 CO</w:t>
      </w:r>
      <w:r w:rsidRPr="001368FD">
        <w:rPr>
          <w:rFonts w:cs="Arial"/>
          <w:szCs w:val="18"/>
          <w:vertAlign w:val="subscript"/>
          <w:lang w:val="it-IT"/>
        </w:rPr>
        <w:t>2</w:t>
      </w:r>
      <w:r w:rsidRPr="001368FD">
        <w:rPr>
          <w:lang w:val="it-IT"/>
        </w:rPr>
        <w:t xml:space="preserve"> + 2 H</w:t>
      </w:r>
      <w:r w:rsidRPr="001368FD">
        <w:rPr>
          <w:rFonts w:cs="Arial"/>
          <w:szCs w:val="18"/>
          <w:vertAlign w:val="subscript"/>
          <w:lang w:val="it-IT"/>
        </w:rPr>
        <w:t>2</w:t>
      </w:r>
      <w:r w:rsidRPr="001368FD">
        <w:rPr>
          <w:lang w:val="it-IT"/>
        </w:rPr>
        <w:t>O</w:t>
      </w:r>
      <w:r w:rsidR="008A0428" w:rsidRPr="001368FD">
        <w:rPr>
          <w:lang w:val="it-IT"/>
        </w:rPr>
        <w:tab/>
        <w:t>(</w:t>
      </w:r>
      <m:oMath>
        <m:sSub>
          <m:sSubPr>
            <m:ctrlPr>
              <w:rPr>
                <w:rFonts w:ascii="Cambria Math" w:hAnsi="Cambria Math"/>
                <w:i/>
              </w:rPr>
            </m:ctrlPr>
          </m:sSubPr>
          <m:e>
            <m:r>
              <w:rPr>
                <w:rFonts w:ascii="Cambria Math" w:hAnsi="Cambria Math"/>
                <w:lang w:val="it-IT"/>
              </w:rPr>
              <m:t>∆</m:t>
            </m:r>
            <m:r>
              <w:rPr>
                <w:rFonts w:ascii="Cambria Math" w:hAnsi="Cambria Math"/>
              </w:rPr>
              <m:t>H</m:t>
            </m:r>
          </m:e>
          <m:sub>
            <m:r>
              <w:rPr>
                <w:rFonts w:ascii="Cambria Math" w:hAnsi="Cambria Math"/>
              </w:rPr>
              <m:t>C</m:t>
            </m:r>
          </m:sub>
        </m:sSub>
        <m:r>
          <w:rPr>
            <w:rFonts w:ascii="Cambria Math" w:hAnsi="Cambria Math"/>
            <w:lang w:val="it-IT"/>
          </w:rPr>
          <m:t>°=-1411</m:t>
        </m:r>
        <m:f>
          <m:fPr>
            <m:type m:val="lin"/>
            <m:ctrlPr>
              <w:rPr>
                <w:rFonts w:ascii="Cambria Math" w:hAnsi="Cambria Math"/>
                <w:i/>
              </w:rPr>
            </m:ctrlPr>
          </m:fPr>
          <m:num>
            <m:r>
              <w:rPr>
                <w:rFonts w:ascii="Cambria Math" w:hAnsi="Cambria Math"/>
              </w:rPr>
              <m:t>kJ</m:t>
            </m:r>
          </m:num>
          <m:den>
            <m:sSub>
              <m:sSubPr>
                <m:ctrlPr>
                  <w:rPr>
                    <w:rFonts w:ascii="Cambria Math" w:hAnsi="Cambria Math"/>
                    <w:i/>
                  </w:rPr>
                </m:ctrlPr>
              </m:sSubPr>
              <m:e>
                <m:r>
                  <w:rPr>
                    <w:rFonts w:ascii="Cambria Math" w:hAnsi="Cambria Math"/>
                  </w:rPr>
                  <m:t>mol</m:t>
                </m:r>
              </m:e>
              <m:sub>
                <m:sSub>
                  <m:sSubPr>
                    <m:ctrlPr>
                      <w:rPr>
                        <w:rFonts w:ascii="Cambria Math" w:hAnsi="Cambria Math"/>
                        <w:i/>
                      </w:rPr>
                    </m:ctrlPr>
                  </m:sSubPr>
                  <m:e>
                    <m:r>
                      <w:rPr>
                        <w:rFonts w:ascii="Cambria Math" w:hAnsi="Cambria Math"/>
                      </w:rPr>
                      <m:t>C</m:t>
                    </m:r>
                  </m:e>
                  <m:sub>
                    <m:r>
                      <w:rPr>
                        <w:rFonts w:ascii="Cambria Math" w:hAnsi="Cambria Math"/>
                        <w:lang w:val="it-IT"/>
                      </w:rPr>
                      <m:t>2</m:t>
                    </m:r>
                  </m:sub>
                </m:sSub>
                <m:sSub>
                  <m:sSubPr>
                    <m:ctrlPr>
                      <w:rPr>
                        <w:rFonts w:ascii="Cambria Math" w:hAnsi="Cambria Math"/>
                        <w:i/>
                      </w:rPr>
                    </m:ctrlPr>
                  </m:sSubPr>
                  <m:e>
                    <m:r>
                      <w:rPr>
                        <w:rFonts w:ascii="Cambria Math" w:hAnsi="Cambria Math"/>
                      </w:rPr>
                      <m:t>H</m:t>
                    </m:r>
                  </m:e>
                  <m:sub>
                    <m:r>
                      <w:rPr>
                        <w:rFonts w:ascii="Cambria Math" w:hAnsi="Cambria Math"/>
                        <w:lang w:val="it-IT"/>
                      </w:rPr>
                      <m:t>4</m:t>
                    </m:r>
                  </m:sub>
                </m:sSub>
              </m:sub>
            </m:sSub>
          </m:den>
        </m:f>
      </m:oMath>
      <w:r w:rsidR="008A0428" w:rsidRPr="001368FD">
        <w:rPr>
          <w:lang w:val="it-IT"/>
        </w:rPr>
        <w:t>)</w:t>
      </w:r>
    </w:p>
    <w:p w14:paraId="16A92F93" w14:textId="58E0BD37" w:rsidR="00691DDC" w:rsidRPr="00AC3324" w:rsidRDefault="00691DDC" w:rsidP="00AA44FE">
      <w:pPr>
        <w:pStyle w:val="CETBodytext"/>
        <w:spacing w:after="80"/>
        <w:rPr>
          <w:lang w:val="en-GB"/>
        </w:rPr>
      </w:pPr>
      <w:r w:rsidRPr="00AC3324">
        <w:rPr>
          <w:lang w:val="en-GB"/>
        </w:rPr>
        <w:t xml:space="preserve">While the decomposition of the organic vapour is evaluated considering </w:t>
      </w:r>
      <w:r w:rsidR="009F5DF2" w:rsidRPr="00AC3324">
        <w:rPr>
          <w:lang w:val="en-GB"/>
        </w:rPr>
        <w:t>its</w:t>
      </w:r>
      <w:r w:rsidRPr="00AC3324">
        <w:rPr>
          <w:lang w:val="en-GB"/>
        </w:rPr>
        <w:t xml:space="preserve"> </w:t>
      </w:r>
      <w:r w:rsidR="009F5DF2" w:rsidRPr="00AC3324">
        <w:rPr>
          <w:lang w:val="en-GB"/>
        </w:rPr>
        <w:t>ultimate</w:t>
      </w:r>
      <w:r w:rsidR="00050A39" w:rsidRPr="00AC3324">
        <w:rPr>
          <w:lang w:val="en-GB"/>
        </w:rPr>
        <w:t xml:space="preserve"> composition</w:t>
      </w:r>
      <w:r w:rsidR="009F5DF2" w:rsidRPr="00AC3324">
        <w:rPr>
          <w:lang w:val="en-GB"/>
        </w:rPr>
        <w:t xml:space="preserve">. </w:t>
      </w:r>
    </w:p>
    <w:p w14:paraId="0F1851C8" w14:textId="3D63F2B9" w:rsidR="003A6B34" w:rsidRPr="00AC3324" w:rsidRDefault="00000000" w:rsidP="00453E24">
      <w:pPr>
        <w:pStyle w:val="CETBodytext"/>
        <w:rPr>
          <w:rFonts w:cs="Arial"/>
          <w:szCs w:val="18"/>
          <w:lang w:val="en-GB"/>
        </w:rPr>
      </w:pPr>
      <m:oMathPara>
        <m:oMathParaPr>
          <m:jc m:val="left"/>
        </m:oMathParaPr>
        <m:oMath>
          <m:sSub>
            <m:sSubPr>
              <m:ctrlPr>
                <w:rPr>
                  <w:rFonts w:ascii="Cambria Math" w:hAnsi="Cambria Math" w:cs="Arial"/>
                  <w:i/>
                  <w:szCs w:val="18"/>
                  <w:lang w:val="en-GB"/>
                </w:rPr>
              </m:ctrlPr>
            </m:sSubPr>
            <m:e>
              <m:r>
                <w:rPr>
                  <w:rFonts w:ascii="Cambria Math" w:hAnsi="Cambria Math" w:cs="Arial"/>
                  <w:szCs w:val="18"/>
                  <w:lang w:val="en-GB"/>
                </w:rPr>
                <m:t>C</m:t>
              </m:r>
            </m:e>
            <m:sub>
              <m:r>
                <w:rPr>
                  <w:rFonts w:ascii="Cambria Math" w:hAnsi="Cambria Math" w:cs="Arial"/>
                  <w:szCs w:val="18"/>
                  <w:lang w:val="en-GB"/>
                </w:rPr>
                <m:t>a</m:t>
              </m:r>
            </m:sub>
          </m:sSub>
          <m:sSub>
            <m:sSubPr>
              <m:ctrlPr>
                <w:rPr>
                  <w:rFonts w:ascii="Cambria Math" w:hAnsi="Cambria Math" w:cs="Arial"/>
                  <w:i/>
                  <w:szCs w:val="18"/>
                  <w:lang w:val="en-GB"/>
                </w:rPr>
              </m:ctrlPr>
            </m:sSubPr>
            <m:e>
              <m:r>
                <w:rPr>
                  <w:rFonts w:ascii="Cambria Math" w:hAnsi="Cambria Math" w:cs="Arial"/>
                  <w:szCs w:val="18"/>
                  <w:lang w:val="en-GB"/>
                </w:rPr>
                <m:t>H</m:t>
              </m:r>
            </m:e>
            <m:sub>
              <m:r>
                <w:rPr>
                  <w:rFonts w:ascii="Cambria Math" w:hAnsi="Cambria Math" w:cs="Arial"/>
                  <w:szCs w:val="18"/>
                  <w:lang w:val="en-GB"/>
                </w:rPr>
                <m:t>b</m:t>
              </m:r>
            </m:sub>
          </m:sSub>
          <m:sSub>
            <m:sSubPr>
              <m:ctrlPr>
                <w:rPr>
                  <w:rFonts w:ascii="Cambria Math" w:hAnsi="Cambria Math" w:cs="Arial"/>
                  <w:i/>
                  <w:szCs w:val="18"/>
                  <w:lang w:val="en-GB"/>
                </w:rPr>
              </m:ctrlPr>
            </m:sSubPr>
            <m:e>
              <m:r>
                <w:rPr>
                  <w:rFonts w:ascii="Cambria Math" w:hAnsi="Cambria Math" w:cs="Arial"/>
                  <w:szCs w:val="18"/>
                  <w:lang w:val="en-GB"/>
                </w:rPr>
                <m:t>N</m:t>
              </m:r>
            </m:e>
            <m:sub>
              <m:r>
                <w:rPr>
                  <w:rFonts w:ascii="Cambria Math" w:hAnsi="Cambria Math" w:cs="Arial"/>
                  <w:szCs w:val="18"/>
                  <w:lang w:val="en-GB"/>
                </w:rPr>
                <m:t>c</m:t>
              </m:r>
            </m:sub>
          </m:sSub>
          <m:sSub>
            <m:sSubPr>
              <m:ctrlPr>
                <w:rPr>
                  <w:rFonts w:ascii="Cambria Math" w:hAnsi="Cambria Math" w:cs="Arial"/>
                  <w:i/>
                  <w:szCs w:val="18"/>
                  <w:lang w:val="en-GB"/>
                </w:rPr>
              </m:ctrlPr>
            </m:sSubPr>
            <m:e>
              <m:r>
                <w:rPr>
                  <w:rFonts w:ascii="Cambria Math" w:hAnsi="Cambria Math" w:cs="Arial"/>
                  <w:szCs w:val="18"/>
                  <w:lang w:val="en-GB"/>
                </w:rPr>
                <m:t>O</m:t>
              </m:r>
            </m:e>
            <m:sub>
              <m:r>
                <w:rPr>
                  <w:rFonts w:ascii="Cambria Math" w:hAnsi="Cambria Math" w:cs="Arial"/>
                  <w:szCs w:val="18"/>
                  <w:lang w:val="en-GB"/>
                </w:rPr>
                <m:t>d</m:t>
              </m:r>
            </m:sub>
          </m:sSub>
          <m:r>
            <w:rPr>
              <w:rFonts w:ascii="Cambria Math" w:hAnsi="Cambria Math" w:cs="Arial"/>
              <w:szCs w:val="18"/>
              <w:lang w:val="en-GB"/>
            </w:rPr>
            <m:t>+</m:t>
          </m:r>
          <m:d>
            <m:dPr>
              <m:ctrlPr>
                <w:rPr>
                  <w:rFonts w:ascii="Cambria Math" w:hAnsi="Cambria Math" w:cs="Arial"/>
                  <w:i/>
                  <w:szCs w:val="18"/>
                  <w:lang w:val="en-GB"/>
                </w:rPr>
              </m:ctrlPr>
            </m:dPr>
            <m:e>
              <m:r>
                <w:rPr>
                  <w:rFonts w:ascii="Cambria Math" w:hAnsi="Cambria Math" w:cs="Arial"/>
                  <w:szCs w:val="18"/>
                  <w:lang w:val="en-GB"/>
                </w:rPr>
                <m:t>a+</m:t>
              </m:r>
              <m:f>
                <m:fPr>
                  <m:ctrlPr>
                    <w:rPr>
                      <w:rFonts w:ascii="Cambria Math" w:hAnsi="Cambria Math" w:cs="Arial"/>
                      <w:i/>
                      <w:szCs w:val="18"/>
                      <w:lang w:val="en-GB"/>
                    </w:rPr>
                  </m:ctrlPr>
                </m:fPr>
                <m:num>
                  <m:r>
                    <w:rPr>
                      <w:rFonts w:ascii="Cambria Math" w:hAnsi="Cambria Math" w:cs="Arial"/>
                      <w:szCs w:val="18"/>
                      <w:lang w:val="en-GB"/>
                    </w:rPr>
                    <m:t>b</m:t>
                  </m:r>
                </m:num>
                <m:den>
                  <m:r>
                    <w:rPr>
                      <w:rFonts w:ascii="Cambria Math" w:hAnsi="Cambria Math" w:cs="Arial"/>
                      <w:szCs w:val="18"/>
                      <w:lang w:val="en-GB"/>
                    </w:rPr>
                    <m:t>4</m:t>
                  </m:r>
                </m:den>
              </m:f>
              <m:r>
                <w:rPr>
                  <w:rFonts w:ascii="Cambria Math" w:hAnsi="Cambria Math" w:cs="Arial"/>
                  <w:szCs w:val="18"/>
                  <w:lang w:val="en-GB"/>
                </w:rPr>
                <m:t>-</m:t>
              </m:r>
              <m:f>
                <m:fPr>
                  <m:ctrlPr>
                    <w:rPr>
                      <w:rFonts w:ascii="Cambria Math" w:hAnsi="Cambria Math" w:cs="Arial"/>
                      <w:i/>
                      <w:szCs w:val="18"/>
                      <w:lang w:val="en-GB"/>
                    </w:rPr>
                  </m:ctrlPr>
                </m:fPr>
                <m:num>
                  <m:r>
                    <w:rPr>
                      <w:rFonts w:ascii="Cambria Math" w:hAnsi="Cambria Math" w:cs="Arial"/>
                      <w:szCs w:val="18"/>
                      <w:lang w:val="en-GB"/>
                    </w:rPr>
                    <m:t>d</m:t>
                  </m:r>
                </m:num>
                <m:den>
                  <m:r>
                    <w:rPr>
                      <w:rFonts w:ascii="Cambria Math" w:hAnsi="Cambria Math" w:cs="Arial"/>
                      <w:szCs w:val="18"/>
                      <w:lang w:val="en-GB"/>
                    </w:rPr>
                    <m:t>2</m:t>
                  </m:r>
                </m:den>
              </m:f>
            </m:e>
          </m:d>
          <m:sSub>
            <m:sSubPr>
              <m:ctrlPr>
                <w:rPr>
                  <w:rFonts w:ascii="Cambria Math" w:hAnsi="Cambria Math" w:cs="Arial"/>
                  <w:i/>
                  <w:szCs w:val="18"/>
                  <w:lang w:val="en-GB"/>
                </w:rPr>
              </m:ctrlPr>
            </m:sSubPr>
            <m:e>
              <m:r>
                <w:rPr>
                  <w:rFonts w:ascii="Cambria Math" w:hAnsi="Cambria Math" w:cs="Arial"/>
                  <w:szCs w:val="18"/>
                  <w:lang w:val="en-GB"/>
                </w:rPr>
                <m:t>O</m:t>
              </m:r>
            </m:e>
            <m:sub>
              <m:r>
                <w:rPr>
                  <w:rFonts w:ascii="Cambria Math" w:hAnsi="Cambria Math" w:cs="Arial"/>
                  <w:szCs w:val="18"/>
                  <w:lang w:val="en-GB"/>
                </w:rPr>
                <m:t>2</m:t>
              </m:r>
            </m:sub>
          </m:sSub>
          <m:r>
            <m:rPr>
              <m:sty m:val="p"/>
            </m:rPr>
            <w:rPr>
              <w:rFonts w:ascii="Cambria Math" w:hAnsi="Cambria Math"/>
              <w:lang w:val="en-GB"/>
            </w:rPr>
            <m:t xml:space="preserve"> </m:t>
          </m:r>
          <m:r>
            <m:rPr>
              <m:sty m:val="p"/>
            </m:rPr>
            <w:rPr>
              <w:rFonts w:ascii="Cambria Math" w:hAnsi="Cambria Math"/>
              <w:lang w:val="en-GB"/>
            </w:rPr>
            <w:sym w:font="Wingdings" w:char="F0E0"/>
          </m:r>
          <m:r>
            <m:rPr>
              <m:sty m:val="p"/>
            </m:rPr>
            <w:rPr>
              <w:rFonts w:ascii="Cambria Math" w:hAnsi="Cambria Math"/>
              <w:lang w:val="en-GB"/>
            </w:rPr>
            <m:t xml:space="preserve"> </m:t>
          </m:r>
          <m:r>
            <w:rPr>
              <w:rFonts w:ascii="Cambria Math" w:hAnsi="Cambria Math" w:cs="Arial"/>
              <w:lang w:val="en-GB"/>
            </w:rPr>
            <m:t>a</m:t>
          </m:r>
          <m:sSub>
            <m:sSubPr>
              <m:ctrlPr>
                <w:rPr>
                  <w:rFonts w:ascii="Cambria Math" w:hAnsi="Cambria Math" w:cs="Arial"/>
                  <w:i/>
                  <w:lang w:val="en-GB"/>
                </w:rPr>
              </m:ctrlPr>
            </m:sSubPr>
            <m:e>
              <m:r>
                <w:rPr>
                  <w:rFonts w:ascii="Cambria Math" w:hAnsi="Cambria Math" w:cs="Arial"/>
                  <w:lang w:val="en-GB"/>
                </w:rPr>
                <m:t>CO</m:t>
              </m:r>
            </m:e>
            <m:sub>
              <m:r>
                <w:rPr>
                  <w:rFonts w:ascii="Cambria Math" w:hAnsi="Cambria Math" w:cs="Arial"/>
                  <w:lang w:val="en-GB"/>
                </w:rPr>
                <m:t>2</m:t>
              </m:r>
            </m:sub>
          </m:sSub>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b</m:t>
              </m:r>
            </m:num>
            <m:den>
              <m:r>
                <w:rPr>
                  <w:rFonts w:ascii="Cambria Math" w:hAnsi="Cambria Math" w:cs="Arial"/>
                  <w:lang w:val="en-GB"/>
                </w:rPr>
                <m:t>2</m:t>
              </m:r>
            </m:den>
          </m:f>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2</m:t>
              </m:r>
            </m:sub>
          </m:sSub>
          <m:r>
            <w:rPr>
              <w:rFonts w:ascii="Cambria Math" w:hAnsi="Cambria Math" w:cs="Arial"/>
              <w:lang w:val="en-GB"/>
            </w:rPr>
            <m:t>O+</m:t>
          </m:r>
          <m:f>
            <m:fPr>
              <m:ctrlPr>
                <w:rPr>
                  <w:rFonts w:ascii="Cambria Math" w:hAnsi="Cambria Math" w:cs="Arial"/>
                  <w:i/>
                  <w:lang w:val="en-GB"/>
                </w:rPr>
              </m:ctrlPr>
            </m:fPr>
            <m:num>
              <m:r>
                <w:rPr>
                  <w:rFonts w:ascii="Cambria Math" w:hAnsi="Cambria Math" w:cs="Arial"/>
                  <w:lang w:val="en-GB"/>
                </w:rPr>
                <m:t>c</m:t>
              </m:r>
            </m:num>
            <m:den>
              <m:r>
                <w:rPr>
                  <w:rFonts w:ascii="Cambria Math" w:hAnsi="Cambria Math" w:cs="Arial"/>
                  <w:lang w:val="en-GB"/>
                </w:rPr>
                <m:t>2</m:t>
              </m:r>
            </m:den>
          </m:f>
          <m:sSub>
            <m:sSubPr>
              <m:ctrlPr>
                <w:rPr>
                  <w:rFonts w:ascii="Cambria Math" w:hAnsi="Cambria Math" w:cs="Arial"/>
                  <w:i/>
                  <w:lang w:val="en-GB"/>
                </w:rPr>
              </m:ctrlPr>
            </m:sSubPr>
            <m:e>
              <m:r>
                <w:rPr>
                  <w:rFonts w:ascii="Cambria Math" w:hAnsi="Cambria Math" w:cs="Arial"/>
                  <w:lang w:val="en-GB"/>
                </w:rPr>
                <m:t>N</m:t>
              </m:r>
            </m:e>
            <m:sub>
              <m:r>
                <w:rPr>
                  <w:rFonts w:ascii="Cambria Math" w:hAnsi="Cambria Math" w:cs="Arial"/>
                  <w:lang w:val="en-GB"/>
                </w:rPr>
                <m:t>2</m:t>
              </m:r>
            </m:sub>
          </m:sSub>
        </m:oMath>
      </m:oMathPara>
    </w:p>
    <w:p w14:paraId="370AA527" w14:textId="415904C2" w:rsidR="00691DDC" w:rsidRPr="00AC3324" w:rsidRDefault="00B852FC" w:rsidP="00453E24">
      <w:pPr>
        <w:pStyle w:val="CETBodytext"/>
        <w:rPr>
          <w:lang w:val="en-GB"/>
        </w:rPr>
      </w:pPr>
      <w:r w:rsidRPr="00AC3324">
        <w:rPr>
          <w:lang w:val="en-GB"/>
        </w:rPr>
        <w:t xml:space="preserve">The stoichiometric oxygen demand is calculated on the basis of these reactions. The air required for the combustion process is calculated taking into account an excess air of 140 % in order to avoid the formation of NOx (Demol et al., 2021). </w:t>
      </w:r>
    </w:p>
    <w:p w14:paraId="29007A1C" w14:textId="05E5EABD" w:rsidR="00050A39" w:rsidRPr="00AC3324" w:rsidRDefault="00C11073" w:rsidP="00453E24">
      <w:pPr>
        <w:pStyle w:val="CETBodytext"/>
        <w:rPr>
          <w:lang w:val="en-GB"/>
        </w:rPr>
      </w:pPr>
      <w:r w:rsidRPr="00AC3324">
        <w:rPr>
          <w:lang w:val="en-GB"/>
        </w:rPr>
        <w:t>The enthalpy contained in the combustion gases is calculated on the assumption that the energy of the pyrogas is transferred to the combustion gases, assuming a chemical reaction efficiency of 97 % and thermal losses of 15 % (this value includes all heat losses that occur in the path of the combustion gases).</w:t>
      </w:r>
      <w:r w:rsidR="00642B98" w:rsidRPr="00AC3324">
        <w:rPr>
          <w:lang w:val="en-GB"/>
        </w:rPr>
        <w:t xml:space="preserve"> </w:t>
      </w:r>
    </w:p>
    <w:tbl>
      <w:tblPr>
        <w:tblW w:w="5000" w:type="pct"/>
        <w:tblLook w:val="04A0" w:firstRow="1" w:lastRow="0" w:firstColumn="1" w:lastColumn="0" w:noHBand="0" w:noVBand="1"/>
      </w:tblPr>
      <w:tblGrid>
        <w:gridCol w:w="8331"/>
        <w:gridCol w:w="456"/>
      </w:tblGrid>
      <w:tr w:rsidR="00050A39" w:rsidRPr="00AC3324" w14:paraId="139CE9BD" w14:textId="77777777" w:rsidTr="00050A39">
        <w:tc>
          <w:tcPr>
            <w:tcW w:w="8331" w:type="dxa"/>
            <w:shd w:val="clear" w:color="auto" w:fill="auto"/>
            <w:vAlign w:val="center"/>
          </w:tcPr>
          <w:p w14:paraId="13511119" w14:textId="169B5906" w:rsidR="00050A39" w:rsidRPr="00AC3324" w:rsidRDefault="00000000" w:rsidP="0058308D">
            <w:pPr>
              <w:pStyle w:val="CETEquation"/>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PG</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burn</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sSub>
                      <m:sSubPr>
                        <m:ctrlPr>
                          <w:rPr>
                            <w:rFonts w:ascii="Cambria Math" w:hAnsi="Cambria Math"/>
                            <w:i/>
                          </w:rPr>
                        </m:ctrlPr>
                      </m:sSubPr>
                      <m:e>
                        <m:r>
                          <w:rPr>
                            <w:rFonts w:ascii="Cambria Math" w:hAnsi="Cambria Math"/>
                          </w:rPr>
                          <m:t>burn</m:t>
                        </m:r>
                      </m:e>
                      <m:sub>
                        <m:r>
                          <w:rPr>
                            <w:rFonts w:ascii="Cambria Math" w:hAnsi="Cambria Math"/>
                          </w:rPr>
                          <m:t>TH_loss</m:t>
                        </m:r>
                      </m:sub>
                    </m:sSub>
                  </m:sub>
                </m:sSub>
              </m:oMath>
            </m:oMathPara>
          </w:p>
        </w:tc>
        <w:tc>
          <w:tcPr>
            <w:tcW w:w="456" w:type="dxa"/>
            <w:shd w:val="clear" w:color="auto" w:fill="auto"/>
            <w:vAlign w:val="center"/>
          </w:tcPr>
          <w:p w14:paraId="28099B70" w14:textId="45309A00" w:rsidR="00050A39" w:rsidRPr="00AC3324" w:rsidRDefault="00050A39" w:rsidP="0058308D">
            <w:pPr>
              <w:pStyle w:val="CETEquation"/>
              <w:jc w:val="right"/>
            </w:pPr>
            <w:r w:rsidRPr="00AC3324">
              <w:t>(</w:t>
            </w:r>
            <w:r w:rsidR="00522AFF" w:rsidRPr="00AC3324">
              <w:t>9</w:t>
            </w:r>
            <w:r w:rsidRPr="00AC3324">
              <w:t>)</w:t>
            </w:r>
          </w:p>
        </w:tc>
      </w:tr>
    </w:tbl>
    <w:p w14:paraId="07DA2000" w14:textId="2AC53370" w:rsidR="00050A39" w:rsidRPr="00AC3324" w:rsidRDefault="00565F75" w:rsidP="00453E24">
      <w:pPr>
        <w:pStyle w:val="CETBodytext"/>
        <w:rPr>
          <w:lang w:val="en-GB"/>
        </w:rPr>
      </w:pPr>
      <w:r w:rsidRPr="00AC3324">
        <w:rPr>
          <w:lang w:val="en-GB"/>
        </w:rPr>
        <w:t>Where the thermal losses</w:t>
      </w:r>
      <w:r w:rsidR="00CE43A4" w:rsidRPr="00AC3324">
        <w:rPr>
          <w:lang w:val="en-GB"/>
        </w:rPr>
        <w:t xml:space="preserve"> </w:t>
      </w:r>
      <w:r w:rsidR="005D1C1E" w:rsidRPr="00AC3324">
        <w:rPr>
          <w:lang w:val="en-GB"/>
        </w:rPr>
        <w:t xml:space="preserve">are calculated considering that they affect </w:t>
      </w:r>
      <w:r w:rsidRPr="00AC3324">
        <w:rPr>
          <w:lang w:val="en-GB"/>
        </w:rPr>
        <w:t xml:space="preserve">only the sensible heat of the </w:t>
      </w:r>
      <w:r w:rsidR="00AB2F9E" w:rsidRPr="00AC3324">
        <w:rPr>
          <w:lang w:val="en-GB"/>
        </w:rPr>
        <w:t>combustion gases flow</w:t>
      </w:r>
      <w:r w:rsidR="004145C5" w:rsidRPr="00AC3324">
        <w:rPr>
          <w:lang w:val="en-GB"/>
        </w:rPr>
        <w:t>:</w:t>
      </w:r>
    </w:p>
    <w:tbl>
      <w:tblPr>
        <w:tblW w:w="5000" w:type="pct"/>
        <w:tblLook w:val="04A0" w:firstRow="1" w:lastRow="0" w:firstColumn="1" w:lastColumn="0" w:noHBand="0" w:noVBand="1"/>
      </w:tblPr>
      <w:tblGrid>
        <w:gridCol w:w="8250"/>
        <w:gridCol w:w="537"/>
      </w:tblGrid>
      <w:tr w:rsidR="004145C5" w:rsidRPr="00AC3324" w14:paraId="765EBD94" w14:textId="77777777" w:rsidTr="00EA7E73">
        <w:tc>
          <w:tcPr>
            <w:tcW w:w="8331" w:type="dxa"/>
            <w:shd w:val="clear" w:color="auto" w:fill="auto"/>
            <w:vAlign w:val="center"/>
          </w:tcPr>
          <w:p w14:paraId="0F6F7D9A" w14:textId="30531C0F" w:rsidR="004145C5" w:rsidRPr="00AC3324" w:rsidRDefault="00000000" w:rsidP="00EA7E73">
            <w:pPr>
              <w:pStyle w:val="CETEquation"/>
            </w:pPr>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sSub>
                      <m:sSubPr>
                        <m:ctrlPr>
                          <w:rPr>
                            <w:rFonts w:ascii="Cambria Math" w:hAnsi="Cambria Math"/>
                            <w:i/>
                          </w:rPr>
                        </m:ctrlPr>
                      </m:sSubPr>
                      <m:e>
                        <m:r>
                          <w:rPr>
                            <w:rFonts w:ascii="Cambria Math" w:hAnsi="Cambria Math"/>
                          </w:rPr>
                          <m:t>burn</m:t>
                        </m:r>
                      </m:e>
                      <m:sub>
                        <m:r>
                          <w:rPr>
                            <w:rFonts w:ascii="Cambria Math" w:hAnsi="Cambria Math"/>
                          </w:rPr>
                          <m:t>TH_loss</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PG</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burn</m:t>
                        </m:r>
                      </m:sub>
                    </m:sSub>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m</m:t>
                            </m:r>
                          </m:e>
                        </m:acc>
                      </m:e>
                      <m:sub>
                        <m:r>
                          <w:rPr>
                            <w:rFonts w:ascii="Cambria Math" w:hAnsi="Cambria Math"/>
                          </w:rPr>
                          <m:t>H2O</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weva</m:t>
                        </m:r>
                      </m:sub>
                    </m:sSub>
                  </m:e>
                </m:d>
                <m:r>
                  <w:rPr>
                    <w:rFonts w:ascii="Cambria Math" w:hAnsi="Cambria Math"/>
                  </w:rPr>
                  <m:t>∙</m:t>
                </m:r>
                <m:sSub>
                  <m:sSubPr>
                    <m:ctrlPr>
                      <w:rPr>
                        <w:rFonts w:ascii="Cambria Math" w:hAnsi="Cambria Math"/>
                        <w:i/>
                      </w:rPr>
                    </m:ctrlPr>
                  </m:sSubPr>
                  <m:e>
                    <m:r>
                      <w:rPr>
                        <w:rFonts w:ascii="Cambria Math" w:hAnsi="Cambria Math"/>
                      </w:rPr>
                      <m:t>loss</m:t>
                    </m:r>
                  </m:e>
                  <m:sub>
                    <m:r>
                      <w:rPr>
                        <w:rFonts w:ascii="Cambria Math" w:hAnsi="Cambria Math"/>
                      </w:rPr>
                      <m:t>burn</m:t>
                    </m:r>
                  </m:sub>
                </m:sSub>
              </m:oMath>
            </m:oMathPara>
          </w:p>
        </w:tc>
        <w:tc>
          <w:tcPr>
            <w:tcW w:w="456" w:type="dxa"/>
            <w:shd w:val="clear" w:color="auto" w:fill="auto"/>
            <w:vAlign w:val="center"/>
          </w:tcPr>
          <w:p w14:paraId="43322914" w14:textId="381BA303" w:rsidR="004145C5" w:rsidRPr="00AC3324" w:rsidRDefault="004145C5" w:rsidP="00EA7E73">
            <w:pPr>
              <w:pStyle w:val="CETEquation"/>
              <w:jc w:val="right"/>
            </w:pPr>
            <w:r w:rsidRPr="00AC3324">
              <w:t>(</w:t>
            </w:r>
            <w:r w:rsidR="00522AFF" w:rsidRPr="00AC3324">
              <w:t>10</w:t>
            </w:r>
            <w:r w:rsidRPr="00AC3324">
              <w:t>)</w:t>
            </w:r>
          </w:p>
        </w:tc>
      </w:tr>
    </w:tbl>
    <w:p w14:paraId="11B61FBC" w14:textId="6198A7CC" w:rsidR="00565F75" w:rsidRPr="00AC3324" w:rsidRDefault="00961616" w:rsidP="00453E24">
      <w:pPr>
        <w:pStyle w:val="CETBodytext"/>
        <w:rPr>
          <w:lang w:val="en-GB"/>
        </w:rPr>
      </w:pPr>
      <w:r w:rsidRPr="00AC3324">
        <w:rPr>
          <w:lang w:val="en-GB"/>
        </w:rPr>
        <w:t>The temperature of the combustion gases at the outlet of the burner is calculated iteratively by assuming that the energy of the combustion gases is equal to the sum of the enthalpies of the individual gas types of the combustion gases (N</w:t>
      </w:r>
      <w:r w:rsidRPr="00AC3324">
        <w:rPr>
          <w:vertAlign w:val="subscript"/>
          <w:lang w:val="en-GB"/>
        </w:rPr>
        <w:t>2</w:t>
      </w:r>
      <w:r w:rsidRPr="00AC3324">
        <w:rPr>
          <w:lang w:val="en-GB"/>
        </w:rPr>
        <w:t>, CO</w:t>
      </w:r>
      <w:r w:rsidRPr="00AC3324">
        <w:rPr>
          <w:vertAlign w:val="subscript"/>
          <w:lang w:val="en-GB"/>
        </w:rPr>
        <w:t>2</w:t>
      </w:r>
      <w:r w:rsidRPr="00AC3324">
        <w:rPr>
          <w:lang w:val="en-GB"/>
        </w:rPr>
        <w:t>, H</w:t>
      </w:r>
      <w:r w:rsidRPr="00AC3324">
        <w:rPr>
          <w:vertAlign w:val="subscript"/>
          <w:lang w:val="en-GB"/>
        </w:rPr>
        <w:t>2</w:t>
      </w:r>
      <w:r w:rsidRPr="00AC3324">
        <w:rPr>
          <w:lang w:val="en-GB"/>
        </w:rPr>
        <w:t>O, O</w:t>
      </w:r>
      <w:r w:rsidRPr="00AC3324">
        <w:rPr>
          <w:vertAlign w:val="subscript"/>
          <w:lang w:val="en-GB"/>
        </w:rPr>
        <w:t>2</w:t>
      </w:r>
      <w:r w:rsidRPr="00AC3324">
        <w:rPr>
          <w:lang w:val="en-GB"/>
        </w:rPr>
        <w:t>).</w:t>
      </w:r>
    </w:p>
    <w:tbl>
      <w:tblPr>
        <w:tblW w:w="5000" w:type="pct"/>
        <w:tblLook w:val="04A0" w:firstRow="1" w:lastRow="0" w:firstColumn="1" w:lastColumn="0" w:noHBand="0" w:noVBand="1"/>
      </w:tblPr>
      <w:tblGrid>
        <w:gridCol w:w="8250"/>
        <w:gridCol w:w="537"/>
      </w:tblGrid>
      <w:tr w:rsidR="00874819" w:rsidRPr="00AC3324" w14:paraId="0547E996" w14:textId="77777777" w:rsidTr="00F66652">
        <w:tc>
          <w:tcPr>
            <w:tcW w:w="8331" w:type="dxa"/>
            <w:shd w:val="clear" w:color="auto" w:fill="auto"/>
            <w:vAlign w:val="center"/>
          </w:tcPr>
          <w:p w14:paraId="7A34EF51" w14:textId="2ACA3313" w:rsidR="00874819" w:rsidRPr="00AC3324" w:rsidRDefault="00000000" w:rsidP="00F66652">
            <w:pPr>
              <w:pStyle w:val="CETEquation"/>
              <w:rPr>
                <w:rFonts w:cs="Arial"/>
              </w:rPr>
            </w:pPr>
            <m:oMathPara>
              <m:oMathParaPr>
                <m:jc m:val="left"/>
              </m:oMathParaPr>
              <m:oMath>
                <m:sSub>
                  <m:sSubPr>
                    <m:ctrlPr>
                      <w:rPr>
                        <w:rFonts w:ascii="Cambria Math" w:hAnsi="Cambria Math" w:cs="Arial"/>
                        <w:i/>
                        <w:iCs/>
                      </w:rPr>
                    </m:ctrlPr>
                  </m:sSubPr>
                  <m:e>
                    <m:r>
                      <w:rPr>
                        <w:rFonts w:ascii="Cambria Math" w:hAnsi="Cambria Math" w:cs="Arial"/>
                      </w:rPr>
                      <m:t>E</m:t>
                    </m:r>
                  </m:e>
                  <m:sub>
                    <m:r>
                      <w:rPr>
                        <w:rFonts w:ascii="Cambria Math" w:hAnsi="Cambria Math" w:cs="Arial"/>
                      </w:rPr>
                      <m:t>PG</m:t>
                    </m:r>
                  </m:sub>
                </m:sSub>
                <m:r>
                  <w:rPr>
                    <w:rFonts w:ascii="Cambria Math" w:hAnsi="Cambria Math" w:cs="Arial"/>
                  </w:rPr>
                  <m:t>=</m:t>
                </m:r>
                <m:sSub>
                  <m:sSubPr>
                    <m:ctrlPr>
                      <w:rPr>
                        <w:rFonts w:ascii="Cambria Math" w:hAnsi="Cambria Math" w:cs="Arial"/>
                        <w:i/>
                        <w:iCs/>
                      </w:rPr>
                    </m:ctrlPr>
                  </m:sSubPr>
                  <m:e>
                    <m:acc>
                      <m:accPr>
                        <m:chr m:val="̇"/>
                        <m:ctrlPr>
                          <w:rPr>
                            <w:rFonts w:ascii="Cambria Math" w:hAnsi="Cambria Math" w:cs="Arial"/>
                            <w:i/>
                            <w:iCs/>
                          </w:rPr>
                        </m:ctrlPr>
                      </m:accPr>
                      <m:e>
                        <m:r>
                          <w:rPr>
                            <w:rFonts w:ascii="Cambria Math" w:hAnsi="Cambria Math" w:cs="Arial"/>
                          </w:rPr>
                          <m:t>m</m:t>
                        </m:r>
                      </m:e>
                    </m:acc>
                  </m:e>
                  <m:sub>
                    <m:r>
                      <w:rPr>
                        <w:rFonts w:ascii="Cambria Math" w:hAnsi="Cambria Math" w:cs="Arial"/>
                      </w:rPr>
                      <m:t>6</m:t>
                    </m:r>
                  </m:sub>
                </m:sSub>
                <m:r>
                  <w:rPr>
                    <w:rFonts w:ascii="Cambria Math" w:hAnsi="Cambria Math" w:cs="Arial"/>
                  </w:rPr>
                  <m:t>∙</m:t>
                </m:r>
                <m:d>
                  <m:dPr>
                    <m:ctrlPr>
                      <w:rPr>
                        <w:rFonts w:ascii="Cambria Math" w:hAnsi="Cambria Math" w:cs="Arial"/>
                        <w:i/>
                        <w:iCs/>
                      </w:rPr>
                    </m:ctrlPr>
                  </m:dPr>
                  <m:e>
                    <m:sSub>
                      <m:sSubPr>
                        <m:ctrlPr>
                          <w:rPr>
                            <w:rFonts w:ascii="Cambria Math" w:hAnsi="Cambria Math" w:cs="Arial"/>
                            <w:i/>
                            <w:iCs/>
                          </w:rPr>
                        </m:ctrlPr>
                      </m:sSubPr>
                      <m:e>
                        <m:r>
                          <w:rPr>
                            <w:rFonts w:ascii="Cambria Math" w:hAnsi="Cambria Math" w:cs="Arial"/>
                          </w:rPr>
                          <m:t>ω</m:t>
                        </m:r>
                      </m:e>
                      <m:sub>
                        <m:r>
                          <w:rPr>
                            <w:rFonts w:ascii="Cambria Math" w:hAnsi="Cambria Math" w:cs="Arial"/>
                          </w:rPr>
                          <m:t>N2</m:t>
                        </m:r>
                      </m:sub>
                    </m:sSub>
                    <m:r>
                      <w:rPr>
                        <w:rFonts w:ascii="Cambria Math" w:hAnsi="Cambria Math" w:cs="Arial"/>
                      </w:rPr>
                      <m:t>∙</m:t>
                    </m:r>
                    <m:sSub>
                      <m:sSubPr>
                        <m:ctrlPr>
                          <w:rPr>
                            <w:rFonts w:ascii="Cambria Math" w:hAnsi="Cambria Math" w:cs="Arial"/>
                            <w:i/>
                            <w:iCs/>
                          </w:rPr>
                        </m:ctrlPr>
                      </m:sSubPr>
                      <m:e>
                        <m:r>
                          <w:rPr>
                            <w:rFonts w:ascii="Cambria Math" w:hAnsi="Cambria Math" w:cs="Arial"/>
                          </w:rPr>
                          <m:t>h</m:t>
                        </m:r>
                      </m:e>
                      <m:sub>
                        <m:sSub>
                          <m:sSubPr>
                            <m:ctrlPr>
                              <w:rPr>
                                <w:rFonts w:ascii="Cambria Math" w:hAnsi="Cambria Math" w:cs="Arial"/>
                                <w:i/>
                                <w:iCs/>
                              </w:rPr>
                            </m:ctrlPr>
                          </m:sSubPr>
                          <m:e>
                            <m:r>
                              <w:rPr>
                                <w:rFonts w:ascii="Cambria Math" w:hAnsi="Cambria Math" w:cs="Arial"/>
                              </w:rPr>
                              <m:t>N2</m:t>
                            </m:r>
                          </m:e>
                          <m:sub>
                            <m:r>
                              <w:rPr>
                                <w:rFonts w:ascii="Cambria Math" w:hAnsi="Cambria Math" w:cs="Arial"/>
                              </w:rPr>
                              <m:t>T6</m:t>
                            </m:r>
                          </m:sub>
                        </m:sSub>
                      </m:sub>
                    </m:sSub>
                    <m:r>
                      <w:rPr>
                        <w:rFonts w:ascii="Cambria Math" w:hAnsi="Cambria Math" w:cs="Arial"/>
                      </w:rPr>
                      <m:t>+</m:t>
                    </m:r>
                    <m:sSub>
                      <m:sSubPr>
                        <m:ctrlPr>
                          <w:rPr>
                            <w:rFonts w:ascii="Cambria Math" w:hAnsi="Cambria Math" w:cs="Arial"/>
                            <w:i/>
                            <w:iCs/>
                          </w:rPr>
                        </m:ctrlPr>
                      </m:sSubPr>
                      <m:e>
                        <m:r>
                          <w:rPr>
                            <w:rFonts w:ascii="Cambria Math" w:hAnsi="Cambria Math" w:cs="Arial"/>
                          </w:rPr>
                          <m:t>ω</m:t>
                        </m:r>
                      </m:e>
                      <m:sub>
                        <m:r>
                          <w:rPr>
                            <w:rFonts w:ascii="Cambria Math" w:hAnsi="Cambria Math" w:cs="Arial"/>
                          </w:rPr>
                          <m:t>H2O</m:t>
                        </m:r>
                      </m:sub>
                    </m:sSub>
                    <m:r>
                      <w:rPr>
                        <w:rFonts w:ascii="Cambria Math" w:hAnsi="Cambria Math" w:cs="Arial"/>
                      </w:rPr>
                      <m:t>∙</m:t>
                    </m:r>
                    <m:sSub>
                      <m:sSubPr>
                        <m:ctrlPr>
                          <w:rPr>
                            <w:rFonts w:ascii="Cambria Math" w:hAnsi="Cambria Math" w:cs="Arial"/>
                            <w:i/>
                            <w:iCs/>
                          </w:rPr>
                        </m:ctrlPr>
                      </m:sSubPr>
                      <m:e>
                        <m:r>
                          <w:rPr>
                            <w:rFonts w:ascii="Cambria Math" w:hAnsi="Cambria Math" w:cs="Arial"/>
                          </w:rPr>
                          <m:t>h</m:t>
                        </m:r>
                      </m:e>
                      <m:sub>
                        <m:sSub>
                          <m:sSubPr>
                            <m:ctrlPr>
                              <w:rPr>
                                <w:rFonts w:ascii="Cambria Math" w:hAnsi="Cambria Math" w:cs="Arial"/>
                                <w:i/>
                                <w:iCs/>
                              </w:rPr>
                            </m:ctrlPr>
                          </m:sSubPr>
                          <m:e>
                            <m:r>
                              <w:rPr>
                                <w:rFonts w:ascii="Cambria Math" w:hAnsi="Cambria Math" w:cs="Arial"/>
                              </w:rPr>
                              <m:t>H2O</m:t>
                            </m:r>
                          </m:e>
                          <m:sub>
                            <m:r>
                              <w:rPr>
                                <w:rFonts w:ascii="Cambria Math" w:hAnsi="Cambria Math" w:cs="Arial"/>
                              </w:rPr>
                              <m:t>T6</m:t>
                            </m:r>
                          </m:sub>
                        </m:sSub>
                      </m:sub>
                    </m:sSub>
                    <m:r>
                      <w:rPr>
                        <w:rFonts w:ascii="Cambria Math" w:hAnsi="Cambria Math" w:cs="Arial"/>
                      </w:rPr>
                      <m:t>+</m:t>
                    </m:r>
                    <m:sSub>
                      <m:sSubPr>
                        <m:ctrlPr>
                          <w:rPr>
                            <w:rFonts w:ascii="Cambria Math" w:hAnsi="Cambria Math" w:cs="Arial"/>
                            <w:i/>
                            <w:iCs/>
                          </w:rPr>
                        </m:ctrlPr>
                      </m:sSubPr>
                      <m:e>
                        <m:r>
                          <w:rPr>
                            <w:rFonts w:ascii="Cambria Math" w:hAnsi="Cambria Math" w:cs="Arial"/>
                          </w:rPr>
                          <m:t>ω</m:t>
                        </m:r>
                      </m:e>
                      <m:sub>
                        <m:r>
                          <w:rPr>
                            <w:rFonts w:ascii="Cambria Math" w:hAnsi="Cambria Math" w:cs="Arial"/>
                          </w:rPr>
                          <m:t>CO2</m:t>
                        </m:r>
                      </m:sub>
                    </m:sSub>
                    <m:r>
                      <w:rPr>
                        <w:rFonts w:ascii="Cambria Math" w:hAnsi="Cambria Math" w:cs="Arial"/>
                      </w:rPr>
                      <m:t>∙</m:t>
                    </m:r>
                    <m:sSub>
                      <m:sSubPr>
                        <m:ctrlPr>
                          <w:rPr>
                            <w:rFonts w:ascii="Cambria Math" w:hAnsi="Cambria Math" w:cs="Arial"/>
                            <w:i/>
                            <w:iCs/>
                          </w:rPr>
                        </m:ctrlPr>
                      </m:sSubPr>
                      <m:e>
                        <m:r>
                          <w:rPr>
                            <w:rFonts w:ascii="Cambria Math" w:hAnsi="Cambria Math" w:cs="Arial"/>
                          </w:rPr>
                          <m:t>h</m:t>
                        </m:r>
                      </m:e>
                      <m:sub>
                        <m:sSub>
                          <m:sSubPr>
                            <m:ctrlPr>
                              <w:rPr>
                                <w:rFonts w:ascii="Cambria Math" w:hAnsi="Cambria Math" w:cs="Arial"/>
                                <w:i/>
                                <w:iCs/>
                              </w:rPr>
                            </m:ctrlPr>
                          </m:sSubPr>
                          <m:e>
                            <m:r>
                              <w:rPr>
                                <w:rFonts w:ascii="Cambria Math" w:hAnsi="Cambria Math" w:cs="Arial"/>
                              </w:rPr>
                              <m:t>CO2</m:t>
                            </m:r>
                          </m:e>
                          <m:sub>
                            <m:r>
                              <w:rPr>
                                <w:rFonts w:ascii="Cambria Math" w:hAnsi="Cambria Math" w:cs="Arial"/>
                              </w:rPr>
                              <m:t>T6</m:t>
                            </m:r>
                          </m:sub>
                        </m:sSub>
                      </m:sub>
                    </m:sSub>
                    <m:r>
                      <w:rPr>
                        <w:rFonts w:ascii="Cambria Math" w:hAnsi="Cambria Math" w:cs="Arial"/>
                      </w:rPr>
                      <m:t>+</m:t>
                    </m:r>
                    <m:sSub>
                      <m:sSubPr>
                        <m:ctrlPr>
                          <w:rPr>
                            <w:rFonts w:ascii="Cambria Math" w:hAnsi="Cambria Math" w:cs="Arial"/>
                            <w:i/>
                            <w:iCs/>
                          </w:rPr>
                        </m:ctrlPr>
                      </m:sSubPr>
                      <m:e>
                        <m:r>
                          <w:rPr>
                            <w:rFonts w:ascii="Cambria Math" w:hAnsi="Cambria Math" w:cs="Arial"/>
                          </w:rPr>
                          <m:t>ω</m:t>
                        </m:r>
                      </m:e>
                      <m:sub>
                        <m:r>
                          <w:rPr>
                            <w:rFonts w:ascii="Cambria Math" w:hAnsi="Cambria Math" w:cs="Arial"/>
                          </w:rPr>
                          <m:t>O2</m:t>
                        </m:r>
                      </m:sub>
                    </m:sSub>
                    <m:r>
                      <w:rPr>
                        <w:rFonts w:ascii="Cambria Math" w:hAnsi="Cambria Math" w:cs="Arial"/>
                      </w:rPr>
                      <m:t>∙</m:t>
                    </m:r>
                    <m:sSub>
                      <m:sSubPr>
                        <m:ctrlPr>
                          <w:rPr>
                            <w:rFonts w:ascii="Cambria Math" w:hAnsi="Cambria Math" w:cs="Arial"/>
                            <w:i/>
                            <w:iCs/>
                          </w:rPr>
                        </m:ctrlPr>
                      </m:sSubPr>
                      <m:e>
                        <m:r>
                          <w:rPr>
                            <w:rFonts w:ascii="Cambria Math" w:hAnsi="Cambria Math" w:cs="Arial"/>
                          </w:rPr>
                          <m:t>h</m:t>
                        </m:r>
                      </m:e>
                      <m:sub>
                        <m:sSub>
                          <m:sSubPr>
                            <m:ctrlPr>
                              <w:rPr>
                                <w:rFonts w:ascii="Cambria Math" w:hAnsi="Cambria Math" w:cs="Arial"/>
                                <w:i/>
                                <w:iCs/>
                              </w:rPr>
                            </m:ctrlPr>
                          </m:sSubPr>
                          <m:e>
                            <m:r>
                              <w:rPr>
                                <w:rFonts w:ascii="Cambria Math" w:hAnsi="Cambria Math" w:cs="Arial"/>
                              </w:rPr>
                              <m:t>O2</m:t>
                            </m:r>
                          </m:e>
                          <m:sub>
                            <m:r>
                              <w:rPr>
                                <w:rFonts w:ascii="Cambria Math" w:hAnsi="Cambria Math" w:cs="Arial"/>
                              </w:rPr>
                              <m:t>T6</m:t>
                            </m:r>
                          </m:sub>
                        </m:sSub>
                      </m:sub>
                    </m:sSub>
                  </m:e>
                </m:d>
              </m:oMath>
            </m:oMathPara>
          </w:p>
        </w:tc>
        <w:tc>
          <w:tcPr>
            <w:tcW w:w="456" w:type="dxa"/>
            <w:shd w:val="clear" w:color="auto" w:fill="auto"/>
            <w:vAlign w:val="center"/>
          </w:tcPr>
          <w:p w14:paraId="5BCDE7F1" w14:textId="406C312E" w:rsidR="00874819" w:rsidRPr="00AC3324" w:rsidRDefault="00874819" w:rsidP="00F66652">
            <w:pPr>
              <w:pStyle w:val="CETEquation"/>
              <w:jc w:val="right"/>
            </w:pPr>
            <w:r w:rsidRPr="00AC3324">
              <w:t>(</w:t>
            </w:r>
            <w:r w:rsidR="00522AFF" w:rsidRPr="00AC3324">
              <w:t>11</w:t>
            </w:r>
            <w:r w:rsidRPr="00AC3324">
              <w:t>)</w:t>
            </w:r>
          </w:p>
        </w:tc>
      </w:tr>
    </w:tbl>
    <w:p w14:paraId="2A9B3F2E" w14:textId="050A99F4" w:rsidR="0091054E" w:rsidRDefault="006F7D67" w:rsidP="00453E24">
      <w:pPr>
        <w:pStyle w:val="CETBodytext"/>
        <w:rPr>
          <w:b/>
          <w:bCs/>
          <w:lang w:val="en-GB"/>
        </w:rPr>
      </w:pPr>
      <w:r>
        <w:rPr>
          <w:lang w:val="en-GB"/>
        </w:rPr>
        <w:t xml:space="preserve">Where </w:t>
      </w:r>
      <m:oMath>
        <m:sSub>
          <m:sSubPr>
            <m:ctrlPr>
              <w:rPr>
                <w:rFonts w:ascii="Cambria Math" w:hAnsi="Cambria Math" w:cs="Arial"/>
                <w:i/>
                <w:iCs/>
              </w:rPr>
            </m:ctrlPr>
          </m:sSubPr>
          <m:e>
            <m:r>
              <w:rPr>
                <w:rFonts w:ascii="Cambria Math" w:hAnsi="Cambria Math" w:cs="Arial"/>
              </w:rPr>
              <m:t>ω</m:t>
            </m:r>
          </m:e>
          <m:sub>
            <m:r>
              <w:rPr>
                <w:rFonts w:ascii="Cambria Math" w:hAnsi="Cambria Math" w:cs="Arial"/>
              </w:rPr>
              <m:t>i</m:t>
            </m:r>
          </m:sub>
        </m:sSub>
      </m:oMath>
      <w:r>
        <w:rPr>
          <w:iCs/>
        </w:rPr>
        <w:t xml:space="preserve"> is the </w:t>
      </w:r>
      <w:r w:rsidR="00AF32A9">
        <w:rPr>
          <w:iCs/>
        </w:rPr>
        <w:t xml:space="preserve">mass fraction of the </w:t>
      </w:r>
      <m:oMath>
        <m:r>
          <w:rPr>
            <w:rFonts w:ascii="Cambria Math" w:hAnsi="Cambria Math" w:cs="Arial"/>
          </w:rPr>
          <m:t>i</m:t>
        </m:r>
      </m:oMath>
      <w:r w:rsidR="00AF32A9">
        <w:t xml:space="preserve">-th </w:t>
      </w:r>
      <w:r w:rsidR="009478C8">
        <w:t>gas type</w:t>
      </w:r>
      <w:r w:rsidR="00A6734E">
        <w:t xml:space="preserve"> present in </w:t>
      </w:r>
      <w:r w:rsidR="009478C8">
        <w:t xml:space="preserve">the combustion gasses. </w:t>
      </w:r>
    </w:p>
    <w:p w14:paraId="73664202" w14:textId="1A48EC7C" w:rsidR="003E7637" w:rsidRPr="00AC3324" w:rsidRDefault="00050A39" w:rsidP="00453E24">
      <w:pPr>
        <w:pStyle w:val="CETBodytext"/>
        <w:rPr>
          <w:b/>
          <w:bCs/>
          <w:lang w:val="en-GB"/>
        </w:rPr>
      </w:pPr>
      <w:r w:rsidRPr="00AC3324">
        <w:rPr>
          <w:b/>
          <w:bCs/>
          <w:lang w:val="en-GB"/>
        </w:rPr>
        <w:t>Recovery heat exchanger</w:t>
      </w:r>
    </w:p>
    <w:p w14:paraId="70AB5A22" w14:textId="4E99B008" w:rsidR="00050A39" w:rsidRPr="00AC3324" w:rsidRDefault="000909A1" w:rsidP="00453E24">
      <w:pPr>
        <w:pStyle w:val="CETBodytext"/>
        <w:rPr>
          <w:lang w:val="en-GB"/>
        </w:rPr>
      </w:pPr>
      <w:r w:rsidRPr="00AC3324">
        <w:rPr>
          <w:lang w:val="en-GB"/>
        </w:rPr>
        <w:t xml:space="preserve">The </w:t>
      </w:r>
      <w:r w:rsidR="00981BDD" w:rsidRPr="00AC3324">
        <w:rPr>
          <w:lang w:val="en-GB"/>
        </w:rPr>
        <w:t>useful</w:t>
      </w:r>
      <w:r w:rsidRPr="00AC3324">
        <w:rPr>
          <w:lang w:val="en-GB"/>
        </w:rPr>
        <w:t xml:space="preserve"> heat </w:t>
      </w:r>
      <w:r w:rsidR="00F224B6" w:rsidRPr="00AC3324">
        <w:rPr>
          <w:lang w:val="en-GB"/>
        </w:rPr>
        <w:t xml:space="preserve">that can be recovered </w:t>
      </w:r>
      <w:r w:rsidR="00E52EF2" w:rsidRPr="00AC3324">
        <w:rPr>
          <w:lang w:val="en-GB"/>
        </w:rPr>
        <w:t xml:space="preserve">corresponds to the enthalpy difference of the </w:t>
      </w:r>
      <w:r w:rsidR="00F224B6" w:rsidRPr="00AC3324">
        <w:rPr>
          <w:lang w:val="en-GB"/>
        </w:rPr>
        <w:t>combustion</w:t>
      </w:r>
      <w:r w:rsidR="00E52EF2" w:rsidRPr="00AC3324">
        <w:rPr>
          <w:lang w:val="en-GB"/>
        </w:rPr>
        <w:t xml:space="preserve"> gases between points 7 and 8</w:t>
      </w:r>
      <w:r w:rsidRPr="00AC3324">
        <w:rPr>
          <w:lang w:val="en-GB"/>
        </w:rPr>
        <w:t>.</w:t>
      </w:r>
    </w:p>
    <w:tbl>
      <w:tblPr>
        <w:tblW w:w="5000" w:type="pct"/>
        <w:tblLook w:val="04A0" w:firstRow="1" w:lastRow="0" w:firstColumn="1" w:lastColumn="0" w:noHBand="0" w:noVBand="1"/>
      </w:tblPr>
      <w:tblGrid>
        <w:gridCol w:w="8250"/>
        <w:gridCol w:w="537"/>
      </w:tblGrid>
      <w:tr w:rsidR="000909A1" w:rsidRPr="00AC3324" w14:paraId="393281B7" w14:textId="77777777" w:rsidTr="0058308D">
        <w:tc>
          <w:tcPr>
            <w:tcW w:w="8331" w:type="dxa"/>
            <w:shd w:val="clear" w:color="auto" w:fill="auto"/>
            <w:vAlign w:val="center"/>
          </w:tcPr>
          <w:p w14:paraId="4057D6D8" w14:textId="59938B26" w:rsidR="000909A1" w:rsidRPr="00AC3324" w:rsidRDefault="00000000" w:rsidP="0058308D">
            <w:pPr>
              <w:pStyle w:val="CETEquation"/>
            </w:pPr>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useful</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7</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7</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8</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8</m:t>
                    </m:r>
                  </m:sub>
                </m:sSub>
              </m:oMath>
            </m:oMathPara>
          </w:p>
        </w:tc>
        <w:tc>
          <w:tcPr>
            <w:tcW w:w="456" w:type="dxa"/>
            <w:shd w:val="clear" w:color="auto" w:fill="auto"/>
            <w:vAlign w:val="center"/>
          </w:tcPr>
          <w:p w14:paraId="04D9F902" w14:textId="6210959B" w:rsidR="000909A1" w:rsidRPr="00AC3324" w:rsidRDefault="000909A1" w:rsidP="0058308D">
            <w:pPr>
              <w:pStyle w:val="CETEquation"/>
              <w:jc w:val="right"/>
            </w:pPr>
            <w:r w:rsidRPr="00AC3324">
              <w:t>(</w:t>
            </w:r>
            <w:r w:rsidR="00522AFF" w:rsidRPr="00AC3324">
              <w:t>12</w:t>
            </w:r>
            <w:r w:rsidRPr="00AC3324">
              <w:t>)</w:t>
            </w:r>
          </w:p>
        </w:tc>
      </w:tr>
    </w:tbl>
    <w:p w14:paraId="500C210B" w14:textId="3994E85A" w:rsidR="006F6856" w:rsidRPr="00AC3324" w:rsidRDefault="00957B4D" w:rsidP="006F6856">
      <w:pPr>
        <w:pStyle w:val="CETBodytext"/>
        <w:rPr>
          <w:lang w:val="en-GB"/>
        </w:rPr>
      </w:pPr>
      <w:r w:rsidRPr="00AC3324">
        <w:rPr>
          <w:lang w:val="en-GB"/>
        </w:rPr>
        <w:t>The recovered heat has a temperature of around 700 °C and can be used, for example, to generate steam for industrial purposes.</w:t>
      </w:r>
    </w:p>
    <w:p w14:paraId="658A1499" w14:textId="1D688315" w:rsidR="00951B64" w:rsidRPr="00AC3324" w:rsidRDefault="00C71C82" w:rsidP="00070280">
      <w:pPr>
        <w:pStyle w:val="CETheadingx"/>
        <w:rPr>
          <w:lang w:val="en-GB"/>
        </w:rPr>
      </w:pPr>
      <w:r w:rsidRPr="00AC3324">
        <w:rPr>
          <w:lang w:val="en-GB"/>
        </w:rPr>
        <w:t xml:space="preserve">Biomass and bioproducts and process </w:t>
      </w:r>
      <w:r w:rsidR="00F73EA5" w:rsidRPr="00AC3324">
        <w:rPr>
          <w:lang w:val="en-GB"/>
        </w:rPr>
        <w:t>parameters</w:t>
      </w:r>
    </w:p>
    <w:p w14:paraId="3CA02343" w14:textId="422D5608" w:rsidR="00AA44FE" w:rsidRPr="00AC3324" w:rsidRDefault="00683827" w:rsidP="006018B3">
      <w:pPr>
        <w:pStyle w:val="CETBodytext"/>
        <w:rPr>
          <w:lang w:val="en-GB"/>
        </w:rPr>
      </w:pPr>
      <w:r w:rsidRPr="00AC3324">
        <w:rPr>
          <w:lang w:val="en-GB"/>
        </w:rPr>
        <w:t xml:space="preserve">In order to analyse the pyrolysis plant from an energy point of view, several parameters of the biomass and the pyrolysis products must be taken into account. These parameters include the higher calorific value, the moisture content and the ash content of the biomass fed in. In addition, the yield and higher calorific value of the biochar as well as the yield and composition of the pyrolysis gases are required. It is important to note that these parameters are influenced by both the type of biomass used and the specific conditions during the pyrolysis process (in particular the temperature at which pyrolysis is carried out). To demonstrate the operation of the presented model, we used data from a study by Phan et al. (2008), in which experimental data on the slow pyrolysis process of woody biomass from municipal solid waste, mainly pine but also oak and birch, are reported. The data required for the energy model are summarised in </w:t>
      </w:r>
      <w:r w:rsidR="00957B4D" w:rsidRPr="00AC3324">
        <w:rPr>
          <w:lang w:val="en-GB"/>
        </w:rPr>
        <w:fldChar w:fldCharType="begin"/>
      </w:r>
      <w:r w:rsidR="00957B4D" w:rsidRPr="00AC3324">
        <w:rPr>
          <w:lang w:val="en-GB"/>
        </w:rPr>
        <w:instrText xml:space="preserve"> REF _Ref157190075 \h  \* MERGEFORMAT </w:instrText>
      </w:r>
      <w:r w:rsidR="00957B4D" w:rsidRPr="00AC3324">
        <w:rPr>
          <w:lang w:val="en-GB"/>
        </w:rPr>
      </w:r>
      <w:r w:rsidR="00957B4D" w:rsidRPr="00AC3324">
        <w:rPr>
          <w:lang w:val="en-GB"/>
        </w:rPr>
        <w:fldChar w:fldCharType="separate"/>
      </w:r>
      <w:r w:rsidR="005C60C5" w:rsidRPr="005C60C5">
        <w:rPr>
          <w:lang w:val="en-GB"/>
        </w:rPr>
        <w:t>Table 1</w:t>
      </w:r>
      <w:r w:rsidR="00957B4D" w:rsidRPr="00AC3324">
        <w:rPr>
          <w:lang w:val="en-GB"/>
        </w:rPr>
        <w:fldChar w:fldCharType="end"/>
      </w:r>
      <w:r w:rsidR="00957B4D" w:rsidRPr="00AC3324">
        <w:rPr>
          <w:lang w:val="en-GB"/>
        </w:rPr>
        <w:t>.</w:t>
      </w:r>
    </w:p>
    <w:p w14:paraId="3705F179" w14:textId="47A5E371" w:rsidR="00F50C75" w:rsidRPr="00AC3324" w:rsidRDefault="00F50C75" w:rsidP="00837CC9">
      <w:pPr>
        <w:pStyle w:val="CETTabletitle"/>
        <w:rPr>
          <w:b/>
          <w:bCs/>
        </w:rPr>
      </w:pPr>
      <w:bookmarkStart w:id="1" w:name="_Ref157190075"/>
      <w:r w:rsidRPr="00AC3324">
        <w:lastRenderedPageBreak/>
        <w:t xml:space="preserve">Table </w:t>
      </w:r>
      <w:r w:rsidRPr="00AC3324">
        <w:fldChar w:fldCharType="begin"/>
      </w:r>
      <w:r w:rsidRPr="00AC3324">
        <w:instrText xml:space="preserve"> SEQ Table \* ARABIC </w:instrText>
      </w:r>
      <w:r w:rsidRPr="00AC3324">
        <w:fldChar w:fldCharType="separate"/>
      </w:r>
      <w:r w:rsidR="005C60C5">
        <w:rPr>
          <w:noProof/>
        </w:rPr>
        <w:t>1</w:t>
      </w:r>
      <w:r w:rsidRPr="00AC3324">
        <w:fldChar w:fldCharType="end"/>
      </w:r>
      <w:bookmarkEnd w:id="1"/>
      <w:r w:rsidRPr="00AC3324">
        <w:t>: Biomass and bioproducts characterization and process parameters.</w:t>
      </w:r>
    </w:p>
    <w:tbl>
      <w:tblPr>
        <w:tblW w:w="5000" w:type="pct"/>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4820"/>
        <w:gridCol w:w="3967"/>
      </w:tblGrid>
      <w:tr w:rsidR="00656B86" w:rsidRPr="00AC3324" w14:paraId="32A81894" w14:textId="52A0B00C" w:rsidTr="00DF099E">
        <w:trPr>
          <w:trHeight w:val="227"/>
        </w:trPr>
        <w:tc>
          <w:tcPr>
            <w:tcW w:w="4820" w:type="dxa"/>
            <w:tcBorders>
              <w:top w:val="single" w:sz="12" w:space="0" w:color="008000"/>
              <w:bottom w:val="single" w:sz="6" w:space="0" w:color="008000"/>
            </w:tcBorders>
            <w:shd w:val="clear" w:color="auto" w:fill="FFFFFF"/>
          </w:tcPr>
          <w:p w14:paraId="37CBE066" w14:textId="0180B6E3" w:rsidR="00656B86" w:rsidRPr="00AC3324" w:rsidRDefault="00E72B8E" w:rsidP="00F11B78">
            <w:pPr>
              <w:pStyle w:val="CETBodytext"/>
              <w:rPr>
                <w:lang w:val="en-GB"/>
              </w:rPr>
            </w:pPr>
            <w:r w:rsidRPr="00AC3324">
              <w:rPr>
                <w:szCs w:val="18"/>
                <w:lang w:val="en-GB"/>
              </w:rPr>
              <w:t>Biomass</w:t>
            </w:r>
          </w:p>
        </w:tc>
        <w:tc>
          <w:tcPr>
            <w:tcW w:w="3967" w:type="dxa"/>
            <w:tcBorders>
              <w:top w:val="single" w:sz="12" w:space="0" w:color="008000"/>
              <w:bottom w:val="single" w:sz="6" w:space="0" w:color="008000"/>
            </w:tcBorders>
            <w:shd w:val="clear" w:color="auto" w:fill="FFFFFF"/>
          </w:tcPr>
          <w:p w14:paraId="54346929" w14:textId="41F4D6D7" w:rsidR="00656B86" w:rsidRPr="00AC3324" w:rsidRDefault="00656B86" w:rsidP="004B0EE2">
            <w:pPr>
              <w:pStyle w:val="CETBodytext"/>
              <w:jc w:val="left"/>
              <w:rPr>
                <w:lang w:val="en-GB"/>
              </w:rPr>
            </w:pPr>
          </w:p>
        </w:tc>
      </w:tr>
      <w:tr w:rsidR="00656B86" w:rsidRPr="00AC3324" w14:paraId="5C8DD007" w14:textId="77777777" w:rsidTr="00DF099E">
        <w:trPr>
          <w:trHeight w:val="227"/>
        </w:trPr>
        <w:tc>
          <w:tcPr>
            <w:tcW w:w="4820" w:type="dxa"/>
            <w:shd w:val="clear" w:color="auto" w:fill="FFFFFF"/>
            <w:vAlign w:val="center"/>
          </w:tcPr>
          <w:p w14:paraId="26A721C9" w14:textId="02DA67F6" w:rsidR="00656B86" w:rsidRPr="00AC3324" w:rsidRDefault="00656B86" w:rsidP="00DD6554">
            <w:pPr>
              <w:pStyle w:val="CETBodytext"/>
              <w:ind w:right="-1"/>
              <w:rPr>
                <w:szCs w:val="18"/>
                <w:lang w:val="en-GB"/>
              </w:rPr>
            </w:pPr>
            <w:r w:rsidRPr="00AC3324">
              <w:rPr>
                <w:szCs w:val="18"/>
                <w:lang w:val="en-GB"/>
              </w:rPr>
              <w:t>Biomass ash content (</w:t>
            </w:r>
            <w:r w:rsidR="00753DE1" w:rsidRPr="00AC3324">
              <w:rPr>
                <w:szCs w:val="18"/>
                <w:lang w:val="en-GB"/>
              </w:rPr>
              <w:t>wt</w:t>
            </w:r>
            <w:r w:rsidRPr="00AC3324">
              <w:rPr>
                <w:szCs w:val="18"/>
                <w:lang w:val="en-GB"/>
              </w:rPr>
              <w:t xml:space="preserve">% </w:t>
            </w:r>
            <w:r w:rsidR="006B4D72" w:rsidRPr="00AC3324">
              <w:rPr>
                <w:lang w:val="en-GB"/>
              </w:rPr>
              <w:t>dry basis</w:t>
            </w:r>
            <w:r w:rsidR="006858DB" w:rsidRPr="00AC3324">
              <w:rPr>
                <w:lang w:val="en-GB"/>
              </w:rPr>
              <w:t>,</w:t>
            </w:r>
            <w:r w:rsidR="006B4D72" w:rsidRPr="00AC3324">
              <w:rPr>
                <w:szCs w:val="18"/>
                <w:lang w:val="en-GB"/>
              </w:rPr>
              <w:t xml:space="preserve"> </w:t>
            </w:r>
            <w:r w:rsidRPr="00AC3324">
              <w:rPr>
                <w:szCs w:val="18"/>
                <w:lang w:val="en-GB"/>
              </w:rPr>
              <w:t>d.b.)</w:t>
            </w:r>
          </w:p>
        </w:tc>
        <w:tc>
          <w:tcPr>
            <w:tcW w:w="3967" w:type="dxa"/>
            <w:shd w:val="clear" w:color="auto" w:fill="FFFFFF"/>
          </w:tcPr>
          <w:p w14:paraId="7C4D9D79" w14:textId="650702FB" w:rsidR="00656B86" w:rsidRPr="00AC3324" w:rsidRDefault="00656B86" w:rsidP="004B0EE2">
            <w:pPr>
              <w:pStyle w:val="CETBodytext"/>
              <w:ind w:right="-1"/>
              <w:jc w:val="left"/>
              <w:rPr>
                <w:rFonts w:cs="Arial"/>
                <w:szCs w:val="18"/>
                <w:lang w:val="en-GB"/>
              </w:rPr>
            </w:pPr>
            <w:r w:rsidRPr="00AC3324">
              <w:rPr>
                <w:rFonts w:cs="Arial"/>
                <w:szCs w:val="18"/>
                <w:lang w:val="en-GB"/>
              </w:rPr>
              <w:t>1</w:t>
            </w:r>
          </w:p>
        </w:tc>
      </w:tr>
      <w:tr w:rsidR="00656B86" w:rsidRPr="00AC3324" w14:paraId="2D7024C1" w14:textId="77777777" w:rsidTr="00DF099E">
        <w:trPr>
          <w:trHeight w:val="227"/>
        </w:trPr>
        <w:tc>
          <w:tcPr>
            <w:tcW w:w="4820" w:type="dxa"/>
            <w:shd w:val="clear" w:color="auto" w:fill="FFFFFF"/>
            <w:vAlign w:val="center"/>
          </w:tcPr>
          <w:p w14:paraId="4D2516D7" w14:textId="399AD981" w:rsidR="00656B86" w:rsidRPr="00AC3324" w:rsidRDefault="00656B86" w:rsidP="00DD6554">
            <w:pPr>
              <w:pStyle w:val="CETBodytext"/>
              <w:ind w:right="-1"/>
              <w:rPr>
                <w:szCs w:val="18"/>
                <w:lang w:val="en-GB"/>
              </w:rPr>
            </w:pPr>
            <w:r w:rsidRPr="00AC3324">
              <w:rPr>
                <w:szCs w:val="18"/>
                <w:lang w:val="en-GB"/>
              </w:rPr>
              <w:t xml:space="preserve">Biomass </w:t>
            </w:r>
            <w:r w:rsidR="00B06B16" w:rsidRPr="00AC3324">
              <w:rPr>
                <w:szCs w:val="18"/>
                <w:lang w:val="en-GB"/>
              </w:rPr>
              <w:t xml:space="preserve">Higher Heating Value (HHV) </w:t>
            </w:r>
            <w:r w:rsidRPr="00AC3324">
              <w:rPr>
                <w:szCs w:val="18"/>
                <w:lang w:val="en-GB"/>
              </w:rPr>
              <w:t>(MJ/kg d.b.)</w:t>
            </w:r>
          </w:p>
        </w:tc>
        <w:tc>
          <w:tcPr>
            <w:tcW w:w="3967" w:type="dxa"/>
            <w:shd w:val="clear" w:color="auto" w:fill="FFFFFF"/>
          </w:tcPr>
          <w:p w14:paraId="1C9F9569" w14:textId="7DBC0318" w:rsidR="00656B86" w:rsidRPr="00AC3324" w:rsidRDefault="00B06B16" w:rsidP="004B0EE2">
            <w:pPr>
              <w:pStyle w:val="CETBodytext"/>
              <w:ind w:right="-1"/>
              <w:jc w:val="left"/>
              <w:rPr>
                <w:rFonts w:cs="Arial"/>
                <w:szCs w:val="18"/>
                <w:lang w:val="en-GB"/>
              </w:rPr>
            </w:pPr>
            <w:r w:rsidRPr="00AC3324">
              <w:rPr>
                <w:rFonts w:cs="Arial"/>
                <w:szCs w:val="18"/>
                <w:lang w:val="en-GB"/>
              </w:rPr>
              <w:t>20</w:t>
            </w:r>
            <w:r w:rsidR="00656B86" w:rsidRPr="00AC3324">
              <w:rPr>
                <w:rFonts w:cs="Arial"/>
                <w:szCs w:val="18"/>
                <w:lang w:val="en-GB"/>
              </w:rPr>
              <w:t>.</w:t>
            </w:r>
            <w:r w:rsidRPr="00AC3324">
              <w:rPr>
                <w:rFonts w:cs="Arial"/>
                <w:szCs w:val="18"/>
                <w:lang w:val="en-GB"/>
              </w:rPr>
              <w:t>0</w:t>
            </w:r>
          </w:p>
        </w:tc>
      </w:tr>
      <w:tr w:rsidR="009962E5" w:rsidRPr="00AC3324" w14:paraId="0EAE343F" w14:textId="77777777" w:rsidTr="00DF099E">
        <w:trPr>
          <w:trHeight w:val="227"/>
        </w:trPr>
        <w:tc>
          <w:tcPr>
            <w:tcW w:w="4820" w:type="dxa"/>
            <w:tcBorders>
              <w:bottom w:val="single" w:sz="4" w:space="0" w:color="008000"/>
            </w:tcBorders>
            <w:shd w:val="clear" w:color="auto" w:fill="FFFFFF"/>
            <w:vAlign w:val="center"/>
          </w:tcPr>
          <w:p w14:paraId="7D730ECA" w14:textId="2DD4CAF8" w:rsidR="009962E5" w:rsidRPr="00AC3324" w:rsidRDefault="009962E5" w:rsidP="00DD6554">
            <w:pPr>
              <w:pStyle w:val="CETBodytext"/>
              <w:ind w:right="-1"/>
              <w:rPr>
                <w:szCs w:val="18"/>
                <w:lang w:val="en-GB"/>
              </w:rPr>
            </w:pPr>
            <w:r w:rsidRPr="00AC3324">
              <w:rPr>
                <w:szCs w:val="18"/>
                <w:lang w:val="en-GB"/>
              </w:rPr>
              <w:t>Fresh biomass moisture (</w:t>
            </w:r>
            <w:r w:rsidR="00753DE1" w:rsidRPr="00AC3324">
              <w:rPr>
                <w:szCs w:val="18"/>
                <w:lang w:val="en-GB"/>
              </w:rPr>
              <w:t>wt</w:t>
            </w:r>
            <w:r w:rsidRPr="00AC3324">
              <w:rPr>
                <w:szCs w:val="18"/>
                <w:lang w:val="en-GB"/>
              </w:rPr>
              <w:t>%</w:t>
            </w:r>
            <w:r w:rsidR="00E10361" w:rsidRPr="00AC3324">
              <w:rPr>
                <w:szCs w:val="18"/>
                <w:lang w:val="en-GB"/>
              </w:rPr>
              <w:t xml:space="preserve"> wet basis, w.</w:t>
            </w:r>
            <w:r w:rsidR="00BC63F7" w:rsidRPr="00AC3324">
              <w:rPr>
                <w:szCs w:val="18"/>
                <w:lang w:val="en-GB"/>
              </w:rPr>
              <w:t>b</w:t>
            </w:r>
            <w:r w:rsidR="00E10361" w:rsidRPr="00AC3324">
              <w:rPr>
                <w:szCs w:val="18"/>
                <w:lang w:val="en-GB"/>
              </w:rPr>
              <w:t>.</w:t>
            </w:r>
            <w:r w:rsidRPr="00AC3324">
              <w:rPr>
                <w:szCs w:val="18"/>
                <w:lang w:val="en-GB"/>
              </w:rPr>
              <w:t>)</w:t>
            </w:r>
          </w:p>
        </w:tc>
        <w:tc>
          <w:tcPr>
            <w:tcW w:w="3967" w:type="dxa"/>
            <w:tcBorders>
              <w:bottom w:val="single" w:sz="4" w:space="0" w:color="008000"/>
            </w:tcBorders>
            <w:shd w:val="clear" w:color="auto" w:fill="FFFFFF"/>
          </w:tcPr>
          <w:p w14:paraId="116C9C20" w14:textId="39A8F777" w:rsidR="009962E5" w:rsidRPr="00AC3324" w:rsidRDefault="009962E5" w:rsidP="004B0EE2">
            <w:pPr>
              <w:pStyle w:val="CETBodytext"/>
              <w:ind w:right="-1"/>
              <w:jc w:val="left"/>
              <w:rPr>
                <w:rFonts w:cs="Arial"/>
                <w:szCs w:val="18"/>
                <w:lang w:val="en-GB"/>
              </w:rPr>
            </w:pPr>
            <w:r w:rsidRPr="00AC3324">
              <w:rPr>
                <w:rFonts w:cs="Arial"/>
                <w:szCs w:val="18"/>
                <w:lang w:val="en-GB"/>
              </w:rPr>
              <w:t>50</w:t>
            </w:r>
          </w:p>
        </w:tc>
      </w:tr>
      <w:tr w:rsidR="00C02366" w:rsidRPr="00AC3324" w14:paraId="45A2709F" w14:textId="77777777" w:rsidTr="00DF099E">
        <w:trPr>
          <w:trHeight w:val="227"/>
        </w:trPr>
        <w:tc>
          <w:tcPr>
            <w:tcW w:w="4820" w:type="dxa"/>
            <w:tcBorders>
              <w:top w:val="single" w:sz="4" w:space="0" w:color="008000"/>
              <w:bottom w:val="single" w:sz="4" w:space="0" w:color="008000"/>
            </w:tcBorders>
            <w:shd w:val="clear" w:color="auto" w:fill="FFFFFF"/>
            <w:vAlign w:val="center"/>
          </w:tcPr>
          <w:p w14:paraId="42A8D6AA" w14:textId="62C1186F" w:rsidR="00C02366" w:rsidRPr="00AC3324" w:rsidRDefault="00C02366" w:rsidP="0015250B">
            <w:pPr>
              <w:pStyle w:val="CETBodytext"/>
              <w:ind w:right="-1"/>
              <w:rPr>
                <w:szCs w:val="18"/>
                <w:lang w:val="en-GB"/>
              </w:rPr>
            </w:pPr>
            <w:r w:rsidRPr="00AC3324">
              <w:rPr>
                <w:szCs w:val="18"/>
                <w:lang w:val="en-GB"/>
              </w:rPr>
              <w:t>Drying process</w:t>
            </w:r>
          </w:p>
        </w:tc>
        <w:tc>
          <w:tcPr>
            <w:tcW w:w="3967" w:type="dxa"/>
            <w:tcBorders>
              <w:top w:val="single" w:sz="4" w:space="0" w:color="008000"/>
              <w:bottom w:val="single" w:sz="4" w:space="0" w:color="008000"/>
            </w:tcBorders>
            <w:shd w:val="clear" w:color="auto" w:fill="FFFFFF"/>
          </w:tcPr>
          <w:p w14:paraId="1AB24F8C" w14:textId="77777777" w:rsidR="00C02366" w:rsidRPr="00AC3324" w:rsidRDefault="00C02366" w:rsidP="004B0EE2">
            <w:pPr>
              <w:pStyle w:val="CETBodytext"/>
              <w:ind w:right="-1"/>
              <w:jc w:val="left"/>
              <w:rPr>
                <w:rFonts w:cs="Arial"/>
                <w:szCs w:val="18"/>
                <w:lang w:val="en-GB"/>
              </w:rPr>
            </w:pPr>
          </w:p>
        </w:tc>
      </w:tr>
      <w:tr w:rsidR="0015250B" w:rsidRPr="00AC3324" w14:paraId="1BEEF070" w14:textId="77777777" w:rsidTr="00DF099E">
        <w:trPr>
          <w:trHeight w:val="227"/>
        </w:trPr>
        <w:tc>
          <w:tcPr>
            <w:tcW w:w="4820" w:type="dxa"/>
            <w:tcBorders>
              <w:top w:val="single" w:sz="4" w:space="0" w:color="008000"/>
            </w:tcBorders>
            <w:shd w:val="clear" w:color="auto" w:fill="FFFFFF"/>
            <w:vAlign w:val="center"/>
          </w:tcPr>
          <w:p w14:paraId="5C75294B" w14:textId="77647FB7" w:rsidR="0015250B" w:rsidRPr="00AC3324" w:rsidRDefault="0015250B" w:rsidP="0015250B">
            <w:pPr>
              <w:pStyle w:val="CETBodytext"/>
              <w:ind w:right="-1"/>
              <w:rPr>
                <w:szCs w:val="18"/>
                <w:lang w:val="en-GB"/>
              </w:rPr>
            </w:pPr>
            <w:r w:rsidRPr="00AC3324">
              <w:rPr>
                <w:szCs w:val="18"/>
                <w:lang w:val="en-GB"/>
              </w:rPr>
              <w:t>Dry biomass moisture (</w:t>
            </w:r>
            <w:r w:rsidR="00753DE1" w:rsidRPr="00AC3324">
              <w:rPr>
                <w:szCs w:val="18"/>
                <w:lang w:val="en-GB"/>
              </w:rPr>
              <w:t>wt</w:t>
            </w:r>
            <w:r w:rsidRPr="00AC3324">
              <w:rPr>
                <w:szCs w:val="18"/>
                <w:lang w:val="en-GB"/>
              </w:rPr>
              <w:t>%</w:t>
            </w:r>
            <w:r w:rsidR="006237B0">
              <w:rPr>
                <w:szCs w:val="18"/>
                <w:lang w:val="en-GB"/>
              </w:rPr>
              <w:t>,</w:t>
            </w:r>
            <w:r w:rsidR="00E10361" w:rsidRPr="00AC3324">
              <w:rPr>
                <w:szCs w:val="18"/>
                <w:lang w:val="en-GB"/>
              </w:rPr>
              <w:t xml:space="preserve"> w.</w:t>
            </w:r>
            <w:r w:rsidR="00FD5825">
              <w:rPr>
                <w:szCs w:val="18"/>
                <w:lang w:val="en-GB"/>
              </w:rPr>
              <w:t>b</w:t>
            </w:r>
            <w:r w:rsidR="00E10361" w:rsidRPr="00AC3324">
              <w:rPr>
                <w:szCs w:val="18"/>
                <w:lang w:val="en-GB"/>
              </w:rPr>
              <w:t>.</w:t>
            </w:r>
            <w:r w:rsidRPr="00AC3324">
              <w:rPr>
                <w:szCs w:val="18"/>
                <w:lang w:val="en-GB"/>
              </w:rPr>
              <w:t>)</w:t>
            </w:r>
          </w:p>
        </w:tc>
        <w:tc>
          <w:tcPr>
            <w:tcW w:w="3967" w:type="dxa"/>
            <w:tcBorders>
              <w:top w:val="single" w:sz="4" w:space="0" w:color="008000"/>
            </w:tcBorders>
            <w:shd w:val="clear" w:color="auto" w:fill="FFFFFF"/>
          </w:tcPr>
          <w:p w14:paraId="7D721079" w14:textId="70BEF951" w:rsidR="0015250B" w:rsidRPr="00AC3324" w:rsidRDefault="00A90B07" w:rsidP="004B0EE2">
            <w:pPr>
              <w:pStyle w:val="CETBodytext"/>
              <w:ind w:right="-1"/>
              <w:jc w:val="left"/>
              <w:rPr>
                <w:rFonts w:cs="Arial"/>
                <w:szCs w:val="18"/>
                <w:lang w:val="en-GB"/>
              </w:rPr>
            </w:pPr>
            <w:r w:rsidRPr="00AC3324">
              <w:rPr>
                <w:rFonts w:cs="Arial"/>
                <w:szCs w:val="18"/>
                <w:lang w:val="en-GB"/>
              </w:rPr>
              <w:t>15</w:t>
            </w:r>
          </w:p>
        </w:tc>
      </w:tr>
      <w:tr w:rsidR="00E55B5C" w:rsidRPr="00AC3324" w14:paraId="7B889CDB" w14:textId="77777777" w:rsidTr="00DF099E">
        <w:trPr>
          <w:trHeight w:val="227"/>
        </w:trPr>
        <w:tc>
          <w:tcPr>
            <w:tcW w:w="4820" w:type="dxa"/>
            <w:shd w:val="clear" w:color="auto" w:fill="FFFFFF"/>
            <w:vAlign w:val="center"/>
          </w:tcPr>
          <w:p w14:paraId="53DBE14A" w14:textId="0E562E2E" w:rsidR="00E55B5C" w:rsidRPr="00AC3324" w:rsidRDefault="00E55B5C" w:rsidP="0015250B">
            <w:pPr>
              <w:pStyle w:val="CETBodytext"/>
              <w:ind w:right="-1"/>
              <w:rPr>
                <w:szCs w:val="18"/>
                <w:lang w:val="en-GB"/>
              </w:rPr>
            </w:pPr>
            <w:r w:rsidRPr="00AC3324">
              <w:rPr>
                <w:szCs w:val="18"/>
                <w:lang w:val="en-GB"/>
              </w:rPr>
              <w:t>Thermal losses (%)</w:t>
            </w:r>
          </w:p>
        </w:tc>
        <w:tc>
          <w:tcPr>
            <w:tcW w:w="3967" w:type="dxa"/>
            <w:shd w:val="clear" w:color="auto" w:fill="FFFFFF"/>
          </w:tcPr>
          <w:p w14:paraId="3E0C5E40" w14:textId="022A2882" w:rsidR="00E55B5C" w:rsidRPr="00AC3324" w:rsidRDefault="00E55B5C" w:rsidP="004B0EE2">
            <w:pPr>
              <w:pStyle w:val="CETBodytext"/>
              <w:ind w:right="-1"/>
              <w:jc w:val="left"/>
              <w:rPr>
                <w:rFonts w:cs="Arial"/>
                <w:szCs w:val="18"/>
                <w:lang w:val="en-GB"/>
              </w:rPr>
            </w:pPr>
            <w:r w:rsidRPr="00AC3324">
              <w:rPr>
                <w:rFonts w:cs="Arial"/>
                <w:szCs w:val="18"/>
                <w:lang w:val="en-GB"/>
              </w:rPr>
              <w:t>30</w:t>
            </w:r>
          </w:p>
        </w:tc>
      </w:tr>
      <w:tr w:rsidR="00C02366" w:rsidRPr="00AC3324" w14:paraId="3608588F" w14:textId="01092616" w:rsidTr="00DF099E">
        <w:trPr>
          <w:trHeight w:val="227"/>
        </w:trPr>
        <w:tc>
          <w:tcPr>
            <w:tcW w:w="4820" w:type="dxa"/>
            <w:tcBorders>
              <w:top w:val="single" w:sz="4" w:space="0" w:color="008000"/>
              <w:bottom w:val="single" w:sz="4" w:space="0" w:color="008000"/>
            </w:tcBorders>
            <w:shd w:val="clear" w:color="auto" w:fill="FFFFFF"/>
            <w:vAlign w:val="center"/>
          </w:tcPr>
          <w:p w14:paraId="557C583C" w14:textId="0A5776B9" w:rsidR="00C02366" w:rsidRPr="00AC3324" w:rsidRDefault="00C02366" w:rsidP="00DD6554">
            <w:pPr>
              <w:pStyle w:val="CETBodytext"/>
              <w:ind w:right="-1"/>
              <w:rPr>
                <w:szCs w:val="18"/>
                <w:lang w:val="en-GB"/>
              </w:rPr>
            </w:pPr>
            <w:r w:rsidRPr="00AC3324">
              <w:rPr>
                <w:szCs w:val="18"/>
                <w:lang w:val="en-GB"/>
              </w:rPr>
              <w:t>Pyrolysis process</w:t>
            </w:r>
          </w:p>
        </w:tc>
        <w:tc>
          <w:tcPr>
            <w:tcW w:w="3967" w:type="dxa"/>
            <w:tcBorders>
              <w:top w:val="single" w:sz="4" w:space="0" w:color="008000"/>
              <w:bottom w:val="single" w:sz="4" w:space="0" w:color="008000"/>
            </w:tcBorders>
            <w:shd w:val="clear" w:color="auto" w:fill="FFFFFF"/>
          </w:tcPr>
          <w:p w14:paraId="50DAC3B7" w14:textId="2B6144D9" w:rsidR="00C02366" w:rsidRPr="00AC3324" w:rsidRDefault="00C02366" w:rsidP="004B0EE2">
            <w:pPr>
              <w:pStyle w:val="CETBodytext"/>
              <w:ind w:right="-1"/>
              <w:jc w:val="left"/>
              <w:rPr>
                <w:rFonts w:cs="Arial"/>
                <w:szCs w:val="18"/>
                <w:lang w:val="en-GB"/>
              </w:rPr>
            </w:pPr>
          </w:p>
        </w:tc>
      </w:tr>
      <w:tr w:rsidR="00C02366" w:rsidRPr="00AC3324" w14:paraId="3B618E81" w14:textId="3A6CED1F" w:rsidTr="00DF099E">
        <w:trPr>
          <w:trHeight w:val="227"/>
        </w:trPr>
        <w:tc>
          <w:tcPr>
            <w:tcW w:w="4820" w:type="dxa"/>
            <w:tcBorders>
              <w:top w:val="single" w:sz="4" w:space="0" w:color="008000"/>
            </w:tcBorders>
            <w:shd w:val="clear" w:color="auto" w:fill="FFFFFF"/>
            <w:vAlign w:val="center"/>
          </w:tcPr>
          <w:p w14:paraId="69726D9D" w14:textId="63B578C1" w:rsidR="00C02366" w:rsidRPr="00AC3324" w:rsidRDefault="00C02366" w:rsidP="00DD6554">
            <w:pPr>
              <w:pStyle w:val="CETBodytext"/>
              <w:ind w:right="-1"/>
              <w:rPr>
                <w:szCs w:val="18"/>
                <w:lang w:val="en-GB"/>
              </w:rPr>
            </w:pPr>
            <w:r w:rsidRPr="00AC3324">
              <w:rPr>
                <w:szCs w:val="18"/>
                <w:lang w:val="en-GB"/>
              </w:rPr>
              <w:t xml:space="preserve">Operating temperature (°C) </w:t>
            </w:r>
          </w:p>
        </w:tc>
        <w:tc>
          <w:tcPr>
            <w:tcW w:w="3967" w:type="dxa"/>
            <w:tcBorders>
              <w:top w:val="single" w:sz="4" w:space="0" w:color="008000"/>
            </w:tcBorders>
            <w:shd w:val="clear" w:color="auto" w:fill="FFFFFF"/>
          </w:tcPr>
          <w:p w14:paraId="6D7CBF9A" w14:textId="1D03C1BD" w:rsidR="00C02366" w:rsidRPr="00AC3324" w:rsidRDefault="00C02366" w:rsidP="004B0EE2">
            <w:pPr>
              <w:pStyle w:val="CETBodytext"/>
              <w:ind w:right="-1"/>
              <w:jc w:val="left"/>
              <w:rPr>
                <w:rFonts w:cs="Arial"/>
                <w:szCs w:val="18"/>
                <w:lang w:val="en-GB"/>
              </w:rPr>
            </w:pPr>
            <w:r w:rsidRPr="00AC3324">
              <w:rPr>
                <w:rFonts w:cs="Arial"/>
                <w:szCs w:val="18"/>
                <w:lang w:val="en-GB"/>
              </w:rPr>
              <w:t>500</w:t>
            </w:r>
          </w:p>
        </w:tc>
      </w:tr>
      <w:tr w:rsidR="00C02366" w:rsidRPr="00AC3324" w14:paraId="2EEA4065" w14:textId="26A8306A" w:rsidTr="00DF099E">
        <w:trPr>
          <w:trHeight w:val="227"/>
        </w:trPr>
        <w:tc>
          <w:tcPr>
            <w:tcW w:w="4820" w:type="dxa"/>
            <w:shd w:val="clear" w:color="auto" w:fill="FFFFFF"/>
            <w:vAlign w:val="center"/>
          </w:tcPr>
          <w:p w14:paraId="343911A6" w14:textId="60DF3E16" w:rsidR="00C02366" w:rsidRPr="00AC3324" w:rsidRDefault="003324B4" w:rsidP="00DD6554">
            <w:pPr>
              <w:pStyle w:val="CETBodytext"/>
              <w:ind w:right="-1"/>
              <w:rPr>
                <w:rFonts w:cs="Arial"/>
                <w:szCs w:val="18"/>
                <w:lang w:val="en-GB"/>
              </w:rPr>
            </w:pPr>
            <w:r w:rsidRPr="00AC3324">
              <w:rPr>
                <w:szCs w:val="18"/>
                <w:lang w:val="en-GB"/>
              </w:rPr>
              <w:t>Y</w:t>
            </w:r>
            <w:r w:rsidR="00C02366" w:rsidRPr="00AC3324">
              <w:rPr>
                <w:szCs w:val="18"/>
                <w:lang w:val="en-GB"/>
              </w:rPr>
              <w:t>ield</w:t>
            </w:r>
            <w:r w:rsidRPr="00AC3324">
              <w:rPr>
                <w:szCs w:val="18"/>
                <w:lang w:val="en-GB"/>
              </w:rPr>
              <w:t>s</w:t>
            </w:r>
            <w:r w:rsidR="00C02366" w:rsidRPr="00AC3324">
              <w:rPr>
                <w:szCs w:val="18"/>
                <w:lang w:val="en-GB"/>
              </w:rPr>
              <w:t xml:space="preserve"> (</w:t>
            </w:r>
            <w:r w:rsidR="00753DE1" w:rsidRPr="00AC3324">
              <w:rPr>
                <w:szCs w:val="18"/>
                <w:lang w:val="en-GB"/>
              </w:rPr>
              <w:t>wt</w:t>
            </w:r>
            <w:r w:rsidR="00C02366" w:rsidRPr="00AC3324">
              <w:rPr>
                <w:szCs w:val="18"/>
                <w:lang w:val="en-GB"/>
              </w:rPr>
              <w:t>% d.b.)</w:t>
            </w:r>
          </w:p>
        </w:tc>
        <w:tc>
          <w:tcPr>
            <w:tcW w:w="3967" w:type="dxa"/>
            <w:shd w:val="clear" w:color="auto" w:fill="FFFFFF"/>
          </w:tcPr>
          <w:p w14:paraId="5E74B417" w14:textId="341982BA" w:rsidR="00C02366" w:rsidRPr="00AC3324" w:rsidRDefault="00C02366" w:rsidP="004B0EE2">
            <w:pPr>
              <w:pStyle w:val="CETBodytext"/>
              <w:ind w:right="-1"/>
              <w:jc w:val="left"/>
              <w:rPr>
                <w:rFonts w:cs="Arial"/>
                <w:szCs w:val="18"/>
                <w:lang w:val="en-GB"/>
              </w:rPr>
            </w:pPr>
            <w:r w:rsidRPr="00AC3324">
              <w:rPr>
                <w:rFonts w:cs="Arial"/>
                <w:szCs w:val="18"/>
                <w:lang w:val="en-GB"/>
              </w:rPr>
              <w:t>24.3</w:t>
            </w:r>
            <w:r w:rsidR="003324B4" w:rsidRPr="00AC3324">
              <w:rPr>
                <w:rFonts w:cs="Arial"/>
                <w:szCs w:val="18"/>
                <w:lang w:val="en-GB"/>
              </w:rPr>
              <w:t xml:space="preserve"> (Biochar); 75.7 (</w:t>
            </w:r>
            <w:r w:rsidR="003324B4" w:rsidRPr="00AC3324">
              <w:rPr>
                <w:szCs w:val="18"/>
                <w:lang w:val="en-GB"/>
              </w:rPr>
              <w:t>Pyrogas)</w:t>
            </w:r>
          </w:p>
        </w:tc>
      </w:tr>
      <w:tr w:rsidR="00A90137" w:rsidRPr="00AC3324" w14:paraId="743740D8" w14:textId="77777777" w:rsidTr="00DF099E">
        <w:trPr>
          <w:trHeight w:val="227"/>
        </w:trPr>
        <w:tc>
          <w:tcPr>
            <w:tcW w:w="4820" w:type="dxa"/>
            <w:shd w:val="clear" w:color="auto" w:fill="FFFFFF"/>
          </w:tcPr>
          <w:p w14:paraId="73A1D2FC" w14:textId="16CFFCCD" w:rsidR="00A90137" w:rsidRPr="00AC3324" w:rsidRDefault="00A90137" w:rsidP="00A90137">
            <w:pPr>
              <w:pStyle w:val="CETBodytext"/>
              <w:ind w:right="-1"/>
              <w:rPr>
                <w:szCs w:val="18"/>
                <w:lang w:val="en-GB"/>
              </w:rPr>
            </w:pPr>
            <w:r w:rsidRPr="00AC3324">
              <w:rPr>
                <w:lang w:val="en-GB"/>
              </w:rPr>
              <w:t xml:space="preserve">Condensable </w:t>
            </w:r>
            <w:r w:rsidRPr="00AC3324">
              <w:rPr>
                <w:rFonts w:cs="Arial"/>
                <w:szCs w:val="18"/>
                <w:lang w:val="en-GB"/>
              </w:rPr>
              <w:t>(wt%</w:t>
            </w:r>
            <w:r w:rsidR="005A0722" w:rsidRPr="00AC3324">
              <w:rPr>
                <w:rFonts w:cs="Arial"/>
                <w:szCs w:val="18"/>
                <w:lang w:val="en-GB"/>
              </w:rPr>
              <w:t xml:space="preserve"> of </w:t>
            </w:r>
            <w:r w:rsidR="005A0722" w:rsidRPr="00AC3324">
              <w:rPr>
                <w:szCs w:val="18"/>
                <w:lang w:val="en-GB"/>
              </w:rPr>
              <w:t>Pyrogas</w:t>
            </w:r>
            <w:r w:rsidRPr="00AC3324">
              <w:rPr>
                <w:rFonts w:cs="Arial"/>
                <w:szCs w:val="18"/>
                <w:lang w:val="en-GB"/>
              </w:rPr>
              <w:t>)</w:t>
            </w:r>
          </w:p>
        </w:tc>
        <w:tc>
          <w:tcPr>
            <w:tcW w:w="3967" w:type="dxa"/>
            <w:shd w:val="clear" w:color="auto" w:fill="FFFFFF"/>
          </w:tcPr>
          <w:p w14:paraId="2228043C" w14:textId="2C2DD9D5" w:rsidR="00A90137" w:rsidRPr="00AC3324" w:rsidRDefault="00A90137" w:rsidP="004B0EE2">
            <w:pPr>
              <w:pStyle w:val="CETBodytext"/>
              <w:ind w:right="-1"/>
              <w:jc w:val="left"/>
              <w:rPr>
                <w:lang w:val="en-GB"/>
              </w:rPr>
            </w:pPr>
            <w:r w:rsidRPr="00AC3324">
              <w:rPr>
                <w:rFonts w:cs="Arial"/>
                <w:szCs w:val="18"/>
                <w:lang w:val="en-GB"/>
              </w:rPr>
              <w:t>58.7</w:t>
            </w:r>
          </w:p>
        </w:tc>
      </w:tr>
      <w:tr w:rsidR="00656B86" w:rsidRPr="00AC3324" w14:paraId="4C0EAD67" w14:textId="4C74EC4F" w:rsidTr="00DF099E">
        <w:trPr>
          <w:trHeight w:val="227"/>
        </w:trPr>
        <w:tc>
          <w:tcPr>
            <w:tcW w:w="4820" w:type="dxa"/>
            <w:tcBorders>
              <w:bottom w:val="single" w:sz="4" w:space="0" w:color="008000"/>
            </w:tcBorders>
            <w:shd w:val="clear" w:color="auto" w:fill="FFFFFF"/>
            <w:vAlign w:val="center"/>
          </w:tcPr>
          <w:p w14:paraId="6CC0A627" w14:textId="2D07AD48" w:rsidR="00656B86" w:rsidRPr="00AC3324" w:rsidRDefault="00E82694" w:rsidP="00DD6554">
            <w:pPr>
              <w:pStyle w:val="CETBodytext"/>
              <w:ind w:right="-1"/>
              <w:rPr>
                <w:rFonts w:cs="Arial"/>
                <w:szCs w:val="18"/>
                <w:lang w:val="en-GB"/>
              </w:rPr>
            </w:pPr>
            <w:r w:rsidRPr="00AC3324">
              <w:rPr>
                <w:szCs w:val="18"/>
                <w:lang w:val="en-GB"/>
              </w:rPr>
              <w:t xml:space="preserve">Thermal losses </w:t>
            </w:r>
            <w:r w:rsidR="00656B86" w:rsidRPr="00AC3324">
              <w:rPr>
                <w:rFonts w:cs="Arial"/>
                <w:szCs w:val="18"/>
                <w:lang w:val="en-GB"/>
              </w:rPr>
              <w:t>(%)</w:t>
            </w:r>
          </w:p>
        </w:tc>
        <w:tc>
          <w:tcPr>
            <w:tcW w:w="3967" w:type="dxa"/>
            <w:tcBorders>
              <w:bottom w:val="single" w:sz="4" w:space="0" w:color="008000"/>
            </w:tcBorders>
            <w:shd w:val="clear" w:color="auto" w:fill="FFFFFF"/>
          </w:tcPr>
          <w:p w14:paraId="121902F4" w14:textId="77777777" w:rsidR="00656B86" w:rsidRPr="00AC3324" w:rsidRDefault="00656B86" w:rsidP="004B0EE2">
            <w:pPr>
              <w:pStyle w:val="CETBodytext"/>
              <w:ind w:right="-1"/>
              <w:jc w:val="left"/>
              <w:rPr>
                <w:rFonts w:cs="Arial"/>
                <w:szCs w:val="18"/>
                <w:lang w:val="en-GB"/>
              </w:rPr>
            </w:pPr>
            <w:r w:rsidRPr="00AC3324">
              <w:rPr>
                <w:rFonts w:cs="Arial"/>
                <w:szCs w:val="18"/>
                <w:lang w:val="en-GB"/>
              </w:rPr>
              <w:t>33</w:t>
            </w:r>
          </w:p>
        </w:tc>
      </w:tr>
      <w:tr w:rsidR="00BF0E86" w:rsidRPr="00AC3324" w14:paraId="75C6A3FD" w14:textId="09CD0C9F" w:rsidTr="00DF099E">
        <w:trPr>
          <w:trHeight w:val="227"/>
        </w:trPr>
        <w:tc>
          <w:tcPr>
            <w:tcW w:w="4820" w:type="dxa"/>
            <w:tcBorders>
              <w:top w:val="single" w:sz="4" w:space="0" w:color="008000"/>
              <w:bottom w:val="single" w:sz="4" w:space="0" w:color="008000"/>
            </w:tcBorders>
            <w:shd w:val="clear" w:color="auto" w:fill="FFFFFF"/>
          </w:tcPr>
          <w:p w14:paraId="6A1F258D" w14:textId="3817B9C4" w:rsidR="00BF0E86" w:rsidRPr="00AC3324" w:rsidRDefault="00BF0E86" w:rsidP="00DD6554">
            <w:pPr>
              <w:pStyle w:val="CETBodytext"/>
              <w:ind w:right="-1"/>
              <w:rPr>
                <w:rFonts w:cs="Arial"/>
                <w:szCs w:val="18"/>
                <w:lang w:val="en-GB"/>
              </w:rPr>
            </w:pPr>
            <w:r w:rsidRPr="00AC3324">
              <w:rPr>
                <w:szCs w:val="18"/>
                <w:lang w:val="en-GB"/>
              </w:rPr>
              <w:t>Pyrolysis products</w:t>
            </w:r>
          </w:p>
        </w:tc>
        <w:tc>
          <w:tcPr>
            <w:tcW w:w="3967" w:type="dxa"/>
            <w:tcBorders>
              <w:top w:val="single" w:sz="4" w:space="0" w:color="008000"/>
              <w:bottom w:val="single" w:sz="4" w:space="0" w:color="008000"/>
            </w:tcBorders>
            <w:shd w:val="clear" w:color="auto" w:fill="FFFFFF"/>
          </w:tcPr>
          <w:p w14:paraId="2C75F9F3" w14:textId="77777777" w:rsidR="00BF0E86" w:rsidRPr="00AC3324" w:rsidRDefault="00BF0E86" w:rsidP="004B0EE2">
            <w:pPr>
              <w:pStyle w:val="CETBodytext"/>
              <w:ind w:right="-1"/>
              <w:jc w:val="left"/>
              <w:rPr>
                <w:rFonts w:cs="Arial"/>
                <w:szCs w:val="18"/>
                <w:lang w:val="en-GB"/>
              </w:rPr>
            </w:pPr>
          </w:p>
        </w:tc>
      </w:tr>
      <w:tr w:rsidR="00C02366" w:rsidRPr="00AC3324" w14:paraId="3FEFAA5A" w14:textId="6AFA6FEF" w:rsidTr="00DF099E">
        <w:trPr>
          <w:trHeight w:val="227"/>
        </w:trPr>
        <w:tc>
          <w:tcPr>
            <w:tcW w:w="4820" w:type="dxa"/>
            <w:tcBorders>
              <w:top w:val="single" w:sz="4" w:space="0" w:color="008000"/>
            </w:tcBorders>
            <w:shd w:val="clear" w:color="auto" w:fill="FFFFFF"/>
            <w:vAlign w:val="center"/>
          </w:tcPr>
          <w:p w14:paraId="3F6021E7" w14:textId="0A216285" w:rsidR="00C02366" w:rsidRPr="00AC3324" w:rsidRDefault="00C02366" w:rsidP="00DD6554">
            <w:pPr>
              <w:pStyle w:val="CETBodytext"/>
              <w:ind w:right="-1"/>
              <w:rPr>
                <w:rFonts w:cs="Arial"/>
                <w:szCs w:val="18"/>
                <w:lang w:val="en-GB"/>
              </w:rPr>
            </w:pPr>
            <w:r w:rsidRPr="00AC3324">
              <w:rPr>
                <w:szCs w:val="18"/>
                <w:lang w:val="en-GB"/>
              </w:rPr>
              <w:t>Biochar HHV (MJ/kg d.b.)</w:t>
            </w:r>
          </w:p>
        </w:tc>
        <w:tc>
          <w:tcPr>
            <w:tcW w:w="3967" w:type="dxa"/>
            <w:tcBorders>
              <w:top w:val="single" w:sz="4" w:space="0" w:color="008000"/>
            </w:tcBorders>
            <w:shd w:val="clear" w:color="auto" w:fill="FFFFFF"/>
          </w:tcPr>
          <w:p w14:paraId="105735AF" w14:textId="29519D05" w:rsidR="00C02366" w:rsidRPr="00AC3324" w:rsidRDefault="00C02366" w:rsidP="004B0EE2">
            <w:pPr>
              <w:pStyle w:val="CETBodytext"/>
              <w:ind w:right="-1"/>
              <w:jc w:val="left"/>
              <w:rPr>
                <w:rFonts w:cs="Arial"/>
                <w:szCs w:val="18"/>
                <w:lang w:val="en-GB"/>
              </w:rPr>
            </w:pPr>
            <w:r w:rsidRPr="00AC3324">
              <w:rPr>
                <w:rFonts w:cs="Arial"/>
                <w:szCs w:val="18"/>
                <w:lang w:val="en-GB"/>
              </w:rPr>
              <w:t>32.3</w:t>
            </w:r>
          </w:p>
        </w:tc>
      </w:tr>
      <w:tr w:rsidR="00BF0E86" w:rsidRPr="00AC3324" w14:paraId="0E27395E" w14:textId="6BE5CEFF" w:rsidTr="00DF099E">
        <w:trPr>
          <w:trHeight w:val="227"/>
        </w:trPr>
        <w:tc>
          <w:tcPr>
            <w:tcW w:w="4820" w:type="dxa"/>
            <w:tcBorders>
              <w:top w:val="nil"/>
              <w:bottom w:val="nil"/>
            </w:tcBorders>
            <w:shd w:val="clear" w:color="auto" w:fill="FFFFFF"/>
          </w:tcPr>
          <w:p w14:paraId="68671682" w14:textId="54E32F98" w:rsidR="00BF0E86" w:rsidRPr="00AC3324" w:rsidRDefault="00B66B88" w:rsidP="00DD6554">
            <w:pPr>
              <w:pStyle w:val="CETBodytext"/>
              <w:ind w:right="-1"/>
              <w:rPr>
                <w:rFonts w:cs="Arial"/>
                <w:szCs w:val="18"/>
                <w:lang w:val="en-GB"/>
              </w:rPr>
            </w:pPr>
            <w:r w:rsidRPr="00AC3324">
              <w:rPr>
                <w:lang w:val="en-GB"/>
              </w:rPr>
              <w:t>Uncondensable</w:t>
            </w:r>
            <w:r w:rsidR="00BF0E86" w:rsidRPr="00AC3324">
              <w:rPr>
                <w:lang w:val="en-GB"/>
              </w:rPr>
              <w:t xml:space="preserve"> composition</w:t>
            </w:r>
            <w:r w:rsidR="00D42B29" w:rsidRPr="00AC3324">
              <w:rPr>
                <w:lang w:val="en-GB"/>
              </w:rPr>
              <w:t xml:space="preserve"> </w:t>
            </w:r>
            <w:r w:rsidR="00576C9C" w:rsidRPr="00AC3324">
              <w:rPr>
                <w:rFonts w:cs="Arial"/>
                <w:szCs w:val="18"/>
                <w:lang w:val="en-GB"/>
              </w:rPr>
              <w:t>(wt%)</w:t>
            </w:r>
          </w:p>
        </w:tc>
        <w:tc>
          <w:tcPr>
            <w:tcW w:w="3967" w:type="dxa"/>
            <w:tcBorders>
              <w:top w:val="nil"/>
              <w:bottom w:val="nil"/>
            </w:tcBorders>
            <w:shd w:val="clear" w:color="auto" w:fill="FFFFFF"/>
          </w:tcPr>
          <w:p w14:paraId="00AFBDC3" w14:textId="6F79FCCA" w:rsidR="00BF0E86" w:rsidRPr="00AC3324" w:rsidRDefault="00220283" w:rsidP="004B0EE2">
            <w:pPr>
              <w:jc w:val="left"/>
            </w:pPr>
            <w:r w:rsidRPr="00AC3324">
              <w:t>19.1 (CO</w:t>
            </w:r>
            <w:r w:rsidRPr="00AC3324">
              <w:rPr>
                <w:vertAlign w:val="subscript"/>
              </w:rPr>
              <w:t>2</w:t>
            </w:r>
            <w:r w:rsidRPr="00AC3324">
              <w:t>); 14.8 (CO); 5.2 (CH</w:t>
            </w:r>
            <w:r w:rsidRPr="00AC3324">
              <w:rPr>
                <w:vertAlign w:val="subscript"/>
              </w:rPr>
              <w:t>4</w:t>
            </w:r>
            <w:r w:rsidRPr="00AC3324">
              <w:t>); 0.9 (</w:t>
            </w:r>
            <w:r w:rsidRPr="00AC3324">
              <w:rPr>
                <w:rFonts w:cs="Arial"/>
                <w:szCs w:val="18"/>
              </w:rPr>
              <w:t>C</w:t>
            </w:r>
            <w:r w:rsidRPr="00AC3324">
              <w:rPr>
                <w:rFonts w:cs="Arial"/>
                <w:szCs w:val="18"/>
                <w:vertAlign w:val="subscript"/>
              </w:rPr>
              <w:t>2</w:t>
            </w:r>
            <w:r w:rsidRPr="00AC3324">
              <w:rPr>
                <w:rFonts w:cs="Arial"/>
                <w:szCs w:val="18"/>
              </w:rPr>
              <w:t>H</w:t>
            </w:r>
            <w:r w:rsidRPr="00AC3324">
              <w:rPr>
                <w:rFonts w:cs="Arial"/>
                <w:szCs w:val="18"/>
                <w:vertAlign w:val="subscript"/>
              </w:rPr>
              <w:t>6</w:t>
            </w:r>
            <w:r w:rsidRPr="00AC3324">
              <w:t>); 1.3 (</w:t>
            </w:r>
            <w:r w:rsidRPr="00AC3324">
              <w:rPr>
                <w:rFonts w:cs="Arial"/>
                <w:szCs w:val="18"/>
              </w:rPr>
              <w:t>C</w:t>
            </w:r>
            <w:r w:rsidRPr="00AC3324">
              <w:rPr>
                <w:rFonts w:cs="Arial"/>
                <w:szCs w:val="18"/>
                <w:vertAlign w:val="subscript"/>
              </w:rPr>
              <w:t>2</w:t>
            </w:r>
            <w:r w:rsidRPr="00AC3324">
              <w:rPr>
                <w:rFonts w:cs="Arial"/>
                <w:szCs w:val="18"/>
              </w:rPr>
              <w:t>H</w:t>
            </w:r>
            <w:r w:rsidRPr="00AC3324">
              <w:rPr>
                <w:rFonts w:cs="Arial"/>
                <w:szCs w:val="18"/>
                <w:vertAlign w:val="subscript"/>
              </w:rPr>
              <w:t>4</w:t>
            </w:r>
            <w:r w:rsidRPr="00AC3324">
              <w:t>); 0.1 (</w:t>
            </w:r>
            <w:r w:rsidRPr="00AC3324">
              <w:rPr>
                <w:rFonts w:cs="Arial"/>
                <w:szCs w:val="18"/>
              </w:rPr>
              <w:t>H</w:t>
            </w:r>
            <w:r w:rsidRPr="00AC3324">
              <w:rPr>
                <w:rFonts w:cs="Arial"/>
                <w:szCs w:val="18"/>
                <w:vertAlign w:val="subscript"/>
              </w:rPr>
              <w:t>2</w:t>
            </w:r>
            <w:r w:rsidRPr="00AC3324">
              <w:t>)</w:t>
            </w:r>
          </w:p>
        </w:tc>
      </w:tr>
      <w:tr w:rsidR="00F311D0" w:rsidRPr="00AC3324" w14:paraId="50CEFE82" w14:textId="77777777" w:rsidTr="00DF099E">
        <w:trPr>
          <w:trHeight w:val="227"/>
        </w:trPr>
        <w:tc>
          <w:tcPr>
            <w:tcW w:w="4820" w:type="dxa"/>
            <w:tcBorders>
              <w:top w:val="nil"/>
              <w:bottom w:val="nil"/>
            </w:tcBorders>
            <w:shd w:val="clear" w:color="auto" w:fill="FFFFFF"/>
          </w:tcPr>
          <w:p w14:paraId="6186B581" w14:textId="31B9D655" w:rsidR="00F311D0" w:rsidRPr="00AC3324" w:rsidRDefault="00180275" w:rsidP="00DD6554">
            <w:pPr>
              <w:pStyle w:val="CETBodytext"/>
              <w:ind w:right="-1"/>
              <w:rPr>
                <w:lang w:val="en-GB"/>
              </w:rPr>
            </w:pPr>
            <w:r w:rsidRPr="00AC3324">
              <w:rPr>
                <w:lang w:val="en-GB"/>
              </w:rPr>
              <w:t xml:space="preserve">Condensable </w:t>
            </w:r>
            <w:r w:rsidR="00F9520A" w:rsidRPr="00AC3324">
              <w:rPr>
                <w:lang w:val="en-GB"/>
              </w:rPr>
              <w:t>organic</w:t>
            </w:r>
            <w:r w:rsidR="00511903" w:rsidRPr="00AC3324">
              <w:rPr>
                <w:lang w:val="en-GB"/>
              </w:rPr>
              <w:t xml:space="preserve"> phase (C</w:t>
            </w:r>
            <w:r w:rsidR="00511903" w:rsidRPr="00AC3324">
              <w:rPr>
                <w:vertAlign w:val="subscript"/>
                <w:lang w:val="en-GB"/>
              </w:rPr>
              <w:t>x</w:t>
            </w:r>
            <w:r w:rsidR="00511903" w:rsidRPr="00AC3324">
              <w:rPr>
                <w:lang w:val="en-GB"/>
              </w:rPr>
              <w:t>H</w:t>
            </w:r>
            <w:r w:rsidR="00511903" w:rsidRPr="00AC3324">
              <w:rPr>
                <w:vertAlign w:val="subscript"/>
                <w:lang w:val="en-GB"/>
              </w:rPr>
              <w:t>y</w:t>
            </w:r>
            <w:r w:rsidR="00511903" w:rsidRPr="00AC3324">
              <w:rPr>
                <w:lang w:val="en-GB"/>
              </w:rPr>
              <w:t>O</w:t>
            </w:r>
            <w:r w:rsidR="00511903" w:rsidRPr="00AC3324">
              <w:rPr>
                <w:vertAlign w:val="subscript"/>
                <w:lang w:val="en-GB"/>
              </w:rPr>
              <w:t>w</w:t>
            </w:r>
            <w:r w:rsidR="00511903" w:rsidRPr="00AC3324">
              <w:rPr>
                <w:lang w:val="en-GB"/>
              </w:rPr>
              <w:t>)</w:t>
            </w:r>
          </w:p>
        </w:tc>
        <w:tc>
          <w:tcPr>
            <w:tcW w:w="3967" w:type="dxa"/>
            <w:tcBorders>
              <w:top w:val="nil"/>
              <w:bottom w:val="nil"/>
            </w:tcBorders>
            <w:shd w:val="clear" w:color="auto" w:fill="FFFFFF"/>
          </w:tcPr>
          <w:p w14:paraId="07EE01FD" w14:textId="52208FB3" w:rsidR="00F311D0" w:rsidRPr="00AC3324" w:rsidRDefault="00F9520A" w:rsidP="004B0EE2">
            <w:pPr>
              <w:jc w:val="left"/>
            </w:pPr>
            <w:r w:rsidRPr="00AC3324">
              <w:t xml:space="preserve">1 (x); </w:t>
            </w:r>
            <w:r w:rsidR="00555AAB" w:rsidRPr="00AC3324">
              <w:t>2</w:t>
            </w:r>
            <w:r w:rsidRPr="00AC3324">
              <w:t>.</w:t>
            </w:r>
            <w:r w:rsidR="00555AAB" w:rsidRPr="00AC3324">
              <w:t>28</w:t>
            </w:r>
            <w:r w:rsidRPr="00AC3324">
              <w:t xml:space="preserve"> (y); </w:t>
            </w:r>
            <w:r w:rsidR="00555AAB" w:rsidRPr="00AC3324">
              <w:t>0</w:t>
            </w:r>
            <w:r w:rsidRPr="00AC3324">
              <w:t>.</w:t>
            </w:r>
            <w:r w:rsidR="00555AAB" w:rsidRPr="00AC3324">
              <w:t>58</w:t>
            </w:r>
            <w:r w:rsidRPr="00AC3324">
              <w:t xml:space="preserve"> (w)</w:t>
            </w:r>
          </w:p>
        </w:tc>
      </w:tr>
      <w:tr w:rsidR="00F9520A" w:rsidRPr="00AC3324" w14:paraId="6E500718" w14:textId="77777777" w:rsidTr="00DF099E">
        <w:trPr>
          <w:trHeight w:val="227"/>
        </w:trPr>
        <w:tc>
          <w:tcPr>
            <w:tcW w:w="4820" w:type="dxa"/>
            <w:tcBorders>
              <w:top w:val="nil"/>
              <w:bottom w:val="nil"/>
            </w:tcBorders>
            <w:shd w:val="clear" w:color="auto" w:fill="FFFFFF"/>
          </w:tcPr>
          <w:p w14:paraId="07C4F8E1" w14:textId="4C70E628" w:rsidR="00F9520A" w:rsidRPr="00AC3324" w:rsidRDefault="00F9520A" w:rsidP="00F9520A">
            <w:pPr>
              <w:pStyle w:val="CETBodytext"/>
              <w:ind w:right="-1"/>
              <w:rPr>
                <w:lang w:val="en-GB"/>
              </w:rPr>
            </w:pPr>
            <w:r w:rsidRPr="00AC3324">
              <w:rPr>
                <w:lang w:val="en-GB"/>
              </w:rPr>
              <w:t>Condensable aqueous phase (C</w:t>
            </w:r>
            <w:r w:rsidRPr="00AC3324">
              <w:rPr>
                <w:vertAlign w:val="subscript"/>
                <w:lang w:val="en-GB"/>
              </w:rPr>
              <w:t>x</w:t>
            </w:r>
            <w:r w:rsidRPr="00AC3324">
              <w:rPr>
                <w:lang w:val="en-GB"/>
              </w:rPr>
              <w:t>H</w:t>
            </w:r>
            <w:r w:rsidRPr="00AC3324">
              <w:rPr>
                <w:vertAlign w:val="subscript"/>
                <w:lang w:val="en-GB"/>
              </w:rPr>
              <w:t>y</w:t>
            </w:r>
            <w:r w:rsidRPr="00AC3324">
              <w:rPr>
                <w:lang w:val="en-GB"/>
              </w:rPr>
              <w:t>O</w:t>
            </w:r>
            <w:r w:rsidRPr="00AC3324">
              <w:rPr>
                <w:vertAlign w:val="subscript"/>
                <w:lang w:val="en-GB"/>
              </w:rPr>
              <w:t>w</w:t>
            </w:r>
            <w:r w:rsidRPr="00AC3324">
              <w:rPr>
                <w:lang w:val="en-GB"/>
              </w:rPr>
              <w:t>)</w:t>
            </w:r>
          </w:p>
        </w:tc>
        <w:tc>
          <w:tcPr>
            <w:tcW w:w="3967" w:type="dxa"/>
            <w:tcBorders>
              <w:top w:val="nil"/>
              <w:bottom w:val="nil"/>
            </w:tcBorders>
            <w:shd w:val="clear" w:color="auto" w:fill="FFFFFF"/>
          </w:tcPr>
          <w:p w14:paraId="2A8C9580" w14:textId="223A6CD2" w:rsidR="00F9520A" w:rsidRPr="00AC3324" w:rsidRDefault="00F9520A" w:rsidP="004B0EE2">
            <w:pPr>
              <w:jc w:val="left"/>
            </w:pPr>
            <w:r w:rsidRPr="00AC3324">
              <w:t>1 (x); 6.23 (y); 2.46 (w)</w:t>
            </w:r>
          </w:p>
        </w:tc>
      </w:tr>
      <w:tr w:rsidR="00BF0E86" w:rsidRPr="00AC3324" w14:paraId="4AED25C9" w14:textId="126845A1" w:rsidTr="00DF099E">
        <w:trPr>
          <w:trHeight w:val="227"/>
        </w:trPr>
        <w:tc>
          <w:tcPr>
            <w:tcW w:w="4820" w:type="dxa"/>
            <w:tcBorders>
              <w:top w:val="single" w:sz="4" w:space="0" w:color="008000"/>
              <w:bottom w:val="single" w:sz="4" w:space="0" w:color="008000"/>
            </w:tcBorders>
            <w:shd w:val="clear" w:color="auto" w:fill="FFFFFF"/>
          </w:tcPr>
          <w:p w14:paraId="6C999B36" w14:textId="1963E72E" w:rsidR="00BF0E86" w:rsidRPr="00AC3324" w:rsidRDefault="00BF0E86" w:rsidP="00DD6554">
            <w:pPr>
              <w:pStyle w:val="CETBodytext"/>
              <w:ind w:right="-1"/>
              <w:rPr>
                <w:rFonts w:cs="Arial"/>
                <w:szCs w:val="18"/>
                <w:lang w:val="en-GB"/>
              </w:rPr>
            </w:pPr>
            <w:r w:rsidRPr="00AC3324">
              <w:rPr>
                <w:rFonts w:cs="Arial"/>
                <w:szCs w:val="18"/>
                <w:lang w:val="en-GB"/>
              </w:rPr>
              <w:t>Pyrogas burner</w:t>
            </w:r>
          </w:p>
        </w:tc>
        <w:tc>
          <w:tcPr>
            <w:tcW w:w="3967" w:type="dxa"/>
            <w:tcBorders>
              <w:top w:val="single" w:sz="4" w:space="0" w:color="008000"/>
              <w:bottom w:val="single" w:sz="4" w:space="0" w:color="008000"/>
            </w:tcBorders>
            <w:shd w:val="clear" w:color="auto" w:fill="FFFFFF"/>
          </w:tcPr>
          <w:p w14:paraId="263D03A2" w14:textId="77777777" w:rsidR="00BF0E86" w:rsidRPr="00AC3324" w:rsidRDefault="00BF0E86" w:rsidP="004B0EE2">
            <w:pPr>
              <w:pStyle w:val="CETBodytext"/>
              <w:ind w:right="-1"/>
              <w:jc w:val="left"/>
              <w:rPr>
                <w:rFonts w:cs="Arial"/>
                <w:szCs w:val="18"/>
                <w:lang w:val="en-GB"/>
              </w:rPr>
            </w:pPr>
          </w:p>
        </w:tc>
      </w:tr>
      <w:tr w:rsidR="00656B86" w:rsidRPr="00AC3324" w14:paraId="6FF74791" w14:textId="77777777" w:rsidTr="00DF099E">
        <w:trPr>
          <w:trHeight w:val="227"/>
        </w:trPr>
        <w:tc>
          <w:tcPr>
            <w:tcW w:w="4820" w:type="dxa"/>
            <w:tcBorders>
              <w:top w:val="single" w:sz="4" w:space="0" w:color="008000"/>
            </w:tcBorders>
            <w:shd w:val="clear" w:color="auto" w:fill="FFFFFF"/>
          </w:tcPr>
          <w:p w14:paraId="04A88D67" w14:textId="61C5A039" w:rsidR="00656B86" w:rsidRPr="00AC3324" w:rsidRDefault="00656B86" w:rsidP="00DD6554">
            <w:pPr>
              <w:pStyle w:val="CETBodytext"/>
              <w:ind w:right="-1"/>
              <w:rPr>
                <w:szCs w:val="18"/>
                <w:lang w:val="en-GB"/>
              </w:rPr>
            </w:pPr>
            <w:r w:rsidRPr="00AC3324">
              <w:rPr>
                <w:szCs w:val="18"/>
                <w:lang w:val="en-GB"/>
              </w:rPr>
              <w:t>Excess air (%)</w:t>
            </w:r>
          </w:p>
        </w:tc>
        <w:tc>
          <w:tcPr>
            <w:tcW w:w="3967" w:type="dxa"/>
            <w:tcBorders>
              <w:top w:val="single" w:sz="4" w:space="0" w:color="008000"/>
            </w:tcBorders>
            <w:shd w:val="clear" w:color="auto" w:fill="FFFFFF"/>
          </w:tcPr>
          <w:p w14:paraId="3CEB1B37" w14:textId="7647A794" w:rsidR="00656B86" w:rsidRPr="00AC3324" w:rsidRDefault="00484DAA" w:rsidP="004B0EE2">
            <w:pPr>
              <w:pStyle w:val="CETBodytext"/>
              <w:ind w:right="-1"/>
              <w:jc w:val="left"/>
              <w:rPr>
                <w:rFonts w:cs="Arial"/>
                <w:szCs w:val="18"/>
                <w:lang w:val="en-GB"/>
              </w:rPr>
            </w:pPr>
            <w:r w:rsidRPr="00AC3324">
              <w:rPr>
                <w:rFonts w:cs="Arial"/>
                <w:szCs w:val="18"/>
                <w:lang w:val="en-GB"/>
              </w:rPr>
              <w:t>140</w:t>
            </w:r>
          </w:p>
        </w:tc>
      </w:tr>
      <w:tr w:rsidR="00656B86" w:rsidRPr="00AC3324" w14:paraId="6B359EB7" w14:textId="77777777" w:rsidTr="00DF099E">
        <w:trPr>
          <w:trHeight w:val="227"/>
        </w:trPr>
        <w:tc>
          <w:tcPr>
            <w:tcW w:w="4820" w:type="dxa"/>
            <w:shd w:val="clear" w:color="auto" w:fill="FFFFFF"/>
            <w:vAlign w:val="center"/>
          </w:tcPr>
          <w:p w14:paraId="155CEF49" w14:textId="5D59A9FC" w:rsidR="00656B86" w:rsidRPr="00AC3324" w:rsidRDefault="00484DAA" w:rsidP="0096738B">
            <w:pPr>
              <w:pStyle w:val="CETBodytext"/>
              <w:ind w:right="-1"/>
              <w:rPr>
                <w:szCs w:val="18"/>
                <w:lang w:val="en-GB"/>
              </w:rPr>
            </w:pPr>
            <w:r w:rsidRPr="00AC3324">
              <w:rPr>
                <w:szCs w:val="18"/>
                <w:lang w:val="en-GB"/>
              </w:rPr>
              <w:t>Chemical efficiency (%)</w:t>
            </w:r>
          </w:p>
        </w:tc>
        <w:tc>
          <w:tcPr>
            <w:tcW w:w="3967" w:type="dxa"/>
            <w:shd w:val="clear" w:color="auto" w:fill="FFFFFF"/>
          </w:tcPr>
          <w:p w14:paraId="30D600D1" w14:textId="628E14FA" w:rsidR="00656B86" w:rsidRPr="00AC3324" w:rsidRDefault="00484DAA" w:rsidP="004B0EE2">
            <w:pPr>
              <w:pStyle w:val="CETBodytext"/>
              <w:ind w:right="-1"/>
              <w:jc w:val="left"/>
              <w:rPr>
                <w:rFonts w:cs="Arial"/>
                <w:szCs w:val="18"/>
                <w:lang w:val="en-GB"/>
              </w:rPr>
            </w:pPr>
            <w:r w:rsidRPr="00AC3324">
              <w:rPr>
                <w:rFonts w:cs="Arial"/>
                <w:szCs w:val="18"/>
                <w:lang w:val="en-GB"/>
              </w:rPr>
              <w:t>97</w:t>
            </w:r>
          </w:p>
        </w:tc>
      </w:tr>
      <w:tr w:rsidR="005020F9" w:rsidRPr="00AC3324" w14:paraId="1460CBA1" w14:textId="77777777" w:rsidTr="00DF099E">
        <w:trPr>
          <w:trHeight w:val="227"/>
        </w:trPr>
        <w:tc>
          <w:tcPr>
            <w:tcW w:w="4820" w:type="dxa"/>
            <w:shd w:val="clear" w:color="auto" w:fill="FFFFFF"/>
            <w:vAlign w:val="center"/>
          </w:tcPr>
          <w:p w14:paraId="64BDCBF7" w14:textId="68652EA5" w:rsidR="005020F9" w:rsidRPr="00AC3324" w:rsidRDefault="005020F9" w:rsidP="0096738B">
            <w:pPr>
              <w:pStyle w:val="CETBodytext"/>
              <w:ind w:right="-1"/>
              <w:rPr>
                <w:szCs w:val="18"/>
                <w:lang w:val="en-GB"/>
              </w:rPr>
            </w:pPr>
            <w:r w:rsidRPr="00AC3324">
              <w:rPr>
                <w:szCs w:val="18"/>
                <w:lang w:val="en-GB"/>
              </w:rPr>
              <w:t>Thermal losses (%)</w:t>
            </w:r>
          </w:p>
        </w:tc>
        <w:tc>
          <w:tcPr>
            <w:tcW w:w="3967" w:type="dxa"/>
            <w:shd w:val="clear" w:color="auto" w:fill="FFFFFF"/>
          </w:tcPr>
          <w:p w14:paraId="6046BA2A" w14:textId="0ACD6F84" w:rsidR="005020F9" w:rsidRPr="00AC3324" w:rsidRDefault="005020F9" w:rsidP="004B0EE2">
            <w:pPr>
              <w:pStyle w:val="CETBodytext"/>
              <w:ind w:right="-1"/>
              <w:jc w:val="left"/>
              <w:rPr>
                <w:rFonts w:cs="Arial"/>
                <w:szCs w:val="18"/>
                <w:lang w:val="en-GB"/>
              </w:rPr>
            </w:pPr>
            <w:r w:rsidRPr="00AC3324">
              <w:rPr>
                <w:rFonts w:cs="Arial"/>
                <w:szCs w:val="18"/>
                <w:lang w:val="en-GB"/>
              </w:rPr>
              <w:t>15</w:t>
            </w:r>
          </w:p>
        </w:tc>
      </w:tr>
    </w:tbl>
    <w:p w14:paraId="06043B21" w14:textId="25BA9996" w:rsidR="00784056" w:rsidRPr="00AC3324" w:rsidRDefault="00784056" w:rsidP="00784056">
      <w:pPr>
        <w:pStyle w:val="CETHeading1"/>
        <w:rPr>
          <w:lang w:val="en-GB"/>
        </w:rPr>
      </w:pPr>
      <w:r w:rsidRPr="00AC3324">
        <w:rPr>
          <w:lang w:val="en-GB"/>
        </w:rPr>
        <w:t>Results</w:t>
      </w:r>
      <w:r w:rsidR="002C0434" w:rsidRPr="00AC3324">
        <w:rPr>
          <w:lang w:val="en-GB"/>
        </w:rPr>
        <w:t xml:space="preserve"> and discussions</w:t>
      </w:r>
    </w:p>
    <w:p w14:paraId="79649698" w14:textId="23DF0761" w:rsidR="00F9027F" w:rsidRPr="00AC3324" w:rsidRDefault="00E535F8" w:rsidP="00F9027F">
      <w:pPr>
        <w:pStyle w:val="CETBodytext"/>
        <w:rPr>
          <w:lang w:val="en-GB"/>
        </w:rPr>
      </w:pPr>
      <w:r w:rsidRPr="00AC3324">
        <w:rPr>
          <w:lang w:val="en-GB"/>
        </w:rPr>
        <w:fldChar w:fldCharType="begin"/>
      </w:r>
      <w:r w:rsidRPr="00AC3324">
        <w:rPr>
          <w:lang w:val="en-GB"/>
        </w:rPr>
        <w:instrText xml:space="preserve"> REF _Ref157423845 \h  \* MERGEFORMAT </w:instrText>
      </w:r>
      <w:r w:rsidRPr="00AC3324">
        <w:rPr>
          <w:lang w:val="en-GB"/>
        </w:rPr>
      </w:r>
      <w:r w:rsidRPr="00AC3324">
        <w:rPr>
          <w:lang w:val="en-GB"/>
        </w:rPr>
        <w:fldChar w:fldCharType="separate"/>
      </w:r>
      <w:r w:rsidR="005C60C5" w:rsidRPr="005C60C5">
        <w:rPr>
          <w:lang w:val="en-GB"/>
        </w:rPr>
        <w:t>Table 2</w:t>
      </w:r>
      <w:r w:rsidRPr="00AC3324">
        <w:rPr>
          <w:lang w:val="en-GB"/>
        </w:rPr>
        <w:fldChar w:fldCharType="end"/>
      </w:r>
      <w:r w:rsidRPr="00AC3324">
        <w:rPr>
          <w:lang w:val="en-GB"/>
        </w:rPr>
        <w:t xml:space="preserve"> shows the values for mass flow, temperature and energy content at the characteristic points of the systems shown in </w:t>
      </w:r>
      <w:r w:rsidRPr="00AC3324">
        <w:rPr>
          <w:lang w:val="en-GB"/>
        </w:rPr>
        <w:fldChar w:fldCharType="begin"/>
      </w:r>
      <w:r w:rsidRPr="00AC3324">
        <w:rPr>
          <w:lang w:val="en-GB"/>
        </w:rPr>
        <w:instrText xml:space="preserve"> REF _Ref152678858 \h </w:instrText>
      </w:r>
      <w:r w:rsidR="000977E1" w:rsidRPr="00AC3324">
        <w:rPr>
          <w:lang w:val="en-GB"/>
        </w:rPr>
        <w:instrText xml:space="preserve"> \* MERGEFORMAT </w:instrText>
      </w:r>
      <w:r w:rsidRPr="00AC3324">
        <w:rPr>
          <w:lang w:val="en-GB"/>
        </w:rPr>
      </w:r>
      <w:r w:rsidRPr="00AC3324">
        <w:rPr>
          <w:lang w:val="en-GB"/>
        </w:rPr>
        <w:fldChar w:fldCharType="separate"/>
      </w:r>
      <w:r w:rsidR="005C60C5" w:rsidRPr="005C60C5">
        <w:rPr>
          <w:lang w:val="en-GB"/>
        </w:rPr>
        <w:t xml:space="preserve">Figure </w:t>
      </w:r>
      <w:r w:rsidR="005C60C5" w:rsidRPr="005C60C5">
        <w:rPr>
          <w:noProof/>
          <w:lang w:val="en-GB"/>
        </w:rPr>
        <w:t>1</w:t>
      </w:r>
      <w:r w:rsidRPr="00AC3324">
        <w:rPr>
          <w:lang w:val="en-GB"/>
        </w:rPr>
        <w:fldChar w:fldCharType="end"/>
      </w:r>
      <w:r w:rsidRPr="00AC3324">
        <w:rPr>
          <w:lang w:val="en-GB"/>
        </w:rPr>
        <w:t xml:space="preserve">. </w:t>
      </w:r>
      <w:r w:rsidR="00CF41D1" w:rsidRPr="00AC3324">
        <w:rPr>
          <w:lang w:val="en-GB"/>
        </w:rPr>
        <w:t xml:space="preserve">At point 1, the fresh biomass enters the dryer with an energy content that corresponds to its </w:t>
      </w:r>
      <w:r w:rsidR="00AA6608" w:rsidRPr="00AC3324">
        <w:rPr>
          <w:lang w:val="en-GB"/>
        </w:rPr>
        <w:t>H</w:t>
      </w:r>
      <w:r w:rsidR="002947D3" w:rsidRPr="00AC3324">
        <w:rPr>
          <w:lang w:val="en-GB"/>
        </w:rPr>
        <w:t xml:space="preserve">igher </w:t>
      </w:r>
      <w:r w:rsidR="00AA6608" w:rsidRPr="00AC3324">
        <w:rPr>
          <w:lang w:val="en-GB"/>
        </w:rPr>
        <w:t>H</w:t>
      </w:r>
      <w:r w:rsidR="002947D3" w:rsidRPr="00AC3324">
        <w:rPr>
          <w:lang w:val="en-GB"/>
        </w:rPr>
        <w:t xml:space="preserve">eating </w:t>
      </w:r>
      <w:r w:rsidR="00AA6608" w:rsidRPr="00AC3324">
        <w:rPr>
          <w:lang w:val="en-GB"/>
        </w:rPr>
        <w:t>V</w:t>
      </w:r>
      <w:r w:rsidR="002947D3" w:rsidRPr="00AC3324">
        <w:rPr>
          <w:lang w:val="en-GB"/>
        </w:rPr>
        <w:t>alue</w:t>
      </w:r>
      <w:r w:rsidR="00CF41D1" w:rsidRPr="00AC3324">
        <w:rPr>
          <w:lang w:val="en-GB"/>
        </w:rPr>
        <w:t xml:space="preserve"> (HHV). At the outlet of the dryer (point 2), the biomass has lost some of its moisture and has a temperature of 100 °C. Points 3 and 4 represent the two outputs of the pyrolyser (at 500 °C), i.e. biochar and pyrogas respectively. The </w:t>
      </w:r>
      <w:r w:rsidR="0012577C" w:rsidRPr="00AC3324">
        <w:rPr>
          <w:lang w:val="en-GB"/>
        </w:rPr>
        <w:t>pyrogas</w:t>
      </w:r>
      <w:r w:rsidR="00CF41D1" w:rsidRPr="00AC3324">
        <w:rPr>
          <w:lang w:val="en-GB"/>
        </w:rPr>
        <w:t xml:space="preserve"> </w:t>
      </w:r>
      <w:r w:rsidR="002838CC" w:rsidRPr="00AC3324">
        <w:rPr>
          <w:lang w:val="en-GB"/>
        </w:rPr>
        <w:t>is</w:t>
      </w:r>
      <w:r w:rsidR="00CF41D1" w:rsidRPr="00AC3324">
        <w:rPr>
          <w:lang w:val="en-GB"/>
        </w:rPr>
        <w:t xml:space="preserve"> oxidised with air (point 5). The combustion gases leave the burner at a temperature of around 1020 °C (point 6). The energy of the combustion gases is transferred via heat exchangers to the pyrolyser (point 7), to the heat exchanger for useful heat recovery (point 8) and finally to the dryer (point 9). From point 6 to point 9, the combustion gases drop to 120 °C to be discharged via the chimney.</w:t>
      </w:r>
    </w:p>
    <w:p w14:paraId="58F0E300" w14:textId="7DA3D4FF" w:rsidR="00F9027F" w:rsidRPr="00AC3324" w:rsidRDefault="00F9027F" w:rsidP="00837CC9">
      <w:pPr>
        <w:pStyle w:val="CETTabletitle"/>
      </w:pPr>
      <w:bookmarkStart w:id="2" w:name="_Ref157423845"/>
      <w:r w:rsidRPr="00AC3324">
        <w:t xml:space="preserve">Table </w:t>
      </w:r>
      <w:r w:rsidRPr="00AC3324">
        <w:fldChar w:fldCharType="begin"/>
      </w:r>
      <w:r w:rsidRPr="00AC3324">
        <w:instrText xml:space="preserve"> SEQ Table \* ARABIC </w:instrText>
      </w:r>
      <w:r w:rsidRPr="00AC3324">
        <w:fldChar w:fldCharType="separate"/>
      </w:r>
      <w:r w:rsidR="005C60C5">
        <w:rPr>
          <w:noProof/>
        </w:rPr>
        <w:t>2</w:t>
      </w:r>
      <w:r w:rsidRPr="00AC3324">
        <w:fldChar w:fldCharType="end"/>
      </w:r>
      <w:bookmarkEnd w:id="2"/>
      <w:r w:rsidRPr="00AC3324">
        <w:t xml:space="preserve">. </w:t>
      </w:r>
      <w:r w:rsidR="00F35E05" w:rsidRPr="00AC3324">
        <w:t xml:space="preserve">Mass flows, temperatures and energy flows in the characteristic points of the </w:t>
      </w:r>
      <w:r w:rsidR="00156872" w:rsidRPr="00AC3324">
        <w:t xml:space="preserve">plant. </w:t>
      </w:r>
    </w:p>
    <w:tbl>
      <w:tblPr>
        <w:tblW w:w="5000" w:type="pct"/>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305"/>
        <w:gridCol w:w="840"/>
        <w:gridCol w:w="840"/>
        <w:gridCol w:w="686"/>
        <w:gridCol w:w="686"/>
        <w:gridCol w:w="686"/>
        <w:gridCol w:w="686"/>
        <w:gridCol w:w="686"/>
        <w:gridCol w:w="686"/>
        <w:gridCol w:w="686"/>
      </w:tblGrid>
      <w:tr w:rsidR="002728D4" w:rsidRPr="00AC3324" w14:paraId="15DCE876" w14:textId="0285323F" w:rsidTr="00515551">
        <w:tc>
          <w:tcPr>
            <w:tcW w:w="2381" w:type="dxa"/>
            <w:tcBorders>
              <w:top w:val="single" w:sz="12" w:space="0" w:color="008000"/>
              <w:bottom w:val="single" w:sz="6" w:space="0" w:color="008000"/>
            </w:tcBorders>
            <w:shd w:val="clear" w:color="auto" w:fill="FFFFFF"/>
          </w:tcPr>
          <w:p w14:paraId="489624A0" w14:textId="7AF9600C" w:rsidR="002728D4" w:rsidRPr="00AC3324" w:rsidRDefault="002728D4" w:rsidP="00E3085C">
            <w:pPr>
              <w:pStyle w:val="CETBodytext"/>
              <w:rPr>
                <w:lang w:val="en-GB"/>
              </w:rPr>
            </w:pPr>
          </w:p>
        </w:tc>
        <w:tc>
          <w:tcPr>
            <w:tcW w:w="867" w:type="dxa"/>
            <w:tcBorders>
              <w:top w:val="single" w:sz="12" w:space="0" w:color="008000"/>
              <w:bottom w:val="single" w:sz="6" w:space="0" w:color="008000"/>
            </w:tcBorders>
            <w:shd w:val="clear" w:color="auto" w:fill="FFFFFF"/>
          </w:tcPr>
          <w:p w14:paraId="4307F633" w14:textId="7C773E63" w:rsidR="002728D4" w:rsidRPr="00AC3324" w:rsidRDefault="002728D4" w:rsidP="00E3085C">
            <w:pPr>
              <w:pStyle w:val="CETBodytext"/>
              <w:rPr>
                <w:lang w:val="en-GB"/>
              </w:rPr>
            </w:pPr>
            <w:r w:rsidRPr="00AC3324">
              <w:rPr>
                <w:lang w:val="en-GB"/>
              </w:rPr>
              <w:t>1</w:t>
            </w:r>
          </w:p>
        </w:tc>
        <w:tc>
          <w:tcPr>
            <w:tcW w:w="867" w:type="dxa"/>
            <w:tcBorders>
              <w:top w:val="single" w:sz="12" w:space="0" w:color="008000"/>
              <w:bottom w:val="single" w:sz="6" w:space="0" w:color="008000"/>
            </w:tcBorders>
            <w:shd w:val="clear" w:color="auto" w:fill="FFFFFF"/>
          </w:tcPr>
          <w:p w14:paraId="237CE7D5" w14:textId="1A23C9C7" w:rsidR="002728D4" w:rsidRPr="00AC3324" w:rsidRDefault="002728D4" w:rsidP="00E3085C">
            <w:pPr>
              <w:pStyle w:val="CETBodytext"/>
              <w:rPr>
                <w:lang w:val="en-GB"/>
              </w:rPr>
            </w:pPr>
            <w:r w:rsidRPr="00AC3324">
              <w:rPr>
                <w:lang w:val="en-GB"/>
              </w:rPr>
              <w:t>2</w:t>
            </w:r>
          </w:p>
        </w:tc>
        <w:tc>
          <w:tcPr>
            <w:tcW w:w="708" w:type="dxa"/>
            <w:tcBorders>
              <w:top w:val="single" w:sz="12" w:space="0" w:color="008000"/>
              <w:bottom w:val="single" w:sz="6" w:space="0" w:color="008000"/>
            </w:tcBorders>
            <w:shd w:val="clear" w:color="auto" w:fill="FFFFFF"/>
          </w:tcPr>
          <w:p w14:paraId="09D6A009" w14:textId="6A009016" w:rsidR="002728D4" w:rsidRPr="00AC3324" w:rsidRDefault="002728D4" w:rsidP="00E3085C">
            <w:pPr>
              <w:pStyle w:val="CETBodytext"/>
              <w:ind w:right="-1"/>
              <w:rPr>
                <w:rFonts w:cs="Arial"/>
                <w:szCs w:val="18"/>
                <w:lang w:val="en-GB"/>
              </w:rPr>
            </w:pPr>
            <w:r w:rsidRPr="00AC3324">
              <w:rPr>
                <w:rFonts w:cs="Arial"/>
                <w:szCs w:val="18"/>
                <w:lang w:val="en-GB"/>
              </w:rPr>
              <w:t>3</w:t>
            </w:r>
          </w:p>
        </w:tc>
        <w:tc>
          <w:tcPr>
            <w:tcW w:w="708" w:type="dxa"/>
            <w:tcBorders>
              <w:top w:val="single" w:sz="12" w:space="0" w:color="008000"/>
              <w:bottom w:val="single" w:sz="6" w:space="0" w:color="008000"/>
            </w:tcBorders>
            <w:shd w:val="clear" w:color="auto" w:fill="FFFFFF"/>
          </w:tcPr>
          <w:p w14:paraId="09C641F4" w14:textId="32A4900F" w:rsidR="002728D4" w:rsidRPr="00AC3324" w:rsidRDefault="002728D4" w:rsidP="00E3085C">
            <w:pPr>
              <w:pStyle w:val="CETBodytext"/>
              <w:ind w:right="-1"/>
              <w:rPr>
                <w:rFonts w:cs="Arial"/>
                <w:szCs w:val="18"/>
                <w:lang w:val="en-GB"/>
              </w:rPr>
            </w:pPr>
            <w:r w:rsidRPr="00AC3324">
              <w:rPr>
                <w:rFonts w:cs="Arial"/>
                <w:szCs w:val="18"/>
                <w:lang w:val="en-GB"/>
              </w:rPr>
              <w:t>4</w:t>
            </w:r>
          </w:p>
        </w:tc>
        <w:tc>
          <w:tcPr>
            <w:tcW w:w="708" w:type="dxa"/>
            <w:tcBorders>
              <w:top w:val="single" w:sz="12" w:space="0" w:color="008000"/>
              <w:bottom w:val="single" w:sz="6" w:space="0" w:color="008000"/>
            </w:tcBorders>
            <w:shd w:val="clear" w:color="auto" w:fill="FFFFFF"/>
          </w:tcPr>
          <w:p w14:paraId="4AE552EF" w14:textId="6E3750C9" w:rsidR="002728D4" w:rsidRPr="00AC3324" w:rsidRDefault="002728D4" w:rsidP="00E3085C">
            <w:pPr>
              <w:pStyle w:val="CETBodytext"/>
              <w:ind w:right="-1"/>
              <w:rPr>
                <w:rFonts w:cs="Arial"/>
                <w:szCs w:val="18"/>
                <w:lang w:val="en-GB"/>
              </w:rPr>
            </w:pPr>
            <w:r w:rsidRPr="00AC3324">
              <w:rPr>
                <w:rFonts w:cs="Arial"/>
                <w:szCs w:val="18"/>
                <w:lang w:val="en-GB"/>
              </w:rPr>
              <w:t>5</w:t>
            </w:r>
          </w:p>
        </w:tc>
        <w:tc>
          <w:tcPr>
            <w:tcW w:w="708" w:type="dxa"/>
            <w:tcBorders>
              <w:top w:val="single" w:sz="12" w:space="0" w:color="008000"/>
              <w:bottom w:val="single" w:sz="6" w:space="0" w:color="008000"/>
            </w:tcBorders>
            <w:shd w:val="clear" w:color="auto" w:fill="FFFFFF"/>
          </w:tcPr>
          <w:p w14:paraId="5AAB6F92" w14:textId="5B2317D8" w:rsidR="002728D4" w:rsidRPr="00AC3324" w:rsidRDefault="002728D4" w:rsidP="00E3085C">
            <w:pPr>
              <w:pStyle w:val="CETBodytext"/>
              <w:ind w:right="-1"/>
              <w:rPr>
                <w:rFonts w:cs="Arial"/>
                <w:szCs w:val="18"/>
                <w:lang w:val="en-GB"/>
              </w:rPr>
            </w:pPr>
            <w:r w:rsidRPr="00AC3324">
              <w:rPr>
                <w:rFonts w:cs="Arial"/>
                <w:szCs w:val="18"/>
                <w:lang w:val="en-GB"/>
              </w:rPr>
              <w:t>6</w:t>
            </w:r>
          </w:p>
        </w:tc>
        <w:tc>
          <w:tcPr>
            <w:tcW w:w="708" w:type="dxa"/>
            <w:tcBorders>
              <w:top w:val="single" w:sz="12" w:space="0" w:color="008000"/>
              <w:bottom w:val="single" w:sz="6" w:space="0" w:color="008000"/>
            </w:tcBorders>
            <w:shd w:val="clear" w:color="auto" w:fill="FFFFFF"/>
          </w:tcPr>
          <w:p w14:paraId="7DE40F39" w14:textId="6C5697CD" w:rsidR="002728D4" w:rsidRPr="00AC3324" w:rsidRDefault="002728D4" w:rsidP="00E3085C">
            <w:pPr>
              <w:pStyle w:val="CETBodytext"/>
              <w:ind w:right="-1"/>
              <w:rPr>
                <w:rFonts w:cs="Arial"/>
                <w:szCs w:val="18"/>
                <w:lang w:val="en-GB"/>
              </w:rPr>
            </w:pPr>
            <w:r w:rsidRPr="00AC3324">
              <w:rPr>
                <w:rFonts w:cs="Arial"/>
                <w:szCs w:val="18"/>
                <w:lang w:val="en-GB"/>
              </w:rPr>
              <w:t>7</w:t>
            </w:r>
          </w:p>
        </w:tc>
        <w:tc>
          <w:tcPr>
            <w:tcW w:w="708" w:type="dxa"/>
            <w:tcBorders>
              <w:top w:val="single" w:sz="12" w:space="0" w:color="008000"/>
              <w:bottom w:val="single" w:sz="6" w:space="0" w:color="008000"/>
            </w:tcBorders>
            <w:shd w:val="clear" w:color="auto" w:fill="FFFFFF"/>
          </w:tcPr>
          <w:p w14:paraId="31290015" w14:textId="510A879C" w:rsidR="002728D4" w:rsidRPr="00AC3324" w:rsidRDefault="002728D4" w:rsidP="00E3085C">
            <w:pPr>
              <w:pStyle w:val="CETBodytext"/>
              <w:ind w:right="-1"/>
              <w:rPr>
                <w:rFonts w:cs="Arial"/>
                <w:szCs w:val="18"/>
                <w:lang w:val="en-GB"/>
              </w:rPr>
            </w:pPr>
            <w:r w:rsidRPr="00AC3324">
              <w:rPr>
                <w:rFonts w:cs="Arial"/>
                <w:szCs w:val="18"/>
                <w:lang w:val="en-GB"/>
              </w:rPr>
              <w:t>8</w:t>
            </w:r>
          </w:p>
        </w:tc>
        <w:tc>
          <w:tcPr>
            <w:tcW w:w="708" w:type="dxa"/>
            <w:tcBorders>
              <w:top w:val="single" w:sz="12" w:space="0" w:color="008000"/>
              <w:bottom w:val="single" w:sz="6" w:space="0" w:color="008000"/>
            </w:tcBorders>
            <w:shd w:val="clear" w:color="auto" w:fill="FFFFFF"/>
          </w:tcPr>
          <w:p w14:paraId="0CF50192" w14:textId="1C015A7E" w:rsidR="002728D4" w:rsidRPr="00AC3324" w:rsidRDefault="002728D4" w:rsidP="00E3085C">
            <w:pPr>
              <w:pStyle w:val="CETBodytext"/>
              <w:ind w:right="-1"/>
              <w:rPr>
                <w:rFonts w:cs="Arial"/>
                <w:szCs w:val="18"/>
                <w:lang w:val="en-GB"/>
              </w:rPr>
            </w:pPr>
            <w:r w:rsidRPr="00AC3324">
              <w:rPr>
                <w:rFonts w:cs="Arial"/>
                <w:szCs w:val="18"/>
                <w:lang w:val="en-GB"/>
              </w:rPr>
              <w:t>9</w:t>
            </w:r>
          </w:p>
        </w:tc>
      </w:tr>
      <w:tr w:rsidR="00BB2682" w:rsidRPr="00AC3324" w14:paraId="3FD4F350" w14:textId="0ACCBEA0" w:rsidTr="00515551">
        <w:tc>
          <w:tcPr>
            <w:tcW w:w="2381" w:type="dxa"/>
            <w:shd w:val="clear" w:color="auto" w:fill="FFFFFF"/>
          </w:tcPr>
          <w:p w14:paraId="56CEC0E5" w14:textId="23997D5A" w:rsidR="00BB2682" w:rsidRPr="00AC3324" w:rsidRDefault="00BB2682" w:rsidP="00BB2682">
            <w:pPr>
              <w:pStyle w:val="CETBodytext"/>
              <w:rPr>
                <w:lang w:val="en-GB"/>
              </w:rPr>
            </w:pPr>
            <w:r w:rsidRPr="00AC3324">
              <w:rPr>
                <w:lang w:val="en-GB"/>
              </w:rPr>
              <w:t>Mass flow (kg/h)</w:t>
            </w:r>
          </w:p>
        </w:tc>
        <w:tc>
          <w:tcPr>
            <w:tcW w:w="867" w:type="dxa"/>
            <w:shd w:val="clear" w:color="auto" w:fill="FFFFFF"/>
          </w:tcPr>
          <w:p w14:paraId="54CAFCB6" w14:textId="7504CFEE" w:rsidR="00BB2682" w:rsidRPr="00AC3324" w:rsidRDefault="00BB2682" w:rsidP="00BB2682">
            <w:pPr>
              <w:pStyle w:val="CETBodytext"/>
              <w:rPr>
                <w:lang w:val="en-GB"/>
              </w:rPr>
            </w:pPr>
            <w:r w:rsidRPr="00AC3324">
              <w:rPr>
                <w:lang w:val="en-GB"/>
              </w:rPr>
              <w:t>1000</w:t>
            </w:r>
          </w:p>
        </w:tc>
        <w:tc>
          <w:tcPr>
            <w:tcW w:w="867" w:type="dxa"/>
            <w:shd w:val="clear" w:color="auto" w:fill="FFFFFF"/>
          </w:tcPr>
          <w:p w14:paraId="0A4DC510" w14:textId="54A9D678" w:rsidR="00BB2682" w:rsidRPr="00AC3324" w:rsidRDefault="00BB2682" w:rsidP="00BB2682">
            <w:pPr>
              <w:pStyle w:val="CETBodytext"/>
              <w:rPr>
                <w:lang w:val="en-GB"/>
              </w:rPr>
            </w:pPr>
            <w:r w:rsidRPr="00AC3324">
              <w:rPr>
                <w:lang w:val="en-GB"/>
              </w:rPr>
              <w:t>588</w:t>
            </w:r>
          </w:p>
        </w:tc>
        <w:tc>
          <w:tcPr>
            <w:tcW w:w="708" w:type="dxa"/>
            <w:shd w:val="clear" w:color="auto" w:fill="FFFFFF"/>
          </w:tcPr>
          <w:p w14:paraId="648D9C5A" w14:textId="6F814FE3" w:rsidR="00BB2682" w:rsidRPr="00AC3324" w:rsidRDefault="00BB2682" w:rsidP="00BB2682">
            <w:pPr>
              <w:pStyle w:val="CETBodytext"/>
              <w:ind w:right="-1"/>
              <w:rPr>
                <w:rFonts w:cs="Arial"/>
                <w:szCs w:val="18"/>
                <w:lang w:val="en-GB"/>
              </w:rPr>
            </w:pPr>
            <w:r w:rsidRPr="00AC3324">
              <w:rPr>
                <w:lang w:val="en-GB"/>
              </w:rPr>
              <w:t>12</w:t>
            </w:r>
            <w:r w:rsidR="00EA7965" w:rsidRPr="00AC3324">
              <w:rPr>
                <w:lang w:val="en-GB"/>
              </w:rPr>
              <w:t>1</w:t>
            </w:r>
          </w:p>
        </w:tc>
        <w:tc>
          <w:tcPr>
            <w:tcW w:w="708" w:type="dxa"/>
            <w:shd w:val="clear" w:color="auto" w:fill="FFFFFF"/>
          </w:tcPr>
          <w:p w14:paraId="27B4029C" w14:textId="114B43B8" w:rsidR="00BB2682" w:rsidRPr="00AC3324" w:rsidRDefault="00BB2682" w:rsidP="00BB2682">
            <w:pPr>
              <w:pStyle w:val="CETBodytext"/>
              <w:ind w:right="-1"/>
              <w:rPr>
                <w:rFonts w:cs="Arial"/>
                <w:szCs w:val="18"/>
                <w:lang w:val="en-GB"/>
              </w:rPr>
            </w:pPr>
            <w:r w:rsidRPr="00AC3324">
              <w:rPr>
                <w:lang w:val="en-GB"/>
              </w:rPr>
              <w:t>467</w:t>
            </w:r>
          </w:p>
        </w:tc>
        <w:tc>
          <w:tcPr>
            <w:tcW w:w="708" w:type="dxa"/>
            <w:shd w:val="clear" w:color="auto" w:fill="FFFFFF"/>
          </w:tcPr>
          <w:p w14:paraId="6BB9B5FF" w14:textId="0F71B659" w:rsidR="00BB2682" w:rsidRPr="00AC3324" w:rsidRDefault="00BB2682" w:rsidP="00BB2682">
            <w:pPr>
              <w:pStyle w:val="CETBodytext"/>
              <w:ind w:right="-1"/>
              <w:rPr>
                <w:rFonts w:cs="Arial"/>
                <w:szCs w:val="18"/>
                <w:lang w:val="en-GB"/>
              </w:rPr>
            </w:pPr>
            <w:r w:rsidRPr="00AC3324">
              <w:rPr>
                <w:lang w:val="en-GB"/>
              </w:rPr>
              <w:t>3677</w:t>
            </w:r>
          </w:p>
        </w:tc>
        <w:tc>
          <w:tcPr>
            <w:tcW w:w="708" w:type="dxa"/>
            <w:shd w:val="clear" w:color="auto" w:fill="FFFFFF"/>
          </w:tcPr>
          <w:p w14:paraId="4E87E87A" w14:textId="186D3945" w:rsidR="00BB2682" w:rsidRPr="00AC3324" w:rsidRDefault="00BB2682" w:rsidP="00BB2682">
            <w:pPr>
              <w:pStyle w:val="CETBodytext"/>
              <w:ind w:right="-1"/>
              <w:rPr>
                <w:rFonts w:cs="Arial"/>
                <w:szCs w:val="18"/>
                <w:lang w:val="en-GB"/>
              </w:rPr>
            </w:pPr>
            <w:r w:rsidRPr="00AC3324">
              <w:rPr>
                <w:lang w:val="en-GB"/>
              </w:rPr>
              <w:t>4144</w:t>
            </w:r>
          </w:p>
        </w:tc>
        <w:tc>
          <w:tcPr>
            <w:tcW w:w="708" w:type="dxa"/>
            <w:shd w:val="clear" w:color="auto" w:fill="FFFFFF"/>
          </w:tcPr>
          <w:p w14:paraId="4EEE7F70" w14:textId="313AC3BD" w:rsidR="00BB2682" w:rsidRPr="00AC3324" w:rsidRDefault="00BB2682" w:rsidP="00BB2682">
            <w:pPr>
              <w:pStyle w:val="CETBodytext"/>
              <w:ind w:right="-1"/>
              <w:rPr>
                <w:rFonts w:cs="Arial"/>
                <w:szCs w:val="18"/>
                <w:lang w:val="en-GB"/>
              </w:rPr>
            </w:pPr>
            <w:r w:rsidRPr="00AC3324">
              <w:rPr>
                <w:lang w:val="en-GB"/>
              </w:rPr>
              <w:t>4144</w:t>
            </w:r>
          </w:p>
        </w:tc>
        <w:tc>
          <w:tcPr>
            <w:tcW w:w="708" w:type="dxa"/>
            <w:shd w:val="clear" w:color="auto" w:fill="FFFFFF"/>
          </w:tcPr>
          <w:p w14:paraId="2E9BD3D7" w14:textId="367401ED" w:rsidR="00BB2682" w:rsidRPr="00AC3324" w:rsidRDefault="00BB2682" w:rsidP="00BB2682">
            <w:pPr>
              <w:pStyle w:val="CETBodytext"/>
              <w:ind w:right="-1"/>
              <w:rPr>
                <w:rFonts w:cs="Arial"/>
                <w:szCs w:val="18"/>
                <w:lang w:val="en-GB"/>
              </w:rPr>
            </w:pPr>
            <w:r w:rsidRPr="00AC3324">
              <w:rPr>
                <w:lang w:val="en-GB"/>
              </w:rPr>
              <w:t>4144</w:t>
            </w:r>
          </w:p>
        </w:tc>
        <w:tc>
          <w:tcPr>
            <w:tcW w:w="708" w:type="dxa"/>
            <w:shd w:val="clear" w:color="auto" w:fill="FFFFFF"/>
          </w:tcPr>
          <w:p w14:paraId="2B1AA504" w14:textId="1B7AB9E4" w:rsidR="00BB2682" w:rsidRPr="00AC3324" w:rsidRDefault="00BB2682" w:rsidP="00BB2682">
            <w:pPr>
              <w:pStyle w:val="CETBodytext"/>
              <w:ind w:right="-1"/>
              <w:rPr>
                <w:rFonts w:cs="Arial"/>
                <w:szCs w:val="18"/>
                <w:lang w:val="en-GB"/>
              </w:rPr>
            </w:pPr>
            <w:r w:rsidRPr="00AC3324">
              <w:rPr>
                <w:lang w:val="en-GB"/>
              </w:rPr>
              <w:t>4144</w:t>
            </w:r>
          </w:p>
        </w:tc>
      </w:tr>
      <w:tr w:rsidR="00BB2682" w:rsidRPr="00AC3324" w14:paraId="00102C26" w14:textId="77777777" w:rsidTr="00515551">
        <w:tc>
          <w:tcPr>
            <w:tcW w:w="2381" w:type="dxa"/>
            <w:shd w:val="clear" w:color="auto" w:fill="FFFFFF"/>
          </w:tcPr>
          <w:p w14:paraId="07DF87F5" w14:textId="754AAD7F" w:rsidR="00BB2682" w:rsidRPr="00AC3324" w:rsidRDefault="00BB2682" w:rsidP="00BB2682">
            <w:pPr>
              <w:pStyle w:val="CETBodytext"/>
              <w:rPr>
                <w:lang w:val="en-GB"/>
              </w:rPr>
            </w:pPr>
            <w:r w:rsidRPr="00AC3324">
              <w:rPr>
                <w:lang w:val="en-GB"/>
              </w:rPr>
              <w:t>Temperature (°C)</w:t>
            </w:r>
          </w:p>
        </w:tc>
        <w:tc>
          <w:tcPr>
            <w:tcW w:w="867" w:type="dxa"/>
            <w:shd w:val="clear" w:color="auto" w:fill="FFFFFF"/>
          </w:tcPr>
          <w:p w14:paraId="256F72B6" w14:textId="4E3A1CAB" w:rsidR="00BB2682" w:rsidRPr="00AC3324" w:rsidRDefault="00BB2682" w:rsidP="00BB2682">
            <w:pPr>
              <w:pStyle w:val="CETBodytext"/>
              <w:rPr>
                <w:lang w:val="en-GB"/>
              </w:rPr>
            </w:pPr>
            <w:r w:rsidRPr="00AC3324">
              <w:rPr>
                <w:lang w:val="en-GB"/>
              </w:rPr>
              <w:t>20</w:t>
            </w:r>
          </w:p>
        </w:tc>
        <w:tc>
          <w:tcPr>
            <w:tcW w:w="867" w:type="dxa"/>
            <w:shd w:val="clear" w:color="auto" w:fill="FFFFFF"/>
          </w:tcPr>
          <w:p w14:paraId="3F906624" w14:textId="266AB8D8" w:rsidR="00BB2682" w:rsidRPr="00AC3324" w:rsidRDefault="00BB2682" w:rsidP="00BB2682">
            <w:pPr>
              <w:pStyle w:val="CETBodytext"/>
              <w:rPr>
                <w:lang w:val="en-GB"/>
              </w:rPr>
            </w:pPr>
            <w:r w:rsidRPr="00AC3324">
              <w:rPr>
                <w:lang w:val="en-GB"/>
              </w:rPr>
              <w:t>100</w:t>
            </w:r>
          </w:p>
        </w:tc>
        <w:tc>
          <w:tcPr>
            <w:tcW w:w="708" w:type="dxa"/>
            <w:shd w:val="clear" w:color="auto" w:fill="FFFFFF"/>
          </w:tcPr>
          <w:p w14:paraId="21AB4B7F" w14:textId="6741FF72" w:rsidR="00BB2682" w:rsidRPr="00AC3324" w:rsidRDefault="00BB2682" w:rsidP="00BB2682">
            <w:pPr>
              <w:pStyle w:val="CETBodytext"/>
              <w:ind w:right="-1"/>
              <w:rPr>
                <w:rFonts w:cs="Arial"/>
                <w:szCs w:val="18"/>
                <w:lang w:val="en-GB"/>
              </w:rPr>
            </w:pPr>
            <w:r w:rsidRPr="00AC3324">
              <w:rPr>
                <w:lang w:val="en-GB"/>
              </w:rPr>
              <w:t>500</w:t>
            </w:r>
          </w:p>
        </w:tc>
        <w:tc>
          <w:tcPr>
            <w:tcW w:w="708" w:type="dxa"/>
            <w:shd w:val="clear" w:color="auto" w:fill="FFFFFF"/>
          </w:tcPr>
          <w:p w14:paraId="437C0780" w14:textId="69F1B578" w:rsidR="00BB2682" w:rsidRPr="00AC3324" w:rsidRDefault="00BB2682" w:rsidP="00BB2682">
            <w:pPr>
              <w:pStyle w:val="CETBodytext"/>
              <w:ind w:right="-1"/>
              <w:rPr>
                <w:rFonts w:cs="Arial"/>
                <w:szCs w:val="18"/>
                <w:lang w:val="en-GB"/>
              </w:rPr>
            </w:pPr>
            <w:r w:rsidRPr="00AC3324">
              <w:rPr>
                <w:lang w:val="en-GB"/>
              </w:rPr>
              <w:t>500</w:t>
            </w:r>
          </w:p>
        </w:tc>
        <w:tc>
          <w:tcPr>
            <w:tcW w:w="708" w:type="dxa"/>
            <w:shd w:val="clear" w:color="auto" w:fill="FFFFFF"/>
          </w:tcPr>
          <w:p w14:paraId="08389477" w14:textId="78CB9C80" w:rsidR="00BB2682" w:rsidRPr="00AC3324" w:rsidRDefault="00BB2682" w:rsidP="00BB2682">
            <w:pPr>
              <w:pStyle w:val="CETBodytext"/>
              <w:ind w:right="-1"/>
              <w:rPr>
                <w:rFonts w:cs="Arial"/>
                <w:szCs w:val="18"/>
                <w:lang w:val="en-GB"/>
              </w:rPr>
            </w:pPr>
            <w:r w:rsidRPr="00AC3324">
              <w:rPr>
                <w:lang w:val="en-GB"/>
              </w:rPr>
              <w:t>20</w:t>
            </w:r>
          </w:p>
        </w:tc>
        <w:tc>
          <w:tcPr>
            <w:tcW w:w="708" w:type="dxa"/>
            <w:shd w:val="clear" w:color="auto" w:fill="FFFFFF"/>
          </w:tcPr>
          <w:p w14:paraId="7DA46055" w14:textId="363FC786" w:rsidR="00BB2682" w:rsidRPr="00AC3324" w:rsidRDefault="00BB2682" w:rsidP="00BB2682">
            <w:pPr>
              <w:pStyle w:val="CETBodytext"/>
              <w:ind w:right="-1"/>
              <w:rPr>
                <w:rFonts w:cs="Arial"/>
                <w:szCs w:val="18"/>
                <w:lang w:val="en-GB"/>
              </w:rPr>
            </w:pPr>
            <w:r w:rsidRPr="00AC3324">
              <w:rPr>
                <w:lang w:val="en-GB"/>
              </w:rPr>
              <w:t>1019</w:t>
            </w:r>
          </w:p>
        </w:tc>
        <w:tc>
          <w:tcPr>
            <w:tcW w:w="708" w:type="dxa"/>
            <w:shd w:val="clear" w:color="auto" w:fill="FFFFFF"/>
          </w:tcPr>
          <w:p w14:paraId="2610AB8B" w14:textId="47D61E3F" w:rsidR="00BB2682" w:rsidRPr="00AC3324" w:rsidRDefault="00BB2682" w:rsidP="00BB2682">
            <w:pPr>
              <w:pStyle w:val="CETBodytext"/>
              <w:ind w:right="-1"/>
              <w:rPr>
                <w:rFonts w:cs="Arial"/>
                <w:szCs w:val="18"/>
                <w:lang w:val="en-GB"/>
              </w:rPr>
            </w:pPr>
            <w:r w:rsidRPr="00AC3324">
              <w:rPr>
                <w:lang w:val="en-GB"/>
              </w:rPr>
              <w:t>778</w:t>
            </w:r>
          </w:p>
        </w:tc>
        <w:tc>
          <w:tcPr>
            <w:tcW w:w="708" w:type="dxa"/>
            <w:shd w:val="clear" w:color="auto" w:fill="FFFFFF"/>
          </w:tcPr>
          <w:p w14:paraId="6891C757" w14:textId="7C53240F" w:rsidR="00BB2682" w:rsidRPr="00AC3324" w:rsidRDefault="00BB2682" w:rsidP="00BB2682">
            <w:pPr>
              <w:pStyle w:val="CETBodytext"/>
              <w:ind w:right="-1"/>
              <w:rPr>
                <w:rFonts w:cs="Arial"/>
                <w:szCs w:val="18"/>
                <w:lang w:val="en-GB"/>
              </w:rPr>
            </w:pPr>
            <w:r w:rsidRPr="00AC3324">
              <w:rPr>
                <w:lang w:val="en-GB"/>
              </w:rPr>
              <w:t>469</w:t>
            </w:r>
          </w:p>
        </w:tc>
        <w:tc>
          <w:tcPr>
            <w:tcW w:w="708" w:type="dxa"/>
            <w:shd w:val="clear" w:color="auto" w:fill="FFFFFF"/>
          </w:tcPr>
          <w:p w14:paraId="3B993843" w14:textId="1C9B571A" w:rsidR="00BB2682" w:rsidRPr="00AC3324" w:rsidRDefault="00BB2682" w:rsidP="00BB2682">
            <w:pPr>
              <w:pStyle w:val="CETBodytext"/>
              <w:ind w:right="-1"/>
              <w:rPr>
                <w:rFonts w:cs="Arial"/>
                <w:szCs w:val="18"/>
                <w:lang w:val="en-GB"/>
              </w:rPr>
            </w:pPr>
            <w:r w:rsidRPr="00AC3324">
              <w:rPr>
                <w:lang w:val="en-GB"/>
              </w:rPr>
              <w:t>120</w:t>
            </w:r>
          </w:p>
        </w:tc>
      </w:tr>
      <w:tr w:rsidR="00BB2682" w:rsidRPr="00AC3324" w14:paraId="290F3671" w14:textId="685A9264" w:rsidTr="00515551">
        <w:tc>
          <w:tcPr>
            <w:tcW w:w="2381" w:type="dxa"/>
            <w:shd w:val="clear" w:color="auto" w:fill="FFFFFF"/>
          </w:tcPr>
          <w:p w14:paraId="67871954" w14:textId="4F191FFB" w:rsidR="00BB2682" w:rsidRPr="00AC3324" w:rsidRDefault="00BB2682" w:rsidP="00BB2682">
            <w:pPr>
              <w:pStyle w:val="CETBodytext"/>
              <w:ind w:right="-1"/>
              <w:rPr>
                <w:rFonts w:cs="Arial"/>
                <w:szCs w:val="18"/>
                <w:lang w:val="en-GB"/>
              </w:rPr>
            </w:pPr>
            <w:r w:rsidRPr="00AC3324">
              <w:rPr>
                <w:lang w:val="en-GB"/>
              </w:rPr>
              <w:t>Energy Flow (MW, HHV)</w:t>
            </w:r>
          </w:p>
        </w:tc>
        <w:tc>
          <w:tcPr>
            <w:tcW w:w="867" w:type="dxa"/>
            <w:shd w:val="clear" w:color="auto" w:fill="FFFFFF"/>
          </w:tcPr>
          <w:p w14:paraId="44E3A07B" w14:textId="0E693978" w:rsidR="00BB2682" w:rsidRPr="00AC3324" w:rsidRDefault="00BB2682" w:rsidP="00BB2682">
            <w:pPr>
              <w:pStyle w:val="CETBodytext"/>
              <w:ind w:right="-1"/>
              <w:rPr>
                <w:rFonts w:cs="Arial"/>
                <w:szCs w:val="18"/>
                <w:lang w:val="en-GB"/>
              </w:rPr>
            </w:pPr>
            <w:r w:rsidRPr="00AC3324">
              <w:rPr>
                <w:lang w:val="en-GB"/>
              </w:rPr>
              <w:t>2.78</w:t>
            </w:r>
          </w:p>
        </w:tc>
        <w:tc>
          <w:tcPr>
            <w:tcW w:w="867" w:type="dxa"/>
            <w:shd w:val="clear" w:color="auto" w:fill="FFFFFF"/>
          </w:tcPr>
          <w:p w14:paraId="6B9056EA" w14:textId="75CE6CD5" w:rsidR="00BB2682" w:rsidRPr="00AC3324" w:rsidRDefault="00BB2682" w:rsidP="00BB2682">
            <w:pPr>
              <w:pStyle w:val="CETBodytext"/>
              <w:ind w:right="-1"/>
              <w:rPr>
                <w:rFonts w:cs="Arial"/>
                <w:szCs w:val="18"/>
                <w:lang w:val="en-GB"/>
              </w:rPr>
            </w:pPr>
            <w:r w:rsidRPr="00AC3324">
              <w:rPr>
                <w:lang w:val="en-GB"/>
              </w:rPr>
              <w:t>2.80</w:t>
            </w:r>
          </w:p>
        </w:tc>
        <w:tc>
          <w:tcPr>
            <w:tcW w:w="708" w:type="dxa"/>
            <w:shd w:val="clear" w:color="auto" w:fill="FFFFFF"/>
          </w:tcPr>
          <w:p w14:paraId="1B632CBF" w14:textId="0B322915" w:rsidR="00BB2682" w:rsidRPr="00AC3324" w:rsidRDefault="00BB2682" w:rsidP="00BB2682">
            <w:pPr>
              <w:pStyle w:val="CETBodytext"/>
              <w:ind w:right="-1"/>
              <w:rPr>
                <w:rFonts w:cs="Arial"/>
                <w:szCs w:val="18"/>
                <w:lang w:val="en-GB"/>
              </w:rPr>
            </w:pPr>
            <w:r w:rsidRPr="00AC3324">
              <w:rPr>
                <w:lang w:val="en-GB"/>
              </w:rPr>
              <w:t>1.12</w:t>
            </w:r>
          </w:p>
        </w:tc>
        <w:tc>
          <w:tcPr>
            <w:tcW w:w="708" w:type="dxa"/>
            <w:shd w:val="clear" w:color="auto" w:fill="FFFFFF"/>
          </w:tcPr>
          <w:p w14:paraId="46B857DB" w14:textId="67CE1F35" w:rsidR="00BB2682" w:rsidRPr="00AC3324" w:rsidRDefault="00BB2682" w:rsidP="00BB2682">
            <w:pPr>
              <w:pStyle w:val="CETBodytext"/>
              <w:ind w:right="-1"/>
              <w:rPr>
                <w:rFonts w:cs="Arial"/>
                <w:szCs w:val="18"/>
                <w:lang w:val="en-GB"/>
              </w:rPr>
            </w:pPr>
            <w:r w:rsidRPr="00AC3324">
              <w:rPr>
                <w:lang w:val="en-GB"/>
              </w:rPr>
              <w:t>1.9</w:t>
            </w:r>
            <w:r w:rsidR="00645ED2" w:rsidRPr="00AC3324">
              <w:rPr>
                <w:lang w:val="en-GB"/>
              </w:rPr>
              <w:t>3</w:t>
            </w:r>
          </w:p>
        </w:tc>
        <w:tc>
          <w:tcPr>
            <w:tcW w:w="708" w:type="dxa"/>
            <w:shd w:val="clear" w:color="auto" w:fill="FFFFFF"/>
          </w:tcPr>
          <w:p w14:paraId="75AEE21D" w14:textId="361CC78C" w:rsidR="00BB2682" w:rsidRPr="00AC3324" w:rsidRDefault="00BB2682" w:rsidP="00BB2682">
            <w:pPr>
              <w:pStyle w:val="CETBodytext"/>
              <w:ind w:right="-1"/>
              <w:rPr>
                <w:rFonts w:cs="Arial"/>
                <w:szCs w:val="18"/>
                <w:lang w:val="en-GB"/>
              </w:rPr>
            </w:pPr>
            <w:r w:rsidRPr="00AC3324">
              <w:rPr>
                <w:lang w:val="en-GB"/>
              </w:rPr>
              <w:t>0.00</w:t>
            </w:r>
          </w:p>
        </w:tc>
        <w:tc>
          <w:tcPr>
            <w:tcW w:w="708" w:type="dxa"/>
            <w:shd w:val="clear" w:color="auto" w:fill="FFFFFF"/>
          </w:tcPr>
          <w:p w14:paraId="51255FEE" w14:textId="09201776" w:rsidR="00BB2682" w:rsidRPr="00AC3324" w:rsidRDefault="00BB2682" w:rsidP="00BB2682">
            <w:pPr>
              <w:pStyle w:val="CETBodytext"/>
              <w:ind w:right="-1"/>
              <w:rPr>
                <w:rFonts w:cs="Arial"/>
                <w:szCs w:val="18"/>
                <w:lang w:val="en-GB"/>
              </w:rPr>
            </w:pPr>
            <w:r w:rsidRPr="00AC3324">
              <w:rPr>
                <w:lang w:val="en-GB"/>
              </w:rPr>
              <w:t>1.63</w:t>
            </w:r>
          </w:p>
        </w:tc>
        <w:tc>
          <w:tcPr>
            <w:tcW w:w="708" w:type="dxa"/>
            <w:shd w:val="clear" w:color="auto" w:fill="FFFFFF"/>
          </w:tcPr>
          <w:p w14:paraId="21DE0ECC" w14:textId="2F30B5ED" w:rsidR="00BB2682" w:rsidRPr="00AC3324" w:rsidRDefault="00BB2682" w:rsidP="00BB2682">
            <w:pPr>
              <w:pStyle w:val="CETBodytext"/>
              <w:ind w:right="-1"/>
              <w:rPr>
                <w:rFonts w:cs="Arial"/>
                <w:szCs w:val="18"/>
                <w:lang w:val="en-GB"/>
              </w:rPr>
            </w:pPr>
            <w:r w:rsidRPr="00AC3324">
              <w:rPr>
                <w:lang w:val="en-GB"/>
              </w:rPr>
              <w:t>1.27</w:t>
            </w:r>
          </w:p>
        </w:tc>
        <w:tc>
          <w:tcPr>
            <w:tcW w:w="708" w:type="dxa"/>
            <w:shd w:val="clear" w:color="auto" w:fill="FFFFFF"/>
          </w:tcPr>
          <w:p w14:paraId="5EEA59B6" w14:textId="7AC01771" w:rsidR="00BB2682" w:rsidRPr="00AC3324" w:rsidRDefault="00BB2682" w:rsidP="00BB2682">
            <w:pPr>
              <w:pStyle w:val="CETBodytext"/>
              <w:ind w:right="-1"/>
              <w:rPr>
                <w:rFonts w:cs="Arial"/>
                <w:szCs w:val="18"/>
                <w:lang w:val="en-GB"/>
              </w:rPr>
            </w:pPr>
            <w:r w:rsidRPr="00AC3324">
              <w:rPr>
                <w:lang w:val="en-GB"/>
              </w:rPr>
              <w:t>0.83</w:t>
            </w:r>
          </w:p>
        </w:tc>
        <w:tc>
          <w:tcPr>
            <w:tcW w:w="708" w:type="dxa"/>
            <w:shd w:val="clear" w:color="auto" w:fill="FFFFFF"/>
          </w:tcPr>
          <w:p w14:paraId="5F807E65" w14:textId="36503BCB" w:rsidR="00BB2682" w:rsidRPr="00AC3324" w:rsidRDefault="00BB2682" w:rsidP="00BB2682">
            <w:pPr>
              <w:pStyle w:val="CETBodytext"/>
              <w:ind w:right="-1"/>
              <w:rPr>
                <w:rFonts w:cs="Arial"/>
                <w:szCs w:val="18"/>
                <w:lang w:val="en-GB"/>
              </w:rPr>
            </w:pPr>
            <w:r w:rsidRPr="00AC3324">
              <w:rPr>
                <w:lang w:val="en-GB"/>
              </w:rPr>
              <w:t>0.37</w:t>
            </w:r>
          </w:p>
        </w:tc>
      </w:tr>
    </w:tbl>
    <w:p w14:paraId="7E69F418" w14:textId="1B5722F0" w:rsidR="000269F9" w:rsidRPr="00AC3324" w:rsidRDefault="00BB06D9" w:rsidP="00070280">
      <w:pPr>
        <w:pStyle w:val="CETheadingx"/>
        <w:rPr>
          <w:lang w:val="en-GB"/>
        </w:rPr>
      </w:pPr>
      <w:r w:rsidRPr="00AC3324">
        <w:rPr>
          <w:lang w:val="en-GB"/>
        </w:rPr>
        <w:t>M</w:t>
      </w:r>
      <w:r w:rsidR="00466E9A" w:rsidRPr="00AC3324">
        <w:rPr>
          <w:lang w:val="en-GB"/>
        </w:rPr>
        <w:t>ass and energy balance</w:t>
      </w:r>
      <w:r w:rsidRPr="00AC3324">
        <w:rPr>
          <w:lang w:val="en-GB"/>
        </w:rPr>
        <w:t>s</w:t>
      </w:r>
    </w:p>
    <w:p w14:paraId="4BDB6C46" w14:textId="3791ACFE" w:rsidR="00B17029" w:rsidRPr="00AC3324" w:rsidRDefault="007E1CDC" w:rsidP="000269F9">
      <w:pPr>
        <w:pStyle w:val="CETBodytext"/>
        <w:rPr>
          <w:lang w:val="en-GB"/>
        </w:rPr>
      </w:pPr>
      <w:r w:rsidRPr="00AC3324">
        <w:rPr>
          <w:lang w:val="en-GB"/>
        </w:rPr>
        <w:t>Fresh biomass contains a high moisture content. The drying process reduces the moisture content of the biomass from 50 % to 15 %: around 40 % of the supplied mass is lost in the form of steam (</w:t>
      </w:r>
      <w:r w:rsidRPr="00AC3324">
        <w:rPr>
          <w:lang w:val="en-GB"/>
        </w:rPr>
        <w:fldChar w:fldCharType="begin"/>
      </w:r>
      <w:r w:rsidRPr="00AC3324">
        <w:rPr>
          <w:lang w:val="en-GB"/>
        </w:rPr>
        <w:instrText xml:space="preserve"> REF _Ref157418772 \h </w:instrText>
      </w:r>
      <w:r w:rsidR="000977E1" w:rsidRPr="00AC3324">
        <w:rPr>
          <w:lang w:val="en-GB"/>
        </w:rPr>
        <w:instrText xml:space="preserve"> \* MERGEFORMAT </w:instrText>
      </w:r>
      <w:r w:rsidRPr="00AC3324">
        <w:rPr>
          <w:lang w:val="en-GB"/>
        </w:rPr>
      </w:r>
      <w:r w:rsidRPr="00AC3324">
        <w:rPr>
          <w:lang w:val="en-GB"/>
        </w:rPr>
        <w:fldChar w:fldCharType="separate"/>
      </w:r>
      <w:r w:rsidR="005C60C5" w:rsidRPr="005C60C5">
        <w:rPr>
          <w:lang w:val="en-GB"/>
        </w:rPr>
        <w:t xml:space="preserve">Figure </w:t>
      </w:r>
      <w:r w:rsidR="005C60C5" w:rsidRPr="005C60C5">
        <w:rPr>
          <w:noProof/>
          <w:lang w:val="en-GB"/>
        </w:rPr>
        <w:t>2</w:t>
      </w:r>
      <w:r w:rsidRPr="00AC3324">
        <w:rPr>
          <w:lang w:val="en-GB"/>
        </w:rPr>
        <w:fldChar w:fldCharType="end"/>
      </w:r>
      <w:r w:rsidRPr="00AC3324">
        <w:rPr>
          <w:lang w:val="en-GB"/>
        </w:rPr>
        <w:t xml:space="preserve">a). </w:t>
      </w:r>
      <w:r w:rsidR="00A23A84">
        <w:rPr>
          <w:lang w:val="en-GB"/>
        </w:rPr>
        <w:t>0.</w:t>
      </w:r>
      <w:r w:rsidRPr="00AC3324">
        <w:rPr>
          <w:lang w:val="en-GB"/>
        </w:rPr>
        <w:t>30 MW, i.e. 65 % of the dryer's energy consumption of 0.46 MW, is used to evaporate the moisture. 30 % is released into the environment due to thermal losses. The remaining 5 %, which corresponds to 0.02 MW, is transferred to the biomass in the form of sensible heat. The share of sensible energy of the biomass (which comes out of the dryer at a temperature of 100 °C) corresponds to less than 1 % of the total energy of the biomass, which consists of more than 99 % chemical energy (</w:t>
      </w:r>
      <w:r w:rsidRPr="00AC3324">
        <w:rPr>
          <w:lang w:val="en-GB"/>
        </w:rPr>
        <w:fldChar w:fldCharType="begin"/>
      </w:r>
      <w:r w:rsidRPr="00AC3324">
        <w:rPr>
          <w:lang w:val="en-GB"/>
        </w:rPr>
        <w:instrText xml:space="preserve"> REF _Ref157418772 \h </w:instrText>
      </w:r>
      <w:r w:rsidR="000977E1" w:rsidRPr="00AC3324">
        <w:rPr>
          <w:lang w:val="en-GB"/>
        </w:rPr>
        <w:instrText xml:space="preserve"> \* MERGEFORMAT </w:instrText>
      </w:r>
      <w:r w:rsidRPr="00AC3324">
        <w:rPr>
          <w:lang w:val="en-GB"/>
        </w:rPr>
      </w:r>
      <w:r w:rsidRPr="00AC3324">
        <w:rPr>
          <w:lang w:val="en-GB"/>
        </w:rPr>
        <w:fldChar w:fldCharType="separate"/>
      </w:r>
      <w:r w:rsidR="005C60C5" w:rsidRPr="005C60C5">
        <w:rPr>
          <w:lang w:val="en-GB"/>
        </w:rPr>
        <w:t xml:space="preserve">Figure </w:t>
      </w:r>
      <w:r w:rsidR="005C60C5" w:rsidRPr="005C60C5">
        <w:rPr>
          <w:noProof/>
          <w:lang w:val="en-GB"/>
        </w:rPr>
        <w:t>2</w:t>
      </w:r>
      <w:r w:rsidRPr="00AC3324">
        <w:rPr>
          <w:lang w:val="en-GB"/>
        </w:rPr>
        <w:fldChar w:fldCharType="end"/>
      </w:r>
      <w:r w:rsidRPr="00AC3324">
        <w:rPr>
          <w:lang w:val="en-GB"/>
        </w:rPr>
        <w:t>b).</w:t>
      </w:r>
    </w:p>
    <w:p w14:paraId="4CEE5C9C" w14:textId="74144FD8" w:rsidR="0003574A" w:rsidRPr="00AC3324" w:rsidRDefault="009C408B" w:rsidP="000269F9">
      <w:pPr>
        <w:pStyle w:val="CETBodytext"/>
        <w:rPr>
          <w:lang w:val="en-GB"/>
        </w:rPr>
      </w:pPr>
      <w:r w:rsidRPr="00AC3324">
        <w:rPr>
          <w:lang w:val="en-GB"/>
        </w:rPr>
        <w:t>In the pyrolyser, the biomass is converted into biochar and pyrogas (</w:t>
      </w:r>
      <w:r w:rsidRPr="00AC3324">
        <w:rPr>
          <w:lang w:val="en-GB"/>
        </w:rPr>
        <w:fldChar w:fldCharType="begin"/>
      </w:r>
      <w:r w:rsidRPr="00AC3324">
        <w:rPr>
          <w:lang w:val="en-GB"/>
        </w:rPr>
        <w:instrText xml:space="preserve"> REF _Ref157438886 \h </w:instrText>
      </w:r>
      <w:r w:rsidR="000977E1" w:rsidRPr="00AC3324">
        <w:rPr>
          <w:lang w:val="en-GB"/>
        </w:rPr>
        <w:instrText xml:space="preserve"> \* MERGEFORMAT </w:instrText>
      </w:r>
      <w:r w:rsidRPr="00AC3324">
        <w:rPr>
          <w:lang w:val="en-GB"/>
        </w:rPr>
      </w:r>
      <w:r w:rsidRPr="00AC3324">
        <w:rPr>
          <w:lang w:val="en-GB"/>
        </w:rPr>
        <w:fldChar w:fldCharType="separate"/>
      </w:r>
      <w:r w:rsidR="005C60C5" w:rsidRPr="005C60C5">
        <w:rPr>
          <w:lang w:val="en-GB"/>
        </w:rPr>
        <w:t xml:space="preserve">Figure </w:t>
      </w:r>
      <w:r w:rsidR="005C60C5" w:rsidRPr="005C60C5">
        <w:rPr>
          <w:noProof/>
          <w:lang w:val="en-GB"/>
        </w:rPr>
        <w:t>3</w:t>
      </w:r>
      <w:r w:rsidRPr="00AC3324">
        <w:rPr>
          <w:lang w:val="en-GB"/>
        </w:rPr>
        <w:fldChar w:fldCharType="end"/>
      </w:r>
      <w:r w:rsidRPr="00AC3324">
        <w:rPr>
          <w:lang w:val="en-GB"/>
        </w:rPr>
        <w:t xml:space="preserve">a). It should be noted that the pyrogas flow shown in the figure also includes the residual moisture of the biomass (88 kg/h). On a dry basis, 24 % of the input is converted into biochar, the rest into pyrogas. </w:t>
      </w:r>
      <w:r w:rsidRPr="00AC3324">
        <w:rPr>
          <w:lang w:val="en-GB"/>
        </w:rPr>
        <w:fldChar w:fldCharType="begin"/>
      </w:r>
      <w:r w:rsidRPr="00AC3324">
        <w:rPr>
          <w:lang w:val="en-GB"/>
        </w:rPr>
        <w:instrText xml:space="preserve"> REF _Ref157438886 \h </w:instrText>
      </w:r>
      <w:r w:rsidR="000977E1" w:rsidRPr="00AC3324">
        <w:rPr>
          <w:lang w:val="en-GB"/>
        </w:rPr>
        <w:instrText xml:space="preserve"> \* MERGEFORMAT </w:instrText>
      </w:r>
      <w:r w:rsidRPr="00AC3324">
        <w:rPr>
          <w:lang w:val="en-GB"/>
        </w:rPr>
      </w:r>
      <w:r w:rsidRPr="00AC3324">
        <w:rPr>
          <w:lang w:val="en-GB"/>
        </w:rPr>
        <w:fldChar w:fldCharType="separate"/>
      </w:r>
      <w:r w:rsidR="005C60C5" w:rsidRPr="005C60C5">
        <w:rPr>
          <w:lang w:val="en-GB"/>
        </w:rPr>
        <w:t xml:space="preserve">Figure </w:t>
      </w:r>
      <w:r w:rsidR="005C60C5" w:rsidRPr="005C60C5">
        <w:rPr>
          <w:noProof/>
          <w:lang w:val="en-GB"/>
        </w:rPr>
        <w:t>3</w:t>
      </w:r>
      <w:r w:rsidRPr="00AC3324">
        <w:rPr>
          <w:lang w:val="en-GB"/>
        </w:rPr>
        <w:fldChar w:fldCharType="end"/>
      </w:r>
      <w:r w:rsidRPr="00AC3324">
        <w:rPr>
          <w:lang w:val="en-GB"/>
        </w:rPr>
        <w:t>b shows the energy balance for this component. As the pyrolysis process is endothermic, it requires energy input. 33 % of the energy input is dissipated into the environment through thermal losses. The net energy input into the reactor is equal to the energy contained in the biomass supplied plus the energy supplied minus the thermal losses. Of this energy, 35 % is contained in the biochar and the remaining 65 % in the pyrogas.</w:t>
      </w:r>
      <w:r w:rsidR="00F224B6" w:rsidRPr="00AC3324">
        <w:rPr>
          <w:lang w:val="en-GB"/>
        </w:rPr>
        <w:t xml:space="preserve">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16"/>
        <w:gridCol w:w="5171"/>
      </w:tblGrid>
      <w:tr w:rsidR="00466E9A" w:rsidRPr="00AC3324" w14:paraId="36D3E19B" w14:textId="77777777" w:rsidTr="00820202">
        <w:tc>
          <w:tcPr>
            <w:tcW w:w="3616" w:type="dxa"/>
            <w:vAlign w:val="bottom"/>
          </w:tcPr>
          <w:p w14:paraId="05C6FFB4" w14:textId="77777777" w:rsidR="00466E9A" w:rsidRPr="00AC3324" w:rsidRDefault="00466E9A" w:rsidP="00820202">
            <w:pPr>
              <w:pStyle w:val="CETBodytext"/>
              <w:jc w:val="center"/>
              <w:rPr>
                <w:sz w:val="14"/>
                <w:szCs w:val="16"/>
                <w:lang w:val="en-GB"/>
              </w:rPr>
            </w:pPr>
            <w:r w:rsidRPr="00AC3324">
              <w:rPr>
                <w:noProof/>
                <w:sz w:val="14"/>
                <w:szCs w:val="16"/>
                <w:lang w:val="en-GB"/>
              </w:rPr>
              <w:lastRenderedPageBreak/>
              <w:drawing>
                <wp:inline distT="0" distB="0" distL="0" distR="0" wp14:anchorId="3B6FAA3B" wp14:editId="35CC2700">
                  <wp:extent cx="2293200" cy="1364400"/>
                  <wp:effectExtent l="0" t="0" r="0" b="7620"/>
                  <wp:docPr id="1181804113" name="Immagine 3" descr="Immagine che contiene testo, schermata, Carattere,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04113" name="Immagine 3" descr="Immagine che contiene testo, schermata, Carattere, Rettangolo&#10;&#10;Descrizione generata automa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955" t="7118" r="5189" b="9338"/>
                          <a:stretch/>
                        </pic:blipFill>
                        <pic:spPr bwMode="auto">
                          <a:xfrm>
                            <a:off x="0" y="0"/>
                            <a:ext cx="2293200" cy="1364400"/>
                          </a:xfrm>
                          <a:prstGeom prst="rect">
                            <a:avLst/>
                          </a:prstGeom>
                          <a:noFill/>
                          <a:ln>
                            <a:noFill/>
                          </a:ln>
                          <a:extLst>
                            <a:ext uri="{53640926-AAD7-44D8-BBD7-CCE9431645EC}">
                              <a14:shadowObscured xmlns:a14="http://schemas.microsoft.com/office/drawing/2010/main"/>
                            </a:ext>
                          </a:extLst>
                        </pic:spPr>
                      </pic:pic>
                    </a:graphicData>
                  </a:graphic>
                </wp:inline>
              </w:drawing>
            </w:r>
          </w:p>
          <w:p w14:paraId="252D86B7" w14:textId="69A5AA7E" w:rsidR="00466E9A" w:rsidRPr="00AC3324" w:rsidRDefault="00466E9A" w:rsidP="00820202">
            <w:pPr>
              <w:pStyle w:val="CETBodytext"/>
              <w:jc w:val="center"/>
              <w:rPr>
                <w:sz w:val="14"/>
                <w:szCs w:val="16"/>
                <w:lang w:val="en-GB"/>
              </w:rPr>
            </w:pPr>
            <w:r w:rsidRPr="00AC3324">
              <w:rPr>
                <w:sz w:val="14"/>
                <w:szCs w:val="16"/>
                <w:lang w:val="en-GB"/>
              </w:rPr>
              <w:t>(a)</w:t>
            </w:r>
          </w:p>
        </w:tc>
        <w:tc>
          <w:tcPr>
            <w:tcW w:w="5171" w:type="dxa"/>
            <w:vAlign w:val="bottom"/>
          </w:tcPr>
          <w:p w14:paraId="442F9421" w14:textId="77777777" w:rsidR="00466E9A" w:rsidRPr="00AC3324" w:rsidRDefault="00466E9A" w:rsidP="00820202">
            <w:pPr>
              <w:pStyle w:val="CETBodytext"/>
              <w:jc w:val="center"/>
              <w:rPr>
                <w:sz w:val="14"/>
                <w:szCs w:val="16"/>
                <w:lang w:val="en-GB"/>
              </w:rPr>
            </w:pPr>
            <w:r w:rsidRPr="00AC3324">
              <w:rPr>
                <w:noProof/>
                <w:sz w:val="14"/>
                <w:szCs w:val="16"/>
                <w:lang w:val="en-GB"/>
              </w:rPr>
              <w:drawing>
                <wp:inline distT="0" distB="0" distL="0" distR="0" wp14:anchorId="182E5B7B" wp14:editId="74010D01">
                  <wp:extent cx="3283200" cy="1364400"/>
                  <wp:effectExtent l="0" t="0" r="0" b="7620"/>
                  <wp:docPr id="1890688076" name="Immagine 5" descr="Immagine che contiene testo, schermata, Carattere,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88076" name="Immagine 5" descr="Immagine che contiene testo, schermata, Carattere, software&#10;&#10;Descrizione generata automaticamente"/>
                          <pic:cNvPicPr>
                            <a:picLocks noChangeAspect="1" noChangeArrowheads="1"/>
                          </pic:cNvPicPr>
                        </pic:nvPicPr>
                        <pic:blipFill rotWithShape="1">
                          <a:blip r:embed="rId13">
                            <a:extLst>
                              <a:ext uri="{28A0092B-C50C-407E-A947-70E740481C1C}">
                                <a14:useLocalDpi xmlns:a14="http://schemas.microsoft.com/office/drawing/2010/main" val="0"/>
                              </a:ext>
                            </a:extLst>
                          </a:blip>
                          <a:srcRect l="523" t="7167" b="9378"/>
                          <a:stretch/>
                        </pic:blipFill>
                        <pic:spPr bwMode="auto">
                          <a:xfrm>
                            <a:off x="0" y="0"/>
                            <a:ext cx="3283200" cy="1364400"/>
                          </a:xfrm>
                          <a:prstGeom prst="rect">
                            <a:avLst/>
                          </a:prstGeom>
                          <a:noFill/>
                          <a:ln>
                            <a:noFill/>
                          </a:ln>
                          <a:extLst>
                            <a:ext uri="{53640926-AAD7-44D8-BBD7-CCE9431645EC}">
                              <a14:shadowObscured xmlns:a14="http://schemas.microsoft.com/office/drawing/2010/main"/>
                            </a:ext>
                          </a:extLst>
                        </pic:spPr>
                      </pic:pic>
                    </a:graphicData>
                  </a:graphic>
                </wp:inline>
              </w:drawing>
            </w:r>
          </w:p>
          <w:p w14:paraId="5E95E089" w14:textId="3F075CB2" w:rsidR="00466E9A" w:rsidRPr="00AC3324" w:rsidRDefault="00466E9A" w:rsidP="00820202">
            <w:pPr>
              <w:pStyle w:val="CETBodytext"/>
              <w:keepNext/>
              <w:jc w:val="center"/>
              <w:rPr>
                <w:sz w:val="14"/>
                <w:szCs w:val="16"/>
                <w:lang w:val="en-GB"/>
              </w:rPr>
            </w:pPr>
            <w:r w:rsidRPr="00AC3324">
              <w:rPr>
                <w:sz w:val="14"/>
                <w:szCs w:val="16"/>
                <w:lang w:val="en-GB"/>
              </w:rPr>
              <w:t>(b)</w:t>
            </w:r>
          </w:p>
        </w:tc>
      </w:tr>
    </w:tbl>
    <w:p w14:paraId="5BB33BA6" w14:textId="5F9F34BC" w:rsidR="00784056" w:rsidRPr="00AC3324" w:rsidRDefault="00F50C75" w:rsidP="00F50C75">
      <w:pPr>
        <w:pStyle w:val="CETCaption"/>
      </w:pPr>
      <w:bookmarkStart w:id="3" w:name="_Ref157418772"/>
      <w:r w:rsidRPr="00AC3324">
        <w:t xml:space="preserve">Figure </w:t>
      </w:r>
      <w:r w:rsidRPr="00AC3324">
        <w:fldChar w:fldCharType="begin"/>
      </w:r>
      <w:r w:rsidRPr="00AC3324">
        <w:instrText xml:space="preserve"> SEQ Figure \* ARABIC </w:instrText>
      </w:r>
      <w:r w:rsidRPr="00AC3324">
        <w:fldChar w:fldCharType="separate"/>
      </w:r>
      <w:r w:rsidR="005C60C5">
        <w:rPr>
          <w:noProof/>
        </w:rPr>
        <w:t>2</w:t>
      </w:r>
      <w:r w:rsidRPr="00AC3324">
        <w:fldChar w:fldCharType="end"/>
      </w:r>
      <w:bookmarkEnd w:id="3"/>
      <w:r w:rsidRPr="00AC3324">
        <w:t xml:space="preserve">. </w:t>
      </w:r>
      <w:r w:rsidR="00F6222C" w:rsidRPr="00AC3324">
        <w:t>Dryer mass (a) and energy (b) balance.</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03"/>
        <w:gridCol w:w="5184"/>
      </w:tblGrid>
      <w:tr w:rsidR="00466E9A" w:rsidRPr="00AC3324" w14:paraId="24358B12" w14:textId="77777777" w:rsidTr="004576C6">
        <w:tc>
          <w:tcPr>
            <w:tcW w:w="3606" w:type="dxa"/>
            <w:vAlign w:val="bottom"/>
          </w:tcPr>
          <w:p w14:paraId="24926AD9" w14:textId="47290639" w:rsidR="00466E9A" w:rsidRPr="00AC3324" w:rsidRDefault="00EB0B7B" w:rsidP="00820202">
            <w:pPr>
              <w:pStyle w:val="CETBodytext"/>
              <w:jc w:val="center"/>
              <w:rPr>
                <w:sz w:val="14"/>
                <w:szCs w:val="16"/>
                <w:lang w:val="en-GB"/>
              </w:rPr>
            </w:pPr>
            <w:r w:rsidRPr="00AC3324">
              <w:rPr>
                <w:noProof/>
                <w:sz w:val="14"/>
                <w:szCs w:val="16"/>
                <w:lang w:val="en-GB"/>
              </w:rPr>
              <w:drawing>
                <wp:inline distT="0" distB="0" distL="0" distR="0" wp14:anchorId="48CD3288" wp14:editId="4C073B0E">
                  <wp:extent cx="2296800" cy="1364400"/>
                  <wp:effectExtent l="0" t="0" r="0" b="7620"/>
                  <wp:docPr id="13483772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6759" b="9786"/>
                          <a:stretch/>
                        </pic:blipFill>
                        <pic:spPr bwMode="auto">
                          <a:xfrm>
                            <a:off x="0" y="0"/>
                            <a:ext cx="2296800" cy="1364400"/>
                          </a:xfrm>
                          <a:prstGeom prst="rect">
                            <a:avLst/>
                          </a:prstGeom>
                          <a:noFill/>
                          <a:ln>
                            <a:noFill/>
                          </a:ln>
                          <a:extLst>
                            <a:ext uri="{53640926-AAD7-44D8-BBD7-CCE9431645EC}">
                              <a14:shadowObscured xmlns:a14="http://schemas.microsoft.com/office/drawing/2010/main"/>
                            </a:ext>
                          </a:extLst>
                        </pic:spPr>
                      </pic:pic>
                    </a:graphicData>
                  </a:graphic>
                </wp:inline>
              </w:drawing>
            </w:r>
          </w:p>
          <w:p w14:paraId="2019D369" w14:textId="77777777" w:rsidR="00466E9A" w:rsidRPr="00AC3324" w:rsidRDefault="00466E9A" w:rsidP="00820202">
            <w:pPr>
              <w:pStyle w:val="CETBodytext"/>
              <w:jc w:val="center"/>
              <w:rPr>
                <w:sz w:val="14"/>
                <w:szCs w:val="16"/>
                <w:lang w:val="en-GB"/>
              </w:rPr>
            </w:pPr>
            <w:r w:rsidRPr="00AC3324">
              <w:rPr>
                <w:sz w:val="14"/>
                <w:szCs w:val="16"/>
                <w:lang w:val="en-GB"/>
              </w:rPr>
              <w:t>(a)</w:t>
            </w:r>
          </w:p>
        </w:tc>
        <w:tc>
          <w:tcPr>
            <w:tcW w:w="5181" w:type="dxa"/>
            <w:vAlign w:val="bottom"/>
          </w:tcPr>
          <w:p w14:paraId="19D02F0D" w14:textId="720EC629" w:rsidR="00466E9A" w:rsidRPr="00AC3324" w:rsidRDefault="008E7136" w:rsidP="00820202">
            <w:pPr>
              <w:pStyle w:val="CETBodytext"/>
              <w:jc w:val="center"/>
              <w:rPr>
                <w:sz w:val="14"/>
                <w:szCs w:val="16"/>
                <w:lang w:val="en-GB"/>
              </w:rPr>
            </w:pPr>
            <w:r w:rsidRPr="00AC3324">
              <w:rPr>
                <w:noProof/>
                <w:sz w:val="14"/>
                <w:szCs w:val="16"/>
                <w:lang w:val="en-GB"/>
              </w:rPr>
              <w:drawing>
                <wp:inline distT="0" distB="0" distL="0" distR="0" wp14:anchorId="6260226D" wp14:editId="4C7168BE">
                  <wp:extent cx="3304800" cy="1364400"/>
                  <wp:effectExtent l="0" t="0" r="0" b="7620"/>
                  <wp:docPr id="36599136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6758" b="9789"/>
                          <a:stretch/>
                        </pic:blipFill>
                        <pic:spPr bwMode="auto">
                          <a:xfrm>
                            <a:off x="0" y="0"/>
                            <a:ext cx="3304800" cy="1364400"/>
                          </a:xfrm>
                          <a:prstGeom prst="rect">
                            <a:avLst/>
                          </a:prstGeom>
                          <a:noFill/>
                          <a:ln>
                            <a:noFill/>
                          </a:ln>
                          <a:extLst>
                            <a:ext uri="{53640926-AAD7-44D8-BBD7-CCE9431645EC}">
                              <a14:shadowObscured xmlns:a14="http://schemas.microsoft.com/office/drawing/2010/main"/>
                            </a:ext>
                          </a:extLst>
                        </pic:spPr>
                      </pic:pic>
                    </a:graphicData>
                  </a:graphic>
                </wp:inline>
              </w:drawing>
            </w:r>
          </w:p>
          <w:p w14:paraId="62A9B946" w14:textId="77777777" w:rsidR="00466E9A" w:rsidRPr="00AC3324" w:rsidRDefault="00466E9A" w:rsidP="00820202">
            <w:pPr>
              <w:pStyle w:val="CETBodytext"/>
              <w:keepNext/>
              <w:jc w:val="center"/>
              <w:rPr>
                <w:sz w:val="14"/>
                <w:szCs w:val="16"/>
                <w:lang w:val="en-GB"/>
              </w:rPr>
            </w:pPr>
            <w:r w:rsidRPr="00AC3324">
              <w:rPr>
                <w:sz w:val="14"/>
                <w:szCs w:val="16"/>
                <w:lang w:val="en-GB"/>
              </w:rPr>
              <w:t>(b)</w:t>
            </w:r>
          </w:p>
        </w:tc>
      </w:tr>
    </w:tbl>
    <w:p w14:paraId="188CA435" w14:textId="32F80816" w:rsidR="00322E7C" w:rsidRPr="00AC3324" w:rsidRDefault="00F50C75" w:rsidP="00F50C75">
      <w:pPr>
        <w:pStyle w:val="CETCaption"/>
      </w:pPr>
      <w:bookmarkStart w:id="4" w:name="_Ref157438886"/>
      <w:r w:rsidRPr="00AC3324">
        <w:t xml:space="preserve">Figure </w:t>
      </w:r>
      <w:r w:rsidRPr="00AC3324">
        <w:fldChar w:fldCharType="begin"/>
      </w:r>
      <w:r w:rsidRPr="00AC3324">
        <w:instrText xml:space="preserve"> SEQ Figure \* ARABIC </w:instrText>
      </w:r>
      <w:r w:rsidRPr="00AC3324">
        <w:fldChar w:fldCharType="separate"/>
      </w:r>
      <w:r w:rsidR="005C60C5">
        <w:rPr>
          <w:noProof/>
        </w:rPr>
        <w:t>3</w:t>
      </w:r>
      <w:r w:rsidRPr="00AC3324">
        <w:fldChar w:fldCharType="end"/>
      </w:r>
      <w:bookmarkEnd w:id="4"/>
      <w:r w:rsidR="00F6222C" w:rsidRPr="00AC3324">
        <w:t xml:space="preserve">. </w:t>
      </w:r>
      <w:r w:rsidR="008D022B" w:rsidRPr="00AC3324">
        <w:t>Pyrolyser</w:t>
      </w:r>
      <w:r w:rsidR="00F6222C" w:rsidRPr="00AC3324">
        <w:t xml:space="preserve"> mass (a) and energy (b) balance.</w:t>
      </w:r>
    </w:p>
    <w:p w14:paraId="7FBE40C2" w14:textId="2C19F59E" w:rsidR="00AA44FE" w:rsidRPr="00AC3324" w:rsidRDefault="00AA44FE" w:rsidP="006B1D9F">
      <w:pPr>
        <w:pStyle w:val="CETBodytext"/>
        <w:rPr>
          <w:lang w:val="en-GB"/>
        </w:rPr>
      </w:pPr>
      <w:r w:rsidRPr="00AC3324">
        <w:rPr>
          <w:lang w:val="en-GB"/>
        </w:rPr>
        <w:fldChar w:fldCharType="begin"/>
      </w:r>
      <w:r w:rsidRPr="00AC3324">
        <w:rPr>
          <w:lang w:val="en-GB"/>
        </w:rPr>
        <w:instrText xml:space="preserve"> REF _Ref157442228 \h </w:instrText>
      </w:r>
      <w:r w:rsidR="000977E1" w:rsidRPr="00AC3324">
        <w:rPr>
          <w:lang w:val="en-GB"/>
        </w:rPr>
        <w:instrText xml:space="preserve"> \* MERGEFORMAT </w:instrText>
      </w:r>
      <w:r w:rsidRPr="00AC3324">
        <w:rPr>
          <w:lang w:val="en-GB"/>
        </w:rPr>
      </w:r>
      <w:r w:rsidRPr="00AC3324">
        <w:rPr>
          <w:lang w:val="en-GB"/>
        </w:rPr>
        <w:fldChar w:fldCharType="separate"/>
      </w:r>
      <w:r w:rsidR="005C60C5" w:rsidRPr="005C60C5">
        <w:rPr>
          <w:lang w:val="en-GB"/>
        </w:rPr>
        <w:t xml:space="preserve">Figure </w:t>
      </w:r>
      <w:r w:rsidR="005C60C5" w:rsidRPr="005C60C5">
        <w:rPr>
          <w:noProof/>
          <w:lang w:val="en-GB"/>
        </w:rPr>
        <w:t>4</w:t>
      </w:r>
      <w:r w:rsidRPr="00AC3324">
        <w:rPr>
          <w:lang w:val="en-GB"/>
        </w:rPr>
        <w:fldChar w:fldCharType="end"/>
      </w:r>
      <w:r w:rsidRPr="00AC3324">
        <w:rPr>
          <w:lang w:val="en-GB"/>
        </w:rPr>
        <w:t>a shows the mass balance of the burner. The pyrogas enters the burner together with the combustion air, whereby an excess air of 140% of the stoichiometric air is assumed. The weight composition of the combustion gases consists of approximately 70% N</w:t>
      </w:r>
      <w:r w:rsidRPr="00AC3324">
        <w:rPr>
          <w:vertAlign w:val="subscript"/>
          <w:lang w:val="en-GB"/>
        </w:rPr>
        <w:t>2</w:t>
      </w:r>
      <w:r w:rsidRPr="00AC3324">
        <w:rPr>
          <w:lang w:val="en-GB"/>
        </w:rPr>
        <w:t>, 12% O</w:t>
      </w:r>
      <w:r w:rsidRPr="00AC3324">
        <w:rPr>
          <w:vertAlign w:val="subscript"/>
          <w:lang w:val="en-GB"/>
        </w:rPr>
        <w:t>2</w:t>
      </w:r>
      <w:r w:rsidRPr="00AC3324">
        <w:rPr>
          <w:lang w:val="en-GB"/>
        </w:rPr>
        <w:t xml:space="preserve"> (due to the excess air), 11% water vapour and 7% CO</w:t>
      </w:r>
      <w:r w:rsidRPr="00AC3324">
        <w:rPr>
          <w:vertAlign w:val="subscript"/>
          <w:lang w:val="en-GB"/>
        </w:rPr>
        <w:t>2</w:t>
      </w:r>
      <w:r w:rsidRPr="00AC3324">
        <w:rPr>
          <w:lang w:val="en-GB"/>
        </w:rPr>
        <w:t xml:space="preserve">. </w:t>
      </w:r>
      <w:r w:rsidRPr="00AC3324">
        <w:rPr>
          <w:lang w:val="en-GB"/>
        </w:rPr>
        <w:fldChar w:fldCharType="begin"/>
      </w:r>
      <w:r w:rsidRPr="00AC3324">
        <w:rPr>
          <w:lang w:val="en-GB"/>
        </w:rPr>
        <w:instrText xml:space="preserve"> REF _Ref157442228 \h </w:instrText>
      </w:r>
      <w:r w:rsidR="000977E1" w:rsidRPr="00AC3324">
        <w:rPr>
          <w:lang w:val="en-GB"/>
        </w:rPr>
        <w:instrText xml:space="preserve"> \* MERGEFORMAT </w:instrText>
      </w:r>
      <w:r w:rsidRPr="00AC3324">
        <w:rPr>
          <w:lang w:val="en-GB"/>
        </w:rPr>
      </w:r>
      <w:r w:rsidRPr="00AC3324">
        <w:rPr>
          <w:lang w:val="en-GB"/>
        </w:rPr>
        <w:fldChar w:fldCharType="separate"/>
      </w:r>
      <w:r w:rsidR="005C60C5" w:rsidRPr="005C60C5">
        <w:rPr>
          <w:lang w:val="en-GB"/>
        </w:rPr>
        <w:t xml:space="preserve">Figure </w:t>
      </w:r>
      <w:r w:rsidR="005C60C5" w:rsidRPr="005C60C5">
        <w:rPr>
          <w:noProof/>
          <w:lang w:val="en-GB"/>
        </w:rPr>
        <w:t>4</w:t>
      </w:r>
      <w:r w:rsidRPr="00AC3324">
        <w:rPr>
          <w:lang w:val="en-GB"/>
        </w:rPr>
        <w:fldChar w:fldCharType="end"/>
      </w:r>
      <w:r w:rsidRPr="00AC3324">
        <w:rPr>
          <w:lang w:val="en-GB"/>
        </w:rPr>
        <w:t>b shows the energy balance of the burner: The energy contained in the pyrogas is transferred to the burnt gases except for the losses (approx. 15%).</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50"/>
        <w:gridCol w:w="3837"/>
      </w:tblGrid>
      <w:tr w:rsidR="005D2099" w:rsidRPr="00AC3324" w14:paraId="605ACFD2" w14:textId="77777777" w:rsidTr="004576C6">
        <w:tc>
          <w:tcPr>
            <w:tcW w:w="4869" w:type="dxa"/>
            <w:vAlign w:val="bottom"/>
          </w:tcPr>
          <w:p w14:paraId="55E00289" w14:textId="236D7271" w:rsidR="005D2099" w:rsidRPr="00AC3324" w:rsidRDefault="00B51426" w:rsidP="00820202">
            <w:pPr>
              <w:pStyle w:val="CETBodytext"/>
              <w:jc w:val="center"/>
              <w:rPr>
                <w:sz w:val="14"/>
                <w:szCs w:val="16"/>
                <w:lang w:val="en-GB"/>
              </w:rPr>
            </w:pPr>
            <w:r w:rsidRPr="00AC3324">
              <w:rPr>
                <w:noProof/>
                <w:sz w:val="14"/>
                <w:szCs w:val="16"/>
                <w:lang w:val="en-GB"/>
              </w:rPr>
              <w:drawing>
                <wp:inline distT="0" distB="0" distL="0" distR="0" wp14:anchorId="6E95C065" wp14:editId="78DCAB5B">
                  <wp:extent cx="3143250" cy="1359990"/>
                  <wp:effectExtent l="0" t="0" r="0" b="0"/>
                  <wp:docPr id="177393072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4198" t="6743" r="1355" b="9968"/>
                          <a:stretch/>
                        </pic:blipFill>
                        <pic:spPr bwMode="auto">
                          <a:xfrm>
                            <a:off x="0" y="0"/>
                            <a:ext cx="3145123" cy="1360800"/>
                          </a:xfrm>
                          <a:prstGeom prst="rect">
                            <a:avLst/>
                          </a:prstGeom>
                          <a:noFill/>
                          <a:ln>
                            <a:noFill/>
                          </a:ln>
                          <a:extLst>
                            <a:ext uri="{53640926-AAD7-44D8-BBD7-CCE9431645EC}">
                              <a14:shadowObscured xmlns:a14="http://schemas.microsoft.com/office/drawing/2010/main"/>
                            </a:ext>
                          </a:extLst>
                        </pic:spPr>
                      </pic:pic>
                    </a:graphicData>
                  </a:graphic>
                </wp:inline>
              </w:drawing>
            </w:r>
          </w:p>
          <w:p w14:paraId="0DCE2B32" w14:textId="77777777" w:rsidR="005D2099" w:rsidRPr="00AC3324" w:rsidRDefault="005D2099" w:rsidP="00820202">
            <w:pPr>
              <w:pStyle w:val="CETBodytext"/>
              <w:jc w:val="center"/>
              <w:rPr>
                <w:sz w:val="14"/>
                <w:szCs w:val="16"/>
                <w:lang w:val="en-GB"/>
              </w:rPr>
            </w:pPr>
            <w:r w:rsidRPr="00AC3324">
              <w:rPr>
                <w:sz w:val="14"/>
                <w:szCs w:val="16"/>
                <w:lang w:val="en-GB"/>
              </w:rPr>
              <w:t>(a)</w:t>
            </w:r>
          </w:p>
        </w:tc>
        <w:tc>
          <w:tcPr>
            <w:tcW w:w="3918" w:type="dxa"/>
            <w:vAlign w:val="bottom"/>
          </w:tcPr>
          <w:p w14:paraId="395BE672" w14:textId="501316BD" w:rsidR="005D2099" w:rsidRPr="00AC3324" w:rsidRDefault="007608BC" w:rsidP="00820202">
            <w:pPr>
              <w:pStyle w:val="CETBodytext"/>
              <w:jc w:val="center"/>
              <w:rPr>
                <w:sz w:val="14"/>
                <w:szCs w:val="16"/>
                <w:lang w:val="en-GB"/>
              </w:rPr>
            </w:pPr>
            <w:r w:rsidRPr="00AC3324">
              <w:rPr>
                <w:noProof/>
                <w:sz w:val="14"/>
                <w:szCs w:val="16"/>
                <w:lang w:val="en-GB"/>
              </w:rPr>
              <w:drawing>
                <wp:inline distT="0" distB="0" distL="0" distR="0" wp14:anchorId="5AF85D58" wp14:editId="44A6BF57">
                  <wp:extent cx="2235600" cy="1364400"/>
                  <wp:effectExtent l="0" t="0" r="0" b="7620"/>
                  <wp:docPr id="199389252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t="6742" b="9964"/>
                          <a:stretch/>
                        </pic:blipFill>
                        <pic:spPr bwMode="auto">
                          <a:xfrm>
                            <a:off x="0" y="0"/>
                            <a:ext cx="2235600" cy="1364400"/>
                          </a:xfrm>
                          <a:prstGeom prst="rect">
                            <a:avLst/>
                          </a:prstGeom>
                          <a:noFill/>
                          <a:ln>
                            <a:noFill/>
                          </a:ln>
                          <a:extLst>
                            <a:ext uri="{53640926-AAD7-44D8-BBD7-CCE9431645EC}">
                              <a14:shadowObscured xmlns:a14="http://schemas.microsoft.com/office/drawing/2010/main"/>
                            </a:ext>
                          </a:extLst>
                        </pic:spPr>
                      </pic:pic>
                    </a:graphicData>
                  </a:graphic>
                </wp:inline>
              </w:drawing>
            </w:r>
          </w:p>
          <w:p w14:paraId="15A46F9E" w14:textId="77777777" w:rsidR="005D2099" w:rsidRPr="00AC3324" w:rsidRDefault="005D2099" w:rsidP="00820202">
            <w:pPr>
              <w:pStyle w:val="CETBodytext"/>
              <w:keepNext/>
              <w:jc w:val="center"/>
              <w:rPr>
                <w:sz w:val="14"/>
                <w:szCs w:val="16"/>
                <w:lang w:val="en-GB"/>
              </w:rPr>
            </w:pPr>
            <w:r w:rsidRPr="00AC3324">
              <w:rPr>
                <w:sz w:val="14"/>
                <w:szCs w:val="16"/>
                <w:lang w:val="en-GB"/>
              </w:rPr>
              <w:t>(b)</w:t>
            </w:r>
          </w:p>
        </w:tc>
      </w:tr>
    </w:tbl>
    <w:p w14:paraId="16E399D0" w14:textId="645CFC82" w:rsidR="005D2099" w:rsidRPr="00AC3324" w:rsidRDefault="00F50C75" w:rsidP="00F50C75">
      <w:pPr>
        <w:pStyle w:val="CETCaption"/>
      </w:pPr>
      <w:bookmarkStart w:id="5" w:name="_Ref157442228"/>
      <w:r w:rsidRPr="00AC3324">
        <w:t xml:space="preserve">Figure </w:t>
      </w:r>
      <w:r w:rsidRPr="00AC3324">
        <w:fldChar w:fldCharType="begin"/>
      </w:r>
      <w:r w:rsidRPr="00AC3324">
        <w:instrText xml:space="preserve"> SEQ Figure \* ARABIC </w:instrText>
      </w:r>
      <w:r w:rsidRPr="00AC3324">
        <w:fldChar w:fldCharType="separate"/>
      </w:r>
      <w:r w:rsidR="005C60C5">
        <w:rPr>
          <w:noProof/>
        </w:rPr>
        <w:t>4</w:t>
      </w:r>
      <w:r w:rsidRPr="00AC3324">
        <w:fldChar w:fldCharType="end"/>
      </w:r>
      <w:bookmarkEnd w:id="5"/>
      <w:r w:rsidRPr="00AC3324">
        <w:t xml:space="preserve">. </w:t>
      </w:r>
      <w:r w:rsidR="00F6222C" w:rsidRPr="00AC3324">
        <w:t xml:space="preserve">Burner mass (a) and energy (b) balance. </w:t>
      </w:r>
    </w:p>
    <w:p w14:paraId="34CC9E9F" w14:textId="2162A04E" w:rsidR="00871FAF" w:rsidRPr="00AC3324" w:rsidRDefault="00291374" w:rsidP="00C07272">
      <w:pPr>
        <w:pStyle w:val="CETBodytext"/>
        <w:rPr>
          <w:lang w:val="en-GB"/>
        </w:rPr>
      </w:pPr>
      <w:r w:rsidRPr="00AC3324">
        <w:rPr>
          <w:lang w:val="en-GB"/>
        </w:rPr>
        <w:fldChar w:fldCharType="begin"/>
      </w:r>
      <w:r w:rsidRPr="00AC3324">
        <w:rPr>
          <w:lang w:val="en-GB"/>
        </w:rPr>
        <w:instrText xml:space="preserve"> REF _Ref157436169 \h </w:instrText>
      </w:r>
      <w:r w:rsidR="000977E1" w:rsidRPr="00AC3324">
        <w:rPr>
          <w:lang w:val="en-GB"/>
        </w:rPr>
        <w:instrText xml:space="preserve"> \* MERGEFORMAT </w:instrText>
      </w:r>
      <w:r w:rsidRPr="00AC3324">
        <w:rPr>
          <w:lang w:val="en-GB"/>
        </w:rPr>
      </w:r>
      <w:r w:rsidRPr="00AC3324">
        <w:rPr>
          <w:lang w:val="en-GB"/>
        </w:rPr>
        <w:fldChar w:fldCharType="separate"/>
      </w:r>
      <w:r w:rsidR="005C60C5" w:rsidRPr="005C60C5">
        <w:rPr>
          <w:lang w:val="en-GB"/>
        </w:rPr>
        <w:t xml:space="preserve">Figure </w:t>
      </w:r>
      <w:r w:rsidR="005C60C5" w:rsidRPr="005C60C5">
        <w:rPr>
          <w:noProof/>
          <w:lang w:val="en-GB"/>
        </w:rPr>
        <w:t>5</w:t>
      </w:r>
      <w:r w:rsidRPr="00AC3324">
        <w:rPr>
          <w:lang w:val="en-GB"/>
        </w:rPr>
        <w:fldChar w:fldCharType="end"/>
      </w:r>
      <w:r w:rsidRPr="00AC3324">
        <w:rPr>
          <w:lang w:val="en-GB"/>
        </w:rPr>
        <w:t xml:space="preserve">a summarises the conversion of the biomass fed to the plant by highlighting the moisture loss during the drying process, the biochar production and the pyrogas production. The energy balance of the entire plant is summarised in </w:t>
      </w:r>
      <w:r w:rsidR="006948C3" w:rsidRPr="00AC3324">
        <w:rPr>
          <w:lang w:val="en-GB"/>
        </w:rPr>
        <w:fldChar w:fldCharType="begin"/>
      </w:r>
      <w:r w:rsidR="006948C3" w:rsidRPr="00AC3324">
        <w:rPr>
          <w:lang w:val="en-GB"/>
        </w:rPr>
        <w:instrText xml:space="preserve"> REF _Ref157436169 \h </w:instrText>
      </w:r>
      <w:r w:rsidR="000977E1" w:rsidRPr="00AC3324">
        <w:rPr>
          <w:lang w:val="en-GB"/>
        </w:rPr>
        <w:instrText xml:space="preserve"> \* MERGEFORMAT </w:instrText>
      </w:r>
      <w:r w:rsidR="006948C3" w:rsidRPr="00AC3324">
        <w:rPr>
          <w:lang w:val="en-GB"/>
        </w:rPr>
      </w:r>
      <w:r w:rsidR="006948C3" w:rsidRPr="00AC3324">
        <w:rPr>
          <w:lang w:val="en-GB"/>
        </w:rPr>
        <w:fldChar w:fldCharType="separate"/>
      </w:r>
      <w:r w:rsidR="005C60C5" w:rsidRPr="005C60C5">
        <w:rPr>
          <w:lang w:val="en-GB"/>
        </w:rPr>
        <w:t xml:space="preserve">Figure </w:t>
      </w:r>
      <w:r w:rsidR="005C60C5" w:rsidRPr="005C60C5">
        <w:rPr>
          <w:noProof/>
          <w:lang w:val="en-GB"/>
        </w:rPr>
        <w:t>5</w:t>
      </w:r>
      <w:r w:rsidR="006948C3" w:rsidRPr="00AC3324">
        <w:rPr>
          <w:lang w:val="en-GB"/>
        </w:rPr>
        <w:fldChar w:fldCharType="end"/>
      </w:r>
      <w:r w:rsidRPr="00AC3324">
        <w:rPr>
          <w:lang w:val="en-GB"/>
        </w:rPr>
        <w:t xml:space="preserve">b. Almost 40 % of the chemical energy contained in the original biomass remains in the biochar in the form of chemical energy. The sensible energy of the biochar accounts for only 1 % of the energy balance of the system. 24% of the biomass energy is lost in the form of sensible and latent heat in the exhaust gases leaving the plant (more precisely 13% in the combustion gases at the chimney and 11% in the water vapour extracted in the dryer). The sensible heat of the biochar and the sensible and latent heat of the gases leaving the plant are labelled as unrecovered heat in </w:t>
      </w:r>
      <w:r w:rsidR="006948C3" w:rsidRPr="00AC3324">
        <w:rPr>
          <w:lang w:val="en-GB"/>
        </w:rPr>
        <w:fldChar w:fldCharType="begin"/>
      </w:r>
      <w:r w:rsidR="006948C3" w:rsidRPr="00AC3324">
        <w:rPr>
          <w:lang w:val="en-GB"/>
        </w:rPr>
        <w:instrText xml:space="preserve"> REF _Ref157436169 \h </w:instrText>
      </w:r>
      <w:r w:rsidR="000977E1" w:rsidRPr="00AC3324">
        <w:rPr>
          <w:lang w:val="en-GB"/>
        </w:rPr>
        <w:instrText xml:space="preserve"> \* MERGEFORMAT </w:instrText>
      </w:r>
      <w:r w:rsidR="006948C3" w:rsidRPr="00AC3324">
        <w:rPr>
          <w:lang w:val="en-GB"/>
        </w:rPr>
      </w:r>
      <w:r w:rsidR="006948C3" w:rsidRPr="00AC3324">
        <w:rPr>
          <w:lang w:val="en-GB"/>
        </w:rPr>
        <w:fldChar w:fldCharType="separate"/>
      </w:r>
      <w:r w:rsidR="005C60C5" w:rsidRPr="005C60C5">
        <w:rPr>
          <w:lang w:val="en-GB"/>
        </w:rPr>
        <w:t xml:space="preserve">Figure </w:t>
      </w:r>
      <w:r w:rsidR="005C60C5" w:rsidRPr="005C60C5">
        <w:rPr>
          <w:noProof/>
          <w:lang w:val="en-GB"/>
        </w:rPr>
        <w:t>5</w:t>
      </w:r>
      <w:r w:rsidR="006948C3" w:rsidRPr="00AC3324">
        <w:rPr>
          <w:lang w:val="en-GB"/>
        </w:rPr>
        <w:fldChar w:fldCharType="end"/>
      </w:r>
      <w:r w:rsidRPr="00AC3324">
        <w:rPr>
          <w:lang w:val="en-GB"/>
        </w:rPr>
        <w:t>b, as some of this energy could be recovered with suitable systems (which would increase the investment costs of the plant). 20 % of the energy from the biomass is lost through heat losses in the dryer (5 %), in the pyrolyser (4 %) and in the burner and flue gas ducts (11 %). The remaining 16 % is useful heat, which is available at a temperature of around 700 °C and can be used for other processes, e.g. for the valuable production of pressurised steam for industrial purposes.</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45"/>
        <w:gridCol w:w="5142"/>
      </w:tblGrid>
      <w:tr w:rsidR="002E0262" w:rsidRPr="00AC3324" w14:paraId="3167FA1D" w14:textId="77777777" w:rsidTr="006948C3">
        <w:tc>
          <w:tcPr>
            <w:tcW w:w="3645" w:type="dxa"/>
            <w:vAlign w:val="bottom"/>
          </w:tcPr>
          <w:p w14:paraId="4BBBD0FF" w14:textId="1DD84E85" w:rsidR="002E0262" w:rsidRPr="00AC3324" w:rsidRDefault="00684E23" w:rsidP="00820202">
            <w:pPr>
              <w:pStyle w:val="CETBodytext"/>
              <w:jc w:val="center"/>
              <w:rPr>
                <w:sz w:val="16"/>
                <w:szCs w:val="18"/>
                <w:lang w:val="en-GB"/>
              </w:rPr>
            </w:pPr>
            <w:r w:rsidRPr="00AC3324">
              <w:rPr>
                <w:noProof/>
                <w:sz w:val="16"/>
                <w:szCs w:val="18"/>
                <w:lang w:val="en-GB"/>
              </w:rPr>
              <w:lastRenderedPageBreak/>
              <w:drawing>
                <wp:inline distT="0" distB="0" distL="0" distR="0" wp14:anchorId="644F6B71" wp14:editId="72E79813">
                  <wp:extent cx="2296800" cy="1364400"/>
                  <wp:effectExtent l="0" t="0" r="8255" b="7620"/>
                  <wp:docPr id="155856638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t="6756" r="2269" b="9768"/>
                          <a:stretch/>
                        </pic:blipFill>
                        <pic:spPr bwMode="auto">
                          <a:xfrm>
                            <a:off x="0" y="0"/>
                            <a:ext cx="2296800" cy="1364400"/>
                          </a:xfrm>
                          <a:prstGeom prst="rect">
                            <a:avLst/>
                          </a:prstGeom>
                          <a:noFill/>
                          <a:ln>
                            <a:noFill/>
                          </a:ln>
                          <a:extLst>
                            <a:ext uri="{53640926-AAD7-44D8-BBD7-CCE9431645EC}">
                              <a14:shadowObscured xmlns:a14="http://schemas.microsoft.com/office/drawing/2010/main"/>
                            </a:ext>
                          </a:extLst>
                        </pic:spPr>
                      </pic:pic>
                    </a:graphicData>
                  </a:graphic>
                </wp:inline>
              </w:drawing>
            </w:r>
          </w:p>
          <w:p w14:paraId="7F4D9921" w14:textId="77777777" w:rsidR="002E0262" w:rsidRPr="00AC3324" w:rsidRDefault="002E0262" w:rsidP="00820202">
            <w:pPr>
              <w:pStyle w:val="CETBodytext"/>
              <w:jc w:val="center"/>
              <w:rPr>
                <w:sz w:val="16"/>
                <w:szCs w:val="18"/>
                <w:lang w:val="en-GB"/>
              </w:rPr>
            </w:pPr>
            <w:r w:rsidRPr="00AC3324">
              <w:rPr>
                <w:sz w:val="16"/>
                <w:szCs w:val="18"/>
                <w:lang w:val="en-GB"/>
              </w:rPr>
              <w:t>(a)</w:t>
            </w:r>
          </w:p>
        </w:tc>
        <w:tc>
          <w:tcPr>
            <w:tcW w:w="5142" w:type="dxa"/>
            <w:vAlign w:val="bottom"/>
          </w:tcPr>
          <w:p w14:paraId="5EF886AA" w14:textId="25536F54" w:rsidR="002E0262" w:rsidRPr="00AC3324" w:rsidRDefault="002E0262" w:rsidP="00820202">
            <w:pPr>
              <w:pStyle w:val="CETBodytext"/>
              <w:jc w:val="center"/>
              <w:rPr>
                <w:sz w:val="16"/>
                <w:szCs w:val="18"/>
                <w:lang w:val="en-GB"/>
              </w:rPr>
            </w:pPr>
            <w:r w:rsidRPr="00AC3324">
              <w:rPr>
                <w:noProof/>
                <w:sz w:val="16"/>
                <w:szCs w:val="18"/>
                <w:lang w:val="en-GB"/>
              </w:rPr>
              <w:drawing>
                <wp:inline distT="0" distB="0" distL="0" distR="0" wp14:anchorId="57F3ADFC" wp14:editId="231B8C71">
                  <wp:extent cx="3182400" cy="1328400"/>
                  <wp:effectExtent l="0" t="0" r="0" b="5715"/>
                  <wp:docPr id="136215935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2569" t="7199" r="1220" b="11577"/>
                          <a:stretch/>
                        </pic:blipFill>
                        <pic:spPr bwMode="auto">
                          <a:xfrm>
                            <a:off x="0" y="0"/>
                            <a:ext cx="3182400" cy="1328400"/>
                          </a:xfrm>
                          <a:prstGeom prst="rect">
                            <a:avLst/>
                          </a:prstGeom>
                          <a:noFill/>
                          <a:ln>
                            <a:noFill/>
                          </a:ln>
                          <a:extLst>
                            <a:ext uri="{53640926-AAD7-44D8-BBD7-CCE9431645EC}">
                              <a14:shadowObscured xmlns:a14="http://schemas.microsoft.com/office/drawing/2010/main"/>
                            </a:ext>
                          </a:extLst>
                        </pic:spPr>
                      </pic:pic>
                    </a:graphicData>
                  </a:graphic>
                </wp:inline>
              </w:drawing>
            </w:r>
          </w:p>
          <w:p w14:paraId="7F531560" w14:textId="77777777" w:rsidR="002E0262" w:rsidRPr="00AC3324" w:rsidRDefault="002E0262" w:rsidP="00820202">
            <w:pPr>
              <w:pStyle w:val="CETBodytext"/>
              <w:keepNext/>
              <w:jc w:val="center"/>
              <w:rPr>
                <w:sz w:val="16"/>
                <w:szCs w:val="18"/>
                <w:lang w:val="en-GB"/>
              </w:rPr>
            </w:pPr>
            <w:r w:rsidRPr="00AC3324">
              <w:rPr>
                <w:sz w:val="16"/>
                <w:szCs w:val="18"/>
                <w:lang w:val="en-GB"/>
              </w:rPr>
              <w:t>(b)</w:t>
            </w:r>
          </w:p>
        </w:tc>
      </w:tr>
    </w:tbl>
    <w:p w14:paraId="579406B7" w14:textId="42518E99" w:rsidR="005D2099" w:rsidRPr="00AC3324" w:rsidRDefault="00F50C75" w:rsidP="00F50C75">
      <w:pPr>
        <w:pStyle w:val="CETCaption"/>
      </w:pPr>
      <w:bookmarkStart w:id="6" w:name="_Ref157436169"/>
      <w:r w:rsidRPr="00AC3324">
        <w:t xml:space="preserve">Figure </w:t>
      </w:r>
      <w:r w:rsidRPr="00AC3324">
        <w:fldChar w:fldCharType="begin"/>
      </w:r>
      <w:r w:rsidRPr="00AC3324">
        <w:instrText xml:space="preserve"> SEQ Figure \* ARABIC </w:instrText>
      </w:r>
      <w:r w:rsidRPr="00AC3324">
        <w:fldChar w:fldCharType="separate"/>
      </w:r>
      <w:r w:rsidR="005C60C5">
        <w:rPr>
          <w:noProof/>
        </w:rPr>
        <w:t>5</w:t>
      </w:r>
      <w:r w:rsidRPr="00AC3324">
        <w:fldChar w:fldCharType="end"/>
      </w:r>
      <w:bookmarkEnd w:id="6"/>
      <w:r w:rsidR="00F6222C" w:rsidRPr="00AC3324">
        <w:t>. Plant mass (a) and energy (b) balance.</w:t>
      </w:r>
    </w:p>
    <w:p w14:paraId="431652D6" w14:textId="1DD63DB5" w:rsidR="00784056" w:rsidRPr="00AC3324" w:rsidRDefault="00784056" w:rsidP="00784056">
      <w:pPr>
        <w:pStyle w:val="CETHeading1"/>
        <w:rPr>
          <w:lang w:val="en-GB"/>
        </w:rPr>
      </w:pPr>
      <w:r w:rsidRPr="00AC3324">
        <w:rPr>
          <w:lang w:val="en-GB"/>
        </w:rPr>
        <w:t>Conclusion</w:t>
      </w:r>
    </w:p>
    <w:p w14:paraId="327C6080" w14:textId="77777777" w:rsidR="00497FD8" w:rsidRPr="00AC3324" w:rsidRDefault="00497FD8" w:rsidP="00497FD8">
      <w:pPr>
        <w:pStyle w:val="CETBodytext"/>
        <w:rPr>
          <w:lang w:val="en-GB"/>
        </w:rPr>
      </w:pPr>
      <w:r w:rsidRPr="00AC3324">
        <w:rPr>
          <w:lang w:val="en-GB"/>
        </w:rPr>
        <w:t>Conducting an energy analysis of the biochar production process is crucial for accurately assess the environmental impact of this well-established carbon-negative product. This study presents a comprehensive energy model specifically developed to analyse biochar production by slow pyrolysis. The model was applied to a pyrolysis plant for lignocellulosic biomass. The model effectively identified the energy losses that occur at different stages of the plant, including the dryer, pyrolyser and burner. In addition, it revealed the significant potential for heat recovery during the process, which corresponds to approximately 16% of the initial chemical energy present in the biomass. Indeed, the utilisation of this recovered heat can further improve the environmental performance of biochar production.</w:t>
      </w:r>
    </w:p>
    <w:p w14:paraId="7A753F18" w14:textId="2AD178F5" w:rsidR="00497FD8" w:rsidRPr="00AC3324" w:rsidRDefault="00497FD8" w:rsidP="00497FD8">
      <w:pPr>
        <w:pStyle w:val="CETBodytext"/>
        <w:rPr>
          <w:b/>
          <w:lang w:val="en-GB"/>
        </w:rPr>
      </w:pPr>
      <w:r w:rsidRPr="00AC3324">
        <w:rPr>
          <w:lang w:val="en-GB"/>
        </w:rPr>
        <w:t xml:space="preserve">The versatility of the proposed model allows its adaptation to the analysis of other biomass types and makes it a valuable tool to support technical and environmental assessments. By using this model, stakeholders can gain deeper insights into the energy dynamics and optimise the sustainability of biochar production processes. </w:t>
      </w:r>
    </w:p>
    <w:p w14:paraId="459D05E6" w14:textId="7F159800" w:rsidR="00600535" w:rsidRPr="00AC3324" w:rsidRDefault="00600535" w:rsidP="00497FD8">
      <w:pPr>
        <w:pStyle w:val="CETAcknowledgementstitle"/>
      </w:pPr>
      <w:r w:rsidRPr="00AC3324">
        <w:t>Acknowledgments</w:t>
      </w:r>
    </w:p>
    <w:p w14:paraId="33F8138F" w14:textId="7139BBA3" w:rsidR="00600535" w:rsidRPr="00AC3324" w:rsidRDefault="00B523F1" w:rsidP="00600535">
      <w:pPr>
        <w:pStyle w:val="CETBodytext"/>
        <w:rPr>
          <w:lang w:val="en-GB"/>
        </w:rPr>
      </w:pPr>
      <w:r w:rsidRPr="00B523F1">
        <w:rPr>
          <w:lang w:val="en-GB"/>
        </w:rPr>
        <w:t>Project funded by the European Union – NextGenerationEU - National Recovery and Resilience Plan (NRRP) - Mission 4 Component 2 Investment 1.3 - Call for tender No. 341 of 15.03.2022 of Ministero dell’Università e della Ricerca (MUR). Project code PE00000021, Concession Decree No. 1561 of 11.10.2022 adopted by Ministero dell’Università e della Ricerca (MUR), CUP – E13C22001890001, according to attachment E of Decree No. 1561/2022, Project title “Network 4 Energy Sustainable Transition – NEST - Spoke 3"</w:t>
      </w:r>
      <w:r w:rsidR="00793C18">
        <w:rPr>
          <w:lang w:val="en-GB"/>
        </w:rPr>
        <w:t>.</w:t>
      </w:r>
    </w:p>
    <w:p w14:paraId="4F1327F8" w14:textId="77777777" w:rsidR="00600535" w:rsidRPr="00AC3324" w:rsidRDefault="00600535" w:rsidP="00600535">
      <w:pPr>
        <w:pStyle w:val="CETReference"/>
      </w:pPr>
      <w:r w:rsidRPr="00AC3324">
        <w:t>References</w:t>
      </w:r>
    </w:p>
    <w:p w14:paraId="00E92491" w14:textId="0B09839A" w:rsidR="00183A52" w:rsidRPr="00AC3324" w:rsidRDefault="00183A52" w:rsidP="00AC66F0">
      <w:pPr>
        <w:pStyle w:val="CETReferencetext"/>
      </w:pPr>
      <w:r w:rsidRPr="00AC3324">
        <w:t>Bong C.P.C., Lim L.Y., Lee C.T., Ong P.Y., Van Fan Y., Klemeš J.J., 2021, Integrating compost and biochar towards sustainable soil management, Chemical Engineering Transactions, 86,1345-1350.</w:t>
      </w:r>
    </w:p>
    <w:p w14:paraId="370EE74A" w14:textId="12311B18" w:rsidR="00FA00DA" w:rsidRPr="00AC3324" w:rsidRDefault="00FA00DA" w:rsidP="00AC66F0">
      <w:pPr>
        <w:pStyle w:val="CETReferencetext"/>
      </w:pPr>
      <w:r w:rsidRPr="00AC3324">
        <w:t>Chen X., Wu X., 2022, The roles of carbon capture, utilization and storage in the transition to a low-carbon energy system using a stochastic optimal scheduling approach, Journal of Cleaner Production, 366,132860.</w:t>
      </w:r>
    </w:p>
    <w:p w14:paraId="205E1DD0" w14:textId="7043E8EE" w:rsidR="00831749" w:rsidRPr="00AC3324" w:rsidRDefault="00831749" w:rsidP="00AC66F0">
      <w:pPr>
        <w:pStyle w:val="CETReferencetext"/>
      </w:pPr>
      <w:r w:rsidRPr="00AC3324">
        <w:t>Cong H., Masek O., Zhao L., Yao Z., Meng H., Hu E., Ma T., 2018, Slow pyrolysis performance and energy balance of corn stover in continuous pyrolysis-based polygeneration systems, Energy&amp;fuels, 32</w:t>
      </w:r>
      <w:r w:rsidR="00923965" w:rsidRPr="00AC3324">
        <w:t>,</w:t>
      </w:r>
      <w:r w:rsidRPr="00AC3324">
        <w:t xml:space="preserve"> 3743-3750.</w:t>
      </w:r>
    </w:p>
    <w:p w14:paraId="2EC4D873" w14:textId="12DF6CD0" w:rsidR="00662D5A" w:rsidRPr="00AC3324" w:rsidRDefault="00662D5A" w:rsidP="00AC66F0">
      <w:pPr>
        <w:pStyle w:val="CETReferencetext"/>
      </w:pPr>
      <w:r w:rsidRPr="00AC3324">
        <w:t xml:space="preserve">Demol R., Dufour A., Rogaume Y., Mauviel G, 2021, Production of purified H2, heat, and biochar from wood: comparison between gasification and autothermal pyrolysis based on advanced process </w:t>
      </w:r>
      <w:r w:rsidR="00E71C6D" w:rsidRPr="00AC3324">
        <w:t>modelling,</w:t>
      </w:r>
      <w:r w:rsidRPr="00AC3324">
        <w:t xml:space="preserve"> Energy &amp; Fuels, 36(1),</w:t>
      </w:r>
      <w:r w:rsidR="00E71C6D" w:rsidRPr="00AC3324">
        <w:t xml:space="preserve"> </w:t>
      </w:r>
      <w:r w:rsidRPr="00AC3324">
        <w:t>488-501.</w:t>
      </w:r>
    </w:p>
    <w:p w14:paraId="357A728B" w14:textId="6F7DE9C2" w:rsidR="003C0002" w:rsidRPr="00AC3324" w:rsidRDefault="00D875F2" w:rsidP="00AC66F0">
      <w:pPr>
        <w:pStyle w:val="CETReferencetext"/>
      </w:pPr>
      <w:r w:rsidRPr="00AC3324">
        <w:t>Glaser B., Parr M., Braun C.</w:t>
      </w:r>
      <w:r w:rsidR="00866BFD" w:rsidRPr="00AC3324">
        <w:t xml:space="preserve">, </w:t>
      </w:r>
      <w:r w:rsidRPr="00AC3324">
        <w:t>Kopolo, G., 2009. Biochar is carbon negative</w:t>
      </w:r>
      <w:r w:rsidR="007D11CF" w:rsidRPr="00AC3324">
        <w:t>,</w:t>
      </w:r>
      <w:r w:rsidRPr="00AC3324">
        <w:t xml:space="preserve"> Nature Geoscience, 2(1), 2-2.</w:t>
      </w:r>
    </w:p>
    <w:p w14:paraId="6544FE0E" w14:textId="354685BC" w:rsidR="00A43D34" w:rsidRPr="00AC3324" w:rsidRDefault="00806B26" w:rsidP="00AC66F0">
      <w:pPr>
        <w:pStyle w:val="CETReferencetext"/>
      </w:pPr>
      <w:r w:rsidRPr="00AC3324">
        <w:t>Harsono I., Heat transfer mechanisms in an indirectly heated rotary kiln with lifters and its role in scaling</w:t>
      </w:r>
      <w:r w:rsidR="00A43D34" w:rsidRPr="00AC3324">
        <w:t xml:space="preserve">, PhD Thesis, </w:t>
      </w:r>
      <w:r w:rsidR="00564B48" w:rsidRPr="00AC3324">
        <w:t>Curtin University of Technology</w:t>
      </w:r>
      <w:r w:rsidR="00EF281C" w:rsidRPr="00AC3324">
        <w:t xml:space="preserve">, </w:t>
      </w:r>
      <w:r w:rsidR="00353D49" w:rsidRPr="00AC3324">
        <w:t>Perth, Australia.</w:t>
      </w:r>
    </w:p>
    <w:p w14:paraId="30865EB7" w14:textId="5BF193DD" w:rsidR="000424C4" w:rsidRPr="00AC3324" w:rsidRDefault="000424C4" w:rsidP="00AC66F0">
      <w:pPr>
        <w:pStyle w:val="CETReferencetext"/>
      </w:pPr>
      <w:r w:rsidRPr="00AC3324">
        <w:t>Klinar D., 2016, Universal model of slow pyrolysis technology producing biochar and heat from standard biomass needed for the techno-economic assessment, Bioresource Technology, 206, 112-120.</w:t>
      </w:r>
    </w:p>
    <w:p w14:paraId="2333A9C1" w14:textId="026060AB" w:rsidR="0049009A" w:rsidRPr="00AC3324" w:rsidRDefault="0049009A" w:rsidP="00AC66F0">
      <w:pPr>
        <w:pStyle w:val="CETReferencetext"/>
      </w:pPr>
      <w:r w:rsidRPr="00AC3324">
        <w:t>Klinar D., Huber M., Belšak Šel N., Rižnar, K., 2021, Universal Model for the Cogeneration of Heat, Power and Char in a Decoupled Pyrolysis and Gasification Process for Techno-Economic Assessment, Processes, 9(8), 1442.</w:t>
      </w:r>
    </w:p>
    <w:p w14:paraId="3A00011F" w14:textId="64178E4D" w:rsidR="00920945" w:rsidRPr="00AC3324" w:rsidRDefault="00920945" w:rsidP="00AC66F0">
      <w:pPr>
        <w:pStyle w:val="CETReferencetext"/>
      </w:pPr>
      <w:r w:rsidRPr="00AC3324">
        <w:t>Phan A.N., Ryu C., Sharifi V.N., Swithenbank J., 2008</w:t>
      </w:r>
      <w:r w:rsidR="00232C72">
        <w:t>,</w:t>
      </w:r>
      <w:r w:rsidRPr="00AC3324">
        <w:t xml:space="preserve"> Characterisation of slow pyrolysis products from segregated wastes for energy production, Journal of Analytical and Applied Pyrolysis, 81(1), 65-71.</w:t>
      </w:r>
    </w:p>
    <w:p w14:paraId="77206579" w14:textId="5D692AE9" w:rsidR="007E603B" w:rsidRPr="00AC3324" w:rsidRDefault="007E603B" w:rsidP="00AC66F0">
      <w:pPr>
        <w:pStyle w:val="CETReferencetext"/>
      </w:pPr>
      <w:r w:rsidRPr="001368FD">
        <w:rPr>
          <w:lang w:val="en-US"/>
        </w:rPr>
        <w:t>Salimbeni A., Lombardi G., Rizzo A.M., Chiaramonti D., 2023</w:t>
      </w:r>
      <w:r w:rsidR="001368FD" w:rsidRPr="001368FD">
        <w:rPr>
          <w:lang w:val="en-US"/>
        </w:rPr>
        <w:t>,</w:t>
      </w:r>
      <w:r w:rsidRPr="001368FD">
        <w:rPr>
          <w:lang w:val="en-US"/>
        </w:rPr>
        <w:t xml:space="preserve"> </w:t>
      </w:r>
      <w:r w:rsidRPr="00AC3324">
        <w:t>Techno-Economic feasibility of integrating biomass slow pyrolysis in an EAF steelmaking site: A case study, Applied Energy, 339, 120991.</w:t>
      </w:r>
    </w:p>
    <w:p w14:paraId="753B79C5" w14:textId="180CA63F" w:rsidR="00A97548" w:rsidRPr="00AC3324" w:rsidRDefault="004910CF" w:rsidP="00A97548">
      <w:pPr>
        <w:pStyle w:val="CETReferencetext"/>
      </w:pPr>
      <w:r w:rsidRPr="00AC3324">
        <w:t>Simpson W., TenWolde A., 1999</w:t>
      </w:r>
      <w:r w:rsidR="001368FD">
        <w:t>,</w:t>
      </w:r>
      <w:r w:rsidRPr="00AC3324">
        <w:t xml:space="preserve"> </w:t>
      </w:r>
      <w:r w:rsidR="000E4A07" w:rsidRPr="00AC3324">
        <w:t>Physical properties and moisture relations of wood. Wood handbook: wood as an engineering material</w:t>
      </w:r>
      <w:r w:rsidR="00232C72">
        <w:t>,</w:t>
      </w:r>
      <w:r w:rsidR="000E4A07" w:rsidRPr="00AC3324">
        <w:t xml:space="preserve"> Madison</w:t>
      </w:r>
      <w:r w:rsidR="00232C72">
        <w:t>,</w:t>
      </w:r>
      <w:r w:rsidR="000E4A07" w:rsidRPr="00AC3324">
        <w:t xml:space="preserve"> WI: USDA Forest Service, Forest Products Laboratory, </w:t>
      </w:r>
      <w:r w:rsidR="0058403A" w:rsidRPr="00AC3324">
        <w:t xml:space="preserve">USA. </w:t>
      </w:r>
    </w:p>
    <w:sectPr w:rsidR="00A97548" w:rsidRPr="00AC3324" w:rsidSect="00877F70">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E66D5" w14:textId="77777777" w:rsidR="00877F70" w:rsidRDefault="00877F70" w:rsidP="004F5E36">
      <w:r>
        <w:separator/>
      </w:r>
    </w:p>
  </w:endnote>
  <w:endnote w:type="continuationSeparator" w:id="0">
    <w:p w14:paraId="20E11703" w14:textId="77777777" w:rsidR="00877F70" w:rsidRDefault="00877F70" w:rsidP="004F5E36">
      <w:r>
        <w:continuationSeparator/>
      </w:r>
    </w:p>
  </w:endnote>
  <w:endnote w:type="continuationNotice" w:id="1">
    <w:p w14:paraId="0D9922F1" w14:textId="77777777" w:rsidR="00877F70" w:rsidRDefault="00877F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17BEF" w14:textId="77777777" w:rsidR="00877F70" w:rsidRDefault="00877F70" w:rsidP="004F5E36">
      <w:r>
        <w:separator/>
      </w:r>
    </w:p>
  </w:footnote>
  <w:footnote w:type="continuationSeparator" w:id="0">
    <w:p w14:paraId="5B212516" w14:textId="77777777" w:rsidR="00877F70" w:rsidRDefault="00877F70" w:rsidP="004F5E36">
      <w:r>
        <w:continuationSeparator/>
      </w:r>
    </w:p>
  </w:footnote>
  <w:footnote w:type="continuationNotice" w:id="1">
    <w:p w14:paraId="750A849E" w14:textId="77777777" w:rsidR="00877F70" w:rsidRDefault="00877F7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F245B4C"/>
    <w:multiLevelType w:val="hybridMultilevel"/>
    <w:tmpl w:val="84B6B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FB28C44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1843" w:firstLine="0"/>
      </w:pPr>
      <w:rPr>
        <w:rFonts w:hint="default"/>
      </w:rPr>
    </w:lvl>
    <w:lvl w:ilvl="2">
      <w:start w:val="1"/>
      <w:numFmt w:val="decimal"/>
      <w:pStyle w:val="CETheadingx"/>
      <w:suff w:val="space"/>
      <w:lvlText w:val="%2.%3"/>
      <w:lvlJc w:val="left"/>
      <w:pPr>
        <w:ind w:left="851"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6CF50FA"/>
    <w:multiLevelType w:val="hybridMultilevel"/>
    <w:tmpl w:val="888E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02D4B9D"/>
    <w:multiLevelType w:val="hybridMultilevel"/>
    <w:tmpl w:val="B852D0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0"/>
  </w:num>
  <w:num w:numId="13" w16cid:durableId="695733619">
    <w:abstractNumId w:val="13"/>
  </w:num>
  <w:num w:numId="14" w16cid:durableId="145903400">
    <w:abstractNumId w:val="21"/>
  </w:num>
  <w:num w:numId="15" w16cid:durableId="19162326">
    <w:abstractNumId w:val="23"/>
  </w:num>
  <w:num w:numId="16" w16cid:durableId="1977102699">
    <w:abstractNumId w:val="22"/>
  </w:num>
  <w:num w:numId="17" w16cid:durableId="860774865">
    <w:abstractNumId w:val="12"/>
  </w:num>
  <w:num w:numId="18" w16cid:durableId="313221457">
    <w:abstractNumId w:val="13"/>
    <w:lvlOverride w:ilvl="0">
      <w:startOverride w:val="1"/>
    </w:lvlOverride>
  </w:num>
  <w:num w:numId="19" w16cid:durableId="534971577">
    <w:abstractNumId w:val="19"/>
  </w:num>
  <w:num w:numId="20" w16cid:durableId="1150947773">
    <w:abstractNumId w:val="18"/>
  </w:num>
  <w:num w:numId="21" w16cid:durableId="124660497">
    <w:abstractNumId w:val="16"/>
  </w:num>
  <w:num w:numId="22" w16cid:durableId="2099861471">
    <w:abstractNumId w:val="15"/>
  </w:num>
  <w:num w:numId="23" w16cid:durableId="800809781">
    <w:abstractNumId w:val="14"/>
  </w:num>
  <w:num w:numId="24" w16cid:durableId="1498038817">
    <w:abstractNumId w:val="17"/>
  </w:num>
  <w:num w:numId="25" w16cid:durableId="14493961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7EC"/>
    <w:rsid w:val="000027C0"/>
    <w:rsid w:val="000052FB"/>
    <w:rsid w:val="00005AFA"/>
    <w:rsid w:val="000117CB"/>
    <w:rsid w:val="00016215"/>
    <w:rsid w:val="00020DAD"/>
    <w:rsid w:val="00022AC7"/>
    <w:rsid w:val="00023F16"/>
    <w:rsid w:val="000266FB"/>
    <w:rsid w:val="000269F9"/>
    <w:rsid w:val="00030FFB"/>
    <w:rsid w:val="0003148D"/>
    <w:rsid w:val="00031EEC"/>
    <w:rsid w:val="0003574A"/>
    <w:rsid w:val="000376E0"/>
    <w:rsid w:val="00041B36"/>
    <w:rsid w:val="000424C4"/>
    <w:rsid w:val="00043B83"/>
    <w:rsid w:val="00044FAD"/>
    <w:rsid w:val="0004505E"/>
    <w:rsid w:val="0004524B"/>
    <w:rsid w:val="000467BF"/>
    <w:rsid w:val="00050A39"/>
    <w:rsid w:val="00050FCF"/>
    <w:rsid w:val="00051566"/>
    <w:rsid w:val="000562A9"/>
    <w:rsid w:val="00056B7D"/>
    <w:rsid w:val="00056BE5"/>
    <w:rsid w:val="00062A9A"/>
    <w:rsid w:val="000646ED"/>
    <w:rsid w:val="00065058"/>
    <w:rsid w:val="00065B34"/>
    <w:rsid w:val="00070280"/>
    <w:rsid w:val="00070AC1"/>
    <w:rsid w:val="00070C8D"/>
    <w:rsid w:val="000745A2"/>
    <w:rsid w:val="00074EEC"/>
    <w:rsid w:val="0008245F"/>
    <w:rsid w:val="000827EB"/>
    <w:rsid w:val="00086C39"/>
    <w:rsid w:val="000909A1"/>
    <w:rsid w:val="0009337E"/>
    <w:rsid w:val="000977E1"/>
    <w:rsid w:val="000A03B2"/>
    <w:rsid w:val="000A661C"/>
    <w:rsid w:val="000B2240"/>
    <w:rsid w:val="000B4F47"/>
    <w:rsid w:val="000B5CE9"/>
    <w:rsid w:val="000B67E7"/>
    <w:rsid w:val="000B687A"/>
    <w:rsid w:val="000C7B04"/>
    <w:rsid w:val="000D0268"/>
    <w:rsid w:val="000D12A2"/>
    <w:rsid w:val="000D34BE"/>
    <w:rsid w:val="000D55A6"/>
    <w:rsid w:val="000D696B"/>
    <w:rsid w:val="000E102F"/>
    <w:rsid w:val="000E36F1"/>
    <w:rsid w:val="000E3A73"/>
    <w:rsid w:val="000E3E8D"/>
    <w:rsid w:val="000E414A"/>
    <w:rsid w:val="000E4A07"/>
    <w:rsid w:val="000E4A08"/>
    <w:rsid w:val="000E6387"/>
    <w:rsid w:val="000F093C"/>
    <w:rsid w:val="000F5373"/>
    <w:rsid w:val="000F5C2E"/>
    <w:rsid w:val="000F787B"/>
    <w:rsid w:val="00100942"/>
    <w:rsid w:val="00103623"/>
    <w:rsid w:val="00107CFE"/>
    <w:rsid w:val="00110093"/>
    <w:rsid w:val="0011091B"/>
    <w:rsid w:val="001120E3"/>
    <w:rsid w:val="0012091F"/>
    <w:rsid w:val="00122870"/>
    <w:rsid w:val="0012514E"/>
    <w:rsid w:val="0012577C"/>
    <w:rsid w:val="00126A3A"/>
    <w:rsid w:val="00126BC2"/>
    <w:rsid w:val="001308B6"/>
    <w:rsid w:val="0013121F"/>
    <w:rsid w:val="00131FE6"/>
    <w:rsid w:val="0013255B"/>
    <w:rsid w:val="0013263F"/>
    <w:rsid w:val="00133132"/>
    <w:rsid w:val="001331DF"/>
    <w:rsid w:val="00134DE4"/>
    <w:rsid w:val="00135E1B"/>
    <w:rsid w:val="001367C2"/>
    <w:rsid w:val="001368FD"/>
    <w:rsid w:val="00137058"/>
    <w:rsid w:val="0014034D"/>
    <w:rsid w:val="00140875"/>
    <w:rsid w:val="0014174F"/>
    <w:rsid w:val="00142F52"/>
    <w:rsid w:val="00144D16"/>
    <w:rsid w:val="001477DF"/>
    <w:rsid w:val="00150E59"/>
    <w:rsid w:val="0015250B"/>
    <w:rsid w:val="00152DE3"/>
    <w:rsid w:val="00155F04"/>
    <w:rsid w:val="00156872"/>
    <w:rsid w:val="00156F74"/>
    <w:rsid w:val="00164CF9"/>
    <w:rsid w:val="001667A6"/>
    <w:rsid w:val="0017246C"/>
    <w:rsid w:val="00172A9B"/>
    <w:rsid w:val="00173DAF"/>
    <w:rsid w:val="00180275"/>
    <w:rsid w:val="00180ED7"/>
    <w:rsid w:val="00183A52"/>
    <w:rsid w:val="00184AD6"/>
    <w:rsid w:val="00194A30"/>
    <w:rsid w:val="001A0BC9"/>
    <w:rsid w:val="001A3348"/>
    <w:rsid w:val="001A4AF7"/>
    <w:rsid w:val="001B0349"/>
    <w:rsid w:val="001B1E93"/>
    <w:rsid w:val="001B62E3"/>
    <w:rsid w:val="001B65C1"/>
    <w:rsid w:val="001C2D25"/>
    <w:rsid w:val="001C3FC6"/>
    <w:rsid w:val="001C6811"/>
    <w:rsid w:val="001C684B"/>
    <w:rsid w:val="001C697C"/>
    <w:rsid w:val="001C7E2B"/>
    <w:rsid w:val="001D0CFB"/>
    <w:rsid w:val="001D21AF"/>
    <w:rsid w:val="001D4FAC"/>
    <w:rsid w:val="001D53FC"/>
    <w:rsid w:val="001E1480"/>
    <w:rsid w:val="001E4A2E"/>
    <w:rsid w:val="001E7D29"/>
    <w:rsid w:val="001F0D5F"/>
    <w:rsid w:val="001F42A5"/>
    <w:rsid w:val="001F459B"/>
    <w:rsid w:val="001F7798"/>
    <w:rsid w:val="001F7B9D"/>
    <w:rsid w:val="00201265"/>
    <w:rsid w:val="00201C93"/>
    <w:rsid w:val="00204C3B"/>
    <w:rsid w:val="002073D9"/>
    <w:rsid w:val="00211EC1"/>
    <w:rsid w:val="0021290D"/>
    <w:rsid w:val="00213968"/>
    <w:rsid w:val="002152C7"/>
    <w:rsid w:val="00220283"/>
    <w:rsid w:val="0022087A"/>
    <w:rsid w:val="002214D4"/>
    <w:rsid w:val="002224B4"/>
    <w:rsid w:val="00232C72"/>
    <w:rsid w:val="00237EF8"/>
    <w:rsid w:val="00243103"/>
    <w:rsid w:val="002447EF"/>
    <w:rsid w:val="00251550"/>
    <w:rsid w:val="00263B05"/>
    <w:rsid w:val="0027221A"/>
    <w:rsid w:val="002728D4"/>
    <w:rsid w:val="00274869"/>
    <w:rsid w:val="00275B61"/>
    <w:rsid w:val="002773E7"/>
    <w:rsid w:val="00280FAF"/>
    <w:rsid w:val="00281887"/>
    <w:rsid w:val="00282656"/>
    <w:rsid w:val="002833D1"/>
    <w:rsid w:val="002838CC"/>
    <w:rsid w:val="00285E4D"/>
    <w:rsid w:val="00286802"/>
    <w:rsid w:val="00290FD2"/>
    <w:rsid w:val="00291374"/>
    <w:rsid w:val="00293740"/>
    <w:rsid w:val="002947D3"/>
    <w:rsid w:val="00296B83"/>
    <w:rsid w:val="002A2264"/>
    <w:rsid w:val="002A6221"/>
    <w:rsid w:val="002A6A16"/>
    <w:rsid w:val="002A7514"/>
    <w:rsid w:val="002A7CD1"/>
    <w:rsid w:val="002B0850"/>
    <w:rsid w:val="002B4015"/>
    <w:rsid w:val="002B5EA6"/>
    <w:rsid w:val="002B65ED"/>
    <w:rsid w:val="002B78CE"/>
    <w:rsid w:val="002C0434"/>
    <w:rsid w:val="002C102A"/>
    <w:rsid w:val="002C1686"/>
    <w:rsid w:val="002C2FB6"/>
    <w:rsid w:val="002C35BC"/>
    <w:rsid w:val="002C6F67"/>
    <w:rsid w:val="002C7712"/>
    <w:rsid w:val="002D345A"/>
    <w:rsid w:val="002D7C0C"/>
    <w:rsid w:val="002E0262"/>
    <w:rsid w:val="002E2D25"/>
    <w:rsid w:val="002E472E"/>
    <w:rsid w:val="002E5FA7"/>
    <w:rsid w:val="002F16A0"/>
    <w:rsid w:val="002F3309"/>
    <w:rsid w:val="002F4483"/>
    <w:rsid w:val="002F4D7A"/>
    <w:rsid w:val="002F6316"/>
    <w:rsid w:val="002F6941"/>
    <w:rsid w:val="003008CE"/>
    <w:rsid w:val="003009B7"/>
    <w:rsid w:val="00300E56"/>
    <w:rsid w:val="0030152C"/>
    <w:rsid w:val="0030469C"/>
    <w:rsid w:val="0031221F"/>
    <w:rsid w:val="00321CA6"/>
    <w:rsid w:val="00322E7C"/>
    <w:rsid w:val="00323763"/>
    <w:rsid w:val="00323C5F"/>
    <w:rsid w:val="003324B4"/>
    <w:rsid w:val="00333F90"/>
    <w:rsid w:val="00334C09"/>
    <w:rsid w:val="00336405"/>
    <w:rsid w:val="00336A1B"/>
    <w:rsid w:val="00336ED5"/>
    <w:rsid w:val="00337C17"/>
    <w:rsid w:val="00342D69"/>
    <w:rsid w:val="003503F7"/>
    <w:rsid w:val="00350EE1"/>
    <w:rsid w:val="00353841"/>
    <w:rsid w:val="00353D49"/>
    <w:rsid w:val="00356780"/>
    <w:rsid w:val="003567AA"/>
    <w:rsid w:val="003617C7"/>
    <w:rsid w:val="00361D20"/>
    <w:rsid w:val="00361FA4"/>
    <w:rsid w:val="00365AB4"/>
    <w:rsid w:val="003723D4"/>
    <w:rsid w:val="00377DD1"/>
    <w:rsid w:val="00381352"/>
    <w:rsid w:val="00381905"/>
    <w:rsid w:val="0038255A"/>
    <w:rsid w:val="00384CC8"/>
    <w:rsid w:val="003871FD"/>
    <w:rsid w:val="00387D7E"/>
    <w:rsid w:val="00391A4B"/>
    <w:rsid w:val="00391C9E"/>
    <w:rsid w:val="00392BF3"/>
    <w:rsid w:val="00393D27"/>
    <w:rsid w:val="0039408A"/>
    <w:rsid w:val="0039583A"/>
    <w:rsid w:val="003A171B"/>
    <w:rsid w:val="003A1E30"/>
    <w:rsid w:val="003A2829"/>
    <w:rsid w:val="003A2CF0"/>
    <w:rsid w:val="003A6B34"/>
    <w:rsid w:val="003A6FC6"/>
    <w:rsid w:val="003A7D1C"/>
    <w:rsid w:val="003B304B"/>
    <w:rsid w:val="003B3146"/>
    <w:rsid w:val="003B58FB"/>
    <w:rsid w:val="003B61AC"/>
    <w:rsid w:val="003C0002"/>
    <w:rsid w:val="003C0E63"/>
    <w:rsid w:val="003C1FD4"/>
    <w:rsid w:val="003E1501"/>
    <w:rsid w:val="003E4D77"/>
    <w:rsid w:val="003E566D"/>
    <w:rsid w:val="003E7637"/>
    <w:rsid w:val="003F015E"/>
    <w:rsid w:val="00400414"/>
    <w:rsid w:val="0040064D"/>
    <w:rsid w:val="004010C5"/>
    <w:rsid w:val="0040162A"/>
    <w:rsid w:val="00401D0E"/>
    <w:rsid w:val="004076A1"/>
    <w:rsid w:val="0041446B"/>
    <w:rsid w:val="004145C5"/>
    <w:rsid w:val="00416FDB"/>
    <w:rsid w:val="00422868"/>
    <w:rsid w:val="0042465F"/>
    <w:rsid w:val="004256D2"/>
    <w:rsid w:val="0043657E"/>
    <w:rsid w:val="0044071E"/>
    <w:rsid w:val="00441DD4"/>
    <w:rsid w:val="0044329C"/>
    <w:rsid w:val="00444A75"/>
    <w:rsid w:val="00444D0B"/>
    <w:rsid w:val="00447B2A"/>
    <w:rsid w:val="00453227"/>
    <w:rsid w:val="00453E24"/>
    <w:rsid w:val="00454EE7"/>
    <w:rsid w:val="00457456"/>
    <w:rsid w:val="004576C6"/>
    <w:rsid w:val="004577FE"/>
    <w:rsid w:val="00457B9C"/>
    <w:rsid w:val="0046164A"/>
    <w:rsid w:val="00461C5B"/>
    <w:rsid w:val="004628D2"/>
    <w:rsid w:val="00462DCD"/>
    <w:rsid w:val="004648AD"/>
    <w:rsid w:val="00466E9A"/>
    <w:rsid w:val="004703A9"/>
    <w:rsid w:val="0047268E"/>
    <w:rsid w:val="004760DE"/>
    <w:rsid w:val="004761E9"/>
    <w:rsid w:val="004763D7"/>
    <w:rsid w:val="004810C8"/>
    <w:rsid w:val="00484DAA"/>
    <w:rsid w:val="00486DFE"/>
    <w:rsid w:val="0049009A"/>
    <w:rsid w:val="004910CF"/>
    <w:rsid w:val="004971CD"/>
    <w:rsid w:val="00497FD8"/>
    <w:rsid w:val="004A004E"/>
    <w:rsid w:val="004A0EA1"/>
    <w:rsid w:val="004A2122"/>
    <w:rsid w:val="004A24CF"/>
    <w:rsid w:val="004A5160"/>
    <w:rsid w:val="004A53DF"/>
    <w:rsid w:val="004A73B8"/>
    <w:rsid w:val="004B0DA2"/>
    <w:rsid w:val="004B0EE2"/>
    <w:rsid w:val="004B777D"/>
    <w:rsid w:val="004C1672"/>
    <w:rsid w:val="004C2633"/>
    <w:rsid w:val="004C3D1D"/>
    <w:rsid w:val="004C3D84"/>
    <w:rsid w:val="004C7913"/>
    <w:rsid w:val="004C7D7F"/>
    <w:rsid w:val="004D178E"/>
    <w:rsid w:val="004D2934"/>
    <w:rsid w:val="004D4355"/>
    <w:rsid w:val="004D7276"/>
    <w:rsid w:val="004E11CD"/>
    <w:rsid w:val="004E3A57"/>
    <w:rsid w:val="004E4DD6"/>
    <w:rsid w:val="004E5C41"/>
    <w:rsid w:val="004F5E36"/>
    <w:rsid w:val="004F5FBA"/>
    <w:rsid w:val="004F7F6D"/>
    <w:rsid w:val="005020F9"/>
    <w:rsid w:val="00502A3C"/>
    <w:rsid w:val="00503A37"/>
    <w:rsid w:val="00507B47"/>
    <w:rsid w:val="00507BEF"/>
    <w:rsid w:val="00507C2C"/>
    <w:rsid w:val="00507CC9"/>
    <w:rsid w:val="00507D71"/>
    <w:rsid w:val="00511903"/>
    <w:rsid w:val="005119A5"/>
    <w:rsid w:val="005132AB"/>
    <w:rsid w:val="00515551"/>
    <w:rsid w:val="00516AAC"/>
    <w:rsid w:val="00522AFF"/>
    <w:rsid w:val="00522EB3"/>
    <w:rsid w:val="0052630F"/>
    <w:rsid w:val="00526D56"/>
    <w:rsid w:val="005278B7"/>
    <w:rsid w:val="005309D0"/>
    <w:rsid w:val="00531383"/>
    <w:rsid w:val="00531595"/>
    <w:rsid w:val="00532016"/>
    <w:rsid w:val="005346C8"/>
    <w:rsid w:val="00536B0B"/>
    <w:rsid w:val="00543E7D"/>
    <w:rsid w:val="00546EB5"/>
    <w:rsid w:val="00546F38"/>
    <w:rsid w:val="00547A68"/>
    <w:rsid w:val="005531C9"/>
    <w:rsid w:val="00553A63"/>
    <w:rsid w:val="00555AAB"/>
    <w:rsid w:val="00556A00"/>
    <w:rsid w:val="005639F4"/>
    <w:rsid w:val="00564B48"/>
    <w:rsid w:val="00564EE8"/>
    <w:rsid w:val="00565F75"/>
    <w:rsid w:val="00570C43"/>
    <w:rsid w:val="005768BF"/>
    <w:rsid w:val="00576C9C"/>
    <w:rsid w:val="005775F0"/>
    <w:rsid w:val="005821AE"/>
    <w:rsid w:val="0058253F"/>
    <w:rsid w:val="0058403A"/>
    <w:rsid w:val="00586B6B"/>
    <w:rsid w:val="00592081"/>
    <w:rsid w:val="00594AA3"/>
    <w:rsid w:val="00594E97"/>
    <w:rsid w:val="00596D97"/>
    <w:rsid w:val="0059744A"/>
    <w:rsid w:val="00597BEA"/>
    <w:rsid w:val="005A0722"/>
    <w:rsid w:val="005B2110"/>
    <w:rsid w:val="005B61E6"/>
    <w:rsid w:val="005C60C5"/>
    <w:rsid w:val="005C6B8D"/>
    <w:rsid w:val="005C77E1"/>
    <w:rsid w:val="005D02F3"/>
    <w:rsid w:val="005D1C1E"/>
    <w:rsid w:val="005D2099"/>
    <w:rsid w:val="005D668A"/>
    <w:rsid w:val="005D6A2F"/>
    <w:rsid w:val="005D71CA"/>
    <w:rsid w:val="005E08A5"/>
    <w:rsid w:val="005E1A82"/>
    <w:rsid w:val="005E794C"/>
    <w:rsid w:val="005F0679"/>
    <w:rsid w:val="005F0A28"/>
    <w:rsid w:val="005F0E5E"/>
    <w:rsid w:val="00600535"/>
    <w:rsid w:val="006018B3"/>
    <w:rsid w:val="00605FF2"/>
    <w:rsid w:val="006107C1"/>
    <w:rsid w:val="00610CD6"/>
    <w:rsid w:val="00620DEE"/>
    <w:rsid w:val="00621F92"/>
    <w:rsid w:val="0062280A"/>
    <w:rsid w:val="006237B0"/>
    <w:rsid w:val="00625639"/>
    <w:rsid w:val="0063050D"/>
    <w:rsid w:val="00631B33"/>
    <w:rsid w:val="006349B7"/>
    <w:rsid w:val="006368CA"/>
    <w:rsid w:val="0063781E"/>
    <w:rsid w:val="0064005F"/>
    <w:rsid w:val="0064184D"/>
    <w:rsid w:val="006422CC"/>
    <w:rsid w:val="00642B98"/>
    <w:rsid w:val="00645ED2"/>
    <w:rsid w:val="00650EC5"/>
    <w:rsid w:val="0065129C"/>
    <w:rsid w:val="00652AF4"/>
    <w:rsid w:val="00656893"/>
    <w:rsid w:val="00656B86"/>
    <w:rsid w:val="00660E3E"/>
    <w:rsid w:val="00661028"/>
    <w:rsid w:val="00662D5A"/>
    <w:rsid w:val="00662E74"/>
    <w:rsid w:val="00663042"/>
    <w:rsid w:val="006653AF"/>
    <w:rsid w:val="00671DE7"/>
    <w:rsid w:val="00680C23"/>
    <w:rsid w:val="00683827"/>
    <w:rsid w:val="00684E23"/>
    <w:rsid w:val="006858DB"/>
    <w:rsid w:val="00690424"/>
    <w:rsid w:val="00690A7E"/>
    <w:rsid w:val="00691014"/>
    <w:rsid w:val="00691DDC"/>
    <w:rsid w:val="00693766"/>
    <w:rsid w:val="006948C3"/>
    <w:rsid w:val="00695698"/>
    <w:rsid w:val="006956D6"/>
    <w:rsid w:val="00695E97"/>
    <w:rsid w:val="006A07F6"/>
    <w:rsid w:val="006A23E9"/>
    <w:rsid w:val="006A3281"/>
    <w:rsid w:val="006B1D9F"/>
    <w:rsid w:val="006B2681"/>
    <w:rsid w:val="006B4888"/>
    <w:rsid w:val="006B4D72"/>
    <w:rsid w:val="006C0041"/>
    <w:rsid w:val="006C0055"/>
    <w:rsid w:val="006C2953"/>
    <w:rsid w:val="006C2E45"/>
    <w:rsid w:val="006C359C"/>
    <w:rsid w:val="006C373F"/>
    <w:rsid w:val="006C3A91"/>
    <w:rsid w:val="006C5579"/>
    <w:rsid w:val="006C6CC7"/>
    <w:rsid w:val="006D1003"/>
    <w:rsid w:val="006D5D36"/>
    <w:rsid w:val="006D6CA4"/>
    <w:rsid w:val="006D6E8B"/>
    <w:rsid w:val="006E080A"/>
    <w:rsid w:val="006E1D83"/>
    <w:rsid w:val="006E4F23"/>
    <w:rsid w:val="006E737D"/>
    <w:rsid w:val="006F2C18"/>
    <w:rsid w:val="006F6856"/>
    <w:rsid w:val="006F7D67"/>
    <w:rsid w:val="00701F5A"/>
    <w:rsid w:val="00705CE0"/>
    <w:rsid w:val="00711532"/>
    <w:rsid w:val="00713973"/>
    <w:rsid w:val="007148A8"/>
    <w:rsid w:val="00714D07"/>
    <w:rsid w:val="00720A24"/>
    <w:rsid w:val="00722F2D"/>
    <w:rsid w:val="00732386"/>
    <w:rsid w:val="0073514D"/>
    <w:rsid w:val="007368A1"/>
    <w:rsid w:val="007447F3"/>
    <w:rsid w:val="00753DE1"/>
    <w:rsid w:val="0075499F"/>
    <w:rsid w:val="007552BC"/>
    <w:rsid w:val="007608BC"/>
    <w:rsid w:val="00762791"/>
    <w:rsid w:val="00763280"/>
    <w:rsid w:val="00763C65"/>
    <w:rsid w:val="0076563B"/>
    <w:rsid w:val="007661C8"/>
    <w:rsid w:val="0077098D"/>
    <w:rsid w:val="0077250F"/>
    <w:rsid w:val="00774206"/>
    <w:rsid w:val="007766E2"/>
    <w:rsid w:val="00776A91"/>
    <w:rsid w:val="00784056"/>
    <w:rsid w:val="007931FA"/>
    <w:rsid w:val="00793C18"/>
    <w:rsid w:val="007966FC"/>
    <w:rsid w:val="0079775F"/>
    <w:rsid w:val="00797C5E"/>
    <w:rsid w:val="007A00A5"/>
    <w:rsid w:val="007A4861"/>
    <w:rsid w:val="007A7BBA"/>
    <w:rsid w:val="007B0C50"/>
    <w:rsid w:val="007B1C90"/>
    <w:rsid w:val="007B48F9"/>
    <w:rsid w:val="007B6DC8"/>
    <w:rsid w:val="007C1A43"/>
    <w:rsid w:val="007C5F6A"/>
    <w:rsid w:val="007C62C2"/>
    <w:rsid w:val="007C77A6"/>
    <w:rsid w:val="007D0951"/>
    <w:rsid w:val="007D11CF"/>
    <w:rsid w:val="007D471C"/>
    <w:rsid w:val="007E1CDC"/>
    <w:rsid w:val="007E603B"/>
    <w:rsid w:val="007F1337"/>
    <w:rsid w:val="007F2694"/>
    <w:rsid w:val="007F2715"/>
    <w:rsid w:val="007F37A1"/>
    <w:rsid w:val="007F3CDB"/>
    <w:rsid w:val="007F47C4"/>
    <w:rsid w:val="007F58D3"/>
    <w:rsid w:val="007F6AE4"/>
    <w:rsid w:val="0080013E"/>
    <w:rsid w:val="0080203D"/>
    <w:rsid w:val="00802F5B"/>
    <w:rsid w:val="00806B26"/>
    <w:rsid w:val="008110BB"/>
    <w:rsid w:val="00813288"/>
    <w:rsid w:val="00814BBD"/>
    <w:rsid w:val="00815370"/>
    <w:rsid w:val="0081564E"/>
    <w:rsid w:val="008168FC"/>
    <w:rsid w:val="00820202"/>
    <w:rsid w:val="0082360E"/>
    <w:rsid w:val="00826BFC"/>
    <w:rsid w:val="008272A3"/>
    <w:rsid w:val="00827F2C"/>
    <w:rsid w:val="00830996"/>
    <w:rsid w:val="00831749"/>
    <w:rsid w:val="008345F1"/>
    <w:rsid w:val="00836945"/>
    <w:rsid w:val="00836C72"/>
    <w:rsid w:val="00837CC9"/>
    <w:rsid w:val="00843EAC"/>
    <w:rsid w:val="00845249"/>
    <w:rsid w:val="00846484"/>
    <w:rsid w:val="0086063B"/>
    <w:rsid w:val="00860798"/>
    <w:rsid w:val="00860A3C"/>
    <w:rsid w:val="00860D43"/>
    <w:rsid w:val="00860EF5"/>
    <w:rsid w:val="00865343"/>
    <w:rsid w:val="00865B07"/>
    <w:rsid w:val="00865EEC"/>
    <w:rsid w:val="008667EA"/>
    <w:rsid w:val="00866BFD"/>
    <w:rsid w:val="008671F6"/>
    <w:rsid w:val="0086782E"/>
    <w:rsid w:val="00871FAF"/>
    <w:rsid w:val="00872C38"/>
    <w:rsid w:val="00874819"/>
    <w:rsid w:val="0087637F"/>
    <w:rsid w:val="00877F70"/>
    <w:rsid w:val="0088756E"/>
    <w:rsid w:val="00892AD5"/>
    <w:rsid w:val="008A0251"/>
    <w:rsid w:val="008A0428"/>
    <w:rsid w:val="008A1512"/>
    <w:rsid w:val="008A1D9E"/>
    <w:rsid w:val="008B4013"/>
    <w:rsid w:val="008B7C03"/>
    <w:rsid w:val="008C10B8"/>
    <w:rsid w:val="008C16B8"/>
    <w:rsid w:val="008C18D4"/>
    <w:rsid w:val="008D022B"/>
    <w:rsid w:val="008D32B9"/>
    <w:rsid w:val="008D433B"/>
    <w:rsid w:val="008D4A16"/>
    <w:rsid w:val="008D58B9"/>
    <w:rsid w:val="008E0C45"/>
    <w:rsid w:val="008E0EB7"/>
    <w:rsid w:val="008E1F5A"/>
    <w:rsid w:val="008E566E"/>
    <w:rsid w:val="008E5CC6"/>
    <w:rsid w:val="008E7136"/>
    <w:rsid w:val="008E7E58"/>
    <w:rsid w:val="008F2BE7"/>
    <w:rsid w:val="008F4762"/>
    <w:rsid w:val="008F6AE1"/>
    <w:rsid w:val="0090161A"/>
    <w:rsid w:val="00901EB6"/>
    <w:rsid w:val="00902EDA"/>
    <w:rsid w:val="00904C62"/>
    <w:rsid w:val="00907DB8"/>
    <w:rsid w:val="0091054E"/>
    <w:rsid w:val="00911779"/>
    <w:rsid w:val="00911924"/>
    <w:rsid w:val="00911BEC"/>
    <w:rsid w:val="009165F1"/>
    <w:rsid w:val="00920945"/>
    <w:rsid w:val="00922BA8"/>
    <w:rsid w:val="00923965"/>
    <w:rsid w:val="00924DAC"/>
    <w:rsid w:val="00925027"/>
    <w:rsid w:val="00927058"/>
    <w:rsid w:val="00931B11"/>
    <w:rsid w:val="00942750"/>
    <w:rsid w:val="009450CE"/>
    <w:rsid w:val="009454A1"/>
    <w:rsid w:val="009454ED"/>
    <w:rsid w:val="009459BB"/>
    <w:rsid w:val="00947179"/>
    <w:rsid w:val="009478C8"/>
    <w:rsid w:val="00951267"/>
    <w:rsid w:val="0095164B"/>
    <w:rsid w:val="00951B64"/>
    <w:rsid w:val="0095220B"/>
    <w:rsid w:val="009529D9"/>
    <w:rsid w:val="00953A4F"/>
    <w:rsid w:val="00954090"/>
    <w:rsid w:val="009547AF"/>
    <w:rsid w:val="00956350"/>
    <w:rsid w:val="009569DE"/>
    <w:rsid w:val="009573E7"/>
    <w:rsid w:val="00957B4D"/>
    <w:rsid w:val="00961616"/>
    <w:rsid w:val="0096178A"/>
    <w:rsid w:val="009625D9"/>
    <w:rsid w:val="00963E05"/>
    <w:rsid w:val="00964A45"/>
    <w:rsid w:val="0096502F"/>
    <w:rsid w:val="009672F8"/>
    <w:rsid w:val="0096738B"/>
    <w:rsid w:val="00967843"/>
    <w:rsid w:val="00967D54"/>
    <w:rsid w:val="00971028"/>
    <w:rsid w:val="009732E9"/>
    <w:rsid w:val="00976801"/>
    <w:rsid w:val="009776C0"/>
    <w:rsid w:val="00980452"/>
    <w:rsid w:val="00981BDD"/>
    <w:rsid w:val="00982408"/>
    <w:rsid w:val="00990E2F"/>
    <w:rsid w:val="00993B84"/>
    <w:rsid w:val="009962E5"/>
    <w:rsid w:val="00996483"/>
    <w:rsid w:val="00996F5A"/>
    <w:rsid w:val="009A09AC"/>
    <w:rsid w:val="009B041A"/>
    <w:rsid w:val="009B0567"/>
    <w:rsid w:val="009B49C4"/>
    <w:rsid w:val="009C37C3"/>
    <w:rsid w:val="009C408B"/>
    <w:rsid w:val="009C58D9"/>
    <w:rsid w:val="009C63AB"/>
    <w:rsid w:val="009C6878"/>
    <w:rsid w:val="009C7C86"/>
    <w:rsid w:val="009D2FF7"/>
    <w:rsid w:val="009D345F"/>
    <w:rsid w:val="009E443A"/>
    <w:rsid w:val="009E520C"/>
    <w:rsid w:val="009E7884"/>
    <w:rsid w:val="009E788A"/>
    <w:rsid w:val="009F0E08"/>
    <w:rsid w:val="009F3F30"/>
    <w:rsid w:val="009F465E"/>
    <w:rsid w:val="009F4BD3"/>
    <w:rsid w:val="009F5DF2"/>
    <w:rsid w:val="00A0161D"/>
    <w:rsid w:val="00A03650"/>
    <w:rsid w:val="00A067E0"/>
    <w:rsid w:val="00A105F9"/>
    <w:rsid w:val="00A1342D"/>
    <w:rsid w:val="00A1763D"/>
    <w:rsid w:val="00A178A0"/>
    <w:rsid w:val="00A17CEC"/>
    <w:rsid w:val="00A2017E"/>
    <w:rsid w:val="00A226B9"/>
    <w:rsid w:val="00A231D8"/>
    <w:rsid w:val="00A23A84"/>
    <w:rsid w:val="00A27EF0"/>
    <w:rsid w:val="00A32DF9"/>
    <w:rsid w:val="00A33B3F"/>
    <w:rsid w:val="00A34A11"/>
    <w:rsid w:val="00A36A94"/>
    <w:rsid w:val="00A40F5E"/>
    <w:rsid w:val="00A41F05"/>
    <w:rsid w:val="00A42361"/>
    <w:rsid w:val="00A43D34"/>
    <w:rsid w:val="00A44BF3"/>
    <w:rsid w:val="00A50B20"/>
    <w:rsid w:val="00A51390"/>
    <w:rsid w:val="00A60D13"/>
    <w:rsid w:val="00A6734E"/>
    <w:rsid w:val="00A7223D"/>
    <w:rsid w:val="00A72745"/>
    <w:rsid w:val="00A74FC7"/>
    <w:rsid w:val="00A76EFC"/>
    <w:rsid w:val="00A77612"/>
    <w:rsid w:val="00A80E71"/>
    <w:rsid w:val="00A87D50"/>
    <w:rsid w:val="00A90137"/>
    <w:rsid w:val="00A90B07"/>
    <w:rsid w:val="00A91010"/>
    <w:rsid w:val="00A915D9"/>
    <w:rsid w:val="00A9422A"/>
    <w:rsid w:val="00A9463D"/>
    <w:rsid w:val="00A97548"/>
    <w:rsid w:val="00A97D04"/>
    <w:rsid w:val="00A97F29"/>
    <w:rsid w:val="00AA06C9"/>
    <w:rsid w:val="00AA0EE0"/>
    <w:rsid w:val="00AA44FE"/>
    <w:rsid w:val="00AA6608"/>
    <w:rsid w:val="00AA702E"/>
    <w:rsid w:val="00AA7D26"/>
    <w:rsid w:val="00AB0964"/>
    <w:rsid w:val="00AB2F9E"/>
    <w:rsid w:val="00AB311D"/>
    <w:rsid w:val="00AB5011"/>
    <w:rsid w:val="00AB76ED"/>
    <w:rsid w:val="00AC3324"/>
    <w:rsid w:val="00AC438A"/>
    <w:rsid w:val="00AC50DF"/>
    <w:rsid w:val="00AC66F0"/>
    <w:rsid w:val="00AC7368"/>
    <w:rsid w:val="00AD16B9"/>
    <w:rsid w:val="00AD33D9"/>
    <w:rsid w:val="00AD3CEF"/>
    <w:rsid w:val="00AE33A6"/>
    <w:rsid w:val="00AE377D"/>
    <w:rsid w:val="00AF0EBA"/>
    <w:rsid w:val="00AF32A9"/>
    <w:rsid w:val="00AF5AD1"/>
    <w:rsid w:val="00AF5FAC"/>
    <w:rsid w:val="00B004D9"/>
    <w:rsid w:val="00B0261E"/>
    <w:rsid w:val="00B02C8A"/>
    <w:rsid w:val="00B06025"/>
    <w:rsid w:val="00B06B16"/>
    <w:rsid w:val="00B146B7"/>
    <w:rsid w:val="00B15EBF"/>
    <w:rsid w:val="00B16B5E"/>
    <w:rsid w:val="00B17029"/>
    <w:rsid w:val="00B17FBD"/>
    <w:rsid w:val="00B25CA3"/>
    <w:rsid w:val="00B315A6"/>
    <w:rsid w:val="00B31813"/>
    <w:rsid w:val="00B32B8B"/>
    <w:rsid w:val="00B33365"/>
    <w:rsid w:val="00B36B98"/>
    <w:rsid w:val="00B46A20"/>
    <w:rsid w:val="00B51426"/>
    <w:rsid w:val="00B523F1"/>
    <w:rsid w:val="00B57B36"/>
    <w:rsid w:val="00B57E6F"/>
    <w:rsid w:val="00B61C35"/>
    <w:rsid w:val="00B66B88"/>
    <w:rsid w:val="00B67F37"/>
    <w:rsid w:val="00B711F5"/>
    <w:rsid w:val="00B81433"/>
    <w:rsid w:val="00B852FC"/>
    <w:rsid w:val="00B8686D"/>
    <w:rsid w:val="00B87169"/>
    <w:rsid w:val="00B909C3"/>
    <w:rsid w:val="00B93F69"/>
    <w:rsid w:val="00B95B4C"/>
    <w:rsid w:val="00B9643E"/>
    <w:rsid w:val="00BB06D9"/>
    <w:rsid w:val="00BB0AC3"/>
    <w:rsid w:val="00BB1DDC"/>
    <w:rsid w:val="00BB2682"/>
    <w:rsid w:val="00BC30C9"/>
    <w:rsid w:val="00BC3A79"/>
    <w:rsid w:val="00BC4072"/>
    <w:rsid w:val="00BC463E"/>
    <w:rsid w:val="00BC4BD7"/>
    <w:rsid w:val="00BC63F7"/>
    <w:rsid w:val="00BC6F1B"/>
    <w:rsid w:val="00BC77F3"/>
    <w:rsid w:val="00BD077D"/>
    <w:rsid w:val="00BD3020"/>
    <w:rsid w:val="00BE191D"/>
    <w:rsid w:val="00BE372C"/>
    <w:rsid w:val="00BE3E58"/>
    <w:rsid w:val="00BE56DE"/>
    <w:rsid w:val="00BF0E86"/>
    <w:rsid w:val="00C00DB5"/>
    <w:rsid w:val="00C01616"/>
    <w:rsid w:val="00C0162B"/>
    <w:rsid w:val="00C01CC1"/>
    <w:rsid w:val="00C02366"/>
    <w:rsid w:val="00C02715"/>
    <w:rsid w:val="00C046D3"/>
    <w:rsid w:val="00C068ED"/>
    <w:rsid w:val="00C07083"/>
    <w:rsid w:val="00C07272"/>
    <w:rsid w:val="00C10218"/>
    <w:rsid w:val="00C10327"/>
    <w:rsid w:val="00C11073"/>
    <w:rsid w:val="00C1338D"/>
    <w:rsid w:val="00C16C8A"/>
    <w:rsid w:val="00C16DB2"/>
    <w:rsid w:val="00C174AC"/>
    <w:rsid w:val="00C20A6E"/>
    <w:rsid w:val="00C2117C"/>
    <w:rsid w:val="00C21D1F"/>
    <w:rsid w:val="00C22E0C"/>
    <w:rsid w:val="00C244C4"/>
    <w:rsid w:val="00C3413B"/>
    <w:rsid w:val="00C3440D"/>
    <w:rsid w:val="00C345B1"/>
    <w:rsid w:val="00C40142"/>
    <w:rsid w:val="00C4030F"/>
    <w:rsid w:val="00C4165A"/>
    <w:rsid w:val="00C46A1F"/>
    <w:rsid w:val="00C477DB"/>
    <w:rsid w:val="00C51BC9"/>
    <w:rsid w:val="00C52C3C"/>
    <w:rsid w:val="00C5392E"/>
    <w:rsid w:val="00C57182"/>
    <w:rsid w:val="00C576E6"/>
    <w:rsid w:val="00C57863"/>
    <w:rsid w:val="00C57B84"/>
    <w:rsid w:val="00C640AF"/>
    <w:rsid w:val="00C655FD"/>
    <w:rsid w:val="00C70575"/>
    <w:rsid w:val="00C715D3"/>
    <w:rsid w:val="00C71C82"/>
    <w:rsid w:val="00C75407"/>
    <w:rsid w:val="00C755F0"/>
    <w:rsid w:val="00C870A8"/>
    <w:rsid w:val="00C93451"/>
    <w:rsid w:val="00C94434"/>
    <w:rsid w:val="00CA0D4A"/>
    <w:rsid w:val="00CA0D75"/>
    <w:rsid w:val="00CA1C95"/>
    <w:rsid w:val="00CA50D2"/>
    <w:rsid w:val="00CA5A9C"/>
    <w:rsid w:val="00CB0FFB"/>
    <w:rsid w:val="00CB310B"/>
    <w:rsid w:val="00CB4D70"/>
    <w:rsid w:val="00CC3E50"/>
    <w:rsid w:val="00CC4C20"/>
    <w:rsid w:val="00CC6807"/>
    <w:rsid w:val="00CD3517"/>
    <w:rsid w:val="00CD5E93"/>
    <w:rsid w:val="00CD5FE2"/>
    <w:rsid w:val="00CD7F7D"/>
    <w:rsid w:val="00CE039D"/>
    <w:rsid w:val="00CE43A4"/>
    <w:rsid w:val="00CE7C68"/>
    <w:rsid w:val="00CF411C"/>
    <w:rsid w:val="00CF41D1"/>
    <w:rsid w:val="00CF586C"/>
    <w:rsid w:val="00CF6EF0"/>
    <w:rsid w:val="00D02B4C"/>
    <w:rsid w:val="00D040C4"/>
    <w:rsid w:val="00D069CE"/>
    <w:rsid w:val="00D20AD1"/>
    <w:rsid w:val="00D20D1B"/>
    <w:rsid w:val="00D2151F"/>
    <w:rsid w:val="00D21940"/>
    <w:rsid w:val="00D36439"/>
    <w:rsid w:val="00D36997"/>
    <w:rsid w:val="00D36E4E"/>
    <w:rsid w:val="00D42B29"/>
    <w:rsid w:val="00D46B7E"/>
    <w:rsid w:val="00D51D24"/>
    <w:rsid w:val="00D531DB"/>
    <w:rsid w:val="00D5673C"/>
    <w:rsid w:val="00D57753"/>
    <w:rsid w:val="00D57C84"/>
    <w:rsid w:val="00D6057D"/>
    <w:rsid w:val="00D63AF4"/>
    <w:rsid w:val="00D648EC"/>
    <w:rsid w:val="00D6691A"/>
    <w:rsid w:val="00D71640"/>
    <w:rsid w:val="00D746C3"/>
    <w:rsid w:val="00D74E50"/>
    <w:rsid w:val="00D836C5"/>
    <w:rsid w:val="00D83F0F"/>
    <w:rsid w:val="00D84576"/>
    <w:rsid w:val="00D875F2"/>
    <w:rsid w:val="00D94FD1"/>
    <w:rsid w:val="00DA1399"/>
    <w:rsid w:val="00DA2428"/>
    <w:rsid w:val="00DA24C6"/>
    <w:rsid w:val="00DA4D7B"/>
    <w:rsid w:val="00DB002C"/>
    <w:rsid w:val="00DB1C9D"/>
    <w:rsid w:val="00DB27E6"/>
    <w:rsid w:val="00DB3233"/>
    <w:rsid w:val="00DB4A2E"/>
    <w:rsid w:val="00DC46DF"/>
    <w:rsid w:val="00DD09EC"/>
    <w:rsid w:val="00DD0B08"/>
    <w:rsid w:val="00DD271C"/>
    <w:rsid w:val="00DD3C34"/>
    <w:rsid w:val="00DD54A6"/>
    <w:rsid w:val="00DD6554"/>
    <w:rsid w:val="00DE1220"/>
    <w:rsid w:val="00DE264A"/>
    <w:rsid w:val="00DE7AAB"/>
    <w:rsid w:val="00DF099E"/>
    <w:rsid w:val="00DF5072"/>
    <w:rsid w:val="00DF7232"/>
    <w:rsid w:val="00E00DC1"/>
    <w:rsid w:val="00E02D18"/>
    <w:rsid w:val="00E041E7"/>
    <w:rsid w:val="00E060C2"/>
    <w:rsid w:val="00E10361"/>
    <w:rsid w:val="00E11951"/>
    <w:rsid w:val="00E138AF"/>
    <w:rsid w:val="00E14E98"/>
    <w:rsid w:val="00E17D34"/>
    <w:rsid w:val="00E220F3"/>
    <w:rsid w:val="00E23CA1"/>
    <w:rsid w:val="00E33A3E"/>
    <w:rsid w:val="00E33DD7"/>
    <w:rsid w:val="00E40585"/>
    <w:rsid w:val="00E409A8"/>
    <w:rsid w:val="00E41BF7"/>
    <w:rsid w:val="00E429D5"/>
    <w:rsid w:val="00E43F9F"/>
    <w:rsid w:val="00E459D8"/>
    <w:rsid w:val="00E465AB"/>
    <w:rsid w:val="00E50C12"/>
    <w:rsid w:val="00E5276A"/>
    <w:rsid w:val="00E52EF2"/>
    <w:rsid w:val="00E535F8"/>
    <w:rsid w:val="00E54762"/>
    <w:rsid w:val="00E54AF3"/>
    <w:rsid w:val="00E55B5C"/>
    <w:rsid w:val="00E566B3"/>
    <w:rsid w:val="00E62808"/>
    <w:rsid w:val="00E63172"/>
    <w:rsid w:val="00E63927"/>
    <w:rsid w:val="00E648CE"/>
    <w:rsid w:val="00E64B56"/>
    <w:rsid w:val="00E65B91"/>
    <w:rsid w:val="00E67348"/>
    <w:rsid w:val="00E70795"/>
    <w:rsid w:val="00E70A4C"/>
    <w:rsid w:val="00E71C6D"/>
    <w:rsid w:val="00E7209D"/>
    <w:rsid w:val="00E72B8E"/>
    <w:rsid w:val="00E72EAD"/>
    <w:rsid w:val="00E73E01"/>
    <w:rsid w:val="00E77223"/>
    <w:rsid w:val="00E777A5"/>
    <w:rsid w:val="00E82694"/>
    <w:rsid w:val="00E8528B"/>
    <w:rsid w:val="00E85B94"/>
    <w:rsid w:val="00E92EE0"/>
    <w:rsid w:val="00E978D0"/>
    <w:rsid w:val="00EA089E"/>
    <w:rsid w:val="00EA206E"/>
    <w:rsid w:val="00EA4613"/>
    <w:rsid w:val="00EA4652"/>
    <w:rsid w:val="00EA7965"/>
    <w:rsid w:val="00EA7F91"/>
    <w:rsid w:val="00EB0B7B"/>
    <w:rsid w:val="00EB1523"/>
    <w:rsid w:val="00EC0E49"/>
    <w:rsid w:val="00EC101F"/>
    <w:rsid w:val="00EC11FA"/>
    <w:rsid w:val="00EC1D9F"/>
    <w:rsid w:val="00ED4941"/>
    <w:rsid w:val="00EE0131"/>
    <w:rsid w:val="00EE17B0"/>
    <w:rsid w:val="00EE29C9"/>
    <w:rsid w:val="00EE3AAA"/>
    <w:rsid w:val="00EE4C77"/>
    <w:rsid w:val="00EE5EA4"/>
    <w:rsid w:val="00EE6A0A"/>
    <w:rsid w:val="00EF02DC"/>
    <w:rsid w:val="00EF06D9"/>
    <w:rsid w:val="00EF281C"/>
    <w:rsid w:val="00EF39D1"/>
    <w:rsid w:val="00F025E9"/>
    <w:rsid w:val="00F10319"/>
    <w:rsid w:val="00F12DF5"/>
    <w:rsid w:val="00F16C12"/>
    <w:rsid w:val="00F224B6"/>
    <w:rsid w:val="00F265CA"/>
    <w:rsid w:val="00F2685F"/>
    <w:rsid w:val="00F3049E"/>
    <w:rsid w:val="00F30C64"/>
    <w:rsid w:val="00F311D0"/>
    <w:rsid w:val="00F32BA2"/>
    <w:rsid w:val="00F32CDB"/>
    <w:rsid w:val="00F34BBA"/>
    <w:rsid w:val="00F35E05"/>
    <w:rsid w:val="00F40165"/>
    <w:rsid w:val="00F42514"/>
    <w:rsid w:val="00F458C3"/>
    <w:rsid w:val="00F46941"/>
    <w:rsid w:val="00F475D1"/>
    <w:rsid w:val="00F50C75"/>
    <w:rsid w:val="00F5519F"/>
    <w:rsid w:val="00F565FE"/>
    <w:rsid w:val="00F61C28"/>
    <w:rsid w:val="00F6222C"/>
    <w:rsid w:val="00F63A70"/>
    <w:rsid w:val="00F63D8C"/>
    <w:rsid w:val="00F63FD5"/>
    <w:rsid w:val="00F6451F"/>
    <w:rsid w:val="00F64BA1"/>
    <w:rsid w:val="00F64CFD"/>
    <w:rsid w:val="00F7139F"/>
    <w:rsid w:val="00F738DC"/>
    <w:rsid w:val="00F73EA5"/>
    <w:rsid w:val="00F7534E"/>
    <w:rsid w:val="00F8200B"/>
    <w:rsid w:val="00F86D01"/>
    <w:rsid w:val="00F872BB"/>
    <w:rsid w:val="00F9027F"/>
    <w:rsid w:val="00F9295D"/>
    <w:rsid w:val="00F93EDF"/>
    <w:rsid w:val="00F9520A"/>
    <w:rsid w:val="00FA00DA"/>
    <w:rsid w:val="00FA1423"/>
    <w:rsid w:val="00FA1802"/>
    <w:rsid w:val="00FA21D0"/>
    <w:rsid w:val="00FA3353"/>
    <w:rsid w:val="00FA5F5F"/>
    <w:rsid w:val="00FB232E"/>
    <w:rsid w:val="00FB730C"/>
    <w:rsid w:val="00FC2695"/>
    <w:rsid w:val="00FC3E03"/>
    <w:rsid w:val="00FC3FC1"/>
    <w:rsid w:val="00FD5314"/>
    <w:rsid w:val="00FD5825"/>
    <w:rsid w:val="00FE15FD"/>
    <w:rsid w:val="00FE70B1"/>
    <w:rsid w:val="00FF1892"/>
    <w:rsid w:val="00FF297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ind w:left="0"/>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70280"/>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70280"/>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Rimandonotaapidipagina">
    <w:name w:val="footnote reference"/>
    <w:basedOn w:val="Carpredefinitoparagrafo"/>
    <w:uiPriority w:val="99"/>
    <w:semiHidden/>
    <w:unhideWhenUsed/>
    <w:rsid w:val="00B25CA3"/>
    <w:rPr>
      <w:vertAlign w:val="superscript"/>
    </w:rPr>
  </w:style>
  <w:style w:type="character" w:customStyle="1" w:styleId="cf01">
    <w:name w:val="cf01"/>
    <w:basedOn w:val="Carpredefinitoparagrafo"/>
    <w:rsid w:val="00B25CA3"/>
    <w:rPr>
      <w:rFonts w:ascii="Segoe UI" w:hAnsi="Segoe UI" w:cs="Segoe UI" w:hint="default"/>
      <w:color w:val="1F1F1F"/>
      <w:sz w:val="18"/>
      <w:szCs w:val="18"/>
      <w:shd w:val="clear" w:color="auto" w:fill="FFFFFF"/>
    </w:rPr>
  </w:style>
  <w:style w:type="paragraph" w:styleId="Revisione">
    <w:name w:val="Revision"/>
    <w:hidden/>
    <w:uiPriority w:val="99"/>
    <w:semiHidden/>
    <w:rsid w:val="0080203D"/>
    <w:pPr>
      <w:spacing w:after="0" w:line="240" w:lineRule="auto"/>
    </w:pPr>
    <w:rPr>
      <w:rFonts w:ascii="Arial" w:eastAsia="Times New Roman" w:hAnsi="Arial" w:cs="Times New Roman"/>
      <w:sz w:val="18"/>
      <w:szCs w:val="20"/>
      <w:lang w:val="en-GB"/>
    </w:rPr>
  </w:style>
  <w:style w:type="character" w:styleId="Testosegnaposto">
    <w:name w:val="Placeholder Text"/>
    <w:basedOn w:val="Carpredefinitoparagrafo"/>
    <w:uiPriority w:val="99"/>
    <w:semiHidden/>
    <w:rsid w:val="006F7D6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403656">
      <w:bodyDiv w:val="1"/>
      <w:marLeft w:val="0"/>
      <w:marRight w:val="0"/>
      <w:marTop w:val="0"/>
      <w:marBottom w:val="0"/>
      <w:divBdr>
        <w:top w:val="none" w:sz="0" w:space="0" w:color="auto"/>
        <w:left w:val="none" w:sz="0" w:space="0" w:color="auto"/>
        <w:bottom w:val="none" w:sz="0" w:space="0" w:color="auto"/>
        <w:right w:val="none" w:sz="0" w:space="0" w:color="auto"/>
      </w:divBdr>
    </w:div>
    <w:div w:id="513112472">
      <w:bodyDiv w:val="1"/>
      <w:marLeft w:val="0"/>
      <w:marRight w:val="0"/>
      <w:marTop w:val="0"/>
      <w:marBottom w:val="0"/>
      <w:divBdr>
        <w:top w:val="none" w:sz="0" w:space="0" w:color="auto"/>
        <w:left w:val="none" w:sz="0" w:space="0" w:color="auto"/>
        <w:bottom w:val="none" w:sz="0" w:space="0" w:color="auto"/>
        <w:right w:val="none" w:sz="0" w:space="0" w:color="auto"/>
      </w:divBdr>
      <w:divsChild>
        <w:div w:id="1238857640">
          <w:marLeft w:val="0"/>
          <w:marRight w:val="0"/>
          <w:marTop w:val="0"/>
          <w:marBottom w:val="0"/>
          <w:divBdr>
            <w:top w:val="none" w:sz="0" w:space="0" w:color="auto"/>
            <w:left w:val="none" w:sz="0" w:space="0" w:color="auto"/>
            <w:bottom w:val="none" w:sz="0" w:space="0" w:color="auto"/>
            <w:right w:val="none" w:sz="0" w:space="0" w:color="auto"/>
          </w:divBdr>
          <w:divsChild>
            <w:div w:id="118200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79504">
      <w:bodyDiv w:val="1"/>
      <w:marLeft w:val="0"/>
      <w:marRight w:val="0"/>
      <w:marTop w:val="0"/>
      <w:marBottom w:val="0"/>
      <w:divBdr>
        <w:top w:val="none" w:sz="0" w:space="0" w:color="auto"/>
        <w:left w:val="none" w:sz="0" w:space="0" w:color="auto"/>
        <w:bottom w:val="none" w:sz="0" w:space="0" w:color="auto"/>
        <w:right w:val="none" w:sz="0" w:space="0" w:color="auto"/>
      </w:divBdr>
    </w:div>
    <w:div w:id="71790089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1424">
      <w:bodyDiv w:val="1"/>
      <w:marLeft w:val="0"/>
      <w:marRight w:val="0"/>
      <w:marTop w:val="0"/>
      <w:marBottom w:val="0"/>
      <w:divBdr>
        <w:top w:val="none" w:sz="0" w:space="0" w:color="auto"/>
        <w:left w:val="none" w:sz="0" w:space="0" w:color="auto"/>
        <w:bottom w:val="none" w:sz="0" w:space="0" w:color="auto"/>
        <w:right w:val="none" w:sz="0" w:space="0" w:color="auto"/>
      </w:divBdr>
    </w:div>
    <w:div w:id="132481435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10040945">
      <w:bodyDiv w:val="1"/>
      <w:marLeft w:val="0"/>
      <w:marRight w:val="0"/>
      <w:marTop w:val="0"/>
      <w:marBottom w:val="0"/>
      <w:divBdr>
        <w:top w:val="none" w:sz="0" w:space="0" w:color="auto"/>
        <w:left w:val="none" w:sz="0" w:space="0" w:color="auto"/>
        <w:bottom w:val="none" w:sz="0" w:space="0" w:color="auto"/>
        <w:right w:val="none" w:sz="0" w:space="0" w:color="auto"/>
      </w:divBdr>
      <w:divsChild>
        <w:div w:id="247544111">
          <w:marLeft w:val="0"/>
          <w:marRight w:val="0"/>
          <w:marTop w:val="0"/>
          <w:marBottom w:val="0"/>
          <w:divBdr>
            <w:top w:val="none" w:sz="0" w:space="0" w:color="auto"/>
            <w:left w:val="none" w:sz="0" w:space="0" w:color="auto"/>
            <w:bottom w:val="none" w:sz="0" w:space="0" w:color="auto"/>
            <w:right w:val="none" w:sz="0" w:space="0" w:color="auto"/>
          </w:divBdr>
          <w:divsChild>
            <w:div w:id="529539051">
              <w:marLeft w:val="0"/>
              <w:marRight w:val="0"/>
              <w:marTop w:val="0"/>
              <w:marBottom w:val="0"/>
              <w:divBdr>
                <w:top w:val="none" w:sz="0" w:space="0" w:color="auto"/>
                <w:left w:val="none" w:sz="0" w:space="0" w:color="auto"/>
                <w:bottom w:val="none" w:sz="0" w:space="0" w:color="auto"/>
                <w:right w:val="none" w:sz="0" w:space="0" w:color="auto"/>
              </w:divBdr>
              <w:divsChild>
                <w:div w:id="134687548">
                  <w:marLeft w:val="0"/>
                  <w:marRight w:val="0"/>
                  <w:marTop w:val="0"/>
                  <w:marBottom w:val="0"/>
                  <w:divBdr>
                    <w:top w:val="none" w:sz="0" w:space="0" w:color="auto"/>
                    <w:left w:val="none" w:sz="0" w:space="0" w:color="auto"/>
                    <w:bottom w:val="none" w:sz="0" w:space="0" w:color="auto"/>
                    <w:right w:val="none" w:sz="0" w:space="0" w:color="auto"/>
                  </w:divBdr>
                  <w:divsChild>
                    <w:div w:id="1958756650">
                      <w:marLeft w:val="0"/>
                      <w:marRight w:val="0"/>
                      <w:marTop w:val="0"/>
                      <w:marBottom w:val="0"/>
                      <w:divBdr>
                        <w:top w:val="none" w:sz="0" w:space="0" w:color="auto"/>
                        <w:left w:val="none" w:sz="0" w:space="0" w:color="auto"/>
                        <w:bottom w:val="none" w:sz="0" w:space="0" w:color="auto"/>
                        <w:right w:val="none" w:sz="0" w:space="0" w:color="auto"/>
                      </w:divBdr>
                      <w:divsChild>
                        <w:div w:id="163785874">
                          <w:marLeft w:val="0"/>
                          <w:marRight w:val="0"/>
                          <w:marTop w:val="0"/>
                          <w:marBottom w:val="0"/>
                          <w:divBdr>
                            <w:top w:val="none" w:sz="0" w:space="0" w:color="auto"/>
                            <w:left w:val="none" w:sz="0" w:space="0" w:color="auto"/>
                            <w:bottom w:val="none" w:sz="0" w:space="0" w:color="auto"/>
                            <w:right w:val="none" w:sz="0" w:space="0" w:color="auto"/>
                          </w:divBdr>
                          <w:divsChild>
                            <w:div w:id="764959267">
                              <w:marLeft w:val="0"/>
                              <w:marRight w:val="0"/>
                              <w:marTop w:val="0"/>
                              <w:marBottom w:val="0"/>
                              <w:divBdr>
                                <w:top w:val="none" w:sz="0" w:space="0" w:color="auto"/>
                                <w:left w:val="none" w:sz="0" w:space="0" w:color="auto"/>
                                <w:bottom w:val="none" w:sz="0" w:space="0" w:color="auto"/>
                                <w:right w:val="none" w:sz="0" w:space="0" w:color="auto"/>
                              </w:divBdr>
                              <w:divsChild>
                                <w:div w:id="4598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3172">
      <w:bodyDiv w:val="1"/>
      <w:marLeft w:val="0"/>
      <w:marRight w:val="0"/>
      <w:marTop w:val="0"/>
      <w:marBottom w:val="0"/>
      <w:divBdr>
        <w:top w:val="none" w:sz="0" w:space="0" w:color="auto"/>
        <w:left w:val="none" w:sz="0" w:space="0" w:color="auto"/>
        <w:bottom w:val="none" w:sz="0" w:space="0" w:color="auto"/>
        <w:right w:val="none" w:sz="0" w:space="0" w:color="auto"/>
      </w:divBdr>
      <w:divsChild>
        <w:div w:id="1425758337">
          <w:marLeft w:val="0"/>
          <w:marRight w:val="0"/>
          <w:marTop w:val="0"/>
          <w:marBottom w:val="0"/>
          <w:divBdr>
            <w:top w:val="none" w:sz="0" w:space="0" w:color="auto"/>
            <w:left w:val="none" w:sz="0" w:space="0" w:color="auto"/>
            <w:bottom w:val="none" w:sz="0" w:space="0" w:color="auto"/>
            <w:right w:val="none" w:sz="0" w:space="0" w:color="auto"/>
          </w:divBdr>
          <w:divsChild>
            <w:div w:id="13821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BA1CD1-F764-4F0F-BA3A-172E96162050}">
  <we:reference id="wa200005121" version="1.0.0.0" store="en-US" storeType="OMEX"/>
  <we:alternateReferences>
    <we:reference id="wa200005121"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2169</TotalTime>
  <Pages>6</Pages>
  <Words>3228</Words>
  <Characters>18405</Characters>
  <Application>Microsoft Office Word</Application>
  <DocSecurity>0</DocSecurity>
  <Lines>153</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gabriele fambri</cp:lastModifiedBy>
  <cp:revision>642</cp:revision>
  <cp:lastPrinted>2024-03-11T09:40:00Z</cp:lastPrinted>
  <dcterms:created xsi:type="dcterms:W3CDTF">2023-12-21T10:36:00Z</dcterms:created>
  <dcterms:modified xsi:type="dcterms:W3CDTF">2024-04-08T09:55:00Z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