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9677A" w14:paraId="2A131A54" w14:textId="77777777" w:rsidTr="003940D4">
        <w:trPr>
          <w:trHeight w:val="852"/>
          <w:jc w:val="center"/>
        </w:trPr>
        <w:tc>
          <w:tcPr>
            <w:tcW w:w="6940" w:type="dxa"/>
            <w:vMerge w:val="restart"/>
            <w:tcBorders>
              <w:right w:val="single" w:sz="4" w:space="0" w:color="auto"/>
            </w:tcBorders>
          </w:tcPr>
          <w:p w14:paraId="38C3D2BA" w14:textId="77777777" w:rsidR="000A03B2" w:rsidRPr="0069677A" w:rsidRDefault="000A03B2" w:rsidP="00DE264A">
            <w:pPr>
              <w:tabs>
                <w:tab w:val="left" w:pos="-108"/>
              </w:tabs>
              <w:ind w:left="-108"/>
              <w:jc w:val="left"/>
              <w:rPr>
                <w:rFonts w:cs="Arial"/>
                <w:b/>
                <w:bCs/>
                <w:i/>
                <w:iCs/>
                <w:color w:val="000066"/>
                <w:sz w:val="12"/>
                <w:szCs w:val="12"/>
                <w:lang w:eastAsia="it-IT"/>
              </w:rPr>
            </w:pPr>
            <w:bookmarkStart w:id="0" w:name="_Hlk156225608"/>
            <w:bookmarkEnd w:id="0"/>
            <w:r w:rsidRPr="0069677A">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9677A">
              <w:rPr>
                <w:rFonts w:ascii="AdvP6960" w:hAnsi="AdvP6960" w:cs="AdvP6960"/>
                <w:color w:val="241F20"/>
                <w:szCs w:val="18"/>
                <w:lang w:eastAsia="it-IT"/>
              </w:rPr>
              <w:t xml:space="preserve"> </w:t>
            </w:r>
            <w:r w:rsidRPr="0069677A">
              <w:rPr>
                <w:rFonts w:cs="Arial"/>
                <w:b/>
                <w:bCs/>
                <w:i/>
                <w:iCs/>
                <w:color w:val="000066"/>
                <w:sz w:val="24"/>
                <w:szCs w:val="24"/>
                <w:lang w:eastAsia="it-IT"/>
              </w:rPr>
              <w:t>CHEMICAL ENGINEERING</w:t>
            </w:r>
            <w:r w:rsidRPr="0069677A">
              <w:rPr>
                <w:rFonts w:cs="Arial"/>
                <w:b/>
                <w:bCs/>
                <w:i/>
                <w:iCs/>
                <w:color w:val="0033FF"/>
                <w:sz w:val="24"/>
                <w:szCs w:val="24"/>
                <w:lang w:eastAsia="it-IT"/>
              </w:rPr>
              <w:t xml:space="preserve"> </w:t>
            </w:r>
            <w:r w:rsidRPr="0069677A">
              <w:rPr>
                <w:rFonts w:cs="Arial"/>
                <w:b/>
                <w:bCs/>
                <w:i/>
                <w:iCs/>
                <w:color w:val="666666"/>
                <w:sz w:val="24"/>
                <w:szCs w:val="24"/>
                <w:lang w:eastAsia="it-IT"/>
              </w:rPr>
              <w:t>TRANSACTIONS</w:t>
            </w:r>
            <w:r w:rsidRPr="0069677A">
              <w:rPr>
                <w:color w:val="333333"/>
                <w:sz w:val="24"/>
                <w:szCs w:val="24"/>
                <w:lang w:eastAsia="it-IT"/>
              </w:rPr>
              <w:t xml:space="preserve"> </w:t>
            </w:r>
            <w:r w:rsidRPr="0069677A">
              <w:rPr>
                <w:rFonts w:cs="Arial"/>
                <w:b/>
                <w:bCs/>
                <w:i/>
                <w:iCs/>
                <w:color w:val="000066"/>
                <w:sz w:val="27"/>
                <w:szCs w:val="27"/>
                <w:lang w:eastAsia="it-IT"/>
              </w:rPr>
              <w:br/>
            </w:r>
          </w:p>
          <w:p w14:paraId="4B780582" w14:textId="6B6C93B6" w:rsidR="000A03B2" w:rsidRPr="0069677A" w:rsidRDefault="00A76EFC" w:rsidP="001D21AF">
            <w:pPr>
              <w:tabs>
                <w:tab w:val="left" w:pos="-108"/>
              </w:tabs>
              <w:ind w:left="-108"/>
              <w:rPr>
                <w:rFonts w:cs="Arial"/>
                <w:b/>
                <w:bCs/>
                <w:i/>
                <w:iCs/>
                <w:color w:val="000066"/>
                <w:sz w:val="22"/>
                <w:szCs w:val="22"/>
                <w:lang w:eastAsia="it-IT"/>
              </w:rPr>
            </w:pPr>
            <w:r w:rsidRPr="0069677A">
              <w:rPr>
                <w:rFonts w:cs="Arial"/>
                <w:b/>
                <w:bCs/>
                <w:i/>
                <w:iCs/>
                <w:color w:val="000066"/>
                <w:sz w:val="22"/>
                <w:szCs w:val="22"/>
                <w:lang w:eastAsia="it-IT"/>
              </w:rPr>
              <w:t xml:space="preserve">VOL. </w:t>
            </w:r>
            <w:r w:rsidR="0030152C" w:rsidRPr="0069677A">
              <w:rPr>
                <w:rFonts w:cs="Arial"/>
                <w:b/>
                <w:bCs/>
                <w:i/>
                <w:iCs/>
                <w:color w:val="000066"/>
                <w:sz w:val="22"/>
                <w:szCs w:val="22"/>
                <w:lang w:eastAsia="it-IT"/>
              </w:rPr>
              <w:t xml:space="preserve"> </w:t>
            </w:r>
            <w:proofErr w:type="gramStart"/>
            <w:r w:rsidR="0030152C" w:rsidRPr="0069677A">
              <w:rPr>
                <w:rFonts w:cs="Arial"/>
                <w:b/>
                <w:bCs/>
                <w:i/>
                <w:iCs/>
                <w:color w:val="000066"/>
                <w:sz w:val="22"/>
                <w:szCs w:val="22"/>
                <w:lang w:eastAsia="it-IT"/>
              </w:rPr>
              <w:t xml:space="preserve">  </w:t>
            </w:r>
            <w:r w:rsidR="007B48F9" w:rsidRPr="0069677A">
              <w:rPr>
                <w:rFonts w:cs="Arial"/>
                <w:b/>
                <w:bCs/>
                <w:i/>
                <w:iCs/>
                <w:color w:val="000066"/>
                <w:sz w:val="22"/>
                <w:szCs w:val="22"/>
                <w:lang w:eastAsia="it-IT"/>
              </w:rPr>
              <w:t>,</w:t>
            </w:r>
            <w:proofErr w:type="gramEnd"/>
            <w:r w:rsidR="00FA5F5F" w:rsidRPr="0069677A">
              <w:rPr>
                <w:rFonts w:cs="Arial"/>
                <w:b/>
                <w:bCs/>
                <w:i/>
                <w:iCs/>
                <w:color w:val="000066"/>
                <w:sz w:val="22"/>
                <w:szCs w:val="22"/>
                <w:lang w:eastAsia="it-IT"/>
              </w:rPr>
              <w:t xml:space="preserve"> </w:t>
            </w:r>
            <w:r w:rsidR="0030152C" w:rsidRPr="0069677A">
              <w:rPr>
                <w:rFonts w:cs="Arial"/>
                <w:b/>
                <w:bCs/>
                <w:i/>
                <w:iCs/>
                <w:color w:val="000066"/>
                <w:sz w:val="22"/>
                <w:szCs w:val="22"/>
                <w:lang w:eastAsia="it-IT"/>
              </w:rPr>
              <w:t>202</w:t>
            </w:r>
            <w:r w:rsidR="006D5AC7" w:rsidRPr="0069677A">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69677A" w:rsidRDefault="000A03B2" w:rsidP="00CD5FE2">
            <w:pPr>
              <w:spacing w:line="140" w:lineRule="atLeast"/>
              <w:jc w:val="right"/>
              <w:rPr>
                <w:rFonts w:cs="Arial"/>
                <w:sz w:val="14"/>
                <w:szCs w:val="14"/>
              </w:rPr>
            </w:pPr>
            <w:r w:rsidRPr="0069677A">
              <w:rPr>
                <w:rFonts w:cs="Arial"/>
                <w:sz w:val="14"/>
                <w:szCs w:val="14"/>
              </w:rPr>
              <w:t>A publication of</w:t>
            </w:r>
          </w:p>
          <w:p w14:paraId="599E5441" w14:textId="77777777" w:rsidR="000A03B2" w:rsidRPr="0069677A" w:rsidRDefault="000A03B2" w:rsidP="00CD5FE2">
            <w:pPr>
              <w:jc w:val="right"/>
            </w:pPr>
            <w:r w:rsidRPr="0069677A">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9677A" w14:paraId="380FA3CD" w14:textId="77777777" w:rsidTr="003940D4">
        <w:trPr>
          <w:trHeight w:val="567"/>
          <w:jc w:val="center"/>
        </w:trPr>
        <w:tc>
          <w:tcPr>
            <w:tcW w:w="6940" w:type="dxa"/>
            <w:vMerge/>
            <w:tcBorders>
              <w:right w:val="single" w:sz="4" w:space="0" w:color="auto"/>
            </w:tcBorders>
          </w:tcPr>
          <w:p w14:paraId="39E5E4C1" w14:textId="77777777" w:rsidR="000A03B2" w:rsidRPr="0069677A"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69677A" w:rsidRDefault="000A03B2" w:rsidP="00CD5FE2">
            <w:pPr>
              <w:spacing w:line="140" w:lineRule="atLeast"/>
              <w:jc w:val="right"/>
              <w:rPr>
                <w:rFonts w:cs="Arial"/>
                <w:sz w:val="14"/>
                <w:szCs w:val="14"/>
              </w:rPr>
            </w:pPr>
            <w:r w:rsidRPr="0069677A">
              <w:rPr>
                <w:rFonts w:cs="Arial"/>
                <w:sz w:val="14"/>
                <w:szCs w:val="14"/>
              </w:rPr>
              <w:t>The Italian Association</w:t>
            </w:r>
          </w:p>
          <w:p w14:paraId="7522B1D2" w14:textId="77777777" w:rsidR="000A03B2" w:rsidRPr="0069677A" w:rsidRDefault="000A03B2" w:rsidP="00CD5FE2">
            <w:pPr>
              <w:spacing w:line="140" w:lineRule="atLeast"/>
              <w:jc w:val="right"/>
              <w:rPr>
                <w:rFonts w:cs="Arial"/>
                <w:sz w:val="14"/>
                <w:szCs w:val="14"/>
              </w:rPr>
            </w:pPr>
            <w:r w:rsidRPr="0069677A">
              <w:rPr>
                <w:rFonts w:cs="Arial"/>
                <w:sz w:val="14"/>
                <w:szCs w:val="14"/>
              </w:rPr>
              <w:t>of Chemical Engineering</w:t>
            </w:r>
          </w:p>
          <w:p w14:paraId="4F0CC5DE" w14:textId="47FDB2FC" w:rsidR="000A03B2" w:rsidRPr="0069677A" w:rsidRDefault="000D0268" w:rsidP="00CD5FE2">
            <w:pPr>
              <w:spacing w:line="140" w:lineRule="atLeast"/>
              <w:jc w:val="right"/>
              <w:rPr>
                <w:rFonts w:cs="Arial"/>
                <w:sz w:val="13"/>
                <w:szCs w:val="13"/>
              </w:rPr>
            </w:pPr>
            <w:r w:rsidRPr="0069677A">
              <w:rPr>
                <w:rFonts w:cs="Arial"/>
                <w:sz w:val="13"/>
                <w:szCs w:val="13"/>
              </w:rPr>
              <w:t>Online at www.cetjournal.it</w:t>
            </w:r>
          </w:p>
        </w:tc>
      </w:tr>
      <w:tr w:rsidR="000A03B2" w:rsidRPr="0069677A" w14:paraId="2D1B7169" w14:textId="77777777" w:rsidTr="003940D4">
        <w:trPr>
          <w:trHeight w:val="68"/>
          <w:jc w:val="center"/>
        </w:trPr>
        <w:tc>
          <w:tcPr>
            <w:tcW w:w="8782" w:type="dxa"/>
            <w:gridSpan w:val="2"/>
          </w:tcPr>
          <w:p w14:paraId="1D8DD3C9" w14:textId="086598E2" w:rsidR="00AA7D26" w:rsidRPr="0069677A" w:rsidRDefault="00AA7D26" w:rsidP="00AA7D26">
            <w:pPr>
              <w:ind w:left="-107"/>
              <w:outlineLvl w:val="2"/>
              <w:rPr>
                <w:rFonts w:ascii="Tahoma" w:hAnsi="Tahoma" w:cs="Tahoma"/>
                <w:bCs/>
                <w:color w:val="000000"/>
                <w:sz w:val="14"/>
                <w:szCs w:val="14"/>
                <w:lang w:eastAsia="it-IT"/>
              </w:rPr>
            </w:pPr>
            <w:r w:rsidRPr="0069677A">
              <w:rPr>
                <w:rFonts w:ascii="Tahoma" w:hAnsi="Tahoma" w:cs="Tahoma"/>
                <w:iCs/>
                <w:color w:val="333333"/>
                <w:sz w:val="14"/>
                <w:szCs w:val="14"/>
                <w:lang w:eastAsia="it-IT"/>
              </w:rPr>
              <w:t>Guest Editors:</w:t>
            </w:r>
            <w:r w:rsidRPr="0069677A">
              <w:rPr>
                <w:rFonts w:ascii="Tahoma" w:hAnsi="Tahoma" w:cs="Tahoma"/>
                <w:color w:val="000000"/>
                <w:sz w:val="14"/>
                <w:szCs w:val="14"/>
                <w:shd w:val="clear" w:color="auto" w:fill="FFFFFF"/>
              </w:rPr>
              <w:t xml:space="preserve"> </w:t>
            </w:r>
          </w:p>
          <w:p w14:paraId="1B0F1814" w14:textId="1CDEFB22" w:rsidR="000A03B2" w:rsidRPr="0069677A" w:rsidRDefault="00AA7D26" w:rsidP="00AA7D26">
            <w:pPr>
              <w:tabs>
                <w:tab w:val="left" w:pos="-108"/>
              </w:tabs>
              <w:spacing w:line="140" w:lineRule="atLeast"/>
              <w:ind w:left="-107"/>
              <w:jc w:val="left"/>
            </w:pPr>
            <w:r w:rsidRPr="0069677A">
              <w:rPr>
                <w:rFonts w:ascii="Tahoma" w:hAnsi="Tahoma" w:cs="Tahoma"/>
                <w:iCs/>
                <w:color w:val="333333"/>
                <w:sz w:val="14"/>
                <w:szCs w:val="14"/>
                <w:lang w:eastAsia="it-IT"/>
              </w:rPr>
              <w:t xml:space="preserve">Copyright © 2023, AIDIC </w:t>
            </w:r>
            <w:proofErr w:type="spellStart"/>
            <w:r w:rsidRPr="0069677A">
              <w:rPr>
                <w:rFonts w:ascii="Tahoma" w:hAnsi="Tahoma" w:cs="Tahoma"/>
                <w:iCs/>
                <w:color w:val="333333"/>
                <w:sz w:val="14"/>
                <w:szCs w:val="14"/>
                <w:lang w:eastAsia="it-IT"/>
              </w:rPr>
              <w:t>Servizi</w:t>
            </w:r>
            <w:proofErr w:type="spellEnd"/>
            <w:r w:rsidRPr="0069677A">
              <w:rPr>
                <w:rFonts w:ascii="Tahoma" w:hAnsi="Tahoma" w:cs="Tahoma"/>
                <w:iCs/>
                <w:color w:val="333333"/>
                <w:sz w:val="14"/>
                <w:szCs w:val="14"/>
                <w:lang w:eastAsia="it-IT"/>
              </w:rPr>
              <w:t xml:space="preserve"> </w:t>
            </w:r>
            <w:proofErr w:type="spellStart"/>
            <w:r w:rsidRPr="0069677A">
              <w:rPr>
                <w:rFonts w:ascii="Tahoma" w:hAnsi="Tahoma" w:cs="Tahoma"/>
                <w:iCs/>
                <w:color w:val="333333"/>
                <w:sz w:val="14"/>
                <w:szCs w:val="14"/>
                <w:lang w:eastAsia="it-IT"/>
              </w:rPr>
              <w:t>S.r.l</w:t>
            </w:r>
            <w:proofErr w:type="spellEnd"/>
            <w:r w:rsidRPr="0069677A">
              <w:rPr>
                <w:rFonts w:ascii="Tahoma" w:hAnsi="Tahoma" w:cs="Tahoma"/>
                <w:iCs/>
                <w:color w:val="333333"/>
                <w:sz w:val="14"/>
                <w:szCs w:val="14"/>
                <w:lang w:eastAsia="it-IT"/>
              </w:rPr>
              <w:t>.</w:t>
            </w:r>
            <w:r w:rsidRPr="0069677A">
              <w:rPr>
                <w:rFonts w:ascii="Tahoma" w:hAnsi="Tahoma" w:cs="Tahoma"/>
                <w:iCs/>
                <w:color w:val="333333"/>
                <w:sz w:val="14"/>
                <w:szCs w:val="14"/>
                <w:lang w:eastAsia="it-IT"/>
              </w:rPr>
              <w:br/>
            </w:r>
            <w:r w:rsidRPr="0069677A">
              <w:rPr>
                <w:rFonts w:ascii="Tahoma" w:hAnsi="Tahoma" w:cs="Tahoma"/>
                <w:b/>
                <w:iCs/>
                <w:color w:val="000000"/>
                <w:sz w:val="14"/>
                <w:szCs w:val="14"/>
                <w:lang w:eastAsia="it-IT"/>
              </w:rPr>
              <w:t>ISBN</w:t>
            </w:r>
            <w:r w:rsidRPr="0069677A">
              <w:rPr>
                <w:rFonts w:ascii="Tahoma" w:hAnsi="Tahoma" w:cs="Tahoma"/>
                <w:iCs/>
                <w:color w:val="000000"/>
                <w:sz w:val="14"/>
                <w:szCs w:val="14"/>
                <w:lang w:eastAsia="it-IT"/>
              </w:rPr>
              <w:t xml:space="preserve"> </w:t>
            </w:r>
            <w:r w:rsidR="00D2582C" w:rsidRPr="0069677A">
              <w:rPr>
                <w:rFonts w:ascii="Tahoma" w:hAnsi="Tahoma" w:cs="Tahoma"/>
                <w:sz w:val="14"/>
                <w:szCs w:val="14"/>
              </w:rPr>
              <w:t>979-12-81206-</w:t>
            </w:r>
            <w:r w:rsidR="00557E00" w:rsidRPr="0069677A">
              <w:rPr>
                <w:rFonts w:ascii="Tahoma" w:hAnsi="Tahoma" w:cs="Tahoma"/>
                <w:sz w:val="14"/>
                <w:szCs w:val="14"/>
              </w:rPr>
              <w:t>XX</w:t>
            </w:r>
            <w:r w:rsidR="00D2582C" w:rsidRPr="0069677A">
              <w:rPr>
                <w:rFonts w:ascii="Tahoma" w:hAnsi="Tahoma" w:cs="Tahoma"/>
                <w:sz w:val="14"/>
                <w:szCs w:val="14"/>
              </w:rPr>
              <w:t>-</w:t>
            </w:r>
            <w:r w:rsidR="00557E00" w:rsidRPr="0069677A">
              <w:rPr>
                <w:rFonts w:ascii="Tahoma" w:hAnsi="Tahoma" w:cs="Tahoma"/>
                <w:sz w:val="14"/>
                <w:szCs w:val="14"/>
              </w:rPr>
              <w:t>X</w:t>
            </w:r>
            <w:r w:rsidRPr="0069677A">
              <w:rPr>
                <w:rFonts w:ascii="Tahoma" w:hAnsi="Tahoma" w:cs="Tahoma"/>
                <w:iCs/>
                <w:color w:val="333333"/>
                <w:sz w:val="14"/>
                <w:szCs w:val="14"/>
                <w:lang w:eastAsia="it-IT"/>
              </w:rPr>
              <w:t xml:space="preserve">; </w:t>
            </w:r>
            <w:r w:rsidRPr="0069677A">
              <w:rPr>
                <w:rFonts w:ascii="Tahoma" w:hAnsi="Tahoma" w:cs="Tahoma"/>
                <w:b/>
                <w:iCs/>
                <w:color w:val="333333"/>
                <w:sz w:val="14"/>
                <w:szCs w:val="14"/>
                <w:lang w:eastAsia="it-IT"/>
              </w:rPr>
              <w:t>ISSN</w:t>
            </w:r>
            <w:r w:rsidRPr="0069677A">
              <w:rPr>
                <w:rFonts w:ascii="Tahoma" w:hAnsi="Tahoma" w:cs="Tahoma"/>
                <w:iCs/>
                <w:color w:val="333333"/>
                <w:sz w:val="14"/>
                <w:szCs w:val="14"/>
                <w:lang w:eastAsia="it-IT"/>
              </w:rPr>
              <w:t xml:space="preserve"> 2283-9216</w:t>
            </w:r>
          </w:p>
        </w:tc>
      </w:tr>
    </w:tbl>
    <w:p w14:paraId="2E667253" w14:textId="1F97D258" w:rsidR="00E978D0" w:rsidRPr="0069677A" w:rsidRDefault="003940D4" w:rsidP="00E978D0">
      <w:pPr>
        <w:pStyle w:val="CETTitle"/>
      </w:pPr>
      <w:r w:rsidRPr="0069677A">
        <w:t xml:space="preserve">Residual </w:t>
      </w:r>
      <w:bookmarkStart w:id="1" w:name="_Hlk156153130"/>
      <w:r w:rsidR="00135EFC">
        <w:t>B</w:t>
      </w:r>
      <w:r w:rsidRPr="0069677A">
        <w:t xml:space="preserve">iomass of </w:t>
      </w:r>
      <w:r w:rsidRPr="0069677A">
        <w:rPr>
          <w:i/>
          <w:iCs/>
        </w:rPr>
        <w:t>Chenopodium quinoa</w:t>
      </w:r>
      <w:r w:rsidRPr="0069677A">
        <w:t xml:space="preserve"> </w:t>
      </w:r>
      <w:bookmarkEnd w:id="1"/>
      <w:r w:rsidRPr="0069677A">
        <w:t xml:space="preserve">to obtain an </w:t>
      </w:r>
      <w:r w:rsidR="00135EFC">
        <w:t>E</w:t>
      </w:r>
      <w:r w:rsidRPr="0069677A">
        <w:t xml:space="preserve">co-friendly </w:t>
      </w:r>
      <w:r w:rsidR="00135EFC">
        <w:t>p</w:t>
      </w:r>
      <w:r w:rsidRPr="0069677A">
        <w:t xml:space="preserve">roduct as a </w:t>
      </w:r>
      <w:r w:rsidR="00135EFC">
        <w:t>B</w:t>
      </w:r>
      <w:r w:rsidRPr="0069677A">
        <w:t xml:space="preserve">iocide under the concept of </w:t>
      </w:r>
      <w:r w:rsidR="00135EFC">
        <w:t>C</w:t>
      </w:r>
      <w:r w:rsidRPr="0069677A">
        <w:t xml:space="preserve">ircular </w:t>
      </w:r>
      <w:r w:rsidR="00135EFC">
        <w:t>E</w:t>
      </w:r>
      <w:r w:rsidRPr="0069677A">
        <w:t>conomy</w:t>
      </w:r>
    </w:p>
    <w:p w14:paraId="0488FED2" w14:textId="075E2150" w:rsidR="00B57E6F" w:rsidRPr="0069677A" w:rsidRDefault="003940D4" w:rsidP="00B57E6F">
      <w:pPr>
        <w:pStyle w:val="CETAuthors"/>
      </w:pPr>
      <w:r w:rsidRPr="0069677A">
        <w:t>Lucía Juez Arévalo</w:t>
      </w:r>
      <w:r w:rsidR="00B57E6F" w:rsidRPr="0069677A">
        <w:t xml:space="preserve">, </w:t>
      </w:r>
      <w:r w:rsidR="00E32507" w:rsidRPr="0069677A">
        <w:t xml:space="preserve"> Felipa Muñoz Ccuro, </w:t>
      </w:r>
      <w:r w:rsidRPr="0069677A">
        <w:t>Elmer Benites-Alfaro</w:t>
      </w:r>
      <w:r w:rsidR="00B57E6F" w:rsidRPr="0069677A">
        <w:t>*</w:t>
      </w:r>
    </w:p>
    <w:p w14:paraId="3D72B0B0" w14:textId="1E3D0522" w:rsidR="00B57E6F" w:rsidRPr="0069677A" w:rsidRDefault="003940D4" w:rsidP="00B57E6F">
      <w:pPr>
        <w:pStyle w:val="CETAddress"/>
      </w:pPr>
      <w:r w:rsidRPr="0069677A">
        <w:t>Universidad César Vallejo, Av. Alfredo Mendiola 6232 Los Olivos, Lima, Perú</w:t>
      </w:r>
      <w:r w:rsidR="00B57E6F" w:rsidRPr="0069677A">
        <w:t xml:space="preserve"> </w:t>
      </w:r>
    </w:p>
    <w:p w14:paraId="73F1267A" w14:textId="6BAB1C9C" w:rsidR="00B57E6F" w:rsidRPr="0069677A" w:rsidRDefault="00B57E6F" w:rsidP="00B57E6F">
      <w:pPr>
        <w:pStyle w:val="CETemail"/>
      </w:pPr>
      <w:r w:rsidRPr="0069677A">
        <w:t xml:space="preserve"> </w:t>
      </w:r>
      <w:r w:rsidR="003940D4" w:rsidRPr="0069677A">
        <w:t>*ebenitwesa@ucv.edu.pe</w:t>
      </w:r>
    </w:p>
    <w:p w14:paraId="519F5F6B" w14:textId="2B8FAF97" w:rsidR="003940D4" w:rsidRPr="0069677A" w:rsidRDefault="0069677A" w:rsidP="003940D4">
      <w:pPr>
        <w:pStyle w:val="CETListbullets"/>
        <w:ind w:left="0" w:firstLine="0"/>
      </w:pPr>
      <w:bookmarkStart w:id="2" w:name="_Hlk495475023"/>
      <w:r w:rsidRPr="0069677A">
        <w:t xml:space="preserve">The use of industrial insecticides is of growing concern in today's world due to their chemical composition and significant negative impacts on the environment and human health. These products contain toxic chemical compounds that can contaminate soil, water and air, affecting biodiversity and ecosystems in general. Faced with this problem, there is an urgent need to produce and use eco-friendly biocides as an alternative to industrial insecticides. Eco-friendly biocides are products that, instead of relying on harmful chemicals, are based on natural ingredients and environmentally friendly processes, are effective in controlling pests, and minimize risks to human health and the environment. The objective of the research was to take advantage of the residual biomass of </w:t>
      </w:r>
      <w:r w:rsidRPr="00E9626D">
        <w:rPr>
          <w:i/>
          <w:iCs/>
        </w:rPr>
        <w:t>Chenopodium quinoa</w:t>
      </w:r>
      <w:r w:rsidRPr="0069677A">
        <w:t xml:space="preserve"> in its scarification process, to extract the saponins and elaborate a natural biocide. The method consisted of a phytochemical screening for secondary metabolites to identify the saponins after a hydroalcoholic maceration process, at concentrations of 0, 25, 50 and 75 % ethanol. To verify the biocidal property of the product, lethal dose tests were carried out on </w:t>
      </w:r>
      <w:r w:rsidRPr="0069677A">
        <w:rPr>
          <w:i/>
          <w:iCs/>
        </w:rPr>
        <w:t>Premnotrypes vorax</w:t>
      </w:r>
      <w:r w:rsidRPr="0069677A">
        <w:t xml:space="preserve"> species, obtaining 100% with saponin solution in 75% ethanol at 240 min</w:t>
      </w:r>
      <w:r w:rsidR="00765A8E" w:rsidRPr="0069677A">
        <w:t>.</w:t>
      </w:r>
      <w:r w:rsidR="003940D4" w:rsidRPr="0069677A">
        <w:t xml:space="preserve"> </w:t>
      </w:r>
      <w:r w:rsidRPr="0069677A">
        <w:t xml:space="preserve">In addition, the ratio of waste generated by the scarification process is 6 g per 1 kg, which means that for each ton of </w:t>
      </w:r>
      <w:r w:rsidRPr="00E9626D">
        <w:rPr>
          <w:i/>
          <w:iCs/>
        </w:rPr>
        <w:t>Chenopodium quinoa</w:t>
      </w:r>
      <w:r w:rsidRPr="0069677A">
        <w:t xml:space="preserve"> processed, 600 kg of residual powder containing saponin would be obtained, which, under the concept of circular economy, would yield 46.8 </w:t>
      </w:r>
      <w:proofErr w:type="spellStart"/>
      <w:r w:rsidRPr="0069677A">
        <w:t>liters</w:t>
      </w:r>
      <w:proofErr w:type="spellEnd"/>
      <w:r w:rsidRPr="0069677A">
        <w:t xml:space="preserve"> per ton of natural bioinsecticide, environmentally friendly by avoiding chemical contamination and promoting sustainable agricultural practices.</w:t>
      </w:r>
    </w:p>
    <w:bookmarkEnd w:id="2"/>
    <w:p w14:paraId="476B2F2E" w14:textId="77777777" w:rsidR="00600535" w:rsidRPr="0069677A" w:rsidRDefault="00600535" w:rsidP="00600535">
      <w:pPr>
        <w:pStyle w:val="CETHeading1"/>
        <w:rPr>
          <w:lang w:val="en-GB"/>
        </w:rPr>
      </w:pPr>
      <w:r w:rsidRPr="0069677A">
        <w:rPr>
          <w:lang w:val="en-GB"/>
        </w:rPr>
        <w:t>Introduction</w:t>
      </w:r>
    </w:p>
    <w:p w14:paraId="1D973DEB" w14:textId="2C4F7020" w:rsidR="0069677A" w:rsidRPr="0069677A" w:rsidRDefault="00D90324" w:rsidP="006C05D9">
      <w:pPr>
        <w:pStyle w:val="CETBodytext"/>
        <w:rPr>
          <w:lang w:val="en-GB"/>
        </w:rPr>
      </w:pPr>
      <w:r w:rsidRPr="00D90324">
        <w:rPr>
          <w:lang w:val="en-GB"/>
        </w:rPr>
        <w:t>Due to the negative impacts that have been verified over time by the use of insecticides developed by the chemical industry (Benites, et al., 2023), in recent years various types of insecticides of a vegetable nature or called ecological have been developed, which have different mechanisms of action, efficacy and safety of use (Lopez-Ruiz, et al., 2023). In agriculture is where insecticide products are used with more emphasis, and their efficiency in pest control is valued, for example in horticulture, determining that ecological insecticides are effective in controlling a wide range of pests, their positive result depends on the type of pest, as well as the crop (Rodríguez-Gonzales, 2022). Plant extract insecticides are the best-known option; they are obtained from different types of plants and are of interest for their development because they are products with lower environmental impact and greater safety for human and animal health (Vásquez-Carmona, 2021). Biopesticides, products of natural origin, such as plant extracts, microorganisms or biological products, used to control pests have the advantage of reducing dependence on conventional chemical pesticides, which would improve sustainability in pest management (Gupta and Dubey, 2023).</w:t>
      </w:r>
    </w:p>
    <w:p w14:paraId="5C908A84" w14:textId="77777777" w:rsidR="0069677A" w:rsidRPr="0069677A" w:rsidRDefault="0069677A" w:rsidP="0069677A">
      <w:pPr>
        <w:pStyle w:val="CETBodytext"/>
        <w:rPr>
          <w:lang w:val="en-GB"/>
        </w:rPr>
      </w:pPr>
      <w:r w:rsidRPr="0069677A">
        <w:rPr>
          <w:lang w:val="en-GB"/>
        </w:rPr>
        <w:t>Given this reality, there is a great potential for ecological insecticides to be used in pest control and the like by nature to offer more sustainable and safer alternatives; therefore, there is a need for further research and development in this field, with the challenge of its higher cost compared to industrial chemical products, but rewarded by the environmental and health benefits (Akhtar and Akhtar, 2022); also Dwivedi and Singh (2021), highlight that in the face of the potential diverse use of green insecticides, more research is required to overcome some challenges, evaluate the environmental and health benefits of green insecticides to become an attractive option for a more sustainable future.</w:t>
      </w:r>
    </w:p>
    <w:p w14:paraId="5F459F8C" w14:textId="5F87EAF8" w:rsidR="00061755" w:rsidRPr="0069677A" w:rsidRDefault="0069677A" w:rsidP="0069677A">
      <w:pPr>
        <w:pStyle w:val="CETBodytext"/>
        <w:rPr>
          <w:lang w:val="en-GB"/>
        </w:rPr>
      </w:pPr>
      <w:r w:rsidRPr="0069677A">
        <w:rPr>
          <w:lang w:val="en-GB"/>
        </w:rPr>
        <w:lastRenderedPageBreak/>
        <w:t xml:space="preserve">Therefore, the objective of the research was to determine the effectiveness of a bioinsecticide made from the saponin extracted from the biomass of </w:t>
      </w:r>
      <w:r w:rsidRPr="00E9626D">
        <w:rPr>
          <w:i/>
          <w:iCs/>
          <w:lang w:val="en-GB"/>
        </w:rPr>
        <w:t>Chenopodium quinoa</w:t>
      </w:r>
      <w:r w:rsidRPr="0069677A">
        <w:rPr>
          <w:lang w:val="en-GB"/>
        </w:rPr>
        <w:t xml:space="preserve"> residues, residues that are generated in the scarification stage of this food product and that could be used and incorporated into the life cycle of this cereal, as another benefit, even used in agriculture to combat pests in the crops of the same species.</w:t>
      </w:r>
    </w:p>
    <w:p w14:paraId="5741900F" w14:textId="09B17DB3" w:rsidR="00453E24" w:rsidRPr="0069677A" w:rsidRDefault="00A220F9" w:rsidP="00453E24">
      <w:pPr>
        <w:pStyle w:val="CETHeading1"/>
        <w:rPr>
          <w:lang w:val="en-GB"/>
        </w:rPr>
      </w:pPr>
      <w:r w:rsidRPr="0069677A">
        <w:rPr>
          <w:lang w:val="en-GB"/>
        </w:rPr>
        <w:t>Methodology</w:t>
      </w:r>
    </w:p>
    <w:p w14:paraId="3C9CD536" w14:textId="400BFFD8" w:rsidR="00A220F9" w:rsidRPr="0069677A" w:rsidRDefault="0069677A" w:rsidP="00A220F9">
      <w:pPr>
        <w:pStyle w:val="CETBodytext"/>
        <w:rPr>
          <w:lang w:val="en-GB"/>
        </w:rPr>
      </w:pPr>
      <w:r w:rsidRPr="0069677A">
        <w:rPr>
          <w:lang w:val="en-GB"/>
        </w:rPr>
        <w:t xml:space="preserve">The experimental design and method of the research consisted of extracting the saponin component from the biomass of </w:t>
      </w:r>
      <w:r w:rsidRPr="00E9626D">
        <w:rPr>
          <w:i/>
          <w:iCs/>
          <w:lang w:val="en-GB"/>
        </w:rPr>
        <w:t>Chenopodium quinoa</w:t>
      </w:r>
      <w:r w:rsidRPr="0069677A">
        <w:rPr>
          <w:lang w:val="en-GB"/>
        </w:rPr>
        <w:t xml:space="preserve"> residues, then elaborating a bioinsecticide and characterizing it, determining above all the level of effectiveness of its </w:t>
      </w:r>
      <w:r w:rsidR="006078CB" w:rsidRPr="0069677A">
        <w:rPr>
          <w:lang w:val="en-GB"/>
        </w:rPr>
        <w:t>behaviour</w:t>
      </w:r>
      <w:r w:rsidRPr="0069677A">
        <w:rPr>
          <w:lang w:val="en-GB"/>
        </w:rPr>
        <w:t xml:space="preserve"> as a bioinsecticide against the potato maggot of the </w:t>
      </w:r>
      <w:r w:rsidRPr="0069677A">
        <w:rPr>
          <w:i/>
          <w:iCs/>
          <w:lang w:val="en-GB"/>
        </w:rPr>
        <w:t>Premnotrypes vorax</w:t>
      </w:r>
      <w:r w:rsidRPr="0069677A">
        <w:rPr>
          <w:lang w:val="en-GB"/>
        </w:rPr>
        <w:t xml:space="preserve"> species.</w:t>
      </w:r>
    </w:p>
    <w:p w14:paraId="2EC2BAEB" w14:textId="4F26A6FA" w:rsidR="002F79F0" w:rsidRPr="0069677A" w:rsidRDefault="00F36DBE" w:rsidP="00F36DBE">
      <w:pPr>
        <w:pStyle w:val="CETheadingx"/>
      </w:pPr>
      <w:r>
        <w:t xml:space="preserve">2.1 </w:t>
      </w:r>
      <w:r w:rsidR="0069677A" w:rsidRPr="0069677A">
        <w:t>Obtaining the bioinsecticide: Saponins solution</w:t>
      </w:r>
    </w:p>
    <w:p w14:paraId="17F9A846" w14:textId="58FFDFE7" w:rsidR="0097547C" w:rsidRDefault="00FC2C24" w:rsidP="0097547C">
      <w:pPr>
        <w:pStyle w:val="CETBodytext"/>
        <w:rPr>
          <w:lang w:val="en-GB"/>
        </w:rPr>
      </w:pPr>
      <w:r w:rsidRPr="00FC2C24">
        <w:rPr>
          <w:lang w:val="en-GB"/>
        </w:rPr>
        <w:t>The bioinsecticide was a solution of saponins extracted from residual biomass of Chenopodium quinoa, following the process shown in Figure 1.</w:t>
      </w:r>
    </w:p>
    <w:p w14:paraId="197556AA" w14:textId="77777777" w:rsidR="002F3099" w:rsidRDefault="002F3099" w:rsidP="0097547C">
      <w:pPr>
        <w:pStyle w:val="CETBodytext"/>
        <w:rPr>
          <w:lang w:val="en-GB"/>
        </w:rPr>
      </w:pPr>
    </w:p>
    <w:p w14:paraId="1A581808" w14:textId="4398351F" w:rsidR="002F3099" w:rsidRPr="0069677A" w:rsidRDefault="002F3099" w:rsidP="0097547C">
      <w:pPr>
        <w:pStyle w:val="CETBodytext"/>
        <w:rPr>
          <w:lang w:val="en-GB"/>
        </w:rPr>
      </w:pPr>
      <w:r>
        <w:rPr>
          <w:noProof/>
        </w:rPr>
        <w:drawing>
          <wp:inline distT="0" distB="0" distL="0" distR="0" wp14:anchorId="413AC4F9" wp14:editId="155BBC77">
            <wp:extent cx="5376672" cy="2200354"/>
            <wp:effectExtent l="0" t="0" r="0" b="9525"/>
            <wp:docPr id="598415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7262"/>
                    <a:stretch/>
                  </pic:blipFill>
                  <pic:spPr bwMode="auto">
                    <a:xfrm>
                      <a:off x="0" y="0"/>
                      <a:ext cx="5471231" cy="2239051"/>
                    </a:xfrm>
                    <a:prstGeom prst="rect">
                      <a:avLst/>
                    </a:prstGeom>
                    <a:noFill/>
                    <a:ln>
                      <a:noFill/>
                    </a:ln>
                    <a:extLst>
                      <a:ext uri="{53640926-AAD7-44D8-BBD7-CCE9431645EC}">
                        <a14:shadowObscured xmlns:a14="http://schemas.microsoft.com/office/drawing/2010/main"/>
                      </a:ext>
                    </a:extLst>
                  </pic:spPr>
                </pic:pic>
              </a:graphicData>
            </a:graphic>
          </wp:inline>
        </w:drawing>
      </w:r>
    </w:p>
    <w:p w14:paraId="70805BA0" w14:textId="77777777" w:rsidR="00B13C07" w:rsidRDefault="00A149E8" w:rsidP="00F36DBE">
      <w:pPr>
        <w:pStyle w:val="CETCaption"/>
        <w:rPr>
          <w:b/>
        </w:rPr>
      </w:pPr>
      <w:r w:rsidRPr="00A149E8">
        <w:t>Figure 1: Process for obtaining the biocide saponin</w:t>
      </w:r>
    </w:p>
    <w:p w14:paraId="47EE032B" w14:textId="1B8BEF2E" w:rsidR="0097547C" w:rsidRPr="00F36DBE" w:rsidRDefault="00B13C07" w:rsidP="00F36DBE">
      <w:pPr>
        <w:pStyle w:val="CETheadingx"/>
      </w:pPr>
      <w:r w:rsidRPr="00F36DBE">
        <w:t xml:space="preserve">2.2 </w:t>
      </w:r>
      <w:r w:rsidR="00F36DBE" w:rsidRPr="00F36DBE">
        <w:t>Identification of saponins</w:t>
      </w:r>
    </w:p>
    <w:p w14:paraId="0F14B090" w14:textId="00AFEBD3" w:rsidR="0097547C" w:rsidRPr="0069677A" w:rsidRDefault="00A149E8" w:rsidP="0097547C">
      <w:pPr>
        <w:pStyle w:val="CETCaption"/>
        <w:rPr>
          <w:i w:val="0"/>
          <w:iCs/>
        </w:rPr>
      </w:pPr>
      <w:r w:rsidRPr="00A149E8">
        <w:rPr>
          <w:i w:val="0"/>
          <w:iCs/>
        </w:rPr>
        <w:t>To verify the presence of saponins in the solution obtained, a photochemical screening of the solution samples obtained was carried out to identify secondary metabolites of the saponins. These tests were as follows</w:t>
      </w:r>
      <w:r w:rsidR="0097547C" w:rsidRPr="0069677A">
        <w:rPr>
          <w:i w:val="0"/>
          <w:iCs/>
        </w:rPr>
        <w:t>:</w:t>
      </w:r>
    </w:p>
    <w:p w14:paraId="54BE320E" w14:textId="0985DB8D" w:rsidR="00670C37" w:rsidRPr="0069677A" w:rsidRDefault="00A149E8" w:rsidP="00B13C07">
      <w:pPr>
        <w:pStyle w:val="CETCaption"/>
        <w:numPr>
          <w:ilvl w:val="2"/>
          <w:numId w:val="32"/>
        </w:numPr>
        <w:tabs>
          <w:tab w:val="left" w:pos="426"/>
        </w:tabs>
      </w:pPr>
      <w:r w:rsidRPr="00A149E8">
        <w:t>Afro-metric test for the presence of saponins by means of foam</w:t>
      </w:r>
      <w:r w:rsidR="00710887" w:rsidRPr="0069677A">
        <w:t>:</w:t>
      </w:r>
    </w:p>
    <w:p w14:paraId="55A232C8" w14:textId="55C169A5" w:rsidR="0097547C" w:rsidRPr="0069677A" w:rsidRDefault="00710887" w:rsidP="00E9626D">
      <w:pPr>
        <w:pStyle w:val="CETCaption"/>
        <w:tabs>
          <w:tab w:val="left" w:pos="0"/>
        </w:tabs>
        <w:rPr>
          <w:noProof/>
        </w:rPr>
      </w:pPr>
      <w:r w:rsidRPr="0069677A">
        <w:rPr>
          <w:i w:val="0"/>
          <w:iCs/>
        </w:rPr>
        <w:t xml:space="preserve"> </w:t>
      </w:r>
      <w:r w:rsidR="00A149E8" w:rsidRPr="00A149E8">
        <w:rPr>
          <w:i w:val="0"/>
          <w:iCs/>
        </w:rPr>
        <w:t>This test allows to verify the presence of saponin, a sample of 7 mL was taken in a test tube and shaken vigorously for 10 minutes, then the level of foam formed should be observed with a minimum of 2 mm per and remain for a time greater than 2 minutes, if this happens it indicates the presence of saponin, Figure 2 shows the test tube with foam formation.</w:t>
      </w:r>
    </w:p>
    <w:p w14:paraId="23EF7D4E" w14:textId="5E99E440" w:rsidR="00545FB8" w:rsidRPr="0069677A" w:rsidRDefault="00545FB8" w:rsidP="00545FB8">
      <w:pPr>
        <w:pStyle w:val="CETCaption"/>
        <w:tabs>
          <w:tab w:val="left" w:pos="426"/>
        </w:tabs>
        <w:ind w:left="426"/>
      </w:pPr>
      <w:r w:rsidRPr="0069677A">
        <w:rPr>
          <w:noProof/>
        </w:rPr>
        <w:drawing>
          <wp:inline distT="0" distB="0" distL="0" distR="0" wp14:anchorId="50D6629C" wp14:editId="6EDE3F5C">
            <wp:extent cx="2354580" cy="1397203"/>
            <wp:effectExtent l="0" t="0" r="7620" b="0"/>
            <wp:docPr id="5463793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854" cy="1460859"/>
                    </a:xfrm>
                    <a:prstGeom prst="rect">
                      <a:avLst/>
                    </a:prstGeom>
                    <a:noFill/>
                    <a:ln>
                      <a:noFill/>
                    </a:ln>
                  </pic:spPr>
                </pic:pic>
              </a:graphicData>
            </a:graphic>
          </wp:inline>
        </w:drawing>
      </w:r>
    </w:p>
    <w:p w14:paraId="6C28CC7B" w14:textId="53FC04FB" w:rsidR="00670C37" w:rsidRPr="0069677A" w:rsidRDefault="00A149E8" w:rsidP="003768B7">
      <w:pPr>
        <w:pStyle w:val="CETCaption"/>
      </w:pPr>
      <w:r w:rsidRPr="00A149E8">
        <w:t>Figure 2: Foam test</w:t>
      </w:r>
    </w:p>
    <w:p w14:paraId="55B14EB2" w14:textId="530F9A08" w:rsidR="003768B7" w:rsidRPr="0069677A" w:rsidRDefault="00A149E8" w:rsidP="00B13C07">
      <w:pPr>
        <w:pStyle w:val="CETBodytext"/>
        <w:numPr>
          <w:ilvl w:val="2"/>
          <w:numId w:val="32"/>
        </w:numPr>
        <w:ind w:left="567" w:hanging="567"/>
        <w:rPr>
          <w:i/>
          <w:iCs/>
          <w:lang w:val="en-GB"/>
        </w:rPr>
      </w:pPr>
      <w:r w:rsidRPr="00A149E8">
        <w:rPr>
          <w:i/>
          <w:iCs/>
          <w:lang w:val="en-GB"/>
        </w:rPr>
        <w:lastRenderedPageBreak/>
        <w:t>Other tests performed: To determine the presence of secondary metabolites of the saponin</w:t>
      </w:r>
      <w:r w:rsidR="003768B7" w:rsidRPr="0069677A">
        <w:rPr>
          <w:i/>
          <w:iCs/>
          <w:lang w:val="en-GB"/>
        </w:rPr>
        <w:t xml:space="preserve"> </w:t>
      </w:r>
    </w:p>
    <w:p w14:paraId="79BEF06E" w14:textId="77777777" w:rsidR="00EB0CC4" w:rsidRPr="0069677A" w:rsidRDefault="00EB0CC4" w:rsidP="00A220F9">
      <w:pPr>
        <w:pStyle w:val="CETBodytext"/>
        <w:rPr>
          <w:lang w:val="en-GB"/>
        </w:rPr>
      </w:pPr>
    </w:p>
    <w:p w14:paraId="43DB501F" w14:textId="429D8E36" w:rsidR="00A149E8" w:rsidRPr="00A149E8" w:rsidRDefault="00A149E8" w:rsidP="00A149E8">
      <w:pPr>
        <w:pStyle w:val="CETBodytext"/>
        <w:numPr>
          <w:ilvl w:val="0"/>
          <w:numId w:val="30"/>
        </w:numPr>
        <w:rPr>
          <w:lang w:val="en-GB"/>
        </w:rPr>
      </w:pPr>
      <w:r w:rsidRPr="00A149E8">
        <w:rPr>
          <w:lang w:val="en-GB"/>
        </w:rPr>
        <w:t>Fehling assay to establish the presence of reducing sugars</w:t>
      </w:r>
      <w:r w:rsidR="00C0566C">
        <w:rPr>
          <w:lang w:val="en-GB"/>
        </w:rPr>
        <w:t>.</w:t>
      </w:r>
    </w:p>
    <w:p w14:paraId="4F9D93BF" w14:textId="34A277F3" w:rsidR="00A149E8" w:rsidRPr="00A149E8" w:rsidRDefault="00A149E8" w:rsidP="00A149E8">
      <w:pPr>
        <w:pStyle w:val="CETBodytext"/>
        <w:numPr>
          <w:ilvl w:val="0"/>
          <w:numId w:val="30"/>
        </w:numPr>
        <w:rPr>
          <w:lang w:val="en-GB"/>
        </w:rPr>
      </w:pPr>
      <w:r w:rsidRPr="00A149E8">
        <w:rPr>
          <w:lang w:val="en-GB"/>
        </w:rPr>
        <w:t>Shinoda assay to determine the presence of flavonoids</w:t>
      </w:r>
      <w:r w:rsidR="00C0566C">
        <w:rPr>
          <w:lang w:val="en-GB"/>
        </w:rPr>
        <w:t>.</w:t>
      </w:r>
    </w:p>
    <w:p w14:paraId="6B39E219" w14:textId="7536CE55" w:rsidR="00A149E8" w:rsidRPr="00A149E8" w:rsidRDefault="00A149E8" w:rsidP="00A149E8">
      <w:pPr>
        <w:pStyle w:val="CETBodytext"/>
        <w:numPr>
          <w:ilvl w:val="0"/>
          <w:numId w:val="30"/>
        </w:numPr>
        <w:rPr>
          <w:lang w:val="en-GB"/>
        </w:rPr>
      </w:pPr>
      <w:r w:rsidRPr="00A149E8">
        <w:rPr>
          <w:lang w:val="en-GB"/>
        </w:rPr>
        <w:t>Lieberman Buchard assay to identify the presence of steroids and/or triterpenes</w:t>
      </w:r>
      <w:r w:rsidR="00C0566C">
        <w:rPr>
          <w:lang w:val="en-GB"/>
        </w:rPr>
        <w:t>.</w:t>
      </w:r>
    </w:p>
    <w:p w14:paraId="26A3BF83" w14:textId="45880774" w:rsidR="00A149E8" w:rsidRPr="00A149E8" w:rsidRDefault="00A149E8" w:rsidP="00A149E8">
      <w:pPr>
        <w:pStyle w:val="CETBodytext"/>
        <w:numPr>
          <w:ilvl w:val="0"/>
          <w:numId w:val="30"/>
        </w:numPr>
        <w:rPr>
          <w:lang w:val="en-GB"/>
        </w:rPr>
      </w:pPr>
      <w:proofErr w:type="spellStart"/>
      <w:r w:rsidRPr="00A149E8">
        <w:rPr>
          <w:lang w:val="en-GB"/>
        </w:rPr>
        <w:t>Bortrager</w:t>
      </w:r>
      <w:proofErr w:type="spellEnd"/>
      <w:r w:rsidRPr="00A149E8">
        <w:rPr>
          <w:lang w:val="en-GB"/>
        </w:rPr>
        <w:t xml:space="preserve"> assay to determine the presence of quinones</w:t>
      </w:r>
      <w:r w:rsidR="00C0566C">
        <w:rPr>
          <w:lang w:val="en-GB"/>
        </w:rPr>
        <w:t>.</w:t>
      </w:r>
    </w:p>
    <w:p w14:paraId="63D74C75" w14:textId="116A8001" w:rsidR="00207BDF" w:rsidRPr="0069677A" w:rsidRDefault="00A149E8" w:rsidP="00A149E8">
      <w:pPr>
        <w:pStyle w:val="CETBodytext"/>
        <w:numPr>
          <w:ilvl w:val="0"/>
          <w:numId w:val="30"/>
        </w:numPr>
        <w:rPr>
          <w:lang w:val="en-GB"/>
        </w:rPr>
      </w:pPr>
      <w:r w:rsidRPr="00A149E8">
        <w:rPr>
          <w:lang w:val="en-GB"/>
        </w:rPr>
        <w:t>Wagner assay to establish the presence of alkaloids</w:t>
      </w:r>
      <w:r w:rsidR="00C0566C">
        <w:rPr>
          <w:lang w:val="en-GB"/>
        </w:rPr>
        <w:t>.</w:t>
      </w:r>
    </w:p>
    <w:p w14:paraId="5798F831" w14:textId="77777777" w:rsidR="003768B7" w:rsidRPr="0069677A" w:rsidRDefault="003768B7" w:rsidP="003768B7">
      <w:pPr>
        <w:pStyle w:val="CETBodytext"/>
        <w:ind w:left="567"/>
        <w:rPr>
          <w:lang w:val="en-GB"/>
        </w:rPr>
      </w:pPr>
    </w:p>
    <w:p w14:paraId="76034A9A" w14:textId="22EC491C" w:rsidR="00710887" w:rsidRPr="0069677A" w:rsidRDefault="00A149E8" w:rsidP="00F36DBE">
      <w:pPr>
        <w:pStyle w:val="CETheadingx"/>
        <w:numPr>
          <w:ilvl w:val="1"/>
          <w:numId w:val="32"/>
        </w:numPr>
      </w:pPr>
      <w:r w:rsidRPr="00A149E8">
        <w:t>Lethality test for bioinsecticide of saponins</w:t>
      </w:r>
    </w:p>
    <w:p w14:paraId="2A3E55FF" w14:textId="453437BD" w:rsidR="000D0A2A" w:rsidRPr="0069677A" w:rsidRDefault="003D40F1" w:rsidP="000D0A2A">
      <w:pPr>
        <w:pStyle w:val="CETBodytext"/>
        <w:rPr>
          <w:lang w:val="en-GB"/>
        </w:rPr>
      </w:pPr>
      <w:r w:rsidRPr="003D40F1">
        <w:rPr>
          <w:lang w:val="en-GB"/>
        </w:rPr>
        <w:t xml:space="preserve">To verify the insecticidal </w:t>
      </w:r>
      <w:r w:rsidR="00135EFC" w:rsidRPr="003D40F1">
        <w:rPr>
          <w:lang w:val="en-GB"/>
        </w:rPr>
        <w:t>behaviour</w:t>
      </w:r>
      <w:r w:rsidRPr="003D40F1">
        <w:rPr>
          <w:lang w:val="en-GB"/>
        </w:rPr>
        <w:t xml:space="preserve"> of the saponin biocide, a lethal dose test was carried out on larvae of the potato maggot </w:t>
      </w:r>
      <w:r w:rsidRPr="003D40F1">
        <w:rPr>
          <w:i/>
          <w:iCs/>
          <w:lang w:val="en-GB"/>
        </w:rPr>
        <w:t>Premnotrypes vorax</w:t>
      </w:r>
      <w:r w:rsidRPr="003D40F1">
        <w:rPr>
          <w:lang w:val="en-GB"/>
        </w:rPr>
        <w:t>. The verification of mortality and survival of 5 groups of worms, after being subjected to the saponin biocide, was carried out as follows: Group 1 was subjected to 1 g of the residual saponin powder, group 2 was subjected to 1 mL of the saponin solution; and, the other 3 groups of potato worms were subjected to 1 mL of saponin solution reinforced with 25, 50 and 75 % by volume ethanol solution, respectively. Monitoring was done at 30, 60, 120, 180 and 240 minutes, i.e. for 4 hours, see Table 1</w:t>
      </w:r>
      <w:r w:rsidR="00E6427C" w:rsidRPr="0069677A">
        <w:rPr>
          <w:lang w:val="en-GB"/>
        </w:rPr>
        <w:t>.</w:t>
      </w:r>
    </w:p>
    <w:p w14:paraId="2BEBA4ED" w14:textId="0601A8FB" w:rsidR="000D0A2A" w:rsidRPr="0069677A" w:rsidRDefault="00A149E8" w:rsidP="001836AC">
      <w:pPr>
        <w:pStyle w:val="CETTabletitle"/>
      </w:pPr>
      <w:r w:rsidRPr="00A149E8">
        <w:t>Table 1: Arrangement of tests for the mortality test</w:t>
      </w:r>
    </w:p>
    <w:tbl>
      <w:tblPr>
        <w:tblStyle w:val="Tablaconcuadrcula"/>
        <w:tblW w:w="8789" w:type="dxa"/>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992"/>
        <w:gridCol w:w="992"/>
        <w:gridCol w:w="992"/>
        <w:gridCol w:w="1416"/>
        <w:gridCol w:w="1419"/>
        <w:gridCol w:w="1418"/>
      </w:tblGrid>
      <w:tr w:rsidR="00C8245D" w:rsidRPr="0069677A" w14:paraId="636E1EF7" w14:textId="77777777" w:rsidTr="0072798C">
        <w:trPr>
          <w:trHeight w:val="646"/>
        </w:trPr>
        <w:tc>
          <w:tcPr>
            <w:tcW w:w="1560" w:type="dxa"/>
            <w:tcBorders>
              <w:top w:val="single" w:sz="12" w:space="0" w:color="008000"/>
              <w:bottom w:val="single" w:sz="8" w:space="0" w:color="008000"/>
            </w:tcBorders>
          </w:tcPr>
          <w:p w14:paraId="5DBC1512" w14:textId="4DD7E614" w:rsidR="00A94629" w:rsidRPr="00E9626D" w:rsidRDefault="0072798C" w:rsidP="000D0A2A">
            <w:pPr>
              <w:pStyle w:val="CETBodytext"/>
              <w:rPr>
                <w:sz w:val="16"/>
                <w:szCs w:val="18"/>
                <w:lang w:val="en-GB"/>
              </w:rPr>
            </w:pPr>
            <w:r w:rsidRPr="00E9626D">
              <w:rPr>
                <w:sz w:val="16"/>
                <w:szCs w:val="18"/>
                <w:lang w:val="en-GB"/>
              </w:rPr>
              <w:t>Repetitions</w:t>
            </w:r>
          </w:p>
        </w:tc>
        <w:tc>
          <w:tcPr>
            <w:tcW w:w="992" w:type="dxa"/>
            <w:tcBorders>
              <w:top w:val="single" w:sz="12" w:space="0" w:color="008000"/>
              <w:bottom w:val="single" w:sz="8" w:space="0" w:color="008000"/>
            </w:tcBorders>
          </w:tcPr>
          <w:p w14:paraId="02028417" w14:textId="77777777" w:rsidR="00A94629" w:rsidRDefault="0072798C" w:rsidP="000D0A2A">
            <w:pPr>
              <w:pStyle w:val="CETBodytext"/>
              <w:rPr>
                <w:sz w:val="16"/>
                <w:szCs w:val="18"/>
                <w:lang w:val="en-GB"/>
              </w:rPr>
            </w:pPr>
            <w:r w:rsidRPr="00E9626D">
              <w:rPr>
                <w:sz w:val="16"/>
                <w:szCs w:val="18"/>
                <w:lang w:val="en-GB"/>
              </w:rPr>
              <w:t>Witness</w:t>
            </w:r>
          </w:p>
          <w:p w14:paraId="13813925" w14:textId="6AE8AF9A" w:rsidR="005C78E3" w:rsidRPr="00E9626D" w:rsidRDefault="005C78E3" w:rsidP="000D0A2A">
            <w:pPr>
              <w:pStyle w:val="CETBodytext"/>
              <w:rPr>
                <w:sz w:val="16"/>
                <w:szCs w:val="18"/>
                <w:lang w:val="en-GB"/>
              </w:rPr>
            </w:pPr>
            <w:r>
              <w:rPr>
                <w:sz w:val="16"/>
                <w:szCs w:val="18"/>
                <w:lang w:val="en-GB"/>
              </w:rPr>
              <w:t>(Control)</w:t>
            </w:r>
          </w:p>
        </w:tc>
        <w:tc>
          <w:tcPr>
            <w:tcW w:w="992" w:type="dxa"/>
            <w:tcBorders>
              <w:top w:val="single" w:sz="12" w:space="0" w:color="008000"/>
              <w:bottom w:val="single" w:sz="8" w:space="0" w:color="008000"/>
            </w:tcBorders>
          </w:tcPr>
          <w:p w14:paraId="5F79FF9B" w14:textId="59C75F7E" w:rsidR="00A94629" w:rsidRPr="00E9626D" w:rsidRDefault="0072798C" w:rsidP="000D0A2A">
            <w:pPr>
              <w:pStyle w:val="CETBodytext"/>
              <w:rPr>
                <w:sz w:val="16"/>
                <w:szCs w:val="18"/>
                <w:lang w:val="en-GB"/>
              </w:rPr>
            </w:pPr>
            <w:r w:rsidRPr="00E9626D">
              <w:rPr>
                <w:sz w:val="16"/>
                <w:szCs w:val="18"/>
                <w:lang w:val="en-GB"/>
              </w:rPr>
              <w:t>Saponin powder</w:t>
            </w:r>
          </w:p>
        </w:tc>
        <w:tc>
          <w:tcPr>
            <w:tcW w:w="992" w:type="dxa"/>
            <w:tcBorders>
              <w:top w:val="single" w:sz="12" w:space="0" w:color="008000"/>
              <w:bottom w:val="single" w:sz="8" w:space="0" w:color="008000"/>
            </w:tcBorders>
          </w:tcPr>
          <w:p w14:paraId="664FBBDE" w14:textId="08798731" w:rsidR="00A94629" w:rsidRPr="00E9626D" w:rsidRDefault="0072798C" w:rsidP="00C8245D">
            <w:pPr>
              <w:pStyle w:val="CETBodytext"/>
              <w:jc w:val="center"/>
              <w:rPr>
                <w:sz w:val="16"/>
                <w:szCs w:val="18"/>
                <w:lang w:val="en-GB"/>
              </w:rPr>
            </w:pPr>
            <w:r w:rsidRPr="00E9626D">
              <w:rPr>
                <w:sz w:val="16"/>
                <w:szCs w:val="18"/>
                <w:lang w:val="en-GB"/>
              </w:rPr>
              <w:t>Saponin solution</w:t>
            </w:r>
          </w:p>
        </w:tc>
        <w:tc>
          <w:tcPr>
            <w:tcW w:w="1416" w:type="dxa"/>
            <w:tcBorders>
              <w:top w:val="single" w:sz="12" w:space="0" w:color="008000"/>
              <w:bottom w:val="single" w:sz="8" w:space="0" w:color="008000"/>
            </w:tcBorders>
          </w:tcPr>
          <w:p w14:paraId="6A532032" w14:textId="6BAD57A8" w:rsidR="00857008" w:rsidRPr="00857008" w:rsidRDefault="00857008" w:rsidP="00857008">
            <w:pPr>
              <w:pStyle w:val="CETBodytext"/>
              <w:jc w:val="center"/>
              <w:rPr>
                <w:sz w:val="16"/>
                <w:szCs w:val="18"/>
                <w:lang w:val="en-GB"/>
              </w:rPr>
            </w:pPr>
            <w:r>
              <w:rPr>
                <w:sz w:val="16"/>
                <w:szCs w:val="18"/>
                <w:lang w:val="en-GB"/>
              </w:rPr>
              <w:t>S</w:t>
            </w:r>
            <w:r w:rsidRPr="00857008">
              <w:rPr>
                <w:sz w:val="16"/>
                <w:szCs w:val="18"/>
                <w:lang w:val="en-GB"/>
              </w:rPr>
              <w:t>aponin solution</w:t>
            </w:r>
          </w:p>
          <w:p w14:paraId="1BE71655" w14:textId="7F83BC95" w:rsidR="00A94629" w:rsidRPr="00E9626D" w:rsidRDefault="00857008" w:rsidP="00857008">
            <w:pPr>
              <w:pStyle w:val="CETBodytext"/>
              <w:jc w:val="center"/>
              <w:rPr>
                <w:sz w:val="16"/>
                <w:szCs w:val="18"/>
                <w:lang w:val="en-GB"/>
              </w:rPr>
            </w:pPr>
            <w:r w:rsidRPr="00857008">
              <w:rPr>
                <w:sz w:val="16"/>
                <w:szCs w:val="18"/>
                <w:lang w:val="en-GB"/>
              </w:rPr>
              <w:t>with 25</w:t>
            </w:r>
            <w:r>
              <w:rPr>
                <w:sz w:val="16"/>
                <w:szCs w:val="18"/>
                <w:lang w:val="en-GB"/>
              </w:rPr>
              <w:t xml:space="preserve"> </w:t>
            </w:r>
            <w:r w:rsidRPr="00857008">
              <w:rPr>
                <w:sz w:val="16"/>
                <w:szCs w:val="18"/>
                <w:lang w:val="en-GB"/>
              </w:rPr>
              <w:t>% Ethanol</w:t>
            </w:r>
          </w:p>
        </w:tc>
        <w:tc>
          <w:tcPr>
            <w:tcW w:w="1419" w:type="dxa"/>
            <w:tcBorders>
              <w:top w:val="single" w:sz="12" w:space="0" w:color="008000"/>
              <w:bottom w:val="single" w:sz="8" w:space="0" w:color="008000"/>
            </w:tcBorders>
          </w:tcPr>
          <w:p w14:paraId="0B5076D3" w14:textId="1F534D48" w:rsidR="00A94629" w:rsidRPr="00E9626D" w:rsidRDefault="0072798C" w:rsidP="00C8245D">
            <w:pPr>
              <w:pStyle w:val="CETBodytext"/>
              <w:jc w:val="center"/>
              <w:rPr>
                <w:sz w:val="16"/>
                <w:szCs w:val="18"/>
                <w:lang w:val="en-GB"/>
              </w:rPr>
            </w:pPr>
            <w:r w:rsidRPr="00E9626D">
              <w:rPr>
                <w:sz w:val="16"/>
                <w:szCs w:val="18"/>
                <w:lang w:val="en-GB"/>
              </w:rPr>
              <w:t xml:space="preserve">Saponin solution </w:t>
            </w:r>
            <w:r w:rsidR="00857008" w:rsidRPr="00857008">
              <w:rPr>
                <w:sz w:val="16"/>
                <w:szCs w:val="18"/>
                <w:lang w:val="en-GB"/>
              </w:rPr>
              <w:t xml:space="preserve">with </w:t>
            </w:r>
            <w:r w:rsidR="00857008">
              <w:rPr>
                <w:sz w:val="16"/>
                <w:szCs w:val="18"/>
                <w:lang w:val="en-GB"/>
              </w:rPr>
              <w:t xml:space="preserve">50 </w:t>
            </w:r>
            <w:r w:rsidR="00857008" w:rsidRPr="00857008">
              <w:rPr>
                <w:sz w:val="16"/>
                <w:szCs w:val="18"/>
                <w:lang w:val="en-GB"/>
              </w:rPr>
              <w:t>% Ethanol</w:t>
            </w:r>
          </w:p>
        </w:tc>
        <w:tc>
          <w:tcPr>
            <w:tcW w:w="1418" w:type="dxa"/>
            <w:tcBorders>
              <w:top w:val="single" w:sz="12" w:space="0" w:color="008000"/>
              <w:bottom w:val="single" w:sz="8" w:space="0" w:color="008000"/>
            </w:tcBorders>
          </w:tcPr>
          <w:p w14:paraId="28EB3C1E" w14:textId="59C89833" w:rsidR="00A94629" w:rsidRPr="00E9626D" w:rsidRDefault="0072798C" w:rsidP="00C8245D">
            <w:pPr>
              <w:pStyle w:val="CETBodytext"/>
              <w:jc w:val="center"/>
              <w:rPr>
                <w:sz w:val="16"/>
                <w:szCs w:val="18"/>
                <w:lang w:val="en-GB"/>
              </w:rPr>
            </w:pPr>
            <w:r w:rsidRPr="00E9626D">
              <w:rPr>
                <w:sz w:val="16"/>
                <w:szCs w:val="18"/>
                <w:lang w:val="en-GB"/>
              </w:rPr>
              <w:t xml:space="preserve">Saponin solution </w:t>
            </w:r>
            <w:r w:rsidR="00857008" w:rsidRPr="00857008">
              <w:rPr>
                <w:sz w:val="16"/>
                <w:szCs w:val="18"/>
                <w:lang w:val="en-GB"/>
              </w:rPr>
              <w:t xml:space="preserve">with </w:t>
            </w:r>
            <w:r w:rsidR="00857008">
              <w:rPr>
                <w:sz w:val="16"/>
                <w:szCs w:val="18"/>
                <w:lang w:val="en-GB"/>
              </w:rPr>
              <w:t>7</w:t>
            </w:r>
            <w:r w:rsidR="00857008" w:rsidRPr="00857008">
              <w:rPr>
                <w:sz w:val="16"/>
                <w:szCs w:val="18"/>
                <w:lang w:val="en-GB"/>
              </w:rPr>
              <w:t>5</w:t>
            </w:r>
            <w:r w:rsidR="00857008">
              <w:rPr>
                <w:sz w:val="16"/>
                <w:szCs w:val="18"/>
                <w:lang w:val="en-GB"/>
              </w:rPr>
              <w:t xml:space="preserve"> </w:t>
            </w:r>
            <w:r w:rsidR="00857008" w:rsidRPr="00857008">
              <w:rPr>
                <w:sz w:val="16"/>
                <w:szCs w:val="18"/>
                <w:lang w:val="en-GB"/>
              </w:rPr>
              <w:t>% Ethanol</w:t>
            </w:r>
          </w:p>
        </w:tc>
      </w:tr>
      <w:tr w:rsidR="00E63829" w:rsidRPr="0069677A" w14:paraId="40B19900" w14:textId="77777777" w:rsidTr="0072798C">
        <w:trPr>
          <w:trHeight w:val="570"/>
        </w:trPr>
        <w:tc>
          <w:tcPr>
            <w:tcW w:w="1560" w:type="dxa"/>
            <w:tcBorders>
              <w:top w:val="single" w:sz="8" w:space="0" w:color="008000"/>
            </w:tcBorders>
            <w:vAlign w:val="center"/>
          </w:tcPr>
          <w:p w14:paraId="12A6E24B" w14:textId="7235BFC0" w:rsidR="00E63829" w:rsidRPr="00E9626D" w:rsidRDefault="0072798C" w:rsidP="0072798C">
            <w:pPr>
              <w:pStyle w:val="CETBodytext"/>
              <w:jc w:val="left"/>
              <w:rPr>
                <w:sz w:val="14"/>
                <w:szCs w:val="16"/>
                <w:lang w:val="en-GB"/>
              </w:rPr>
            </w:pPr>
            <w:r w:rsidRPr="00E9626D">
              <w:rPr>
                <w:sz w:val="14"/>
                <w:szCs w:val="16"/>
                <w:lang w:val="en-GB"/>
              </w:rPr>
              <w:t xml:space="preserve">Number of </w:t>
            </w:r>
            <w:r w:rsidR="00E63829" w:rsidRPr="003D40F1">
              <w:rPr>
                <w:i/>
                <w:iCs/>
                <w:sz w:val="14"/>
                <w:szCs w:val="16"/>
                <w:lang w:val="en-GB"/>
              </w:rPr>
              <w:t>Premnotrypes vorax</w:t>
            </w:r>
          </w:p>
        </w:tc>
        <w:tc>
          <w:tcPr>
            <w:tcW w:w="992" w:type="dxa"/>
            <w:tcBorders>
              <w:top w:val="single" w:sz="8" w:space="0" w:color="008000"/>
            </w:tcBorders>
            <w:vAlign w:val="center"/>
          </w:tcPr>
          <w:p w14:paraId="257AE691" w14:textId="77777777" w:rsidR="004229EF" w:rsidRDefault="004229EF" w:rsidP="00E63829">
            <w:pPr>
              <w:pStyle w:val="CETBodytext"/>
              <w:rPr>
                <w:sz w:val="14"/>
                <w:szCs w:val="16"/>
                <w:lang w:val="en-GB"/>
              </w:rPr>
            </w:pPr>
            <w:r>
              <w:rPr>
                <w:sz w:val="14"/>
                <w:szCs w:val="16"/>
                <w:lang w:val="en-GB"/>
              </w:rPr>
              <w:t>Cluster 0:</w:t>
            </w:r>
          </w:p>
          <w:p w14:paraId="274414B0" w14:textId="7B3B1AAA" w:rsidR="00E63829" w:rsidRPr="00E9626D" w:rsidRDefault="00E63829" w:rsidP="00E63829">
            <w:pPr>
              <w:pStyle w:val="CETBodytext"/>
              <w:rPr>
                <w:sz w:val="14"/>
                <w:szCs w:val="16"/>
                <w:highlight w:val="yellow"/>
                <w:lang w:val="en-GB"/>
              </w:rPr>
            </w:pPr>
            <w:r w:rsidRPr="00E9626D">
              <w:rPr>
                <w:sz w:val="14"/>
                <w:szCs w:val="16"/>
                <w:lang w:val="en-GB"/>
              </w:rPr>
              <w:t>15</w:t>
            </w:r>
          </w:p>
        </w:tc>
        <w:tc>
          <w:tcPr>
            <w:tcW w:w="992" w:type="dxa"/>
            <w:tcBorders>
              <w:top w:val="single" w:sz="8" w:space="0" w:color="008000"/>
            </w:tcBorders>
            <w:vAlign w:val="center"/>
          </w:tcPr>
          <w:p w14:paraId="1E7DE2D9" w14:textId="52047FAB" w:rsidR="004229EF" w:rsidRDefault="004229EF" w:rsidP="004229EF">
            <w:pPr>
              <w:pStyle w:val="CETBodytext"/>
              <w:rPr>
                <w:sz w:val="14"/>
                <w:szCs w:val="16"/>
                <w:lang w:val="en-GB"/>
              </w:rPr>
            </w:pPr>
            <w:r>
              <w:rPr>
                <w:sz w:val="14"/>
                <w:szCs w:val="16"/>
                <w:lang w:val="en-GB"/>
              </w:rPr>
              <w:t>Cluster 1:</w:t>
            </w:r>
          </w:p>
          <w:p w14:paraId="79DA7BAD" w14:textId="7FFF078E" w:rsidR="00E63829" w:rsidRPr="00E9626D" w:rsidRDefault="00E63829" w:rsidP="00E63829">
            <w:pPr>
              <w:pStyle w:val="CETBodytext"/>
              <w:rPr>
                <w:sz w:val="14"/>
                <w:szCs w:val="16"/>
                <w:lang w:val="en-GB"/>
              </w:rPr>
            </w:pPr>
            <w:r w:rsidRPr="00E9626D">
              <w:rPr>
                <w:sz w:val="14"/>
                <w:szCs w:val="16"/>
                <w:lang w:val="en-GB"/>
              </w:rPr>
              <w:t>15</w:t>
            </w:r>
          </w:p>
        </w:tc>
        <w:tc>
          <w:tcPr>
            <w:tcW w:w="992" w:type="dxa"/>
            <w:tcBorders>
              <w:top w:val="single" w:sz="8" w:space="0" w:color="008000"/>
            </w:tcBorders>
            <w:vAlign w:val="center"/>
          </w:tcPr>
          <w:p w14:paraId="5E7469E9" w14:textId="29AB15AA" w:rsidR="004229EF" w:rsidRDefault="004229EF" w:rsidP="004229EF">
            <w:pPr>
              <w:pStyle w:val="CETBodytext"/>
              <w:rPr>
                <w:sz w:val="14"/>
                <w:szCs w:val="16"/>
                <w:lang w:val="en-GB"/>
              </w:rPr>
            </w:pPr>
            <w:r>
              <w:rPr>
                <w:sz w:val="14"/>
                <w:szCs w:val="16"/>
                <w:lang w:val="en-GB"/>
              </w:rPr>
              <w:t>Cluster 2:</w:t>
            </w:r>
          </w:p>
          <w:p w14:paraId="4DC79096" w14:textId="36C37283" w:rsidR="00E63829" w:rsidRPr="00E9626D" w:rsidRDefault="00E63829" w:rsidP="00E63829">
            <w:pPr>
              <w:pStyle w:val="CETBodytext"/>
              <w:rPr>
                <w:sz w:val="14"/>
                <w:szCs w:val="16"/>
                <w:lang w:val="en-GB"/>
              </w:rPr>
            </w:pPr>
            <w:r w:rsidRPr="00E9626D">
              <w:rPr>
                <w:sz w:val="14"/>
                <w:szCs w:val="16"/>
                <w:lang w:val="en-GB"/>
              </w:rPr>
              <w:t>15</w:t>
            </w:r>
          </w:p>
        </w:tc>
        <w:tc>
          <w:tcPr>
            <w:tcW w:w="1416" w:type="dxa"/>
            <w:tcBorders>
              <w:top w:val="single" w:sz="8" w:space="0" w:color="008000"/>
            </w:tcBorders>
            <w:vAlign w:val="center"/>
          </w:tcPr>
          <w:p w14:paraId="330FE9A2" w14:textId="58E30701" w:rsidR="004229EF" w:rsidRDefault="004229EF" w:rsidP="004229EF">
            <w:pPr>
              <w:pStyle w:val="CETBodytext"/>
              <w:rPr>
                <w:sz w:val="14"/>
                <w:szCs w:val="16"/>
                <w:lang w:val="en-GB"/>
              </w:rPr>
            </w:pPr>
            <w:r>
              <w:rPr>
                <w:sz w:val="14"/>
                <w:szCs w:val="16"/>
                <w:lang w:val="en-GB"/>
              </w:rPr>
              <w:t>Cluster 3:</w:t>
            </w:r>
          </w:p>
          <w:p w14:paraId="7C02A454" w14:textId="214BD8D1" w:rsidR="00E63829" w:rsidRPr="00E9626D" w:rsidRDefault="00E63829" w:rsidP="00E63829">
            <w:pPr>
              <w:pStyle w:val="CETBodytext"/>
              <w:rPr>
                <w:sz w:val="14"/>
                <w:szCs w:val="16"/>
                <w:lang w:val="en-GB"/>
              </w:rPr>
            </w:pPr>
            <w:r w:rsidRPr="00E9626D">
              <w:rPr>
                <w:sz w:val="14"/>
                <w:szCs w:val="16"/>
                <w:lang w:val="en-GB"/>
              </w:rPr>
              <w:t>15</w:t>
            </w:r>
          </w:p>
        </w:tc>
        <w:tc>
          <w:tcPr>
            <w:tcW w:w="1419" w:type="dxa"/>
            <w:tcBorders>
              <w:top w:val="single" w:sz="8" w:space="0" w:color="008000"/>
            </w:tcBorders>
            <w:vAlign w:val="center"/>
          </w:tcPr>
          <w:p w14:paraId="0482CB77" w14:textId="7CD174B4" w:rsidR="004229EF" w:rsidRDefault="004229EF" w:rsidP="004229EF">
            <w:pPr>
              <w:pStyle w:val="CETBodytext"/>
              <w:rPr>
                <w:sz w:val="14"/>
                <w:szCs w:val="16"/>
                <w:lang w:val="en-GB"/>
              </w:rPr>
            </w:pPr>
            <w:r>
              <w:rPr>
                <w:sz w:val="14"/>
                <w:szCs w:val="16"/>
                <w:lang w:val="en-GB"/>
              </w:rPr>
              <w:t>Cluster 4:</w:t>
            </w:r>
          </w:p>
          <w:p w14:paraId="0C67228E" w14:textId="4EBFD6E0" w:rsidR="00E63829" w:rsidRPr="00E9626D" w:rsidRDefault="00E63829" w:rsidP="00E63829">
            <w:pPr>
              <w:pStyle w:val="CETBodytext"/>
              <w:rPr>
                <w:sz w:val="14"/>
                <w:szCs w:val="16"/>
                <w:lang w:val="en-GB"/>
              </w:rPr>
            </w:pPr>
            <w:r w:rsidRPr="00E9626D">
              <w:rPr>
                <w:sz w:val="14"/>
                <w:szCs w:val="16"/>
                <w:lang w:val="en-GB"/>
              </w:rPr>
              <w:t>15</w:t>
            </w:r>
          </w:p>
        </w:tc>
        <w:tc>
          <w:tcPr>
            <w:tcW w:w="1418" w:type="dxa"/>
            <w:tcBorders>
              <w:top w:val="single" w:sz="8" w:space="0" w:color="008000"/>
            </w:tcBorders>
            <w:vAlign w:val="center"/>
          </w:tcPr>
          <w:p w14:paraId="28C43F04" w14:textId="18692E84" w:rsidR="004229EF" w:rsidRDefault="004229EF" w:rsidP="004229EF">
            <w:pPr>
              <w:pStyle w:val="CETBodytext"/>
              <w:rPr>
                <w:sz w:val="14"/>
                <w:szCs w:val="16"/>
                <w:lang w:val="en-GB"/>
              </w:rPr>
            </w:pPr>
            <w:r>
              <w:rPr>
                <w:sz w:val="14"/>
                <w:szCs w:val="16"/>
                <w:lang w:val="en-GB"/>
              </w:rPr>
              <w:t>Cluster 5:</w:t>
            </w:r>
          </w:p>
          <w:p w14:paraId="6BA554C2" w14:textId="7FF7E30F" w:rsidR="00E63829" w:rsidRPr="00E9626D" w:rsidRDefault="00E63829" w:rsidP="00E63829">
            <w:pPr>
              <w:pStyle w:val="CETBodytext"/>
              <w:rPr>
                <w:sz w:val="14"/>
                <w:szCs w:val="16"/>
                <w:lang w:val="en-GB"/>
              </w:rPr>
            </w:pPr>
            <w:r w:rsidRPr="00E9626D">
              <w:rPr>
                <w:sz w:val="14"/>
                <w:szCs w:val="16"/>
                <w:lang w:val="en-GB"/>
              </w:rPr>
              <w:t>15</w:t>
            </w:r>
          </w:p>
        </w:tc>
      </w:tr>
    </w:tbl>
    <w:p w14:paraId="7362DB12" w14:textId="77777777" w:rsidR="000D0A2A" w:rsidRPr="0069677A" w:rsidRDefault="000D0A2A" w:rsidP="000D0A2A">
      <w:pPr>
        <w:pStyle w:val="CETBodytext"/>
        <w:rPr>
          <w:lang w:val="en-GB"/>
        </w:rPr>
      </w:pPr>
    </w:p>
    <w:p w14:paraId="29AF757D" w14:textId="44249752" w:rsidR="00F418D6" w:rsidRPr="0069677A" w:rsidRDefault="0072798C" w:rsidP="00F418D6">
      <w:pPr>
        <w:pStyle w:val="CETBodytext"/>
        <w:rPr>
          <w:lang w:val="en-GB"/>
        </w:rPr>
      </w:pPr>
      <w:r w:rsidRPr="0072798C">
        <w:rPr>
          <w:lang w:val="en-GB"/>
        </w:rPr>
        <w:t xml:space="preserve">In other investigations, quinoa bran has been used, which showed insecticidal activity only against insect species that do not affect the quinoa plantation, such as </w:t>
      </w:r>
      <w:proofErr w:type="spellStart"/>
      <w:r w:rsidRPr="00E9626D">
        <w:rPr>
          <w:i/>
          <w:iCs/>
          <w:lang w:val="en-GB"/>
        </w:rPr>
        <w:t>Pseudaletia</w:t>
      </w:r>
      <w:proofErr w:type="spellEnd"/>
      <w:r w:rsidRPr="00E9626D">
        <w:rPr>
          <w:i/>
          <w:iCs/>
          <w:lang w:val="en-GB"/>
        </w:rPr>
        <w:t xml:space="preserve"> </w:t>
      </w:r>
      <w:proofErr w:type="spellStart"/>
      <w:r w:rsidRPr="00E9626D">
        <w:rPr>
          <w:i/>
          <w:iCs/>
          <w:lang w:val="en-GB"/>
        </w:rPr>
        <w:t>impuncta</w:t>
      </w:r>
      <w:proofErr w:type="spellEnd"/>
      <w:r w:rsidRPr="0072798C">
        <w:rPr>
          <w:lang w:val="en-GB"/>
        </w:rPr>
        <w:t xml:space="preserve">, while insects that are pests of quinoa, such as </w:t>
      </w:r>
      <w:proofErr w:type="spellStart"/>
      <w:r w:rsidRPr="00E9626D">
        <w:rPr>
          <w:i/>
          <w:iCs/>
          <w:lang w:val="en-GB"/>
        </w:rPr>
        <w:t>Trichoplusia</w:t>
      </w:r>
      <w:proofErr w:type="spellEnd"/>
      <w:r w:rsidRPr="0072798C">
        <w:rPr>
          <w:lang w:val="en-GB"/>
        </w:rPr>
        <w:t xml:space="preserve"> and </w:t>
      </w:r>
      <w:proofErr w:type="spellStart"/>
      <w:r w:rsidRPr="00E9626D">
        <w:rPr>
          <w:i/>
          <w:iCs/>
          <w:lang w:val="en-GB"/>
        </w:rPr>
        <w:t>Feltia</w:t>
      </w:r>
      <w:proofErr w:type="spellEnd"/>
      <w:r w:rsidRPr="00E9626D">
        <w:rPr>
          <w:i/>
          <w:iCs/>
          <w:lang w:val="en-GB"/>
        </w:rPr>
        <w:t xml:space="preserve"> </w:t>
      </w:r>
      <w:proofErr w:type="spellStart"/>
      <w:r w:rsidRPr="00E9626D">
        <w:rPr>
          <w:i/>
          <w:iCs/>
          <w:lang w:val="en-GB"/>
        </w:rPr>
        <w:t>subterranea</w:t>
      </w:r>
      <w:proofErr w:type="spellEnd"/>
      <w:r w:rsidRPr="0072798C">
        <w:rPr>
          <w:lang w:val="en-GB"/>
        </w:rPr>
        <w:t xml:space="preserve">, were not affected. </w:t>
      </w:r>
      <w:r w:rsidR="00F418D6" w:rsidRPr="0069677A">
        <w:rPr>
          <w:lang w:val="en-GB"/>
        </w:rPr>
        <w:t>(McCartney et al., 2019)</w:t>
      </w:r>
    </w:p>
    <w:p w14:paraId="08DB106F" w14:textId="63BAAAED" w:rsidR="001C43B2" w:rsidRPr="0069677A" w:rsidRDefault="001C43B2" w:rsidP="00B13C07">
      <w:pPr>
        <w:pStyle w:val="CETHeading1"/>
      </w:pPr>
      <w:r w:rsidRPr="0069677A">
        <w:t>Results and discussion</w:t>
      </w:r>
    </w:p>
    <w:p w14:paraId="3F0B72DA" w14:textId="5EC0ECD3" w:rsidR="001C43B2" w:rsidRPr="0069677A" w:rsidRDefault="0072798C" w:rsidP="00F36DBE">
      <w:pPr>
        <w:pStyle w:val="CETheadingx"/>
      </w:pPr>
      <w:r w:rsidRPr="0072798C">
        <w:t>Qualitative identification of saponins</w:t>
      </w:r>
    </w:p>
    <w:p w14:paraId="3D2E5401" w14:textId="78163581" w:rsidR="001C43B2" w:rsidRPr="0069677A" w:rsidRDefault="0072798C" w:rsidP="001C43B2">
      <w:pPr>
        <w:pStyle w:val="CETBodytext"/>
        <w:rPr>
          <w:lang w:val="en-GB"/>
        </w:rPr>
      </w:pPr>
      <w:r w:rsidRPr="0072798C">
        <w:rPr>
          <w:lang w:val="en-GB"/>
        </w:rPr>
        <w:t>To qualitatively determine the presence of saponins in the residual biomass of the quinoa scarification stage, 0.5 g of this biomass was taken and dissolved in 5 mL of distilled water, shaken vigorously for 5 seconds and left to stand for 30 minutes. Then the agitation was repeated for 30 seconds and allowed to stand for 5 minutes. The result to the "foam test" was positive for all 5 samples. See Table 2</w:t>
      </w:r>
      <w:r w:rsidR="00CD0039" w:rsidRPr="0069677A">
        <w:rPr>
          <w:lang w:val="en-GB"/>
        </w:rPr>
        <w:t>.</w:t>
      </w:r>
    </w:p>
    <w:p w14:paraId="563AF29B" w14:textId="2A194A8C" w:rsidR="001836AC" w:rsidRPr="0069677A" w:rsidRDefault="001836AC" w:rsidP="001836AC">
      <w:pPr>
        <w:pStyle w:val="CETTabletitle"/>
      </w:pPr>
      <w:r w:rsidRPr="0069677A">
        <w:t xml:space="preserve">Table 2: </w:t>
      </w:r>
      <w:r w:rsidR="0072798C" w:rsidRPr="0072798C">
        <w:t>Foam testing for initial samples of biomass of Chenopodium quinoa</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92"/>
        <w:gridCol w:w="2592"/>
      </w:tblGrid>
      <w:tr w:rsidR="0072798C" w:rsidRPr="0069677A" w14:paraId="4982373F" w14:textId="77777777" w:rsidTr="009E4E4C">
        <w:trPr>
          <w:trHeight w:val="229"/>
        </w:trPr>
        <w:tc>
          <w:tcPr>
            <w:tcW w:w="2592" w:type="dxa"/>
            <w:tcBorders>
              <w:top w:val="single" w:sz="12" w:space="0" w:color="008000"/>
              <w:bottom w:val="single" w:sz="6" w:space="0" w:color="008000"/>
            </w:tcBorders>
            <w:shd w:val="clear" w:color="auto" w:fill="FFFFFF"/>
          </w:tcPr>
          <w:p w14:paraId="2E7A07AA" w14:textId="69327292" w:rsidR="0072798C" w:rsidRPr="0069677A" w:rsidRDefault="0072798C" w:rsidP="0072798C">
            <w:pPr>
              <w:pStyle w:val="CETBodytext"/>
              <w:ind w:left="142"/>
              <w:rPr>
                <w:lang w:val="en-GB"/>
              </w:rPr>
            </w:pPr>
            <w:r w:rsidRPr="00FA58C6">
              <w:t xml:space="preserve">Samples </w:t>
            </w:r>
          </w:p>
        </w:tc>
        <w:tc>
          <w:tcPr>
            <w:tcW w:w="2592" w:type="dxa"/>
            <w:tcBorders>
              <w:top w:val="single" w:sz="12" w:space="0" w:color="008000"/>
              <w:bottom w:val="single" w:sz="6" w:space="0" w:color="008000"/>
            </w:tcBorders>
            <w:shd w:val="clear" w:color="auto" w:fill="FFFFFF"/>
          </w:tcPr>
          <w:p w14:paraId="1A84D90E" w14:textId="0C993C7E" w:rsidR="0072798C" w:rsidRPr="0069677A" w:rsidRDefault="0072798C" w:rsidP="0072798C">
            <w:pPr>
              <w:pStyle w:val="CETBodytext"/>
              <w:ind w:left="132"/>
              <w:rPr>
                <w:lang w:val="en-GB"/>
              </w:rPr>
            </w:pPr>
            <w:r w:rsidRPr="00F71EDB">
              <w:t>Presence of saponins</w:t>
            </w:r>
          </w:p>
        </w:tc>
      </w:tr>
      <w:tr w:rsidR="0072798C" w:rsidRPr="0069677A" w14:paraId="57928536" w14:textId="77777777" w:rsidTr="009E4E4C">
        <w:trPr>
          <w:trHeight w:val="121"/>
        </w:trPr>
        <w:tc>
          <w:tcPr>
            <w:tcW w:w="2592" w:type="dxa"/>
            <w:shd w:val="clear" w:color="auto" w:fill="FFFFFF"/>
          </w:tcPr>
          <w:p w14:paraId="238E5756" w14:textId="04E8497F" w:rsidR="0072798C" w:rsidRPr="0069677A" w:rsidRDefault="0072798C" w:rsidP="0072798C">
            <w:pPr>
              <w:pStyle w:val="CETBodytext"/>
              <w:ind w:left="142"/>
              <w:rPr>
                <w:lang w:val="en-GB"/>
              </w:rPr>
            </w:pPr>
            <w:r w:rsidRPr="00FA58C6">
              <w:t>Sample 0 (M0)</w:t>
            </w:r>
          </w:p>
        </w:tc>
        <w:tc>
          <w:tcPr>
            <w:tcW w:w="2592" w:type="dxa"/>
            <w:shd w:val="clear" w:color="auto" w:fill="FFFFFF"/>
          </w:tcPr>
          <w:p w14:paraId="26B943DA" w14:textId="6FCDDFF8" w:rsidR="0072798C" w:rsidRPr="0069677A" w:rsidRDefault="0072798C" w:rsidP="0072798C">
            <w:pPr>
              <w:pStyle w:val="CETBodytext"/>
              <w:ind w:left="132"/>
              <w:jc w:val="center"/>
              <w:rPr>
                <w:lang w:val="en-GB"/>
              </w:rPr>
            </w:pPr>
            <w:r w:rsidRPr="00F71EDB">
              <w:t>Positive</w:t>
            </w:r>
          </w:p>
        </w:tc>
      </w:tr>
      <w:tr w:rsidR="0072798C" w:rsidRPr="0069677A" w14:paraId="6CFABDB2" w14:textId="77777777" w:rsidTr="009E4E4C">
        <w:trPr>
          <w:trHeight w:val="182"/>
        </w:trPr>
        <w:tc>
          <w:tcPr>
            <w:tcW w:w="2592" w:type="dxa"/>
            <w:shd w:val="clear" w:color="auto" w:fill="FFFFFF"/>
          </w:tcPr>
          <w:p w14:paraId="2B0D5BC9" w14:textId="7D42FB38" w:rsidR="0072798C" w:rsidRPr="0069677A" w:rsidRDefault="0072798C" w:rsidP="0072798C">
            <w:pPr>
              <w:pStyle w:val="CETBodytext"/>
              <w:ind w:left="142" w:right="-1"/>
              <w:rPr>
                <w:rFonts w:cs="Arial"/>
                <w:szCs w:val="18"/>
                <w:lang w:val="en-GB"/>
              </w:rPr>
            </w:pPr>
            <w:r w:rsidRPr="00FA58C6">
              <w:t>Sample 1 (M1)</w:t>
            </w:r>
          </w:p>
        </w:tc>
        <w:tc>
          <w:tcPr>
            <w:tcW w:w="2592" w:type="dxa"/>
            <w:shd w:val="clear" w:color="auto" w:fill="FFFFFF"/>
          </w:tcPr>
          <w:p w14:paraId="3A86E877" w14:textId="16198B41" w:rsidR="0072798C" w:rsidRPr="0069677A" w:rsidRDefault="0072798C" w:rsidP="0072798C">
            <w:pPr>
              <w:pStyle w:val="CETBodytext"/>
              <w:ind w:left="132" w:right="-1"/>
              <w:jc w:val="center"/>
              <w:rPr>
                <w:rFonts w:cs="Arial"/>
                <w:szCs w:val="18"/>
                <w:lang w:val="en-GB"/>
              </w:rPr>
            </w:pPr>
            <w:r w:rsidRPr="00F71EDB">
              <w:t>Positive</w:t>
            </w:r>
          </w:p>
        </w:tc>
      </w:tr>
      <w:tr w:rsidR="0072798C" w:rsidRPr="0069677A" w14:paraId="580E7666" w14:textId="77777777" w:rsidTr="009E4E4C">
        <w:trPr>
          <w:trHeight w:val="99"/>
        </w:trPr>
        <w:tc>
          <w:tcPr>
            <w:tcW w:w="2592" w:type="dxa"/>
            <w:shd w:val="clear" w:color="auto" w:fill="FFFFFF"/>
          </w:tcPr>
          <w:p w14:paraId="13941752" w14:textId="2DBF94F9" w:rsidR="0072798C" w:rsidRPr="0069677A" w:rsidRDefault="0072798C" w:rsidP="0072798C">
            <w:pPr>
              <w:pStyle w:val="CETBodytext"/>
              <w:ind w:left="142" w:right="-1"/>
              <w:rPr>
                <w:rFonts w:cs="Arial"/>
                <w:szCs w:val="18"/>
                <w:lang w:val="en-GB"/>
              </w:rPr>
            </w:pPr>
            <w:r w:rsidRPr="00FA58C6">
              <w:t>Sample 2 (M2)</w:t>
            </w:r>
          </w:p>
        </w:tc>
        <w:tc>
          <w:tcPr>
            <w:tcW w:w="2592" w:type="dxa"/>
            <w:shd w:val="clear" w:color="auto" w:fill="FFFFFF"/>
          </w:tcPr>
          <w:p w14:paraId="334F7078" w14:textId="35116CD8" w:rsidR="0072798C" w:rsidRPr="0069677A" w:rsidRDefault="0072798C" w:rsidP="0072798C">
            <w:pPr>
              <w:pStyle w:val="CETBodytext"/>
              <w:ind w:left="132" w:right="-1"/>
              <w:jc w:val="center"/>
              <w:rPr>
                <w:rFonts w:cs="Arial"/>
                <w:szCs w:val="18"/>
                <w:lang w:val="en-GB"/>
              </w:rPr>
            </w:pPr>
            <w:r w:rsidRPr="00F71EDB">
              <w:t>Positive</w:t>
            </w:r>
          </w:p>
        </w:tc>
      </w:tr>
      <w:tr w:rsidR="0072798C" w:rsidRPr="0069677A" w14:paraId="0622CEF1" w14:textId="77777777" w:rsidTr="009E4E4C">
        <w:trPr>
          <w:trHeight w:val="146"/>
        </w:trPr>
        <w:tc>
          <w:tcPr>
            <w:tcW w:w="2592" w:type="dxa"/>
            <w:shd w:val="clear" w:color="auto" w:fill="FFFFFF"/>
          </w:tcPr>
          <w:p w14:paraId="3233476A" w14:textId="359312EA" w:rsidR="0072798C" w:rsidRPr="0069677A" w:rsidRDefault="0072798C" w:rsidP="0072798C">
            <w:pPr>
              <w:pStyle w:val="CETBodytext"/>
              <w:ind w:left="142" w:right="-1"/>
              <w:rPr>
                <w:rFonts w:cs="Arial"/>
                <w:szCs w:val="18"/>
                <w:lang w:val="en-GB"/>
              </w:rPr>
            </w:pPr>
            <w:r w:rsidRPr="00FA58C6">
              <w:t>Sample 3 (M3)</w:t>
            </w:r>
          </w:p>
        </w:tc>
        <w:tc>
          <w:tcPr>
            <w:tcW w:w="2592" w:type="dxa"/>
            <w:shd w:val="clear" w:color="auto" w:fill="FFFFFF"/>
          </w:tcPr>
          <w:p w14:paraId="74478B2A" w14:textId="4909B15C" w:rsidR="0072798C" w:rsidRPr="0069677A" w:rsidRDefault="0072798C" w:rsidP="0072798C">
            <w:pPr>
              <w:pStyle w:val="CETBodytext"/>
              <w:ind w:left="132" w:right="-1"/>
              <w:jc w:val="center"/>
              <w:rPr>
                <w:rFonts w:cs="Arial"/>
                <w:szCs w:val="18"/>
                <w:lang w:val="en-GB"/>
              </w:rPr>
            </w:pPr>
            <w:r w:rsidRPr="00F71EDB">
              <w:t>Positive</w:t>
            </w:r>
          </w:p>
        </w:tc>
      </w:tr>
      <w:tr w:rsidR="0072798C" w:rsidRPr="0069677A" w14:paraId="1BE9E7A3" w14:textId="77777777" w:rsidTr="009E4E4C">
        <w:trPr>
          <w:trHeight w:val="60"/>
        </w:trPr>
        <w:tc>
          <w:tcPr>
            <w:tcW w:w="2592" w:type="dxa"/>
            <w:shd w:val="clear" w:color="auto" w:fill="FFFFFF"/>
          </w:tcPr>
          <w:p w14:paraId="45086C46" w14:textId="2734C720" w:rsidR="0072798C" w:rsidRPr="0069677A" w:rsidRDefault="0072798C" w:rsidP="0072798C">
            <w:pPr>
              <w:pStyle w:val="CETBodytext"/>
              <w:ind w:left="142" w:right="-1"/>
              <w:rPr>
                <w:rFonts w:cs="Arial"/>
                <w:szCs w:val="18"/>
                <w:lang w:val="en-GB"/>
              </w:rPr>
            </w:pPr>
            <w:r w:rsidRPr="00FA58C6">
              <w:t>Sample 4 (M4)</w:t>
            </w:r>
          </w:p>
        </w:tc>
        <w:tc>
          <w:tcPr>
            <w:tcW w:w="2592" w:type="dxa"/>
            <w:shd w:val="clear" w:color="auto" w:fill="FFFFFF"/>
          </w:tcPr>
          <w:p w14:paraId="6F2E8AE0" w14:textId="75959F26" w:rsidR="0072798C" w:rsidRPr="0069677A" w:rsidRDefault="0072798C" w:rsidP="0072798C">
            <w:pPr>
              <w:pStyle w:val="CETBodytext"/>
              <w:ind w:left="132" w:right="-1"/>
              <w:jc w:val="center"/>
              <w:rPr>
                <w:rFonts w:cs="Arial"/>
                <w:szCs w:val="18"/>
                <w:lang w:val="en-GB"/>
              </w:rPr>
            </w:pPr>
            <w:r w:rsidRPr="00F71EDB">
              <w:t>Positive</w:t>
            </w:r>
          </w:p>
        </w:tc>
      </w:tr>
    </w:tbl>
    <w:p w14:paraId="29942D20" w14:textId="7D2F0B7B" w:rsidR="001C43B2" w:rsidRPr="0069677A" w:rsidRDefault="001C43B2" w:rsidP="001C43B2">
      <w:pPr>
        <w:pStyle w:val="CETBodytext"/>
        <w:rPr>
          <w:lang w:val="en-GB"/>
        </w:rPr>
      </w:pPr>
    </w:p>
    <w:p w14:paraId="15CBD572" w14:textId="6FA23A8E" w:rsidR="00D91723" w:rsidRPr="0069677A" w:rsidRDefault="0072798C" w:rsidP="00D91723">
      <w:pPr>
        <w:pStyle w:val="CETBodytext"/>
        <w:rPr>
          <w:lang w:val="en-GB"/>
        </w:rPr>
      </w:pPr>
      <w:r w:rsidRPr="0072798C">
        <w:rPr>
          <w:lang w:val="en-GB"/>
        </w:rPr>
        <w:t xml:space="preserve">Saponins are secondary metabolites of plants, among them Chenopodium quinoa, are a hydrophilic sugar moiety linked to a </w:t>
      </w:r>
      <w:proofErr w:type="spellStart"/>
      <w:r w:rsidRPr="0072798C">
        <w:rPr>
          <w:lang w:val="en-GB"/>
        </w:rPr>
        <w:t>lopophilic</w:t>
      </w:r>
      <w:proofErr w:type="spellEnd"/>
      <w:r w:rsidRPr="0072798C">
        <w:rPr>
          <w:lang w:val="en-GB"/>
        </w:rPr>
        <w:t xml:space="preserve"> aglycone with special properties such as </w:t>
      </w:r>
      <w:proofErr w:type="spellStart"/>
      <w:r w:rsidRPr="0072798C">
        <w:rPr>
          <w:lang w:val="en-GB"/>
        </w:rPr>
        <w:t>antiphilic</w:t>
      </w:r>
      <w:proofErr w:type="spellEnd"/>
      <w:r w:rsidRPr="0072798C">
        <w:rPr>
          <w:lang w:val="en-GB"/>
        </w:rPr>
        <w:t>, which give it surfactant properties, form stable and complex foams with other molecules (</w:t>
      </w:r>
      <w:proofErr w:type="spellStart"/>
      <w:r w:rsidRPr="0072798C">
        <w:rPr>
          <w:lang w:val="en-GB"/>
        </w:rPr>
        <w:t>Timilsena</w:t>
      </w:r>
      <w:proofErr w:type="spellEnd"/>
      <w:r w:rsidRPr="0072798C">
        <w:rPr>
          <w:lang w:val="en-GB"/>
        </w:rPr>
        <w:t>, et al., 2023</w:t>
      </w:r>
      <w:r w:rsidR="00D91723" w:rsidRPr="0069677A">
        <w:rPr>
          <w:lang w:val="en-GB"/>
        </w:rPr>
        <w:t>).</w:t>
      </w:r>
    </w:p>
    <w:p w14:paraId="2A59E6A4" w14:textId="6DF9146B" w:rsidR="001C43B2" w:rsidRPr="0069677A" w:rsidRDefault="0072798C" w:rsidP="00F36DBE">
      <w:pPr>
        <w:pStyle w:val="CETheadingx"/>
      </w:pPr>
      <w:r w:rsidRPr="0072798C">
        <w:t>Extraction of saponin from the biomass of Chenopodium quinoa: bioinsecticide solutio</w:t>
      </w:r>
      <w:r w:rsidR="00E9626D">
        <w:t>n</w:t>
      </w:r>
      <w:r w:rsidR="00720829" w:rsidRPr="0069677A">
        <w:t xml:space="preserve"> </w:t>
      </w:r>
    </w:p>
    <w:p w14:paraId="39E9160C" w14:textId="77777777" w:rsidR="0072798C" w:rsidRPr="0072798C" w:rsidRDefault="0072798C" w:rsidP="0072798C">
      <w:pPr>
        <w:pStyle w:val="CETBodytext"/>
        <w:rPr>
          <w:lang w:val="en-GB"/>
        </w:rPr>
      </w:pPr>
      <w:r w:rsidRPr="0072798C">
        <w:rPr>
          <w:lang w:val="en-GB"/>
        </w:rPr>
        <w:t xml:space="preserve">The biomass samples M1, M2, M3 and M4 were subjected to a saponin extraction process using ethanol solution at different concentrations as polar solvent, as shown in Table 3. The solutions were made in the ratio of: 1 residual biomass / 9 ethanol solvent. </w:t>
      </w:r>
    </w:p>
    <w:p w14:paraId="3DFF9D4E" w14:textId="77777777" w:rsidR="0072798C" w:rsidRPr="0072798C" w:rsidRDefault="0072798C" w:rsidP="0072798C">
      <w:pPr>
        <w:pStyle w:val="CETBodytext"/>
        <w:rPr>
          <w:lang w:val="en-GB"/>
        </w:rPr>
      </w:pPr>
      <w:r w:rsidRPr="0072798C">
        <w:rPr>
          <w:lang w:val="en-GB"/>
        </w:rPr>
        <w:t xml:space="preserve">After a maceration time, the presence of saponins in the solutions of samples M1, M2, M3 and M4 was qualitatively evaluated, and saponins were found in these samples, except in sample M4. </w:t>
      </w:r>
    </w:p>
    <w:p w14:paraId="06399AC4" w14:textId="1242961A" w:rsidR="00D743BC" w:rsidRPr="0069677A" w:rsidRDefault="0072798C" w:rsidP="0072798C">
      <w:pPr>
        <w:pStyle w:val="CETBodytext"/>
        <w:rPr>
          <w:lang w:val="en-GB"/>
        </w:rPr>
      </w:pPr>
      <w:r w:rsidRPr="0072798C">
        <w:rPr>
          <w:lang w:val="en-GB"/>
        </w:rPr>
        <w:t>A phytochemical screening of the samples was also carried out, determining the presence of secondary metabolites of Chenopodium quinoa. The results presented in Table 3</w:t>
      </w:r>
      <w:r w:rsidR="00D743BC" w:rsidRPr="0069677A">
        <w:rPr>
          <w:lang w:val="en-GB"/>
        </w:rPr>
        <w:t>.</w:t>
      </w:r>
    </w:p>
    <w:p w14:paraId="10C0BF9F" w14:textId="7BF6F482" w:rsidR="00D8617F" w:rsidRPr="0069677A" w:rsidRDefault="00D8617F" w:rsidP="00D8617F">
      <w:pPr>
        <w:pStyle w:val="CETTabletitle"/>
      </w:pPr>
      <w:r w:rsidRPr="0069677A">
        <w:lastRenderedPageBreak/>
        <w:t xml:space="preserve">Table 3: </w:t>
      </w:r>
      <w:r w:rsidR="0072798C" w:rsidRPr="0072798C">
        <w:t>Phytochemical screening to identify secondary metabolites in bi</w:t>
      </w:r>
      <w:r w:rsidR="006016B5">
        <w:t>oi</w:t>
      </w:r>
      <w:r w:rsidR="0072798C" w:rsidRPr="0072798C">
        <w:t>nsecticid</w:t>
      </w:r>
      <w:r w:rsidR="006016B5">
        <w:t>e</w:t>
      </w:r>
      <w:r w:rsidR="0072798C" w:rsidRPr="0072798C">
        <w:t xml:space="preserve"> solution of Chenopodium quinoa saponin</w:t>
      </w:r>
    </w:p>
    <w:tbl>
      <w:tblPr>
        <w:tblW w:w="873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88"/>
        <w:gridCol w:w="1102"/>
        <w:gridCol w:w="1106"/>
        <w:gridCol w:w="1159"/>
        <w:gridCol w:w="1014"/>
        <w:gridCol w:w="1723"/>
        <w:gridCol w:w="970"/>
        <w:gridCol w:w="971"/>
      </w:tblGrid>
      <w:tr w:rsidR="006016B5" w:rsidRPr="0069677A" w14:paraId="0823D119" w14:textId="0EF1B262" w:rsidTr="00E9626D">
        <w:trPr>
          <w:trHeight w:val="959"/>
        </w:trPr>
        <w:tc>
          <w:tcPr>
            <w:tcW w:w="688" w:type="dxa"/>
            <w:tcBorders>
              <w:top w:val="single" w:sz="12" w:space="0" w:color="008000"/>
              <w:bottom w:val="single" w:sz="6" w:space="0" w:color="008000"/>
            </w:tcBorders>
            <w:shd w:val="clear" w:color="auto" w:fill="FFFFFF"/>
          </w:tcPr>
          <w:p w14:paraId="3A26617E" w14:textId="7A10551C" w:rsidR="00E60E69" w:rsidRPr="0069677A" w:rsidRDefault="006016B5" w:rsidP="00D00C68">
            <w:pPr>
              <w:pStyle w:val="CETBodytext"/>
              <w:rPr>
                <w:lang w:val="en-GB"/>
              </w:rPr>
            </w:pPr>
            <w:r>
              <w:rPr>
                <w:sz w:val="16"/>
                <w:szCs w:val="18"/>
                <w:u w:val="single"/>
                <w:lang w:val="en-GB"/>
              </w:rPr>
              <w:t>Samples</w:t>
            </w:r>
          </w:p>
        </w:tc>
        <w:tc>
          <w:tcPr>
            <w:tcW w:w="1102" w:type="dxa"/>
            <w:tcBorders>
              <w:top w:val="single" w:sz="12" w:space="0" w:color="008000"/>
              <w:bottom w:val="single" w:sz="6" w:space="0" w:color="008000"/>
            </w:tcBorders>
            <w:shd w:val="clear" w:color="auto" w:fill="FFFFFF"/>
          </w:tcPr>
          <w:p w14:paraId="6D76F863" w14:textId="46717D26" w:rsidR="00E60E69" w:rsidRPr="0069677A" w:rsidRDefault="00840261" w:rsidP="009D5BB9">
            <w:pPr>
              <w:pStyle w:val="CETBodytext"/>
              <w:jc w:val="left"/>
              <w:rPr>
                <w:sz w:val="16"/>
                <w:szCs w:val="18"/>
                <w:lang w:val="en-GB"/>
              </w:rPr>
            </w:pPr>
            <w:r w:rsidRPr="00840261">
              <w:rPr>
                <w:sz w:val="16"/>
                <w:szCs w:val="18"/>
                <w:lang w:val="en-GB"/>
              </w:rPr>
              <w:t>Solvent concentration: Ethanol Solution, % by volume</w:t>
            </w:r>
          </w:p>
        </w:tc>
        <w:tc>
          <w:tcPr>
            <w:tcW w:w="1106" w:type="dxa"/>
            <w:tcBorders>
              <w:top w:val="single" w:sz="12" w:space="0" w:color="008000"/>
              <w:bottom w:val="single" w:sz="6" w:space="0" w:color="008000"/>
            </w:tcBorders>
            <w:shd w:val="clear" w:color="auto" w:fill="FFFFFF"/>
          </w:tcPr>
          <w:p w14:paraId="2BCF02D8" w14:textId="1F9606EE" w:rsidR="00E60E69" w:rsidRPr="0069677A" w:rsidRDefault="00E60E69" w:rsidP="009D5BB9">
            <w:pPr>
              <w:pStyle w:val="CETBodytext"/>
              <w:jc w:val="left"/>
              <w:rPr>
                <w:sz w:val="16"/>
                <w:szCs w:val="18"/>
                <w:lang w:val="en-GB"/>
              </w:rPr>
            </w:pPr>
            <w:r w:rsidRPr="0069677A">
              <w:rPr>
                <w:sz w:val="16"/>
                <w:szCs w:val="18"/>
                <w:lang w:val="en-GB"/>
              </w:rPr>
              <w:t xml:space="preserve"> </w:t>
            </w:r>
            <w:r w:rsidR="006016B5" w:rsidRPr="006016B5">
              <w:rPr>
                <w:sz w:val="16"/>
                <w:szCs w:val="18"/>
                <w:lang w:val="en-GB"/>
              </w:rPr>
              <w:t xml:space="preserve">Foam test (presence of saponins) </w:t>
            </w:r>
          </w:p>
        </w:tc>
        <w:tc>
          <w:tcPr>
            <w:tcW w:w="1159" w:type="dxa"/>
            <w:tcBorders>
              <w:top w:val="single" w:sz="12" w:space="0" w:color="008000"/>
              <w:bottom w:val="single" w:sz="6" w:space="0" w:color="008000"/>
            </w:tcBorders>
            <w:shd w:val="clear" w:color="auto" w:fill="FFFFFF"/>
          </w:tcPr>
          <w:p w14:paraId="1A673E8F" w14:textId="377AD1CD" w:rsidR="00E60E69" w:rsidRPr="0069677A" w:rsidRDefault="006016B5" w:rsidP="009D5BB9">
            <w:pPr>
              <w:pStyle w:val="CETBodytext"/>
              <w:jc w:val="left"/>
              <w:rPr>
                <w:sz w:val="16"/>
                <w:szCs w:val="18"/>
                <w:lang w:val="en-GB"/>
              </w:rPr>
            </w:pPr>
            <w:r w:rsidRPr="006016B5">
              <w:rPr>
                <w:sz w:val="16"/>
                <w:szCs w:val="18"/>
                <w:lang w:val="en-GB"/>
              </w:rPr>
              <w:t>Fehling test (presence of reducing sugars)</w:t>
            </w:r>
          </w:p>
        </w:tc>
        <w:tc>
          <w:tcPr>
            <w:tcW w:w="1014" w:type="dxa"/>
            <w:tcBorders>
              <w:top w:val="single" w:sz="12" w:space="0" w:color="008000"/>
              <w:bottom w:val="single" w:sz="6" w:space="0" w:color="008000"/>
            </w:tcBorders>
            <w:shd w:val="clear" w:color="auto" w:fill="FFFFFF"/>
          </w:tcPr>
          <w:p w14:paraId="27E0D3F4" w14:textId="21A48A84" w:rsidR="00E60E69" w:rsidRPr="0069677A" w:rsidRDefault="006016B5" w:rsidP="009D5BB9">
            <w:pPr>
              <w:pStyle w:val="CETBodytext"/>
              <w:jc w:val="left"/>
              <w:rPr>
                <w:sz w:val="16"/>
                <w:szCs w:val="18"/>
                <w:lang w:val="en-GB"/>
              </w:rPr>
            </w:pPr>
            <w:r w:rsidRPr="006016B5">
              <w:rPr>
                <w:sz w:val="16"/>
                <w:szCs w:val="18"/>
                <w:lang w:val="en-GB"/>
              </w:rPr>
              <w:t>Shinoda assay (presence of flavonoids)</w:t>
            </w:r>
          </w:p>
        </w:tc>
        <w:tc>
          <w:tcPr>
            <w:tcW w:w="1723" w:type="dxa"/>
            <w:tcBorders>
              <w:top w:val="single" w:sz="12" w:space="0" w:color="008000"/>
              <w:bottom w:val="single" w:sz="6" w:space="0" w:color="008000"/>
            </w:tcBorders>
            <w:shd w:val="clear" w:color="auto" w:fill="FFFFFF"/>
          </w:tcPr>
          <w:p w14:paraId="06550158" w14:textId="5F65E932" w:rsidR="00E60E69" w:rsidRPr="0069677A" w:rsidRDefault="006016B5" w:rsidP="009D5BB9">
            <w:pPr>
              <w:pStyle w:val="CETBodytext"/>
              <w:jc w:val="left"/>
              <w:rPr>
                <w:sz w:val="16"/>
                <w:szCs w:val="18"/>
                <w:lang w:val="en-GB"/>
              </w:rPr>
            </w:pPr>
            <w:r w:rsidRPr="006016B5">
              <w:rPr>
                <w:sz w:val="16"/>
                <w:szCs w:val="18"/>
                <w:lang w:val="en-GB"/>
              </w:rPr>
              <w:t>Lieberman Buchard Test (presence of triterpenes and/or steroids)</w:t>
            </w:r>
          </w:p>
        </w:tc>
        <w:tc>
          <w:tcPr>
            <w:tcW w:w="970" w:type="dxa"/>
            <w:tcBorders>
              <w:top w:val="single" w:sz="12" w:space="0" w:color="008000"/>
              <w:bottom w:val="single" w:sz="6" w:space="0" w:color="008000"/>
            </w:tcBorders>
            <w:shd w:val="clear" w:color="auto" w:fill="FFFFFF"/>
          </w:tcPr>
          <w:p w14:paraId="4F4ABBDB" w14:textId="6E4BEA95" w:rsidR="00E60E69" w:rsidRPr="0069677A" w:rsidRDefault="006016B5" w:rsidP="009D5BB9">
            <w:pPr>
              <w:pStyle w:val="CETBodytext"/>
              <w:jc w:val="left"/>
              <w:rPr>
                <w:sz w:val="16"/>
                <w:szCs w:val="18"/>
                <w:lang w:val="en-GB"/>
              </w:rPr>
            </w:pPr>
            <w:proofErr w:type="spellStart"/>
            <w:r w:rsidRPr="006016B5">
              <w:rPr>
                <w:sz w:val="16"/>
                <w:szCs w:val="18"/>
                <w:lang w:val="en-GB"/>
              </w:rPr>
              <w:t>Bortrager</w:t>
            </w:r>
            <w:proofErr w:type="spellEnd"/>
            <w:r w:rsidRPr="006016B5">
              <w:rPr>
                <w:sz w:val="16"/>
                <w:szCs w:val="18"/>
                <w:lang w:val="en-GB"/>
              </w:rPr>
              <w:t xml:space="preserve"> assay (presence of quinones)</w:t>
            </w:r>
          </w:p>
        </w:tc>
        <w:tc>
          <w:tcPr>
            <w:tcW w:w="971" w:type="dxa"/>
            <w:tcBorders>
              <w:top w:val="single" w:sz="12" w:space="0" w:color="008000"/>
              <w:bottom w:val="single" w:sz="6" w:space="0" w:color="008000"/>
            </w:tcBorders>
            <w:shd w:val="clear" w:color="auto" w:fill="FFFFFF"/>
          </w:tcPr>
          <w:p w14:paraId="6955135E" w14:textId="20966357" w:rsidR="00E60E69" w:rsidRPr="0069677A" w:rsidRDefault="006016B5" w:rsidP="009D5BB9">
            <w:pPr>
              <w:pStyle w:val="CETBodytext"/>
              <w:jc w:val="left"/>
              <w:rPr>
                <w:sz w:val="16"/>
                <w:szCs w:val="18"/>
                <w:lang w:val="en-GB"/>
              </w:rPr>
            </w:pPr>
            <w:r w:rsidRPr="006016B5">
              <w:rPr>
                <w:sz w:val="16"/>
                <w:szCs w:val="18"/>
                <w:lang w:val="en-GB"/>
              </w:rPr>
              <w:t>Wagner Assay (Presence of Alkaloids)</w:t>
            </w:r>
          </w:p>
        </w:tc>
      </w:tr>
      <w:tr w:rsidR="006016B5" w:rsidRPr="0069677A" w14:paraId="510055A8" w14:textId="7FD4FF12" w:rsidTr="00E9626D">
        <w:trPr>
          <w:trHeight w:val="257"/>
        </w:trPr>
        <w:tc>
          <w:tcPr>
            <w:tcW w:w="688" w:type="dxa"/>
            <w:shd w:val="clear" w:color="auto" w:fill="FFFFFF"/>
          </w:tcPr>
          <w:p w14:paraId="61196B8B" w14:textId="65C19251" w:rsidR="00E60E69" w:rsidRPr="0069677A" w:rsidRDefault="00E60E69" w:rsidP="009D5BB9">
            <w:pPr>
              <w:pStyle w:val="CETBodytext"/>
              <w:rPr>
                <w:lang w:val="en-GB"/>
              </w:rPr>
            </w:pPr>
            <w:r w:rsidRPr="0069677A">
              <w:rPr>
                <w:lang w:val="en-GB"/>
              </w:rPr>
              <w:t>M0</w:t>
            </w:r>
          </w:p>
        </w:tc>
        <w:tc>
          <w:tcPr>
            <w:tcW w:w="1102" w:type="dxa"/>
            <w:shd w:val="clear" w:color="auto" w:fill="FFFFFF"/>
          </w:tcPr>
          <w:p w14:paraId="273FADEE" w14:textId="2FFEE703" w:rsidR="00E60E69" w:rsidRPr="0069677A" w:rsidRDefault="00E60E69" w:rsidP="009D5BB9">
            <w:pPr>
              <w:pStyle w:val="CETBodytext"/>
              <w:rPr>
                <w:lang w:val="en-GB"/>
              </w:rPr>
            </w:pPr>
            <w:r w:rsidRPr="0069677A">
              <w:rPr>
                <w:lang w:val="en-GB"/>
              </w:rPr>
              <w:t xml:space="preserve"> </w:t>
            </w:r>
            <w:r w:rsidR="006016B5">
              <w:rPr>
                <w:lang w:val="en-GB"/>
              </w:rPr>
              <w:t>-</w:t>
            </w:r>
          </w:p>
        </w:tc>
        <w:tc>
          <w:tcPr>
            <w:tcW w:w="1106" w:type="dxa"/>
            <w:shd w:val="clear" w:color="auto" w:fill="FFFFFF"/>
          </w:tcPr>
          <w:p w14:paraId="66BF0A8E" w14:textId="3C4622C3" w:rsidR="00E60E69" w:rsidRPr="0069677A" w:rsidRDefault="00E60E69" w:rsidP="009D5BB9">
            <w:pPr>
              <w:pStyle w:val="CETBodytext"/>
              <w:rPr>
                <w:lang w:val="en-GB"/>
              </w:rPr>
            </w:pPr>
            <w:r w:rsidRPr="0069677A">
              <w:rPr>
                <w:lang w:val="en-GB"/>
              </w:rPr>
              <w:t>+++</w:t>
            </w:r>
          </w:p>
        </w:tc>
        <w:tc>
          <w:tcPr>
            <w:tcW w:w="1159" w:type="dxa"/>
            <w:shd w:val="clear" w:color="auto" w:fill="FFFFFF"/>
          </w:tcPr>
          <w:p w14:paraId="4143E3F9" w14:textId="249D225C" w:rsidR="00E60E69" w:rsidRPr="0069677A" w:rsidRDefault="00E60E69" w:rsidP="009D5BB9">
            <w:pPr>
              <w:pStyle w:val="CETBodytext"/>
              <w:rPr>
                <w:lang w:val="en-GB"/>
              </w:rPr>
            </w:pPr>
            <w:r w:rsidRPr="0069677A">
              <w:rPr>
                <w:lang w:val="en-GB"/>
              </w:rPr>
              <w:t>+++</w:t>
            </w:r>
          </w:p>
        </w:tc>
        <w:tc>
          <w:tcPr>
            <w:tcW w:w="1014" w:type="dxa"/>
            <w:shd w:val="clear" w:color="auto" w:fill="FFFFFF"/>
          </w:tcPr>
          <w:p w14:paraId="07B728E8" w14:textId="3B3BF971" w:rsidR="00E60E69" w:rsidRPr="0069677A" w:rsidRDefault="00E60E69" w:rsidP="009D5BB9">
            <w:pPr>
              <w:pStyle w:val="CETBodytext"/>
              <w:rPr>
                <w:lang w:val="en-GB"/>
              </w:rPr>
            </w:pPr>
            <w:r w:rsidRPr="0069677A">
              <w:rPr>
                <w:lang w:val="en-GB"/>
              </w:rPr>
              <w:t>+++</w:t>
            </w:r>
          </w:p>
        </w:tc>
        <w:tc>
          <w:tcPr>
            <w:tcW w:w="1723" w:type="dxa"/>
            <w:shd w:val="clear" w:color="auto" w:fill="FFFFFF"/>
          </w:tcPr>
          <w:p w14:paraId="432858CE" w14:textId="06DD2B9C" w:rsidR="00E60E69" w:rsidRPr="0069677A" w:rsidRDefault="00E60E69" w:rsidP="009D5BB9">
            <w:pPr>
              <w:pStyle w:val="CETBodytext"/>
              <w:rPr>
                <w:lang w:val="en-GB"/>
              </w:rPr>
            </w:pPr>
            <w:r w:rsidRPr="0069677A">
              <w:rPr>
                <w:lang w:val="en-GB"/>
              </w:rPr>
              <w:t>+++</w:t>
            </w:r>
          </w:p>
        </w:tc>
        <w:tc>
          <w:tcPr>
            <w:tcW w:w="970" w:type="dxa"/>
            <w:shd w:val="clear" w:color="auto" w:fill="FFFFFF"/>
          </w:tcPr>
          <w:p w14:paraId="356965E0" w14:textId="3615DDAD" w:rsidR="00E60E69" w:rsidRPr="0069677A" w:rsidRDefault="00E60E69" w:rsidP="009D5BB9">
            <w:pPr>
              <w:pStyle w:val="CETBodytext"/>
              <w:rPr>
                <w:lang w:val="en-GB"/>
              </w:rPr>
            </w:pPr>
            <w:r w:rsidRPr="0069677A">
              <w:rPr>
                <w:lang w:val="en-GB"/>
              </w:rPr>
              <w:t>+++</w:t>
            </w:r>
          </w:p>
        </w:tc>
        <w:tc>
          <w:tcPr>
            <w:tcW w:w="971" w:type="dxa"/>
            <w:shd w:val="clear" w:color="auto" w:fill="FFFFFF"/>
          </w:tcPr>
          <w:p w14:paraId="294A5465" w14:textId="01159E5F" w:rsidR="00E60E69" w:rsidRPr="0069677A" w:rsidRDefault="00E60E69" w:rsidP="009D5BB9">
            <w:pPr>
              <w:pStyle w:val="CETBodytext"/>
              <w:rPr>
                <w:lang w:val="en-GB"/>
              </w:rPr>
            </w:pPr>
            <w:r w:rsidRPr="0069677A">
              <w:rPr>
                <w:lang w:val="en-GB"/>
              </w:rPr>
              <w:t>+++</w:t>
            </w:r>
          </w:p>
        </w:tc>
      </w:tr>
      <w:tr w:rsidR="006016B5" w:rsidRPr="0069677A" w14:paraId="6622416B" w14:textId="23946E1A" w:rsidTr="00E9626D">
        <w:trPr>
          <w:trHeight w:val="268"/>
        </w:trPr>
        <w:tc>
          <w:tcPr>
            <w:tcW w:w="688" w:type="dxa"/>
            <w:shd w:val="clear" w:color="auto" w:fill="FFFFFF"/>
          </w:tcPr>
          <w:p w14:paraId="14E2F1D7" w14:textId="33AD24D4" w:rsidR="00E60E69" w:rsidRPr="0069677A" w:rsidRDefault="00E60E69" w:rsidP="009D5BB9">
            <w:pPr>
              <w:pStyle w:val="CETBodytext"/>
              <w:ind w:right="-1"/>
              <w:rPr>
                <w:rFonts w:cs="Arial"/>
                <w:szCs w:val="18"/>
                <w:lang w:val="en-GB"/>
              </w:rPr>
            </w:pPr>
            <w:r w:rsidRPr="0069677A">
              <w:rPr>
                <w:rFonts w:cs="Arial"/>
                <w:szCs w:val="18"/>
                <w:lang w:val="en-GB"/>
              </w:rPr>
              <w:t>M1</w:t>
            </w:r>
          </w:p>
        </w:tc>
        <w:tc>
          <w:tcPr>
            <w:tcW w:w="1102" w:type="dxa"/>
            <w:shd w:val="clear" w:color="auto" w:fill="FFFFFF"/>
          </w:tcPr>
          <w:p w14:paraId="6164767B" w14:textId="56F23D68" w:rsidR="00E60E69" w:rsidRPr="0069677A" w:rsidRDefault="00E60E69" w:rsidP="009D5BB9">
            <w:pPr>
              <w:pStyle w:val="CETBodytext"/>
              <w:ind w:right="-1"/>
              <w:rPr>
                <w:rFonts w:cs="Arial"/>
                <w:szCs w:val="18"/>
                <w:lang w:val="en-GB"/>
              </w:rPr>
            </w:pPr>
            <w:r w:rsidRPr="0069677A">
              <w:rPr>
                <w:rFonts w:cs="Arial"/>
                <w:szCs w:val="18"/>
                <w:lang w:val="en-GB"/>
              </w:rPr>
              <w:t xml:space="preserve"> 0</w:t>
            </w:r>
          </w:p>
        </w:tc>
        <w:tc>
          <w:tcPr>
            <w:tcW w:w="1106" w:type="dxa"/>
            <w:shd w:val="clear" w:color="auto" w:fill="FFFFFF"/>
          </w:tcPr>
          <w:p w14:paraId="343A193A" w14:textId="1326B56C" w:rsidR="00E60E69" w:rsidRPr="0069677A" w:rsidRDefault="00E60E69" w:rsidP="009D5BB9">
            <w:pPr>
              <w:pStyle w:val="CETBodytext"/>
              <w:ind w:right="-1"/>
              <w:rPr>
                <w:lang w:val="en-GB"/>
              </w:rPr>
            </w:pPr>
            <w:r w:rsidRPr="0069677A">
              <w:rPr>
                <w:lang w:val="en-GB"/>
              </w:rPr>
              <w:t>+++</w:t>
            </w:r>
          </w:p>
        </w:tc>
        <w:tc>
          <w:tcPr>
            <w:tcW w:w="1159" w:type="dxa"/>
            <w:shd w:val="clear" w:color="auto" w:fill="FFFFFF"/>
          </w:tcPr>
          <w:p w14:paraId="25BFD152" w14:textId="044965DD" w:rsidR="00E60E69" w:rsidRPr="0069677A" w:rsidRDefault="00E60E69" w:rsidP="009D5BB9">
            <w:pPr>
              <w:pStyle w:val="CETBodytext"/>
              <w:ind w:right="-1"/>
              <w:rPr>
                <w:lang w:val="en-GB"/>
              </w:rPr>
            </w:pPr>
            <w:r w:rsidRPr="0069677A">
              <w:rPr>
                <w:lang w:val="en-GB"/>
              </w:rPr>
              <w:t>+++</w:t>
            </w:r>
          </w:p>
        </w:tc>
        <w:tc>
          <w:tcPr>
            <w:tcW w:w="1014" w:type="dxa"/>
            <w:shd w:val="clear" w:color="auto" w:fill="FFFFFF"/>
          </w:tcPr>
          <w:p w14:paraId="25AACFB0" w14:textId="0ED58F5A" w:rsidR="00E60E69" w:rsidRPr="0069677A" w:rsidRDefault="00E60E69" w:rsidP="009D5BB9">
            <w:pPr>
              <w:pStyle w:val="CETBodytext"/>
              <w:ind w:right="-1"/>
              <w:rPr>
                <w:lang w:val="en-GB"/>
              </w:rPr>
            </w:pPr>
            <w:r w:rsidRPr="0069677A">
              <w:rPr>
                <w:lang w:val="en-GB"/>
              </w:rPr>
              <w:t>+++</w:t>
            </w:r>
          </w:p>
        </w:tc>
        <w:tc>
          <w:tcPr>
            <w:tcW w:w="1723" w:type="dxa"/>
            <w:shd w:val="clear" w:color="auto" w:fill="FFFFFF"/>
          </w:tcPr>
          <w:p w14:paraId="214BA20D" w14:textId="31E92EC9" w:rsidR="00E60E69" w:rsidRPr="0069677A" w:rsidRDefault="00E60E69" w:rsidP="009D5BB9">
            <w:pPr>
              <w:pStyle w:val="CETBodytext"/>
              <w:ind w:right="-1"/>
              <w:rPr>
                <w:lang w:val="en-GB"/>
              </w:rPr>
            </w:pPr>
            <w:r w:rsidRPr="0069677A">
              <w:rPr>
                <w:lang w:val="en-GB"/>
              </w:rPr>
              <w:t>+++</w:t>
            </w:r>
          </w:p>
        </w:tc>
        <w:tc>
          <w:tcPr>
            <w:tcW w:w="970" w:type="dxa"/>
            <w:shd w:val="clear" w:color="auto" w:fill="FFFFFF"/>
          </w:tcPr>
          <w:p w14:paraId="751795CD" w14:textId="7FE60B1D" w:rsidR="00E60E69" w:rsidRPr="0069677A" w:rsidRDefault="00E60E69" w:rsidP="009D5BB9">
            <w:pPr>
              <w:pStyle w:val="CETBodytext"/>
              <w:ind w:right="-1"/>
              <w:rPr>
                <w:lang w:val="en-GB"/>
              </w:rPr>
            </w:pPr>
            <w:r w:rsidRPr="0069677A">
              <w:rPr>
                <w:lang w:val="en-GB"/>
              </w:rPr>
              <w:t>+</w:t>
            </w:r>
          </w:p>
        </w:tc>
        <w:tc>
          <w:tcPr>
            <w:tcW w:w="971" w:type="dxa"/>
            <w:shd w:val="clear" w:color="auto" w:fill="FFFFFF"/>
          </w:tcPr>
          <w:p w14:paraId="105092E5" w14:textId="57744637" w:rsidR="00E60E69" w:rsidRPr="0069677A" w:rsidRDefault="00E60E69" w:rsidP="009D5BB9">
            <w:pPr>
              <w:pStyle w:val="CETBodytext"/>
              <w:ind w:right="-1"/>
              <w:rPr>
                <w:lang w:val="en-GB"/>
              </w:rPr>
            </w:pPr>
            <w:r w:rsidRPr="0069677A">
              <w:rPr>
                <w:lang w:val="en-GB"/>
              </w:rPr>
              <w:t>+++</w:t>
            </w:r>
          </w:p>
        </w:tc>
      </w:tr>
      <w:tr w:rsidR="006016B5" w:rsidRPr="0069677A" w14:paraId="2B672503" w14:textId="7E201E8C" w:rsidTr="00E9626D">
        <w:trPr>
          <w:trHeight w:val="257"/>
        </w:trPr>
        <w:tc>
          <w:tcPr>
            <w:tcW w:w="688" w:type="dxa"/>
            <w:shd w:val="clear" w:color="auto" w:fill="FFFFFF"/>
          </w:tcPr>
          <w:p w14:paraId="4B34A5EC" w14:textId="66E24BB0" w:rsidR="00E60E69" w:rsidRPr="0069677A" w:rsidRDefault="00E60E69" w:rsidP="00E60E69">
            <w:pPr>
              <w:pStyle w:val="CETBodytext"/>
              <w:ind w:right="-1"/>
              <w:rPr>
                <w:rFonts w:cs="Arial"/>
                <w:szCs w:val="18"/>
                <w:lang w:val="en-GB"/>
              </w:rPr>
            </w:pPr>
            <w:r w:rsidRPr="0069677A">
              <w:rPr>
                <w:rFonts w:cs="Arial"/>
                <w:szCs w:val="18"/>
                <w:lang w:val="en-GB"/>
              </w:rPr>
              <w:t>M2</w:t>
            </w:r>
          </w:p>
        </w:tc>
        <w:tc>
          <w:tcPr>
            <w:tcW w:w="1102" w:type="dxa"/>
            <w:shd w:val="clear" w:color="auto" w:fill="FFFFFF"/>
          </w:tcPr>
          <w:p w14:paraId="3DCE38D5" w14:textId="293DF0A8" w:rsidR="00E60E69" w:rsidRPr="0069677A" w:rsidRDefault="00E60E69" w:rsidP="00E60E69">
            <w:pPr>
              <w:pStyle w:val="CETBodytext"/>
              <w:ind w:right="-1"/>
              <w:rPr>
                <w:rFonts w:cs="Arial"/>
                <w:szCs w:val="18"/>
                <w:lang w:val="en-GB"/>
              </w:rPr>
            </w:pPr>
            <w:r w:rsidRPr="0069677A">
              <w:rPr>
                <w:rFonts w:cs="Arial"/>
                <w:szCs w:val="18"/>
                <w:lang w:val="en-GB"/>
              </w:rPr>
              <w:t>25</w:t>
            </w:r>
          </w:p>
        </w:tc>
        <w:tc>
          <w:tcPr>
            <w:tcW w:w="1106" w:type="dxa"/>
            <w:shd w:val="clear" w:color="auto" w:fill="FFFFFF"/>
          </w:tcPr>
          <w:p w14:paraId="30696CA3" w14:textId="1A43FC93" w:rsidR="00E60E69" w:rsidRPr="0069677A" w:rsidRDefault="00E60E69" w:rsidP="00E60E69">
            <w:pPr>
              <w:pStyle w:val="CETBodytext"/>
              <w:ind w:right="-1"/>
              <w:rPr>
                <w:lang w:val="en-GB"/>
              </w:rPr>
            </w:pPr>
            <w:r w:rsidRPr="0069677A">
              <w:rPr>
                <w:lang w:val="en-GB"/>
              </w:rPr>
              <w:t>++</w:t>
            </w:r>
          </w:p>
        </w:tc>
        <w:tc>
          <w:tcPr>
            <w:tcW w:w="1159" w:type="dxa"/>
            <w:shd w:val="clear" w:color="auto" w:fill="FFFFFF"/>
          </w:tcPr>
          <w:p w14:paraId="5D0D916B" w14:textId="133C54C9" w:rsidR="00E60E69" w:rsidRPr="0069677A" w:rsidRDefault="00E60E69" w:rsidP="00E60E69">
            <w:pPr>
              <w:pStyle w:val="CETBodytext"/>
              <w:ind w:right="-1"/>
              <w:rPr>
                <w:lang w:val="en-GB"/>
              </w:rPr>
            </w:pPr>
            <w:r w:rsidRPr="0069677A">
              <w:rPr>
                <w:lang w:val="en-GB"/>
              </w:rPr>
              <w:t>+++</w:t>
            </w:r>
          </w:p>
        </w:tc>
        <w:tc>
          <w:tcPr>
            <w:tcW w:w="1014" w:type="dxa"/>
            <w:shd w:val="clear" w:color="auto" w:fill="FFFFFF"/>
          </w:tcPr>
          <w:p w14:paraId="64831D01" w14:textId="1563212B" w:rsidR="00E60E69" w:rsidRPr="0069677A" w:rsidRDefault="00E60E69" w:rsidP="00E60E69">
            <w:pPr>
              <w:pStyle w:val="CETBodytext"/>
              <w:ind w:right="-1"/>
              <w:rPr>
                <w:lang w:val="en-GB"/>
              </w:rPr>
            </w:pPr>
            <w:r w:rsidRPr="0069677A">
              <w:rPr>
                <w:lang w:val="en-GB"/>
              </w:rPr>
              <w:t>+++</w:t>
            </w:r>
          </w:p>
        </w:tc>
        <w:tc>
          <w:tcPr>
            <w:tcW w:w="1723" w:type="dxa"/>
            <w:shd w:val="clear" w:color="auto" w:fill="FFFFFF"/>
          </w:tcPr>
          <w:p w14:paraId="763D683B" w14:textId="219A03BF" w:rsidR="00E60E69" w:rsidRPr="0069677A" w:rsidRDefault="00E60E69" w:rsidP="00E60E69">
            <w:pPr>
              <w:pStyle w:val="CETBodytext"/>
              <w:ind w:right="-1"/>
              <w:rPr>
                <w:lang w:val="en-GB"/>
              </w:rPr>
            </w:pPr>
            <w:r w:rsidRPr="0069677A">
              <w:rPr>
                <w:lang w:val="en-GB"/>
              </w:rPr>
              <w:t>++</w:t>
            </w:r>
          </w:p>
        </w:tc>
        <w:tc>
          <w:tcPr>
            <w:tcW w:w="970" w:type="dxa"/>
            <w:shd w:val="clear" w:color="auto" w:fill="FFFFFF"/>
          </w:tcPr>
          <w:p w14:paraId="7853F0D2" w14:textId="374557F7" w:rsidR="00E60E69" w:rsidRPr="0069677A" w:rsidRDefault="00E60E69" w:rsidP="00E60E69">
            <w:pPr>
              <w:pStyle w:val="CETBodytext"/>
              <w:ind w:right="-1"/>
              <w:rPr>
                <w:lang w:val="en-GB"/>
              </w:rPr>
            </w:pPr>
            <w:r w:rsidRPr="0069677A">
              <w:rPr>
                <w:lang w:val="en-GB"/>
              </w:rPr>
              <w:t>+</w:t>
            </w:r>
          </w:p>
        </w:tc>
        <w:tc>
          <w:tcPr>
            <w:tcW w:w="971" w:type="dxa"/>
            <w:shd w:val="clear" w:color="auto" w:fill="FFFFFF"/>
          </w:tcPr>
          <w:p w14:paraId="3140EC61" w14:textId="50CDE8BA" w:rsidR="00E60E69" w:rsidRPr="0069677A" w:rsidRDefault="00E60E69" w:rsidP="00E60E69">
            <w:pPr>
              <w:pStyle w:val="CETBodytext"/>
              <w:ind w:right="-1"/>
              <w:rPr>
                <w:lang w:val="en-GB"/>
              </w:rPr>
            </w:pPr>
            <w:r w:rsidRPr="0069677A">
              <w:rPr>
                <w:lang w:val="en-GB"/>
              </w:rPr>
              <w:t>++</w:t>
            </w:r>
          </w:p>
        </w:tc>
      </w:tr>
      <w:tr w:rsidR="006016B5" w:rsidRPr="0069677A" w14:paraId="4A2D22C8" w14:textId="22B9011C" w:rsidTr="00E9626D">
        <w:trPr>
          <w:trHeight w:val="268"/>
        </w:trPr>
        <w:tc>
          <w:tcPr>
            <w:tcW w:w="688" w:type="dxa"/>
            <w:shd w:val="clear" w:color="auto" w:fill="FFFFFF"/>
          </w:tcPr>
          <w:p w14:paraId="2F03B191" w14:textId="28020267" w:rsidR="00E60E69" w:rsidRPr="0069677A" w:rsidRDefault="00E60E69" w:rsidP="00E60E69">
            <w:pPr>
              <w:pStyle w:val="CETBodytext"/>
              <w:ind w:right="-1"/>
              <w:rPr>
                <w:rFonts w:cs="Arial"/>
                <w:szCs w:val="18"/>
                <w:lang w:val="en-GB"/>
              </w:rPr>
            </w:pPr>
            <w:r w:rsidRPr="0069677A">
              <w:rPr>
                <w:rFonts w:cs="Arial"/>
                <w:szCs w:val="18"/>
                <w:lang w:val="en-GB"/>
              </w:rPr>
              <w:t>M3</w:t>
            </w:r>
          </w:p>
        </w:tc>
        <w:tc>
          <w:tcPr>
            <w:tcW w:w="1102" w:type="dxa"/>
            <w:shd w:val="clear" w:color="auto" w:fill="FFFFFF"/>
          </w:tcPr>
          <w:p w14:paraId="3BBFDA79" w14:textId="46DC6FE5" w:rsidR="00E60E69" w:rsidRPr="0069677A" w:rsidRDefault="00E60E69" w:rsidP="00E60E69">
            <w:pPr>
              <w:pStyle w:val="CETBodytext"/>
              <w:ind w:right="-1"/>
              <w:rPr>
                <w:rFonts w:cs="Arial"/>
                <w:szCs w:val="18"/>
                <w:lang w:val="en-GB"/>
              </w:rPr>
            </w:pPr>
            <w:r w:rsidRPr="0069677A">
              <w:rPr>
                <w:rFonts w:cs="Arial"/>
                <w:szCs w:val="18"/>
                <w:lang w:val="en-GB"/>
              </w:rPr>
              <w:t>50</w:t>
            </w:r>
          </w:p>
        </w:tc>
        <w:tc>
          <w:tcPr>
            <w:tcW w:w="1106" w:type="dxa"/>
            <w:shd w:val="clear" w:color="auto" w:fill="FFFFFF"/>
          </w:tcPr>
          <w:p w14:paraId="6BF31E43" w14:textId="3D3D442E" w:rsidR="00E60E69" w:rsidRPr="0069677A" w:rsidRDefault="00E60E69" w:rsidP="00E60E69">
            <w:pPr>
              <w:pStyle w:val="CETBodytext"/>
              <w:ind w:right="-1"/>
              <w:rPr>
                <w:lang w:val="en-GB"/>
              </w:rPr>
            </w:pPr>
            <w:r w:rsidRPr="0069677A">
              <w:rPr>
                <w:lang w:val="en-GB"/>
              </w:rPr>
              <w:t>++</w:t>
            </w:r>
          </w:p>
        </w:tc>
        <w:tc>
          <w:tcPr>
            <w:tcW w:w="1159" w:type="dxa"/>
            <w:shd w:val="clear" w:color="auto" w:fill="FFFFFF"/>
          </w:tcPr>
          <w:p w14:paraId="04B75ED2" w14:textId="0C8D52AD" w:rsidR="00E60E69" w:rsidRPr="0069677A" w:rsidRDefault="00E60E69" w:rsidP="00E60E69">
            <w:pPr>
              <w:pStyle w:val="CETBodytext"/>
              <w:ind w:right="-1"/>
              <w:rPr>
                <w:lang w:val="en-GB"/>
              </w:rPr>
            </w:pPr>
            <w:r w:rsidRPr="0069677A">
              <w:rPr>
                <w:lang w:val="en-GB"/>
              </w:rPr>
              <w:t>+++</w:t>
            </w:r>
          </w:p>
        </w:tc>
        <w:tc>
          <w:tcPr>
            <w:tcW w:w="1014" w:type="dxa"/>
            <w:shd w:val="clear" w:color="auto" w:fill="FFFFFF"/>
          </w:tcPr>
          <w:p w14:paraId="3B21F3C8" w14:textId="62DA1D90" w:rsidR="00E60E69" w:rsidRPr="0069677A" w:rsidRDefault="00E60E69" w:rsidP="00E60E69">
            <w:pPr>
              <w:pStyle w:val="CETBodytext"/>
              <w:ind w:right="-1"/>
              <w:rPr>
                <w:lang w:val="en-GB"/>
              </w:rPr>
            </w:pPr>
            <w:r w:rsidRPr="0069677A">
              <w:rPr>
                <w:lang w:val="en-GB"/>
              </w:rPr>
              <w:t>++</w:t>
            </w:r>
          </w:p>
        </w:tc>
        <w:tc>
          <w:tcPr>
            <w:tcW w:w="1723" w:type="dxa"/>
            <w:shd w:val="clear" w:color="auto" w:fill="FFFFFF"/>
          </w:tcPr>
          <w:p w14:paraId="707C2A4F" w14:textId="73683C70" w:rsidR="00E60E69" w:rsidRPr="0069677A" w:rsidRDefault="00E60E69" w:rsidP="00E60E69">
            <w:pPr>
              <w:pStyle w:val="CETBodytext"/>
              <w:ind w:right="-1"/>
              <w:rPr>
                <w:lang w:val="en-GB"/>
              </w:rPr>
            </w:pPr>
            <w:r w:rsidRPr="0069677A">
              <w:rPr>
                <w:lang w:val="en-GB"/>
              </w:rPr>
              <w:t>++</w:t>
            </w:r>
          </w:p>
        </w:tc>
        <w:tc>
          <w:tcPr>
            <w:tcW w:w="970" w:type="dxa"/>
            <w:shd w:val="clear" w:color="auto" w:fill="FFFFFF"/>
          </w:tcPr>
          <w:p w14:paraId="1301400C" w14:textId="5EE8F6AE" w:rsidR="00E60E69" w:rsidRPr="0069677A" w:rsidRDefault="00E60E69" w:rsidP="00E60E69">
            <w:pPr>
              <w:pStyle w:val="CETBodytext"/>
              <w:ind w:right="-1"/>
              <w:rPr>
                <w:lang w:val="en-GB"/>
              </w:rPr>
            </w:pPr>
            <w:r w:rsidRPr="0069677A">
              <w:rPr>
                <w:lang w:val="en-GB"/>
              </w:rPr>
              <w:t>++</w:t>
            </w:r>
          </w:p>
        </w:tc>
        <w:tc>
          <w:tcPr>
            <w:tcW w:w="971" w:type="dxa"/>
            <w:shd w:val="clear" w:color="auto" w:fill="FFFFFF"/>
          </w:tcPr>
          <w:p w14:paraId="2E6C47AB" w14:textId="0665FB58" w:rsidR="00E60E69" w:rsidRPr="0069677A" w:rsidRDefault="00E60E69" w:rsidP="00E60E69">
            <w:pPr>
              <w:pStyle w:val="CETBodytext"/>
              <w:ind w:right="-1"/>
              <w:rPr>
                <w:lang w:val="en-GB"/>
              </w:rPr>
            </w:pPr>
            <w:r w:rsidRPr="0069677A">
              <w:rPr>
                <w:lang w:val="en-GB"/>
              </w:rPr>
              <w:t>+</w:t>
            </w:r>
          </w:p>
        </w:tc>
      </w:tr>
      <w:tr w:rsidR="006016B5" w:rsidRPr="0069677A" w14:paraId="7F2872C6" w14:textId="0B064351" w:rsidTr="00E9626D">
        <w:trPr>
          <w:trHeight w:val="268"/>
        </w:trPr>
        <w:tc>
          <w:tcPr>
            <w:tcW w:w="688" w:type="dxa"/>
            <w:shd w:val="clear" w:color="auto" w:fill="FFFFFF"/>
          </w:tcPr>
          <w:p w14:paraId="409C2FCB" w14:textId="601633FC" w:rsidR="00E60E69" w:rsidRPr="0069677A" w:rsidRDefault="00E60E69" w:rsidP="009D5BB9">
            <w:pPr>
              <w:pStyle w:val="CETBodytext"/>
              <w:ind w:right="-1"/>
              <w:rPr>
                <w:rFonts w:cs="Arial"/>
                <w:szCs w:val="18"/>
                <w:lang w:val="en-GB"/>
              </w:rPr>
            </w:pPr>
            <w:r w:rsidRPr="0069677A">
              <w:rPr>
                <w:rFonts w:cs="Arial"/>
                <w:szCs w:val="18"/>
                <w:lang w:val="en-GB"/>
              </w:rPr>
              <w:t>M4</w:t>
            </w:r>
          </w:p>
        </w:tc>
        <w:tc>
          <w:tcPr>
            <w:tcW w:w="1102" w:type="dxa"/>
            <w:shd w:val="clear" w:color="auto" w:fill="FFFFFF"/>
          </w:tcPr>
          <w:p w14:paraId="42E2501E" w14:textId="2B5424B4" w:rsidR="00E60E69" w:rsidRPr="0069677A" w:rsidRDefault="00E60E69" w:rsidP="009D5BB9">
            <w:pPr>
              <w:pStyle w:val="CETBodytext"/>
              <w:ind w:right="-1"/>
              <w:rPr>
                <w:rFonts w:cs="Arial"/>
                <w:szCs w:val="18"/>
                <w:lang w:val="en-GB"/>
              </w:rPr>
            </w:pPr>
            <w:r w:rsidRPr="0069677A">
              <w:rPr>
                <w:rFonts w:cs="Arial"/>
                <w:szCs w:val="18"/>
                <w:lang w:val="en-GB"/>
              </w:rPr>
              <w:t>75</w:t>
            </w:r>
          </w:p>
        </w:tc>
        <w:tc>
          <w:tcPr>
            <w:tcW w:w="1106" w:type="dxa"/>
            <w:shd w:val="clear" w:color="auto" w:fill="FFFFFF"/>
          </w:tcPr>
          <w:p w14:paraId="7F863058" w14:textId="3CE44A0D" w:rsidR="00E60E69" w:rsidRPr="0069677A" w:rsidRDefault="00E60E69" w:rsidP="009D5BB9">
            <w:pPr>
              <w:pStyle w:val="CETBodytext"/>
              <w:ind w:right="-1"/>
              <w:rPr>
                <w:rFonts w:cs="Arial"/>
                <w:szCs w:val="18"/>
                <w:lang w:val="en-GB"/>
              </w:rPr>
            </w:pPr>
            <w:r w:rsidRPr="0069677A">
              <w:rPr>
                <w:lang w:val="en-GB"/>
              </w:rPr>
              <w:t>-</w:t>
            </w:r>
          </w:p>
        </w:tc>
        <w:tc>
          <w:tcPr>
            <w:tcW w:w="1159" w:type="dxa"/>
            <w:shd w:val="clear" w:color="auto" w:fill="FFFFFF"/>
          </w:tcPr>
          <w:p w14:paraId="41A87ED6" w14:textId="24A97E68" w:rsidR="00E60E69" w:rsidRPr="0069677A" w:rsidRDefault="00E60E69" w:rsidP="009D5BB9">
            <w:pPr>
              <w:pStyle w:val="CETBodytext"/>
              <w:ind w:right="-1"/>
              <w:rPr>
                <w:rFonts w:cs="Arial"/>
                <w:szCs w:val="18"/>
                <w:lang w:val="en-GB"/>
              </w:rPr>
            </w:pPr>
            <w:r w:rsidRPr="0069677A">
              <w:rPr>
                <w:rFonts w:cs="Arial"/>
                <w:szCs w:val="18"/>
                <w:lang w:val="en-GB"/>
              </w:rPr>
              <w:t>+</w:t>
            </w:r>
          </w:p>
        </w:tc>
        <w:tc>
          <w:tcPr>
            <w:tcW w:w="1014" w:type="dxa"/>
            <w:shd w:val="clear" w:color="auto" w:fill="FFFFFF"/>
          </w:tcPr>
          <w:p w14:paraId="1FAF7166" w14:textId="64ACF859" w:rsidR="00E60E69" w:rsidRPr="0069677A" w:rsidRDefault="00E60E69" w:rsidP="009D5BB9">
            <w:pPr>
              <w:pStyle w:val="CETBodytext"/>
              <w:ind w:right="-1"/>
              <w:rPr>
                <w:rFonts w:cs="Arial"/>
                <w:szCs w:val="18"/>
                <w:lang w:val="en-GB"/>
              </w:rPr>
            </w:pPr>
            <w:r w:rsidRPr="0069677A">
              <w:rPr>
                <w:rFonts w:cs="Arial"/>
                <w:szCs w:val="18"/>
                <w:lang w:val="en-GB"/>
              </w:rPr>
              <w:t>-</w:t>
            </w:r>
          </w:p>
        </w:tc>
        <w:tc>
          <w:tcPr>
            <w:tcW w:w="1723" w:type="dxa"/>
            <w:shd w:val="clear" w:color="auto" w:fill="FFFFFF"/>
          </w:tcPr>
          <w:p w14:paraId="73A95C8F" w14:textId="00E3969E" w:rsidR="00E60E69" w:rsidRPr="0069677A" w:rsidRDefault="00E60E69" w:rsidP="009D5BB9">
            <w:pPr>
              <w:pStyle w:val="CETBodytext"/>
              <w:ind w:right="-1"/>
              <w:rPr>
                <w:rFonts w:cs="Arial"/>
                <w:szCs w:val="18"/>
                <w:lang w:val="en-GB"/>
              </w:rPr>
            </w:pPr>
            <w:r w:rsidRPr="0069677A">
              <w:rPr>
                <w:rFonts w:cs="Arial"/>
                <w:szCs w:val="18"/>
                <w:lang w:val="en-GB"/>
              </w:rPr>
              <w:t>-</w:t>
            </w:r>
          </w:p>
        </w:tc>
        <w:tc>
          <w:tcPr>
            <w:tcW w:w="970" w:type="dxa"/>
            <w:shd w:val="clear" w:color="auto" w:fill="FFFFFF"/>
          </w:tcPr>
          <w:p w14:paraId="30C24CAE" w14:textId="2A4C5ED5" w:rsidR="00E60E69" w:rsidRPr="0069677A" w:rsidRDefault="00E60E69" w:rsidP="009D5BB9">
            <w:pPr>
              <w:pStyle w:val="CETBodytext"/>
              <w:ind w:right="-1"/>
              <w:rPr>
                <w:rFonts w:cs="Arial"/>
                <w:szCs w:val="18"/>
                <w:lang w:val="en-GB"/>
              </w:rPr>
            </w:pPr>
            <w:r w:rsidRPr="0069677A">
              <w:rPr>
                <w:rFonts w:cs="Arial"/>
                <w:szCs w:val="18"/>
                <w:lang w:val="en-GB"/>
              </w:rPr>
              <w:t>+</w:t>
            </w:r>
          </w:p>
        </w:tc>
        <w:tc>
          <w:tcPr>
            <w:tcW w:w="971" w:type="dxa"/>
            <w:shd w:val="clear" w:color="auto" w:fill="FFFFFF"/>
          </w:tcPr>
          <w:p w14:paraId="0A5125E3" w14:textId="1168154C" w:rsidR="00E60E69" w:rsidRPr="0069677A" w:rsidRDefault="00E60E69" w:rsidP="009D5BB9">
            <w:pPr>
              <w:pStyle w:val="CETBodytext"/>
              <w:ind w:right="-1"/>
              <w:rPr>
                <w:rFonts w:cs="Arial"/>
                <w:szCs w:val="18"/>
                <w:lang w:val="en-GB"/>
              </w:rPr>
            </w:pPr>
            <w:r w:rsidRPr="0069677A">
              <w:rPr>
                <w:rFonts w:cs="Arial"/>
                <w:szCs w:val="18"/>
                <w:lang w:val="en-GB"/>
              </w:rPr>
              <w:t>-</w:t>
            </w:r>
          </w:p>
        </w:tc>
      </w:tr>
    </w:tbl>
    <w:p w14:paraId="135205BB" w14:textId="67562C5D" w:rsidR="006016B5" w:rsidRDefault="00840261" w:rsidP="009D5BB9">
      <w:pPr>
        <w:pStyle w:val="CETBodytext"/>
        <w:rPr>
          <w:sz w:val="16"/>
          <w:szCs w:val="18"/>
          <w:lang w:val="en-GB"/>
        </w:rPr>
      </w:pPr>
      <w:r w:rsidRPr="00840261">
        <w:rPr>
          <w:sz w:val="16"/>
          <w:szCs w:val="18"/>
          <w:lang w:val="en-GB"/>
        </w:rPr>
        <w:t>Note: The Table considers the scale of +++ = Very Positive for saponin, ++ = Somewhat Positive for saponin, += Slightly positive for saponin and sign “–“</w:t>
      </w:r>
      <w:r>
        <w:rPr>
          <w:sz w:val="16"/>
          <w:szCs w:val="18"/>
          <w:lang w:val="en-GB"/>
        </w:rPr>
        <w:t xml:space="preserve"> </w:t>
      </w:r>
      <w:r w:rsidRPr="00840261">
        <w:rPr>
          <w:sz w:val="16"/>
          <w:szCs w:val="18"/>
          <w:lang w:val="en-GB"/>
        </w:rPr>
        <w:t>Negative for saponin</w:t>
      </w:r>
      <w:r>
        <w:rPr>
          <w:sz w:val="16"/>
          <w:szCs w:val="18"/>
          <w:lang w:val="en-GB"/>
        </w:rPr>
        <w:t>.</w:t>
      </w:r>
    </w:p>
    <w:p w14:paraId="52E3B5DC" w14:textId="77777777" w:rsidR="00840261" w:rsidRPr="0069677A" w:rsidRDefault="00840261" w:rsidP="009D5BB9">
      <w:pPr>
        <w:pStyle w:val="CETBodytext"/>
        <w:rPr>
          <w:sz w:val="16"/>
          <w:szCs w:val="18"/>
          <w:lang w:val="en-GB"/>
        </w:rPr>
      </w:pPr>
    </w:p>
    <w:p w14:paraId="2A3899D2" w14:textId="0ADAE98F" w:rsidR="003E6393" w:rsidRPr="0069677A" w:rsidRDefault="006016B5" w:rsidP="009D5BB9">
      <w:pPr>
        <w:pStyle w:val="CETBodytext"/>
        <w:rPr>
          <w:lang w:val="en-GB"/>
        </w:rPr>
      </w:pPr>
      <w:r w:rsidRPr="006016B5">
        <w:rPr>
          <w:lang w:val="en-GB"/>
        </w:rPr>
        <w:t xml:space="preserve">Another way of extraction could be by thermostatic bath using some enzyme such as alpha-amylase as was done to extract saponin from roots of </w:t>
      </w:r>
      <w:proofErr w:type="spellStart"/>
      <w:r w:rsidRPr="006016B5">
        <w:rPr>
          <w:i/>
          <w:iCs/>
          <w:lang w:val="en-GB"/>
        </w:rPr>
        <w:t>Codonopsis</w:t>
      </w:r>
      <w:proofErr w:type="spellEnd"/>
      <w:r w:rsidRPr="006016B5">
        <w:rPr>
          <w:i/>
          <w:iCs/>
          <w:lang w:val="en-GB"/>
        </w:rPr>
        <w:t xml:space="preserve"> </w:t>
      </w:r>
      <w:proofErr w:type="spellStart"/>
      <w:r w:rsidRPr="006016B5">
        <w:rPr>
          <w:i/>
          <w:iCs/>
          <w:lang w:val="en-GB"/>
        </w:rPr>
        <w:t>javanica</w:t>
      </w:r>
      <w:proofErr w:type="spellEnd"/>
      <w:r w:rsidRPr="006016B5">
        <w:rPr>
          <w:lang w:val="en-GB"/>
        </w:rPr>
        <w:t xml:space="preserve"> (CJR) (To and Vu, 2022). In another investigation, at 45 °C with ethanol-chloroform solution (90:10 ratio) in 60 min and with the sample-solvent ratio of 1:50 g/mL, 10.63 % extract and 0.45 % triterpenoid saponins were obtained (Letchumanan, et al., 2023)</w:t>
      </w:r>
      <w:r w:rsidR="00E8555A" w:rsidRPr="0069677A">
        <w:rPr>
          <w:lang w:val="en-GB"/>
        </w:rPr>
        <w:t>.</w:t>
      </w:r>
    </w:p>
    <w:p w14:paraId="1DA1EACB" w14:textId="1D04EDE7" w:rsidR="001C43B2" w:rsidRPr="0069677A" w:rsidRDefault="006016B5" w:rsidP="00F36DBE">
      <w:pPr>
        <w:pStyle w:val="CETheadingx"/>
      </w:pPr>
      <w:r w:rsidRPr="006016B5">
        <w:t>Physicochemical properties of the bioinsecticide saponin solutio</w:t>
      </w:r>
      <w:r>
        <w:t>n</w:t>
      </w:r>
    </w:p>
    <w:p w14:paraId="2655E55B" w14:textId="16B8AAF0" w:rsidR="00897BC6" w:rsidRPr="0069677A" w:rsidRDefault="006016B5" w:rsidP="001C43B2">
      <w:pPr>
        <w:pStyle w:val="CETBodytext"/>
        <w:rPr>
          <w:lang w:val="en-GB"/>
        </w:rPr>
      </w:pPr>
      <w:r w:rsidRPr="006016B5">
        <w:rPr>
          <w:lang w:val="en-GB"/>
        </w:rPr>
        <w:t xml:space="preserve">Table 4 shows the physicochemical properties of the samples of bioinsecticide solutions of saponin from biomass of </w:t>
      </w:r>
      <w:r w:rsidRPr="00E9626D">
        <w:rPr>
          <w:i/>
          <w:iCs/>
          <w:lang w:val="en-GB"/>
        </w:rPr>
        <w:t>Chenopodium quinoa</w:t>
      </w:r>
      <w:r w:rsidRPr="006016B5">
        <w:rPr>
          <w:lang w:val="en-GB"/>
        </w:rPr>
        <w:t>, carried out in the laboratory of Universidad Nacional La Molina</w:t>
      </w:r>
      <w:r w:rsidR="00275767" w:rsidRPr="0069677A">
        <w:rPr>
          <w:lang w:val="en-GB"/>
        </w:rPr>
        <w:t>.</w:t>
      </w:r>
    </w:p>
    <w:p w14:paraId="71B5017B" w14:textId="175E87D8" w:rsidR="00277DF0" w:rsidRPr="0069677A" w:rsidRDefault="00E6427C" w:rsidP="00277DF0">
      <w:pPr>
        <w:pStyle w:val="CETTabletitle"/>
      </w:pPr>
      <w:r w:rsidRPr="0069677A">
        <w:t>T</w:t>
      </w:r>
      <w:r w:rsidR="00277DF0" w:rsidRPr="0069677A">
        <w:t xml:space="preserve">able 4: </w:t>
      </w:r>
      <w:r w:rsidR="006016B5" w:rsidRPr="006016B5">
        <w:t>Physicochemical parameters of Chenopodium quinoa saponin b</w:t>
      </w:r>
      <w:r w:rsidR="0044670E">
        <w:t>ioin</w:t>
      </w:r>
      <w:r w:rsidR="006016B5" w:rsidRPr="006016B5">
        <w:t>secticid</w:t>
      </w:r>
      <w:r w:rsidR="0044670E">
        <w:t>e</w:t>
      </w:r>
      <w:r w:rsidR="006016B5" w:rsidRPr="006016B5">
        <w:t xml:space="preserve"> solution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02"/>
        <w:gridCol w:w="1284"/>
        <w:gridCol w:w="1288"/>
        <w:gridCol w:w="1351"/>
        <w:gridCol w:w="1518"/>
        <w:gridCol w:w="1459"/>
      </w:tblGrid>
      <w:tr w:rsidR="00CC6B9C" w:rsidRPr="0069677A" w14:paraId="2C3D4BF4" w14:textId="77777777" w:rsidTr="007B4E09">
        <w:trPr>
          <w:trHeight w:val="275"/>
        </w:trPr>
        <w:tc>
          <w:tcPr>
            <w:tcW w:w="802" w:type="dxa"/>
            <w:tcBorders>
              <w:top w:val="single" w:sz="12" w:space="0" w:color="008000"/>
              <w:bottom w:val="single" w:sz="6" w:space="0" w:color="008000"/>
            </w:tcBorders>
            <w:shd w:val="clear" w:color="auto" w:fill="FFFFFF"/>
            <w:vAlign w:val="center"/>
          </w:tcPr>
          <w:p w14:paraId="47F84C5F" w14:textId="34BC692C" w:rsidR="00CC6B9C" w:rsidRPr="0069677A" w:rsidRDefault="006016B5" w:rsidP="00D00C68">
            <w:pPr>
              <w:pStyle w:val="CETBodytext"/>
              <w:rPr>
                <w:lang w:val="en-GB"/>
              </w:rPr>
            </w:pPr>
            <w:r>
              <w:rPr>
                <w:lang w:val="en-GB"/>
              </w:rPr>
              <w:t>Samples</w:t>
            </w:r>
          </w:p>
        </w:tc>
        <w:tc>
          <w:tcPr>
            <w:tcW w:w="1284" w:type="dxa"/>
            <w:tcBorders>
              <w:top w:val="single" w:sz="12" w:space="0" w:color="008000"/>
              <w:bottom w:val="single" w:sz="6" w:space="0" w:color="008000"/>
            </w:tcBorders>
            <w:shd w:val="clear" w:color="auto" w:fill="FFFFFF"/>
            <w:vAlign w:val="center"/>
          </w:tcPr>
          <w:p w14:paraId="1B96AFF5" w14:textId="1D2032B9" w:rsidR="00CC6B9C" w:rsidRPr="0069677A" w:rsidRDefault="00CC6B9C" w:rsidP="00D00C68">
            <w:pPr>
              <w:pStyle w:val="CETBodytext"/>
              <w:jc w:val="left"/>
              <w:rPr>
                <w:sz w:val="16"/>
                <w:szCs w:val="18"/>
                <w:lang w:val="en-GB"/>
              </w:rPr>
            </w:pPr>
            <w:r w:rsidRPr="0069677A">
              <w:rPr>
                <w:sz w:val="16"/>
                <w:szCs w:val="18"/>
                <w:lang w:val="en-GB"/>
              </w:rPr>
              <w:t>pH</w:t>
            </w:r>
          </w:p>
        </w:tc>
        <w:tc>
          <w:tcPr>
            <w:tcW w:w="1288" w:type="dxa"/>
            <w:tcBorders>
              <w:top w:val="single" w:sz="12" w:space="0" w:color="008000"/>
              <w:bottom w:val="single" w:sz="6" w:space="0" w:color="008000"/>
            </w:tcBorders>
            <w:shd w:val="clear" w:color="auto" w:fill="FFFFFF"/>
            <w:vAlign w:val="center"/>
          </w:tcPr>
          <w:p w14:paraId="7EE8FC81" w14:textId="68313015" w:rsidR="00CC6B9C" w:rsidRPr="0069677A" w:rsidRDefault="00CC6B9C" w:rsidP="00D00C68">
            <w:pPr>
              <w:pStyle w:val="CETBodytext"/>
              <w:jc w:val="left"/>
              <w:rPr>
                <w:sz w:val="16"/>
                <w:szCs w:val="18"/>
                <w:lang w:val="en-GB"/>
              </w:rPr>
            </w:pPr>
            <w:r w:rsidRPr="0069677A">
              <w:rPr>
                <w:sz w:val="16"/>
                <w:szCs w:val="18"/>
                <w:lang w:val="en-GB"/>
              </w:rPr>
              <w:t xml:space="preserve"> Grad</w:t>
            </w:r>
            <w:r w:rsidR="006016B5">
              <w:rPr>
                <w:sz w:val="16"/>
                <w:szCs w:val="18"/>
                <w:lang w:val="en-GB"/>
              </w:rPr>
              <w:t>e</w:t>
            </w:r>
            <w:r w:rsidRPr="0069677A">
              <w:rPr>
                <w:sz w:val="16"/>
                <w:szCs w:val="18"/>
                <w:lang w:val="en-GB"/>
              </w:rPr>
              <w:t xml:space="preserve"> </w:t>
            </w:r>
            <w:r w:rsidR="006016B5">
              <w:rPr>
                <w:sz w:val="16"/>
                <w:szCs w:val="18"/>
                <w:lang w:val="en-GB"/>
              </w:rPr>
              <w:t>B</w:t>
            </w:r>
            <w:r w:rsidRPr="0069677A">
              <w:rPr>
                <w:sz w:val="16"/>
                <w:szCs w:val="18"/>
                <w:lang w:val="en-GB"/>
              </w:rPr>
              <w:t>rix</w:t>
            </w:r>
          </w:p>
        </w:tc>
        <w:tc>
          <w:tcPr>
            <w:tcW w:w="1351" w:type="dxa"/>
            <w:tcBorders>
              <w:top w:val="single" w:sz="12" w:space="0" w:color="008000"/>
              <w:bottom w:val="single" w:sz="6" w:space="0" w:color="008000"/>
            </w:tcBorders>
            <w:shd w:val="clear" w:color="auto" w:fill="FFFFFF"/>
            <w:vAlign w:val="center"/>
          </w:tcPr>
          <w:p w14:paraId="5C46143C" w14:textId="365D6EBE" w:rsidR="00CC6B9C" w:rsidRPr="0069677A" w:rsidRDefault="0044670E" w:rsidP="00D00C68">
            <w:pPr>
              <w:pStyle w:val="CETBodytext"/>
              <w:jc w:val="left"/>
              <w:rPr>
                <w:sz w:val="16"/>
                <w:szCs w:val="18"/>
                <w:lang w:val="en-GB"/>
              </w:rPr>
            </w:pPr>
            <w:r w:rsidRPr="0044670E">
              <w:rPr>
                <w:sz w:val="16"/>
                <w:szCs w:val="18"/>
                <w:lang w:val="en-GB"/>
              </w:rPr>
              <w:t>Refractive index</w:t>
            </w:r>
          </w:p>
        </w:tc>
        <w:tc>
          <w:tcPr>
            <w:tcW w:w="1518" w:type="dxa"/>
            <w:tcBorders>
              <w:top w:val="single" w:sz="12" w:space="0" w:color="008000"/>
              <w:bottom w:val="single" w:sz="6" w:space="0" w:color="008000"/>
            </w:tcBorders>
            <w:shd w:val="clear" w:color="auto" w:fill="FFFFFF"/>
            <w:vAlign w:val="center"/>
          </w:tcPr>
          <w:p w14:paraId="7D7D9016" w14:textId="77777777" w:rsidR="0044670E" w:rsidRDefault="0044670E" w:rsidP="00D00C68">
            <w:pPr>
              <w:pStyle w:val="CETBodytext"/>
              <w:jc w:val="left"/>
              <w:rPr>
                <w:sz w:val="16"/>
                <w:szCs w:val="18"/>
                <w:lang w:val="en-GB"/>
              </w:rPr>
            </w:pPr>
            <w:r w:rsidRPr="0044670E">
              <w:rPr>
                <w:sz w:val="16"/>
                <w:szCs w:val="18"/>
                <w:lang w:val="en-GB"/>
              </w:rPr>
              <w:t xml:space="preserve">Proteins </w:t>
            </w:r>
          </w:p>
          <w:p w14:paraId="58D26C7A" w14:textId="322CD895" w:rsidR="00CC6B9C" w:rsidRPr="0069677A" w:rsidRDefault="0044670E" w:rsidP="00D00C68">
            <w:pPr>
              <w:pStyle w:val="CETBodytext"/>
              <w:jc w:val="left"/>
              <w:rPr>
                <w:sz w:val="16"/>
                <w:szCs w:val="18"/>
                <w:lang w:val="en-GB"/>
              </w:rPr>
            </w:pPr>
            <w:r w:rsidRPr="0044670E">
              <w:rPr>
                <w:sz w:val="16"/>
                <w:szCs w:val="18"/>
                <w:lang w:val="en-GB"/>
              </w:rPr>
              <w:t>(g/100 g sample)</w:t>
            </w:r>
          </w:p>
        </w:tc>
        <w:tc>
          <w:tcPr>
            <w:tcW w:w="1459" w:type="dxa"/>
            <w:tcBorders>
              <w:top w:val="single" w:sz="12" w:space="0" w:color="008000"/>
              <w:bottom w:val="single" w:sz="6" w:space="0" w:color="008000"/>
            </w:tcBorders>
            <w:shd w:val="clear" w:color="auto" w:fill="FFFFFF"/>
            <w:vAlign w:val="center"/>
          </w:tcPr>
          <w:p w14:paraId="2D039081" w14:textId="77777777" w:rsidR="0044670E" w:rsidRPr="0044670E" w:rsidRDefault="0044670E" w:rsidP="0044670E">
            <w:pPr>
              <w:pStyle w:val="CETBodytext"/>
              <w:jc w:val="left"/>
              <w:rPr>
                <w:sz w:val="16"/>
                <w:szCs w:val="18"/>
                <w:lang w:val="en-GB"/>
              </w:rPr>
            </w:pPr>
            <w:r w:rsidRPr="0044670E">
              <w:rPr>
                <w:sz w:val="16"/>
                <w:szCs w:val="18"/>
                <w:lang w:val="en-GB"/>
              </w:rPr>
              <w:t>Ash</w:t>
            </w:r>
          </w:p>
          <w:p w14:paraId="4041527B" w14:textId="7CCB74A9" w:rsidR="00CC6B9C" w:rsidRPr="0069677A" w:rsidRDefault="0044670E" w:rsidP="0044670E">
            <w:pPr>
              <w:pStyle w:val="CETBodytext"/>
              <w:jc w:val="left"/>
              <w:rPr>
                <w:sz w:val="16"/>
                <w:szCs w:val="18"/>
                <w:lang w:val="en-GB"/>
              </w:rPr>
            </w:pPr>
            <w:r w:rsidRPr="0044670E">
              <w:rPr>
                <w:sz w:val="16"/>
                <w:szCs w:val="18"/>
                <w:lang w:val="en-GB"/>
              </w:rPr>
              <w:t>(g/100 g sample)</w:t>
            </w:r>
          </w:p>
        </w:tc>
      </w:tr>
      <w:tr w:rsidR="00CC6B9C" w:rsidRPr="0069677A" w14:paraId="3F4EC144" w14:textId="77777777" w:rsidTr="007B4E09">
        <w:trPr>
          <w:trHeight w:val="211"/>
        </w:trPr>
        <w:tc>
          <w:tcPr>
            <w:tcW w:w="802" w:type="dxa"/>
            <w:shd w:val="clear" w:color="auto" w:fill="FFFFFF"/>
          </w:tcPr>
          <w:p w14:paraId="46979FBD" w14:textId="77777777" w:rsidR="00CC6B9C" w:rsidRPr="0069677A" w:rsidRDefault="00CC6B9C" w:rsidP="00D00C68">
            <w:pPr>
              <w:pStyle w:val="CETBodytext"/>
              <w:rPr>
                <w:lang w:val="en-GB"/>
              </w:rPr>
            </w:pPr>
            <w:r w:rsidRPr="0069677A">
              <w:rPr>
                <w:lang w:val="en-GB"/>
              </w:rPr>
              <w:t>M0</w:t>
            </w:r>
          </w:p>
        </w:tc>
        <w:tc>
          <w:tcPr>
            <w:tcW w:w="1284" w:type="dxa"/>
            <w:shd w:val="clear" w:color="auto" w:fill="FFFFFF"/>
          </w:tcPr>
          <w:p w14:paraId="41D7F62B" w14:textId="0897872E" w:rsidR="00CC6B9C" w:rsidRPr="0069677A" w:rsidRDefault="00CC6B9C" w:rsidP="0078219D">
            <w:pPr>
              <w:pStyle w:val="CETBodytext"/>
              <w:jc w:val="center"/>
              <w:rPr>
                <w:lang w:val="en-GB"/>
              </w:rPr>
            </w:pPr>
            <w:r w:rsidRPr="0069677A">
              <w:rPr>
                <w:lang w:val="en-GB"/>
              </w:rPr>
              <w:t>-</w:t>
            </w:r>
          </w:p>
        </w:tc>
        <w:tc>
          <w:tcPr>
            <w:tcW w:w="1288" w:type="dxa"/>
            <w:shd w:val="clear" w:color="auto" w:fill="FFFFFF"/>
          </w:tcPr>
          <w:p w14:paraId="150BA7AA" w14:textId="0AEA6917" w:rsidR="00CC6B9C" w:rsidRPr="0069677A" w:rsidRDefault="00CC6B9C" w:rsidP="0078219D">
            <w:pPr>
              <w:pStyle w:val="CETBodytext"/>
              <w:jc w:val="center"/>
              <w:rPr>
                <w:lang w:val="en-GB"/>
              </w:rPr>
            </w:pPr>
            <w:r w:rsidRPr="0069677A">
              <w:rPr>
                <w:lang w:val="en-GB"/>
              </w:rPr>
              <w:t>19.0</w:t>
            </w:r>
          </w:p>
        </w:tc>
        <w:tc>
          <w:tcPr>
            <w:tcW w:w="1351" w:type="dxa"/>
            <w:shd w:val="clear" w:color="auto" w:fill="FFFFFF"/>
          </w:tcPr>
          <w:p w14:paraId="7B2BE8A4" w14:textId="5DCE4A4E" w:rsidR="00CC6B9C" w:rsidRPr="0069677A" w:rsidRDefault="00CC6B9C" w:rsidP="0078219D">
            <w:pPr>
              <w:pStyle w:val="CETBodytext"/>
              <w:jc w:val="center"/>
              <w:rPr>
                <w:lang w:val="en-GB"/>
              </w:rPr>
            </w:pPr>
            <w:r w:rsidRPr="0069677A">
              <w:rPr>
                <w:lang w:val="en-GB"/>
              </w:rPr>
              <w:t>-</w:t>
            </w:r>
          </w:p>
        </w:tc>
        <w:tc>
          <w:tcPr>
            <w:tcW w:w="1518" w:type="dxa"/>
            <w:shd w:val="clear" w:color="auto" w:fill="FFFFFF"/>
          </w:tcPr>
          <w:p w14:paraId="40E6361D" w14:textId="30DD25F7" w:rsidR="00CC6B9C" w:rsidRPr="0069677A" w:rsidRDefault="00CC6B9C" w:rsidP="0078219D">
            <w:pPr>
              <w:pStyle w:val="CETBodytext"/>
              <w:jc w:val="center"/>
              <w:rPr>
                <w:lang w:val="en-GB"/>
              </w:rPr>
            </w:pPr>
            <w:r w:rsidRPr="0069677A">
              <w:rPr>
                <w:lang w:val="en-GB"/>
              </w:rPr>
              <w:t>4.9</w:t>
            </w:r>
          </w:p>
        </w:tc>
        <w:tc>
          <w:tcPr>
            <w:tcW w:w="1459" w:type="dxa"/>
            <w:shd w:val="clear" w:color="auto" w:fill="FFFFFF"/>
          </w:tcPr>
          <w:p w14:paraId="5AB6D10C" w14:textId="404FD89D" w:rsidR="00CC6B9C" w:rsidRPr="0069677A" w:rsidRDefault="00CC6B9C" w:rsidP="0078219D">
            <w:pPr>
              <w:pStyle w:val="CETBodytext"/>
              <w:jc w:val="center"/>
              <w:rPr>
                <w:lang w:val="en-GB"/>
              </w:rPr>
            </w:pPr>
            <w:r w:rsidRPr="0069677A">
              <w:rPr>
                <w:lang w:val="en-GB"/>
              </w:rPr>
              <w:t>14.8</w:t>
            </w:r>
          </w:p>
        </w:tc>
      </w:tr>
      <w:tr w:rsidR="00CC6B9C" w:rsidRPr="0069677A" w14:paraId="26E22D15" w14:textId="77777777" w:rsidTr="007B4E09">
        <w:trPr>
          <w:trHeight w:val="220"/>
        </w:trPr>
        <w:tc>
          <w:tcPr>
            <w:tcW w:w="802" w:type="dxa"/>
            <w:shd w:val="clear" w:color="auto" w:fill="FFFFFF"/>
          </w:tcPr>
          <w:p w14:paraId="4B591F4D" w14:textId="77777777" w:rsidR="00CC6B9C" w:rsidRPr="0069677A" w:rsidRDefault="00CC6B9C" w:rsidP="00897BC6">
            <w:pPr>
              <w:pStyle w:val="CETBodytext"/>
              <w:ind w:right="-1"/>
              <w:rPr>
                <w:rFonts w:cs="Arial"/>
                <w:szCs w:val="18"/>
                <w:lang w:val="en-GB"/>
              </w:rPr>
            </w:pPr>
            <w:r w:rsidRPr="0069677A">
              <w:rPr>
                <w:rFonts w:cs="Arial"/>
                <w:szCs w:val="18"/>
                <w:lang w:val="en-GB"/>
              </w:rPr>
              <w:t>M1</w:t>
            </w:r>
          </w:p>
        </w:tc>
        <w:tc>
          <w:tcPr>
            <w:tcW w:w="1284" w:type="dxa"/>
            <w:shd w:val="clear" w:color="auto" w:fill="FFFFFF"/>
          </w:tcPr>
          <w:p w14:paraId="35129F65" w14:textId="22A3A9BC" w:rsidR="00CC6B9C" w:rsidRPr="0069677A" w:rsidRDefault="00CC6B9C" w:rsidP="0078219D">
            <w:pPr>
              <w:pStyle w:val="CETBodytext"/>
              <w:ind w:right="-1"/>
              <w:jc w:val="center"/>
              <w:rPr>
                <w:rFonts w:cs="Arial"/>
                <w:szCs w:val="18"/>
                <w:lang w:val="en-GB"/>
              </w:rPr>
            </w:pPr>
            <w:r w:rsidRPr="0069677A">
              <w:rPr>
                <w:lang w:val="en-GB"/>
              </w:rPr>
              <w:t>5.7</w:t>
            </w:r>
          </w:p>
        </w:tc>
        <w:tc>
          <w:tcPr>
            <w:tcW w:w="1288" w:type="dxa"/>
            <w:shd w:val="clear" w:color="auto" w:fill="FFFFFF"/>
          </w:tcPr>
          <w:p w14:paraId="2679B80A" w14:textId="3DBCC39E" w:rsidR="00CC6B9C" w:rsidRPr="0069677A" w:rsidRDefault="00CC6B9C" w:rsidP="0078219D">
            <w:pPr>
              <w:pStyle w:val="CETBodytext"/>
              <w:ind w:right="-1"/>
              <w:jc w:val="center"/>
              <w:rPr>
                <w:lang w:val="en-GB"/>
              </w:rPr>
            </w:pPr>
            <w:r w:rsidRPr="0069677A">
              <w:rPr>
                <w:lang w:val="en-GB"/>
              </w:rPr>
              <w:t>8.0</w:t>
            </w:r>
          </w:p>
        </w:tc>
        <w:tc>
          <w:tcPr>
            <w:tcW w:w="1351" w:type="dxa"/>
            <w:shd w:val="clear" w:color="auto" w:fill="FFFFFF"/>
          </w:tcPr>
          <w:p w14:paraId="26962303" w14:textId="5256917B" w:rsidR="00CC6B9C" w:rsidRPr="0069677A" w:rsidRDefault="00CC6B9C" w:rsidP="0078219D">
            <w:pPr>
              <w:pStyle w:val="CETBodytext"/>
              <w:ind w:right="-1"/>
              <w:jc w:val="center"/>
              <w:rPr>
                <w:lang w:val="en-GB"/>
              </w:rPr>
            </w:pPr>
            <w:r w:rsidRPr="0069677A">
              <w:rPr>
                <w:lang w:val="en-GB"/>
              </w:rPr>
              <w:t>1.3</w:t>
            </w:r>
          </w:p>
        </w:tc>
        <w:tc>
          <w:tcPr>
            <w:tcW w:w="1518" w:type="dxa"/>
            <w:shd w:val="clear" w:color="auto" w:fill="FFFFFF"/>
          </w:tcPr>
          <w:p w14:paraId="2778E4FB" w14:textId="00D79E24" w:rsidR="00CC6B9C" w:rsidRPr="0069677A" w:rsidRDefault="00CC6B9C" w:rsidP="0078219D">
            <w:pPr>
              <w:pStyle w:val="CETBodytext"/>
              <w:ind w:right="-1"/>
              <w:jc w:val="center"/>
              <w:rPr>
                <w:lang w:val="en-GB"/>
              </w:rPr>
            </w:pPr>
            <w:r w:rsidRPr="0069677A">
              <w:rPr>
                <w:lang w:val="en-GB"/>
              </w:rPr>
              <w:t>0.5</w:t>
            </w:r>
          </w:p>
        </w:tc>
        <w:tc>
          <w:tcPr>
            <w:tcW w:w="1459" w:type="dxa"/>
            <w:shd w:val="clear" w:color="auto" w:fill="FFFFFF"/>
          </w:tcPr>
          <w:p w14:paraId="63F543D4" w14:textId="61FDBF27" w:rsidR="00CC6B9C" w:rsidRPr="0069677A" w:rsidRDefault="00CC6B9C" w:rsidP="0078219D">
            <w:pPr>
              <w:pStyle w:val="CETBodytext"/>
              <w:ind w:right="-1"/>
              <w:jc w:val="center"/>
              <w:rPr>
                <w:lang w:val="en-GB"/>
              </w:rPr>
            </w:pPr>
            <w:r w:rsidRPr="0069677A">
              <w:rPr>
                <w:lang w:val="en-GB"/>
              </w:rPr>
              <w:t>1.5</w:t>
            </w:r>
          </w:p>
        </w:tc>
      </w:tr>
      <w:tr w:rsidR="00CC6B9C" w:rsidRPr="0069677A" w14:paraId="0CEAFE82" w14:textId="77777777" w:rsidTr="007B4E09">
        <w:trPr>
          <w:trHeight w:val="211"/>
        </w:trPr>
        <w:tc>
          <w:tcPr>
            <w:tcW w:w="802" w:type="dxa"/>
            <w:shd w:val="clear" w:color="auto" w:fill="FFFFFF"/>
          </w:tcPr>
          <w:p w14:paraId="4DE84F40" w14:textId="77777777" w:rsidR="00CC6B9C" w:rsidRPr="0069677A" w:rsidRDefault="00CC6B9C" w:rsidP="00D00C68">
            <w:pPr>
              <w:pStyle w:val="CETBodytext"/>
              <w:ind w:right="-1"/>
              <w:rPr>
                <w:rFonts w:cs="Arial"/>
                <w:szCs w:val="18"/>
                <w:lang w:val="en-GB"/>
              </w:rPr>
            </w:pPr>
            <w:r w:rsidRPr="0069677A">
              <w:rPr>
                <w:rFonts w:cs="Arial"/>
                <w:szCs w:val="18"/>
                <w:lang w:val="en-GB"/>
              </w:rPr>
              <w:t>M2</w:t>
            </w:r>
          </w:p>
        </w:tc>
        <w:tc>
          <w:tcPr>
            <w:tcW w:w="1284" w:type="dxa"/>
            <w:shd w:val="clear" w:color="auto" w:fill="FFFFFF"/>
          </w:tcPr>
          <w:p w14:paraId="6435352C" w14:textId="7BB3479E" w:rsidR="00CC6B9C" w:rsidRPr="0069677A" w:rsidRDefault="00CC6B9C" w:rsidP="0078219D">
            <w:pPr>
              <w:pStyle w:val="CETBodytext"/>
              <w:ind w:right="-1"/>
              <w:jc w:val="center"/>
              <w:rPr>
                <w:rFonts w:cs="Arial"/>
                <w:szCs w:val="18"/>
                <w:lang w:val="en-GB"/>
              </w:rPr>
            </w:pPr>
            <w:r w:rsidRPr="0069677A">
              <w:rPr>
                <w:rFonts w:cs="Arial"/>
                <w:szCs w:val="18"/>
                <w:lang w:val="en-GB"/>
              </w:rPr>
              <w:t>6.2</w:t>
            </w:r>
          </w:p>
        </w:tc>
        <w:tc>
          <w:tcPr>
            <w:tcW w:w="1288" w:type="dxa"/>
            <w:shd w:val="clear" w:color="auto" w:fill="FFFFFF"/>
          </w:tcPr>
          <w:p w14:paraId="6845BA8A" w14:textId="14793CD8" w:rsidR="00CC6B9C" w:rsidRPr="0069677A" w:rsidRDefault="00CC6B9C" w:rsidP="0078219D">
            <w:pPr>
              <w:pStyle w:val="CETBodytext"/>
              <w:ind w:right="-1"/>
              <w:jc w:val="center"/>
              <w:rPr>
                <w:lang w:val="en-GB"/>
              </w:rPr>
            </w:pPr>
            <w:r w:rsidRPr="0069677A">
              <w:rPr>
                <w:lang w:val="en-GB"/>
              </w:rPr>
              <w:t>14.0</w:t>
            </w:r>
          </w:p>
        </w:tc>
        <w:tc>
          <w:tcPr>
            <w:tcW w:w="1351" w:type="dxa"/>
            <w:shd w:val="clear" w:color="auto" w:fill="FFFFFF"/>
          </w:tcPr>
          <w:p w14:paraId="56122D01" w14:textId="4C95F6C1" w:rsidR="00CC6B9C" w:rsidRPr="0069677A" w:rsidRDefault="00CC6B9C" w:rsidP="0078219D">
            <w:pPr>
              <w:pStyle w:val="CETBodytext"/>
              <w:ind w:right="-1"/>
              <w:jc w:val="center"/>
              <w:rPr>
                <w:lang w:val="en-GB"/>
              </w:rPr>
            </w:pPr>
            <w:r w:rsidRPr="0069677A">
              <w:rPr>
                <w:lang w:val="en-GB"/>
              </w:rPr>
              <w:t>1.3</w:t>
            </w:r>
          </w:p>
        </w:tc>
        <w:tc>
          <w:tcPr>
            <w:tcW w:w="1518" w:type="dxa"/>
            <w:shd w:val="clear" w:color="auto" w:fill="FFFFFF"/>
          </w:tcPr>
          <w:p w14:paraId="6EDBD69B" w14:textId="5E710497" w:rsidR="00CC6B9C" w:rsidRPr="0069677A" w:rsidRDefault="00CC6B9C" w:rsidP="0078219D">
            <w:pPr>
              <w:pStyle w:val="CETBodytext"/>
              <w:ind w:right="-1"/>
              <w:jc w:val="center"/>
              <w:rPr>
                <w:lang w:val="en-GB"/>
              </w:rPr>
            </w:pPr>
            <w:r w:rsidRPr="0069677A">
              <w:rPr>
                <w:lang w:val="en-GB"/>
              </w:rPr>
              <w:t>0.2</w:t>
            </w:r>
          </w:p>
        </w:tc>
        <w:tc>
          <w:tcPr>
            <w:tcW w:w="1459" w:type="dxa"/>
            <w:shd w:val="clear" w:color="auto" w:fill="FFFFFF"/>
          </w:tcPr>
          <w:p w14:paraId="02C4D8F8" w14:textId="24F8BC07" w:rsidR="00CC6B9C" w:rsidRPr="0069677A" w:rsidRDefault="00CC6B9C" w:rsidP="0078219D">
            <w:pPr>
              <w:pStyle w:val="CETBodytext"/>
              <w:ind w:right="-1"/>
              <w:jc w:val="center"/>
              <w:rPr>
                <w:lang w:val="en-GB"/>
              </w:rPr>
            </w:pPr>
            <w:r w:rsidRPr="0069677A">
              <w:rPr>
                <w:lang w:val="en-GB"/>
              </w:rPr>
              <w:t>1.4</w:t>
            </w:r>
          </w:p>
        </w:tc>
      </w:tr>
      <w:tr w:rsidR="00CC6B9C" w:rsidRPr="0069677A" w14:paraId="060449FA" w14:textId="77777777" w:rsidTr="007B4E09">
        <w:trPr>
          <w:trHeight w:val="220"/>
        </w:trPr>
        <w:tc>
          <w:tcPr>
            <w:tcW w:w="802" w:type="dxa"/>
            <w:shd w:val="clear" w:color="auto" w:fill="FFFFFF"/>
          </w:tcPr>
          <w:p w14:paraId="2E327394" w14:textId="77777777" w:rsidR="00CC6B9C" w:rsidRPr="0069677A" w:rsidRDefault="00CC6B9C" w:rsidP="00D00C68">
            <w:pPr>
              <w:pStyle w:val="CETBodytext"/>
              <w:ind w:right="-1"/>
              <w:rPr>
                <w:rFonts w:cs="Arial"/>
                <w:szCs w:val="18"/>
                <w:lang w:val="en-GB"/>
              </w:rPr>
            </w:pPr>
            <w:r w:rsidRPr="0069677A">
              <w:rPr>
                <w:rFonts w:cs="Arial"/>
                <w:szCs w:val="18"/>
                <w:lang w:val="en-GB"/>
              </w:rPr>
              <w:t>M3</w:t>
            </w:r>
          </w:p>
        </w:tc>
        <w:tc>
          <w:tcPr>
            <w:tcW w:w="1284" w:type="dxa"/>
            <w:shd w:val="clear" w:color="auto" w:fill="FFFFFF"/>
          </w:tcPr>
          <w:p w14:paraId="6088D100" w14:textId="27CF6CB0" w:rsidR="00CC6B9C" w:rsidRPr="0069677A" w:rsidRDefault="00CC6B9C" w:rsidP="0078219D">
            <w:pPr>
              <w:pStyle w:val="CETBodytext"/>
              <w:ind w:right="-1"/>
              <w:jc w:val="center"/>
              <w:rPr>
                <w:rFonts w:cs="Arial"/>
                <w:szCs w:val="18"/>
                <w:lang w:val="en-GB"/>
              </w:rPr>
            </w:pPr>
            <w:r w:rsidRPr="0069677A">
              <w:rPr>
                <w:rFonts w:cs="Arial"/>
                <w:szCs w:val="18"/>
                <w:lang w:val="en-GB"/>
              </w:rPr>
              <w:t>6.5</w:t>
            </w:r>
          </w:p>
        </w:tc>
        <w:tc>
          <w:tcPr>
            <w:tcW w:w="1288" w:type="dxa"/>
            <w:shd w:val="clear" w:color="auto" w:fill="FFFFFF"/>
          </w:tcPr>
          <w:p w14:paraId="7BC6DDD7" w14:textId="0238450E" w:rsidR="00CC6B9C" w:rsidRPr="0069677A" w:rsidRDefault="00CC6B9C" w:rsidP="0078219D">
            <w:pPr>
              <w:pStyle w:val="CETBodytext"/>
              <w:ind w:right="-1"/>
              <w:jc w:val="center"/>
              <w:rPr>
                <w:lang w:val="en-GB"/>
              </w:rPr>
            </w:pPr>
            <w:r w:rsidRPr="0069677A">
              <w:rPr>
                <w:lang w:val="en-GB"/>
              </w:rPr>
              <w:t>22.0</w:t>
            </w:r>
          </w:p>
        </w:tc>
        <w:tc>
          <w:tcPr>
            <w:tcW w:w="1351" w:type="dxa"/>
            <w:shd w:val="clear" w:color="auto" w:fill="FFFFFF"/>
          </w:tcPr>
          <w:p w14:paraId="17397014" w14:textId="74A1A847" w:rsidR="00CC6B9C" w:rsidRPr="0069677A" w:rsidRDefault="00CC6B9C" w:rsidP="0078219D">
            <w:pPr>
              <w:pStyle w:val="CETBodytext"/>
              <w:ind w:right="-1"/>
              <w:jc w:val="center"/>
              <w:rPr>
                <w:lang w:val="en-GB"/>
              </w:rPr>
            </w:pPr>
            <w:r w:rsidRPr="0069677A">
              <w:rPr>
                <w:lang w:val="en-GB"/>
              </w:rPr>
              <w:t>1.3</w:t>
            </w:r>
          </w:p>
        </w:tc>
        <w:tc>
          <w:tcPr>
            <w:tcW w:w="1518" w:type="dxa"/>
            <w:shd w:val="clear" w:color="auto" w:fill="FFFFFF"/>
          </w:tcPr>
          <w:p w14:paraId="782323EB" w14:textId="4C302797" w:rsidR="00CC6B9C" w:rsidRPr="0069677A" w:rsidRDefault="00CC6B9C" w:rsidP="0078219D">
            <w:pPr>
              <w:pStyle w:val="CETBodytext"/>
              <w:ind w:right="-1"/>
              <w:jc w:val="center"/>
              <w:rPr>
                <w:lang w:val="en-GB"/>
              </w:rPr>
            </w:pPr>
            <w:r w:rsidRPr="0069677A">
              <w:rPr>
                <w:lang w:val="en-GB"/>
              </w:rPr>
              <w:t>0.3</w:t>
            </w:r>
          </w:p>
        </w:tc>
        <w:tc>
          <w:tcPr>
            <w:tcW w:w="1459" w:type="dxa"/>
            <w:shd w:val="clear" w:color="auto" w:fill="FFFFFF"/>
          </w:tcPr>
          <w:p w14:paraId="7725D565" w14:textId="74F10E65" w:rsidR="00CC6B9C" w:rsidRPr="0069677A" w:rsidRDefault="00CC6B9C" w:rsidP="0078219D">
            <w:pPr>
              <w:pStyle w:val="CETBodytext"/>
              <w:ind w:right="-1"/>
              <w:jc w:val="center"/>
              <w:rPr>
                <w:lang w:val="en-GB"/>
              </w:rPr>
            </w:pPr>
            <w:r w:rsidRPr="0069677A">
              <w:rPr>
                <w:lang w:val="en-GB"/>
              </w:rPr>
              <w:t>1.3</w:t>
            </w:r>
          </w:p>
        </w:tc>
      </w:tr>
      <w:tr w:rsidR="00CC6B9C" w:rsidRPr="0069677A" w14:paraId="4CF8E391" w14:textId="77777777" w:rsidTr="007B4E09">
        <w:trPr>
          <w:trHeight w:val="220"/>
        </w:trPr>
        <w:tc>
          <w:tcPr>
            <w:tcW w:w="802" w:type="dxa"/>
            <w:shd w:val="clear" w:color="auto" w:fill="FFFFFF"/>
          </w:tcPr>
          <w:p w14:paraId="6D96C21A" w14:textId="77777777" w:rsidR="00CC6B9C" w:rsidRPr="0069677A" w:rsidRDefault="00CC6B9C" w:rsidP="00D00C68">
            <w:pPr>
              <w:pStyle w:val="CETBodytext"/>
              <w:ind w:right="-1"/>
              <w:rPr>
                <w:rFonts w:cs="Arial"/>
                <w:szCs w:val="18"/>
                <w:lang w:val="en-GB"/>
              </w:rPr>
            </w:pPr>
            <w:r w:rsidRPr="0069677A">
              <w:rPr>
                <w:rFonts w:cs="Arial"/>
                <w:szCs w:val="18"/>
                <w:lang w:val="en-GB"/>
              </w:rPr>
              <w:t>M4</w:t>
            </w:r>
          </w:p>
        </w:tc>
        <w:tc>
          <w:tcPr>
            <w:tcW w:w="1284" w:type="dxa"/>
            <w:shd w:val="clear" w:color="auto" w:fill="FFFFFF"/>
          </w:tcPr>
          <w:p w14:paraId="4BA15351" w14:textId="5B89722E" w:rsidR="00CC6B9C" w:rsidRPr="0069677A" w:rsidRDefault="00CC6B9C" w:rsidP="0078219D">
            <w:pPr>
              <w:pStyle w:val="CETBodytext"/>
              <w:ind w:right="-1"/>
              <w:jc w:val="center"/>
              <w:rPr>
                <w:rFonts w:cs="Arial"/>
                <w:szCs w:val="18"/>
                <w:lang w:val="en-GB"/>
              </w:rPr>
            </w:pPr>
            <w:r w:rsidRPr="0069677A">
              <w:rPr>
                <w:rFonts w:cs="Arial"/>
                <w:szCs w:val="18"/>
                <w:lang w:val="en-GB"/>
              </w:rPr>
              <w:t>6.4</w:t>
            </w:r>
          </w:p>
        </w:tc>
        <w:tc>
          <w:tcPr>
            <w:tcW w:w="1288" w:type="dxa"/>
            <w:shd w:val="clear" w:color="auto" w:fill="FFFFFF"/>
          </w:tcPr>
          <w:p w14:paraId="07062C5C" w14:textId="4946226E" w:rsidR="00CC6B9C" w:rsidRPr="0069677A" w:rsidRDefault="00CC6B9C" w:rsidP="0078219D">
            <w:pPr>
              <w:pStyle w:val="CETBodytext"/>
              <w:ind w:right="-1"/>
              <w:jc w:val="center"/>
              <w:rPr>
                <w:rFonts w:cs="Arial"/>
                <w:szCs w:val="18"/>
                <w:lang w:val="en-GB"/>
              </w:rPr>
            </w:pPr>
            <w:r w:rsidRPr="0069677A">
              <w:rPr>
                <w:rFonts w:cs="Arial"/>
                <w:szCs w:val="18"/>
                <w:lang w:val="en-GB"/>
              </w:rPr>
              <w:t>23.3</w:t>
            </w:r>
          </w:p>
        </w:tc>
        <w:tc>
          <w:tcPr>
            <w:tcW w:w="1351" w:type="dxa"/>
            <w:shd w:val="clear" w:color="auto" w:fill="FFFFFF"/>
          </w:tcPr>
          <w:p w14:paraId="12E08869" w14:textId="09D638B9" w:rsidR="00CC6B9C" w:rsidRPr="0069677A" w:rsidRDefault="00CC6B9C" w:rsidP="0078219D">
            <w:pPr>
              <w:pStyle w:val="CETBodytext"/>
              <w:ind w:right="-1"/>
              <w:jc w:val="center"/>
              <w:rPr>
                <w:rFonts w:cs="Arial"/>
                <w:szCs w:val="18"/>
                <w:lang w:val="en-GB"/>
              </w:rPr>
            </w:pPr>
            <w:r w:rsidRPr="0069677A">
              <w:rPr>
                <w:rFonts w:cs="Arial"/>
                <w:szCs w:val="18"/>
                <w:lang w:val="en-GB"/>
              </w:rPr>
              <w:t>0.3</w:t>
            </w:r>
          </w:p>
        </w:tc>
        <w:tc>
          <w:tcPr>
            <w:tcW w:w="1518" w:type="dxa"/>
            <w:shd w:val="clear" w:color="auto" w:fill="FFFFFF"/>
          </w:tcPr>
          <w:p w14:paraId="3DDEE6D4" w14:textId="52ED0D58" w:rsidR="00CC6B9C" w:rsidRPr="0069677A" w:rsidRDefault="00CC6B9C" w:rsidP="0078219D">
            <w:pPr>
              <w:pStyle w:val="CETBodytext"/>
              <w:ind w:right="-1"/>
              <w:jc w:val="center"/>
              <w:rPr>
                <w:rFonts w:cs="Arial"/>
                <w:szCs w:val="18"/>
                <w:lang w:val="en-GB"/>
              </w:rPr>
            </w:pPr>
            <w:r w:rsidRPr="0069677A">
              <w:rPr>
                <w:rFonts w:cs="Arial"/>
                <w:szCs w:val="18"/>
                <w:lang w:val="en-GB"/>
              </w:rPr>
              <w:t>0.2</w:t>
            </w:r>
          </w:p>
        </w:tc>
        <w:tc>
          <w:tcPr>
            <w:tcW w:w="1459" w:type="dxa"/>
            <w:shd w:val="clear" w:color="auto" w:fill="FFFFFF"/>
          </w:tcPr>
          <w:p w14:paraId="2B4A2211" w14:textId="13EFB6C8" w:rsidR="00CC6B9C" w:rsidRPr="0069677A" w:rsidRDefault="00CC6B9C" w:rsidP="0078219D">
            <w:pPr>
              <w:pStyle w:val="CETBodytext"/>
              <w:ind w:right="-1"/>
              <w:jc w:val="center"/>
              <w:rPr>
                <w:rFonts w:cs="Arial"/>
                <w:szCs w:val="18"/>
                <w:lang w:val="en-GB"/>
              </w:rPr>
            </w:pPr>
            <w:r w:rsidRPr="0069677A">
              <w:rPr>
                <w:rFonts w:cs="Arial"/>
                <w:szCs w:val="18"/>
                <w:lang w:val="en-GB"/>
              </w:rPr>
              <w:t>0.5</w:t>
            </w:r>
          </w:p>
        </w:tc>
      </w:tr>
    </w:tbl>
    <w:p w14:paraId="20F94A2D" w14:textId="77777777" w:rsidR="001C43B2" w:rsidRPr="0069677A" w:rsidRDefault="001C43B2" w:rsidP="001C43B2">
      <w:pPr>
        <w:pStyle w:val="CETBodytext"/>
        <w:rPr>
          <w:lang w:val="en-GB"/>
        </w:rPr>
      </w:pPr>
    </w:p>
    <w:p w14:paraId="7D5C0969" w14:textId="1484CC97" w:rsidR="001C43B2" w:rsidRPr="0069677A" w:rsidRDefault="0044670E" w:rsidP="00F36DBE">
      <w:pPr>
        <w:pStyle w:val="CETheadingx"/>
      </w:pPr>
      <w:r w:rsidRPr="0044670E">
        <w:t xml:space="preserve">Mortality test of </w:t>
      </w:r>
      <w:r w:rsidRPr="00E9626D">
        <w:rPr>
          <w:i/>
        </w:rPr>
        <w:t>Premnotrypes vorax</w:t>
      </w:r>
      <w:r w:rsidRPr="0044670E">
        <w:t xml:space="preserve"> to saponin bioinsecticide</w:t>
      </w:r>
    </w:p>
    <w:p w14:paraId="76A32944" w14:textId="1415CEF9" w:rsidR="000912B0" w:rsidRPr="0069677A" w:rsidRDefault="0044670E" w:rsidP="001C43B2">
      <w:pPr>
        <w:pStyle w:val="CETBodytext"/>
        <w:rPr>
          <w:lang w:val="en-GB"/>
        </w:rPr>
      </w:pPr>
      <w:r w:rsidRPr="0044670E">
        <w:rPr>
          <w:lang w:val="en-GB"/>
        </w:rPr>
        <w:t xml:space="preserve">A sample of 15 individuals of </w:t>
      </w:r>
      <w:r w:rsidRPr="00E9626D">
        <w:rPr>
          <w:i/>
          <w:iCs/>
          <w:lang w:val="en-GB"/>
        </w:rPr>
        <w:t>Premnotrypes vorax</w:t>
      </w:r>
      <w:r w:rsidRPr="0044670E">
        <w:rPr>
          <w:lang w:val="en-GB"/>
        </w:rPr>
        <w:t xml:space="preserve"> larvae was subjected to bioinsecticide as biomass powder and in solution with ethanol (0, 25, 50 and 75 %), and progressive mortality of the larvae was obtained as time passed.</w:t>
      </w:r>
      <w:r w:rsidR="00837ABC">
        <w:rPr>
          <w:lang w:val="en-GB"/>
        </w:rPr>
        <w:t xml:space="preserve"> See Table 5.</w:t>
      </w:r>
    </w:p>
    <w:p w14:paraId="7A52256A" w14:textId="5A5325C9" w:rsidR="0078219D" w:rsidRPr="0069677A" w:rsidRDefault="0078219D" w:rsidP="0078219D">
      <w:pPr>
        <w:pStyle w:val="CETTabletitle"/>
      </w:pPr>
      <w:r w:rsidRPr="0069677A">
        <w:t xml:space="preserve">Table 5: </w:t>
      </w:r>
      <w:r w:rsidR="0044670E" w:rsidRPr="0044670E">
        <w:t xml:space="preserve">Amount of mortality of the </w:t>
      </w:r>
      <w:r w:rsidRPr="0069677A">
        <w:t xml:space="preserve">Premnotrypes vorax </w:t>
      </w:r>
    </w:p>
    <w:tbl>
      <w:tblPr>
        <w:tblW w:w="8735" w:type="dxa"/>
        <w:tblLayout w:type="fixed"/>
        <w:tblCellMar>
          <w:left w:w="70" w:type="dxa"/>
          <w:right w:w="70" w:type="dxa"/>
        </w:tblCellMar>
        <w:tblLook w:val="04A0" w:firstRow="1" w:lastRow="0" w:firstColumn="1" w:lastColumn="0" w:noHBand="0" w:noVBand="1"/>
      </w:tblPr>
      <w:tblGrid>
        <w:gridCol w:w="3314"/>
        <w:gridCol w:w="1476"/>
        <w:gridCol w:w="703"/>
        <w:gridCol w:w="702"/>
        <w:gridCol w:w="845"/>
        <w:gridCol w:w="844"/>
        <w:gridCol w:w="851"/>
      </w:tblGrid>
      <w:tr w:rsidR="0044670E" w:rsidRPr="0069677A" w14:paraId="6B3F9938" w14:textId="77777777" w:rsidTr="002F644F">
        <w:trPr>
          <w:trHeight w:val="413"/>
        </w:trPr>
        <w:tc>
          <w:tcPr>
            <w:tcW w:w="3314" w:type="dxa"/>
            <w:vMerge w:val="restart"/>
            <w:tcBorders>
              <w:top w:val="single" w:sz="12" w:space="0" w:color="008000"/>
              <w:left w:val="nil"/>
              <w:bottom w:val="single" w:sz="4" w:space="0" w:color="000000"/>
              <w:right w:val="nil"/>
            </w:tcBorders>
            <w:shd w:val="clear" w:color="auto" w:fill="auto"/>
            <w:hideMark/>
          </w:tcPr>
          <w:p w14:paraId="12771C1F" w14:textId="77777777" w:rsidR="0044670E" w:rsidRPr="0069677A" w:rsidRDefault="0044670E" w:rsidP="0044670E">
            <w:pPr>
              <w:pStyle w:val="CETBodytext"/>
              <w:rPr>
                <w:lang w:val="en-GB" w:eastAsia="es-PE"/>
              </w:rPr>
            </w:pPr>
            <w:r w:rsidRPr="00737E98">
              <w:t>Bioinsecticide</w:t>
            </w:r>
          </w:p>
          <w:p w14:paraId="141FE858" w14:textId="460D976D" w:rsidR="0044670E" w:rsidRPr="0069677A" w:rsidRDefault="0044670E" w:rsidP="0044670E">
            <w:pPr>
              <w:pStyle w:val="CETBodytext"/>
              <w:rPr>
                <w:lang w:val="en-GB" w:eastAsia="es-PE"/>
              </w:rPr>
            </w:pPr>
          </w:p>
        </w:tc>
        <w:tc>
          <w:tcPr>
            <w:tcW w:w="1476" w:type="dxa"/>
            <w:vMerge w:val="restart"/>
            <w:tcBorders>
              <w:top w:val="single" w:sz="12" w:space="0" w:color="008000"/>
              <w:left w:val="nil"/>
              <w:bottom w:val="single" w:sz="4" w:space="0" w:color="000000"/>
              <w:right w:val="nil"/>
            </w:tcBorders>
            <w:shd w:val="clear" w:color="auto" w:fill="auto"/>
            <w:vAlign w:val="center"/>
            <w:hideMark/>
          </w:tcPr>
          <w:p w14:paraId="272124B4" w14:textId="4D3F9A26" w:rsidR="0044670E" w:rsidRPr="0069677A" w:rsidRDefault="0044670E" w:rsidP="0044670E">
            <w:pPr>
              <w:pStyle w:val="CETBodytext"/>
              <w:rPr>
                <w:lang w:val="en-GB" w:eastAsia="es-PE"/>
              </w:rPr>
            </w:pPr>
            <w:r w:rsidRPr="0044670E">
              <w:rPr>
                <w:sz w:val="16"/>
                <w:szCs w:val="18"/>
                <w:lang w:val="en-GB" w:eastAsia="es-PE"/>
              </w:rPr>
              <w:t xml:space="preserve">Initial number of </w:t>
            </w:r>
            <w:r w:rsidRPr="00E9626D">
              <w:rPr>
                <w:i/>
                <w:iCs/>
                <w:sz w:val="16"/>
                <w:szCs w:val="18"/>
                <w:lang w:val="en-GB" w:eastAsia="es-PE"/>
              </w:rPr>
              <w:t>Premnotrypes vorax</w:t>
            </w:r>
          </w:p>
        </w:tc>
        <w:tc>
          <w:tcPr>
            <w:tcW w:w="3945" w:type="dxa"/>
            <w:gridSpan w:val="5"/>
            <w:tcBorders>
              <w:top w:val="single" w:sz="12" w:space="0" w:color="008000"/>
              <w:left w:val="nil"/>
              <w:bottom w:val="single" w:sz="4" w:space="0" w:color="auto"/>
              <w:right w:val="nil"/>
            </w:tcBorders>
            <w:shd w:val="clear" w:color="auto" w:fill="auto"/>
            <w:noWrap/>
            <w:vAlign w:val="center"/>
            <w:hideMark/>
          </w:tcPr>
          <w:p w14:paraId="3D89D1BA" w14:textId="112E907B" w:rsidR="0044670E" w:rsidRPr="0069677A" w:rsidRDefault="0044670E" w:rsidP="0044670E">
            <w:pPr>
              <w:pStyle w:val="CETBodytext"/>
              <w:jc w:val="center"/>
              <w:rPr>
                <w:lang w:val="en-GB" w:eastAsia="es-PE"/>
              </w:rPr>
            </w:pPr>
            <w:r w:rsidRPr="0044670E">
              <w:rPr>
                <w:lang w:val="en-GB" w:eastAsia="es-PE"/>
              </w:rPr>
              <w:t>Mortality (Number of individuals dead)</w:t>
            </w:r>
          </w:p>
        </w:tc>
      </w:tr>
      <w:tr w:rsidR="0044670E" w:rsidRPr="0069677A" w14:paraId="48603FF7" w14:textId="77777777" w:rsidTr="002F644F">
        <w:trPr>
          <w:trHeight w:val="533"/>
        </w:trPr>
        <w:tc>
          <w:tcPr>
            <w:tcW w:w="3314" w:type="dxa"/>
            <w:vMerge/>
            <w:tcBorders>
              <w:top w:val="single" w:sz="4" w:space="0" w:color="auto"/>
              <w:left w:val="nil"/>
              <w:bottom w:val="single" w:sz="4" w:space="0" w:color="000000"/>
              <w:right w:val="nil"/>
            </w:tcBorders>
            <w:hideMark/>
          </w:tcPr>
          <w:p w14:paraId="01E5F295" w14:textId="77777777" w:rsidR="0044670E" w:rsidRPr="0069677A" w:rsidRDefault="0044670E" w:rsidP="0044670E">
            <w:pPr>
              <w:pStyle w:val="CETBodytext"/>
              <w:rPr>
                <w:lang w:val="en-GB" w:eastAsia="es-PE"/>
              </w:rPr>
            </w:pPr>
          </w:p>
        </w:tc>
        <w:tc>
          <w:tcPr>
            <w:tcW w:w="1476" w:type="dxa"/>
            <w:vMerge/>
            <w:tcBorders>
              <w:top w:val="single" w:sz="4" w:space="0" w:color="auto"/>
              <w:left w:val="nil"/>
              <w:bottom w:val="single" w:sz="4" w:space="0" w:color="000000"/>
              <w:right w:val="nil"/>
            </w:tcBorders>
            <w:vAlign w:val="center"/>
            <w:hideMark/>
          </w:tcPr>
          <w:p w14:paraId="6D97EDB5" w14:textId="77777777" w:rsidR="0044670E" w:rsidRPr="0069677A" w:rsidRDefault="0044670E" w:rsidP="0044670E">
            <w:pPr>
              <w:pStyle w:val="CETBodytext"/>
              <w:rPr>
                <w:lang w:val="en-GB" w:eastAsia="es-PE"/>
              </w:rPr>
            </w:pPr>
          </w:p>
        </w:tc>
        <w:tc>
          <w:tcPr>
            <w:tcW w:w="703" w:type="dxa"/>
            <w:tcBorders>
              <w:top w:val="nil"/>
              <w:left w:val="nil"/>
              <w:bottom w:val="single" w:sz="4" w:space="0" w:color="auto"/>
              <w:right w:val="nil"/>
            </w:tcBorders>
            <w:shd w:val="clear" w:color="auto" w:fill="auto"/>
            <w:noWrap/>
            <w:vAlign w:val="center"/>
            <w:hideMark/>
          </w:tcPr>
          <w:p w14:paraId="78871FB4" w14:textId="77777777" w:rsidR="0044670E" w:rsidRPr="0069677A" w:rsidRDefault="0044670E" w:rsidP="0044670E">
            <w:pPr>
              <w:pStyle w:val="CETBodytext"/>
              <w:rPr>
                <w:lang w:val="en-GB" w:eastAsia="es-PE"/>
              </w:rPr>
            </w:pPr>
            <w:r w:rsidRPr="0069677A">
              <w:rPr>
                <w:lang w:val="en-GB" w:eastAsia="es-PE"/>
              </w:rPr>
              <w:t>30 min</w:t>
            </w:r>
          </w:p>
        </w:tc>
        <w:tc>
          <w:tcPr>
            <w:tcW w:w="702" w:type="dxa"/>
            <w:tcBorders>
              <w:top w:val="nil"/>
              <w:left w:val="nil"/>
              <w:bottom w:val="single" w:sz="4" w:space="0" w:color="auto"/>
              <w:right w:val="nil"/>
            </w:tcBorders>
            <w:shd w:val="clear" w:color="auto" w:fill="auto"/>
            <w:noWrap/>
            <w:vAlign w:val="center"/>
            <w:hideMark/>
          </w:tcPr>
          <w:p w14:paraId="72D84355" w14:textId="77777777" w:rsidR="0044670E" w:rsidRPr="0069677A" w:rsidRDefault="0044670E" w:rsidP="0044670E">
            <w:pPr>
              <w:pStyle w:val="CETBodytext"/>
              <w:rPr>
                <w:lang w:val="en-GB" w:eastAsia="es-PE"/>
              </w:rPr>
            </w:pPr>
            <w:r w:rsidRPr="0069677A">
              <w:rPr>
                <w:lang w:val="en-GB" w:eastAsia="es-PE"/>
              </w:rPr>
              <w:t>60 min</w:t>
            </w:r>
          </w:p>
        </w:tc>
        <w:tc>
          <w:tcPr>
            <w:tcW w:w="845" w:type="dxa"/>
            <w:tcBorders>
              <w:top w:val="nil"/>
              <w:left w:val="nil"/>
              <w:bottom w:val="single" w:sz="4" w:space="0" w:color="auto"/>
              <w:right w:val="nil"/>
            </w:tcBorders>
            <w:shd w:val="clear" w:color="auto" w:fill="auto"/>
            <w:noWrap/>
            <w:vAlign w:val="center"/>
            <w:hideMark/>
          </w:tcPr>
          <w:p w14:paraId="6D9C1953" w14:textId="77777777" w:rsidR="0044670E" w:rsidRPr="0069677A" w:rsidRDefault="0044670E" w:rsidP="0044670E">
            <w:pPr>
              <w:pStyle w:val="CETBodytext"/>
              <w:rPr>
                <w:lang w:val="en-GB" w:eastAsia="es-PE"/>
              </w:rPr>
            </w:pPr>
            <w:r w:rsidRPr="0069677A">
              <w:rPr>
                <w:lang w:val="en-GB" w:eastAsia="es-PE"/>
              </w:rPr>
              <w:t>120 min</w:t>
            </w:r>
          </w:p>
        </w:tc>
        <w:tc>
          <w:tcPr>
            <w:tcW w:w="844" w:type="dxa"/>
            <w:tcBorders>
              <w:top w:val="nil"/>
              <w:left w:val="nil"/>
              <w:bottom w:val="single" w:sz="4" w:space="0" w:color="auto"/>
              <w:right w:val="nil"/>
            </w:tcBorders>
            <w:shd w:val="clear" w:color="auto" w:fill="auto"/>
            <w:noWrap/>
            <w:vAlign w:val="center"/>
            <w:hideMark/>
          </w:tcPr>
          <w:p w14:paraId="18847253" w14:textId="77777777" w:rsidR="0044670E" w:rsidRPr="0069677A" w:rsidRDefault="0044670E" w:rsidP="0044670E">
            <w:pPr>
              <w:pStyle w:val="CETBodytext"/>
              <w:rPr>
                <w:lang w:val="en-GB" w:eastAsia="es-PE"/>
              </w:rPr>
            </w:pPr>
            <w:r w:rsidRPr="0069677A">
              <w:rPr>
                <w:lang w:val="en-GB" w:eastAsia="es-PE"/>
              </w:rPr>
              <w:t>180 min</w:t>
            </w:r>
          </w:p>
        </w:tc>
        <w:tc>
          <w:tcPr>
            <w:tcW w:w="851" w:type="dxa"/>
            <w:tcBorders>
              <w:top w:val="nil"/>
              <w:left w:val="nil"/>
              <w:bottom w:val="single" w:sz="4" w:space="0" w:color="auto"/>
              <w:right w:val="nil"/>
            </w:tcBorders>
            <w:shd w:val="clear" w:color="auto" w:fill="auto"/>
            <w:noWrap/>
            <w:vAlign w:val="center"/>
            <w:hideMark/>
          </w:tcPr>
          <w:p w14:paraId="2C22A6A8" w14:textId="77777777" w:rsidR="0044670E" w:rsidRPr="0069677A" w:rsidRDefault="0044670E" w:rsidP="0044670E">
            <w:pPr>
              <w:pStyle w:val="CETBodytext"/>
              <w:rPr>
                <w:lang w:val="en-GB" w:eastAsia="es-PE"/>
              </w:rPr>
            </w:pPr>
            <w:r w:rsidRPr="0069677A">
              <w:rPr>
                <w:lang w:val="en-GB" w:eastAsia="es-PE"/>
              </w:rPr>
              <w:t>240 min</w:t>
            </w:r>
          </w:p>
        </w:tc>
      </w:tr>
      <w:tr w:rsidR="0044670E" w:rsidRPr="0069677A" w14:paraId="2F84DB14" w14:textId="77777777" w:rsidTr="002F644F">
        <w:trPr>
          <w:trHeight w:val="309"/>
        </w:trPr>
        <w:tc>
          <w:tcPr>
            <w:tcW w:w="3314" w:type="dxa"/>
            <w:tcBorders>
              <w:top w:val="nil"/>
              <w:left w:val="nil"/>
              <w:bottom w:val="nil"/>
              <w:right w:val="nil"/>
            </w:tcBorders>
            <w:shd w:val="clear" w:color="auto" w:fill="auto"/>
            <w:hideMark/>
          </w:tcPr>
          <w:p w14:paraId="2F82C4C4" w14:textId="5A7A0D02" w:rsidR="0044670E" w:rsidRPr="0069677A" w:rsidRDefault="0044670E" w:rsidP="0044670E">
            <w:pPr>
              <w:pStyle w:val="CETBodytext"/>
              <w:rPr>
                <w:lang w:val="en-GB" w:eastAsia="es-PE"/>
              </w:rPr>
            </w:pPr>
            <w:r w:rsidRPr="00737E98">
              <w:t>Biomass powder containing saponin</w:t>
            </w:r>
          </w:p>
        </w:tc>
        <w:tc>
          <w:tcPr>
            <w:tcW w:w="1476" w:type="dxa"/>
            <w:tcBorders>
              <w:top w:val="nil"/>
              <w:left w:val="nil"/>
              <w:bottom w:val="nil"/>
              <w:right w:val="nil"/>
            </w:tcBorders>
            <w:shd w:val="clear" w:color="auto" w:fill="auto"/>
            <w:noWrap/>
            <w:vAlign w:val="center"/>
            <w:hideMark/>
          </w:tcPr>
          <w:p w14:paraId="46C36B78" w14:textId="77777777" w:rsidR="0044670E" w:rsidRPr="0069677A" w:rsidRDefault="0044670E" w:rsidP="0044670E">
            <w:pPr>
              <w:pStyle w:val="CETBodytext"/>
              <w:jc w:val="center"/>
              <w:rPr>
                <w:lang w:val="en-GB" w:eastAsia="es-PE"/>
              </w:rPr>
            </w:pPr>
            <w:r w:rsidRPr="0069677A">
              <w:rPr>
                <w:lang w:val="en-GB" w:eastAsia="es-PE"/>
              </w:rPr>
              <w:t>15</w:t>
            </w:r>
          </w:p>
        </w:tc>
        <w:tc>
          <w:tcPr>
            <w:tcW w:w="703" w:type="dxa"/>
            <w:tcBorders>
              <w:top w:val="nil"/>
              <w:left w:val="nil"/>
              <w:bottom w:val="nil"/>
              <w:right w:val="nil"/>
            </w:tcBorders>
            <w:shd w:val="clear" w:color="auto" w:fill="auto"/>
            <w:noWrap/>
            <w:vAlign w:val="center"/>
            <w:hideMark/>
          </w:tcPr>
          <w:p w14:paraId="51FEB362" w14:textId="77777777" w:rsidR="0044670E" w:rsidRPr="0069677A" w:rsidRDefault="0044670E" w:rsidP="0044670E">
            <w:pPr>
              <w:pStyle w:val="CETBodytext"/>
              <w:jc w:val="center"/>
              <w:rPr>
                <w:lang w:val="en-GB" w:eastAsia="es-PE"/>
              </w:rPr>
            </w:pPr>
            <w:r w:rsidRPr="0069677A">
              <w:rPr>
                <w:lang w:val="en-GB" w:eastAsia="es-PE"/>
              </w:rPr>
              <w:t>2</w:t>
            </w:r>
          </w:p>
        </w:tc>
        <w:tc>
          <w:tcPr>
            <w:tcW w:w="702" w:type="dxa"/>
            <w:tcBorders>
              <w:top w:val="nil"/>
              <w:left w:val="nil"/>
              <w:bottom w:val="nil"/>
              <w:right w:val="nil"/>
            </w:tcBorders>
            <w:shd w:val="clear" w:color="auto" w:fill="auto"/>
            <w:noWrap/>
            <w:vAlign w:val="center"/>
            <w:hideMark/>
          </w:tcPr>
          <w:p w14:paraId="333499CF" w14:textId="77777777" w:rsidR="0044670E" w:rsidRPr="0069677A" w:rsidRDefault="0044670E" w:rsidP="0044670E">
            <w:pPr>
              <w:pStyle w:val="CETBodytext"/>
              <w:jc w:val="center"/>
              <w:rPr>
                <w:lang w:val="en-GB" w:eastAsia="es-PE"/>
              </w:rPr>
            </w:pPr>
            <w:r w:rsidRPr="0069677A">
              <w:rPr>
                <w:lang w:val="en-GB" w:eastAsia="es-PE"/>
              </w:rPr>
              <w:t>3</w:t>
            </w:r>
          </w:p>
        </w:tc>
        <w:tc>
          <w:tcPr>
            <w:tcW w:w="845" w:type="dxa"/>
            <w:tcBorders>
              <w:top w:val="nil"/>
              <w:left w:val="nil"/>
              <w:bottom w:val="nil"/>
              <w:right w:val="nil"/>
            </w:tcBorders>
            <w:shd w:val="clear" w:color="auto" w:fill="auto"/>
            <w:noWrap/>
            <w:vAlign w:val="center"/>
            <w:hideMark/>
          </w:tcPr>
          <w:p w14:paraId="03FD6090" w14:textId="77777777" w:rsidR="0044670E" w:rsidRPr="0069677A" w:rsidRDefault="0044670E" w:rsidP="0044670E">
            <w:pPr>
              <w:pStyle w:val="CETBodytext"/>
              <w:jc w:val="center"/>
              <w:rPr>
                <w:lang w:val="en-GB" w:eastAsia="es-PE"/>
              </w:rPr>
            </w:pPr>
            <w:r w:rsidRPr="0069677A">
              <w:rPr>
                <w:lang w:val="en-GB" w:eastAsia="es-PE"/>
              </w:rPr>
              <w:t>4</w:t>
            </w:r>
          </w:p>
        </w:tc>
        <w:tc>
          <w:tcPr>
            <w:tcW w:w="844" w:type="dxa"/>
            <w:tcBorders>
              <w:top w:val="nil"/>
              <w:left w:val="nil"/>
              <w:bottom w:val="nil"/>
              <w:right w:val="nil"/>
            </w:tcBorders>
            <w:shd w:val="clear" w:color="auto" w:fill="auto"/>
            <w:noWrap/>
            <w:vAlign w:val="center"/>
            <w:hideMark/>
          </w:tcPr>
          <w:p w14:paraId="2A6E16EE" w14:textId="77777777" w:rsidR="0044670E" w:rsidRPr="0069677A" w:rsidRDefault="0044670E" w:rsidP="0044670E">
            <w:pPr>
              <w:pStyle w:val="CETBodytext"/>
              <w:jc w:val="center"/>
              <w:rPr>
                <w:lang w:val="en-GB" w:eastAsia="es-PE"/>
              </w:rPr>
            </w:pPr>
            <w:r w:rsidRPr="0069677A">
              <w:rPr>
                <w:lang w:val="en-GB" w:eastAsia="es-PE"/>
              </w:rPr>
              <w:t>6</w:t>
            </w:r>
          </w:p>
        </w:tc>
        <w:tc>
          <w:tcPr>
            <w:tcW w:w="851" w:type="dxa"/>
            <w:tcBorders>
              <w:top w:val="nil"/>
              <w:left w:val="nil"/>
              <w:bottom w:val="nil"/>
              <w:right w:val="nil"/>
            </w:tcBorders>
            <w:shd w:val="clear" w:color="auto" w:fill="auto"/>
            <w:noWrap/>
            <w:vAlign w:val="center"/>
            <w:hideMark/>
          </w:tcPr>
          <w:p w14:paraId="5C727F27" w14:textId="77777777" w:rsidR="0044670E" w:rsidRPr="0069677A" w:rsidRDefault="0044670E" w:rsidP="0044670E">
            <w:pPr>
              <w:pStyle w:val="CETBodytext"/>
              <w:jc w:val="center"/>
              <w:rPr>
                <w:lang w:val="en-GB" w:eastAsia="es-PE"/>
              </w:rPr>
            </w:pPr>
            <w:r w:rsidRPr="0069677A">
              <w:rPr>
                <w:lang w:val="en-GB" w:eastAsia="es-PE"/>
              </w:rPr>
              <w:t>7</w:t>
            </w:r>
          </w:p>
        </w:tc>
      </w:tr>
      <w:tr w:rsidR="0044670E" w:rsidRPr="0069677A" w14:paraId="65652061" w14:textId="77777777" w:rsidTr="002F644F">
        <w:trPr>
          <w:trHeight w:val="395"/>
        </w:trPr>
        <w:tc>
          <w:tcPr>
            <w:tcW w:w="3314" w:type="dxa"/>
            <w:tcBorders>
              <w:top w:val="nil"/>
              <w:left w:val="nil"/>
              <w:bottom w:val="nil"/>
              <w:right w:val="nil"/>
            </w:tcBorders>
            <w:shd w:val="clear" w:color="auto" w:fill="auto"/>
            <w:hideMark/>
          </w:tcPr>
          <w:p w14:paraId="16D554ED" w14:textId="5D4F7A60" w:rsidR="0044670E" w:rsidRPr="0069677A" w:rsidRDefault="00C55540" w:rsidP="0044670E">
            <w:pPr>
              <w:pStyle w:val="CETBodytext"/>
              <w:rPr>
                <w:lang w:val="en-GB" w:eastAsia="es-PE"/>
              </w:rPr>
            </w:pPr>
            <w:r w:rsidRPr="00C55540">
              <w:t>M1 at 0% ethanol (mL)</w:t>
            </w:r>
          </w:p>
        </w:tc>
        <w:tc>
          <w:tcPr>
            <w:tcW w:w="1476" w:type="dxa"/>
            <w:tcBorders>
              <w:top w:val="nil"/>
              <w:left w:val="nil"/>
              <w:bottom w:val="nil"/>
              <w:right w:val="nil"/>
            </w:tcBorders>
            <w:shd w:val="clear" w:color="auto" w:fill="auto"/>
            <w:noWrap/>
            <w:vAlign w:val="center"/>
            <w:hideMark/>
          </w:tcPr>
          <w:p w14:paraId="1127C697" w14:textId="77777777" w:rsidR="0044670E" w:rsidRPr="0069677A" w:rsidRDefault="0044670E" w:rsidP="0044670E">
            <w:pPr>
              <w:pStyle w:val="CETBodytext"/>
              <w:jc w:val="center"/>
              <w:rPr>
                <w:lang w:val="en-GB" w:eastAsia="es-PE"/>
              </w:rPr>
            </w:pPr>
            <w:r w:rsidRPr="0069677A">
              <w:rPr>
                <w:lang w:val="en-GB" w:eastAsia="es-PE"/>
              </w:rPr>
              <w:t>15</w:t>
            </w:r>
          </w:p>
        </w:tc>
        <w:tc>
          <w:tcPr>
            <w:tcW w:w="703" w:type="dxa"/>
            <w:tcBorders>
              <w:top w:val="nil"/>
              <w:left w:val="nil"/>
              <w:bottom w:val="nil"/>
              <w:right w:val="nil"/>
            </w:tcBorders>
            <w:shd w:val="clear" w:color="auto" w:fill="auto"/>
            <w:noWrap/>
            <w:vAlign w:val="center"/>
            <w:hideMark/>
          </w:tcPr>
          <w:p w14:paraId="3DFA5510" w14:textId="77777777" w:rsidR="0044670E" w:rsidRPr="0069677A" w:rsidRDefault="0044670E" w:rsidP="0044670E">
            <w:pPr>
              <w:pStyle w:val="CETBodytext"/>
              <w:jc w:val="center"/>
              <w:rPr>
                <w:lang w:val="en-GB" w:eastAsia="es-PE"/>
              </w:rPr>
            </w:pPr>
            <w:r w:rsidRPr="0069677A">
              <w:rPr>
                <w:lang w:val="en-GB" w:eastAsia="es-PE"/>
              </w:rPr>
              <w:t>2</w:t>
            </w:r>
          </w:p>
        </w:tc>
        <w:tc>
          <w:tcPr>
            <w:tcW w:w="702" w:type="dxa"/>
            <w:tcBorders>
              <w:top w:val="nil"/>
              <w:left w:val="nil"/>
              <w:bottom w:val="nil"/>
              <w:right w:val="nil"/>
            </w:tcBorders>
            <w:shd w:val="clear" w:color="auto" w:fill="auto"/>
            <w:noWrap/>
            <w:vAlign w:val="center"/>
            <w:hideMark/>
          </w:tcPr>
          <w:p w14:paraId="479E2838" w14:textId="77777777" w:rsidR="0044670E" w:rsidRPr="0069677A" w:rsidRDefault="0044670E" w:rsidP="0044670E">
            <w:pPr>
              <w:pStyle w:val="CETBodytext"/>
              <w:jc w:val="center"/>
              <w:rPr>
                <w:lang w:val="en-GB" w:eastAsia="es-PE"/>
              </w:rPr>
            </w:pPr>
            <w:r w:rsidRPr="0069677A">
              <w:rPr>
                <w:lang w:val="en-GB" w:eastAsia="es-PE"/>
              </w:rPr>
              <w:t>5</w:t>
            </w:r>
          </w:p>
        </w:tc>
        <w:tc>
          <w:tcPr>
            <w:tcW w:w="845" w:type="dxa"/>
            <w:tcBorders>
              <w:top w:val="nil"/>
              <w:left w:val="nil"/>
              <w:bottom w:val="nil"/>
              <w:right w:val="nil"/>
            </w:tcBorders>
            <w:shd w:val="clear" w:color="auto" w:fill="auto"/>
            <w:noWrap/>
            <w:vAlign w:val="center"/>
            <w:hideMark/>
          </w:tcPr>
          <w:p w14:paraId="1979CB48" w14:textId="77777777" w:rsidR="0044670E" w:rsidRPr="0069677A" w:rsidRDefault="0044670E" w:rsidP="0044670E">
            <w:pPr>
              <w:pStyle w:val="CETBodytext"/>
              <w:jc w:val="center"/>
              <w:rPr>
                <w:lang w:val="en-GB" w:eastAsia="es-PE"/>
              </w:rPr>
            </w:pPr>
            <w:r w:rsidRPr="0069677A">
              <w:rPr>
                <w:lang w:val="en-GB" w:eastAsia="es-PE"/>
              </w:rPr>
              <w:t>8</w:t>
            </w:r>
          </w:p>
        </w:tc>
        <w:tc>
          <w:tcPr>
            <w:tcW w:w="844" w:type="dxa"/>
            <w:tcBorders>
              <w:top w:val="nil"/>
              <w:left w:val="nil"/>
              <w:bottom w:val="nil"/>
              <w:right w:val="nil"/>
            </w:tcBorders>
            <w:shd w:val="clear" w:color="auto" w:fill="auto"/>
            <w:noWrap/>
            <w:vAlign w:val="center"/>
            <w:hideMark/>
          </w:tcPr>
          <w:p w14:paraId="707841F3" w14:textId="77777777" w:rsidR="0044670E" w:rsidRPr="0069677A" w:rsidRDefault="0044670E" w:rsidP="0044670E">
            <w:pPr>
              <w:pStyle w:val="CETBodytext"/>
              <w:jc w:val="center"/>
              <w:rPr>
                <w:lang w:val="en-GB" w:eastAsia="es-PE"/>
              </w:rPr>
            </w:pPr>
            <w:r w:rsidRPr="0069677A">
              <w:rPr>
                <w:lang w:val="en-GB" w:eastAsia="es-PE"/>
              </w:rPr>
              <w:t>9</w:t>
            </w:r>
          </w:p>
        </w:tc>
        <w:tc>
          <w:tcPr>
            <w:tcW w:w="851" w:type="dxa"/>
            <w:tcBorders>
              <w:top w:val="nil"/>
              <w:left w:val="nil"/>
              <w:bottom w:val="nil"/>
              <w:right w:val="nil"/>
            </w:tcBorders>
            <w:shd w:val="clear" w:color="auto" w:fill="auto"/>
            <w:noWrap/>
            <w:vAlign w:val="center"/>
            <w:hideMark/>
          </w:tcPr>
          <w:p w14:paraId="5086FB57" w14:textId="77777777" w:rsidR="0044670E" w:rsidRPr="0069677A" w:rsidRDefault="0044670E" w:rsidP="0044670E">
            <w:pPr>
              <w:pStyle w:val="CETBodytext"/>
              <w:jc w:val="center"/>
              <w:rPr>
                <w:lang w:val="en-GB" w:eastAsia="es-PE"/>
              </w:rPr>
            </w:pPr>
            <w:r w:rsidRPr="0069677A">
              <w:rPr>
                <w:lang w:val="en-GB" w:eastAsia="es-PE"/>
              </w:rPr>
              <w:t>11</w:t>
            </w:r>
          </w:p>
        </w:tc>
      </w:tr>
      <w:tr w:rsidR="0044670E" w:rsidRPr="0069677A" w14:paraId="2DB2C76C" w14:textId="77777777" w:rsidTr="002F644F">
        <w:trPr>
          <w:trHeight w:val="382"/>
        </w:trPr>
        <w:tc>
          <w:tcPr>
            <w:tcW w:w="3314" w:type="dxa"/>
            <w:tcBorders>
              <w:top w:val="nil"/>
              <w:left w:val="nil"/>
              <w:bottom w:val="nil"/>
              <w:right w:val="nil"/>
            </w:tcBorders>
            <w:shd w:val="clear" w:color="auto" w:fill="auto"/>
            <w:hideMark/>
          </w:tcPr>
          <w:p w14:paraId="73981907" w14:textId="4E32BEC9" w:rsidR="0044670E" w:rsidRPr="0069677A" w:rsidRDefault="00C55540" w:rsidP="0044670E">
            <w:pPr>
              <w:pStyle w:val="CETBodytext"/>
              <w:rPr>
                <w:lang w:val="en-GB" w:eastAsia="es-PE"/>
              </w:rPr>
            </w:pPr>
            <w:r w:rsidRPr="00C55540">
              <w:t>M</w:t>
            </w:r>
            <w:r>
              <w:t>2</w:t>
            </w:r>
            <w:r w:rsidRPr="00C55540">
              <w:t xml:space="preserve"> at </w:t>
            </w:r>
            <w:r>
              <w:t>25</w:t>
            </w:r>
            <w:r w:rsidRPr="00C55540">
              <w:t>% ethanol (mL)</w:t>
            </w:r>
          </w:p>
        </w:tc>
        <w:tc>
          <w:tcPr>
            <w:tcW w:w="1476" w:type="dxa"/>
            <w:tcBorders>
              <w:top w:val="nil"/>
              <w:left w:val="nil"/>
              <w:bottom w:val="nil"/>
              <w:right w:val="nil"/>
            </w:tcBorders>
            <w:shd w:val="clear" w:color="auto" w:fill="auto"/>
            <w:noWrap/>
            <w:vAlign w:val="center"/>
            <w:hideMark/>
          </w:tcPr>
          <w:p w14:paraId="2D05220C" w14:textId="77777777" w:rsidR="0044670E" w:rsidRPr="0069677A" w:rsidRDefault="0044670E" w:rsidP="0044670E">
            <w:pPr>
              <w:pStyle w:val="CETBodytext"/>
              <w:jc w:val="center"/>
              <w:rPr>
                <w:lang w:val="en-GB" w:eastAsia="es-PE"/>
              </w:rPr>
            </w:pPr>
            <w:r w:rsidRPr="0069677A">
              <w:rPr>
                <w:lang w:val="en-GB" w:eastAsia="es-PE"/>
              </w:rPr>
              <w:t>15</w:t>
            </w:r>
          </w:p>
        </w:tc>
        <w:tc>
          <w:tcPr>
            <w:tcW w:w="703" w:type="dxa"/>
            <w:tcBorders>
              <w:top w:val="nil"/>
              <w:left w:val="nil"/>
              <w:bottom w:val="nil"/>
              <w:right w:val="nil"/>
            </w:tcBorders>
            <w:shd w:val="clear" w:color="auto" w:fill="auto"/>
            <w:noWrap/>
            <w:vAlign w:val="center"/>
            <w:hideMark/>
          </w:tcPr>
          <w:p w14:paraId="38F7ED9E" w14:textId="77777777" w:rsidR="0044670E" w:rsidRPr="0069677A" w:rsidRDefault="0044670E" w:rsidP="0044670E">
            <w:pPr>
              <w:pStyle w:val="CETBodytext"/>
              <w:jc w:val="center"/>
              <w:rPr>
                <w:lang w:val="en-GB" w:eastAsia="es-PE"/>
              </w:rPr>
            </w:pPr>
            <w:r w:rsidRPr="0069677A">
              <w:rPr>
                <w:lang w:val="en-GB" w:eastAsia="es-PE"/>
              </w:rPr>
              <w:t>5</w:t>
            </w:r>
          </w:p>
        </w:tc>
        <w:tc>
          <w:tcPr>
            <w:tcW w:w="702" w:type="dxa"/>
            <w:tcBorders>
              <w:top w:val="nil"/>
              <w:left w:val="nil"/>
              <w:bottom w:val="nil"/>
              <w:right w:val="nil"/>
            </w:tcBorders>
            <w:shd w:val="clear" w:color="auto" w:fill="auto"/>
            <w:noWrap/>
            <w:vAlign w:val="center"/>
            <w:hideMark/>
          </w:tcPr>
          <w:p w14:paraId="1A639646" w14:textId="77777777" w:rsidR="0044670E" w:rsidRPr="0069677A" w:rsidRDefault="0044670E" w:rsidP="0044670E">
            <w:pPr>
              <w:pStyle w:val="CETBodytext"/>
              <w:jc w:val="center"/>
              <w:rPr>
                <w:lang w:val="en-GB" w:eastAsia="es-PE"/>
              </w:rPr>
            </w:pPr>
            <w:r w:rsidRPr="0069677A">
              <w:rPr>
                <w:lang w:val="en-GB" w:eastAsia="es-PE"/>
              </w:rPr>
              <w:t>8</w:t>
            </w:r>
          </w:p>
        </w:tc>
        <w:tc>
          <w:tcPr>
            <w:tcW w:w="845" w:type="dxa"/>
            <w:tcBorders>
              <w:top w:val="nil"/>
              <w:left w:val="nil"/>
              <w:bottom w:val="nil"/>
              <w:right w:val="nil"/>
            </w:tcBorders>
            <w:shd w:val="clear" w:color="auto" w:fill="auto"/>
            <w:noWrap/>
            <w:vAlign w:val="center"/>
            <w:hideMark/>
          </w:tcPr>
          <w:p w14:paraId="7988C707" w14:textId="77777777" w:rsidR="0044670E" w:rsidRPr="0069677A" w:rsidRDefault="0044670E" w:rsidP="0044670E">
            <w:pPr>
              <w:pStyle w:val="CETBodytext"/>
              <w:jc w:val="center"/>
              <w:rPr>
                <w:lang w:val="en-GB" w:eastAsia="es-PE"/>
              </w:rPr>
            </w:pPr>
            <w:r w:rsidRPr="0069677A">
              <w:rPr>
                <w:lang w:val="en-GB" w:eastAsia="es-PE"/>
              </w:rPr>
              <w:t>10</w:t>
            </w:r>
          </w:p>
        </w:tc>
        <w:tc>
          <w:tcPr>
            <w:tcW w:w="844" w:type="dxa"/>
            <w:tcBorders>
              <w:top w:val="nil"/>
              <w:left w:val="nil"/>
              <w:bottom w:val="nil"/>
              <w:right w:val="nil"/>
            </w:tcBorders>
            <w:shd w:val="clear" w:color="auto" w:fill="auto"/>
            <w:noWrap/>
            <w:vAlign w:val="center"/>
            <w:hideMark/>
          </w:tcPr>
          <w:p w14:paraId="0F486250" w14:textId="77777777" w:rsidR="0044670E" w:rsidRPr="0069677A" w:rsidRDefault="0044670E" w:rsidP="0044670E">
            <w:pPr>
              <w:pStyle w:val="CETBodytext"/>
              <w:jc w:val="center"/>
              <w:rPr>
                <w:lang w:val="en-GB" w:eastAsia="es-PE"/>
              </w:rPr>
            </w:pPr>
            <w:r w:rsidRPr="0069677A">
              <w:rPr>
                <w:lang w:val="en-GB" w:eastAsia="es-PE"/>
              </w:rPr>
              <w:t>13</w:t>
            </w:r>
          </w:p>
        </w:tc>
        <w:tc>
          <w:tcPr>
            <w:tcW w:w="851" w:type="dxa"/>
            <w:tcBorders>
              <w:top w:val="nil"/>
              <w:left w:val="nil"/>
              <w:bottom w:val="nil"/>
              <w:right w:val="nil"/>
            </w:tcBorders>
            <w:shd w:val="clear" w:color="auto" w:fill="auto"/>
            <w:noWrap/>
            <w:vAlign w:val="center"/>
            <w:hideMark/>
          </w:tcPr>
          <w:p w14:paraId="66F059D2" w14:textId="77777777" w:rsidR="0044670E" w:rsidRPr="0069677A" w:rsidRDefault="0044670E" w:rsidP="0044670E">
            <w:pPr>
              <w:pStyle w:val="CETBodytext"/>
              <w:jc w:val="center"/>
              <w:rPr>
                <w:lang w:val="en-GB" w:eastAsia="es-PE"/>
              </w:rPr>
            </w:pPr>
            <w:r w:rsidRPr="0069677A">
              <w:rPr>
                <w:lang w:val="en-GB" w:eastAsia="es-PE"/>
              </w:rPr>
              <w:t>15</w:t>
            </w:r>
          </w:p>
        </w:tc>
      </w:tr>
      <w:tr w:rsidR="0044670E" w:rsidRPr="0069677A" w14:paraId="06499B0C" w14:textId="77777777" w:rsidTr="002F644F">
        <w:trPr>
          <w:trHeight w:val="407"/>
        </w:trPr>
        <w:tc>
          <w:tcPr>
            <w:tcW w:w="3314" w:type="dxa"/>
            <w:tcBorders>
              <w:top w:val="nil"/>
              <w:left w:val="nil"/>
              <w:bottom w:val="nil"/>
              <w:right w:val="nil"/>
            </w:tcBorders>
            <w:shd w:val="clear" w:color="auto" w:fill="auto"/>
            <w:hideMark/>
          </w:tcPr>
          <w:p w14:paraId="3E9956EC" w14:textId="084D7A37" w:rsidR="0044670E" w:rsidRPr="0069677A" w:rsidRDefault="00C55540" w:rsidP="0044670E">
            <w:pPr>
              <w:pStyle w:val="CETBodytext"/>
              <w:rPr>
                <w:lang w:val="en-GB" w:eastAsia="es-PE"/>
              </w:rPr>
            </w:pPr>
            <w:r w:rsidRPr="00C55540">
              <w:t>M</w:t>
            </w:r>
            <w:r>
              <w:t>3</w:t>
            </w:r>
            <w:r w:rsidRPr="00C55540">
              <w:t xml:space="preserve"> at </w:t>
            </w:r>
            <w:r>
              <w:t>5</w:t>
            </w:r>
            <w:r w:rsidRPr="00C55540">
              <w:t>0% ethanol (mL)</w:t>
            </w:r>
          </w:p>
        </w:tc>
        <w:tc>
          <w:tcPr>
            <w:tcW w:w="1476" w:type="dxa"/>
            <w:tcBorders>
              <w:top w:val="nil"/>
              <w:left w:val="nil"/>
              <w:bottom w:val="nil"/>
              <w:right w:val="nil"/>
            </w:tcBorders>
            <w:shd w:val="clear" w:color="auto" w:fill="auto"/>
            <w:noWrap/>
            <w:vAlign w:val="center"/>
            <w:hideMark/>
          </w:tcPr>
          <w:p w14:paraId="1BA869AA" w14:textId="77777777" w:rsidR="0044670E" w:rsidRPr="0069677A" w:rsidRDefault="0044670E" w:rsidP="0044670E">
            <w:pPr>
              <w:pStyle w:val="CETBodytext"/>
              <w:jc w:val="center"/>
              <w:rPr>
                <w:lang w:val="en-GB" w:eastAsia="es-PE"/>
              </w:rPr>
            </w:pPr>
            <w:r w:rsidRPr="0069677A">
              <w:rPr>
                <w:lang w:val="en-GB" w:eastAsia="es-PE"/>
              </w:rPr>
              <w:t>15</w:t>
            </w:r>
          </w:p>
        </w:tc>
        <w:tc>
          <w:tcPr>
            <w:tcW w:w="703" w:type="dxa"/>
            <w:tcBorders>
              <w:top w:val="nil"/>
              <w:left w:val="nil"/>
              <w:bottom w:val="nil"/>
              <w:right w:val="nil"/>
            </w:tcBorders>
            <w:shd w:val="clear" w:color="auto" w:fill="auto"/>
            <w:noWrap/>
            <w:vAlign w:val="center"/>
            <w:hideMark/>
          </w:tcPr>
          <w:p w14:paraId="26EA4EA4" w14:textId="77777777" w:rsidR="0044670E" w:rsidRPr="0069677A" w:rsidRDefault="0044670E" w:rsidP="0044670E">
            <w:pPr>
              <w:pStyle w:val="CETBodytext"/>
              <w:jc w:val="center"/>
              <w:rPr>
                <w:lang w:val="en-GB" w:eastAsia="es-PE"/>
              </w:rPr>
            </w:pPr>
            <w:r w:rsidRPr="0069677A">
              <w:rPr>
                <w:lang w:val="en-GB" w:eastAsia="es-PE"/>
              </w:rPr>
              <w:t>6</w:t>
            </w:r>
          </w:p>
        </w:tc>
        <w:tc>
          <w:tcPr>
            <w:tcW w:w="702" w:type="dxa"/>
            <w:tcBorders>
              <w:top w:val="nil"/>
              <w:left w:val="nil"/>
              <w:bottom w:val="nil"/>
              <w:right w:val="nil"/>
            </w:tcBorders>
            <w:shd w:val="clear" w:color="auto" w:fill="auto"/>
            <w:noWrap/>
            <w:vAlign w:val="center"/>
            <w:hideMark/>
          </w:tcPr>
          <w:p w14:paraId="05D79FAE" w14:textId="77777777" w:rsidR="0044670E" w:rsidRPr="0069677A" w:rsidRDefault="0044670E" w:rsidP="0044670E">
            <w:pPr>
              <w:pStyle w:val="CETBodytext"/>
              <w:jc w:val="center"/>
              <w:rPr>
                <w:lang w:val="en-GB" w:eastAsia="es-PE"/>
              </w:rPr>
            </w:pPr>
            <w:r w:rsidRPr="0069677A">
              <w:rPr>
                <w:lang w:val="en-GB" w:eastAsia="es-PE"/>
              </w:rPr>
              <w:t>8</w:t>
            </w:r>
          </w:p>
        </w:tc>
        <w:tc>
          <w:tcPr>
            <w:tcW w:w="845" w:type="dxa"/>
            <w:tcBorders>
              <w:top w:val="nil"/>
              <w:left w:val="nil"/>
              <w:bottom w:val="nil"/>
              <w:right w:val="nil"/>
            </w:tcBorders>
            <w:shd w:val="clear" w:color="auto" w:fill="auto"/>
            <w:noWrap/>
            <w:vAlign w:val="center"/>
            <w:hideMark/>
          </w:tcPr>
          <w:p w14:paraId="3C158F3B" w14:textId="77777777" w:rsidR="0044670E" w:rsidRPr="0069677A" w:rsidRDefault="0044670E" w:rsidP="0044670E">
            <w:pPr>
              <w:pStyle w:val="CETBodytext"/>
              <w:jc w:val="center"/>
              <w:rPr>
                <w:lang w:val="en-GB" w:eastAsia="es-PE"/>
              </w:rPr>
            </w:pPr>
            <w:r w:rsidRPr="0069677A">
              <w:rPr>
                <w:lang w:val="en-GB" w:eastAsia="es-PE"/>
              </w:rPr>
              <w:t>11</w:t>
            </w:r>
          </w:p>
        </w:tc>
        <w:tc>
          <w:tcPr>
            <w:tcW w:w="844" w:type="dxa"/>
            <w:tcBorders>
              <w:top w:val="nil"/>
              <w:left w:val="nil"/>
              <w:bottom w:val="nil"/>
              <w:right w:val="nil"/>
            </w:tcBorders>
            <w:shd w:val="clear" w:color="auto" w:fill="auto"/>
            <w:noWrap/>
            <w:vAlign w:val="center"/>
            <w:hideMark/>
          </w:tcPr>
          <w:p w14:paraId="2224AD0B" w14:textId="77777777" w:rsidR="0044670E" w:rsidRPr="0069677A" w:rsidRDefault="0044670E" w:rsidP="0044670E">
            <w:pPr>
              <w:pStyle w:val="CETBodytext"/>
              <w:jc w:val="center"/>
              <w:rPr>
                <w:lang w:val="en-GB" w:eastAsia="es-PE"/>
              </w:rPr>
            </w:pPr>
            <w:r w:rsidRPr="0069677A">
              <w:rPr>
                <w:lang w:val="en-GB" w:eastAsia="es-PE"/>
              </w:rPr>
              <w:t>13</w:t>
            </w:r>
          </w:p>
        </w:tc>
        <w:tc>
          <w:tcPr>
            <w:tcW w:w="851" w:type="dxa"/>
            <w:tcBorders>
              <w:top w:val="nil"/>
              <w:left w:val="nil"/>
              <w:bottom w:val="nil"/>
              <w:right w:val="nil"/>
            </w:tcBorders>
            <w:shd w:val="clear" w:color="auto" w:fill="auto"/>
            <w:noWrap/>
            <w:vAlign w:val="center"/>
            <w:hideMark/>
          </w:tcPr>
          <w:p w14:paraId="740F33F8" w14:textId="77777777" w:rsidR="0044670E" w:rsidRPr="0069677A" w:rsidRDefault="0044670E" w:rsidP="0044670E">
            <w:pPr>
              <w:pStyle w:val="CETBodytext"/>
              <w:jc w:val="center"/>
              <w:rPr>
                <w:lang w:val="en-GB" w:eastAsia="es-PE"/>
              </w:rPr>
            </w:pPr>
            <w:r w:rsidRPr="0069677A">
              <w:rPr>
                <w:lang w:val="en-GB" w:eastAsia="es-PE"/>
              </w:rPr>
              <w:t>15</w:t>
            </w:r>
          </w:p>
        </w:tc>
      </w:tr>
      <w:tr w:rsidR="0044670E" w:rsidRPr="0069677A" w14:paraId="325C1423" w14:textId="77777777" w:rsidTr="002F644F">
        <w:trPr>
          <w:trHeight w:val="394"/>
        </w:trPr>
        <w:tc>
          <w:tcPr>
            <w:tcW w:w="3314" w:type="dxa"/>
            <w:tcBorders>
              <w:top w:val="nil"/>
              <w:left w:val="nil"/>
              <w:bottom w:val="single" w:sz="12" w:space="0" w:color="008000"/>
              <w:right w:val="nil"/>
            </w:tcBorders>
            <w:shd w:val="clear" w:color="auto" w:fill="auto"/>
            <w:hideMark/>
          </w:tcPr>
          <w:p w14:paraId="50CDC8D7" w14:textId="24B9D5D8" w:rsidR="0044670E" w:rsidRPr="0069677A" w:rsidRDefault="00C55540" w:rsidP="0044670E">
            <w:pPr>
              <w:pStyle w:val="CETBodytext"/>
              <w:rPr>
                <w:lang w:val="en-GB" w:eastAsia="es-PE"/>
              </w:rPr>
            </w:pPr>
            <w:r w:rsidRPr="00C55540">
              <w:t>M</w:t>
            </w:r>
            <w:r>
              <w:t>4</w:t>
            </w:r>
            <w:r w:rsidRPr="00C55540">
              <w:t xml:space="preserve"> at </w:t>
            </w:r>
            <w:r>
              <w:t>75</w:t>
            </w:r>
            <w:r w:rsidRPr="00C55540">
              <w:t>% ethanol (mL)</w:t>
            </w:r>
          </w:p>
        </w:tc>
        <w:tc>
          <w:tcPr>
            <w:tcW w:w="1476" w:type="dxa"/>
            <w:tcBorders>
              <w:top w:val="nil"/>
              <w:left w:val="nil"/>
              <w:bottom w:val="single" w:sz="12" w:space="0" w:color="008000"/>
              <w:right w:val="nil"/>
            </w:tcBorders>
            <w:shd w:val="clear" w:color="auto" w:fill="auto"/>
            <w:noWrap/>
            <w:vAlign w:val="center"/>
            <w:hideMark/>
          </w:tcPr>
          <w:p w14:paraId="019EC3C4" w14:textId="77777777" w:rsidR="0044670E" w:rsidRPr="0069677A" w:rsidRDefault="0044670E" w:rsidP="0044670E">
            <w:pPr>
              <w:pStyle w:val="CETBodytext"/>
              <w:jc w:val="center"/>
              <w:rPr>
                <w:lang w:val="en-GB" w:eastAsia="es-PE"/>
              </w:rPr>
            </w:pPr>
            <w:r w:rsidRPr="0069677A">
              <w:rPr>
                <w:lang w:val="en-GB" w:eastAsia="es-PE"/>
              </w:rPr>
              <w:t>15</w:t>
            </w:r>
          </w:p>
        </w:tc>
        <w:tc>
          <w:tcPr>
            <w:tcW w:w="703" w:type="dxa"/>
            <w:tcBorders>
              <w:top w:val="nil"/>
              <w:left w:val="nil"/>
              <w:bottom w:val="single" w:sz="12" w:space="0" w:color="008000"/>
              <w:right w:val="nil"/>
            </w:tcBorders>
            <w:shd w:val="clear" w:color="auto" w:fill="auto"/>
            <w:noWrap/>
            <w:vAlign w:val="center"/>
            <w:hideMark/>
          </w:tcPr>
          <w:p w14:paraId="42C8D9A5" w14:textId="77777777" w:rsidR="0044670E" w:rsidRPr="0069677A" w:rsidRDefault="0044670E" w:rsidP="0044670E">
            <w:pPr>
              <w:pStyle w:val="CETBodytext"/>
              <w:jc w:val="center"/>
              <w:rPr>
                <w:lang w:val="en-GB" w:eastAsia="es-PE"/>
              </w:rPr>
            </w:pPr>
            <w:r w:rsidRPr="0069677A">
              <w:rPr>
                <w:lang w:val="en-GB" w:eastAsia="es-PE"/>
              </w:rPr>
              <w:t>9</w:t>
            </w:r>
          </w:p>
        </w:tc>
        <w:tc>
          <w:tcPr>
            <w:tcW w:w="702" w:type="dxa"/>
            <w:tcBorders>
              <w:top w:val="nil"/>
              <w:left w:val="nil"/>
              <w:bottom w:val="single" w:sz="12" w:space="0" w:color="008000"/>
              <w:right w:val="nil"/>
            </w:tcBorders>
            <w:shd w:val="clear" w:color="auto" w:fill="auto"/>
            <w:noWrap/>
            <w:vAlign w:val="center"/>
            <w:hideMark/>
          </w:tcPr>
          <w:p w14:paraId="2E526590" w14:textId="77777777" w:rsidR="0044670E" w:rsidRPr="0069677A" w:rsidRDefault="0044670E" w:rsidP="0044670E">
            <w:pPr>
              <w:pStyle w:val="CETBodytext"/>
              <w:jc w:val="center"/>
              <w:rPr>
                <w:lang w:val="en-GB" w:eastAsia="es-PE"/>
              </w:rPr>
            </w:pPr>
            <w:r w:rsidRPr="0069677A">
              <w:rPr>
                <w:lang w:val="en-GB" w:eastAsia="es-PE"/>
              </w:rPr>
              <w:t>11</w:t>
            </w:r>
          </w:p>
        </w:tc>
        <w:tc>
          <w:tcPr>
            <w:tcW w:w="845" w:type="dxa"/>
            <w:tcBorders>
              <w:top w:val="nil"/>
              <w:left w:val="nil"/>
              <w:bottom w:val="single" w:sz="12" w:space="0" w:color="008000"/>
              <w:right w:val="nil"/>
            </w:tcBorders>
            <w:shd w:val="clear" w:color="auto" w:fill="auto"/>
            <w:noWrap/>
            <w:vAlign w:val="center"/>
            <w:hideMark/>
          </w:tcPr>
          <w:p w14:paraId="2A0F035B" w14:textId="77777777" w:rsidR="0044670E" w:rsidRPr="0069677A" w:rsidRDefault="0044670E" w:rsidP="0044670E">
            <w:pPr>
              <w:pStyle w:val="CETBodytext"/>
              <w:jc w:val="center"/>
              <w:rPr>
                <w:lang w:val="en-GB" w:eastAsia="es-PE"/>
              </w:rPr>
            </w:pPr>
            <w:r w:rsidRPr="0069677A">
              <w:rPr>
                <w:lang w:val="en-GB" w:eastAsia="es-PE"/>
              </w:rPr>
              <w:t>15</w:t>
            </w:r>
          </w:p>
        </w:tc>
        <w:tc>
          <w:tcPr>
            <w:tcW w:w="844" w:type="dxa"/>
            <w:tcBorders>
              <w:top w:val="nil"/>
              <w:left w:val="nil"/>
              <w:bottom w:val="single" w:sz="12" w:space="0" w:color="008000"/>
              <w:right w:val="nil"/>
            </w:tcBorders>
            <w:shd w:val="clear" w:color="auto" w:fill="auto"/>
            <w:noWrap/>
            <w:vAlign w:val="center"/>
            <w:hideMark/>
          </w:tcPr>
          <w:p w14:paraId="1D007CD2" w14:textId="77777777" w:rsidR="0044670E" w:rsidRPr="0069677A" w:rsidRDefault="0044670E" w:rsidP="0044670E">
            <w:pPr>
              <w:pStyle w:val="CETBodytext"/>
              <w:jc w:val="center"/>
              <w:rPr>
                <w:lang w:val="en-GB" w:eastAsia="es-PE"/>
              </w:rPr>
            </w:pPr>
            <w:r w:rsidRPr="0069677A">
              <w:rPr>
                <w:lang w:val="en-GB" w:eastAsia="es-PE"/>
              </w:rPr>
              <w:t>15</w:t>
            </w:r>
          </w:p>
        </w:tc>
        <w:tc>
          <w:tcPr>
            <w:tcW w:w="851" w:type="dxa"/>
            <w:tcBorders>
              <w:top w:val="nil"/>
              <w:left w:val="nil"/>
              <w:bottom w:val="single" w:sz="12" w:space="0" w:color="008000"/>
              <w:right w:val="nil"/>
            </w:tcBorders>
            <w:shd w:val="clear" w:color="auto" w:fill="auto"/>
            <w:noWrap/>
            <w:vAlign w:val="center"/>
            <w:hideMark/>
          </w:tcPr>
          <w:p w14:paraId="36C1580F" w14:textId="77777777" w:rsidR="0044670E" w:rsidRPr="0069677A" w:rsidRDefault="0044670E" w:rsidP="0044670E">
            <w:pPr>
              <w:pStyle w:val="CETBodytext"/>
              <w:jc w:val="center"/>
              <w:rPr>
                <w:lang w:val="en-GB" w:eastAsia="es-PE"/>
              </w:rPr>
            </w:pPr>
            <w:r w:rsidRPr="0069677A">
              <w:rPr>
                <w:lang w:val="en-GB" w:eastAsia="es-PE"/>
              </w:rPr>
              <w:t>15</w:t>
            </w:r>
          </w:p>
        </w:tc>
      </w:tr>
    </w:tbl>
    <w:p w14:paraId="4D563F4C" w14:textId="77777777" w:rsidR="00FB68C6" w:rsidRPr="0069677A" w:rsidRDefault="00FB68C6" w:rsidP="001C43B2">
      <w:pPr>
        <w:pStyle w:val="CETBodytext"/>
        <w:rPr>
          <w:lang w:val="en-GB"/>
        </w:rPr>
      </w:pPr>
    </w:p>
    <w:p w14:paraId="2D29DD69" w14:textId="5CEE643C" w:rsidR="00433311" w:rsidRDefault="0044670E" w:rsidP="001C43B2">
      <w:pPr>
        <w:pStyle w:val="CETBodytext"/>
        <w:rPr>
          <w:lang w:val="en-GB"/>
        </w:rPr>
      </w:pPr>
      <w:r w:rsidRPr="0044670E">
        <w:rPr>
          <w:lang w:val="en-GB"/>
        </w:rPr>
        <w:t xml:space="preserve">The saponin solution that behaved with good effectiveness as a bioinsecticide was sample M4 (75 % ethanol), since at 120 min it caused the death of 100 % of </w:t>
      </w:r>
      <w:r w:rsidRPr="00E9626D">
        <w:rPr>
          <w:i/>
          <w:iCs/>
          <w:lang w:val="en-GB"/>
        </w:rPr>
        <w:t>Premnotrypes vorax</w:t>
      </w:r>
      <w:r w:rsidRPr="0044670E">
        <w:rPr>
          <w:lang w:val="en-GB"/>
        </w:rPr>
        <w:t xml:space="preserve">, i.e., the saponin hydrolytic solution </w:t>
      </w:r>
      <w:r w:rsidRPr="0044670E">
        <w:rPr>
          <w:lang w:val="en-GB"/>
        </w:rPr>
        <w:lastRenderedPageBreak/>
        <w:t xml:space="preserve">acquired greater insecticidal strength with ethanol. See Figure </w:t>
      </w:r>
      <w:r w:rsidR="00837ABC">
        <w:rPr>
          <w:lang w:val="en-GB"/>
        </w:rPr>
        <w:t>3</w:t>
      </w:r>
      <w:r w:rsidRPr="0044670E">
        <w:rPr>
          <w:lang w:val="en-GB"/>
        </w:rPr>
        <w:t xml:space="preserve">, where the </w:t>
      </w:r>
      <w:proofErr w:type="spellStart"/>
      <w:r w:rsidRPr="0044670E">
        <w:rPr>
          <w:lang w:val="en-GB"/>
        </w:rPr>
        <w:t>behavior</w:t>
      </w:r>
      <w:proofErr w:type="spellEnd"/>
      <w:r w:rsidRPr="0044670E">
        <w:rPr>
          <w:lang w:val="en-GB"/>
        </w:rPr>
        <w:t xml:space="preserve"> of all the saponin-based bioinsecticide samples can be seen.</w:t>
      </w:r>
    </w:p>
    <w:p w14:paraId="73A94941" w14:textId="77777777" w:rsidR="00ED6BC4" w:rsidRDefault="00ED6BC4" w:rsidP="001C43B2">
      <w:pPr>
        <w:pStyle w:val="CETBodytext"/>
        <w:rPr>
          <w:lang w:val="en-GB"/>
        </w:rPr>
      </w:pPr>
    </w:p>
    <w:p w14:paraId="635BBCCC" w14:textId="77777777" w:rsidR="00397793" w:rsidRDefault="00397793" w:rsidP="001C43B2">
      <w:pPr>
        <w:pStyle w:val="CETBodytext"/>
        <w:rPr>
          <w:lang w:val="en-GB"/>
        </w:rPr>
      </w:pPr>
    </w:p>
    <w:p w14:paraId="6DCB2A04" w14:textId="77777777" w:rsidR="00397793" w:rsidRDefault="00397793" w:rsidP="001C43B2">
      <w:pPr>
        <w:pStyle w:val="CETBodytext"/>
        <w:rPr>
          <w:lang w:val="en-GB"/>
        </w:rPr>
      </w:pPr>
    </w:p>
    <w:p w14:paraId="77FCFFB2" w14:textId="2A56A568" w:rsidR="00397793" w:rsidRDefault="002F644F" w:rsidP="001C43B2">
      <w:pPr>
        <w:pStyle w:val="CETBodytext"/>
        <w:rPr>
          <w:lang w:val="en-GB"/>
        </w:rPr>
      </w:pPr>
      <w:r>
        <w:rPr>
          <w:noProof/>
        </w:rPr>
        <w:drawing>
          <wp:inline distT="0" distB="0" distL="0" distR="0" wp14:anchorId="59144066" wp14:editId="48E1F93F">
            <wp:extent cx="5355771" cy="2481943"/>
            <wp:effectExtent l="0" t="0" r="16510" b="13970"/>
            <wp:docPr id="2120346605" name="Gráfico 1">
              <a:extLst xmlns:a="http://schemas.openxmlformats.org/drawingml/2006/main">
                <a:ext uri="{FF2B5EF4-FFF2-40B4-BE49-F238E27FC236}">
                  <a16:creationId xmlns:a16="http://schemas.microsoft.com/office/drawing/2014/main" id="{0ABCDFDF-CCFA-4883-8800-2FA97EB9F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E5B0A0" w14:textId="77777777" w:rsidR="002F644F" w:rsidRDefault="002F644F" w:rsidP="001C43B2">
      <w:pPr>
        <w:pStyle w:val="CETBodytext"/>
        <w:rPr>
          <w:lang w:val="en-GB"/>
        </w:rPr>
      </w:pPr>
    </w:p>
    <w:p w14:paraId="3A37451E" w14:textId="57084C10" w:rsidR="00433311" w:rsidRPr="0069677A" w:rsidRDefault="00433311" w:rsidP="001C43B2">
      <w:pPr>
        <w:pStyle w:val="CETBodytext"/>
        <w:rPr>
          <w:lang w:val="en-GB"/>
        </w:rPr>
      </w:pPr>
      <w:r w:rsidRPr="0069677A">
        <w:rPr>
          <w:rStyle w:val="CETCaptionCarattere"/>
        </w:rPr>
        <w:t xml:space="preserve">Figure </w:t>
      </w:r>
      <w:r w:rsidR="00837ABC">
        <w:rPr>
          <w:rStyle w:val="CETCaptionCarattere"/>
        </w:rPr>
        <w:t>3</w:t>
      </w:r>
      <w:r w:rsidR="00ED6BC4">
        <w:rPr>
          <w:rStyle w:val="CETCaptionCarattere"/>
        </w:rPr>
        <w:t xml:space="preserve">: </w:t>
      </w:r>
      <w:r w:rsidR="0044670E" w:rsidRPr="0044670E">
        <w:rPr>
          <w:rStyle w:val="CETCaptionCarattere"/>
        </w:rPr>
        <w:t>Percentage mortality of Premnotrypes vorax with saponin bioinsecticide</w:t>
      </w:r>
      <w:r w:rsidRPr="0069677A">
        <w:rPr>
          <w:rStyle w:val="CETCaptionCarattere"/>
        </w:rPr>
        <w:t>.</w:t>
      </w:r>
    </w:p>
    <w:p w14:paraId="4547C5EC" w14:textId="77777777" w:rsidR="005E31F5" w:rsidRPr="0069677A" w:rsidRDefault="005E31F5" w:rsidP="005E31F5">
      <w:pPr>
        <w:pStyle w:val="CETBodytext"/>
        <w:rPr>
          <w:lang w:val="en-GB"/>
        </w:rPr>
      </w:pPr>
    </w:p>
    <w:p w14:paraId="2BBC4466" w14:textId="2023CC51" w:rsidR="0061537D" w:rsidRDefault="0044670E" w:rsidP="0061537D">
      <w:pPr>
        <w:pStyle w:val="CETBodytext"/>
        <w:rPr>
          <w:lang w:val="en-GB"/>
        </w:rPr>
      </w:pPr>
      <w:r w:rsidRPr="0044670E">
        <w:rPr>
          <w:lang w:val="en-GB"/>
        </w:rPr>
        <w:t xml:space="preserve">These results ratify the potential insecticidal application of saponins that act by interfering with the biological cycle of insects with lethal effect, altering their growth, development and reproduction, due to the fact that juvenile hormones of these insects have a </w:t>
      </w:r>
      <w:r w:rsidR="00ED6BC4" w:rsidRPr="0044670E">
        <w:rPr>
          <w:lang w:val="en-GB"/>
        </w:rPr>
        <w:t>terpenoids</w:t>
      </w:r>
      <w:r w:rsidRPr="0044670E">
        <w:rPr>
          <w:lang w:val="en-GB"/>
        </w:rPr>
        <w:t xml:space="preserve"> structure similar to the saponins of quinoa, so these compounds could act as growth regulators, for example Bonil</w:t>
      </w:r>
      <w:r w:rsidR="00B06FD8">
        <w:rPr>
          <w:lang w:val="en-GB"/>
        </w:rPr>
        <w:t>l</w:t>
      </w:r>
      <w:r w:rsidRPr="0044670E">
        <w:rPr>
          <w:lang w:val="en-GB"/>
        </w:rPr>
        <w:t>a et al</w:t>
      </w:r>
      <w:r w:rsidR="00ED6BC4">
        <w:rPr>
          <w:lang w:val="en-GB"/>
        </w:rPr>
        <w:t>.</w:t>
      </w:r>
      <w:r w:rsidRPr="0044670E">
        <w:rPr>
          <w:lang w:val="en-GB"/>
        </w:rPr>
        <w:t xml:space="preserve">, (2019), evaluated the saponin extract in control of </w:t>
      </w:r>
      <w:r w:rsidRPr="00E9626D">
        <w:rPr>
          <w:i/>
          <w:iCs/>
          <w:lang w:val="en-GB"/>
        </w:rPr>
        <w:t>Drosophil melanogaster</w:t>
      </w:r>
      <w:r w:rsidRPr="0044670E">
        <w:rPr>
          <w:lang w:val="en-GB"/>
        </w:rPr>
        <w:t xml:space="preserve"> at concentrations of 0.1, 0.4, 0.7 and 0.9 % obtaining up to 40 % lethality with the highest concentration (Bonilla et al., 2019). The insecticidal activity of hydrolyzed and non-hydrolyzed saponins is also effective on </w:t>
      </w:r>
      <w:r w:rsidRPr="00E9626D">
        <w:rPr>
          <w:i/>
          <w:iCs/>
          <w:lang w:val="en-GB"/>
        </w:rPr>
        <w:t>Drosophila melanogaster</w:t>
      </w:r>
      <w:r w:rsidRPr="0044670E">
        <w:rPr>
          <w:lang w:val="en-GB"/>
        </w:rPr>
        <w:t xml:space="preserve"> which after 25 days of treatment obtained an LD50 of 0.08 % for hydrolyzed saponins and 0.58 % with non-hydrolyzed saponins (Bonifaz, 2010). Also, saponin serves as control in pest of corn caterpillars (</w:t>
      </w:r>
      <w:r w:rsidRPr="00E9626D">
        <w:rPr>
          <w:i/>
          <w:iCs/>
          <w:lang w:val="en-GB"/>
        </w:rPr>
        <w:t>Spodoptera frugiperda</w:t>
      </w:r>
      <w:r w:rsidRPr="0044670E">
        <w:rPr>
          <w:lang w:val="en-GB"/>
        </w:rPr>
        <w:t xml:space="preserve">) research obtained 83 % mortality (Garófalo, K. 2018), it can also be used in the control of </w:t>
      </w:r>
      <w:r w:rsidRPr="00E9626D">
        <w:rPr>
          <w:i/>
          <w:iCs/>
          <w:lang w:val="en-GB"/>
        </w:rPr>
        <w:t>Fusarium</w:t>
      </w:r>
      <w:r w:rsidRPr="0044670E">
        <w:rPr>
          <w:lang w:val="en-GB"/>
        </w:rPr>
        <w:t xml:space="preserve"> wilt of tomato when seeds and seedlings are treated with 0.5 and 1.0 % saponin solution (Zhou, et al., 2023).</w:t>
      </w:r>
    </w:p>
    <w:p w14:paraId="18E86197" w14:textId="2FBC0027" w:rsidR="00D16D2D" w:rsidRDefault="00D16D2D" w:rsidP="0061537D">
      <w:pPr>
        <w:pStyle w:val="CETBodytext"/>
        <w:rPr>
          <w:lang w:val="en-GB"/>
        </w:rPr>
      </w:pPr>
      <w:r w:rsidRPr="00D16D2D">
        <w:rPr>
          <w:lang w:val="en-GB"/>
        </w:rPr>
        <w:t xml:space="preserve">The saponin in alfalfa and quinoa plants has been used as an ecological insecticide due to its effectiveness against insects and mites, as demonstrated by studies where these plants are protected from predation; Furthermore, saponins from </w:t>
      </w:r>
      <w:r w:rsidRPr="00304E6F">
        <w:rPr>
          <w:i/>
          <w:iCs/>
          <w:lang w:val="en-GB"/>
        </w:rPr>
        <w:t>Medicago sativa</w:t>
      </w:r>
      <w:r w:rsidRPr="00D16D2D">
        <w:rPr>
          <w:lang w:val="en-GB"/>
        </w:rPr>
        <w:t xml:space="preserve"> (alfalfa) have been observed to inhibit the growth of beetle larvae and have toxic effects on various species, such as </w:t>
      </w:r>
      <w:r w:rsidRPr="00B06FD8">
        <w:rPr>
          <w:i/>
          <w:iCs/>
          <w:lang w:val="en-GB"/>
        </w:rPr>
        <w:t>Lobe-</w:t>
      </w:r>
      <w:proofErr w:type="spellStart"/>
      <w:r w:rsidRPr="00B06FD8">
        <w:rPr>
          <w:i/>
          <w:iCs/>
          <w:lang w:val="en-GB"/>
        </w:rPr>
        <w:t>sia</w:t>
      </w:r>
      <w:proofErr w:type="spellEnd"/>
      <w:r w:rsidRPr="00B06FD8">
        <w:rPr>
          <w:i/>
          <w:iCs/>
          <w:lang w:val="en-GB"/>
        </w:rPr>
        <w:t xml:space="preserve"> </w:t>
      </w:r>
      <w:proofErr w:type="spellStart"/>
      <w:r w:rsidRPr="00B06FD8">
        <w:rPr>
          <w:i/>
          <w:iCs/>
          <w:lang w:val="en-GB"/>
        </w:rPr>
        <w:t>botrana</w:t>
      </w:r>
      <w:proofErr w:type="spellEnd"/>
      <w:r w:rsidRPr="00D16D2D">
        <w:rPr>
          <w:lang w:val="en-GB"/>
        </w:rPr>
        <w:t xml:space="preserve"> and </w:t>
      </w:r>
      <w:proofErr w:type="spellStart"/>
      <w:r w:rsidRPr="00B06FD8">
        <w:rPr>
          <w:i/>
          <w:iCs/>
          <w:lang w:val="en-GB"/>
        </w:rPr>
        <w:t>Tetranychus</w:t>
      </w:r>
      <w:proofErr w:type="spellEnd"/>
      <w:r w:rsidRPr="00B06FD8">
        <w:rPr>
          <w:i/>
          <w:iCs/>
          <w:lang w:val="en-GB"/>
        </w:rPr>
        <w:t xml:space="preserve"> urticae</w:t>
      </w:r>
      <w:r w:rsidRPr="00D16D2D">
        <w:rPr>
          <w:lang w:val="en-GB"/>
        </w:rPr>
        <w:t>. Saponins have also shown lethal effects on brine shrimp and phytopathogenic fungi. In summary, saponin stands out as a botanical pesticide with potential in integrated pest management in organic agriculture and that can be scaled to industrial use with a circular economy approach by using waste (husk) as a source when processing grains. of quinoa</w:t>
      </w:r>
      <w:r w:rsidR="00BE782A">
        <w:rPr>
          <w:lang w:val="en-GB"/>
        </w:rPr>
        <w:t xml:space="preserve"> </w:t>
      </w:r>
      <w:r w:rsidR="00BE782A" w:rsidRPr="00BE782A">
        <w:rPr>
          <w:lang w:val="en-GB"/>
        </w:rPr>
        <w:t>(Huaman, et al., 2022)</w:t>
      </w:r>
      <w:r w:rsidR="00BE782A">
        <w:rPr>
          <w:lang w:val="en-GB"/>
        </w:rPr>
        <w:t>.</w:t>
      </w:r>
    </w:p>
    <w:p w14:paraId="331DF86C" w14:textId="61F3750F" w:rsidR="00317CD5" w:rsidRPr="0069677A" w:rsidRDefault="00317CD5" w:rsidP="0061537D">
      <w:pPr>
        <w:pStyle w:val="CETBodytext"/>
        <w:rPr>
          <w:lang w:val="en-GB"/>
        </w:rPr>
      </w:pPr>
      <w:r w:rsidRPr="00317CD5">
        <w:rPr>
          <w:lang w:val="en-GB"/>
        </w:rPr>
        <w:t>In the research presented, the use of the saponin solution reinforced with ethanol should be observed with some caution, due to the probable damage to the skin by the alcoholic solution; However, these effects are considered insignificant and there is a greater danger to health when ingested (Wolf, 1999). On the contrary, studies have shown that ethanol protects plants from drought and heat (Khurram, et al., 2022)</w:t>
      </w:r>
    </w:p>
    <w:p w14:paraId="5BECA64C" w14:textId="3C3174F5" w:rsidR="001C43B2" w:rsidRPr="0069677A" w:rsidRDefault="00433311" w:rsidP="00B13C07">
      <w:pPr>
        <w:pStyle w:val="CETHeading1"/>
        <w:tabs>
          <w:tab w:val="clear" w:pos="360"/>
          <w:tab w:val="right" w:pos="7100"/>
        </w:tabs>
        <w:jc w:val="both"/>
        <w:rPr>
          <w:lang w:val="en-GB"/>
        </w:rPr>
      </w:pPr>
      <w:r w:rsidRPr="0069677A">
        <w:rPr>
          <w:lang w:val="en-GB"/>
        </w:rPr>
        <w:t>Conclusion</w:t>
      </w:r>
    </w:p>
    <w:p w14:paraId="696F57F7" w14:textId="5204F5F5" w:rsidR="007073E2" w:rsidRPr="0069677A" w:rsidRDefault="00E15D87" w:rsidP="00433311">
      <w:pPr>
        <w:pStyle w:val="CETBodytext"/>
        <w:rPr>
          <w:lang w:val="en-GB"/>
        </w:rPr>
      </w:pPr>
      <w:r>
        <w:rPr>
          <w:lang w:val="en-GB"/>
        </w:rPr>
        <w:t>I</w:t>
      </w:r>
      <w:r w:rsidR="00957A8B" w:rsidRPr="00957A8B">
        <w:rPr>
          <w:lang w:val="en-GB"/>
        </w:rPr>
        <w:t xml:space="preserve">t was determined that the saponin extracted from the residual biomass of </w:t>
      </w:r>
      <w:r w:rsidR="00957A8B" w:rsidRPr="00957A8B">
        <w:rPr>
          <w:i/>
          <w:iCs/>
          <w:lang w:val="en-GB"/>
        </w:rPr>
        <w:t>Chenopodium quinoa</w:t>
      </w:r>
      <w:r w:rsidR="00957A8B" w:rsidRPr="00957A8B">
        <w:rPr>
          <w:lang w:val="en-GB"/>
        </w:rPr>
        <w:t xml:space="preserve"> behaved as a bioinsecticide that can be used to combat the </w:t>
      </w:r>
      <w:r w:rsidR="00957A8B" w:rsidRPr="00957A8B">
        <w:rPr>
          <w:i/>
          <w:iCs/>
          <w:lang w:val="en-GB"/>
        </w:rPr>
        <w:t>Premnotrypes vorax</w:t>
      </w:r>
      <w:r w:rsidR="00957A8B" w:rsidRPr="00957A8B">
        <w:rPr>
          <w:lang w:val="en-GB"/>
        </w:rPr>
        <w:t xml:space="preserve"> worm pest that attacks potatoes, finding an efficiency of 100% when applied for 120 minutes as a solution of saponin with ethanol at 75% by volume; Therefore, the saponin that is discarded as residue in the peel and washing of </w:t>
      </w:r>
      <w:r w:rsidR="00957A8B" w:rsidRPr="00957A8B">
        <w:rPr>
          <w:i/>
          <w:iCs/>
          <w:lang w:val="en-GB"/>
        </w:rPr>
        <w:t>Chenopodium quinoa</w:t>
      </w:r>
      <w:r w:rsidR="00957A8B" w:rsidRPr="00957A8B">
        <w:rPr>
          <w:lang w:val="en-GB"/>
        </w:rPr>
        <w:t xml:space="preserve"> can be incorporated into the life cycle of the product, being used to control insect pests, larvae, and others, with the advantage of being a natural product, biodegradable that can replace highly dangerous insecticidal chemicals with a negative impact on the environment</w:t>
      </w:r>
      <w:r w:rsidR="0044670E" w:rsidRPr="0044670E">
        <w:rPr>
          <w:lang w:val="en-GB"/>
        </w:rPr>
        <w:t>.</w:t>
      </w:r>
    </w:p>
    <w:p w14:paraId="4BD5D73D" w14:textId="77777777" w:rsidR="00C82D92" w:rsidRPr="0069677A" w:rsidRDefault="00C82D92" w:rsidP="00C82D92">
      <w:pPr>
        <w:pStyle w:val="CETAcknowledgementstitle"/>
      </w:pPr>
      <w:r w:rsidRPr="0069677A">
        <w:lastRenderedPageBreak/>
        <w:t>Acknowledgments</w:t>
      </w:r>
    </w:p>
    <w:p w14:paraId="65AF200A" w14:textId="784D712F" w:rsidR="00C82D92" w:rsidRPr="0069677A" w:rsidRDefault="0044670E" w:rsidP="00C82D92">
      <w:pPr>
        <w:pStyle w:val="CETBodytext"/>
        <w:rPr>
          <w:lang w:val="en-GB"/>
        </w:rPr>
      </w:pPr>
      <w:r w:rsidRPr="0044670E">
        <w:rPr>
          <w:lang w:val="en-GB"/>
        </w:rPr>
        <w:t>The authors and the GITA Group would like to thank the Vice-Rectorate of Research of the Universidad César Vallejo for the financial support for the dissemination and publication of this scientific work.</w:t>
      </w:r>
    </w:p>
    <w:p w14:paraId="0A6D1A85" w14:textId="77777777" w:rsidR="00C82D92" w:rsidRPr="0069677A" w:rsidRDefault="00C82D92" w:rsidP="00C82D92">
      <w:pPr>
        <w:pStyle w:val="CETReference"/>
      </w:pPr>
      <w:r w:rsidRPr="0069677A">
        <w:t>References</w:t>
      </w:r>
    </w:p>
    <w:p w14:paraId="55F961AD" w14:textId="77777777" w:rsidR="00B06FD8" w:rsidRDefault="00B06FD8" w:rsidP="00B06FD8">
      <w:pPr>
        <w:pStyle w:val="CETReferencetext"/>
      </w:pPr>
      <w:r>
        <w:t>Akhtar M., and Akhtar M. A., 2022, Recent advances in the development of ecological insecticides, Journal of Entomological Research, 46(2), 119-129.</w:t>
      </w:r>
    </w:p>
    <w:p w14:paraId="5B251B5D" w14:textId="77777777" w:rsidR="00B06FD8" w:rsidRDefault="00B06FD8" w:rsidP="00B06FD8">
      <w:pPr>
        <w:pStyle w:val="CETReferencetext"/>
      </w:pPr>
      <w:r>
        <w:t xml:space="preserve">Benites-Alfaro E., Silva </w:t>
      </w:r>
      <w:proofErr w:type="spellStart"/>
      <w:r>
        <w:t>Carhuatocto</w:t>
      </w:r>
      <w:proofErr w:type="spellEnd"/>
      <w:r>
        <w:t xml:space="preserve"> L.M., </w:t>
      </w:r>
      <w:proofErr w:type="spellStart"/>
      <w:r>
        <w:t>Guanilo</w:t>
      </w:r>
      <w:proofErr w:type="spellEnd"/>
      <w:r>
        <w:t xml:space="preserve"> Inigo A.P., Jave </w:t>
      </w:r>
      <w:proofErr w:type="spellStart"/>
      <w:r>
        <w:t>Nakayo</w:t>
      </w:r>
      <w:proofErr w:type="spellEnd"/>
      <w:r>
        <w:t xml:space="preserve"> J., Castaneda-Olivera C.A., Lizarzaburu Aguinaga D.A., Cabrera Carranza C.F., 2023, Pleurotus Ostreatus and </w:t>
      </w:r>
      <w:proofErr w:type="spellStart"/>
      <w:r w:rsidRPr="00B06FD8">
        <w:rPr>
          <w:i/>
          <w:iCs/>
        </w:rPr>
        <w:t>Trametes</w:t>
      </w:r>
      <w:proofErr w:type="spellEnd"/>
      <w:r w:rsidRPr="00B06FD8">
        <w:rPr>
          <w:i/>
          <w:iCs/>
        </w:rPr>
        <w:t xml:space="preserve"> Versicolor</w:t>
      </w:r>
      <w:r>
        <w:t xml:space="preserve"> Fungi to Decontaminate Soils Containing Organophosphates </w:t>
      </w:r>
      <w:r w:rsidRPr="00B06FD8">
        <w:rPr>
          <w:i/>
          <w:iCs/>
        </w:rPr>
        <w:t>Methamidophos</w:t>
      </w:r>
      <w:r>
        <w:t xml:space="preserve"> and Cadmium, Chemical Engineering Transactions, 100, 97-102.</w:t>
      </w:r>
    </w:p>
    <w:p w14:paraId="39979FBE" w14:textId="77777777" w:rsidR="00B06FD8" w:rsidRDefault="00B06FD8" w:rsidP="00B06FD8">
      <w:pPr>
        <w:pStyle w:val="CETReferencetext"/>
      </w:pPr>
      <w:r>
        <w:t xml:space="preserve">Bonifaz L. E., 2010, Determination of the Insecticidal Activity of Hydrolyzed and Non-Hydrolyzed Saponin from Quinoa (Chenopodium quinoa) on Drosophila melanogaster, [in Spanish], Escuela Superior </w:t>
      </w:r>
      <w:proofErr w:type="spellStart"/>
      <w:r>
        <w:t>Politécnica</w:t>
      </w:r>
      <w:proofErr w:type="spellEnd"/>
      <w:r>
        <w:t xml:space="preserve"> de Chimborazo, Riobamba, &lt;dspace.espoch.edu.ec/handle/123456789/390&gt;.</w:t>
      </w:r>
    </w:p>
    <w:p w14:paraId="08D81784" w14:textId="77777777" w:rsidR="00B06FD8" w:rsidRDefault="00B06FD8" w:rsidP="00B06FD8">
      <w:pPr>
        <w:pStyle w:val="CETReferencetext"/>
      </w:pPr>
      <w:r>
        <w:t>Bonilla H., Carbajal Y., Gonzales M., Vásquez V., and López A., 2019, Determination of the insecticidal activity of saponin from quinoa (Chenopodium quinoa) in Drosophila melanogaster larvae, [in Spanish], Scientia Agropecuaria, 10(1), 39-45, &lt;dx.doi.org/10.17268/sci.agropecu.2019.01.04&gt;.</w:t>
      </w:r>
    </w:p>
    <w:p w14:paraId="650ACE1C" w14:textId="77777777" w:rsidR="00B06FD8" w:rsidRDefault="00B06FD8" w:rsidP="00B06FD8">
      <w:pPr>
        <w:pStyle w:val="CETReferencetext"/>
      </w:pPr>
      <w:r>
        <w:t>Dwivedi S., and Singh B., 2021, Ecological insecticides: a promising approach for sustainable pest management, Pest Management Science, 77(10), 2342-2353.</w:t>
      </w:r>
    </w:p>
    <w:p w14:paraId="6A91F9FC" w14:textId="77777777" w:rsidR="00B06FD8" w:rsidRDefault="00B06FD8" w:rsidP="00B06FD8">
      <w:pPr>
        <w:pStyle w:val="CETReferencetext"/>
      </w:pPr>
      <w:r>
        <w:t>Garófalo K., 2018, Effect of the organic pesticide based on saponin from washing quinoa (Chenopodium quinoa) on the growth of corn caterpillars (</w:t>
      </w:r>
      <w:proofErr w:type="spellStart"/>
      <w:r>
        <w:t>Zea</w:t>
      </w:r>
      <w:proofErr w:type="spellEnd"/>
      <w:r>
        <w:t xml:space="preserve"> mays), [in Spanish], Title thesis, Faculty of Engineering, Universidad Nacional de Chimborazo. Ecuador.</w:t>
      </w:r>
    </w:p>
    <w:p w14:paraId="7D303560" w14:textId="77777777" w:rsidR="00B06FD8" w:rsidRDefault="00B06FD8" w:rsidP="00B06FD8">
      <w:pPr>
        <w:pStyle w:val="CETReferencetext"/>
      </w:pPr>
      <w:r>
        <w:t>Gupta S., Dubey S., 2023, Biopesticides for pest management: a review, Journal of Pest Science, 96(1), 1-12.</w:t>
      </w:r>
    </w:p>
    <w:p w14:paraId="3D7C953E" w14:textId="1AC2F4B9" w:rsidR="00B06FD8" w:rsidRDefault="00B06FD8" w:rsidP="00B06FD8">
      <w:pPr>
        <w:pStyle w:val="CETReferencetext"/>
      </w:pPr>
      <w:r>
        <w:t xml:space="preserve">Huamán-Huamán, J. C., Vilcapoma-Guillén M. A., </w:t>
      </w:r>
      <w:proofErr w:type="spellStart"/>
      <w:r>
        <w:t>Ccopa</w:t>
      </w:r>
      <w:proofErr w:type="spellEnd"/>
      <w:r>
        <w:t xml:space="preserve">-Cusi L. M., Mamani-Apaza, F. D., and Mamani-Huamán P. A., 2022, </w:t>
      </w:r>
      <w:r w:rsidRPr="00B06FD8">
        <w:t>Saponins from quinoa (Chenopodium quinoa Willd.) as biopesticides: Potential and applications</w:t>
      </w:r>
      <w:r>
        <w:t>, [in Spanish],</w:t>
      </w:r>
      <w:r w:rsidRPr="00B06FD8">
        <w:t xml:space="preserve"> Scientia Agropecuaria, 13(3), 501-512</w:t>
      </w:r>
      <w:r>
        <w:t>.</w:t>
      </w:r>
    </w:p>
    <w:p w14:paraId="6F763E9E" w14:textId="77777777" w:rsidR="00B06FD8" w:rsidRDefault="00B06FD8" w:rsidP="00B06FD8">
      <w:pPr>
        <w:pStyle w:val="CETReferencetext"/>
      </w:pPr>
      <w:r>
        <w:t xml:space="preserve">Khurram Bashir, Daisuke </w:t>
      </w:r>
      <w:proofErr w:type="spellStart"/>
      <w:r>
        <w:t>Todaka</w:t>
      </w:r>
      <w:proofErr w:type="spellEnd"/>
      <w:r>
        <w:t xml:space="preserve">, Sultana Rasheed, Akihiro Matsui, Zarnab Ahmad, Kaori Sako, Yoshinori Utsumi, Anh Thu Vu, Maho Tanaka, Satoshi Takahashi, Junko Ishida, Yuuri Tsuboi, Shunsuke Watanabe, Yuri Kanno, Eigo Ando, Kwang-Chul Shin, Makoto Seito, Hinata </w:t>
      </w:r>
      <w:proofErr w:type="spellStart"/>
      <w:r>
        <w:t>Motegi</w:t>
      </w:r>
      <w:proofErr w:type="spellEnd"/>
      <w:r>
        <w:t xml:space="preserve">, Muneo Sato, Rui Li, Saya Kikuchi, Miki Fujita, Miyako Kusano, Makoto Kobayashi, Yoshiki Habu, Atsushi J Nagano, Kanako </w:t>
      </w:r>
      <w:proofErr w:type="spellStart"/>
      <w:r>
        <w:t>Kawaura</w:t>
      </w:r>
      <w:proofErr w:type="spellEnd"/>
      <w:r>
        <w:t xml:space="preserve">, Jun Kikuchi, Kazuki Saito, Masami Yokota Hirai, </w:t>
      </w:r>
      <w:proofErr w:type="spellStart"/>
      <w:r>
        <w:t>Mitsunori</w:t>
      </w:r>
      <w:proofErr w:type="spellEnd"/>
      <w:r>
        <w:t xml:space="preserve"> Seo, Kazuo Shinozaki, </w:t>
      </w:r>
      <w:proofErr w:type="spellStart"/>
      <w:r>
        <w:t>Toshinori</w:t>
      </w:r>
      <w:proofErr w:type="spellEnd"/>
      <w:r>
        <w:t xml:space="preserve"> Kinoshita, Motoaki Seki, 2022, Ethanol-Mediated Novel Survival Strategy against Drought Stress in Plants, Plant and Cell Physiology, Volume 63, Issue 9, September 2022, Pages 1181–1192, &lt;doi.org/10.1093/</w:t>
      </w:r>
      <w:proofErr w:type="spellStart"/>
      <w:r>
        <w:t>pcp</w:t>
      </w:r>
      <w:proofErr w:type="spellEnd"/>
      <w:r>
        <w:t>/pcac114&gt;.</w:t>
      </w:r>
    </w:p>
    <w:p w14:paraId="264D1E19" w14:textId="77777777" w:rsidR="00B06FD8" w:rsidRDefault="00B06FD8" w:rsidP="00B06FD8">
      <w:pPr>
        <w:pStyle w:val="CETReferencetext"/>
      </w:pPr>
      <w:r>
        <w:t xml:space="preserve">Letchumanan K., Abdullah N.H., </w:t>
      </w:r>
      <w:proofErr w:type="spellStart"/>
      <w:r>
        <w:t>Pisar</w:t>
      </w:r>
      <w:proofErr w:type="spellEnd"/>
      <w:r>
        <w:t xml:space="preserve"> M.M., Ismail H.M., Kadir R., Abdul-Aziz A., 2023, Application of Response Surface Methodology for the Optimization of the Extraction of Triterpenoid Saponins from </w:t>
      </w:r>
      <w:proofErr w:type="spellStart"/>
      <w:r>
        <w:t>Azadirachta</w:t>
      </w:r>
      <w:proofErr w:type="spellEnd"/>
      <w:r>
        <w:t xml:space="preserve"> </w:t>
      </w:r>
      <w:proofErr w:type="spellStart"/>
      <w:r>
        <w:t>excelsa</w:t>
      </w:r>
      <w:proofErr w:type="spellEnd"/>
      <w:r>
        <w:t xml:space="preserve"> Leaves, Chemical Engineering Transactions, 106, 1159-1164.</w:t>
      </w:r>
    </w:p>
    <w:p w14:paraId="778871BB" w14:textId="77777777" w:rsidR="00B06FD8" w:rsidRDefault="00B06FD8" w:rsidP="00B06FD8">
      <w:pPr>
        <w:pStyle w:val="CETReferencetext"/>
      </w:pPr>
      <w:r>
        <w:t xml:space="preserve">López-Ruiz J., Martínez-Sánchez J., &amp; García-Ruiz A., 2023, Organic insecticides: a review of the latest trends, [in Spanish], </w:t>
      </w:r>
      <w:proofErr w:type="spellStart"/>
      <w:r>
        <w:t>Revista</w:t>
      </w:r>
      <w:proofErr w:type="spellEnd"/>
      <w:r>
        <w:t xml:space="preserve"> Española de </w:t>
      </w:r>
      <w:proofErr w:type="spellStart"/>
      <w:r>
        <w:t>Fitopatología</w:t>
      </w:r>
      <w:proofErr w:type="spellEnd"/>
      <w:r>
        <w:t>, 49(2), 135-154.</w:t>
      </w:r>
    </w:p>
    <w:p w14:paraId="48800C2B" w14:textId="77777777" w:rsidR="00B06FD8" w:rsidRDefault="00B06FD8" w:rsidP="00B06FD8">
      <w:pPr>
        <w:pStyle w:val="CETReferencetext"/>
      </w:pPr>
      <w:r>
        <w:t>McCartney N., Ahumada M.I., Muñoz M., Rosales I.M., Fierro A. and Chorbadjian R.A., 2019, Effects of saponin-rich quinoa (Chenopodium quinoa Willd.) bran and bran extract in diets of adapted and non-adapted quinoa pests in laboratory bioassays</w:t>
      </w:r>
      <w:proofErr w:type="gramStart"/>
      <w:r>
        <w:t>, .</w:t>
      </w:r>
      <w:proofErr w:type="gramEnd"/>
      <w:r>
        <w:t xml:space="preserve"> </w:t>
      </w:r>
      <w:proofErr w:type="spellStart"/>
      <w:r>
        <w:t>Cien</w:t>
      </w:r>
      <w:proofErr w:type="spellEnd"/>
      <w:r>
        <w:t xml:space="preserve">. Inv., </w:t>
      </w:r>
      <w:proofErr w:type="spellStart"/>
      <w:r>
        <w:t>Agr</w:t>
      </w:r>
      <w:proofErr w:type="spellEnd"/>
      <w:r>
        <w:t>. 46(2): 125-136, DOI: 10.7764/rcia.v45i2.2159.</w:t>
      </w:r>
    </w:p>
    <w:p w14:paraId="735FA390" w14:textId="032489EF" w:rsidR="00B06FD8" w:rsidRDefault="00B06FD8" w:rsidP="00B06FD8">
      <w:pPr>
        <w:pStyle w:val="CETReferencetext"/>
      </w:pPr>
      <w:r>
        <w:t xml:space="preserve">Nuñez V., 2017, The organic pesticide from quinoa washing residues (Chenopodium quinoa) </w:t>
      </w:r>
      <w:r w:rsidRPr="00B06FD8">
        <w:t>Saponins from quinoa (Chenopodium quinoa Willd.) as biopesticides: Potential and applications</w:t>
      </w:r>
      <w:r>
        <w:t>, Master's Thesis, Technical University of Ambato, [in Spanish],</w:t>
      </w:r>
      <w:r w:rsidRPr="00B06FD8">
        <w:t xml:space="preserve"> Scientia </w:t>
      </w:r>
      <w:proofErr w:type="spellStart"/>
      <w:r w:rsidRPr="00B06FD8">
        <w:t>Agropecuaria</w:t>
      </w:r>
      <w:proofErr w:type="spellEnd"/>
      <w:r w:rsidRPr="00B06FD8">
        <w:t>, 13(3), 501-512.</w:t>
      </w:r>
    </w:p>
    <w:p w14:paraId="3712B244" w14:textId="7C457713" w:rsidR="00B06FD8" w:rsidRDefault="00B06FD8" w:rsidP="00B06FD8">
      <w:pPr>
        <w:pStyle w:val="CETReferencetext"/>
      </w:pPr>
      <w:r>
        <w:t>Rodríguez M., Sánchez M., García M., 2022, Evaluation of the effectiveness of ecological insecticides in the control of pests in horticultural crops, [in Spanish], Iberoamericana de Ciencias Journal, 7(2), 1-13.</w:t>
      </w:r>
    </w:p>
    <w:p w14:paraId="634DA45B" w14:textId="000CB912" w:rsidR="00B06FD8" w:rsidRDefault="00B06FD8" w:rsidP="00B06FD8">
      <w:pPr>
        <w:pStyle w:val="CETReferencetext"/>
      </w:pPr>
      <w:proofErr w:type="spellStart"/>
      <w:r>
        <w:t>Timilsena</w:t>
      </w:r>
      <w:proofErr w:type="spellEnd"/>
      <w:r>
        <w:t xml:space="preserve"> Y.P., </w:t>
      </w:r>
      <w:proofErr w:type="spellStart"/>
      <w:r>
        <w:t>Phosanam</w:t>
      </w:r>
      <w:proofErr w:type="spellEnd"/>
      <w:r>
        <w:t xml:space="preserve"> A., Stockmann R., 2023, Perspectives on Saponins: Food Functionality and Applications, Int. J. Mol. Sci., 24, 13538, </w:t>
      </w:r>
      <w:proofErr w:type="spellStart"/>
      <w:r>
        <w:t>doi</w:t>
      </w:r>
      <w:proofErr w:type="spellEnd"/>
      <w:r>
        <w:t>: 10.20944/preprints</w:t>
      </w:r>
      <w:r w:rsidR="000923BE">
        <w:t>202308. 0413.v</w:t>
      </w:r>
      <w:r>
        <w:t xml:space="preserve">1. </w:t>
      </w:r>
    </w:p>
    <w:p w14:paraId="34A7261A" w14:textId="77777777" w:rsidR="00B06FD8" w:rsidRDefault="00B06FD8" w:rsidP="00B06FD8">
      <w:pPr>
        <w:pStyle w:val="CETReferencetext"/>
      </w:pPr>
      <w:r>
        <w:t xml:space="preserve">To D.V.T., Vu D., 2022, </w:t>
      </w:r>
      <w:proofErr w:type="spellStart"/>
      <w:r>
        <w:t>Codonopsis</w:t>
      </w:r>
      <w:proofErr w:type="spellEnd"/>
      <w:r>
        <w:t xml:space="preserve"> </w:t>
      </w:r>
      <w:proofErr w:type="spellStart"/>
      <w:r>
        <w:t>javanica</w:t>
      </w:r>
      <w:proofErr w:type="spellEnd"/>
      <w:r>
        <w:t xml:space="preserve"> Root Extraction with Enzyme Support, Chemical Engineering Transactions, 97, 553-558, &lt; doi.org/10.3303/CET2297093&gt;.</w:t>
      </w:r>
    </w:p>
    <w:p w14:paraId="0B6D94A1" w14:textId="77777777" w:rsidR="00B06FD8" w:rsidRDefault="00B06FD8" w:rsidP="00B06FD8">
      <w:pPr>
        <w:pStyle w:val="CETReferencetext"/>
      </w:pPr>
      <w:r>
        <w:t xml:space="preserve">Vázquez-Carmona J., García-Ruiz A., and López-Ruiz J., 2021, Organic insecticides based on plant extracts: a review, [in Spanish], </w:t>
      </w:r>
      <w:proofErr w:type="spellStart"/>
      <w:r>
        <w:t>Revista</w:t>
      </w:r>
      <w:proofErr w:type="spellEnd"/>
      <w:r>
        <w:t xml:space="preserve"> Mexicana de </w:t>
      </w:r>
      <w:proofErr w:type="spellStart"/>
      <w:r>
        <w:t>Fitopatología</w:t>
      </w:r>
      <w:proofErr w:type="spellEnd"/>
      <w:r>
        <w:t>, 39(1), 1-19.</w:t>
      </w:r>
    </w:p>
    <w:p w14:paraId="05EBAE85" w14:textId="77777777" w:rsidR="00B06FD8" w:rsidRDefault="00B06FD8" w:rsidP="00B06FD8">
      <w:pPr>
        <w:pStyle w:val="CETReferencetext"/>
      </w:pPr>
      <w:r>
        <w:t>Wolf R. Alcohol and the skin. Clin Dermatol. 1999 Jul-Aug;17(4):351-2. Doi &lt;10.1016/s0738-081</w:t>
      </w:r>
      <w:proofErr w:type="gramStart"/>
      <w:r>
        <w:t>x(</w:t>
      </w:r>
      <w:proofErr w:type="gramEnd"/>
      <w:r>
        <w:t>99)00017-6. PMID: 10497715&gt;</w:t>
      </w:r>
    </w:p>
    <w:p w14:paraId="6A1FAA0B" w14:textId="3D92E97A" w:rsidR="00BC5B57" w:rsidRPr="0069677A" w:rsidRDefault="00B06FD8" w:rsidP="00B06FD8">
      <w:pPr>
        <w:pStyle w:val="CETReferencetext"/>
      </w:pPr>
      <w:r>
        <w:t xml:space="preserve">Zhou X., Guo H., Zhang L., Yang L., Wei Z., Zhang X., Niu Y, 2023, Crude Saponins from Chenopodium quinoa Willd. Reduce Fusarium Wilt Infection in Tomato Seedlings, </w:t>
      </w:r>
      <w:proofErr w:type="spellStart"/>
      <w:r>
        <w:t>Horticulturae</w:t>
      </w:r>
      <w:proofErr w:type="spellEnd"/>
      <w:r>
        <w:t>, 9(12):1340, &lt;doi.org/10.3390/horticulturae9121340&gt;.</w:t>
      </w:r>
    </w:p>
    <w:sectPr w:rsidR="00BC5B57" w:rsidRPr="0069677A" w:rsidSect="00D72241">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1B8C3" w14:textId="77777777" w:rsidR="00D72241" w:rsidRDefault="00D72241" w:rsidP="004F5E36">
      <w:r>
        <w:separator/>
      </w:r>
    </w:p>
  </w:endnote>
  <w:endnote w:type="continuationSeparator" w:id="0">
    <w:p w14:paraId="1892D223" w14:textId="77777777" w:rsidR="00D72241" w:rsidRDefault="00D7224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1FF9A" w14:textId="77777777" w:rsidR="00D72241" w:rsidRDefault="00D72241" w:rsidP="004F5E36">
      <w:r>
        <w:separator/>
      </w:r>
    </w:p>
  </w:footnote>
  <w:footnote w:type="continuationSeparator" w:id="0">
    <w:p w14:paraId="278E95B3" w14:textId="77777777" w:rsidR="00D72241" w:rsidRDefault="00D7224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08167E0"/>
    <w:multiLevelType w:val="multilevel"/>
    <w:tmpl w:val="A9CC8A08"/>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C204CD"/>
    <w:multiLevelType w:val="hybridMultilevel"/>
    <w:tmpl w:val="DE5602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73F16"/>
    <w:multiLevelType w:val="hybridMultilevel"/>
    <w:tmpl w:val="F020BA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9FB599E"/>
    <w:multiLevelType w:val="hybridMultilevel"/>
    <w:tmpl w:val="6C243538"/>
    <w:lvl w:ilvl="0" w:tplc="37D40F40">
      <w:start w:val="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ABB3489"/>
    <w:multiLevelType w:val="multilevel"/>
    <w:tmpl w:val="693EE31E"/>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96378FF"/>
    <w:multiLevelType w:val="multilevel"/>
    <w:tmpl w:val="365A7120"/>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FFA47DE"/>
    <w:multiLevelType w:val="hybridMultilevel"/>
    <w:tmpl w:val="F1F4D020"/>
    <w:lvl w:ilvl="0" w:tplc="84F41BE8">
      <w:start w:val="2"/>
      <w:numFmt w:val="bullet"/>
      <w:lvlText w:val="-"/>
      <w:lvlJc w:val="left"/>
      <w:pPr>
        <w:ind w:left="927" w:hanging="360"/>
      </w:pPr>
      <w:rPr>
        <w:rFonts w:ascii="Arial" w:eastAsia="Times New Roman"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6" w15:restartNumberingAfterBreak="0">
    <w:nsid w:val="61427E12"/>
    <w:multiLevelType w:val="multilevel"/>
    <w:tmpl w:val="B5C4999E"/>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8A66C09"/>
    <w:multiLevelType w:val="hybridMultilevel"/>
    <w:tmpl w:val="3E7C70C8"/>
    <w:lvl w:ilvl="0" w:tplc="DE8AFD5C">
      <w:start w:val="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EF71435"/>
    <w:multiLevelType w:val="hybridMultilevel"/>
    <w:tmpl w:val="BA4A29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2"/>
  </w:num>
  <w:num w:numId="13" w16cid:durableId="695733619">
    <w:abstractNumId w:val="14"/>
  </w:num>
  <w:num w:numId="14" w16cid:durableId="145903400">
    <w:abstractNumId w:val="24"/>
  </w:num>
  <w:num w:numId="15" w16cid:durableId="19162326">
    <w:abstractNumId w:val="28"/>
  </w:num>
  <w:num w:numId="16" w16cid:durableId="1977102699">
    <w:abstractNumId w:val="27"/>
  </w:num>
  <w:num w:numId="17" w16cid:durableId="860774865">
    <w:abstractNumId w:val="13"/>
  </w:num>
  <w:num w:numId="18" w16cid:durableId="313221457">
    <w:abstractNumId w:val="14"/>
    <w:lvlOverride w:ilvl="0">
      <w:startOverride w:val="1"/>
    </w:lvlOverride>
  </w:num>
  <w:num w:numId="19" w16cid:durableId="534971577">
    <w:abstractNumId w:val="21"/>
  </w:num>
  <w:num w:numId="20" w16cid:durableId="1150947773">
    <w:abstractNumId w:val="20"/>
  </w:num>
  <w:num w:numId="21" w16cid:durableId="124660497">
    <w:abstractNumId w:val="17"/>
  </w:num>
  <w:num w:numId="22" w16cid:durableId="2099861471">
    <w:abstractNumId w:val="15"/>
  </w:num>
  <w:num w:numId="23" w16cid:durableId="1809782148">
    <w:abstractNumId w:val="11"/>
  </w:num>
  <w:num w:numId="24" w16cid:durableId="1716663584">
    <w:abstractNumId w:val="16"/>
  </w:num>
  <w:num w:numId="25" w16cid:durableId="1510951673">
    <w:abstractNumId w:val="29"/>
  </w:num>
  <w:num w:numId="26" w16cid:durableId="1920403690">
    <w:abstractNumId w:val="18"/>
  </w:num>
  <w:num w:numId="27" w16cid:durableId="1627543041">
    <w:abstractNumId w:val="26"/>
  </w:num>
  <w:num w:numId="28" w16cid:durableId="1050880535">
    <w:abstractNumId w:val="19"/>
  </w:num>
  <w:num w:numId="29" w16cid:durableId="23214358">
    <w:abstractNumId w:val="25"/>
  </w:num>
  <w:num w:numId="30" w16cid:durableId="1360473077">
    <w:abstractNumId w:val="30"/>
  </w:num>
  <w:num w:numId="31" w16cid:durableId="1631862765">
    <w:abstractNumId w:val="10"/>
  </w:num>
  <w:num w:numId="32" w16cid:durableId="68763421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42688"/>
    <w:rsid w:val="00051566"/>
    <w:rsid w:val="0005400D"/>
    <w:rsid w:val="00054288"/>
    <w:rsid w:val="000562A9"/>
    <w:rsid w:val="00061755"/>
    <w:rsid w:val="00062A9A"/>
    <w:rsid w:val="00065058"/>
    <w:rsid w:val="0006716E"/>
    <w:rsid w:val="00075D43"/>
    <w:rsid w:val="00084ED1"/>
    <w:rsid w:val="00086C39"/>
    <w:rsid w:val="00090A9B"/>
    <w:rsid w:val="000912B0"/>
    <w:rsid w:val="000923BE"/>
    <w:rsid w:val="000A03B2"/>
    <w:rsid w:val="000D0268"/>
    <w:rsid w:val="000D0A2A"/>
    <w:rsid w:val="000D34BE"/>
    <w:rsid w:val="000E102F"/>
    <w:rsid w:val="000E36F1"/>
    <w:rsid w:val="000E3A73"/>
    <w:rsid w:val="000E414A"/>
    <w:rsid w:val="000F093C"/>
    <w:rsid w:val="000F689C"/>
    <w:rsid w:val="000F787B"/>
    <w:rsid w:val="0012091F"/>
    <w:rsid w:val="00126BC2"/>
    <w:rsid w:val="001308B6"/>
    <w:rsid w:val="0013121F"/>
    <w:rsid w:val="00131FE6"/>
    <w:rsid w:val="0013263F"/>
    <w:rsid w:val="001331DF"/>
    <w:rsid w:val="00134DE4"/>
    <w:rsid w:val="00135EFC"/>
    <w:rsid w:val="0014034D"/>
    <w:rsid w:val="00144D16"/>
    <w:rsid w:val="00150E59"/>
    <w:rsid w:val="00152DE3"/>
    <w:rsid w:val="00164A07"/>
    <w:rsid w:val="00164CF9"/>
    <w:rsid w:val="001667A6"/>
    <w:rsid w:val="001836AC"/>
    <w:rsid w:val="00184AD6"/>
    <w:rsid w:val="001A4AF7"/>
    <w:rsid w:val="001A6F36"/>
    <w:rsid w:val="001B0349"/>
    <w:rsid w:val="001B1E93"/>
    <w:rsid w:val="001B65C1"/>
    <w:rsid w:val="001C43B2"/>
    <w:rsid w:val="001C684B"/>
    <w:rsid w:val="001C72C7"/>
    <w:rsid w:val="001D0CFB"/>
    <w:rsid w:val="001D21AF"/>
    <w:rsid w:val="001D53FC"/>
    <w:rsid w:val="001F42A5"/>
    <w:rsid w:val="001F49FD"/>
    <w:rsid w:val="001F7B9D"/>
    <w:rsid w:val="00201C93"/>
    <w:rsid w:val="00203ACD"/>
    <w:rsid w:val="00207BDF"/>
    <w:rsid w:val="002224B4"/>
    <w:rsid w:val="002447EF"/>
    <w:rsid w:val="00251550"/>
    <w:rsid w:val="00263B05"/>
    <w:rsid w:val="0027221A"/>
    <w:rsid w:val="00275767"/>
    <w:rsid w:val="00275B61"/>
    <w:rsid w:val="00277DF0"/>
    <w:rsid w:val="00280FAF"/>
    <w:rsid w:val="00282656"/>
    <w:rsid w:val="00296B83"/>
    <w:rsid w:val="002B125B"/>
    <w:rsid w:val="002B4015"/>
    <w:rsid w:val="002B78CE"/>
    <w:rsid w:val="002C2FB6"/>
    <w:rsid w:val="002D55C9"/>
    <w:rsid w:val="002E1BB5"/>
    <w:rsid w:val="002E5FA7"/>
    <w:rsid w:val="002F3099"/>
    <w:rsid w:val="002F3309"/>
    <w:rsid w:val="002F644F"/>
    <w:rsid w:val="002F79F0"/>
    <w:rsid w:val="003008CE"/>
    <w:rsid w:val="003009B7"/>
    <w:rsid w:val="00300E56"/>
    <w:rsid w:val="0030152C"/>
    <w:rsid w:val="0030469C"/>
    <w:rsid w:val="00304E6F"/>
    <w:rsid w:val="00317CD5"/>
    <w:rsid w:val="00321CA6"/>
    <w:rsid w:val="00323763"/>
    <w:rsid w:val="00323C5F"/>
    <w:rsid w:val="00334C09"/>
    <w:rsid w:val="003723D4"/>
    <w:rsid w:val="00373184"/>
    <w:rsid w:val="003768B7"/>
    <w:rsid w:val="00381905"/>
    <w:rsid w:val="00384CC8"/>
    <w:rsid w:val="003871FD"/>
    <w:rsid w:val="003940D4"/>
    <w:rsid w:val="00397793"/>
    <w:rsid w:val="003A1E30"/>
    <w:rsid w:val="003A2829"/>
    <w:rsid w:val="003A7D1C"/>
    <w:rsid w:val="003B304B"/>
    <w:rsid w:val="003B3146"/>
    <w:rsid w:val="003D40F1"/>
    <w:rsid w:val="003E6393"/>
    <w:rsid w:val="003F015E"/>
    <w:rsid w:val="003F53F7"/>
    <w:rsid w:val="00400414"/>
    <w:rsid w:val="0041446B"/>
    <w:rsid w:val="004229EF"/>
    <w:rsid w:val="00423576"/>
    <w:rsid w:val="00433311"/>
    <w:rsid w:val="0044071E"/>
    <w:rsid w:val="0044329C"/>
    <w:rsid w:val="0044670E"/>
    <w:rsid w:val="00453E24"/>
    <w:rsid w:val="00457456"/>
    <w:rsid w:val="004577FE"/>
    <w:rsid w:val="00457B9C"/>
    <w:rsid w:val="0046164A"/>
    <w:rsid w:val="004628D2"/>
    <w:rsid w:val="00462DCD"/>
    <w:rsid w:val="004648AD"/>
    <w:rsid w:val="004703A9"/>
    <w:rsid w:val="004760DE"/>
    <w:rsid w:val="004763D7"/>
    <w:rsid w:val="004A004E"/>
    <w:rsid w:val="004A24CF"/>
    <w:rsid w:val="004A564F"/>
    <w:rsid w:val="004C3D1D"/>
    <w:rsid w:val="004C3D84"/>
    <w:rsid w:val="004C7913"/>
    <w:rsid w:val="004E4DD6"/>
    <w:rsid w:val="004F5E36"/>
    <w:rsid w:val="00507B47"/>
    <w:rsid w:val="00507BEF"/>
    <w:rsid w:val="00507CC9"/>
    <w:rsid w:val="005119A5"/>
    <w:rsid w:val="005278B7"/>
    <w:rsid w:val="00532016"/>
    <w:rsid w:val="005346C8"/>
    <w:rsid w:val="00543E7D"/>
    <w:rsid w:val="00545FB8"/>
    <w:rsid w:val="00547A68"/>
    <w:rsid w:val="005531C9"/>
    <w:rsid w:val="00557E00"/>
    <w:rsid w:val="00570C43"/>
    <w:rsid w:val="005B2110"/>
    <w:rsid w:val="005B61E6"/>
    <w:rsid w:val="005C77E1"/>
    <w:rsid w:val="005C78E3"/>
    <w:rsid w:val="005D668A"/>
    <w:rsid w:val="005D6A2F"/>
    <w:rsid w:val="005E1A82"/>
    <w:rsid w:val="005E31F5"/>
    <w:rsid w:val="005E794C"/>
    <w:rsid w:val="005F0A28"/>
    <w:rsid w:val="005F0E5E"/>
    <w:rsid w:val="00600535"/>
    <w:rsid w:val="006016B5"/>
    <w:rsid w:val="006078CB"/>
    <w:rsid w:val="00610CD6"/>
    <w:rsid w:val="0061537D"/>
    <w:rsid w:val="00620DEE"/>
    <w:rsid w:val="00621F92"/>
    <w:rsid w:val="0062280A"/>
    <w:rsid w:val="00625639"/>
    <w:rsid w:val="00631B33"/>
    <w:rsid w:val="0064184D"/>
    <w:rsid w:val="006422CC"/>
    <w:rsid w:val="00660E3E"/>
    <w:rsid w:val="00662E74"/>
    <w:rsid w:val="00670C37"/>
    <w:rsid w:val="00680C23"/>
    <w:rsid w:val="00693766"/>
    <w:rsid w:val="0069677A"/>
    <w:rsid w:val="006A3281"/>
    <w:rsid w:val="006A4A49"/>
    <w:rsid w:val="006B4888"/>
    <w:rsid w:val="006C05D9"/>
    <w:rsid w:val="006C2E45"/>
    <w:rsid w:val="006C359C"/>
    <w:rsid w:val="006C5579"/>
    <w:rsid w:val="006D2C91"/>
    <w:rsid w:val="006D5AC7"/>
    <w:rsid w:val="006D6E8B"/>
    <w:rsid w:val="006E43B7"/>
    <w:rsid w:val="006E737D"/>
    <w:rsid w:val="007073E2"/>
    <w:rsid w:val="00707DD1"/>
    <w:rsid w:val="00710887"/>
    <w:rsid w:val="00713973"/>
    <w:rsid w:val="0071521B"/>
    <w:rsid w:val="00720829"/>
    <w:rsid w:val="00720A24"/>
    <w:rsid w:val="0072798C"/>
    <w:rsid w:val="00732386"/>
    <w:rsid w:val="0073453D"/>
    <w:rsid w:val="0073514D"/>
    <w:rsid w:val="007447F3"/>
    <w:rsid w:val="0075499F"/>
    <w:rsid w:val="00765A8E"/>
    <w:rsid w:val="007661C8"/>
    <w:rsid w:val="0077098D"/>
    <w:rsid w:val="0078219D"/>
    <w:rsid w:val="007931FA"/>
    <w:rsid w:val="007A4861"/>
    <w:rsid w:val="007A7BBA"/>
    <w:rsid w:val="007B0C50"/>
    <w:rsid w:val="007B1002"/>
    <w:rsid w:val="007B48F9"/>
    <w:rsid w:val="007B4E09"/>
    <w:rsid w:val="007C1A43"/>
    <w:rsid w:val="007D0951"/>
    <w:rsid w:val="007D42B9"/>
    <w:rsid w:val="007D6E2B"/>
    <w:rsid w:val="0080013E"/>
    <w:rsid w:val="00813288"/>
    <w:rsid w:val="008168FC"/>
    <w:rsid w:val="00830996"/>
    <w:rsid w:val="00833170"/>
    <w:rsid w:val="008345F1"/>
    <w:rsid w:val="00835DE6"/>
    <w:rsid w:val="00837ABC"/>
    <w:rsid w:val="00840261"/>
    <w:rsid w:val="00855EF7"/>
    <w:rsid w:val="00857008"/>
    <w:rsid w:val="0086372E"/>
    <w:rsid w:val="00865B07"/>
    <w:rsid w:val="008667EA"/>
    <w:rsid w:val="0087637F"/>
    <w:rsid w:val="00892AD5"/>
    <w:rsid w:val="00893F5A"/>
    <w:rsid w:val="00897BC6"/>
    <w:rsid w:val="008A1512"/>
    <w:rsid w:val="008A709A"/>
    <w:rsid w:val="008D32B9"/>
    <w:rsid w:val="008D433B"/>
    <w:rsid w:val="008D4A16"/>
    <w:rsid w:val="008E566E"/>
    <w:rsid w:val="0090161A"/>
    <w:rsid w:val="00901EB6"/>
    <w:rsid w:val="00904C62"/>
    <w:rsid w:val="00913F95"/>
    <w:rsid w:val="00922BA8"/>
    <w:rsid w:val="00924DAC"/>
    <w:rsid w:val="00927058"/>
    <w:rsid w:val="00942750"/>
    <w:rsid w:val="009450CE"/>
    <w:rsid w:val="009459BB"/>
    <w:rsid w:val="00947179"/>
    <w:rsid w:val="0095164B"/>
    <w:rsid w:val="00954090"/>
    <w:rsid w:val="009573E7"/>
    <w:rsid w:val="00957A8B"/>
    <w:rsid w:val="00963E05"/>
    <w:rsid w:val="00964A45"/>
    <w:rsid w:val="00967843"/>
    <w:rsid w:val="00967D54"/>
    <w:rsid w:val="00971028"/>
    <w:rsid w:val="0097547C"/>
    <w:rsid w:val="009921CF"/>
    <w:rsid w:val="00993B84"/>
    <w:rsid w:val="00996483"/>
    <w:rsid w:val="00996F5A"/>
    <w:rsid w:val="009B041A"/>
    <w:rsid w:val="009C37C3"/>
    <w:rsid w:val="009C7C86"/>
    <w:rsid w:val="009D2FF7"/>
    <w:rsid w:val="009D5BB9"/>
    <w:rsid w:val="009E4E4C"/>
    <w:rsid w:val="009E7884"/>
    <w:rsid w:val="009E788A"/>
    <w:rsid w:val="009F0E08"/>
    <w:rsid w:val="00A050EA"/>
    <w:rsid w:val="00A149E8"/>
    <w:rsid w:val="00A1763D"/>
    <w:rsid w:val="00A17CEC"/>
    <w:rsid w:val="00A220F9"/>
    <w:rsid w:val="00A27EF0"/>
    <w:rsid w:val="00A42361"/>
    <w:rsid w:val="00A50B20"/>
    <w:rsid w:val="00A51390"/>
    <w:rsid w:val="00A60D13"/>
    <w:rsid w:val="00A67E68"/>
    <w:rsid w:val="00A7223D"/>
    <w:rsid w:val="00A72745"/>
    <w:rsid w:val="00A76EFC"/>
    <w:rsid w:val="00A857B9"/>
    <w:rsid w:val="00A87D50"/>
    <w:rsid w:val="00A91010"/>
    <w:rsid w:val="00A94629"/>
    <w:rsid w:val="00A97F29"/>
    <w:rsid w:val="00AA702E"/>
    <w:rsid w:val="00AA7D26"/>
    <w:rsid w:val="00AB0964"/>
    <w:rsid w:val="00AB5011"/>
    <w:rsid w:val="00AB6A6A"/>
    <w:rsid w:val="00AC7368"/>
    <w:rsid w:val="00AD16B9"/>
    <w:rsid w:val="00AD50EB"/>
    <w:rsid w:val="00AE377D"/>
    <w:rsid w:val="00AF0EBA"/>
    <w:rsid w:val="00AF4A18"/>
    <w:rsid w:val="00AF6493"/>
    <w:rsid w:val="00B02C8A"/>
    <w:rsid w:val="00B06FD8"/>
    <w:rsid w:val="00B13C07"/>
    <w:rsid w:val="00B17FBD"/>
    <w:rsid w:val="00B22BA4"/>
    <w:rsid w:val="00B315A6"/>
    <w:rsid w:val="00B31813"/>
    <w:rsid w:val="00B33365"/>
    <w:rsid w:val="00B57B36"/>
    <w:rsid w:val="00B57E6F"/>
    <w:rsid w:val="00B8686D"/>
    <w:rsid w:val="00B91AB9"/>
    <w:rsid w:val="00B93F69"/>
    <w:rsid w:val="00BA1DB0"/>
    <w:rsid w:val="00BB1DDC"/>
    <w:rsid w:val="00BC30C9"/>
    <w:rsid w:val="00BC5B57"/>
    <w:rsid w:val="00BD077D"/>
    <w:rsid w:val="00BD6F8C"/>
    <w:rsid w:val="00BE3E58"/>
    <w:rsid w:val="00BE56B3"/>
    <w:rsid w:val="00BE782A"/>
    <w:rsid w:val="00C0004C"/>
    <w:rsid w:val="00C01616"/>
    <w:rsid w:val="00C0162B"/>
    <w:rsid w:val="00C02156"/>
    <w:rsid w:val="00C0566C"/>
    <w:rsid w:val="00C068ED"/>
    <w:rsid w:val="00C22E0C"/>
    <w:rsid w:val="00C345B1"/>
    <w:rsid w:val="00C40142"/>
    <w:rsid w:val="00C406D1"/>
    <w:rsid w:val="00C52C3C"/>
    <w:rsid w:val="00C531D4"/>
    <w:rsid w:val="00C55540"/>
    <w:rsid w:val="00C57182"/>
    <w:rsid w:val="00C57863"/>
    <w:rsid w:val="00C640AF"/>
    <w:rsid w:val="00C655FD"/>
    <w:rsid w:val="00C75407"/>
    <w:rsid w:val="00C8245D"/>
    <w:rsid w:val="00C82D92"/>
    <w:rsid w:val="00C841C6"/>
    <w:rsid w:val="00C870A8"/>
    <w:rsid w:val="00C929A0"/>
    <w:rsid w:val="00C930BE"/>
    <w:rsid w:val="00C94434"/>
    <w:rsid w:val="00CA0D75"/>
    <w:rsid w:val="00CA1C95"/>
    <w:rsid w:val="00CA32D0"/>
    <w:rsid w:val="00CA5A9C"/>
    <w:rsid w:val="00CC4C20"/>
    <w:rsid w:val="00CC6B9C"/>
    <w:rsid w:val="00CC7498"/>
    <w:rsid w:val="00CD0039"/>
    <w:rsid w:val="00CD3517"/>
    <w:rsid w:val="00CD5FE2"/>
    <w:rsid w:val="00CE7C68"/>
    <w:rsid w:val="00D02B4C"/>
    <w:rsid w:val="00D040C4"/>
    <w:rsid w:val="00D16D2D"/>
    <w:rsid w:val="00D20452"/>
    <w:rsid w:val="00D20AD1"/>
    <w:rsid w:val="00D24282"/>
    <w:rsid w:val="00D2582C"/>
    <w:rsid w:val="00D46B7E"/>
    <w:rsid w:val="00D57C84"/>
    <w:rsid w:val="00D6057D"/>
    <w:rsid w:val="00D71640"/>
    <w:rsid w:val="00D72241"/>
    <w:rsid w:val="00D743BC"/>
    <w:rsid w:val="00D836C5"/>
    <w:rsid w:val="00D84576"/>
    <w:rsid w:val="00D8617F"/>
    <w:rsid w:val="00D90324"/>
    <w:rsid w:val="00D91723"/>
    <w:rsid w:val="00DA1399"/>
    <w:rsid w:val="00DA24C6"/>
    <w:rsid w:val="00DA4D7B"/>
    <w:rsid w:val="00DA6848"/>
    <w:rsid w:val="00DD271C"/>
    <w:rsid w:val="00DD4BCD"/>
    <w:rsid w:val="00DE264A"/>
    <w:rsid w:val="00DF5072"/>
    <w:rsid w:val="00E02D18"/>
    <w:rsid w:val="00E041E7"/>
    <w:rsid w:val="00E15D87"/>
    <w:rsid w:val="00E23CA1"/>
    <w:rsid w:val="00E24FC7"/>
    <w:rsid w:val="00E32507"/>
    <w:rsid w:val="00E409A8"/>
    <w:rsid w:val="00E50C12"/>
    <w:rsid w:val="00E60E69"/>
    <w:rsid w:val="00E63829"/>
    <w:rsid w:val="00E6427C"/>
    <w:rsid w:val="00E65B91"/>
    <w:rsid w:val="00E7209D"/>
    <w:rsid w:val="00E72EAD"/>
    <w:rsid w:val="00E77223"/>
    <w:rsid w:val="00E8528B"/>
    <w:rsid w:val="00E8555A"/>
    <w:rsid w:val="00E85B94"/>
    <w:rsid w:val="00E9626D"/>
    <w:rsid w:val="00E978D0"/>
    <w:rsid w:val="00EA2C42"/>
    <w:rsid w:val="00EA4613"/>
    <w:rsid w:val="00EA6B85"/>
    <w:rsid w:val="00EA7F91"/>
    <w:rsid w:val="00EB0CC4"/>
    <w:rsid w:val="00EB1523"/>
    <w:rsid w:val="00EC0E49"/>
    <w:rsid w:val="00EC101F"/>
    <w:rsid w:val="00EC1D9F"/>
    <w:rsid w:val="00ED3517"/>
    <w:rsid w:val="00ED6BC4"/>
    <w:rsid w:val="00EE0131"/>
    <w:rsid w:val="00EE17B0"/>
    <w:rsid w:val="00EF06D9"/>
    <w:rsid w:val="00F03A0D"/>
    <w:rsid w:val="00F3049E"/>
    <w:rsid w:val="00F30C64"/>
    <w:rsid w:val="00F32BA2"/>
    <w:rsid w:val="00F32CDB"/>
    <w:rsid w:val="00F33901"/>
    <w:rsid w:val="00F36DBE"/>
    <w:rsid w:val="00F418D6"/>
    <w:rsid w:val="00F565FE"/>
    <w:rsid w:val="00F63A70"/>
    <w:rsid w:val="00F63D8C"/>
    <w:rsid w:val="00F7534E"/>
    <w:rsid w:val="00F93EDF"/>
    <w:rsid w:val="00FA1802"/>
    <w:rsid w:val="00FA21D0"/>
    <w:rsid w:val="00FA5F5F"/>
    <w:rsid w:val="00FB68C6"/>
    <w:rsid w:val="00FB730C"/>
    <w:rsid w:val="00FC2695"/>
    <w:rsid w:val="00FC2C24"/>
    <w:rsid w:val="00FC3E03"/>
    <w:rsid w:val="00FC3FC1"/>
    <w:rsid w:val="00FC612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36DBE"/>
    <w:pPr>
      <w:keepNext/>
      <w:suppressAutoHyphens/>
      <w:spacing w:before="120" w:after="120" w:line="240" w:lineRule="auto"/>
    </w:pPr>
    <w:rPr>
      <w:rFonts w:ascii="Arial" w:eastAsia="Times New Roman" w:hAnsi="Arial" w:cs="Times New Roman"/>
      <w:b/>
      <w:bCs/>
      <w:iCs/>
      <w:sz w:val="18"/>
      <w:szCs w:val="20"/>
      <w:lang w:val="en-GB"/>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36DBE"/>
    <w:rPr>
      <w:rFonts w:ascii="Arial" w:eastAsia="Times New Roman" w:hAnsi="Arial" w:cs="Times New Roman"/>
      <w:b/>
      <w:bCs/>
      <w:iCs/>
      <w:sz w:val="18"/>
      <w:szCs w:val="20"/>
      <w:lang w:val="en-GB"/>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bCs/>
      <w:iCs/>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Textoennegrita">
    <w:name w:val="Strong"/>
    <w:basedOn w:val="Fuentedeprrafopredeter"/>
    <w:uiPriority w:val="22"/>
    <w:qFormat/>
    <w:rsid w:val="00EA6B85"/>
    <w:rPr>
      <w:b/>
      <w:bCs/>
    </w:rPr>
  </w:style>
  <w:style w:type="character" w:customStyle="1" w:styleId="y2iqfc">
    <w:name w:val="y2iqfc"/>
    <w:basedOn w:val="Fuentedeprrafopredeter"/>
    <w:rsid w:val="00715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07494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1307">
      <w:bodyDiv w:val="1"/>
      <w:marLeft w:val="0"/>
      <w:marRight w:val="0"/>
      <w:marTop w:val="0"/>
      <w:marBottom w:val="0"/>
      <w:divBdr>
        <w:top w:val="none" w:sz="0" w:space="0" w:color="auto"/>
        <w:left w:val="none" w:sz="0" w:space="0" w:color="auto"/>
        <w:bottom w:val="none" w:sz="0" w:space="0" w:color="auto"/>
        <w:right w:val="none" w:sz="0" w:space="0" w:color="auto"/>
      </w:divBdr>
    </w:div>
    <w:div w:id="123189027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CONGRESOS\CONGRESOS%202024\IconBM%202024\Art&#237;culos\Juez\figura-mortalidad%20en%20el%20tiemp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05895520314995"/>
          <c:y val="7.2777681511003292E-2"/>
          <c:w val="0.81378342558665318"/>
          <c:h val="0.62117947871314216"/>
        </c:manualLayout>
      </c:layout>
      <c:scatterChart>
        <c:scatterStyle val="smoothMarker"/>
        <c:varyColors val="0"/>
        <c:ser>
          <c:idx val="0"/>
          <c:order val="0"/>
          <c:tx>
            <c:strRef>
              <c:f>Hoja2!$C$9</c:f>
              <c:strCache>
                <c:ptCount val="1"/>
                <c:pt idx="0">
                  <c:v> Biomass powder containing saponin </c:v>
                </c:pt>
              </c:strCache>
            </c:strRef>
          </c:tx>
          <c:spPr>
            <a:ln w="9525" cap="flat" cmpd="sng" algn="ctr">
              <a:solidFill>
                <a:schemeClr val="accent1">
                  <a:alpha val="70000"/>
                </a:schemeClr>
              </a:solid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a:solidFill>
                        <a:schemeClr val="dk1">
                          <a:lumMod val="35000"/>
                          <a:lumOff val="65000"/>
                        </a:schemeClr>
                      </a:solidFill>
                      <a:round/>
                    </a:ln>
                    <a:effectLst/>
                  </c:spPr>
                </c15:leaderLines>
              </c:ext>
            </c:extLst>
          </c:dLbls>
          <c:xVal>
            <c:numRef>
              <c:f>Hoja2!$D$8:$H$8</c:f>
              <c:numCache>
                <c:formatCode>General</c:formatCode>
                <c:ptCount val="5"/>
                <c:pt idx="0">
                  <c:v>30</c:v>
                </c:pt>
                <c:pt idx="1">
                  <c:v>60</c:v>
                </c:pt>
                <c:pt idx="2">
                  <c:v>120</c:v>
                </c:pt>
                <c:pt idx="3">
                  <c:v>180</c:v>
                </c:pt>
                <c:pt idx="4">
                  <c:v>240</c:v>
                </c:pt>
              </c:numCache>
            </c:numRef>
          </c:xVal>
          <c:yVal>
            <c:numRef>
              <c:f>Hoja2!$D$9:$H$9</c:f>
              <c:numCache>
                <c:formatCode>_(* #,##0.00_);_(* \(#,##0.00\);_(* "-"??_);_(@_)</c:formatCode>
                <c:ptCount val="5"/>
                <c:pt idx="0">
                  <c:v>13.333333333333334</c:v>
                </c:pt>
                <c:pt idx="1">
                  <c:v>20</c:v>
                </c:pt>
                <c:pt idx="2">
                  <c:v>26.666666666666668</c:v>
                </c:pt>
                <c:pt idx="3">
                  <c:v>40</c:v>
                </c:pt>
                <c:pt idx="4">
                  <c:v>46.666666666666664</c:v>
                </c:pt>
              </c:numCache>
            </c:numRef>
          </c:yVal>
          <c:smooth val="1"/>
          <c:extLst>
            <c:ext xmlns:c16="http://schemas.microsoft.com/office/drawing/2014/chart" uri="{C3380CC4-5D6E-409C-BE32-E72D297353CC}">
              <c16:uniqueId val="{00000000-6EAE-4D41-A49D-8E60EF55F25B}"/>
            </c:ext>
          </c:extLst>
        </c:ser>
        <c:ser>
          <c:idx val="1"/>
          <c:order val="1"/>
          <c:tx>
            <c:strRef>
              <c:f>Hoja2!$C$10</c:f>
              <c:strCache>
                <c:ptCount val="1"/>
                <c:pt idx="0">
                  <c:v> M1 (0% ethanol) </c:v>
                </c:pt>
              </c:strCache>
            </c:strRef>
          </c:tx>
          <c:spPr>
            <a:ln w="9525" cap="flat" cmpd="sng" algn="ctr">
              <a:solidFill>
                <a:schemeClr val="accent2">
                  <a:alpha val="70000"/>
                </a:schemeClr>
              </a:solidFill>
              <a:prstDash val="sysDot"/>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a:solidFill>
                        <a:schemeClr val="dk1">
                          <a:lumMod val="35000"/>
                          <a:lumOff val="65000"/>
                        </a:schemeClr>
                      </a:solidFill>
                      <a:round/>
                    </a:ln>
                    <a:effectLst/>
                  </c:spPr>
                </c15:leaderLines>
              </c:ext>
            </c:extLst>
          </c:dLbls>
          <c:xVal>
            <c:numRef>
              <c:f>Hoja2!$D$8:$H$8</c:f>
              <c:numCache>
                <c:formatCode>General</c:formatCode>
                <c:ptCount val="5"/>
                <c:pt idx="0">
                  <c:v>30</c:v>
                </c:pt>
                <c:pt idx="1">
                  <c:v>60</c:v>
                </c:pt>
                <c:pt idx="2">
                  <c:v>120</c:v>
                </c:pt>
                <c:pt idx="3">
                  <c:v>180</c:v>
                </c:pt>
                <c:pt idx="4">
                  <c:v>240</c:v>
                </c:pt>
              </c:numCache>
            </c:numRef>
          </c:xVal>
          <c:yVal>
            <c:numRef>
              <c:f>Hoja2!$D$10:$H$10</c:f>
              <c:numCache>
                <c:formatCode>_(* #,##0.00_);_(* \(#,##0.00\);_(* "-"??_);_(@_)</c:formatCode>
                <c:ptCount val="5"/>
                <c:pt idx="0">
                  <c:v>13.333333333333334</c:v>
                </c:pt>
                <c:pt idx="1">
                  <c:v>33.333333333333336</c:v>
                </c:pt>
                <c:pt idx="2">
                  <c:v>53.333333333333336</c:v>
                </c:pt>
                <c:pt idx="3">
                  <c:v>60</c:v>
                </c:pt>
                <c:pt idx="4">
                  <c:v>73.333333333333329</c:v>
                </c:pt>
              </c:numCache>
            </c:numRef>
          </c:yVal>
          <c:smooth val="1"/>
          <c:extLst>
            <c:ext xmlns:c16="http://schemas.microsoft.com/office/drawing/2014/chart" uri="{C3380CC4-5D6E-409C-BE32-E72D297353CC}">
              <c16:uniqueId val="{00000001-6EAE-4D41-A49D-8E60EF55F25B}"/>
            </c:ext>
          </c:extLst>
        </c:ser>
        <c:ser>
          <c:idx val="2"/>
          <c:order val="2"/>
          <c:tx>
            <c:strRef>
              <c:f>Hoja2!$C$11</c:f>
              <c:strCache>
                <c:ptCount val="1"/>
                <c:pt idx="0">
                  <c:v> M2 (25% ethanol) </c:v>
                </c:pt>
              </c:strCache>
            </c:strRef>
          </c:tx>
          <c:spPr>
            <a:ln w="9525" cap="flat" cmpd="sng" algn="ctr">
              <a:solidFill>
                <a:schemeClr val="accent3">
                  <a:alpha val="70000"/>
                </a:schemeClr>
              </a:solidFill>
              <a:prstDash val="sysDot"/>
              <a:round/>
            </a:ln>
            <a:effectLst/>
          </c:spPr>
          <c:marker>
            <c:symbol val="circ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a:solidFill>
                        <a:schemeClr val="dk1">
                          <a:lumMod val="35000"/>
                          <a:lumOff val="65000"/>
                        </a:schemeClr>
                      </a:solidFill>
                      <a:round/>
                    </a:ln>
                    <a:effectLst/>
                  </c:spPr>
                </c15:leaderLines>
              </c:ext>
            </c:extLst>
          </c:dLbls>
          <c:xVal>
            <c:numRef>
              <c:f>Hoja2!$D$8:$H$8</c:f>
              <c:numCache>
                <c:formatCode>General</c:formatCode>
                <c:ptCount val="5"/>
                <c:pt idx="0">
                  <c:v>30</c:v>
                </c:pt>
                <c:pt idx="1">
                  <c:v>60</c:v>
                </c:pt>
                <c:pt idx="2">
                  <c:v>120</c:v>
                </c:pt>
                <c:pt idx="3">
                  <c:v>180</c:v>
                </c:pt>
                <c:pt idx="4">
                  <c:v>240</c:v>
                </c:pt>
              </c:numCache>
            </c:numRef>
          </c:xVal>
          <c:yVal>
            <c:numRef>
              <c:f>Hoja2!$D$11:$H$11</c:f>
              <c:numCache>
                <c:formatCode>_(* #,##0.00_);_(* \(#,##0.00\);_(* "-"??_);_(@_)</c:formatCode>
                <c:ptCount val="5"/>
                <c:pt idx="0">
                  <c:v>33.333333333333336</c:v>
                </c:pt>
                <c:pt idx="1">
                  <c:v>53.333333333333336</c:v>
                </c:pt>
                <c:pt idx="2">
                  <c:v>66.666666666666671</c:v>
                </c:pt>
                <c:pt idx="3">
                  <c:v>86.666666666666671</c:v>
                </c:pt>
                <c:pt idx="4">
                  <c:v>100</c:v>
                </c:pt>
              </c:numCache>
            </c:numRef>
          </c:yVal>
          <c:smooth val="1"/>
          <c:extLst>
            <c:ext xmlns:c16="http://schemas.microsoft.com/office/drawing/2014/chart" uri="{C3380CC4-5D6E-409C-BE32-E72D297353CC}">
              <c16:uniqueId val="{00000002-6EAE-4D41-A49D-8E60EF55F25B}"/>
            </c:ext>
          </c:extLst>
        </c:ser>
        <c:ser>
          <c:idx val="3"/>
          <c:order val="3"/>
          <c:tx>
            <c:strRef>
              <c:f>Hoja2!$C$12</c:f>
              <c:strCache>
                <c:ptCount val="1"/>
                <c:pt idx="0">
                  <c:v> M3 (50% ethanol) </c:v>
                </c:pt>
              </c:strCache>
            </c:strRef>
          </c:tx>
          <c:spPr>
            <a:ln w="9525" cap="flat" cmpd="sng" algn="ctr">
              <a:solidFill>
                <a:schemeClr val="accent4">
                  <a:alpha val="70000"/>
                </a:schemeClr>
              </a:solidFill>
              <a:prstDash val="sysDot"/>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a:solidFill>
                        <a:schemeClr val="dk1">
                          <a:lumMod val="35000"/>
                          <a:lumOff val="65000"/>
                        </a:schemeClr>
                      </a:solidFill>
                      <a:round/>
                    </a:ln>
                    <a:effectLst/>
                  </c:spPr>
                </c15:leaderLines>
              </c:ext>
            </c:extLst>
          </c:dLbls>
          <c:xVal>
            <c:numRef>
              <c:f>Hoja2!$D$8:$H$8</c:f>
              <c:numCache>
                <c:formatCode>General</c:formatCode>
                <c:ptCount val="5"/>
                <c:pt idx="0">
                  <c:v>30</c:v>
                </c:pt>
                <c:pt idx="1">
                  <c:v>60</c:v>
                </c:pt>
                <c:pt idx="2">
                  <c:v>120</c:v>
                </c:pt>
                <c:pt idx="3">
                  <c:v>180</c:v>
                </c:pt>
                <c:pt idx="4">
                  <c:v>240</c:v>
                </c:pt>
              </c:numCache>
            </c:numRef>
          </c:xVal>
          <c:yVal>
            <c:numRef>
              <c:f>Hoja2!$D$12:$H$12</c:f>
              <c:numCache>
                <c:formatCode>_(* #,##0.00_);_(* \(#,##0.00\);_(* "-"??_);_(@_)</c:formatCode>
                <c:ptCount val="5"/>
                <c:pt idx="0">
                  <c:v>40</c:v>
                </c:pt>
                <c:pt idx="1">
                  <c:v>53.333333333333336</c:v>
                </c:pt>
                <c:pt idx="2">
                  <c:v>73.333333333333329</c:v>
                </c:pt>
                <c:pt idx="3">
                  <c:v>86.666666666666671</c:v>
                </c:pt>
                <c:pt idx="4">
                  <c:v>100</c:v>
                </c:pt>
              </c:numCache>
            </c:numRef>
          </c:yVal>
          <c:smooth val="1"/>
          <c:extLst>
            <c:ext xmlns:c16="http://schemas.microsoft.com/office/drawing/2014/chart" uri="{C3380CC4-5D6E-409C-BE32-E72D297353CC}">
              <c16:uniqueId val="{00000003-6EAE-4D41-A49D-8E60EF55F25B}"/>
            </c:ext>
          </c:extLst>
        </c:ser>
        <c:ser>
          <c:idx val="4"/>
          <c:order val="4"/>
          <c:tx>
            <c:strRef>
              <c:f>Hoja2!$C$13</c:f>
              <c:strCache>
                <c:ptCount val="1"/>
                <c:pt idx="0">
                  <c:v> M4 (75 % ethanol) </c:v>
                </c:pt>
              </c:strCache>
            </c:strRef>
          </c:tx>
          <c:spPr>
            <a:ln w="9525" cap="flat" cmpd="sng" algn="ctr">
              <a:solidFill>
                <a:schemeClr val="accent5">
                  <a:alpha val="70000"/>
                </a:schemeClr>
              </a:solidFill>
              <a:prstDash val="sysDot"/>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a:solidFill>
                        <a:schemeClr val="dk1">
                          <a:lumMod val="35000"/>
                          <a:lumOff val="65000"/>
                        </a:schemeClr>
                      </a:solidFill>
                      <a:round/>
                    </a:ln>
                    <a:effectLst/>
                  </c:spPr>
                </c15:leaderLines>
              </c:ext>
            </c:extLst>
          </c:dLbls>
          <c:xVal>
            <c:numRef>
              <c:f>Hoja2!$D$8:$H$8</c:f>
              <c:numCache>
                <c:formatCode>General</c:formatCode>
                <c:ptCount val="5"/>
                <c:pt idx="0">
                  <c:v>30</c:v>
                </c:pt>
                <c:pt idx="1">
                  <c:v>60</c:v>
                </c:pt>
                <c:pt idx="2">
                  <c:v>120</c:v>
                </c:pt>
                <c:pt idx="3">
                  <c:v>180</c:v>
                </c:pt>
                <c:pt idx="4">
                  <c:v>240</c:v>
                </c:pt>
              </c:numCache>
            </c:numRef>
          </c:xVal>
          <c:yVal>
            <c:numRef>
              <c:f>Hoja2!$D$13:$H$13</c:f>
              <c:numCache>
                <c:formatCode>_(* #,##0.00_);_(* \(#,##0.00\);_(* "-"??_);_(@_)</c:formatCode>
                <c:ptCount val="5"/>
                <c:pt idx="0">
                  <c:v>60</c:v>
                </c:pt>
                <c:pt idx="1">
                  <c:v>73.333333333333329</c:v>
                </c:pt>
                <c:pt idx="2">
                  <c:v>100</c:v>
                </c:pt>
                <c:pt idx="3">
                  <c:v>100</c:v>
                </c:pt>
                <c:pt idx="4">
                  <c:v>100</c:v>
                </c:pt>
              </c:numCache>
            </c:numRef>
          </c:yVal>
          <c:smooth val="1"/>
          <c:extLst>
            <c:ext xmlns:c16="http://schemas.microsoft.com/office/drawing/2014/chart" uri="{C3380CC4-5D6E-409C-BE32-E72D297353CC}">
              <c16:uniqueId val="{00000004-6EAE-4D41-A49D-8E60EF55F25B}"/>
            </c:ext>
          </c:extLst>
        </c:ser>
        <c:dLbls>
          <c:dLblPos val="t"/>
          <c:showLegendKey val="0"/>
          <c:showVal val="1"/>
          <c:showCatName val="0"/>
          <c:showSerName val="0"/>
          <c:showPercent val="0"/>
          <c:showBubbleSize val="0"/>
        </c:dLbls>
        <c:axId val="1498868383"/>
        <c:axId val="1431499071"/>
      </c:scatterChart>
      <c:valAx>
        <c:axId val="1498868383"/>
        <c:scaling>
          <c:orientation val="minMax"/>
          <c:max val="270"/>
          <c:min val="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PE"/>
                  <a:t>Application time (min)</a:t>
                </a:r>
              </a:p>
            </c:rich>
          </c:tx>
          <c:layout>
            <c:manualLayout>
              <c:xMode val="edge"/>
              <c:yMode val="edge"/>
              <c:x val="0.41186219083488584"/>
              <c:y val="0.763765610567090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PE"/>
          </a:p>
        </c:txPr>
        <c:crossAx val="1431499071"/>
        <c:crosses val="autoZero"/>
        <c:crossBetween val="midCat"/>
        <c:majorUnit val="30"/>
      </c:valAx>
      <c:valAx>
        <c:axId val="1431499071"/>
        <c:scaling>
          <c:orientation val="minMax"/>
          <c:max val="1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s-PE"/>
                  <a:t>Premnotrypes vorax  larval mortality(%)</a:t>
                </a:r>
              </a:p>
            </c:rich>
          </c:tx>
          <c:layout>
            <c:manualLayout>
              <c:xMode val="edge"/>
              <c:yMode val="edge"/>
              <c:x val="3.1484055274927439E-2"/>
              <c:y val="1.9480257275532868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title>
        <c:numFmt formatCode="_(* #,##0.00_);_(* \(#,##0.00\);_(* &quot;-&quot;??_);_(@_)"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PE"/>
          </a:p>
        </c:txPr>
        <c:crossAx val="1498868383"/>
        <c:crosses val="autoZero"/>
        <c:crossBetween val="midCat"/>
      </c:valAx>
      <c:spPr>
        <a:gradFill>
          <a:gsLst>
            <a:gs pos="100000">
              <a:schemeClr val="lt1">
                <a:lumMod val="95000"/>
              </a:schemeClr>
            </a:gs>
            <a:gs pos="0">
              <a:schemeClr val="lt1">
                <a:alpha val="0"/>
              </a:schemeClr>
            </a:gs>
          </a:gsLst>
          <a:lin ang="5400000" scaled="0"/>
        </a:gradFill>
        <a:ln>
          <a:noFill/>
        </a:ln>
        <a:effectLst/>
      </c:spPr>
    </c:plotArea>
    <c:legend>
      <c:legendPos val="b"/>
      <c:layout>
        <c:manualLayout>
          <c:xMode val="edge"/>
          <c:yMode val="edge"/>
          <c:x val="0.11433766238421288"/>
          <c:y val="0.87330761873445428"/>
          <c:w val="0.82367455860438066"/>
          <c:h val="0.1235706089502631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6</Pages>
  <Words>3113</Words>
  <Characters>17126</Characters>
  <Application>Microsoft Office Word</Application>
  <DocSecurity>0</DocSecurity>
  <Lines>142</Lines>
  <Paragraphs>40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Elmer</cp:lastModifiedBy>
  <cp:revision>28</cp:revision>
  <cp:lastPrinted>2015-05-12T18:31:00Z</cp:lastPrinted>
  <dcterms:created xsi:type="dcterms:W3CDTF">2024-01-16T03:50:00Z</dcterms:created>
  <dcterms:modified xsi:type="dcterms:W3CDTF">2024-03-28T20:13:00Z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