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557B868" w:rsidR="00E978D0" w:rsidRPr="003F2D67" w:rsidRDefault="00AB22FE" w:rsidP="00E978D0">
      <w:pPr>
        <w:pStyle w:val="CETTitle"/>
        <w:rPr>
          <w:sz w:val="31"/>
          <w:szCs w:val="31"/>
        </w:rPr>
      </w:pPr>
      <w:r w:rsidRPr="003F2D67">
        <w:rPr>
          <w:sz w:val="31"/>
          <w:szCs w:val="31"/>
        </w:rPr>
        <w:t xml:space="preserve">Environmental assessment of </w:t>
      </w:r>
      <w:r w:rsidR="00861171" w:rsidRPr="003F2D67">
        <w:rPr>
          <w:sz w:val="31"/>
          <w:szCs w:val="31"/>
        </w:rPr>
        <w:t xml:space="preserve">liquid </w:t>
      </w:r>
      <w:r w:rsidRPr="003F2D67">
        <w:rPr>
          <w:sz w:val="31"/>
          <w:szCs w:val="31"/>
        </w:rPr>
        <w:t>hydrogen production routes</w:t>
      </w:r>
    </w:p>
    <w:p w14:paraId="0488FED2" w14:textId="235E2677" w:rsidR="00B57E6F" w:rsidRPr="00C000C2" w:rsidRDefault="00C460AB" w:rsidP="00B57E6F">
      <w:pPr>
        <w:pStyle w:val="CETAuthors"/>
        <w:rPr>
          <w:lang w:val="pt-BR"/>
        </w:rPr>
      </w:pPr>
      <w:r w:rsidRPr="00C000C2">
        <w:rPr>
          <w:lang w:val="pt-BR"/>
        </w:rPr>
        <w:t>Pablo Silva Ortiz</w:t>
      </w:r>
      <w:r w:rsidRPr="00C000C2">
        <w:rPr>
          <w:vertAlign w:val="superscript"/>
          <w:lang w:val="pt-BR"/>
        </w:rPr>
        <w:t>a</w:t>
      </w:r>
      <w:r w:rsidR="00B57E6F" w:rsidRPr="00C000C2">
        <w:rPr>
          <w:vertAlign w:val="superscript"/>
          <w:lang w:val="pt-BR"/>
        </w:rPr>
        <w:t>,</w:t>
      </w:r>
      <w:r w:rsidR="00B57E6F" w:rsidRPr="00C000C2">
        <w:rPr>
          <w:lang w:val="pt-BR"/>
        </w:rPr>
        <w:t xml:space="preserve">*, </w:t>
      </w:r>
      <w:r w:rsidRPr="00C000C2">
        <w:rPr>
          <w:lang w:val="pt-BR"/>
        </w:rPr>
        <w:t>Jia-Wei Lin</w:t>
      </w:r>
      <w:r w:rsidRPr="00C000C2">
        <w:rPr>
          <w:vertAlign w:val="superscript"/>
          <w:lang w:val="pt-BR"/>
        </w:rPr>
        <w:t>a</w:t>
      </w:r>
      <w:r w:rsidRPr="00C000C2">
        <w:rPr>
          <w:lang w:val="pt-BR"/>
        </w:rPr>
        <w:t xml:space="preserve">, </w:t>
      </w:r>
      <w:r w:rsidR="00C00A65" w:rsidRPr="00C000C2">
        <w:rPr>
          <w:lang w:val="pt-BR"/>
        </w:rPr>
        <w:t>Adriano Pinto Mariano</w:t>
      </w:r>
      <w:r w:rsidR="00C00A65" w:rsidRPr="00C000C2">
        <w:rPr>
          <w:vertAlign w:val="superscript"/>
          <w:lang w:val="pt-BR"/>
        </w:rPr>
        <w:t>b</w:t>
      </w:r>
      <w:r w:rsidR="00C00A65" w:rsidRPr="00C000C2">
        <w:rPr>
          <w:lang w:val="pt-BR"/>
        </w:rPr>
        <w:t>, Rubens Maciel Filho</w:t>
      </w:r>
      <w:r w:rsidR="00C00A65" w:rsidRPr="00C000C2">
        <w:rPr>
          <w:vertAlign w:val="superscript"/>
          <w:lang w:val="pt-BR"/>
        </w:rPr>
        <w:t>b</w:t>
      </w:r>
      <w:r w:rsidR="00C00A65" w:rsidRPr="00C000C2">
        <w:rPr>
          <w:lang w:val="pt-BR"/>
        </w:rPr>
        <w:t xml:space="preserve">, </w:t>
      </w:r>
      <w:r w:rsidRPr="00C000C2">
        <w:rPr>
          <w:lang w:val="pt-BR"/>
        </w:rPr>
        <w:t>Agnes Jocher</w:t>
      </w:r>
      <w:r w:rsidRPr="00C000C2">
        <w:rPr>
          <w:vertAlign w:val="superscript"/>
          <w:lang w:val="pt-BR"/>
        </w:rPr>
        <w:t>a</w:t>
      </w:r>
    </w:p>
    <w:p w14:paraId="6B2D21B3" w14:textId="51631C5C" w:rsidR="00B57E6F" w:rsidRPr="00C000C2" w:rsidRDefault="00B57E6F" w:rsidP="00B57E6F">
      <w:pPr>
        <w:pStyle w:val="CETAddress"/>
        <w:rPr>
          <w:lang w:val="pt-BR"/>
        </w:rPr>
      </w:pPr>
      <w:r w:rsidRPr="00C000C2">
        <w:rPr>
          <w:vertAlign w:val="superscript"/>
          <w:lang w:val="pt-BR"/>
        </w:rPr>
        <w:t>a</w:t>
      </w:r>
      <w:r w:rsidR="00910AA3" w:rsidRPr="00C000C2">
        <w:rPr>
          <w:lang w:val="pt-BR"/>
        </w:rPr>
        <w:t xml:space="preserve">Technische Universität München, </w:t>
      </w:r>
      <w:r w:rsidR="00C00A65" w:rsidRPr="00C000C2">
        <w:rPr>
          <w:lang w:val="pt-BR"/>
        </w:rPr>
        <w:t xml:space="preserve">School of Engineering and Design, </w:t>
      </w:r>
      <w:r w:rsidR="00910AA3" w:rsidRPr="00C000C2">
        <w:rPr>
          <w:lang w:val="pt-BR"/>
        </w:rPr>
        <w:t>Boltzmannstraße 15, Garching, Germany</w:t>
      </w:r>
    </w:p>
    <w:p w14:paraId="73F1267A" w14:textId="511D86F2" w:rsidR="00B57E6F" w:rsidRPr="00C000C2" w:rsidRDefault="00910AA3" w:rsidP="00B57E6F">
      <w:pPr>
        <w:pStyle w:val="CETemail"/>
        <w:rPr>
          <w:rStyle w:val="Collegamentoipertestuale"/>
          <w:lang w:val="pt-BR"/>
        </w:rPr>
      </w:pPr>
      <w:r w:rsidRPr="00C000C2">
        <w:rPr>
          <w:lang w:val="pt-BR"/>
        </w:rPr>
        <w:t>*</w:t>
      </w:r>
      <w:hyperlink r:id="rId10" w:history="1">
        <w:r w:rsidRPr="00C000C2">
          <w:rPr>
            <w:rStyle w:val="Collegamentoipertestuale"/>
            <w:lang w:val="pt-BR"/>
          </w:rPr>
          <w:t>pablo.silva@tum.de</w:t>
        </w:r>
      </w:hyperlink>
      <w:r w:rsidRPr="00C000C2">
        <w:rPr>
          <w:lang w:val="pt-BR"/>
        </w:rPr>
        <w:t xml:space="preserve">, </w:t>
      </w:r>
      <w:hyperlink r:id="rId11" w:history="1">
        <w:r w:rsidRPr="00C000C2">
          <w:rPr>
            <w:rStyle w:val="Collegamentoipertestuale"/>
            <w:lang w:val="pt-BR"/>
          </w:rPr>
          <w:t>jiawei.lin@tum.de</w:t>
        </w:r>
      </w:hyperlink>
      <w:r w:rsidRPr="00C000C2">
        <w:rPr>
          <w:lang w:val="pt-BR"/>
        </w:rPr>
        <w:t xml:space="preserve">, </w:t>
      </w:r>
      <w:hyperlink r:id="rId12" w:history="1">
        <w:r w:rsidRPr="00C000C2">
          <w:rPr>
            <w:rStyle w:val="Collegamentoipertestuale"/>
            <w:lang w:val="pt-BR"/>
          </w:rPr>
          <w:t>agnes.jocher@tum.de</w:t>
        </w:r>
      </w:hyperlink>
    </w:p>
    <w:p w14:paraId="5EAE64C4" w14:textId="7B55C3F1" w:rsidR="00C00A65" w:rsidRPr="00884042" w:rsidRDefault="00C00A65" w:rsidP="00C00A65">
      <w:pPr>
        <w:pStyle w:val="CETAddress"/>
        <w:rPr>
          <w:lang w:val="en-US"/>
        </w:rPr>
      </w:pPr>
      <w:r>
        <w:rPr>
          <w:vertAlign w:val="superscript"/>
          <w:lang w:val="pt-BR"/>
        </w:rPr>
        <w:t>b</w:t>
      </w:r>
      <w:r w:rsidRPr="00C00A65">
        <w:rPr>
          <w:lang w:val="pt-BR"/>
        </w:rPr>
        <w:t xml:space="preserve">Faculdade de Engenharia Quimica, Universidade Estadual de Campinas, Av. </w:t>
      </w:r>
      <w:r w:rsidRPr="00884042">
        <w:rPr>
          <w:lang w:val="en-US"/>
        </w:rPr>
        <w:t>Albert Einstein, 500, Campinas Brazil</w:t>
      </w:r>
    </w:p>
    <w:p w14:paraId="635C9AE8" w14:textId="14324CDC" w:rsidR="00C00A65" w:rsidRPr="00884042" w:rsidRDefault="00000000" w:rsidP="00C00A65">
      <w:pPr>
        <w:pStyle w:val="CETemail"/>
        <w:rPr>
          <w:lang w:val="en-US"/>
        </w:rPr>
      </w:pPr>
      <w:hyperlink r:id="rId13" w:history="1">
        <w:r w:rsidR="00C00A65" w:rsidRPr="00884042">
          <w:rPr>
            <w:rStyle w:val="Collegamentoipertestuale"/>
            <w:lang w:val="en-US"/>
          </w:rPr>
          <w:t>adpm@unicamp.br</w:t>
        </w:r>
      </w:hyperlink>
      <w:r w:rsidR="00C00A65" w:rsidRPr="00884042">
        <w:rPr>
          <w:lang w:val="en-US"/>
        </w:rPr>
        <w:t xml:space="preserve">, </w:t>
      </w:r>
      <w:hyperlink r:id="rId14" w:history="1">
        <w:r w:rsidR="00C00A65" w:rsidRPr="00884042">
          <w:rPr>
            <w:rStyle w:val="Collegamentoipertestuale"/>
            <w:lang w:val="en-US"/>
          </w:rPr>
          <w:t>rmaciel@unicamp.br</w:t>
        </w:r>
      </w:hyperlink>
      <w:r w:rsidR="00C00A65" w:rsidRPr="00884042">
        <w:rPr>
          <w:lang w:val="en-US"/>
        </w:rPr>
        <w:t xml:space="preserve"> </w:t>
      </w:r>
    </w:p>
    <w:p w14:paraId="72508F11" w14:textId="2125BBCD" w:rsidR="00C460AB" w:rsidRPr="004F2F78" w:rsidRDefault="00C460AB" w:rsidP="00600535">
      <w:pPr>
        <w:pStyle w:val="CETBodytext"/>
        <w:rPr>
          <w:lang w:val="en-GB"/>
        </w:rPr>
      </w:pPr>
      <w:r w:rsidRPr="009F127C">
        <w:rPr>
          <w:lang w:val="en-GB"/>
        </w:rPr>
        <w:t xml:space="preserve">Recently, hydrogen </w:t>
      </w:r>
      <w:r w:rsidR="009F127C" w:rsidRPr="009F127C">
        <w:rPr>
          <w:lang w:val="en-GB"/>
        </w:rPr>
        <w:t>has been</w:t>
      </w:r>
      <w:r w:rsidRPr="009F127C">
        <w:rPr>
          <w:lang w:val="en-GB"/>
        </w:rPr>
        <w:t xml:space="preserve"> explored as an</w:t>
      </w:r>
      <w:r w:rsidR="00B37B4D">
        <w:rPr>
          <w:lang w:val="en-GB"/>
        </w:rPr>
        <w:t xml:space="preserve"> aviation</w:t>
      </w:r>
      <w:r w:rsidRPr="009F127C">
        <w:rPr>
          <w:lang w:val="en-GB"/>
        </w:rPr>
        <w:t xml:space="preserve"> energy carrier to support various critical energy challenges for the upcoming decades. Thus, conventional and non-conventional hydrogen production methods have been developed worldwide. This paper </w:t>
      </w:r>
      <w:r w:rsidR="006277D1">
        <w:rPr>
          <w:lang w:val="en-GB"/>
        </w:rPr>
        <w:t>investigates</w:t>
      </w:r>
      <w:r w:rsidRPr="009F127C">
        <w:rPr>
          <w:lang w:val="en-GB"/>
        </w:rPr>
        <w:t xml:space="preserve"> Steam Methane Reforming (SMR) and Alkaline Electrolysis (A</w:t>
      </w:r>
      <w:r w:rsidR="009F127C" w:rsidRPr="009F127C">
        <w:rPr>
          <w:lang w:val="en-GB"/>
        </w:rPr>
        <w:t>W</w:t>
      </w:r>
      <w:r w:rsidRPr="009F127C">
        <w:rPr>
          <w:lang w:val="en-GB"/>
        </w:rPr>
        <w:t xml:space="preserve">E) hydrogen production as primary processes from an energy requirement and life cycle perspective. Besides, </w:t>
      </w:r>
      <w:r w:rsidR="00B37B4D">
        <w:rPr>
          <w:lang w:val="en-GB"/>
        </w:rPr>
        <w:t>I</w:t>
      </w:r>
      <w:r w:rsidR="00B37B4D" w:rsidRPr="009F127C">
        <w:rPr>
          <w:lang w:val="en-GB"/>
        </w:rPr>
        <w:t xml:space="preserve">t </w:t>
      </w:r>
      <w:r w:rsidR="00B37B4D">
        <w:rPr>
          <w:lang w:val="en-GB"/>
        </w:rPr>
        <w:t xml:space="preserve">also </w:t>
      </w:r>
      <w:r w:rsidRPr="009F127C">
        <w:rPr>
          <w:lang w:val="en-GB"/>
        </w:rPr>
        <w:t xml:space="preserve">considers hydrogen liquefaction for aviation </w:t>
      </w:r>
      <w:r w:rsidR="00B37B4D">
        <w:rPr>
          <w:lang w:val="en-GB"/>
        </w:rPr>
        <w:t>use</w:t>
      </w:r>
      <w:r w:rsidRPr="009F127C">
        <w:rPr>
          <w:lang w:val="en-GB"/>
        </w:rPr>
        <w:t>. In this context, an attributional</w:t>
      </w:r>
      <w:r w:rsidR="00766999">
        <w:rPr>
          <w:lang w:val="en-GB"/>
        </w:rPr>
        <w:t>, Cradle-to-Gate</w:t>
      </w:r>
      <w:r w:rsidRPr="009F127C">
        <w:rPr>
          <w:lang w:val="en-GB"/>
        </w:rPr>
        <w:t xml:space="preserve"> </w:t>
      </w:r>
      <w:r w:rsidR="00766999">
        <w:rPr>
          <w:lang w:val="en-GB"/>
        </w:rPr>
        <w:t>life cycle assessment</w:t>
      </w:r>
      <w:r w:rsidRPr="009F127C">
        <w:rPr>
          <w:lang w:val="en-GB"/>
        </w:rPr>
        <w:t xml:space="preserve"> was carried out to compare the environmental impact of SMR and A</w:t>
      </w:r>
      <w:r w:rsidR="009F127C" w:rsidRPr="009F127C">
        <w:rPr>
          <w:lang w:val="en-GB"/>
        </w:rPr>
        <w:t>W</w:t>
      </w:r>
      <w:r w:rsidRPr="009F127C">
        <w:rPr>
          <w:lang w:val="en-GB"/>
        </w:rPr>
        <w:t xml:space="preserve">E hydrogen production </w:t>
      </w:r>
      <w:r w:rsidR="00B37B4D">
        <w:rPr>
          <w:lang w:val="en-GB"/>
        </w:rPr>
        <w:t xml:space="preserve">processes </w:t>
      </w:r>
      <w:r w:rsidRPr="009F127C">
        <w:rPr>
          <w:lang w:val="en-GB"/>
        </w:rPr>
        <w:t xml:space="preserve">under four German energy mix scenarios. The assessment method selected was ReCiPe 2016, and the </w:t>
      </w:r>
      <w:r w:rsidR="00B810D4">
        <w:rPr>
          <w:lang w:val="en-GB"/>
        </w:rPr>
        <w:t xml:space="preserve">main </w:t>
      </w:r>
      <w:r w:rsidRPr="009F127C">
        <w:rPr>
          <w:lang w:val="en-GB"/>
        </w:rPr>
        <w:t xml:space="preserve">impact categories were climate change and acidification potential. The results show that greenhouse gas emissions from each production method highly depend on energy sources. </w:t>
      </w:r>
      <w:r w:rsidR="008F094A">
        <w:rPr>
          <w:lang w:val="en-GB"/>
        </w:rPr>
        <w:t>T</w:t>
      </w:r>
      <w:r w:rsidRPr="009F127C">
        <w:rPr>
          <w:lang w:val="en-GB"/>
        </w:rPr>
        <w:t>he CO</w:t>
      </w:r>
      <w:r w:rsidRPr="00B810D4">
        <w:rPr>
          <w:vertAlign w:val="subscript"/>
          <w:lang w:val="en-GB"/>
        </w:rPr>
        <w:t>2</w:t>
      </w:r>
      <w:r w:rsidRPr="009F127C">
        <w:rPr>
          <w:lang w:val="en-GB"/>
        </w:rPr>
        <w:t xml:space="preserve"> emissions from SMR and A</w:t>
      </w:r>
      <w:r w:rsidR="009F127C" w:rsidRPr="009F127C">
        <w:rPr>
          <w:lang w:val="en-GB"/>
        </w:rPr>
        <w:t>W</w:t>
      </w:r>
      <w:r w:rsidRPr="009F127C">
        <w:rPr>
          <w:lang w:val="en-GB"/>
        </w:rPr>
        <w:t xml:space="preserve">E processes in </w:t>
      </w:r>
      <w:r w:rsidR="008F094A">
        <w:rPr>
          <w:lang w:val="en-GB"/>
        </w:rPr>
        <w:t>a</w:t>
      </w:r>
      <w:r w:rsidRPr="009F127C">
        <w:rPr>
          <w:lang w:val="en-GB"/>
        </w:rPr>
        <w:t xml:space="preserve"> base case scenario </w:t>
      </w:r>
      <w:r w:rsidR="008F094A">
        <w:rPr>
          <w:lang w:val="en-GB"/>
        </w:rPr>
        <w:t>are</w:t>
      </w:r>
      <w:r w:rsidRPr="009F127C">
        <w:rPr>
          <w:lang w:val="en-GB"/>
        </w:rPr>
        <w:t xml:space="preserve"> 1</w:t>
      </w:r>
      <w:r w:rsidR="0074119D" w:rsidRPr="009F127C">
        <w:rPr>
          <w:lang w:val="en-GB"/>
        </w:rPr>
        <w:t>2</w:t>
      </w:r>
      <w:r w:rsidRPr="009F127C">
        <w:rPr>
          <w:lang w:val="en-GB"/>
        </w:rPr>
        <w:t xml:space="preserve"> and </w:t>
      </w:r>
      <w:r w:rsidR="0074119D" w:rsidRPr="009F127C">
        <w:rPr>
          <w:lang w:val="en-GB"/>
        </w:rPr>
        <w:t>51</w:t>
      </w:r>
      <w:r w:rsidRPr="009F127C">
        <w:rPr>
          <w:lang w:val="en-GB"/>
        </w:rPr>
        <w:t xml:space="preserve"> kg</w:t>
      </w:r>
      <w:r w:rsidRPr="00B810D4">
        <w:rPr>
          <w:vertAlign w:val="subscript"/>
          <w:lang w:val="en-GB"/>
        </w:rPr>
        <w:t>CO2eq</w:t>
      </w:r>
      <w:r w:rsidRPr="009F127C">
        <w:rPr>
          <w:lang w:val="en-GB"/>
        </w:rPr>
        <w:t>/kg</w:t>
      </w:r>
      <w:r w:rsidRPr="00B810D4">
        <w:rPr>
          <w:vertAlign w:val="subscript"/>
          <w:lang w:val="en-GB"/>
        </w:rPr>
        <w:t>H2</w:t>
      </w:r>
      <w:r w:rsidRPr="009F127C">
        <w:rPr>
          <w:lang w:val="en-GB"/>
        </w:rPr>
        <w:t>, respectively</w:t>
      </w:r>
      <w:r w:rsidR="008F094A">
        <w:rPr>
          <w:lang w:val="en-GB"/>
        </w:rPr>
        <w:t>, and</w:t>
      </w:r>
      <w:r w:rsidRPr="009F127C">
        <w:rPr>
          <w:lang w:val="en-GB"/>
        </w:rPr>
        <w:t xml:space="preserve"> </w:t>
      </w:r>
      <w:r w:rsidR="008F094A">
        <w:rPr>
          <w:lang w:val="en-GB"/>
        </w:rPr>
        <w:t xml:space="preserve">these values decrease to </w:t>
      </w:r>
      <w:r w:rsidR="008F094A" w:rsidRPr="009F127C">
        <w:rPr>
          <w:lang w:val="en-GB"/>
        </w:rPr>
        <w:t>7</w:t>
      </w:r>
      <w:r w:rsidR="008F094A">
        <w:rPr>
          <w:lang w:val="en-GB"/>
        </w:rPr>
        <w:t xml:space="preserve"> (</w:t>
      </w:r>
      <w:r w:rsidR="0074119D" w:rsidRPr="009F127C">
        <w:rPr>
          <w:lang w:val="en-GB"/>
        </w:rPr>
        <w:t>SMR</w:t>
      </w:r>
      <w:r w:rsidRPr="009F127C">
        <w:rPr>
          <w:lang w:val="en-GB"/>
        </w:rPr>
        <w:t xml:space="preserve">) </w:t>
      </w:r>
      <w:r w:rsidR="008F094A">
        <w:rPr>
          <w:lang w:val="en-GB"/>
        </w:rPr>
        <w:t xml:space="preserve">and 22 </w:t>
      </w:r>
      <w:r w:rsidRPr="009F127C">
        <w:rPr>
          <w:lang w:val="en-GB"/>
        </w:rPr>
        <w:t>kg</w:t>
      </w:r>
      <w:r w:rsidRPr="001B7149">
        <w:rPr>
          <w:vertAlign w:val="subscript"/>
          <w:lang w:val="en-GB"/>
        </w:rPr>
        <w:t>CO2eq.</w:t>
      </w:r>
      <w:r w:rsidRPr="009F127C">
        <w:rPr>
          <w:lang w:val="en-GB"/>
        </w:rPr>
        <w:t>/kg</w:t>
      </w:r>
      <w:r w:rsidRPr="001B7149">
        <w:rPr>
          <w:vertAlign w:val="subscript"/>
          <w:lang w:val="en-GB"/>
        </w:rPr>
        <w:t>H2</w:t>
      </w:r>
      <w:r w:rsidR="008F094A">
        <w:rPr>
          <w:lang w:val="en-GB"/>
        </w:rPr>
        <w:t xml:space="preserve"> (</w:t>
      </w:r>
      <w:r w:rsidR="008F094A" w:rsidRPr="009F127C">
        <w:rPr>
          <w:lang w:val="en-GB"/>
        </w:rPr>
        <w:t>AWE</w:t>
      </w:r>
      <w:r w:rsidR="008F094A">
        <w:rPr>
          <w:lang w:val="en-GB"/>
        </w:rPr>
        <w:t xml:space="preserve">) </w:t>
      </w:r>
      <w:r w:rsidR="008F094A" w:rsidRPr="008F094A">
        <w:rPr>
          <w:lang w:val="en-GB"/>
        </w:rPr>
        <w:t>in a 2050 renewable energy scenario</w:t>
      </w:r>
      <w:r w:rsidRPr="008F094A">
        <w:rPr>
          <w:lang w:val="en-GB"/>
        </w:rPr>
        <w:t>. Concerning the energy requirements, each process requires different energy amounts to produce 1 kg</w:t>
      </w:r>
      <w:r w:rsidR="00DE72A7" w:rsidRPr="008F094A">
        <w:rPr>
          <w:vertAlign w:val="subscript"/>
          <w:lang w:val="en-GB"/>
        </w:rPr>
        <w:t>H2</w:t>
      </w:r>
      <w:r w:rsidRPr="008F094A">
        <w:rPr>
          <w:lang w:val="en-GB"/>
        </w:rPr>
        <w:t xml:space="preserve"> (functional unit). SMR requires 11</w:t>
      </w:r>
      <w:r w:rsidR="001B7149" w:rsidRPr="008F094A">
        <w:rPr>
          <w:lang w:val="en-GB"/>
        </w:rPr>
        <w:t>.3</w:t>
      </w:r>
      <w:r w:rsidRPr="008F094A">
        <w:rPr>
          <w:lang w:val="en-GB"/>
        </w:rPr>
        <w:t xml:space="preserve"> </w:t>
      </w:r>
      <w:r w:rsidR="001B7149" w:rsidRPr="008F094A">
        <w:rPr>
          <w:lang w:val="en-GB"/>
        </w:rPr>
        <w:t>k</w:t>
      </w:r>
      <w:r w:rsidRPr="008F094A">
        <w:rPr>
          <w:lang w:val="en-GB"/>
        </w:rPr>
        <w:t>Wh, A</w:t>
      </w:r>
      <w:r w:rsidR="001B7149" w:rsidRPr="008F094A">
        <w:rPr>
          <w:lang w:val="en-GB"/>
        </w:rPr>
        <w:t>W</w:t>
      </w:r>
      <w:r w:rsidRPr="008F094A">
        <w:rPr>
          <w:lang w:val="en-GB"/>
        </w:rPr>
        <w:t>E 61</w:t>
      </w:r>
      <w:r w:rsidR="001B7149" w:rsidRPr="008F094A">
        <w:rPr>
          <w:lang w:val="en-GB"/>
        </w:rPr>
        <w:t>.</w:t>
      </w:r>
      <w:r w:rsidRPr="008F094A">
        <w:rPr>
          <w:lang w:val="en-GB"/>
        </w:rPr>
        <w:t xml:space="preserve">8 </w:t>
      </w:r>
      <w:r w:rsidR="001B7149" w:rsidRPr="008F094A">
        <w:rPr>
          <w:lang w:val="en-GB"/>
        </w:rPr>
        <w:t>k</w:t>
      </w:r>
      <w:r w:rsidRPr="008F094A">
        <w:rPr>
          <w:lang w:val="en-GB"/>
        </w:rPr>
        <w:t>Wh, and hydrogen liquefaction 5</w:t>
      </w:r>
      <w:r w:rsidR="001B7149" w:rsidRPr="008F094A">
        <w:rPr>
          <w:lang w:val="en-GB"/>
        </w:rPr>
        <w:t>.1</w:t>
      </w:r>
      <w:r w:rsidRPr="008F094A">
        <w:rPr>
          <w:lang w:val="en-GB"/>
        </w:rPr>
        <w:t xml:space="preserve"> </w:t>
      </w:r>
      <w:r w:rsidR="001B7149" w:rsidRPr="008F094A">
        <w:rPr>
          <w:lang w:val="en-GB"/>
        </w:rPr>
        <w:t>k</w:t>
      </w:r>
      <w:r w:rsidRPr="008F094A">
        <w:rPr>
          <w:lang w:val="en-GB"/>
        </w:rPr>
        <w:t xml:space="preserve">Wh. In brief, hydrogen is widely promoted </w:t>
      </w:r>
      <w:r w:rsidRPr="004F2F78">
        <w:rPr>
          <w:lang w:val="en-GB"/>
        </w:rPr>
        <w:t>as an alternative energy carrier in Germany</w:t>
      </w:r>
      <w:r w:rsidR="009F127C" w:rsidRPr="004F2F78">
        <w:rPr>
          <w:lang w:val="en-GB"/>
        </w:rPr>
        <w:t>; however, depending on the production process and technical considerations,</w:t>
      </w:r>
      <w:r w:rsidRPr="004F2F78">
        <w:rPr>
          <w:lang w:val="en-GB"/>
        </w:rPr>
        <w:t xml:space="preserve"> further studies are required to support and explore its application</w:t>
      </w:r>
      <w:r w:rsidR="00B37B4D" w:rsidRPr="004F2F78">
        <w:rPr>
          <w:lang w:val="en-GB"/>
        </w:rPr>
        <w:t>s</w:t>
      </w:r>
      <w:r w:rsidRPr="004F2F78">
        <w:rPr>
          <w:lang w:val="en-GB"/>
        </w:rPr>
        <w:t>.</w:t>
      </w:r>
    </w:p>
    <w:p w14:paraId="476B2F2E" w14:textId="77777777" w:rsidR="00600535" w:rsidRPr="004F2F78" w:rsidRDefault="00600535" w:rsidP="00600535">
      <w:pPr>
        <w:pStyle w:val="CETHeading1"/>
        <w:rPr>
          <w:lang w:val="en-GB"/>
        </w:rPr>
      </w:pPr>
      <w:r w:rsidRPr="004F2F78">
        <w:rPr>
          <w:lang w:val="en-GB"/>
        </w:rPr>
        <w:t>Introduction</w:t>
      </w:r>
    </w:p>
    <w:p w14:paraId="18F2E7C6" w14:textId="0E961D8D" w:rsidR="00426B32" w:rsidRPr="004F2F78" w:rsidRDefault="00160F6E" w:rsidP="00684762">
      <w:pPr>
        <w:pStyle w:val="CETBodytext"/>
        <w:rPr>
          <w:lang w:val="en-GB"/>
        </w:rPr>
      </w:pPr>
      <w:r w:rsidRPr="004F2F78">
        <w:rPr>
          <w:lang w:val="en-GB"/>
        </w:rPr>
        <w:t>In 2022</w:t>
      </w:r>
      <w:r w:rsidR="002425B5" w:rsidRPr="004F2F78">
        <w:rPr>
          <w:lang w:val="en-GB"/>
        </w:rPr>
        <w:t>, around 2% of global GHG emissions were attributed to the aviation industry</w:t>
      </w:r>
      <w:r w:rsidRPr="004F2F78">
        <w:rPr>
          <w:lang w:val="en-GB"/>
        </w:rPr>
        <w:t xml:space="preserve"> </w:t>
      </w:r>
      <w:r w:rsidR="002425B5" w:rsidRPr="004F2F78">
        <w:rPr>
          <w:lang w:val="en-GB"/>
        </w:rPr>
        <w:t>(Ritchie and Roser, 2023), which is expected to grow by 1.3% annually (ICAO</w:t>
      </w:r>
      <w:r w:rsidR="0014621C" w:rsidRPr="004F2F78">
        <w:rPr>
          <w:lang w:val="en-GB"/>
        </w:rPr>
        <w:t>,</w:t>
      </w:r>
      <w:r w:rsidR="002425B5" w:rsidRPr="004F2F78">
        <w:rPr>
          <w:lang w:val="en-GB"/>
        </w:rPr>
        <w:t xml:space="preserve"> 2022).</w:t>
      </w:r>
      <w:r w:rsidR="00DA5C0F" w:rsidRPr="004F2F78">
        <w:rPr>
          <w:lang w:val="en-GB"/>
        </w:rPr>
        <w:t xml:space="preserve"> </w:t>
      </w:r>
      <w:r w:rsidR="0014621C" w:rsidRPr="004F2F78">
        <w:rPr>
          <w:lang w:val="en-GB"/>
        </w:rPr>
        <w:t>The International Civil Aviation Organization</w:t>
      </w:r>
      <w:r w:rsidR="00373D6B" w:rsidRPr="004F2F78">
        <w:rPr>
          <w:lang w:val="en-GB"/>
        </w:rPr>
        <w:t xml:space="preserve"> </w:t>
      </w:r>
      <w:r w:rsidR="00373D6B" w:rsidRPr="004F2F78">
        <w:t>(</w:t>
      </w:r>
      <w:r w:rsidR="0014621C" w:rsidRPr="004F2F78">
        <w:rPr>
          <w:lang w:val="en-GB"/>
        </w:rPr>
        <w:t>ICAO</w:t>
      </w:r>
      <w:r w:rsidR="00373D6B" w:rsidRPr="004F2F78">
        <w:rPr>
          <w:lang w:val="en-GB"/>
        </w:rPr>
        <w:t>)</w:t>
      </w:r>
      <w:r w:rsidR="0014621C" w:rsidRPr="004F2F78">
        <w:rPr>
          <w:lang w:val="en-GB"/>
        </w:rPr>
        <w:t xml:space="preserve"> </w:t>
      </w:r>
      <w:r w:rsidR="00A93BB7">
        <w:rPr>
          <w:lang w:val="en-GB"/>
        </w:rPr>
        <w:t xml:space="preserve">members </w:t>
      </w:r>
      <w:r w:rsidR="0014621C" w:rsidRPr="004F2F78">
        <w:rPr>
          <w:lang w:val="en-GB"/>
        </w:rPr>
        <w:t>have adopted a 2050 net-zero CO</w:t>
      </w:r>
      <w:r w:rsidR="0014621C" w:rsidRPr="004F2F78">
        <w:rPr>
          <w:vertAlign w:val="subscript"/>
          <w:lang w:val="en-GB"/>
        </w:rPr>
        <w:t>2</w:t>
      </w:r>
      <w:r w:rsidR="0014621C" w:rsidRPr="004F2F78">
        <w:rPr>
          <w:lang w:val="en-GB"/>
        </w:rPr>
        <w:t xml:space="preserve"> objective to alleviate the projected increase in GHG emissions. </w:t>
      </w:r>
      <w:r w:rsidR="008F094A" w:rsidRPr="004F2F78">
        <w:rPr>
          <w:lang w:val="en-GB"/>
        </w:rPr>
        <w:t>Lately,</w:t>
      </w:r>
      <w:r w:rsidR="0014621C" w:rsidRPr="004F2F78">
        <w:rPr>
          <w:lang w:val="en-GB"/>
        </w:rPr>
        <w:t xml:space="preserve"> several approaches </w:t>
      </w:r>
      <w:r w:rsidRPr="004F2F78">
        <w:rPr>
          <w:lang w:val="en-GB"/>
        </w:rPr>
        <w:t xml:space="preserve">for achieving this ambitious target </w:t>
      </w:r>
      <w:r w:rsidR="0014621C" w:rsidRPr="004F2F78">
        <w:rPr>
          <w:lang w:val="en-GB"/>
        </w:rPr>
        <w:t xml:space="preserve">have been suggested, including improvements in aircraft technology, operation performance, </w:t>
      </w:r>
      <w:r w:rsidRPr="004F2F78">
        <w:rPr>
          <w:lang w:val="en-GB"/>
        </w:rPr>
        <w:t xml:space="preserve">greater </w:t>
      </w:r>
      <w:r w:rsidR="0014621C" w:rsidRPr="004F2F78">
        <w:rPr>
          <w:lang w:val="en-GB"/>
        </w:rPr>
        <w:t>utilization of sustainable aviation fuels (SAF), and the introduction of market-based measures (Bergero et al.</w:t>
      </w:r>
      <w:r w:rsidR="0095543A" w:rsidRPr="004F2F78">
        <w:rPr>
          <w:lang w:val="en-GB"/>
        </w:rPr>
        <w:t>,</w:t>
      </w:r>
      <w:r w:rsidR="0014621C" w:rsidRPr="004F2F78">
        <w:rPr>
          <w:lang w:val="en-GB"/>
        </w:rPr>
        <w:t xml:space="preserve"> 2023). SAF can potentially reduce CO</w:t>
      </w:r>
      <w:r w:rsidR="0014621C" w:rsidRPr="004F2F78">
        <w:rPr>
          <w:vertAlign w:val="subscript"/>
          <w:lang w:val="en-GB"/>
        </w:rPr>
        <w:t>2</w:t>
      </w:r>
      <w:r w:rsidR="0014621C" w:rsidRPr="004F2F78">
        <w:rPr>
          <w:lang w:val="en-GB"/>
        </w:rPr>
        <w:t xml:space="preserve"> emissions, as their carbon content comes from biomass or the environment instead of fossil fuels (Vardon et al.</w:t>
      </w:r>
      <w:r w:rsidR="0095543A" w:rsidRPr="004F2F78">
        <w:rPr>
          <w:lang w:val="en-GB"/>
        </w:rPr>
        <w:t>,</w:t>
      </w:r>
      <w:r w:rsidR="0014621C" w:rsidRPr="004F2F78">
        <w:rPr>
          <w:lang w:val="en-GB"/>
        </w:rPr>
        <w:t xml:space="preserve"> 2022). </w:t>
      </w:r>
      <w:r w:rsidR="00995DD9" w:rsidRPr="004F2F78">
        <w:rPr>
          <w:lang w:val="en-GB"/>
        </w:rPr>
        <w:t>In addition,</w:t>
      </w:r>
      <w:r w:rsidR="0014621C" w:rsidRPr="004F2F78">
        <w:rPr>
          <w:lang w:val="en-GB"/>
        </w:rPr>
        <w:t xml:space="preserve"> </w:t>
      </w:r>
      <w:r w:rsidR="00995DD9" w:rsidRPr="004F2F78">
        <w:rPr>
          <w:lang w:val="en-GB"/>
        </w:rPr>
        <w:t>h</w:t>
      </w:r>
      <w:r w:rsidR="00566EBA" w:rsidRPr="004F2F78">
        <w:rPr>
          <w:lang w:val="en-GB"/>
        </w:rPr>
        <w:t>ydrogen (H</w:t>
      </w:r>
      <w:r w:rsidR="00566EBA" w:rsidRPr="004F2F78">
        <w:rPr>
          <w:vertAlign w:val="subscript"/>
          <w:lang w:val="en-GB"/>
        </w:rPr>
        <w:t>2</w:t>
      </w:r>
      <w:r w:rsidR="00566EBA" w:rsidRPr="004F2F78">
        <w:rPr>
          <w:lang w:val="en-GB"/>
        </w:rPr>
        <w:t xml:space="preserve">) is increasingly recognized for its high specific energy and zero carbon emissions at the point of use, making it a promising candidate for future aviation fuel (Dawood et al., 2020). </w:t>
      </w:r>
      <w:bookmarkStart w:id="0" w:name="_Hlk163843800"/>
      <w:bookmarkStart w:id="1" w:name="_Hlk163402891"/>
      <w:bookmarkStart w:id="2" w:name="_Hlk163843636"/>
      <w:r w:rsidR="004F2F78" w:rsidRPr="004F2F78">
        <w:rPr>
          <w:lang w:val="en-GB"/>
        </w:rPr>
        <w:t>Various hydrogen routes are available and are categorized based on production processes and sources. For instance, innovative hydrogen process designs offer a zero-net carbon solution using renewable energy (Yusaf et al., 2022), including promising technologies such as steam methane reforming (SMR), alkaline water electrolysis (AWE), proton exchange membrane (PEM), and solid oxide electrolysis (SOE). They can be coupled to various H</w:t>
      </w:r>
      <w:r w:rsidR="004F2F78" w:rsidRPr="003F2D67">
        <w:rPr>
          <w:vertAlign w:val="subscript"/>
          <w:lang w:val="en-GB"/>
        </w:rPr>
        <w:t>2</w:t>
      </w:r>
      <w:r w:rsidR="004F2F78" w:rsidRPr="004F2F78">
        <w:rPr>
          <w:lang w:val="en-GB"/>
        </w:rPr>
        <w:t xml:space="preserve"> liquefaction techniques, namely cascade liquefaction process and precooled liquefaction process i.e., mixed refrigerants or Joule-Brayton cycles (JBC) - the latter offers great prospects for development in the near future from a technical perspective (Yin and Ju, 2020; Son et al., 2022). Before deciding which routes should be adopted, it is necessary to assess the whole supply chain of hydrogen production and estimate the potential environmental impacts. Therefore, the life cycle assessment (LCA) of the H</w:t>
      </w:r>
      <w:r w:rsidR="004F2F78" w:rsidRPr="003F2D67">
        <w:rPr>
          <w:vertAlign w:val="subscript"/>
          <w:lang w:val="en-GB"/>
        </w:rPr>
        <w:t>2</w:t>
      </w:r>
      <w:r w:rsidR="004F2F78" w:rsidRPr="004F2F78">
        <w:rPr>
          <w:lang w:val="en-GB"/>
        </w:rPr>
        <w:t xml:space="preserve"> process has been explored in recent years (Bhandari et al., 2012; Burkhardt et al., 2016; Bareiß et al., 2019) and an environmental </w:t>
      </w:r>
      <w:r w:rsidR="004F2F78" w:rsidRPr="004F2F78">
        <w:rPr>
          <w:lang w:val="en-GB"/>
        </w:rPr>
        <w:lastRenderedPageBreak/>
        <w:t>performance review of hydrogen production technologies is given by Chelvam et al. (2024). In general, thermochemical H</w:t>
      </w:r>
      <w:r w:rsidR="004F2F78" w:rsidRPr="003F2D67">
        <w:rPr>
          <w:vertAlign w:val="subscript"/>
          <w:lang w:val="en-GB"/>
        </w:rPr>
        <w:t>2</w:t>
      </w:r>
      <w:r w:rsidR="004F2F78" w:rsidRPr="004F2F78">
        <w:rPr>
          <w:lang w:val="en-GB"/>
        </w:rPr>
        <w:t xml:space="preserve"> production is the most studied technology in LCA. However, utilizing natural resources, especially solar and wind power, in the electrolysis process is an environmentally preferable solution compared to alternative production processes (Bareiß et al., 2019; Wilkinson et al., 2023). Hence, the novelty of this work is examined via the attributional LCA approach of two possible H</w:t>
      </w:r>
      <w:r w:rsidR="004F2F78" w:rsidRPr="003F2D67">
        <w:rPr>
          <w:vertAlign w:val="subscript"/>
          <w:lang w:val="en-GB"/>
        </w:rPr>
        <w:t>2</w:t>
      </w:r>
      <w:r w:rsidR="004F2F78" w:rsidRPr="004F2F78">
        <w:rPr>
          <w:lang w:val="en-GB"/>
        </w:rPr>
        <w:t xml:space="preserve"> production routes covering mature technologies, SMR and AWE, integrated into a JBC liquefaction process under four German energy scenarios, reflecting both the electricity mix in 2022 and projections for 2050. Our study concentrates on the ReCiPe method, which aggregates impacts into three areas of protection, e.g., human health, ecosystem, and resource availability. Although LCA cradle-to-gate comprises various (eight) impact categories, this work focuses on global warming (GWP) and acidification potential (AP), referring to greenhouse gas emissions and acid rain effects, which are significant to determining product system environmental impacts.</w:t>
      </w:r>
      <w:bookmarkEnd w:id="0"/>
    </w:p>
    <w:bookmarkEnd w:id="1"/>
    <w:bookmarkEnd w:id="2"/>
    <w:p w14:paraId="5741900F" w14:textId="4F9F7DDB" w:rsidR="00453E24" w:rsidRDefault="00032679" w:rsidP="00453E24">
      <w:pPr>
        <w:pStyle w:val="CETHeading1"/>
      </w:pPr>
      <w:r w:rsidRPr="00032679">
        <w:t>Liquid hydrogen production technologies</w:t>
      </w:r>
    </w:p>
    <w:p w14:paraId="09406386" w14:textId="540C3B1E" w:rsidR="00453E24" w:rsidRDefault="00566EBA" w:rsidP="00566EBA">
      <w:pPr>
        <w:pStyle w:val="CETBodytext"/>
      </w:pPr>
      <w:r w:rsidRPr="006441F7">
        <w:t xml:space="preserve">This section outlines two </w:t>
      </w:r>
      <w:r w:rsidR="006441F7" w:rsidRPr="006441F7">
        <w:rPr>
          <w:lang w:val="en-GB"/>
        </w:rPr>
        <w:t>H</w:t>
      </w:r>
      <w:r w:rsidR="006441F7" w:rsidRPr="006441F7">
        <w:rPr>
          <w:vertAlign w:val="subscript"/>
          <w:lang w:val="en-GB"/>
        </w:rPr>
        <w:t>2</w:t>
      </w:r>
      <w:r w:rsidRPr="006441F7">
        <w:t xml:space="preserve"> production processes, </w:t>
      </w:r>
      <w:r w:rsidR="00C851B9" w:rsidRPr="006441F7">
        <w:t>SMR</w:t>
      </w:r>
      <w:r w:rsidRPr="006441F7">
        <w:t xml:space="preserve"> and </w:t>
      </w:r>
      <w:r w:rsidR="00C851B9" w:rsidRPr="006441F7">
        <w:t>AWE</w:t>
      </w:r>
      <w:r w:rsidRPr="006441F7">
        <w:t xml:space="preserve">, and a subsequent </w:t>
      </w:r>
      <w:r w:rsidR="009A5DB7" w:rsidRPr="006441F7">
        <w:rPr>
          <w:lang w:val="en-GB"/>
        </w:rPr>
        <w:t>JBC</w:t>
      </w:r>
      <w:r w:rsidR="009A5DB7" w:rsidRPr="006441F7">
        <w:t xml:space="preserve"> </w:t>
      </w:r>
      <w:r w:rsidRPr="006441F7">
        <w:t>liquefaction process</w:t>
      </w:r>
      <w:r w:rsidR="00C000C2" w:rsidRPr="006441F7">
        <w:t xml:space="preserve"> </w:t>
      </w:r>
      <w:r w:rsidRPr="006441F7">
        <w:t>based on the technology readiness level (TRL)</w:t>
      </w:r>
      <w:r w:rsidR="00C50C10" w:rsidRPr="006441F7">
        <w:t>.</w:t>
      </w:r>
      <w:r w:rsidR="00C000C2" w:rsidRPr="006441F7">
        <w:t xml:space="preserve"> All processes are ranked in TRL 9</w:t>
      </w:r>
      <w:r w:rsidR="001340DE" w:rsidRPr="006441F7">
        <w:t xml:space="preserve"> (Wilkinson et al., 2023)</w:t>
      </w:r>
      <w:r w:rsidR="00C000C2" w:rsidRPr="006441F7">
        <w:t>.</w:t>
      </w:r>
    </w:p>
    <w:p w14:paraId="4EE8DD7C" w14:textId="1C34636C" w:rsidR="0096022A" w:rsidRDefault="0096022A" w:rsidP="00845550">
      <w:pPr>
        <w:pStyle w:val="CETheadingx"/>
      </w:pPr>
      <w:r>
        <w:t>S</w:t>
      </w:r>
      <w:r w:rsidRPr="0096022A">
        <w:t>team methane reforming</w:t>
      </w:r>
    </w:p>
    <w:p w14:paraId="210FAFFA" w14:textId="15CCA759" w:rsidR="00032679" w:rsidRDefault="007F7398" w:rsidP="00556967">
      <w:pPr>
        <w:pStyle w:val="CETBodytext"/>
      </w:pPr>
      <w:r w:rsidRPr="00F74A1F">
        <w:t>SMR</w:t>
      </w:r>
      <w:r w:rsidR="004A6D77" w:rsidRPr="00F74A1F">
        <w:t xml:space="preserve"> is the most common method for </w:t>
      </w:r>
      <w:r w:rsidR="00820DC0" w:rsidRPr="00F74A1F">
        <w:rPr>
          <w:lang w:val="en-GB"/>
        </w:rPr>
        <w:t>H</w:t>
      </w:r>
      <w:r w:rsidR="00820DC0" w:rsidRPr="00F74A1F">
        <w:rPr>
          <w:vertAlign w:val="subscript"/>
          <w:lang w:val="en-GB"/>
        </w:rPr>
        <w:t xml:space="preserve">2 </w:t>
      </w:r>
      <w:r w:rsidR="004A6D77" w:rsidRPr="00F74A1F">
        <w:t>produc</w:t>
      </w:r>
      <w:r w:rsidR="00820DC0" w:rsidRPr="00F74A1F">
        <w:t>tion</w:t>
      </w:r>
      <w:r w:rsidR="004A6D77" w:rsidRPr="00F74A1F">
        <w:t>. The process consists of steam reforming, water-gas shift</w:t>
      </w:r>
      <w:r w:rsidR="00D113A4" w:rsidRPr="00F74A1F">
        <w:t xml:space="preserve"> (</w:t>
      </w:r>
      <w:r w:rsidR="004A6D77" w:rsidRPr="00F74A1F">
        <w:t>WGS</w:t>
      </w:r>
      <w:r w:rsidR="00D113A4" w:rsidRPr="00F74A1F">
        <w:t>)</w:t>
      </w:r>
      <w:r w:rsidR="004A6D77" w:rsidRPr="00F74A1F">
        <w:t>, and pressure swing adsorption</w:t>
      </w:r>
      <w:r w:rsidR="001A51C2" w:rsidRPr="00F74A1F">
        <w:t xml:space="preserve"> (</w:t>
      </w:r>
      <w:r w:rsidR="004A6D77" w:rsidRPr="00F74A1F">
        <w:t>PSA</w:t>
      </w:r>
      <w:r w:rsidR="001A51C2" w:rsidRPr="00F74A1F">
        <w:t>)</w:t>
      </w:r>
      <w:r w:rsidR="004A6D77" w:rsidRPr="00F74A1F">
        <w:t xml:space="preserve"> steps (</w:t>
      </w:r>
      <w:r w:rsidR="00A2679D" w:rsidRPr="00A2679D">
        <w:t>Boyano et al., 2011</w:t>
      </w:r>
      <w:r w:rsidR="004A6D77" w:rsidRPr="00F74A1F">
        <w:t xml:space="preserve">). In natural gas cases, SMR requires a pretreatment stage to remove sulfur and transform non-methane hydrocarbons into </w:t>
      </w:r>
      <w:r w:rsidR="00820DC0" w:rsidRPr="00F74A1F">
        <w:t>methane (</w:t>
      </w:r>
      <w:r w:rsidR="004A6D77" w:rsidRPr="00F74A1F">
        <w:t>CH</w:t>
      </w:r>
      <w:r w:rsidR="004A6D77" w:rsidRPr="00F74A1F">
        <w:rPr>
          <w:vertAlign w:val="subscript"/>
        </w:rPr>
        <w:t>4</w:t>
      </w:r>
      <w:r w:rsidR="00820DC0" w:rsidRPr="00F74A1F">
        <w:t>)</w:t>
      </w:r>
      <w:r w:rsidR="004A6D77" w:rsidRPr="00F74A1F">
        <w:t>. It prevents the catalyst of the steam reforming stage from poisoning and avoids the correction of reactor tubes (Gangadharan et al., 2012). Our research, however, selects CH</w:t>
      </w:r>
      <w:r w:rsidR="004A6D77" w:rsidRPr="00F74A1F">
        <w:rPr>
          <w:vertAlign w:val="subscript"/>
        </w:rPr>
        <w:t>4</w:t>
      </w:r>
      <w:r w:rsidR="004A6D77" w:rsidRPr="00F74A1F">
        <w:t xml:space="preserve"> as the primary input, thus excluding the need for this preliminary pretreatment.</w:t>
      </w:r>
      <w:r w:rsidRPr="00F74A1F">
        <w:t xml:space="preserve"> </w:t>
      </w:r>
      <w:r w:rsidR="00362A0C" w:rsidRPr="00F74A1F">
        <w:t>During the steam reforming stage, CH</w:t>
      </w:r>
      <w:r w:rsidR="00362A0C" w:rsidRPr="00F74A1F">
        <w:rPr>
          <w:vertAlign w:val="subscript"/>
        </w:rPr>
        <w:t>4</w:t>
      </w:r>
      <w:r w:rsidR="00362A0C" w:rsidRPr="00F74A1F">
        <w:t xml:space="preserve"> reacts to produce syngas, a mixture of H</w:t>
      </w:r>
      <w:r w:rsidR="00362A0C" w:rsidRPr="00F74A1F">
        <w:rPr>
          <w:vertAlign w:val="subscript"/>
        </w:rPr>
        <w:t>2</w:t>
      </w:r>
      <w:r w:rsidR="00362A0C" w:rsidRPr="00F74A1F">
        <w:t xml:space="preserve"> and carbon monoxide (CO), Eq.</w:t>
      </w:r>
      <w:r w:rsidR="00D113A4" w:rsidRPr="00F74A1F">
        <w:t xml:space="preserve"> </w:t>
      </w:r>
      <w:r w:rsidR="00362A0C" w:rsidRPr="00F74A1F">
        <w:t>(1). This process requires CH</w:t>
      </w:r>
      <w:r w:rsidR="00362A0C" w:rsidRPr="00F74A1F">
        <w:rPr>
          <w:vertAlign w:val="subscript"/>
        </w:rPr>
        <w:t>4</w:t>
      </w:r>
      <w:r w:rsidR="00362A0C" w:rsidRPr="00F74A1F">
        <w:t xml:space="preserve"> and steam with a nickel-based catalyst at a temperature between 700-1000</w:t>
      </w:r>
      <w:r w:rsidR="00373D6B" w:rsidRPr="00F74A1F">
        <w:rPr>
          <w:rFonts w:cs="Arial"/>
        </w:rPr>
        <w:t>°</w:t>
      </w:r>
      <w:r w:rsidR="00362A0C" w:rsidRPr="00F74A1F">
        <w:t>C and pressures of 5-40 bar (Barelli et al., 2008). Notably, this reaction is endothermic, requiring energy from the reformer’s furnace</w:t>
      </w:r>
      <w:r w:rsidR="00564B29" w:rsidRPr="00F74A1F">
        <w:t>, as indicated by the</w:t>
      </w:r>
      <w:r w:rsidR="00B72D1B" w:rsidRPr="00F74A1F">
        <w:t xml:space="preserve"> standard enthalpies of formation</w:t>
      </w:r>
      <w:r w:rsidR="00564B29" w:rsidRPr="00F74A1F">
        <w:t xml:space="preserve"> </w:t>
      </w:r>
      <m:oMath>
        <m:r>
          <w:rPr>
            <w:rFonts w:ascii="Cambria Math" w:hAnsi="Cambria Math"/>
          </w:rPr>
          <m:t>∆H</m:t>
        </m:r>
      </m:oMath>
      <w:r w:rsidR="00766999" w:rsidRPr="00F74A1F">
        <w:rPr>
          <w:vertAlign w:val="subscript"/>
        </w:rPr>
        <w:t>r</w:t>
      </w:r>
      <w:r w:rsidR="00564B29" w:rsidRPr="00F74A1F">
        <w:t xml:space="preserve"> </w:t>
      </w:r>
      <w:r w:rsidR="00362A0C" w:rsidRPr="00F74A1F">
        <w:t>(Hajjaji et al., 2012).</w:t>
      </w:r>
      <w:r w:rsidR="00850565" w:rsidRPr="00F74A1F">
        <w:t xml:space="preserve"> </w:t>
      </w:r>
      <w:r w:rsidR="00032679" w:rsidRPr="00F74A1F">
        <w:t xml:space="preserve">The </w:t>
      </w:r>
      <w:r w:rsidR="009A4031" w:rsidRPr="00F74A1F">
        <w:t>WGS process is designed to increase</w:t>
      </w:r>
      <w:r w:rsidR="00216E77" w:rsidRPr="00F74A1F">
        <w:t xml:space="preserve"> the</w:t>
      </w:r>
      <w:r w:rsidR="009A4031" w:rsidRPr="00F74A1F">
        <w:t xml:space="preserve"> H</w:t>
      </w:r>
      <w:r w:rsidR="009A4031" w:rsidRPr="00F74A1F">
        <w:rPr>
          <w:vertAlign w:val="subscript"/>
        </w:rPr>
        <w:t>2</w:t>
      </w:r>
      <w:r w:rsidR="009A4031" w:rsidRPr="00F74A1F">
        <w:t xml:space="preserve"> content by converting </w:t>
      </w:r>
      <w:r w:rsidR="0055742F" w:rsidRPr="00F74A1F">
        <w:t xml:space="preserve">the mixture of CO and steam </w:t>
      </w:r>
      <w:r w:rsidR="009A4031" w:rsidRPr="00F74A1F">
        <w:t>into H</w:t>
      </w:r>
      <w:r w:rsidR="009A4031" w:rsidRPr="00F74A1F">
        <w:rPr>
          <w:vertAlign w:val="subscript"/>
        </w:rPr>
        <w:t>2</w:t>
      </w:r>
      <w:r w:rsidR="009A4031" w:rsidRPr="00F74A1F">
        <w:t xml:space="preserve"> and CO</w:t>
      </w:r>
      <w:r w:rsidR="009A4031" w:rsidRPr="00F74A1F">
        <w:rPr>
          <w:vertAlign w:val="subscript"/>
        </w:rPr>
        <w:t>2</w:t>
      </w:r>
      <w:r w:rsidR="009A4031" w:rsidRPr="00F74A1F">
        <w:t>, Eq.</w:t>
      </w:r>
      <w:r w:rsidR="00D113A4" w:rsidRPr="00F74A1F">
        <w:t xml:space="preserve"> </w:t>
      </w:r>
      <w:r w:rsidR="009A4031" w:rsidRPr="00F74A1F">
        <w:t>(2) (Pal et al., 2018)</w:t>
      </w:r>
      <w:r w:rsidR="008A0DFA" w:rsidRPr="00F74A1F">
        <w:t xml:space="preserve">. </w:t>
      </w:r>
      <w:r w:rsidR="009A4031" w:rsidRPr="00F74A1F">
        <w:t xml:space="preserve">This stage consists of high- and low-temperature subprocesses. </w:t>
      </w:r>
      <w:r w:rsidR="008A0DFA" w:rsidRPr="00F74A1F">
        <w:t xml:space="preserve">The </w:t>
      </w:r>
      <w:r w:rsidR="009A4031" w:rsidRPr="00F74A1F">
        <w:t>high-temperature WGS reactor</w:t>
      </w:r>
      <w:r w:rsidR="008A0DFA" w:rsidRPr="00F74A1F">
        <w:t xml:space="preserve"> operates between 350 and 500</w:t>
      </w:r>
      <w:r w:rsidR="00373D6B" w:rsidRPr="00F74A1F">
        <w:rPr>
          <w:rFonts w:cs="Arial"/>
        </w:rPr>
        <w:t>°</w:t>
      </w:r>
      <w:r w:rsidR="008A0DFA" w:rsidRPr="00F74A1F">
        <w:t xml:space="preserve">C, which </w:t>
      </w:r>
      <w:r w:rsidR="00C37826" w:rsidRPr="00F74A1F">
        <w:t xml:space="preserve">accelerates </w:t>
      </w:r>
      <w:r w:rsidR="008A0DFA" w:rsidRPr="00F74A1F">
        <w:t xml:space="preserve">this </w:t>
      </w:r>
      <w:r w:rsidR="009A4031" w:rsidRPr="00F74A1F">
        <w:t>chemical reaction (Chen and Chen, 2020). Subsequently, the low-temperature WGS</w:t>
      </w:r>
      <w:r w:rsidR="00C37826" w:rsidRPr="00F74A1F">
        <w:t xml:space="preserve"> reactor</w:t>
      </w:r>
      <w:r w:rsidR="009A4031" w:rsidRPr="00F74A1F">
        <w:t xml:space="preserve"> operat</w:t>
      </w:r>
      <w:r w:rsidR="00EA7FD8">
        <w:t xml:space="preserve">es at </w:t>
      </w:r>
      <w:r w:rsidR="009A4031" w:rsidRPr="00F74A1F">
        <w:t>150</w:t>
      </w:r>
      <w:r w:rsidR="00373D6B" w:rsidRPr="00F74A1F">
        <w:rPr>
          <w:rFonts w:cs="Arial"/>
        </w:rPr>
        <w:t>°</w:t>
      </w:r>
      <w:r w:rsidR="009A4031" w:rsidRPr="00F74A1F">
        <w:t xml:space="preserve">C. </w:t>
      </w:r>
      <w:r w:rsidR="00556967" w:rsidRPr="00F74A1F">
        <w:t>The primary outputs of the SMR processes are H</w:t>
      </w:r>
      <w:r w:rsidR="00556967" w:rsidRPr="00F74A1F">
        <w:rPr>
          <w:vertAlign w:val="subscript"/>
        </w:rPr>
        <w:t>2</w:t>
      </w:r>
      <w:r w:rsidR="00556967" w:rsidRPr="00F74A1F">
        <w:t xml:space="preserve"> and CO</w:t>
      </w:r>
      <w:r w:rsidR="00556967" w:rsidRPr="00F74A1F">
        <w:rPr>
          <w:vertAlign w:val="subscript"/>
        </w:rPr>
        <w:t>2</w:t>
      </w:r>
      <w:r w:rsidR="00556967" w:rsidRPr="00F74A1F">
        <w:t xml:space="preserve">, </w:t>
      </w:r>
      <w:r w:rsidR="00156E1E" w:rsidRPr="00F74A1F">
        <w:t xml:space="preserve">as </w:t>
      </w:r>
      <w:r w:rsidR="00BF1DB0">
        <w:t>shown</w:t>
      </w:r>
      <w:r w:rsidR="00556967" w:rsidRPr="00F74A1F">
        <w:t xml:space="preserve"> in Eq.</w:t>
      </w:r>
      <w:r w:rsidR="001A51C2" w:rsidRPr="00F74A1F">
        <w:t xml:space="preserve"> </w:t>
      </w:r>
      <w:r w:rsidR="00556967" w:rsidRPr="00F74A1F">
        <w:t>(3)</w:t>
      </w:r>
      <w:r w:rsidR="00156E1E" w:rsidRPr="00F74A1F">
        <w:t xml:space="preserve"> (Hajjaji et al., 2012)</w:t>
      </w:r>
      <w:r w:rsidR="00032679" w:rsidRPr="00F74A1F">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682"/>
      </w:tblGrid>
      <w:tr w:rsidR="001C1A2B" w14:paraId="01DCC6A3" w14:textId="77777777" w:rsidTr="007F7398">
        <w:trPr>
          <w:jc w:val="center"/>
        </w:trPr>
        <w:tc>
          <w:tcPr>
            <w:tcW w:w="8095" w:type="dxa"/>
          </w:tcPr>
          <w:p w14:paraId="0A4817E9" w14:textId="2993BB71" w:rsidR="001C1A2B" w:rsidRPr="002D0005" w:rsidRDefault="001C1A2B" w:rsidP="00E24BC5">
            <w:pPr>
              <w:pStyle w:val="CETBodytext"/>
              <w:rPr>
                <w:sz w:val="17"/>
                <w:szCs w:val="17"/>
              </w:rPr>
            </w:pPr>
            <m:oMathPara>
              <m:oMath>
                <m:r>
                  <w:rPr>
                    <w:rFonts w:ascii="Cambria Math"/>
                    <w:sz w:val="17"/>
                    <w:szCs w:val="17"/>
                  </w:rPr>
                  <m:t>C</m:t>
                </m:r>
                <m:sSub>
                  <m:sSubPr>
                    <m:ctrlPr>
                      <w:rPr>
                        <w:rFonts w:ascii="Cambria Math" w:hAnsi="Cambria Math"/>
                        <w:i/>
                        <w:sz w:val="17"/>
                        <w:szCs w:val="17"/>
                      </w:rPr>
                    </m:ctrlPr>
                  </m:sSubPr>
                  <m:e>
                    <m:r>
                      <w:rPr>
                        <w:rFonts w:ascii="Cambria Math"/>
                        <w:sz w:val="17"/>
                        <w:szCs w:val="17"/>
                      </w:rPr>
                      <m:t>H</m:t>
                    </m:r>
                  </m:e>
                  <m:sub>
                    <m:r>
                      <w:rPr>
                        <w:rFonts w:ascii="Cambria Math"/>
                        <w:sz w:val="17"/>
                        <w:szCs w:val="17"/>
                      </w:rPr>
                      <m:t>4</m:t>
                    </m:r>
                  </m:sub>
                </m:sSub>
                <m:r>
                  <w:rPr>
                    <w:rFonts w:ascii="Cambria Math"/>
                    <w:sz w:val="17"/>
                    <w:szCs w:val="17"/>
                  </w:rPr>
                  <m:t xml:space="preserve">(g) + </m:t>
                </m:r>
                <m:sSub>
                  <m:sSubPr>
                    <m:ctrlPr>
                      <w:rPr>
                        <w:rFonts w:ascii="Cambria Math" w:hAnsi="Cambria Math"/>
                        <w:i/>
                        <w:sz w:val="17"/>
                        <w:szCs w:val="17"/>
                      </w:rPr>
                    </m:ctrlPr>
                  </m:sSubPr>
                  <m:e>
                    <m:r>
                      <w:rPr>
                        <w:rFonts w:ascii="Cambria Math"/>
                        <w:sz w:val="17"/>
                        <w:szCs w:val="17"/>
                      </w:rPr>
                      <m:t>H</m:t>
                    </m:r>
                  </m:e>
                  <m:sub>
                    <m:r>
                      <w:rPr>
                        <w:rFonts w:ascii="Cambria Math"/>
                        <w:sz w:val="17"/>
                        <w:szCs w:val="17"/>
                      </w:rPr>
                      <m:t>2</m:t>
                    </m:r>
                  </m:sub>
                </m:sSub>
                <m:r>
                  <w:rPr>
                    <w:rFonts w:ascii="Cambria Math"/>
                    <w:sz w:val="17"/>
                    <w:szCs w:val="17"/>
                  </w:rPr>
                  <m:t xml:space="preserve">O(g) </m:t>
                </m:r>
                <m:r>
                  <w:rPr>
                    <w:rFonts w:ascii="Cambria Math"/>
                    <w:sz w:val="17"/>
                    <w:szCs w:val="17"/>
                  </w:rPr>
                  <m:t>↔</m:t>
                </m:r>
                <m:r>
                  <w:rPr>
                    <w:rFonts w:ascii="Cambria Math"/>
                    <w:sz w:val="17"/>
                    <w:szCs w:val="17"/>
                  </w:rPr>
                  <m:t xml:space="preserve"> CO(g) + 3</m:t>
                </m:r>
                <m:sSub>
                  <m:sSubPr>
                    <m:ctrlPr>
                      <w:rPr>
                        <w:rFonts w:ascii="Cambria Math" w:hAnsi="Cambria Math"/>
                        <w:i/>
                        <w:sz w:val="17"/>
                        <w:szCs w:val="17"/>
                      </w:rPr>
                    </m:ctrlPr>
                  </m:sSubPr>
                  <m:e>
                    <m:r>
                      <w:rPr>
                        <w:rFonts w:ascii="Cambria Math"/>
                        <w:sz w:val="17"/>
                        <w:szCs w:val="17"/>
                      </w:rPr>
                      <m:t>H</m:t>
                    </m:r>
                  </m:e>
                  <m:sub>
                    <m:r>
                      <w:rPr>
                        <w:rFonts w:ascii="Cambria Math"/>
                        <w:sz w:val="17"/>
                        <w:szCs w:val="17"/>
                      </w:rPr>
                      <m:t>2</m:t>
                    </m:r>
                  </m:sub>
                </m:sSub>
                <m:r>
                  <w:rPr>
                    <w:rFonts w:ascii="Cambria Math"/>
                    <w:sz w:val="17"/>
                    <w:szCs w:val="17"/>
                  </w:rPr>
                  <m:t>(g)   Δ</m:t>
                </m:r>
                <m:sSub>
                  <m:sSubPr>
                    <m:ctrlPr>
                      <w:rPr>
                        <w:rFonts w:ascii="Cambria Math" w:hAnsi="Cambria Math"/>
                        <w:i/>
                        <w:sz w:val="17"/>
                        <w:szCs w:val="17"/>
                      </w:rPr>
                    </m:ctrlPr>
                  </m:sSubPr>
                  <m:e>
                    <m:r>
                      <w:rPr>
                        <w:rFonts w:ascii="Cambria Math"/>
                        <w:sz w:val="17"/>
                        <w:szCs w:val="17"/>
                      </w:rPr>
                      <m:t>H</m:t>
                    </m:r>
                  </m:e>
                  <m:sub>
                    <m:r>
                      <w:rPr>
                        <w:rFonts w:ascii="Cambria Math"/>
                        <w:sz w:val="17"/>
                        <w:szCs w:val="17"/>
                      </w:rPr>
                      <m:t>r</m:t>
                    </m:r>
                  </m:sub>
                </m:sSub>
                <m:r>
                  <w:rPr>
                    <w:rFonts w:ascii="Cambria Math"/>
                    <w:sz w:val="17"/>
                    <w:szCs w:val="17"/>
                  </w:rPr>
                  <m:t>= 206 kJ/mol C</m:t>
                </m:r>
                <m:sSub>
                  <m:sSubPr>
                    <m:ctrlPr>
                      <w:rPr>
                        <w:rFonts w:ascii="Cambria Math" w:hAnsi="Cambria Math"/>
                        <w:i/>
                        <w:sz w:val="17"/>
                        <w:szCs w:val="17"/>
                      </w:rPr>
                    </m:ctrlPr>
                  </m:sSubPr>
                  <m:e>
                    <m:r>
                      <w:rPr>
                        <w:rFonts w:ascii="Cambria Math"/>
                        <w:sz w:val="17"/>
                        <w:szCs w:val="17"/>
                      </w:rPr>
                      <m:t>H</m:t>
                    </m:r>
                  </m:e>
                  <m:sub>
                    <m:r>
                      <w:rPr>
                        <w:rFonts w:ascii="Cambria Math"/>
                        <w:sz w:val="17"/>
                        <w:szCs w:val="17"/>
                      </w:rPr>
                      <m:t>4</m:t>
                    </m:r>
                  </m:sub>
                </m:sSub>
              </m:oMath>
            </m:oMathPara>
          </w:p>
        </w:tc>
        <w:tc>
          <w:tcPr>
            <w:tcW w:w="682" w:type="dxa"/>
            <w:vAlign w:val="center"/>
          </w:tcPr>
          <w:p w14:paraId="0AC9FC32" w14:textId="77777777" w:rsidR="001C1A2B" w:rsidRPr="002D0005" w:rsidRDefault="001C1A2B" w:rsidP="00E24BC5">
            <w:pPr>
              <w:pStyle w:val="CETBodytext"/>
              <w:jc w:val="center"/>
              <w:rPr>
                <w:sz w:val="17"/>
                <w:szCs w:val="17"/>
              </w:rPr>
            </w:pPr>
            <w:r w:rsidRPr="002D0005">
              <w:rPr>
                <w:sz w:val="17"/>
                <w:szCs w:val="17"/>
              </w:rPr>
              <w:t>(1)</w:t>
            </w:r>
          </w:p>
        </w:tc>
      </w:tr>
      <w:tr w:rsidR="001C1A2B" w14:paraId="5D96BF23" w14:textId="77777777" w:rsidTr="007F7398">
        <w:trPr>
          <w:jc w:val="center"/>
        </w:trPr>
        <w:tc>
          <w:tcPr>
            <w:tcW w:w="8095" w:type="dxa"/>
          </w:tcPr>
          <w:p w14:paraId="0DBCFEBC" w14:textId="7455AA7D" w:rsidR="001C1A2B" w:rsidRPr="002D0005" w:rsidRDefault="001C1A2B" w:rsidP="00E24BC5">
            <w:pPr>
              <w:pStyle w:val="CETBodytext"/>
              <w:rPr>
                <w:sz w:val="17"/>
                <w:szCs w:val="17"/>
              </w:rPr>
            </w:pPr>
            <m:oMathPara>
              <m:oMath>
                <m:r>
                  <w:rPr>
                    <w:rFonts w:ascii="Cambria Math"/>
                    <w:sz w:val="17"/>
                    <w:szCs w:val="17"/>
                  </w:rPr>
                  <m:t xml:space="preserve">CO(g) + </m:t>
                </m:r>
                <m:sSub>
                  <m:sSubPr>
                    <m:ctrlPr>
                      <w:rPr>
                        <w:rFonts w:ascii="Cambria Math" w:hAnsi="Cambria Math"/>
                        <w:i/>
                        <w:sz w:val="17"/>
                        <w:szCs w:val="17"/>
                      </w:rPr>
                    </m:ctrlPr>
                  </m:sSubPr>
                  <m:e>
                    <m:r>
                      <w:rPr>
                        <w:rFonts w:ascii="Cambria Math"/>
                        <w:sz w:val="17"/>
                        <w:szCs w:val="17"/>
                      </w:rPr>
                      <m:t>H</m:t>
                    </m:r>
                  </m:e>
                  <m:sub>
                    <m:r>
                      <w:rPr>
                        <w:rFonts w:ascii="Cambria Math"/>
                        <w:sz w:val="17"/>
                        <w:szCs w:val="17"/>
                      </w:rPr>
                      <m:t>2</m:t>
                    </m:r>
                  </m:sub>
                </m:sSub>
                <m:r>
                  <w:rPr>
                    <w:rFonts w:ascii="Cambria Math"/>
                    <w:sz w:val="17"/>
                    <w:szCs w:val="17"/>
                  </w:rPr>
                  <m:t xml:space="preserve">O(g) </m:t>
                </m:r>
                <m:r>
                  <w:rPr>
                    <w:rFonts w:ascii="Cambria Math"/>
                    <w:sz w:val="17"/>
                    <w:szCs w:val="17"/>
                  </w:rPr>
                  <m:t>↔</m:t>
                </m:r>
                <m:r>
                  <w:rPr>
                    <w:rFonts w:ascii="Cambria Math"/>
                    <w:sz w:val="17"/>
                    <w:szCs w:val="17"/>
                  </w:rPr>
                  <m:t xml:space="preserve"> C</m:t>
                </m:r>
                <m:sSub>
                  <m:sSubPr>
                    <m:ctrlPr>
                      <w:rPr>
                        <w:rFonts w:ascii="Cambria Math" w:hAnsi="Cambria Math"/>
                        <w:i/>
                        <w:sz w:val="17"/>
                        <w:szCs w:val="17"/>
                      </w:rPr>
                    </m:ctrlPr>
                  </m:sSubPr>
                  <m:e>
                    <m:r>
                      <w:rPr>
                        <w:rFonts w:ascii="Cambria Math"/>
                        <w:sz w:val="17"/>
                        <w:szCs w:val="17"/>
                      </w:rPr>
                      <m:t>O</m:t>
                    </m:r>
                  </m:e>
                  <m:sub>
                    <m:r>
                      <w:rPr>
                        <w:rFonts w:ascii="Cambria Math"/>
                        <w:sz w:val="17"/>
                        <w:szCs w:val="17"/>
                      </w:rPr>
                      <m:t>2</m:t>
                    </m:r>
                  </m:sub>
                </m:sSub>
                <m:r>
                  <w:rPr>
                    <w:rFonts w:ascii="Cambria Math"/>
                    <w:sz w:val="17"/>
                    <w:szCs w:val="17"/>
                  </w:rPr>
                  <m:t xml:space="preserve">(g) + </m:t>
                </m:r>
                <m:sSub>
                  <m:sSubPr>
                    <m:ctrlPr>
                      <w:rPr>
                        <w:rFonts w:ascii="Cambria Math" w:hAnsi="Cambria Math"/>
                        <w:i/>
                        <w:sz w:val="17"/>
                        <w:szCs w:val="17"/>
                      </w:rPr>
                    </m:ctrlPr>
                  </m:sSubPr>
                  <m:e>
                    <m:r>
                      <w:rPr>
                        <w:rFonts w:ascii="Cambria Math"/>
                        <w:sz w:val="17"/>
                        <w:szCs w:val="17"/>
                      </w:rPr>
                      <m:t>H</m:t>
                    </m:r>
                  </m:e>
                  <m:sub>
                    <m:r>
                      <w:rPr>
                        <w:rFonts w:ascii="Cambria Math"/>
                        <w:sz w:val="17"/>
                        <w:szCs w:val="17"/>
                      </w:rPr>
                      <m:t>2</m:t>
                    </m:r>
                  </m:sub>
                </m:sSub>
                <m:r>
                  <w:rPr>
                    <w:rFonts w:ascii="Cambria Math"/>
                    <w:sz w:val="17"/>
                    <w:szCs w:val="17"/>
                  </w:rPr>
                  <m:t>(g)   Δ</m:t>
                </m:r>
                <m:sSub>
                  <m:sSubPr>
                    <m:ctrlPr>
                      <w:rPr>
                        <w:rFonts w:ascii="Cambria Math" w:hAnsi="Cambria Math"/>
                        <w:i/>
                        <w:sz w:val="17"/>
                        <w:szCs w:val="17"/>
                      </w:rPr>
                    </m:ctrlPr>
                  </m:sSubPr>
                  <m:e>
                    <m:r>
                      <w:rPr>
                        <w:rFonts w:ascii="Cambria Math"/>
                        <w:sz w:val="17"/>
                        <w:szCs w:val="17"/>
                      </w:rPr>
                      <m:t>H</m:t>
                    </m:r>
                  </m:e>
                  <m:sub>
                    <m:r>
                      <w:rPr>
                        <w:rFonts w:ascii="Cambria Math"/>
                        <w:sz w:val="17"/>
                        <w:szCs w:val="17"/>
                      </w:rPr>
                      <m:t>r</m:t>
                    </m:r>
                  </m:sub>
                </m:sSub>
                <m:r>
                  <w:rPr>
                    <w:rFonts w:ascii="Cambria Math"/>
                    <w:sz w:val="17"/>
                    <w:szCs w:val="17"/>
                  </w:rPr>
                  <m:t xml:space="preserve">= </m:t>
                </m:r>
                <m:r>
                  <w:rPr>
                    <w:rFonts w:ascii="Cambria Math"/>
                    <w:sz w:val="17"/>
                    <w:szCs w:val="17"/>
                  </w:rPr>
                  <m:t>-</m:t>
                </m:r>
                <m:r>
                  <w:rPr>
                    <w:rFonts w:ascii="Cambria Math"/>
                    <w:sz w:val="17"/>
                    <w:szCs w:val="17"/>
                  </w:rPr>
                  <m:t>41.2 kJ/mol CO</m:t>
                </m:r>
              </m:oMath>
            </m:oMathPara>
          </w:p>
        </w:tc>
        <w:tc>
          <w:tcPr>
            <w:tcW w:w="682" w:type="dxa"/>
            <w:vAlign w:val="center"/>
          </w:tcPr>
          <w:p w14:paraId="26852986" w14:textId="77777777" w:rsidR="001C1A2B" w:rsidRPr="002D0005" w:rsidRDefault="001C1A2B" w:rsidP="00E24BC5">
            <w:pPr>
              <w:pStyle w:val="CETBodytext"/>
              <w:jc w:val="center"/>
              <w:rPr>
                <w:sz w:val="17"/>
                <w:szCs w:val="17"/>
              </w:rPr>
            </w:pPr>
            <w:r w:rsidRPr="002D0005">
              <w:rPr>
                <w:sz w:val="17"/>
                <w:szCs w:val="17"/>
              </w:rPr>
              <w:t>(2)</w:t>
            </w:r>
          </w:p>
        </w:tc>
      </w:tr>
      <w:tr w:rsidR="001C1A2B" w14:paraId="10E90E20" w14:textId="77777777" w:rsidTr="007F7398">
        <w:trPr>
          <w:jc w:val="center"/>
        </w:trPr>
        <w:tc>
          <w:tcPr>
            <w:tcW w:w="8095" w:type="dxa"/>
          </w:tcPr>
          <w:p w14:paraId="7B2F8A29" w14:textId="7C7E6F03" w:rsidR="001C1A2B" w:rsidRPr="002D0005" w:rsidRDefault="001C1A2B" w:rsidP="00E24BC5">
            <w:pPr>
              <w:pStyle w:val="CETBodytext"/>
              <w:rPr>
                <w:sz w:val="17"/>
                <w:szCs w:val="17"/>
              </w:rPr>
            </w:pPr>
            <m:oMathPara>
              <m:oMath>
                <m:r>
                  <w:rPr>
                    <w:rFonts w:ascii="Cambria Math"/>
                    <w:sz w:val="17"/>
                    <w:szCs w:val="17"/>
                  </w:rPr>
                  <m:t>C</m:t>
                </m:r>
                <m:sSub>
                  <m:sSubPr>
                    <m:ctrlPr>
                      <w:rPr>
                        <w:rFonts w:ascii="Cambria Math" w:hAnsi="Cambria Math"/>
                        <w:i/>
                        <w:sz w:val="17"/>
                        <w:szCs w:val="17"/>
                      </w:rPr>
                    </m:ctrlPr>
                  </m:sSubPr>
                  <m:e>
                    <m:r>
                      <w:rPr>
                        <w:rFonts w:ascii="Cambria Math"/>
                        <w:sz w:val="17"/>
                        <w:szCs w:val="17"/>
                      </w:rPr>
                      <m:t>H</m:t>
                    </m:r>
                  </m:e>
                  <m:sub>
                    <m:r>
                      <w:rPr>
                        <w:rFonts w:ascii="Cambria Math"/>
                        <w:sz w:val="17"/>
                        <w:szCs w:val="17"/>
                      </w:rPr>
                      <m:t>4</m:t>
                    </m:r>
                  </m:sub>
                </m:sSub>
                <m:r>
                  <w:rPr>
                    <w:rFonts w:ascii="Cambria Math"/>
                    <w:sz w:val="17"/>
                    <w:szCs w:val="17"/>
                  </w:rPr>
                  <m:t>(g) + 2</m:t>
                </m:r>
                <m:sSub>
                  <m:sSubPr>
                    <m:ctrlPr>
                      <w:rPr>
                        <w:rFonts w:ascii="Cambria Math" w:hAnsi="Cambria Math"/>
                        <w:i/>
                        <w:sz w:val="17"/>
                        <w:szCs w:val="17"/>
                      </w:rPr>
                    </m:ctrlPr>
                  </m:sSubPr>
                  <m:e>
                    <m:r>
                      <w:rPr>
                        <w:rFonts w:ascii="Cambria Math"/>
                        <w:sz w:val="17"/>
                        <w:szCs w:val="17"/>
                      </w:rPr>
                      <m:t>H</m:t>
                    </m:r>
                  </m:e>
                  <m:sub>
                    <m:r>
                      <w:rPr>
                        <w:rFonts w:ascii="Cambria Math"/>
                        <w:sz w:val="17"/>
                        <w:szCs w:val="17"/>
                      </w:rPr>
                      <m:t>2</m:t>
                    </m:r>
                  </m:sub>
                </m:sSub>
                <m:r>
                  <w:rPr>
                    <w:rFonts w:ascii="Cambria Math"/>
                    <w:sz w:val="17"/>
                    <w:szCs w:val="17"/>
                  </w:rPr>
                  <m:t xml:space="preserve">O(g) </m:t>
                </m:r>
                <m:r>
                  <w:rPr>
                    <w:rFonts w:ascii="Cambria Math"/>
                    <w:sz w:val="17"/>
                    <w:szCs w:val="17"/>
                  </w:rPr>
                  <m:t>↔</m:t>
                </m:r>
                <m:r>
                  <w:rPr>
                    <w:rFonts w:ascii="Cambria Math"/>
                    <w:sz w:val="17"/>
                    <w:szCs w:val="17"/>
                  </w:rPr>
                  <m:t xml:space="preserve"> C</m:t>
                </m:r>
                <m:sSub>
                  <m:sSubPr>
                    <m:ctrlPr>
                      <w:rPr>
                        <w:rFonts w:ascii="Cambria Math" w:hAnsi="Cambria Math"/>
                        <w:i/>
                        <w:sz w:val="17"/>
                        <w:szCs w:val="17"/>
                      </w:rPr>
                    </m:ctrlPr>
                  </m:sSubPr>
                  <m:e>
                    <m:r>
                      <w:rPr>
                        <w:rFonts w:ascii="Cambria Math"/>
                        <w:sz w:val="17"/>
                        <w:szCs w:val="17"/>
                      </w:rPr>
                      <m:t>O</m:t>
                    </m:r>
                  </m:e>
                  <m:sub>
                    <m:r>
                      <w:rPr>
                        <w:rFonts w:ascii="Cambria Math"/>
                        <w:sz w:val="17"/>
                        <w:szCs w:val="17"/>
                      </w:rPr>
                      <m:t>2</m:t>
                    </m:r>
                  </m:sub>
                </m:sSub>
                <m:r>
                  <w:rPr>
                    <w:rFonts w:ascii="Cambria Math"/>
                    <w:sz w:val="17"/>
                    <w:szCs w:val="17"/>
                  </w:rPr>
                  <m:t>(g) + 4</m:t>
                </m:r>
                <m:sSub>
                  <m:sSubPr>
                    <m:ctrlPr>
                      <w:rPr>
                        <w:rFonts w:ascii="Cambria Math" w:hAnsi="Cambria Math"/>
                        <w:i/>
                        <w:sz w:val="17"/>
                        <w:szCs w:val="17"/>
                      </w:rPr>
                    </m:ctrlPr>
                  </m:sSubPr>
                  <m:e>
                    <m:r>
                      <w:rPr>
                        <w:rFonts w:ascii="Cambria Math"/>
                        <w:sz w:val="17"/>
                        <w:szCs w:val="17"/>
                      </w:rPr>
                      <m:t>H</m:t>
                    </m:r>
                  </m:e>
                  <m:sub>
                    <m:r>
                      <w:rPr>
                        <w:rFonts w:ascii="Cambria Math"/>
                        <w:sz w:val="17"/>
                        <w:szCs w:val="17"/>
                      </w:rPr>
                      <m:t>2</m:t>
                    </m:r>
                  </m:sub>
                </m:sSub>
                <m:r>
                  <w:rPr>
                    <w:rFonts w:ascii="Cambria Math"/>
                    <w:sz w:val="17"/>
                    <w:szCs w:val="17"/>
                  </w:rPr>
                  <m:t>(g)   Δ</m:t>
                </m:r>
                <m:sSub>
                  <m:sSubPr>
                    <m:ctrlPr>
                      <w:rPr>
                        <w:rFonts w:ascii="Cambria Math" w:hAnsi="Cambria Math"/>
                        <w:i/>
                        <w:sz w:val="17"/>
                        <w:szCs w:val="17"/>
                      </w:rPr>
                    </m:ctrlPr>
                  </m:sSubPr>
                  <m:e>
                    <m:r>
                      <w:rPr>
                        <w:rFonts w:ascii="Cambria Math"/>
                        <w:sz w:val="17"/>
                        <w:szCs w:val="17"/>
                      </w:rPr>
                      <m:t>H</m:t>
                    </m:r>
                  </m:e>
                  <m:sub>
                    <m:r>
                      <w:rPr>
                        <w:rFonts w:ascii="Cambria Math"/>
                        <w:sz w:val="17"/>
                        <w:szCs w:val="17"/>
                      </w:rPr>
                      <m:t>r</m:t>
                    </m:r>
                  </m:sub>
                </m:sSub>
                <m:r>
                  <w:rPr>
                    <w:rFonts w:ascii="Cambria Math"/>
                    <w:sz w:val="17"/>
                    <w:szCs w:val="17"/>
                  </w:rPr>
                  <m:t>= 165 kJ/mol C</m:t>
                </m:r>
                <m:sSub>
                  <m:sSubPr>
                    <m:ctrlPr>
                      <w:rPr>
                        <w:rFonts w:ascii="Cambria Math" w:hAnsi="Cambria Math"/>
                        <w:i/>
                        <w:sz w:val="17"/>
                        <w:szCs w:val="17"/>
                      </w:rPr>
                    </m:ctrlPr>
                  </m:sSubPr>
                  <m:e>
                    <m:r>
                      <w:rPr>
                        <w:rFonts w:ascii="Cambria Math"/>
                        <w:sz w:val="17"/>
                        <w:szCs w:val="17"/>
                      </w:rPr>
                      <m:t>H</m:t>
                    </m:r>
                  </m:e>
                  <m:sub>
                    <m:r>
                      <w:rPr>
                        <w:rFonts w:ascii="Cambria Math"/>
                        <w:sz w:val="17"/>
                        <w:szCs w:val="17"/>
                      </w:rPr>
                      <m:t>4</m:t>
                    </m:r>
                  </m:sub>
                </m:sSub>
              </m:oMath>
            </m:oMathPara>
          </w:p>
        </w:tc>
        <w:tc>
          <w:tcPr>
            <w:tcW w:w="682" w:type="dxa"/>
            <w:vAlign w:val="center"/>
          </w:tcPr>
          <w:p w14:paraId="69D44F09" w14:textId="77777777" w:rsidR="001C1A2B" w:rsidRPr="002D0005" w:rsidRDefault="001C1A2B" w:rsidP="00E24BC5">
            <w:pPr>
              <w:pStyle w:val="CETBodytext"/>
              <w:jc w:val="center"/>
              <w:rPr>
                <w:sz w:val="17"/>
                <w:szCs w:val="17"/>
              </w:rPr>
            </w:pPr>
            <w:r w:rsidRPr="002D0005">
              <w:rPr>
                <w:sz w:val="17"/>
                <w:szCs w:val="17"/>
              </w:rPr>
              <w:t>(3)</w:t>
            </w:r>
          </w:p>
        </w:tc>
      </w:tr>
    </w:tbl>
    <w:p w14:paraId="18BAFA6F" w14:textId="4742FA5A" w:rsidR="00453E24" w:rsidRPr="00B57B36" w:rsidRDefault="001948C3" w:rsidP="00845550">
      <w:pPr>
        <w:pStyle w:val="CETheadingx"/>
      </w:pPr>
      <w:r>
        <w:t>A</w:t>
      </w:r>
      <w:r w:rsidRPr="001948C3">
        <w:t>lkaline water electrolysis</w:t>
      </w:r>
    </w:p>
    <w:p w14:paraId="3D106CB1" w14:textId="3F0818D8" w:rsidR="000D7486" w:rsidRDefault="00556967" w:rsidP="001948C3">
      <w:pPr>
        <w:pStyle w:val="CETBodytext"/>
        <w:rPr>
          <w:lang w:val="en-GB"/>
        </w:rPr>
      </w:pPr>
      <w:r w:rsidRPr="00556967">
        <w:rPr>
          <w:lang w:val="en-GB"/>
        </w:rPr>
        <w:t>This process requires electricity to dissociate H</w:t>
      </w:r>
      <w:r w:rsidRPr="009666F0">
        <w:rPr>
          <w:vertAlign w:val="subscript"/>
          <w:lang w:val="en-GB"/>
        </w:rPr>
        <w:t>2</w:t>
      </w:r>
      <w:r w:rsidRPr="00556967">
        <w:rPr>
          <w:lang w:val="en-GB"/>
        </w:rPr>
        <w:t xml:space="preserve"> and oxygen (O</w:t>
      </w:r>
      <w:r w:rsidRPr="008A3AA8">
        <w:rPr>
          <w:vertAlign w:val="subscript"/>
          <w:lang w:val="en-GB"/>
        </w:rPr>
        <w:t>2</w:t>
      </w:r>
      <w:r w:rsidRPr="00556967">
        <w:rPr>
          <w:lang w:val="en-GB"/>
        </w:rPr>
        <w:t>) ions</w:t>
      </w:r>
      <w:r>
        <w:rPr>
          <w:lang w:val="en-GB"/>
        </w:rPr>
        <w:t xml:space="preserve"> </w:t>
      </w:r>
      <w:r w:rsidRPr="00556967">
        <w:rPr>
          <w:lang w:val="en-GB"/>
        </w:rPr>
        <w:t>from water</w:t>
      </w:r>
      <w:r w:rsidR="000B407B">
        <w:rPr>
          <w:lang w:val="en-GB"/>
        </w:rPr>
        <w:t xml:space="preserve">. </w:t>
      </w:r>
      <w:r w:rsidRPr="00556967">
        <w:rPr>
          <w:lang w:val="en-GB"/>
        </w:rPr>
        <w:t>The environmental impact of water electrolysis depends on the electricity source</w:t>
      </w:r>
      <w:r w:rsidR="006B1F96">
        <w:rPr>
          <w:lang w:val="en-GB"/>
        </w:rPr>
        <w:t xml:space="preserve"> and</w:t>
      </w:r>
      <w:r w:rsidRPr="00556967">
        <w:rPr>
          <w:lang w:val="en-GB"/>
        </w:rPr>
        <w:t xml:space="preserve"> </w:t>
      </w:r>
      <w:r w:rsidR="008F094A">
        <w:rPr>
          <w:lang w:val="en-GB"/>
        </w:rPr>
        <w:t xml:space="preserve">the </w:t>
      </w:r>
      <w:r w:rsidRPr="00556967">
        <w:rPr>
          <w:lang w:val="en-GB"/>
        </w:rPr>
        <w:t>us</w:t>
      </w:r>
      <w:r w:rsidR="008F094A">
        <w:rPr>
          <w:lang w:val="en-GB"/>
        </w:rPr>
        <w:t>e of</w:t>
      </w:r>
      <w:r w:rsidRPr="00556967">
        <w:rPr>
          <w:lang w:val="en-GB"/>
        </w:rPr>
        <w:t xml:space="preserve"> renewable </w:t>
      </w:r>
      <w:r w:rsidR="008F094A">
        <w:rPr>
          <w:lang w:val="en-GB"/>
        </w:rPr>
        <w:t>electricity</w:t>
      </w:r>
      <w:r w:rsidRPr="00556967">
        <w:rPr>
          <w:lang w:val="en-GB"/>
        </w:rPr>
        <w:t xml:space="preserve"> </w:t>
      </w:r>
      <w:r w:rsidR="003106DC">
        <w:rPr>
          <w:lang w:val="en-GB"/>
        </w:rPr>
        <w:t>targets</w:t>
      </w:r>
      <w:r w:rsidRPr="00556967">
        <w:rPr>
          <w:lang w:val="en-GB"/>
        </w:rPr>
        <w:t xml:space="preserve"> the formation of pollutant-free </w:t>
      </w:r>
      <w:r w:rsidRPr="00F74A1F">
        <w:rPr>
          <w:lang w:val="en-GB"/>
        </w:rPr>
        <w:t>hydrogen</w:t>
      </w:r>
      <w:r w:rsidR="00795A02" w:rsidRPr="00F74A1F">
        <w:rPr>
          <w:lang w:val="en-GB"/>
        </w:rPr>
        <w:t xml:space="preserve"> </w:t>
      </w:r>
      <w:r w:rsidR="004A33C6" w:rsidRPr="00C000C2">
        <w:rPr>
          <w:lang w:val="en-GB"/>
        </w:rPr>
        <w:t>(</w:t>
      </w:r>
      <w:r w:rsidR="00795A02" w:rsidRPr="00C000C2">
        <w:rPr>
          <w:lang w:val="en-GB"/>
        </w:rPr>
        <w:t>Ursua et al., 2011).</w:t>
      </w:r>
      <w:r w:rsidR="007D7B49" w:rsidRPr="00C000C2">
        <w:rPr>
          <w:lang w:val="en-GB"/>
        </w:rPr>
        <w:t xml:space="preserve"> </w:t>
      </w:r>
      <w:r w:rsidR="001948C3" w:rsidRPr="00C000C2">
        <w:rPr>
          <w:lang w:val="en-GB"/>
        </w:rPr>
        <w:t>AWE consists of a nickel-based anode commonly coated with platinum and a cathode made of nickel or copper, usually coated with metal oxides, such as manganese (Mn), tungsten (W), or ruthenium (Ru) (Holladay et al.</w:t>
      </w:r>
      <w:r w:rsidR="00980E49" w:rsidRPr="00C000C2">
        <w:rPr>
          <w:lang w:val="en-GB"/>
        </w:rPr>
        <w:t>,</w:t>
      </w:r>
      <w:r w:rsidR="007D7B49" w:rsidRPr="00C000C2">
        <w:rPr>
          <w:lang w:val="en-GB"/>
        </w:rPr>
        <w:t xml:space="preserve"> </w:t>
      </w:r>
      <w:r w:rsidR="001948C3" w:rsidRPr="00C000C2">
        <w:rPr>
          <w:lang w:val="en-GB"/>
        </w:rPr>
        <w:t>2009). The electrolyte is a 30 wt% aqueous solution of potassium hydroxide (KOH) or sodium hydroxide (NaOH) (</w:t>
      </w:r>
      <w:r w:rsidR="001948C3" w:rsidRPr="00F74A1F">
        <w:rPr>
          <w:lang w:val="en-GB"/>
        </w:rPr>
        <w:t>Sanchez et al., 2020). A key component is the porous diaphragm, which allows hydroxide ions (OH−) to travel from the cathode to the anode. AWE operates at temperatures of 70 to 140</w:t>
      </w:r>
      <w:r w:rsidR="00321947" w:rsidRPr="00F74A1F">
        <w:rPr>
          <w:rFonts w:cs="Arial"/>
          <w:lang w:val="en-GB"/>
        </w:rPr>
        <w:t>°</w:t>
      </w:r>
      <w:r w:rsidR="001948C3" w:rsidRPr="00F74A1F">
        <w:rPr>
          <w:lang w:val="en-GB"/>
        </w:rPr>
        <w:t>C and pressure ranging from 1 to 200 bar (Panigrahy et al., 2022)</w:t>
      </w:r>
      <w:r w:rsidR="004F663C" w:rsidRPr="00F74A1F">
        <w:rPr>
          <w:lang w:val="en-GB"/>
        </w:rPr>
        <w:t>.</w:t>
      </w:r>
    </w:p>
    <w:p w14:paraId="7407C0A8" w14:textId="1D79AD40" w:rsidR="004F663C" w:rsidRPr="00B57B36" w:rsidRDefault="001935AD" w:rsidP="00845550">
      <w:pPr>
        <w:pStyle w:val="CETheadingx"/>
      </w:pPr>
      <w:r w:rsidRPr="001935AD">
        <w:t>Hydrogen liquefaction</w:t>
      </w:r>
    </w:p>
    <w:p w14:paraId="6D94C7EB" w14:textId="795C19FB" w:rsidR="004F663C" w:rsidRDefault="001948C3" w:rsidP="00F2000D">
      <w:pPr>
        <w:pStyle w:val="CETBodytext"/>
        <w:rPr>
          <w:lang w:val="en-GB"/>
        </w:rPr>
      </w:pPr>
      <w:r w:rsidRPr="001948C3">
        <w:rPr>
          <w:lang w:val="en-GB"/>
        </w:rPr>
        <w:t xml:space="preserve">Hydrogen storage can </w:t>
      </w:r>
      <w:r w:rsidRPr="00F74A1F">
        <w:rPr>
          <w:lang w:val="en-GB"/>
        </w:rPr>
        <w:t>be achieved either as a gas, requiring high-pressure tanks (350 to 700 bar) with limited volumetric efficiency (Choi and Lee, 2022), or as a liquid through liquefaction. Liquid hydrogen (LH</w:t>
      </w:r>
      <w:r w:rsidRPr="00F74A1F">
        <w:rPr>
          <w:vertAlign w:val="subscript"/>
          <w:lang w:val="en-GB"/>
        </w:rPr>
        <w:t>2</w:t>
      </w:r>
      <w:r w:rsidRPr="00F74A1F">
        <w:rPr>
          <w:lang w:val="en-GB"/>
        </w:rPr>
        <w:t xml:space="preserve">) significantly reduces the volume requirements of high-pressure storage, maintaining </w:t>
      </w:r>
      <w:r w:rsidR="00E96ECF" w:rsidRPr="00F74A1F">
        <w:rPr>
          <w:lang w:val="en-GB"/>
        </w:rPr>
        <w:t>H</w:t>
      </w:r>
      <w:r w:rsidR="00E96ECF" w:rsidRPr="00F74A1F">
        <w:rPr>
          <w:vertAlign w:val="subscript"/>
          <w:lang w:val="en-GB"/>
        </w:rPr>
        <w:t>2</w:t>
      </w:r>
      <w:r w:rsidRPr="00F74A1F">
        <w:rPr>
          <w:lang w:val="en-GB"/>
        </w:rPr>
        <w:t xml:space="preserve"> at -253</w:t>
      </w:r>
      <w:r w:rsidR="00321947" w:rsidRPr="00F74A1F">
        <w:rPr>
          <w:rFonts w:cs="Arial"/>
          <w:lang w:val="en-GB"/>
        </w:rPr>
        <w:t>°</w:t>
      </w:r>
      <w:r w:rsidRPr="00F74A1F">
        <w:rPr>
          <w:lang w:val="en-GB"/>
        </w:rPr>
        <w:t>C and a density of 70.8 kg/m</w:t>
      </w:r>
      <w:r w:rsidRPr="00F74A1F">
        <w:rPr>
          <w:vertAlign w:val="superscript"/>
          <w:lang w:val="en-GB"/>
        </w:rPr>
        <w:t>3</w:t>
      </w:r>
      <w:r w:rsidRPr="00F74A1F">
        <w:rPr>
          <w:lang w:val="en-GB"/>
        </w:rPr>
        <w:t xml:space="preserve"> (Colozza and Kohout, 2002),</w:t>
      </w:r>
      <w:r w:rsidRPr="001948C3">
        <w:rPr>
          <w:lang w:val="en-GB"/>
        </w:rPr>
        <w:t xml:space="preserve"> a method known as cryogenic hydrogen storag</w:t>
      </w:r>
      <w:r w:rsidRPr="000E374E">
        <w:rPr>
          <w:lang w:val="en-GB"/>
        </w:rPr>
        <w:t>e</w:t>
      </w:r>
      <w:r w:rsidRPr="001948C3">
        <w:rPr>
          <w:lang w:val="en-GB"/>
        </w:rPr>
        <w:t>.</w:t>
      </w:r>
    </w:p>
    <w:p w14:paraId="677EBFF0" w14:textId="7EA16BCB" w:rsidR="00600535" w:rsidRDefault="00CC3B0E" w:rsidP="00600535">
      <w:pPr>
        <w:pStyle w:val="CETHeading1"/>
        <w:tabs>
          <w:tab w:val="clear" w:pos="360"/>
          <w:tab w:val="right" w:pos="7100"/>
        </w:tabs>
        <w:jc w:val="both"/>
        <w:rPr>
          <w:lang w:val="en-GB"/>
        </w:rPr>
      </w:pPr>
      <w:r w:rsidRPr="00CC3B0E">
        <w:rPr>
          <w:lang w:val="en-GB"/>
        </w:rPr>
        <w:t>Material and methods</w:t>
      </w:r>
    </w:p>
    <w:p w14:paraId="23B585A4" w14:textId="133AE10E" w:rsidR="00D24914" w:rsidRPr="00B57B36" w:rsidRDefault="00C45ECE" w:rsidP="00845550">
      <w:pPr>
        <w:pStyle w:val="CETheadingx"/>
      </w:pPr>
      <w:r>
        <w:t>Selected e</w:t>
      </w:r>
      <w:r w:rsidR="00D24914" w:rsidRPr="00D24914">
        <w:t>nergy scenarios</w:t>
      </w:r>
    </w:p>
    <w:p w14:paraId="797CDDB5" w14:textId="0D08CC44" w:rsidR="009378D6" w:rsidRDefault="008F094A" w:rsidP="00F2000D">
      <w:pPr>
        <w:pStyle w:val="CETBodytext"/>
        <w:rPr>
          <w:lang w:val="en-GB"/>
        </w:rPr>
      </w:pPr>
      <w:r w:rsidRPr="008F094A">
        <w:rPr>
          <w:lang w:val="en-GB"/>
        </w:rPr>
        <w:t xml:space="preserve">Four German energy scenarios were developed to evaluate their influence on </w:t>
      </w:r>
      <w:r w:rsidR="00F74A1F" w:rsidRPr="001948C3">
        <w:rPr>
          <w:lang w:val="en-GB"/>
        </w:rPr>
        <w:t>LH</w:t>
      </w:r>
      <w:r w:rsidR="00F74A1F" w:rsidRPr="00321947">
        <w:rPr>
          <w:vertAlign w:val="subscript"/>
          <w:lang w:val="en-GB"/>
        </w:rPr>
        <w:t>2</w:t>
      </w:r>
      <w:r w:rsidRPr="008F094A">
        <w:rPr>
          <w:lang w:val="en-GB"/>
        </w:rPr>
        <w:t xml:space="preserve"> production </w:t>
      </w:r>
      <w:r w:rsidRPr="00C000C2">
        <w:rPr>
          <w:lang w:val="en-GB"/>
        </w:rPr>
        <w:t>(Fig</w:t>
      </w:r>
      <w:r w:rsidR="00F74A1F" w:rsidRPr="00C000C2">
        <w:rPr>
          <w:lang w:val="en-GB"/>
        </w:rPr>
        <w:t>.</w:t>
      </w:r>
      <w:r w:rsidRPr="00C000C2">
        <w:rPr>
          <w:lang w:val="en-GB"/>
        </w:rPr>
        <w:t xml:space="preserve"> </w:t>
      </w:r>
      <w:r w:rsidR="003B417E" w:rsidRPr="00C000C2">
        <w:rPr>
          <w:lang w:val="en-GB"/>
        </w:rPr>
        <w:t>1</w:t>
      </w:r>
      <w:r w:rsidRPr="00C000C2">
        <w:rPr>
          <w:lang w:val="en-GB"/>
        </w:rPr>
        <w:t xml:space="preserve">). The base scenario case represents Germany’s 2022 energy mix (Appunn et al., 2023; Ecoinvent, 2023), </w:t>
      </w:r>
      <w:r w:rsidR="006543BC" w:rsidRPr="00C000C2">
        <w:rPr>
          <w:lang w:val="en-GB"/>
        </w:rPr>
        <w:t>in which</w:t>
      </w:r>
      <w:r w:rsidR="001C17CB" w:rsidRPr="00C000C2">
        <w:rPr>
          <w:lang w:val="en-GB"/>
        </w:rPr>
        <w:t xml:space="preserve"> </w:t>
      </w:r>
      <w:r w:rsidRPr="00C000C2">
        <w:rPr>
          <w:lang w:val="en-GB"/>
        </w:rPr>
        <w:t>around</w:t>
      </w:r>
      <w:r w:rsidRPr="008F094A">
        <w:rPr>
          <w:lang w:val="en-GB"/>
        </w:rPr>
        <w:t xml:space="preserve"> 50% of energy </w:t>
      </w:r>
      <w:r w:rsidR="001C17CB">
        <w:rPr>
          <w:lang w:val="en-GB"/>
        </w:rPr>
        <w:t>wa</w:t>
      </w:r>
      <w:r w:rsidR="001C17CB" w:rsidRPr="008F094A">
        <w:rPr>
          <w:lang w:val="en-GB"/>
        </w:rPr>
        <w:t xml:space="preserve">s </w:t>
      </w:r>
      <w:r w:rsidRPr="008F094A">
        <w:rPr>
          <w:lang w:val="en-GB"/>
        </w:rPr>
        <w:t xml:space="preserve">attributed to non-renewable sectors, including fossil fuels such as lignite and nuclear energy. </w:t>
      </w:r>
      <w:r w:rsidRPr="008F094A">
        <w:rPr>
          <w:lang w:val="en-GB"/>
        </w:rPr>
        <w:lastRenderedPageBreak/>
        <w:t xml:space="preserve">In addition, to explore the energy transition strategies, a 2022 renewable scenario </w:t>
      </w:r>
      <w:r w:rsidR="00F84C40">
        <w:rPr>
          <w:lang w:val="en-GB"/>
        </w:rPr>
        <w:t xml:space="preserve">(RE 2022) </w:t>
      </w:r>
      <w:r w:rsidRPr="008F094A">
        <w:rPr>
          <w:lang w:val="en-GB"/>
        </w:rPr>
        <w:t xml:space="preserve">was derived from the base case scenario </w:t>
      </w:r>
      <w:r w:rsidR="00F84C40">
        <w:rPr>
          <w:lang w:val="en-GB"/>
        </w:rPr>
        <w:t xml:space="preserve">(BC 2022) </w:t>
      </w:r>
      <w:r w:rsidRPr="008F094A">
        <w:rPr>
          <w:lang w:val="en-GB"/>
        </w:rPr>
        <w:t>by removing the share of fossil fuels and nuclear energy.</w:t>
      </w:r>
    </w:p>
    <w:p w14:paraId="43DEEA03" w14:textId="6E068F5E" w:rsidR="00D24914" w:rsidRPr="002D0005" w:rsidRDefault="00B53208" w:rsidP="00D24914">
      <w:pPr>
        <w:pStyle w:val="CETBodytext"/>
        <w:jc w:val="center"/>
        <w:rPr>
          <w:rStyle w:val="CETCaptionCarattere"/>
          <w:sz w:val="16"/>
          <w:szCs w:val="18"/>
        </w:rPr>
      </w:pPr>
      <w:r>
        <w:rPr>
          <w:i/>
          <w:noProof/>
          <w:sz w:val="16"/>
          <w:szCs w:val="18"/>
          <w:lang w:val="en-GB"/>
        </w:rPr>
        <w:drawing>
          <wp:inline distT="0" distB="0" distL="0" distR="0" wp14:anchorId="0CB6E8AF" wp14:editId="6561BB7D">
            <wp:extent cx="5578631" cy="1507253"/>
            <wp:effectExtent l="0" t="0" r="3175" b="0"/>
            <wp:docPr id="1044864520" name="Picture 1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4520" name="Picture 16" descr="A close-up of a chart&#10;&#10;Description automatically generated"/>
                    <pic:cNvPicPr/>
                  </pic:nvPicPr>
                  <pic:blipFill rotWithShape="1">
                    <a:blip r:embed="rId15"/>
                    <a:srcRect t="5151" b="3958"/>
                    <a:stretch/>
                  </pic:blipFill>
                  <pic:spPr bwMode="auto">
                    <a:xfrm>
                      <a:off x="0" y="0"/>
                      <a:ext cx="5579745" cy="1507554"/>
                    </a:xfrm>
                    <a:prstGeom prst="rect">
                      <a:avLst/>
                    </a:prstGeom>
                    <a:ln>
                      <a:noFill/>
                    </a:ln>
                    <a:extLst>
                      <a:ext uri="{53640926-AAD7-44D8-BBD7-CCE9431645EC}">
                        <a14:shadowObscured xmlns:a14="http://schemas.microsoft.com/office/drawing/2010/main"/>
                      </a:ext>
                    </a:extLst>
                  </pic:spPr>
                </pic:pic>
              </a:graphicData>
            </a:graphic>
          </wp:inline>
        </w:drawing>
      </w:r>
    </w:p>
    <w:p w14:paraId="12A21282" w14:textId="0C65CA59" w:rsidR="00D24914" w:rsidRDefault="00D24914" w:rsidP="00D24914">
      <w:pPr>
        <w:pStyle w:val="CETBodytext"/>
        <w:jc w:val="center"/>
        <w:rPr>
          <w:rStyle w:val="CETCaptionCarattere"/>
        </w:rPr>
      </w:pPr>
      <w:r w:rsidRPr="008803E2">
        <w:rPr>
          <w:rStyle w:val="CETCaptionCarattere"/>
        </w:rPr>
        <w:t xml:space="preserve">Figure </w:t>
      </w:r>
      <w:r w:rsidR="003B417E" w:rsidRPr="008803E2">
        <w:rPr>
          <w:rStyle w:val="CETCaptionCarattere"/>
          <w:i w:val="0"/>
        </w:rPr>
        <w:t>1</w:t>
      </w:r>
      <w:r w:rsidRPr="008803E2">
        <w:rPr>
          <w:rStyle w:val="CETCaptionCarattere"/>
        </w:rPr>
        <w:t xml:space="preserve">: Overview of </w:t>
      </w:r>
      <w:r w:rsidR="006B1F96" w:rsidRPr="008803E2">
        <w:rPr>
          <w:rStyle w:val="CETCaptionCarattere"/>
        </w:rPr>
        <w:t xml:space="preserve">the investigated </w:t>
      </w:r>
      <w:r w:rsidRPr="008803E2">
        <w:rPr>
          <w:rStyle w:val="CETCaptionCarattere"/>
        </w:rPr>
        <w:t xml:space="preserve">German energy </w:t>
      </w:r>
      <w:r w:rsidR="008F094A" w:rsidRPr="008803E2">
        <w:rPr>
          <w:rStyle w:val="CETCaptionCarattere"/>
        </w:rPr>
        <w:t>scenarios</w:t>
      </w:r>
    </w:p>
    <w:p w14:paraId="0641DFD6" w14:textId="77777777" w:rsidR="00E50883" w:rsidRPr="002D0005" w:rsidRDefault="00E50883" w:rsidP="00757CF1">
      <w:pPr>
        <w:pStyle w:val="CETBodytext"/>
        <w:rPr>
          <w:sz w:val="8"/>
          <w:szCs w:val="10"/>
          <w:lang w:val="en-GB"/>
        </w:rPr>
      </w:pPr>
    </w:p>
    <w:p w14:paraId="2EC9355F" w14:textId="73A49AC5" w:rsidR="00757CF1" w:rsidRDefault="00757CF1" w:rsidP="00757CF1">
      <w:pPr>
        <w:pStyle w:val="CETBodytext"/>
        <w:rPr>
          <w:lang w:val="en-GB"/>
        </w:rPr>
      </w:pPr>
      <w:r w:rsidRPr="008F094A">
        <w:rPr>
          <w:lang w:val="en-GB"/>
        </w:rPr>
        <w:t xml:space="preserve">This study also incorporates two forecast scenarios, the 2050 base </w:t>
      </w:r>
      <w:r w:rsidR="00F84C40">
        <w:rPr>
          <w:lang w:val="en-GB"/>
        </w:rPr>
        <w:t xml:space="preserve">case </w:t>
      </w:r>
      <w:r w:rsidRPr="008F094A">
        <w:rPr>
          <w:lang w:val="en-GB"/>
        </w:rPr>
        <w:t>and 2050 renewable scenario</w:t>
      </w:r>
      <w:r w:rsidR="00F84C40">
        <w:rPr>
          <w:lang w:val="en-GB"/>
        </w:rPr>
        <w:t xml:space="preserve"> (BC and RE 2050)</w:t>
      </w:r>
      <w:r w:rsidRPr="008F094A">
        <w:rPr>
          <w:lang w:val="en-GB"/>
        </w:rPr>
        <w:t xml:space="preserve"> from </w:t>
      </w:r>
      <w:proofErr w:type="spellStart"/>
      <w:r w:rsidRPr="008F094A">
        <w:rPr>
          <w:lang w:val="en-GB"/>
        </w:rPr>
        <w:t>Knaut</w:t>
      </w:r>
      <w:proofErr w:type="spellEnd"/>
      <w:r w:rsidRPr="008F094A">
        <w:rPr>
          <w:lang w:val="en-GB"/>
        </w:rPr>
        <w:t xml:space="preserve"> et al. (2016) and Rogge et al. (2020), considering the phase-out of nuclear energy and an increase in renewable energy. Knaut’s model (the 2050 base scenario) focuses on techno-economic factors and predicts about 65% renewable energy in the mix, predominantly onshore wind energy. In the 2050 renewable scenario proposed by Rogge et al., a significant majority of energy is projected to come from renewables, with as much as 35.5% being imported energy, particularly from regions with favorable energy prices and conditions, particularly wind and solar. Despite a move away from coal, this model retains 11% natural gas to balance the intermittency of renewable sources. This strategy aligns with the International Energy Agency (IEA)’s 2050 net zero emission model, recognizing the essential role of fossil fuels in specific areas such as heavy industry, long-distance transportation, and </w:t>
      </w:r>
      <w:r w:rsidR="008276D8" w:rsidRPr="00C000C2">
        <w:rPr>
          <w:lang w:val="en-GB"/>
        </w:rPr>
        <w:t>the production of</w:t>
      </w:r>
      <w:r w:rsidRPr="00C000C2">
        <w:rPr>
          <w:lang w:val="en-GB"/>
        </w:rPr>
        <w:t xml:space="preserve"> non-energy</w:t>
      </w:r>
      <w:r w:rsidRPr="008F094A">
        <w:rPr>
          <w:lang w:val="en-GB"/>
        </w:rPr>
        <w:t xml:space="preserve"> goods (IEA</w:t>
      </w:r>
      <w:r w:rsidR="00F35F22">
        <w:rPr>
          <w:lang w:val="en-GB"/>
        </w:rPr>
        <w:t>,</w:t>
      </w:r>
      <w:r w:rsidRPr="008F094A">
        <w:rPr>
          <w:lang w:val="en-GB"/>
        </w:rPr>
        <w:t xml:space="preserve"> 2021)</w:t>
      </w:r>
      <w:r>
        <w:rPr>
          <w:lang w:val="en-GB"/>
        </w:rPr>
        <w:t>.</w:t>
      </w:r>
    </w:p>
    <w:p w14:paraId="7412C0DC" w14:textId="299C8091" w:rsidR="00D24914" w:rsidRPr="00B57B36" w:rsidRDefault="00D24914" w:rsidP="00845550">
      <w:pPr>
        <w:pStyle w:val="CETheadingx"/>
      </w:pPr>
      <w:r w:rsidRPr="00D24914">
        <w:t>Life cycle assessment</w:t>
      </w:r>
      <w:r w:rsidR="00C45ECE">
        <w:t xml:space="preserve"> methodology</w:t>
      </w:r>
    </w:p>
    <w:p w14:paraId="298C3F5E" w14:textId="27645D66" w:rsidR="00960047" w:rsidRPr="00773DDD" w:rsidRDefault="00960047" w:rsidP="00960047">
      <w:pPr>
        <w:pStyle w:val="CETBodytext"/>
        <w:rPr>
          <w:lang w:val="en-GB"/>
        </w:rPr>
      </w:pPr>
      <w:r w:rsidRPr="00960047">
        <w:rPr>
          <w:lang w:val="en-GB"/>
        </w:rPr>
        <w:t xml:space="preserve">Two production routes for liquid hydrogen were defined: </w:t>
      </w:r>
      <w:r w:rsidR="00321947">
        <w:rPr>
          <w:lang w:val="en-GB"/>
        </w:rPr>
        <w:t xml:space="preserve">SMR with the helium </w:t>
      </w:r>
      <w:r w:rsidR="009A5DB7" w:rsidRPr="009A5DB7">
        <w:rPr>
          <w:lang w:val="en-GB"/>
        </w:rPr>
        <w:t>JBC</w:t>
      </w:r>
      <w:r w:rsidR="00321947">
        <w:rPr>
          <w:lang w:val="en-GB"/>
        </w:rPr>
        <w:t xml:space="preserve"> process and </w:t>
      </w:r>
      <w:r w:rsidRPr="00960047">
        <w:rPr>
          <w:lang w:val="en-GB"/>
        </w:rPr>
        <w:t xml:space="preserve">AWE with the same </w:t>
      </w:r>
      <w:r w:rsidR="009A5DB7">
        <w:rPr>
          <w:lang w:val="en-GB"/>
        </w:rPr>
        <w:t xml:space="preserve">JBC </w:t>
      </w:r>
      <w:r w:rsidR="009A5DB7" w:rsidRPr="009A5DB7">
        <w:rPr>
          <w:lang w:val="en-GB"/>
        </w:rPr>
        <w:t xml:space="preserve">liquefaction </w:t>
      </w:r>
      <w:r w:rsidRPr="00960047">
        <w:rPr>
          <w:lang w:val="en-GB"/>
        </w:rPr>
        <w:t>process. These routes include stages</w:t>
      </w:r>
      <w:r>
        <w:rPr>
          <w:lang w:val="en-GB"/>
        </w:rPr>
        <w:t xml:space="preserve"> </w:t>
      </w:r>
      <w:r w:rsidRPr="00960047">
        <w:rPr>
          <w:lang w:val="en-GB"/>
        </w:rPr>
        <w:t xml:space="preserve">from power generation, feedstock sourcing, hydrogen production, liquefaction, transportation, </w:t>
      </w:r>
      <w:r w:rsidR="00820DC0">
        <w:rPr>
          <w:lang w:val="en-GB"/>
        </w:rPr>
        <w:t xml:space="preserve">and </w:t>
      </w:r>
      <w:r w:rsidRPr="00960047">
        <w:rPr>
          <w:lang w:val="en-GB"/>
        </w:rPr>
        <w:t>storage.</w:t>
      </w:r>
      <w:r>
        <w:rPr>
          <w:lang w:val="en-GB"/>
        </w:rPr>
        <w:t xml:space="preserve"> </w:t>
      </w:r>
      <w:r w:rsidRPr="00960047">
        <w:rPr>
          <w:lang w:val="en-GB"/>
        </w:rPr>
        <w:t>Hence, considering the ongoing development of transportation and utilization</w:t>
      </w:r>
      <w:r w:rsidR="00321947">
        <w:rPr>
          <w:lang w:val="en-GB"/>
        </w:rPr>
        <w:t xml:space="preserve"> </w:t>
      </w:r>
      <w:r w:rsidRPr="00960047">
        <w:rPr>
          <w:lang w:val="en-GB"/>
        </w:rPr>
        <w:t>technology in the hydrogen sector, this study employs a</w:t>
      </w:r>
      <w:r w:rsidR="006B1F96">
        <w:rPr>
          <w:lang w:val="en-GB"/>
        </w:rPr>
        <w:t xml:space="preserve"> life cycle assessment (</w:t>
      </w:r>
      <w:r w:rsidRPr="00960047">
        <w:rPr>
          <w:lang w:val="en-GB"/>
        </w:rPr>
        <w:t>LCA</w:t>
      </w:r>
      <w:r w:rsidR="006B1F96">
        <w:rPr>
          <w:lang w:val="en-GB"/>
        </w:rPr>
        <w:t>)</w:t>
      </w:r>
      <w:r w:rsidRPr="00960047">
        <w:rPr>
          <w:lang w:val="en-GB"/>
        </w:rPr>
        <w:t xml:space="preserve"> cradle-to-gate</w:t>
      </w:r>
      <w:r>
        <w:rPr>
          <w:lang w:val="en-GB"/>
        </w:rPr>
        <w:t xml:space="preserve"> </w:t>
      </w:r>
      <w:r w:rsidRPr="00960047">
        <w:rPr>
          <w:lang w:val="en-GB"/>
        </w:rPr>
        <w:t>approach. This scope includes construction materials for SMR, AWE, and</w:t>
      </w:r>
      <w:r>
        <w:rPr>
          <w:lang w:val="en-GB"/>
        </w:rPr>
        <w:t xml:space="preserve"> </w:t>
      </w:r>
      <w:r w:rsidRPr="00960047">
        <w:rPr>
          <w:lang w:val="en-GB"/>
        </w:rPr>
        <w:t>liquefaction processes, as show</w:t>
      </w:r>
      <w:r w:rsidRPr="00773DDD">
        <w:rPr>
          <w:lang w:val="en-GB"/>
        </w:rPr>
        <w:t xml:space="preserve">n in Figures </w:t>
      </w:r>
      <w:r w:rsidR="003B417E" w:rsidRPr="00773DDD">
        <w:rPr>
          <w:lang w:val="en-GB"/>
        </w:rPr>
        <w:t>2</w:t>
      </w:r>
      <w:r w:rsidRPr="00773DDD">
        <w:rPr>
          <w:lang w:val="en-GB"/>
        </w:rPr>
        <w:t xml:space="preserve">a and </w:t>
      </w:r>
      <w:r w:rsidR="003B417E" w:rsidRPr="00773DDD">
        <w:rPr>
          <w:lang w:val="en-GB"/>
        </w:rPr>
        <w:t>2</w:t>
      </w:r>
      <w:r w:rsidRPr="00773DDD">
        <w:rPr>
          <w:lang w:val="en-GB"/>
        </w:rPr>
        <w:t>b. The functional unit for the LCA is set at 1 kg of liquid hydrogen, and the energy supply scenarios were previously defined</w:t>
      </w:r>
      <w:r w:rsidR="006B1F96" w:rsidRPr="00773DDD">
        <w:rPr>
          <w:lang w:val="en-GB"/>
        </w:rPr>
        <w:t xml:space="preserve"> in Section 3.1</w:t>
      </w:r>
      <w:r w:rsidRPr="00773DDD">
        <w:rPr>
          <w:lang w:val="en-GB"/>
        </w:rPr>
        <w:t>.</w:t>
      </w:r>
    </w:p>
    <w:p w14:paraId="4E9CFDF5" w14:textId="39A2F043" w:rsidR="001805CE" w:rsidRPr="00773DDD" w:rsidRDefault="001805CE" w:rsidP="001805CE">
      <w:pPr>
        <w:pStyle w:val="CETBodytext"/>
        <w:jc w:val="center"/>
        <w:rPr>
          <w:lang w:val="en-GB"/>
        </w:rPr>
      </w:pPr>
      <w:r w:rsidRPr="00773DDD">
        <w:rPr>
          <w:noProof/>
          <w:lang w:val="en-GB"/>
        </w:rPr>
        <w:drawing>
          <wp:inline distT="0" distB="0" distL="0" distR="0" wp14:anchorId="3AE81CDF" wp14:editId="253AA345">
            <wp:extent cx="5454453" cy="1235034"/>
            <wp:effectExtent l="0" t="0" r="0" b="3810"/>
            <wp:docPr id="1884481095"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81095" name="Picture 3" descr="A diagram of a diagram&#10;&#10;Description automatically generated with medium confidence"/>
                    <pic:cNvPicPr/>
                  </pic:nvPicPr>
                  <pic:blipFill>
                    <a:blip r:embed="rId16"/>
                    <a:stretch>
                      <a:fillRect/>
                    </a:stretch>
                  </pic:blipFill>
                  <pic:spPr>
                    <a:xfrm>
                      <a:off x="0" y="0"/>
                      <a:ext cx="5563260" cy="1259671"/>
                    </a:xfrm>
                    <a:prstGeom prst="rect">
                      <a:avLst/>
                    </a:prstGeom>
                  </pic:spPr>
                </pic:pic>
              </a:graphicData>
            </a:graphic>
          </wp:inline>
        </w:drawing>
      </w:r>
    </w:p>
    <w:p w14:paraId="54B0C83D" w14:textId="660B3BFF" w:rsidR="0031316E" w:rsidRPr="0096022A" w:rsidRDefault="0031316E" w:rsidP="0031316E">
      <w:pPr>
        <w:pStyle w:val="CETBodytext"/>
        <w:jc w:val="center"/>
        <w:rPr>
          <w:lang w:val="en-GB"/>
        </w:rPr>
      </w:pPr>
      <w:r w:rsidRPr="00773DDD">
        <w:rPr>
          <w:rStyle w:val="CETCaptionCarattere"/>
        </w:rPr>
        <w:t xml:space="preserve">Figure </w:t>
      </w:r>
      <w:r w:rsidR="006A0705" w:rsidRPr="00773DDD">
        <w:rPr>
          <w:rStyle w:val="CETCaptionCarattere"/>
          <w:i w:val="0"/>
        </w:rPr>
        <w:t>2</w:t>
      </w:r>
      <w:r w:rsidRPr="00773DDD">
        <w:rPr>
          <w:rStyle w:val="CETCaptionCarattere"/>
        </w:rPr>
        <w:t>: System boundaries adopted for liquid hydrogen production via (a) Steam methane reforming and (b) Alkal</w:t>
      </w:r>
      <w:r w:rsidRPr="0031316E">
        <w:rPr>
          <w:rStyle w:val="CETCaptionCarattere"/>
        </w:rPr>
        <w:t>ine water electrolysis adapted from Bhandari et al. (2012)</w:t>
      </w:r>
    </w:p>
    <w:p w14:paraId="5FF5EAC0" w14:textId="77777777" w:rsidR="00C000C2" w:rsidRPr="002D0005" w:rsidRDefault="00C000C2" w:rsidP="00757CF1">
      <w:pPr>
        <w:pStyle w:val="CETBodytext"/>
        <w:rPr>
          <w:sz w:val="8"/>
          <w:szCs w:val="10"/>
          <w:lang w:val="en-GB"/>
        </w:rPr>
      </w:pPr>
    </w:p>
    <w:p w14:paraId="3FF669DF" w14:textId="474A5A63" w:rsidR="008803E2" w:rsidDel="003F76FF" w:rsidRDefault="002657F1" w:rsidP="00757CF1">
      <w:pPr>
        <w:pStyle w:val="CETBodytext"/>
        <w:rPr>
          <w:lang w:val="en-GB"/>
        </w:rPr>
      </w:pPr>
      <w:r w:rsidRPr="002657F1">
        <w:rPr>
          <w:lang w:val="en-GB"/>
        </w:rPr>
        <w:t>During the life cycle inventory</w:t>
      </w:r>
      <w:r w:rsidR="006B1F96">
        <w:rPr>
          <w:lang w:val="en-GB"/>
        </w:rPr>
        <w:t xml:space="preserve"> (LCI)</w:t>
      </w:r>
      <w:r w:rsidRPr="002657F1">
        <w:rPr>
          <w:lang w:val="en-GB"/>
        </w:rPr>
        <w:t xml:space="preserve"> phase</w:t>
      </w:r>
      <w:r w:rsidRPr="008F094A">
        <w:rPr>
          <w:lang w:val="en-GB"/>
        </w:rPr>
        <w:t>, we detail</w:t>
      </w:r>
      <w:r w:rsidR="008F094A" w:rsidRPr="008F094A">
        <w:rPr>
          <w:lang w:val="en-GB"/>
        </w:rPr>
        <w:t>ed</w:t>
      </w:r>
      <w:r w:rsidRPr="008F094A">
        <w:rPr>
          <w:lang w:val="en-GB"/>
        </w:rPr>
        <w:t xml:space="preserve"> the</w:t>
      </w:r>
      <w:r w:rsidRPr="002657F1">
        <w:rPr>
          <w:lang w:val="en-GB"/>
        </w:rPr>
        <w:t xml:space="preserve"> inputs, outputs, materials, and energy flows of these systems (ISO</w:t>
      </w:r>
      <w:r w:rsidR="005A69B3">
        <w:rPr>
          <w:lang w:val="en-GB"/>
        </w:rPr>
        <w:t>,</w:t>
      </w:r>
      <w:r w:rsidRPr="002657F1">
        <w:rPr>
          <w:lang w:val="en-GB"/>
        </w:rPr>
        <w:t xml:space="preserve"> 1997). The LCI data for</w:t>
      </w:r>
      <w:r>
        <w:rPr>
          <w:lang w:val="en-GB"/>
        </w:rPr>
        <w:t xml:space="preserve"> </w:t>
      </w:r>
      <w:r w:rsidRPr="002657F1">
        <w:rPr>
          <w:lang w:val="en-GB"/>
        </w:rPr>
        <w:t xml:space="preserve">SMR, AWE, and the helium </w:t>
      </w:r>
      <w:r w:rsidR="009A5DB7">
        <w:rPr>
          <w:lang w:val="en-GB"/>
        </w:rPr>
        <w:t xml:space="preserve">JBC </w:t>
      </w:r>
      <w:r w:rsidR="009A5DB7">
        <w:t xml:space="preserve">liquefaction </w:t>
      </w:r>
      <w:r w:rsidRPr="002657F1">
        <w:rPr>
          <w:lang w:val="en-GB"/>
        </w:rPr>
        <w:t xml:space="preserve">process are presented in Table </w:t>
      </w:r>
      <w:r w:rsidR="00C000C2">
        <w:rPr>
          <w:lang w:val="en-GB"/>
        </w:rPr>
        <w:t>1</w:t>
      </w:r>
      <w:r w:rsidRPr="002657F1">
        <w:rPr>
          <w:lang w:val="en-GB"/>
        </w:rPr>
        <w:t>,</w:t>
      </w:r>
      <w:r>
        <w:rPr>
          <w:lang w:val="en-GB"/>
        </w:rPr>
        <w:t xml:space="preserve"> </w:t>
      </w:r>
      <w:r w:rsidR="00321947">
        <w:rPr>
          <w:lang w:val="en-GB"/>
        </w:rPr>
        <w:t>based on</w:t>
      </w:r>
      <w:r w:rsidRPr="002657F1">
        <w:rPr>
          <w:lang w:val="en-GB"/>
        </w:rPr>
        <w:t xml:space="preserve"> existing literature and the Ecoinvent v3.91 database.</w:t>
      </w:r>
      <w:r w:rsidR="00C000C2">
        <w:rPr>
          <w:lang w:val="en-GB"/>
        </w:rPr>
        <w:t xml:space="preserve"> </w:t>
      </w:r>
      <w:r w:rsidR="00C000C2" w:rsidRPr="002657F1">
        <w:rPr>
          <w:lang w:val="en-GB"/>
        </w:rPr>
        <w:t>For each</w:t>
      </w:r>
      <w:r w:rsidR="00C000C2">
        <w:rPr>
          <w:lang w:val="en-GB"/>
        </w:rPr>
        <w:t xml:space="preserve"> </w:t>
      </w:r>
      <w:r w:rsidR="00C000C2" w:rsidRPr="002657F1">
        <w:rPr>
          <w:lang w:val="en-GB"/>
        </w:rPr>
        <w:t>process, all the LCI data were normalized to the functional unit, operational</w:t>
      </w:r>
      <w:r w:rsidR="00C000C2">
        <w:rPr>
          <w:lang w:val="en-GB"/>
        </w:rPr>
        <w:t xml:space="preserve"> </w:t>
      </w:r>
      <w:r w:rsidR="00C000C2" w:rsidRPr="002657F1">
        <w:rPr>
          <w:lang w:val="en-GB"/>
        </w:rPr>
        <w:t>hours, lifespan, and capacity of each technology.</w:t>
      </w:r>
      <w:r w:rsidR="00C000C2">
        <w:rPr>
          <w:lang w:val="en-GB"/>
        </w:rPr>
        <w:t xml:space="preserve"> </w:t>
      </w:r>
      <w:r w:rsidR="00C000C2" w:rsidRPr="002657F1">
        <w:rPr>
          <w:lang w:val="en-GB"/>
        </w:rPr>
        <w:t>The SMR’s LCI data, including steam reforming, WGS, and PSA stages,</w:t>
      </w:r>
      <w:r w:rsidR="00C000C2">
        <w:rPr>
          <w:lang w:val="en-GB"/>
        </w:rPr>
        <w:t xml:space="preserve"> </w:t>
      </w:r>
      <w:r w:rsidR="00C000C2" w:rsidRPr="002657F1">
        <w:rPr>
          <w:lang w:val="en-GB"/>
        </w:rPr>
        <w:t xml:space="preserve">were taken from </w:t>
      </w:r>
      <w:r w:rsidR="00C000C2">
        <w:rPr>
          <w:lang w:val="en-GB"/>
        </w:rPr>
        <w:t xml:space="preserve">a </w:t>
      </w:r>
      <w:r w:rsidR="00C000C2" w:rsidRPr="002657F1">
        <w:rPr>
          <w:lang w:val="en-GB"/>
        </w:rPr>
        <w:t>process simulation study (Song et al.</w:t>
      </w:r>
      <w:r w:rsidR="00C000C2">
        <w:rPr>
          <w:lang w:val="en-GB"/>
        </w:rPr>
        <w:t>,</w:t>
      </w:r>
      <w:r w:rsidR="00C000C2" w:rsidRPr="002657F1">
        <w:rPr>
          <w:lang w:val="en-GB"/>
        </w:rPr>
        <w:t xml:space="preserve"> 2015).</w:t>
      </w:r>
      <w:r w:rsidR="00C000C2">
        <w:rPr>
          <w:lang w:val="en-GB"/>
        </w:rPr>
        <w:t xml:space="preserve"> </w:t>
      </w:r>
      <w:r w:rsidR="00C000C2" w:rsidRPr="00CF4FEB">
        <w:rPr>
          <w:lang w:val="en-GB"/>
        </w:rPr>
        <w:t>The SMR</w:t>
      </w:r>
      <w:r w:rsidR="00C000C2">
        <w:rPr>
          <w:lang w:val="en-GB"/>
        </w:rPr>
        <w:t xml:space="preserve"> </w:t>
      </w:r>
      <w:r w:rsidR="00C000C2" w:rsidRPr="00CF4FEB">
        <w:rPr>
          <w:lang w:val="en-GB"/>
        </w:rPr>
        <w:t xml:space="preserve">plant construction material data were based on Spath and Mann </w:t>
      </w:r>
      <w:r w:rsidR="00C000C2">
        <w:rPr>
          <w:lang w:val="en-GB"/>
        </w:rPr>
        <w:t>(</w:t>
      </w:r>
      <w:r w:rsidR="00C000C2" w:rsidRPr="00CF4FEB">
        <w:rPr>
          <w:lang w:val="en-GB"/>
        </w:rPr>
        <w:t>2000).</w:t>
      </w:r>
      <w:r w:rsidR="003F2D67">
        <w:rPr>
          <w:lang w:val="en-GB"/>
        </w:rPr>
        <w:t xml:space="preserve"> </w:t>
      </w:r>
      <w:r w:rsidR="003F2D67" w:rsidRPr="00CF4FEB">
        <w:rPr>
          <w:lang w:val="en-GB"/>
        </w:rPr>
        <w:t>The LCI data for AWE processes, including water deionization and</w:t>
      </w:r>
      <w:r w:rsidR="003F2D67">
        <w:rPr>
          <w:lang w:val="en-GB"/>
        </w:rPr>
        <w:t xml:space="preserve"> </w:t>
      </w:r>
      <w:r w:rsidR="003F2D67" w:rsidRPr="00CF4FEB">
        <w:rPr>
          <w:lang w:val="en-GB"/>
        </w:rPr>
        <w:t xml:space="preserve">extraction, and electrolysis, are collected from Sanchez et al. </w:t>
      </w:r>
      <w:r w:rsidR="003F2D67">
        <w:rPr>
          <w:lang w:val="en-GB"/>
        </w:rPr>
        <w:t>(</w:t>
      </w:r>
      <w:r w:rsidR="003F2D67" w:rsidRPr="00CF4FEB">
        <w:rPr>
          <w:lang w:val="en-GB"/>
        </w:rPr>
        <w:t>2020), with</w:t>
      </w:r>
      <w:r w:rsidR="003F2D67">
        <w:rPr>
          <w:lang w:val="en-GB"/>
        </w:rPr>
        <w:t xml:space="preserve"> </w:t>
      </w:r>
      <w:r w:rsidR="003F2D67" w:rsidRPr="00CF4FEB">
        <w:rPr>
          <w:lang w:val="en-GB"/>
        </w:rPr>
        <w:t xml:space="preserve">construction data for the electrolysis plant from Burkhardt et al. </w:t>
      </w:r>
      <w:r w:rsidR="003F2D67">
        <w:rPr>
          <w:lang w:val="en-GB"/>
        </w:rPr>
        <w:t>(</w:t>
      </w:r>
      <w:r w:rsidR="003F2D67" w:rsidRPr="00CF4FEB">
        <w:rPr>
          <w:lang w:val="en-GB"/>
        </w:rPr>
        <w:t>2016).</w:t>
      </w:r>
      <w:r w:rsidR="00A93BB7">
        <w:rPr>
          <w:lang w:val="en-GB"/>
        </w:rPr>
        <w:t xml:space="preserve"> </w:t>
      </w:r>
      <w:r w:rsidR="00A93BB7" w:rsidRPr="00CF4FEB">
        <w:rPr>
          <w:lang w:val="en-GB"/>
        </w:rPr>
        <w:t>In</w:t>
      </w:r>
      <w:r w:rsidR="00A93BB7">
        <w:rPr>
          <w:lang w:val="en-GB"/>
        </w:rPr>
        <w:t xml:space="preserve"> </w:t>
      </w:r>
      <w:r w:rsidR="00A93BB7" w:rsidRPr="00CF4FEB">
        <w:rPr>
          <w:lang w:val="en-GB"/>
        </w:rPr>
        <w:t xml:space="preserve">addition, the helium </w:t>
      </w:r>
      <w:r w:rsidR="00A93BB7">
        <w:rPr>
          <w:lang w:val="en-GB"/>
        </w:rPr>
        <w:t>JBC</w:t>
      </w:r>
      <w:r w:rsidR="00A93BB7" w:rsidRPr="00CF4FEB">
        <w:rPr>
          <w:lang w:val="en-GB"/>
        </w:rPr>
        <w:t xml:space="preserve"> process parameters are presented in Valenti and Macchi </w:t>
      </w:r>
      <w:r w:rsidR="00A93BB7">
        <w:rPr>
          <w:lang w:val="en-GB"/>
        </w:rPr>
        <w:t>(</w:t>
      </w:r>
      <w:r w:rsidR="00A93BB7" w:rsidRPr="00CF4FEB">
        <w:rPr>
          <w:lang w:val="en-GB"/>
        </w:rPr>
        <w:t>2008), and materials for building a</w:t>
      </w:r>
      <w:r w:rsidR="00A93BB7">
        <w:rPr>
          <w:lang w:val="en-GB"/>
        </w:rPr>
        <w:t xml:space="preserve"> </w:t>
      </w:r>
      <w:r w:rsidR="00A93BB7" w:rsidRPr="00CF4FEB">
        <w:rPr>
          <w:lang w:val="en-GB"/>
        </w:rPr>
        <w:t xml:space="preserve">liquefaction plant are listed in Stolzenburg and </w:t>
      </w:r>
      <w:r w:rsidR="00A93BB7" w:rsidRPr="00773DDD">
        <w:rPr>
          <w:lang w:val="en-GB"/>
        </w:rPr>
        <w:t xml:space="preserve">Mubbala (2013). While normalizing the LCI data for the functional unit allows each process to be compared, there are significant differences in production capacities and lifespan between the processes, particularly the notably higher values of the SMR. </w:t>
      </w:r>
      <w:r w:rsidR="00A93BB7" w:rsidRPr="00CF4FEB">
        <w:rPr>
          <w:lang w:val="en-GB"/>
        </w:rPr>
        <w:t>These differences play an important role in evaluating the</w:t>
      </w:r>
      <w:r w:rsidR="00A93BB7">
        <w:rPr>
          <w:lang w:val="en-GB"/>
        </w:rPr>
        <w:t xml:space="preserve"> </w:t>
      </w:r>
      <w:r w:rsidR="00A93BB7" w:rsidRPr="00CF4FEB">
        <w:rPr>
          <w:lang w:val="en-GB"/>
        </w:rPr>
        <w:t>long-term environmental sustainability of each liquid hydrogen production</w:t>
      </w:r>
      <w:r w:rsidR="00A93BB7">
        <w:rPr>
          <w:lang w:val="en-GB"/>
        </w:rPr>
        <w:t xml:space="preserve"> route</w:t>
      </w:r>
      <w:r w:rsidR="00A93BB7" w:rsidRPr="00CF4FEB">
        <w:rPr>
          <w:lang w:val="en-GB"/>
        </w:rPr>
        <w:t>.</w:t>
      </w:r>
      <w:r w:rsidR="002D0005">
        <w:rPr>
          <w:lang w:val="en-GB"/>
        </w:rPr>
        <w:t xml:space="preserve"> </w:t>
      </w:r>
      <w:r w:rsidR="002D0005" w:rsidRPr="00820DC0">
        <w:rPr>
          <w:lang w:val="en-GB"/>
        </w:rPr>
        <w:t>In the life cycle impact assessment (LCIA step), the ReCiPe method was selected to determine the environmental impacts</w:t>
      </w:r>
      <w:r w:rsidR="002D0005">
        <w:rPr>
          <w:lang w:val="en-GB"/>
        </w:rPr>
        <w:t xml:space="preserve"> and </w:t>
      </w:r>
      <w:r w:rsidR="002D0005" w:rsidRPr="00820DC0">
        <w:rPr>
          <w:lang w:val="en-GB"/>
        </w:rPr>
        <w:t>process contribution of the liquid hydrogen routes.</w:t>
      </w:r>
    </w:p>
    <w:p w14:paraId="2F4F0758" w14:textId="05934B6F" w:rsidR="005775A6" w:rsidRDefault="005775A6" w:rsidP="005775A6">
      <w:pPr>
        <w:pStyle w:val="CETTabletitle"/>
      </w:pPr>
      <w:bookmarkStart w:id="3" w:name="_Hlk162785755"/>
      <w:r w:rsidRPr="00B57B36">
        <w:lastRenderedPageBreak/>
        <w:t xml:space="preserve">Table </w:t>
      </w:r>
      <w:r w:rsidR="00DB56D3">
        <w:t>1</w:t>
      </w:r>
      <w:r w:rsidRPr="00B57B36">
        <w:t xml:space="preserve">: </w:t>
      </w:r>
      <w:r>
        <w:t>L</w:t>
      </w:r>
      <w:r w:rsidRPr="00F53A55">
        <w:t>CI data for the SMR, AWE</w:t>
      </w:r>
      <w:r w:rsidR="008F094A">
        <w:t>,</w:t>
      </w:r>
      <w:r w:rsidRPr="00F53A55">
        <w:t xml:space="preserve"> and </w:t>
      </w:r>
      <w:r w:rsidR="00081533" w:rsidRPr="00081533">
        <w:t xml:space="preserve">JBC </w:t>
      </w:r>
      <w:r w:rsidRPr="00F53A55">
        <w:t>liquefaction processes</w:t>
      </w:r>
    </w:p>
    <w:tbl>
      <w:tblPr>
        <w:tblStyle w:val="Grigliatabella"/>
        <w:tblW w:w="93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2"/>
      </w:tblGrid>
      <w:tr w:rsidR="00303395" w14:paraId="0104E117" w14:textId="77777777" w:rsidTr="00C20C15">
        <w:trPr>
          <w:trHeight w:val="3645"/>
          <w:jc w:val="center"/>
        </w:trPr>
        <w:tc>
          <w:tcPr>
            <w:tcW w:w="4691" w:type="dxa"/>
          </w:tcPr>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3"/>
              <w:gridCol w:w="720"/>
              <w:gridCol w:w="720"/>
              <w:gridCol w:w="839"/>
            </w:tblGrid>
            <w:tr w:rsidR="00D56E96" w:rsidRPr="00C20C15" w14:paraId="0C3AF506" w14:textId="77777777" w:rsidTr="00DC5DA7">
              <w:trPr>
                <w:trHeight w:val="238"/>
                <w:jc w:val="center"/>
              </w:trPr>
              <w:tc>
                <w:tcPr>
                  <w:tcW w:w="1983" w:type="dxa"/>
                  <w:tcBorders>
                    <w:top w:val="single" w:sz="12" w:space="0" w:color="008000"/>
                    <w:bottom w:val="single" w:sz="4" w:space="0" w:color="00B050"/>
                  </w:tcBorders>
                  <w:shd w:val="clear" w:color="auto" w:fill="FFFFFF"/>
                </w:tcPr>
                <w:p w14:paraId="38143739" w14:textId="77777777" w:rsidR="00D56E96" w:rsidRPr="00C20C15" w:rsidRDefault="00D56E96" w:rsidP="00D56E96">
                  <w:pPr>
                    <w:pStyle w:val="CETBodytext"/>
                    <w:rPr>
                      <w:b/>
                      <w:bCs/>
                      <w:i/>
                      <w:iCs/>
                      <w:sz w:val="16"/>
                      <w:szCs w:val="18"/>
                      <w:lang w:val="en-GB"/>
                    </w:rPr>
                  </w:pPr>
                  <w:r w:rsidRPr="00C20C15">
                    <w:rPr>
                      <w:b/>
                      <w:bCs/>
                      <w:i/>
                      <w:iCs/>
                      <w:sz w:val="16"/>
                      <w:szCs w:val="18"/>
                      <w:lang w:val="en-GB"/>
                    </w:rPr>
                    <w:t>Technology</w:t>
                  </w:r>
                </w:p>
              </w:tc>
              <w:tc>
                <w:tcPr>
                  <w:tcW w:w="720" w:type="dxa"/>
                  <w:tcBorders>
                    <w:top w:val="single" w:sz="12" w:space="0" w:color="008000"/>
                    <w:bottom w:val="single" w:sz="4" w:space="0" w:color="00B050"/>
                  </w:tcBorders>
                  <w:shd w:val="clear" w:color="auto" w:fill="FFFFFF"/>
                </w:tcPr>
                <w:p w14:paraId="7A975E0B" w14:textId="77777777" w:rsidR="00D56E96" w:rsidRPr="00C20C15" w:rsidRDefault="00D56E96" w:rsidP="00D56E96">
                  <w:pPr>
                    <w:pStyle w:val="CETBodytext"/>
                    <w:jc w:val="center"/>
                    <w:rPr>
                      <w:i/>
                      <w:iCs/>
                      <w:sz w:val="16"/>
                      <w:szCs w:val="18"/>
                      <w:lang w:val="en-GB"/>
                    </w:rPr>
                  </w:pPr>
                  <w:r w:rsidRPr="00C20C15">
                    <w:rPr>
                      <w:b/>
                      <w:bCs/>
                      <w:i/>
                      <w:iCs/>
                      <w:sz w:val="16"/>
                      <w:szCs w:val="18"/>
                      <w:lang w:val="en-GB"/>
                    </w:rPr>
                    <w:t>SMR</w:t>
                  </w:r>
                </w:p>
              </w:tc>
              <w:tc>
                <w:tcPr>
                  <w:tcW w:w="720" w:type="dxa"/>
                  <w:tcBorders>
                    <w:top w:val="single" w:sz="12" w:space="0" w:color="008000"/>
                    <w:bottom w:val="single" w:sz="4" w:space="0" w:color="00B050"/>
                  </w:tcBorders>
                  <w:shd w:val="clear" w:color="auto" w:fill="FFFFFF"/>
                </w:tcPr>
                <w:p w14:paraId="1BFFD21F" w14:textId="77777777" w:rsidR="00D56E96" w:rsidRPr="00C20C15" w:rsidRDefault="00D56E96" w:rsidP="00D56E96">
                  <w:pPr>
                    <w:pStyle w:val="CETBodytext"/>
                    <w:jc w:val="center"/>
                    <w:rPr>
                      <w:i/>
                      <w:iCs/>
                      <w:sz w:val="16"/>
                      <w:szCs w:val="18"/>
                      <w:lang w:val="en-GB"/>
                    </w:rPr>
                  </w:pPr>
                  <w:r w:rsidRPr="00C20C15">
                    <w:rPr>
                      <w:b/>
                      <w:bCs/>
                      <w:i/>
                      <w:iCs/>
                      <w:sz w:val="16"/>
                      <w:szCs w:val="18"/>
                      <w:lang w:val="en-GB"/>
                    </w:rPr>
                    <w:t>AWE</w:t>
                  </w:r>
                </w:p>
              </w:tc>
              <w:tc>
                <w:tcPr>
                  <w:tcW w:w="839" w:type="dxa"/>
                  <w:tcBorders>
                    <w:top w:val="single" w:sz="12" w:space="0" w:color="008000"/>
                    <w:bottom w:val="single" w:sz="4" w:space="0" w:color="00B050"/>
                  </w:tcBorders>
                  <w:shd w:val="clear" w:color="auto" w:fill="FFFFFF"/>
                </w:tcPr>
                <w:p w14:paraId="402CA822" w14:textId="77777777" w:rsidR="00D56E96" w:rsidRPr="00C20C15" w:rsidRDefault="00D56E96" w:rsidP="00D56E96">
                  <w:pPr>
                    <w:pStyle w:val="CETBodytext"/>
                    <w:ind w:right="-1"/>
                    <w:jc w:val="center"/>
                    <w:rPr>
                      <w:rFonts w:cs="Arial"/>
                      <w:i/>
                      <w:iCs/>
                      <w:sz w:val="16"/>
                      <w:szCs w:val="18"/>
                      <w:lang w:val="en-GB"/>
                    </w:rPr>
                  </w:pPr>
                  <w:r w:rsidRPr="00C20C15">
                    <w:rPr>
                      <w:rFonts w:cs="Arial"/>
                      <w:b/>
                      <w:bCs/>
                      <w:i/>
                      <w:iCs/>
                      <w:sz w:val="16"/>
                      <w:szCs w:val="18"/>
                      <w:lang w:val="en-GB"/>
                    </w:rPr>
                    <w:t>JBC</w:t>
                  </w:r>
                </w:p>
              </w:tc>
            </w:tr>
            <w:tr w:rsidR="00D56E96" w:rsidRPr="00C20C15" w14:paraId="616D9FE4" w14:textId="77777777" w:rsidTr="00C20C15">
              <w:trPr>
                <w:trHeight w:val="206"/>
                <w:jc w:val="center"/>
              </w:trPr>
              <w:tc>
                <w:tcPr>
                  <w:tcW w:w="4262" w:type="dxa"/>
                  <w:gridSpan w:val="4"/>
                  <w:tcBorders>
                    <w:top w:val="single" w:sz="4" w:space="0" w:color="00B050"/>
                    <w:bottom w:val="single" w:sz="4" w:space="0" w:color="00B050"/>
                  </w:tcBorders>
                  <w:shd w:val="clear" w:color="auto" w:fill="FFFFFF"/>
                </w:tcPr>
                <w:p w14:paraId="4CD6A465" w14:textId="77777777" w:rsidR="00D56E96" w:rsidRPr="00C20C15" w:rsidRDefault="00D56E96" w:rsidP="00D56E96">
                  <w:pPr>
                    <w:pStyle w:val="CETBodytext"/>
                    <w:ind w:right="-1"/>
                    <w:jc w:val="left"/>
                    <w:rPr>
                      <w:rFonts w:cs="Arial"/>
                      <w:b/>
                      <w:bCs/>
                      <w:sz w:val="16"/>
                      <w:szCs w:val="18"/>
                      <w:lang w:val="en-GB"/>
                    </w:rPr>
                  </w:pPr>
                  <w:r w:rsidRPr="00C20C15">
                    <w:rPr>
                      <w:rFonts w:cs="Arial"/>
                      <w:b/>
                      <w:bCs/>
                      <w:sz w:val="16"/>
                      <w:szCs w:val="18"/>
                      <w:lang w:val="en-GB"/>
                    </w:rPr>
                    <w:t>Process parameters</w:t>
                  </w:r>
                </w:p>
              </w:tc>
            </w:tr>
            <w:tr w:rsidR="00D56E96" w:rsidRPr="00C20C15" w14:paraId="444236BB" w14:textId="77777777" w:rsidTr="00DC5DA7">
              <w:trPr>
                <w:trHeight w:val="228"/>
                <w:jc w:val="center"/>
              </w:trPr>
              <w:tc>
                <w:tcPr>
                  <w:tcW w:w="1983" w:type="dxa"/>
                  <w:tcBorders>
                    <w:top w:val="single" w:sz="4" w:space="0" w:color="00B050"/>
                  </w:tcBorders>
                  <w:shd w:val="clear" w:color="auto" w:fill="FFFFFF"/>
                </w:tcPr>
                <w:p w14:paraId="459BC891"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Capacity [kg/h]</w:t>
                  </w:r>
                </w:p>
              </w:tc>
              <w:tc>
                <w:tcPr>
                  <w:tcW w:w="720" w:type="dxa"/>
                  <w:tcBorders>
                    <w:top w:val="single" w:sz="4" w:space="0" w:color="00B050"/>
                  </w:tcBorders>
                  <w:shd w:val="clear" w:color="auto" w:fill="FFFFFF"/>
                </w:tcPr>
                <w:p w14:paraId="046A3B3F"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8987</w:t>
                  </w:r>
                </w:p>
              </w:tc>
              <w:tc>
                <w:tcPr>
                  <w:tcW w:w="720" w:type="dxa"/>
                  <w:tcBorders>
                    <w:top w:val="single" w:sz="4" w:space="0" w:color="00B050"/>
                  </w:tcBorders>
                  <w:shd w:val="clear" w:color="auto" w:fill="FFFFFF"/>
                </w:tcPr>
                <w:p w14:paraId="7A6F87D2"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0.173</w:t>
                  </w:r>
                </w:p>
              </w:tc>
              <w:tc>
                <w:tcPr>
                  <w:tcW w:w="839" w:type="dxa"/>
                  <w:tcBorders>
                    <w:top w:val="single" w:sz="4" w:space="0" w:color="00B050"/>
                  </w:tcBorders>
                  <w:shd w:val="clear" w:color="auto" w:fill="FFFFFF"/>
                </w:tcPr>
                <w:p w14:paraId="23BA7C60"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36000</w:t>
                  </w:r>
                </w:p>
              </w:tc>
            </w:tr>
            <w:tr w:rsidR="00D56E96" w:rsidRPr="00C20C15" w14:paraId="3FA2F0E1" w14:textId="77777777" w:rsidTr="00DC5DA7">
              <w:trPr>
                <w:trHeight w:val="238"/>
                <w:jc w:val="center"/>
              </w:trPr>
              <w:tc>
                <w:tcPr>
                  <w:tcW w:w="1983" w:type="dxa"/>
                  <w:shd w:val="clear" w:color="auto" w:fill="FFFFFF"/>
                </w:tcPr>
                <w:p w14:paraId="3B3A8531"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Lifetime [Year]</w:t>
                  </w:r>
                </w:p>
              </w:tc>
              <w:tc>
                <w:tcPr>
                  <w:tcW w:w="720" w:type="dxa"/>
                  <w:shd w:val="clear" w:color="auto" w:fill="FFFFFF"/>
                </w:tcPr>
                <w:p w14:paraId="4F1479C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20</w:t>
                  </w:r>
                </w:p>
              </w:tc>
              <w:tc>
                <w:tcPr>
                  <w:tcW w:w="720" w:type="dxa"/>
                  <w:shd w:val="clear" w:color="auto" w:fill="FFFFFF"/>
                </w:tcPr>
                <w:p w14:paraId="5F916E82"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10</w:t>
                  </w:r>
                </w:p>
              </w:tc>
              <w:tc>
                <w:tcPr>
                  <w:tcW w:w="839" w:type="dxa"/>
                  <w:shd w:val="clear" w:color="auto" w:fill="FFFFFF"/>
                </w:tcPr>
                <w:p w14:paraId="6949648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20</w:t>
                  </w:r>
                </w:p>
              </w:tc>
            </w:tr>
            <w:tr w:rsidR="00D56E96" w:rsidRPr="00C20C15" w14:paraId="045D616D" w14:textId="77777777" w:rsidTr="00DC5DA7">
              <w:trPr>
                <w:trHeight w:val="225"/>
                <w:jc w:val="center"/>
              </w:trPr>
              <w:tc>
                <w:tcPr>
                  <w:tcW w:w="1983" w:type="dxa"/>
                  <w:shd w:val="clear" w:color="auto" w:fill="FFFFFF"/>
                </w:tcPr>
                <w:p w14:paraId="68FFAD0B"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Operating hours [h/a]</w:t>
                  </w:r>
                </w:p>
              </w:tc>
              <w:tc>
                <w:tcPr>
                  <w:tcW w:w="720" w:type="dxa"/>
                  <w:shd w:val="clear" w:color="auto" w:fill="FFFFFF"/>
                </w:tcPr>
                <w:p w14:paraId="339E7FE0"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7000</w:t>
                  </w:r>
                </w:p>
              </w:tc>
              <w:tc>
                <w:tcPr>
                  <w:tcW w:w="720" w:type="dxa"/>
                  <w:shd w:val="clear" w:color="auto" w:fill="FFFFFF"/>
                </w:tcPr>
                <w:p w14:paraId="629C7809"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7000</w:t>
                  </w:r>
                </w:p>
              </w:tc>
              <w:tc>
                <w:tcPr>
                  <w:tcW w:w="839" w:type="dxa"/>
                  <w:shd w:val="clear" w:color="auto" w:fill="FFFFFF"/>
                </w:tcPr>
                <w:p w14:paraId="27B5CBEF"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7000</w:t>
                  </w:r>
                </w:p>
              </w:tc>
            </w:tr>
            <w:tr w:rsidR="00D56E96" w:rsidRPr="00C20C15" w14:paraId="61109F6B" w14:textId="77777777" w:rsidTr="00DC5DA7">
              <w:trPr>
                <w:trHeight w:val="238"/>
                <w:jc w:val="center"/>
              </w:trPr>
              <w:tc>
                <w:tcPr>
                  <w:tcW w:w="1983" w:type="dxa"/>
                  <w:tcBorders>
                    <w:bottom w:val="single" w:sz="12" w:space="0" w:color="008000"/>
                  </w:tcBorders>
                  <w:shd w:val="clear" w:color="auto" w:fill="FFFFFF"/>
                </w:tcPr>
                <w:p w14:paraId="0D6F3EA9"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Working fluid</w:t>
                  </w:r>
                </w:p>
              </w:tc>
              <w:tc>
                <w:tcPr>
                  <w:tcW w:w="720" w:type="dxa"/>
                  <w:tcBorders>
                    <w:bottom w:val="single" w:sz="12" w:space="0" w:color="008000"/>
                  </w:tcBorders>
                  <w:shd w:val="clear" w:color="auto" w:fill="FFFFFF"/>
                </w:tcPr>
                <w:p w14:paraId="7FC38560"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720" w:type="dxa"/>
                  <w:tcBorders>
                    <w:bottom w:val="single" w:sz="12" w:space="0" w:color="008000"/>
                  </w:tcBorders>
                  <w:shd w:val="clear" w:color="auto" w:fill="FFFFFF"/>
                </w:tcPr>
                <w:p w14:paraId="0AE0A59F"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39" w:type="dxa"/>
                  <w:tcBorders>
                    <w:bottom w:val="single" w:sz="12" w:space="0" w:color="008000"/>
                  </w:tcBorders>
                  <w:shd w:val="clear" w:color="auto" w:fill="FFFFFF"/>
                </w:tcPr>
                <w:p w14:paraId="673E6E0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Helium</w:t>
                  </w:r>
                </w:p>
              </w:tc>
            </w:tr>
            <w:tr w:rsidR="00D56E96" w:rsidRPr="00C20C15" w14:paraId="33494133" w14:textId="77777777" w:rsidTr="00C20C15">
              <w:trPr>
                <w:trHeight w:val="204"/>
                <w:jc w:val="center"/>
              </w:trPr>
              <w:tc>
                <w:tcPr>
                  <w:tcW w:w="1983" w:type="dxa"/>
                  <w:tcBorders>
                    <w:bottom w:val="single" w:sz="4" w:space="0" w:color="00B050"/>
                  </w:tcBorders>
                  <w:shd w:val="clear" w:color="auto" w:fill="FFFFFF"/>
                </w:tcPr>
                <w:p w14:paraId="55C0BCA3" w14:textId="77777777" w:rsidR="00D56E96" w:rsidRPr="00C20C15" w:rsidRDefault="00D56E96" w:rsidP="00D56E96">
                  <w:pPr>
                    <w:pStyle w:val="CETBodytext"/>
                    <w:ind w:right="-1"/>
                    <w:jc w:val="left"/>
                    <w:rPr>
                      <w:rFonts w:cs="Arial"/>
                      <w:b/>
                      <w:bCs/>
                      <w:sz w:val="16"/>
                      <w:szCs w:val="18"/>
                      <w:lang w:val="en-GB"/>
                    </w:rPr>
                  </w:pPr>
                  <w:r w:rsidRPr="00C20C15">
                    <w:rPr>
                      <w:rFonts w:cs="Arial"/>
                      <w:b/>
                      <w:bCs/>
                      <w:sz w:val="16"/>
                      <w:szCs w:val="18"/>
                      <w:lang w:val="en-GB"/>
                    </w:rPr>
                    <w:t>Input flows</w:t>
                  </w:r>
                </w:p>
              </w:tc>
              <w:tc>
                <w:tcPr>
                  <w:tcW w:w="720" w:type="dxa"/>
                  <w:tcBorders>
                    <w:bottom w:val="single" w:sz="4" w:space="0" w:color="00B050"/>
                  </w:tcBorders>
                  <w:shd w:val="clear" w:color="auto" w:fill="FFFFFF"/>
                </w:tcPr>
                <w:p w14:paraId="5E11A137" w14:textId="77777777" w:rsidR="00D56E96" w:rsidRPr="00C20C15" w:rsidRDefault="00D56E96" w:rsidP="00D56E96">
                  <w:pPr>
                    <w:pStyle w:val="CETBodytext"/>
                    <w:ind w:right="-1"/>
                    <w:rPr>
                      <w:rFonts w:cs="Arial"/>
                      <w:sz w:val="16"/>
                      <w:szCs w:val="18"/>
                      <w:lang w:val="en-GB"/>
                    </w:rPr>
                  </w:pPr>
                </w:p>
              </w:tc>
              <w:tc>
                <w:tcPr>
                  <w:tcW w:w="720" w:type="dxa"/>
                  <w:tcBorders>
                    <w:bottom w:val="single" w:sz="4" w:space="0" w:color="00B050"/>
                  </w:tcBorders>
                  <w:shd w:val="clear" w:color="auto" w:fill="FFFFFF"/>
                </w:tcPr>
                <w:p w14:paraId="65629950" w14:textId="77777777" w:rsidR="00D56E96" w:rsidRPr="00C20C15" w:rsidRDefault="00D56E96" w:rsidP="00D56E96">
                  <w:pPr>
                    <w:pStyle w:val="CETBodytext"/>
                    <w:ind w:right="-1"/>
                    <w:rPr>
                      <w:rFonts w:cs="Arial"/>
                      <w:sz w:val="16"/>
                      <w:szCs w:val="18"/>
                      <w:lang w:val="en-GB"/>
                    </w:rPr>
                  </w:pPr>
                </w:p>
              </w:tc>
              <w:tc>
                <w:tcPr>
                  <w:tcW w:w="839" w:type="dxa"/>
                  <w:tcBorders>
                    <w:bottom w:val="single" w:sz="4" w:space="0" w:color="00B050"/>
                  </w:tcBorders>
                  <w:shd w:val="clear" w:color="auto" w:fill="FFFFFF"/>
                </w:tcPr>
                <w:p w14:paraId="12A08634" w14:textId="77777777" w:rsidR="00D56E96" w:rsidRPr="00C20C15" w:rsidRDefault="00D56E96" w:rsidP="00D56E96">
                  <w:pPr>
                    <w:pStyle w:val="CETBodytext"/>
                    <w:ind w:right="-1"/>
                    <w:rPr>
                      <w:rFonts w:cs="Arial"/>
                      <w:sz w:val="16"/>
                      <w:szCs w:val="18"/>
                      <w:lang w:val="en-GB"/>
                    </w:rPr>
                  </w:pPr>
                </w:p>
              </w:tc>
            </w:tr>
            <w:tr w:rsidR="00D56E96" w:rsidRPr="00C20C15" w14:paraId="399FB805" w14:textId="77777777" w:rsidTr="00DC5DA7">
              <w:trPr>
                <w:trHeight w:val="238"/>
                <w:jc w:val="center"/>
              </w:trPr>
              <w:tc>
                <w:tcPr>
                  <w:tcW w:w="1983" w:type="dxa"/>
                  <w:tcBorders>
                    <w:top w:val="single" w:sz="4" w:space="0" w:color="00B050"/>
                  </w:tcBorders>
                  <w:shd w:val="clear" w:color="auto" w:fill="FFFFFF"/>
                </w:tcPr>
                <w:p w14:paraId="1C56FFDF"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 xml:space="preserve">Methane [kg] </w:t>
                  </w:r>
                </w:p>
              </w:tc>
              <w:tc>
                <w:tcPr>
                  <w:tcW w:w="720" w:type="dxa"/>
                  <w:tcBorders>
                    <w:top w:val="single" w:sz="4" w:space="0" w:color="00B050"/>
                  </w:tcBorders>
                  <w:shd w:val="clear" w:color="auto" w:fill="FFFFFF"/>
                </w:tcPr>
                <w:p w14:paraId="50A2C648"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1.61</w:t>
                  </w:r>
                </w:p>
              </w:tc>
              <w:tc>
                <w:tcPr>
                  <w:tcW w:w="720" w:type="dxa"/>
                  <w:tcBorders>
                    <w:top w:val="single" w:sz="4" w:space="0" w:color="00B050"/>
                  </w:tcBorders>
                  <w:shd w:val="clear" w:color="auto" w:fill="FFFFFF"/>
                </w:tcPr>
                <w:p w14:paraId="0F9DA1CF"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39" w:type="dxa"/>
                  <w:tcBorders>
                    <w:top w:val="single" w:sz="4" w:space="0" w:color="00B050"/>
                  </w:tcBorders>
                  <w:shd w:val="clear" w:color="auto" w:fill="FFFFFF"/>
                </w:tcPr>
                <w:p w14:paraId="2D553A06"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76565F18" w14:textId="77777777" w:rsidTr="00DC5DA7">
              <w:trPr>
                <w:trHeight w:val="228"/>
                <w:jc w:val="center"/>
              </w:trPr>
              <w:tc>
                <w:tcPr>
                  <w:tcW w:w="1983" w:type="dxa"/>
                  <w:shd w:val="clear" w:color="auto" w:fill="FFFFFF"/>
                </w:tcPr>
                <w:p w14:paraId="3F63685D"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Water [kg]</w:t>
                  </w:r>
                </w:p>
              </w:tc>
              <w:tc>
                <w:tcPr>
                  <w:tcW w:w="720" w:type="dxa"/>
                  <w:shd w:val="clear" w:color="auto" w:fill="FFFFFF"/>
                </w:tcPr>
                <w:p w14:paraId="63A79BBD"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5.44</w:t>
                  </w:r>
                </w:p>
              </w:tc>
              <w:tc>
                <w:tcPr>
                  <w:tcW w:w="720" w:type="dxa"/>
                  <w:shd w:val="clear" w:color="auto" w:fill="FFFFFF"/>
                </w:tcPr>
                <w:p w14:paraId="300E8757"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39" w:type="dxa"/>
                  <w:shd w:val="clear" w:color="auto" w:fill="FFFFFF"/>
                </w:tcPr>
                <w:p w14:paraId="386ADABD"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5D87E8E7" w14:textId="77777777" w:rsidTr="00DC5DA7">
              <w:trPr>
                <w:trHeight w:val="243"/>
                <w:jc w:val="center"/>
              </w:trPr>
              <w:tc>
                <w:tcPr>
                  <w:tcW w:w="1983" w:type="dxa"/>
                  <w:shd w:val="clear" w:color="auto" w:fill="FFFFFF"/>
                </w:tcPr>
                <w:p w14:paraId="6A8B2523"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Deionization water [kg]</w:t>
                  </w:r>
                </w:p>
              </w:tc>
              <w:tc>
                <w:tcPr>
                  <w:tcW w:w="720" w:type="dxa"/>
                  <w:shd w:val="clear" w:color="auto" w:fill="FFFFFF"/>
                </w:tcPr>
                <w:p w14:paraId="771C8EA5"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720" w:type="dxa"/>
                  <w:shd w:val="clear" w:color="auto" w:fill="FFFFFF"/>
                </w:tcPr>
                <w:p w14:paraId="1D995577"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10</w:t>
                  </w:r>
                </w:p>
              </w:tc>
              <w:tc>
                <w:tcPr>
                  <w:tcW w:w="839" w:type="dxa"/>
                  <w:shd w:val="clear" w:color="auto" w:fill="FFFFFF"/>
                </w:tcPr>
                <w:p w14:paraId="1E708415"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5E41A14A" w14:textId="77777777" w:rsidTr="00DC5DA7">
              <w:trPr>
                <w:trHeight w:val="228"/>
                <w:jc w:val="center"/>
              </w:trPr>
              <w:tc>
                <w:tcPr>
                  <w:tcW w:w="1983" w:type="dxa"/>
                  <w:shd w:val="clear" w:color="auto" w:fill="FFFFFF"/>
                </w:tcPr>
                <w:p w14:paraId="41FEC680"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Hydrogen [kg]</w:t>
                  </w:r>
                </w:p>
              </w:tc>
              <w:tc>
                <w:tcPr>
                  <w:tcW w:w="720" w:type="dxa"/>
                  <w:shd w:val="clear" w:color="auto" w:fill="FFFFFF"/>
                </w:tcPr>
                <w:p w14:paraId="6611FB82"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720" w:type="dxa"/>
                  <w:shd w:val="clear" w:color="auto" w:fill="FFFFFF"/>
                </w:tcPr>
                <w:p w14:paraId="5AEA905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39" w:type="dxa"/>
                  <w:shd w:val="clear" w:color="auto" w:fill="FFFFFF"/>
                </w:tcPr>
                <w:p w14:paraId="73B0BCA3"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w:t>
                  </w:r>
                </w:p>
              </w:tc>
            </w:tr>
            <w:tr w:rsidR="00D56E96" w:rsidRPr="00C20C15" w14:paraId="0C19E090" w14:textId="77777777" w:rsidTr="00DC5DA7">
              <w:trPr>
                <w:trHeight w:val="238"/>
                <w:jc w:val="center"/>
              </w:trPr>
              <w:tc>
                <w:tcPr>
                  <w:tcW w:w="1983" w:type="dxa"/>
                  <w:tcBorders>
                    <w:bottom w:val="single" w:sz="12" w:space="0" w:color="008000"/>
                  </w:tcBorders>
                  <w:shd w:val="clear" w:color="auto" w:fill="FFFFFF"/>
                </w:tcPr>
                <w:p w14:paraId="16D57943"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Electricity [kWh]</w:t>
                  </w:r>
                </w:p>
              </w:tc>
              <w:tc>
                <w:tcPr>
                  <w:tcW w:w="720" w:type="dxa"/>
                  <w:tcBorders>
                    <w:bottom w:val="single" w:sz="12" w:space="0" w:color="008000"/>
                  </w:tcBorders>
                  <w:shd w:val="clear" w:color="auto" w:fill="FFFFFF"/>
                </w:tcPr>
                <w:p w14:paraId="1699CFF7"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11.32</w:t>
                  </w:r>
                </w:p>
              </w:tc>
              <w:tc>
                <w:tcPr>
                  <w:tcW w:w="720" w:type="dxa"/>
                  <w:tcBorders>
                    <w:bottom w:val="single" w:sz="12" w:space="0" w:color="008000"/>
                  </w:tcBorders>
                  <w:shd w:val="clear" w:color="auto" w:fill="FFFFFF"/>
                </w:tcPr>
                <w:p w14:paraId="25CBFB4B"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61.84</w:t>
                  </w:r>
                </w:p>
              </w:tc>
              <w:tc>
                <w:tcPr>
                  <w:tcW w:w="839" w:type="dxa"/>
                  <w:tcBorders>
                    <w:bottom w:val="single" w:sz="12" w:space="0" w:color="008000"/>
                  </w:tcBorders>
                  <w:shd w:val="clear" w:color="auto" w:fill="FFFFFF"/>
                </w:tcPr>
                <w:p w14:paraId="1D742771"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5.06</w:t>
                  </w:r>
                </w:p>
              </w:tc>
            </w:tr>
            <w:tr w:rsidR="00D56E96" w:rsidRPr="00C20C15" w14:paraId="5266C138" w14:textId="77777777" w:rsidTr="00C20C15">
              <w:trPr>
                <w:trHeight w:val="195"/>
                <w:jc w:val="center"/>
              </w:trPr>
              <w:tc>
                <w:tcPr>
                  <w:tcW w:w="1983" w:type="dxa"/>
                  <w:tcBorders>
                    <w:top w:val="single" w:sz="12" w:space="0" w:color="008000"/>
                    <w:bottom w:val="single" w:sz="4" w:space="0" w:color="00B050"/>
                  </w:tcBorders>
                  <w:shd w:val="clear" w:color="auto" w:fill="FFFFFF"/>
                </w:tcPr>
                <w:p w14:paraId="57C8A4DD" w14:textId="77777777" w:rsidR="00D56E96" w:rsidRPr="00C20C15" w:rsidRDefault="00D56E96" w:rsidP="00D56E96">
                  <w:pPr>
                    <w:pStyle w:val="CETBodytext"/>
                    <w:jc w:val="left"/>
                    <w:rPr>
                      <w:b/>
                      <w:bCs/>
                      <w:sz w:val="16"/>
                      <w:szCs w:val="18"/>
                      <w:lang w:val="en-GB"/>
                    </w:rPr>
                  </w:pPr>
                  <w:r w:rsidRPr="00C20C15">
                    <w:rPr>
                      <w:b/>
                      <w:bCs/>
                      <w:sz w:val="16"/>
                      <w:szCs w:val="18"/>
                      <w:lang w:val="en-GB"/>
                    </w:rPr>
                    <w:t>Output flow</w:t>
                  </w:r>
                </w:p>
              </w:tc>
              <w:tc>
                <w:tcPr>
                  <w:tcW w:w="720" w:type="dxa"/>
                  <w:tcBorders>
                    <w:top w:val="single" w:sz="12" w:space="0" w:color="008000"/>
                    <w:bottom w:val="single" w:sz="4" w:space="0" w:color="00B050"/>
                  </w:tcBorders>
                  <w:shd w:val="clear" w:color="auto" w:fill="FFFFFF"/>
                </w:tcPr>
                <w:p w14:paraId="4769A719" w14:textId="77777777" w:rsidR="00D56E96" w:rsidRPr="00C20C15" w:rsidRDefault="00D56E96" w:rsidP="00D56E96">
                  <w:pPr>
                    <w:pStyle w:val="CETBodytext"/>
                    <w:jc w:val="center"/>
                    <w:rPr>
                      <w:sz w:val="16"/>
                      <w:szCs w:val="18"/>
                      <w:lang w:val="en-GB"/>
                    </w:rPr>
                  </w:pPr>
                </w:p>
              </w:tc>
              <w:tc>
                <w:tcPr>
                  <w:tcW w:w="720" w:type="dxa"/>
                  <w:tcBorders>
                    <w:top w:val="single" w:sz="12" w:space="0" w:color="008000"/>
                    <w:bottom w:val="single" w:sz="4" w:space="0" w:color="00B050"/>
                  </w:tcBorders>
                  <w:shd w:val="clear" w:color="auto" w:fill="FFFFFF"/>
                </w:tcPr>
                <w:p w14:paraId="3B3C4ABD" w14:textId="77777777" w:rsidR="00D56E96" w:rsidRPr="00C20C15" w:rsidRDefault="00D56E96" w:rsidP="00D56E96">
                  <w:pPr>
                    <w:pStyle w:val="CETBodytext"/>
                    <w:jc w:val="center"/>
                    <w:rPr>
                      <w:sz w:val="16"/>
                      <w:szCs w:val="18"/>
                      <w:lang w:val="en-GB"/>
                    </w:rPr>
                  </w:pPr>
                </w:p>
              </w:tc>
              <w:tc>
                <w:tcPr>
                  <w:tcW w:w="839" w:type="dxa"/>
                  <w:tcBorders>
                    <w:top w:val="single" w:sz="12" w:space="0" w:color="008000"/>
                    <w:bottom w:val="single" w:sz="4" w:space="0" w:color="00B050"/>
                  </w:tcBorders>
                  <w:shd w:val="clear" w:color="auto" w:fill="FFFFFF"/>
                </w:tcPr>
                <w:p w14:paraId="130C1AA4" w14:textId="77777777" w:rsidR="00D56E96" w:rsidRPr="00C20C15" w:rsidRDefault="00D56E96" w:rsidP="00D56E96">
                  <w:pPr>
                    <w:pStyle w:val="CETBodytext"/>
                    <w:jc w:val="center"/>
                    <w:rPr>
                      <w:sz w:val="16"/>
                      <w:szCs w:val="18"/>
                      <w:lang w:val="en-GB"/>
                    </w:rPr>
                  </w:pPr>
                </w:p>
              </w:tc>
            </w:tr>
            <w:tr w:rsidR="00D56E96" w:rsidRPr="00C20C15" w14:paraId="3F6A0BC5" w14:textId="77777777" w:rsidTr="00DC5DA7">
              <w:trPr>
                <w:trHeight w:val="228"/>
                <w:jc w:val="center"/>
              </w:trPr>
              <w:tc>
                <w:tcPr>
                  <w:tcW w:w="1983" w:type="dxa"/>
                  <w:tcBorders>
                    <w:top w:val="single" w:sz="4" w:space="0" w:color="00B050"/>
                    <w:bottom w:val="nil"/>
                  </w:tcBorders>
                  <w:shd w:val="clear" w:color="auto" w:fill="FFFFFF"/>
                </w:tcPr>
                <w:p w14:paraId="4B0F71A9"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Hydrogen [kg]</w:t>
                  </w:r>
                </w:p>
              </w:tc>
              <w:tc>
                <w:tcPr>
                  <w:tcW w:w="720" w:type="dxa"/>
                  <w:tcBorders>
                    <w:top w:val="single" w:sz="4" w:space="0" w:color="00B050"/>
                    <w:bottom w:val="nil"/>
                  </w:tcBorders>
                  <w:shd w:val="clear" w:color="auto" w:fill="FFFFFF"/>
                </w:tcPr>
                <w:p w14:paraId="2A8844F3"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w:t>
                  </w:r>
                </w:p>
              </w:tc>
              <w:tc>
                <w:tcPr>
                  <w:tcW w:w="720" w:type="dxa"/>
                  <w:tcBorders>
                    <w:top w:val="single" w:sz="4" w:space="0" w:color="00B050"/>
                    <w:bottom w:val="nil"/>
                  </w:tcBorders>
                  <w:shd w:val="clear" w:color="auto" w:fill="FFFFFF"/>
                </w:tcPr>
                <w:p w14:paraId="48C9EEF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w:t>
                  </w:r>
                </w:p>
              </w:tc>
              <w:tc>
                <w:tcPr>
                  <w:tcW w:w="839" w:type="dxa"/>
                  <w:tcBorders>
                    <w:top w:val="single" w:sz="4" w:space="0" w:color="00B050"/>
                    <w:bottom w:val="nil"/>
                  </w:tcBorders>
                  <w:shd w:val="clear" w:color="auto" w:fill="FFFFFF"/>
                </w:tcPr>
                <w:p w14:paraId="05E1B85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3D9A6140" w14:textId="77777777" w:rsidTr="00C20C15">
              <w:trPr>
                <w:trHeight w:val="207"/>
                <w:jc w:val="center"/>
              </w:trPr>
              <w:tc>
                <w:tcPr>
                  <w:tcW w:w="1983" w:type="dxa"/>
                  <w:tcBorders>
                    <w:top w:val="nil"/>
                    <w:bottom w:val="single" w:sz="12" w:space="0" w:color="008000"/>
                  </w:tcBorders>
                  <w:shd w:val="clear" w:color="auto" w:fill="FFFFFF"/>
                </w:tcPr>
                <w:p w14:paraId="62524B72" w14:textId="77777777" w:rsidR="00D56E96" w:rsidRPr="00C20C15" w:rsidRDefault="00D56E96" w:rsidP="00D56E96">
                  <w:pPr>
                    <w:pStyle w:val="CETBodytext"/>
                    <w:ind w:right="-1"/>
                    <w:rPr>
                      <w:rFonts w:cs="Arial"/>
                      <w:sz w:val="16"/>
                      <w:szCs w:val="18"/>
                      <w:lang w:val="en-GB"/>
                    </w:rPr>
                  </w:pPr>
                  <w:r w:rsidRPr="00C20C15">
                    <w:rPr>
                      <w:rFonts w:cs="Arial"/>
                      <w:sz w:val="16"/>
                      <w:szCs w:val="18"/>
                      <w:lang w:val="en-GB"/>
                    </w:rPr>
                    <w:t>Liquid Hydrogen [kg]</w:t>
                  </w:r>
                </w:p>
              </w:tc>
              <w:tc>
                <w:tcPr>
                  <w:tcW w:w="720" w:type="dxa"/>
                  <w:tcBorders>
                    <w:top w:val="nil"/>
                    <w:bottom w:val="single" w:sz="12" w:space="0" w:color="008000"/>
                  </w:tcBorders>
                  <w:shd w:val="clear" w:color="auto" w:fill="FFFFFF"/>
                </w:tcPr>
                <w:p w14:paraId="0A254E2D"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720" w:type="dxa"/>
                  <w:tcBorders>
                    <w:top w:val="nil"/>
                    <w:bottom w:val="single" w:sz="12" w:space="0" w:color="008000"/>
                  </w:tcBorders>
                  <w:shd w:val="clear" w:color="auto" w:fill="FFFFFF"/>
                </w:tcPr>
                <w:p w14:paraId="5434CE31"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39" w:type="dxa"/>
                  <w:tcBorders>
                    <w:top w:val="nil"/>
                    <w:bottom w:val="single" w:sz="12" w:space="0" w:color="008000"/>
                  </w:tcBorders>
                  <w:shd w:val="clear" w:color="auto" w:fill="FFFFFF"/>
                </w:tcPr>
                <w:p w14:paraId="08D71056"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w:t>
                  </w:r>
                </w:p>
              </w:tc>
            </w:tr>
          </w:tbl>
          <w:p w14:paraId="004A6B1F" w14:textId="77777777" w:rsidR="00303395" w:rsidRPr="00F74A1F" w:rsidRDefault="00303395" w:rsidP="00303395">
            <w:pPr>
              <w:pStyle w:val="CETBodytext"/>
              <w:rPr>
                <w:lang w:val="en-GB"/>
              </w:rPr>
            </w:pPr>
          </w:p>
        </w:tc>
        <w:tc>
          <w:tcPr>
            <w:tcW w:w="4692" w:type="dxa"/>
          </w:tcPr>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5"/>
              <w:gridCol w:w="810"/>
              <w:gridCol w:w="900"/>
              <w:gridCol w:w="848"/>
            </w:tblGrid>
            <w:tr w:rsidR="00D56E96" w:rsidRPr="00C20C15" w14:paraId="1EA2EE6D" w14:textId="77777777" w:rsidTr="00DC5DA7">
              <w:trPr>
                <w:trHeight w:val="238"/>
                <w:jc w:val="center"/>
              </w:trPr>
              <w:tc>
                <w:tcPr>
                  <w:tcW w:w="1705" w:type="dxa"/>
                  <w:tcBorders>
                    <w:top w:val="single" w:sz="12" w:space="0" w:color="008000"/>
                    <w:bottom w:val="single" w:sz="4" w:space="0" w:color="00B050"/>
                  </w:tcBorders>
                  <w:shd w:val="clear" w:color="auto" w:fill="FFFFFF"/>
                </w:tcPr>
                <w:p w14:paraId="3536BFD2" w14:textId="77777777" w:rsidR="00D56E96" w:rsidRPr="00C20C15" w:rsidRDefault="00D56E96" w:rsidP="00D56E96">
                  <w:pPr>
                    <w:pStyle w:val="CETBodytext"/>
                    <w:rPr>
                      <w:b/>
                      <w:bCs/>
                      <w:i/>
                      <w:iCs/>
                      <w:sz w:val="16"/>
                      <w:szCs w:val="18"/>
                      <w:lang w:val="en-GB"/>
                    </w:rPr>
                  </w:pPr>
                  <w:r w:rsidRPr="00C20C15">
                    <w:rPr>
                      <w:b/>
                      <w:bCs/>
                      <w:i/>
                      <w:iCs/>
                      <w:sz w:val="16"/>
                      <w:szCs w:val="18"/>
                      <w:lang w:val="en-GB"/>
                    </w:rPr>
                    <w:t>Technology</w:t>
                  </w:r>
                </w:p>
              </w:tc>
              <w:tc>
                <w:tcPr>
                  <w:tcW w:w="810" w:type="dxa"/>
                  <w:tcBorders>
                    <w:top w:val="single" w:sz="12" w:space="0" w:color="008000"/>
                    <w:bottom w:val="single" w:sz="4" w:space="0" w:color="00B050"/>
                  </w:tcBorders>
                  <w:shd w:val="clear" w:color="auto" w:fill="FFFFFF"/>
                </w:tcPr>
                <w:p w14:paraId="1069A9BE" w14:textId="77777777" w:rsidR="00D56E96" w:rsidRPr="00C20C15" w:rsidRDefault="00D56E96" w:rsidP="00D56E96">
                  <w:pPr>
                    <w:pStyle w:val="CETBodytext"/>
                    <w:jc w:val="center"/>
                    <w:rPr>
                      <w:b/>
                      <w:bCs/>
                      <w:i/>
                      <w:iCs/>
                      <w:sz w:val="16"/>
                      <w:szCs w:val="18"/>
                      <w:lang w:val="en-GB"/>
                    </w:rPr>
                  </w:pPr>
                  <w:r w:rsidRPr="00C20C15">
                    <w:rPr>
                      <w:b/>
                      <w:bCs/>
                      <w:i/>
                      <w:iCs/>
                      <w:sz w:val="16"/>
                      <w:szCs w:val="18"/>
                      <w:lang w:val="en-GB"/>
                    </w:rPr>
                    <w:t>SMR</w:t>
                  </w:r>
                </w:p>
              </w:tc>
              <w:tc>
                <w:tcPr>
                  <w:tcW w:w="900" w:type="dxa"/>
                  <w:tcBorders>
                    <w:top w:val="single" w:sz="12" w:space="0" w:color="008000"/>
                    <w:bottom w:val="single" w:sz="4" w:space="0" w:color="00B050"/>
                  </w:tcBorders>
                  <w:shd w:val="clear" w:color="auto" w:fill="FFFFFF"/>
                </w:tcPr>
                <w:p w14:paraId="40A19851" w14:textId="77777777" w:rsidR="00D56E96" w:rsidRPr="00C20C15" w:rsidRDefault="00D56E96" w:rsidP="00D56E96">
                  <w:pPr>
                    <w:pStyle w:val="CETBodytext"/>
                    <w:jc w:val="center"/>
                    <w:rPr>
                      <w:b/>
                      <w:bCs/>
                      <w:i/>
                      <w:iCs/>
                      <w:sz w:val="16"/>
                      <w:szCs w:val="18"/>
                      <w:lang w:val="en-GB"/>
                    </w:rPr>
                  </w:pPr>
                  <w:r w:rsidRPr="00C20C15">
                    <w:rPr>
                      <w:b/>
                      <w:bCs/>
                      <w:i/>
                      <w:iCs/>
                      <w:sz w:val="16"/>
                      <w:szCs w:val="18"/>
                      <w:lang w:val="en-GB"/>
                    </w:rPr>
                    <w:t>AWE</w:t>
                  </w:r>
                </w:p>
              </w:tc>
              <w:tc>
                <w:tcPr>
                  <w:tcW w:w="848" w:type="dxa"/>
                  <w:tcBorders>
                    <w:top w:val="single" w:sz="12" w:space="0" w:color="008000"/>
                    <w:bottom w:val="single" w:sz="4" w:space="0" w:color="00B050"/>
                  </w:tcBorders>
                  <w:shd w:val="clear" w:color="auto" w:fill="FFFFFF"/>
                </w:tcPr>
                <w:p w14:paraId="125D4168" w14:textId="77777777" w:rsidR="00D56E96" w:rsidRPr="00C20C15" w:rsidRDefault="00D56E96" w:rsidP="00D56E96">
                  <w:pPr>
                    <w:pStyle w:val="CETBodytext"/>
                    <w:ind w:right="-1"/>
                    <w:jc w:val="center"/>
                    <w:rPr>
                      <w:rFonts w:cs="Arial"/>
                      <w:b/>
                      <w:bCs/>
                      <w:i/>
                      <w:iCs/>
                      <w:sz w:val="16"/>
                      <w:szCs w:val="18"/>
                      <w:lang w:val="en-GB"/>
                    </w:rPr>
                  </w:pPr>
                  <w:r w:rsidRPr="00C20C15">
                    <w:rPr>
                      <w:rFonts w:cs="Arial"/>
                      <w:b/>
                      <w:bCs/>
                      <w:i/>
                      <w:iCs/>
                      <w:sz w:val="16"/>
                      <w:szCs w:val="18"/>
                      <w:lang w:val="en-GB"/>
                    </w:rPr>
                    <w:t>JBC</w:t>
                  </w:r>
                </w:p>
              </w:tc>
            </w:tr>
            <w:tr w:rsidR="00D56E96" w:rsidRPr="00C20C15" w14:paraId="30F326C7" w14:textId="77777777" w:rsidTr="00DC5DA7">
              <w:trPr>
                <w:trHeight w:val="228"/>
                <w:jc w:val="center"/>
              </w:trPr>
              <w:tc>
                <w:tcPr>
                  <w:tcW w:w="4263" w:type="dxa"/>
                  <w:gridSpan w:val="4"/>
                  <w:tcBorders>
                    <w:bottom w:val="single" w:sz="4" w:space="0" w:color="00B050"/>
                  </w:tcBorders>
                  <w:shd w:val="clear" w:color="auto" w:fill="FFFFFF"/>
                </w:tcPr>
                <w:p w14:paraId="6BA1958D" w14:textId="77777777" w:rsidR="00D56E96" w:rsidRPr="00C20C15" w:rsidRDefault="00D56E96" w:rsidP="00D56E96">
                  <w:pPr>
                    <w:pStyle w:val="CETBodytext"/>
                    <w:ind w:right="-1"/>
                    <w:jc w:val="left"/>
                    <w:rPr>
                      <w:rFonts w:cs="Arial"/>
                      <w:sz w:val="16"/>
                      <w:szCs w:val="18"/>
                      <w:lang w:val="en-GB"/>
                    </w:rPr>
                  </w:pPr>
                  <w:r w:rsidRPr="00C20C15">
                    <w:rPr>
                      <w:rFonts w:cs="Arial"/>
                      <w:b/>
                      <w:bCs/>
                      <w:sz w:val="16"/>
                      <w:szCs w:val="18"/>
                      <w:lang w:val="en-GB"/>
                    </w:rPr>
                    <w:t>Construction materials</w:t>
                  </w:r>
                </w:p>
              </w:tc>
            </w:tr>
            <w:tr w:rsidR="00D56E96" w:rsidRPr="00C20C15" w14:paraId="34D691F5" w14:textId="77777777" w:rsidTr="00DC5DA7">
              <w:trPr>
                <w:trHeight w:val="228"/>
                <w:jc w:val="center"/>
              </w:trPr>
              <w:tc>
                <w:tcPr>
                  <w:tcW w:w="1705" w:type="dxa"/>
                  <w:tcBorders>
                    <w:top w:val="single" w:sz="4" w:space="0" w:color="00B050"/>
                  </w:tcBorders>
                  <w:shd w:val="clear" w:color="auto" w:fill="FFFFFF"/>
                </w:tcPr>
                <w:p w14:paraId="7B237123"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Concrete [m</w:t>
                  </w:r>
                  <w:r w:rsidRPr="00C20C15">
                    <w:rPr>
                      <w:rFonts w:cs="Arial"/>
                      <w:sz w:val="16"/>
                      <w:szCs w:val="18"/>
                      <w:vertAlign w:val="superscript"/>
                      <w:lang w:val="en-GB"/>
                    </w:rPr>
                    <w:t>3</w:t>
                  </w:r>
                  <w:r w:rsidRPr="00C20C15">
                    <w:rPr>
                      <w:rFonts w:cs="Arial"/>
                      <w:sz w:val="16"/>
                      <w:szCs w:val="18"/>
                      <w:lang w:val="en-GB"/>
                    </w:rPr>
                    <w:t>]</w:t>
                  </w:r>
                </w:p>
              </w:tc>
              <w:tc>
                <w:tcPr>
                  <w:tcW w:w="810" w:type="dxa"/>
                  <w:tcBorders>
                    <w:top w:val="single" w:sz="4" w:space="0" w:color="00B050"/>
                  </w:tcBorders>
                  <w:shd w:val="clear" w:color="auto" w:fill="FFFFFF"/>
                </w:tcPr>
                <w:p w14:paraId="19B84B8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3.42e-06</w:t>
                  </w:r>
                </w:p>
              </w:tc>
              <w:tc>
                <w:tcPr>
                  <w:tcW w:w="900" w:type="dxa"/>
                  <w:tcBorders>
                    <w:top w:val="single" w:sz="4" w:space="0" w:color="00B050"/>
                  </w:tcBorders>
                  <w:shd w:val="clear" w:color="auto" w:fill="FFFFFF"/>
                </w:tcPr>
                <w:p w14:paraId="4E36E8D7"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48" w:type="dxa"/>
                  <w:tcBorders>
                    <w:top w:val="single" w:sz="4" w:space="0" w:color="00B050"/>
                  </w:tcBorders>
                  <w:shd w:val="clear" w:color="auto" w:fill="FFFFFF"/>
                </w:tcPr>
                <w:p w14:paraId="2B8F55AD"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3.89e-06</w:t>
                  </w:r>
                </w:p>
              </w:tc>
            </w:tr>
            <w:tr w:rsidR="00D56E96" w:rsidRPr="00C20C15" w14:paraId="110867D2" w14:textId="77777777" w:rsidTr="00DC5DA7">
              <w:trPr>
                <w:trHeight w:val="198"/>
                <w:jc w:val="center"/>
              </w:trPr>
              <w:tc>
                <w:tcPr>
                  <w:tcW w:w="1705" w:type="dxa"/>
                  <w:shd w:val="clear" w:color="auto" w:fill="FFFFFF"/>
                </w:tcPr>
                <w:p w14:paraId="26AA421E"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Unalloyed steel [kg]</w:t>
                  </w:r>
                </w:p>
              </w:tc>
              <w:tc>
                <w:tcPr>
                  <w:tcW w:w="810" w:type="dxa"/>
                  <w:shd w:val="clear" w:color="auto" w:fill="FFFFFF"/>
                </w:tcPr>
                <w:p w14:paraId="6CB731C4" w14:textId="63DB0411"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2.6</w:t>
                  </w:r>
                  <w:r w:rsidR="00921AAF" w:rsidRPr="00C20C15">
                    <w:rPr>
                      <w:rFonts w:cs="Arial"/>
                      <w:sz w:val="16"/>
                      <w:szCs w:val="18"/>
                      <w:lang w:val="en-GB"/>
                    </w:rPr>
                    <w:t>0</w:t>
                  </w:r>
                  <w:r w:rsidRPr="00C20C15">
                    <w:rPr>
                      <w:rFonts w:cs="Arial"/>
                      <w:sz w:val="16"/>
                      <w:szCs w:val="18"/>
                      <w:lang w:val="en-GB"/>
                    </w:rPr>
                    <w:t>e-03</w:t>
                  </w:r>
                </w:p>
              </w:tc>
              <w:tc>
                <w:tcPr>
                  <w:tcW w:w="900" w:type="dxa"/>
                  <w:shd w:val="clear" w:color="auto" w:fill="FFFFFF"/>
                </w:tcPr>
                <w:p w14:paraId="4AFD273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48" w:type="dxa"/>
                  <w:shd w:val="clear" w:color="auto" w:fill="FFFFFF"/>
                </w:tcPr>
                <w:p w14:paraId="6CD70C86"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459D5D29" w14:textId="77777777" w:rsidTr="00DC5DA7">
              <w:trPr>
                <w:trHeight w:val="228"/>
                <w:jc w:val="center"/>
              </w:trPr>
              <w:tc>
                <w:tcPr>
                  <w:tcW w:w="1705" w:type="dxa"/>
                  <w:shd w:val="clear" w:color="auto" w:fill="FFFFFF"/>
                </w:tcPr>
                <w:p w14:paraId="0A838F93"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Aluminium [kg]</w:t>
                  </w:r>
                </w:p>
              </w:tc>
              <w:tc>
                <w:tcPr>
                  <w:tcW w:w="810" w:type="dxa"/>
                  <w:shd w:val="clear" w:color="auto" w:fill="FFFFFF"/>
                </w:tcPr>
                <w:p w14:paraId="7427BB4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2.15e-05</w:t>
                  </w:r>
                </w:p>
              </w:tc>
              <w:tc>
                <w:tcPr>
                  <w:tcW w:w="900" w:type="dxa"/>
                  <w:shd w:val="clear" w:color="auto" w:fill="FFFFFF"/>
                </w:tcPr>
                <w:p w14:paraId="3348EB43"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1.44e-02</w:t>
                  </w:r>
                </w:p>
              </w:tc>
              <w:tc>
                <w:tcPr>
                  <w:tcW w:w="848" w:type="dxa"/>
                  <w:shd w:val="clear" w:color="auto" w:fill="FFFFFF"/>
                </w:tcPr>
                <w:p w14:paraId="0F763A0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2.78e-05</w:t>
                  </w:r>
                </w:p>
              </w:tc>
            </w:tr>
            <w:tr w:rsidR="00D56E96" w:rsidRPr="00C20C15" w14:paraId="2BFA44D7" w14:textId="77777777" w:rsidTr="00DC5DA7">
              <w:trPr>
                <w:trHeight w:val="238"/>
                <w:jc w:val="center"/>
              </w:trPr>
              <w:tc>
                <w:tcPr>
                  <w:tcW w:w="1705" w:type="dxa"/>
                  <w:shd w:val="clear" w:color="auto" w:fill="FFFFFF"/>
                </w:tcPr>
                <w:p w14:paraId="410BCB55"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Cast iron [kg]</w:t>
                  </w:r>
                </w:p>
              </w:tc>
              <w:tc>
                <w:tcPr>
                  <w:tcW w:w="810" w:type="dxa"/>
                  <w:shd w:val="clear" w:color="auto" w:fill="FFFFFF"/>
                </w:tcPr>
                <w:p w14:paraId="7C8442C2"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 xml:space="preserve">3.18e-05 </w:t>
                  </w:r>
                </w:p>
              </w:tc>
              <w:tc>
                <w:tcPr>
                  <w:tcW w:w="900" w:type="dxa"/>
                  <w:shd w:val="clear" w:color="auto" w:fill="FFFFFF"/>
                </w:tcPr>
                <w:p w14:paraId="7902063B"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3.82e-02</w:t>
                  </w:r>
                </w:p>
              </w:tc>
              <w:tc>
                <w:tcPr>
                  <w:tcW w:w="848" w:type="dxa"/>
                  <w:shd w:val="clear" w:color="auto" w:fill="FFFFFF"/>
                </w:tcPr>
                <w:p w14:paraId="5DB60C14"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2A3BD55B" w14:textId="77777777" w:rsidTr="00DC5DA7">
              <w:trPr>
                <w:trHeight w:val="228"/>
                <w:jc w:val="center"/>
              </w:trPr>
              <w:tc>
                <w:tcPr>
                  <w:tcW w:w="1705" w:type="dxa"/>
                  <w:shd w:val="clear" w:color="auto" w:fill="FFFFFF"/>
                </w:tcPr>
                <w:p w14:paraId="3B2FC353"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Alloyed steel [kg]</w:t>
                  </w:r>
                </w:p>
              </w:tc>
              <w:tc>
                <w:tcPr>
                  <w:tcW w:w="810" w:type="dxa"/>
                  <w:shd w:val="clear" w:color="auto" w:fill="FFFFFF"/>
                </w:tcPr>
                <w:p w14:paraId="32650B1D"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shd w:val="clear" w:color="auto" w:fill="FFFFFF"/>
                </w:tcPr>
                <w:p w14:paraId="696827B5"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1.24</w:t>
                  </w:r>
                </w:p>
              </w:tc>
              <w:tc>
                <w:tcPr>
                  <w:tcW w:w="848" w:type="dxa"/>
                  <w:shd w:val="clear" w:color="auto" w:fill="FFFFFF"/>
                </w:tcPr>
                <w:p w14:paraId="5BC8323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63D2B733" w14:textId="77777777" w:rsidTr="00DC5DA7">
              <w:trPr>
                <w:trHeight w:val="228"/>
                <w:jc w:val="center"/>
              </w:trPr>
              <w:tc>
                <w:tcPr>
                  <w:tcW w:w="1705" w:type="dxa"/>
                  <w:shd w:val="clear" w:color="auto" w:fill="FFFFFF"/>
                </w:tcPr>
                <w:p w14:paraId="5474C851"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Copper [kg]</w:t>
                  </w:r>
                </w:p>
              </w:tc>
              <w:tc>
                <w:tcPr>
                  <w:tcW w:w="810" w:type="dxa"/>
                  <w:shd w:val="clear" w:color="auto" w:fill="FFFFFF"/>
                </w:tcPr>
                <w:p w14:paraId="1F35B77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shd w:val="clear" w:color="auto" w:fill="FFFFFF"/>
                </w:tcPr>
                <w:p w14:paraId="6ACC73F2"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8.29e-02</w:t>
                  </w:r>
                </w:p>
              </w:tc>
              <w:tc>
                <w:tcPr>
                  <w:tcW w:w="848" w:type="dxa"/>
                  <w:shd w:val="clear" w:color="auto" w:fill="FFFFFF"/>
                </w:tcPr>
                <w:p w14:paraId="408906B2"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2.98e-05</w:t>
                  </w:r>
                </w:p>
              </w:tc>
            </w:tr>
            <w:tr w:rsidR="00D56E96" w:rsidRPr="00C20C15" w14:paraId="230B3510" w14:textId="77777777" w:rsidTr="00DC5DA7">
              <w:trPr>
                <w:trHeight w:val="238"/>
                <w:jc w:val="center"/>
              </w:trPr>
              <w:tc>
                <w:tcPr>
                  <w:tcW w:w="1705" w:type="dxa"/>
                  <w:shd w:val="clear" w:color="auto" w:fill="FFFFFF"/>
                </w:tcPr>
                <w:p w14:paraId="25CB05E2"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Nickel [kg]</w:t>
                  </w:r>
                </w:p>
              </w:tc>
              <w:tc>
                <w:tcPr>
                  <w:tcW w:w="810" w:type="dxa"/>
                  <w:shd w:val="clear" w:color="auto" w:fill="FFFFFF"/>
                </w:tcPr>
                <w:p w14:paraId="78AD6738"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shd w:val="clear" w:color="auto" w:fill="FFFFFF"/>
                </w:tcPr>
                <w:p w14:paraId="2F5DD16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3.57e-02</w:t>
                  </w:r>
                </w:p>
              </w:tc>
              <w:tc>
                <w:tcPr>
                  <w:tcW w:w="848" w:type="dxa"/>
                  <w:shd w:val="clear" w:color="auto" w:fill="FFFFFF"/>
                </w:tcPr>
                <w:p w14:paraId="3D37DC4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36364AF8" w14:textId="77777777" w:rsidTr="00DC5DA7">
              <w:trPr>
                <w:trHeight w:val="228"/>
                <w:jc w:val="center"/>
              </w:trPr>
              <w:tc>
                <w:tcPr>
                  <w:tcW w:w="1705" w:type="dxa"/>
                  <w:shd w:val="clear" w:color="auto" w:fill="FFFFFF"/>
                </w:tcPr>
                <w:p w14:paraId="7FFF7E66"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Polymer [kg]</w:t>
                  </w:r>
                </w:p>
              </w:tc>
              <w:tc>
                <w:tcPr>
                  <w:tcW w:w="810" w:type="dxa"/>
                  <w:shd w:val="clear" w:color="auto" w:fill="FFFFFF"/>
                </w:tcPr>
                <w:p w14:paraId="07A11C39"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shd w:val="clear" w:color="auto" w:fill="FFFFFF"/>
                </w:tcPr>
                <w:p w14:paraId="4AC47246"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2.53e-02</w:t>
                  </w:r>
                </w:p>
              </w:tc>
              <w:tc>
                <w:tcPr>
                  <w:tcW w:w="848" w:type="dxa"/>
                  <w:shd w:val="clear" w:color="auto" w:fill="FFFFFF"/>
                </w:tcPr>
                <w:p w14:paraId="6D60D0C7"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688F2F53" w14:textId="77777777" w:rsidTr="00DC5DA7">
              <w:trPr>
                <w:trHeight w:val="238"/>
                <w:jc w:val="center"/>
              </w:trPr>
              <w:tc>
                <w:tcPr>
                  <w:tcW w:w="1705" w:type="dxa"/>
                  <w:shd w:val="clear" w:color="auto" w:fill="FFFFFF"/>
                </w:tcPr>
                <w:p w14:paraId="5BE6DC7E"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Resin [kg]</w:t>
                  </w:r>
                </w:p>
              </w:tc>
              <w:tc>
                <w:tcPr>
                  <w:tcW w:w="810" w:type="dxa"/>
                  <w:shd w:val="clear" w:color="auto" w:fill="FFFFFF"/>
                </w:tcPr>
                <w:p w14:paraId="42A5A3CB"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shd w:val="clear" w:color="auto" w:fill="FFFFFF"/>
                </w:tcPr>
                <w:p w14:paraId="67896A4D"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8.82e-03</w:t>
                  </w:r>
                </w:p>
              </w:tc>
              <w:tc>
                <w:tcPr>
                  <w:tcW w:w="848" w:type="dxa"/>
                  <w:shd w:val="clear" w:color="auto" w:fill="FFFFFF"/>
                </w:tcPr>
                <w:p w14:paraId="1DBFF7B9"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0BB8DE8D" w14:textId="77777777" w:rsidTr="00DC5DA7">
              <w:trPr>
                <w:trHeight w:val="228"/>
                <w:jc w:val="center"/>
              </w:trPr>
              <w:tc>
                <w:tcPr>
                  <w:tcW w:w="1705" w:type="dxa"/>
                  <w:shd w:val="clear" w:color="auto" w:fill="FFFFFF"/>
                </w:tcPr>
                <w:p w14:paraId="5817690E"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Zeolite [kg]</w:t>
                  </w:r>
                </w:p>
              </w:tc>
              <w:tc>
                <w:tcPr>
                  <w:tcW w:w="810" w:type="dxa"/>
                  <w:shd w:val="clear" w:color="auto" w:fill="FFFFFF"/>
                </w:tcPr>
                <w:p w14:paraId="15261920"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shd w:val="clear" w:color="auto" w:fill="FFFFFF"/>
                </w:tcPr>
                <w:p w14:paraId="719EAEB3"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5.86e-03</w:t>
                  </w:r>
                </w:p>
              </w:tc>
              <w:tc>
                <w:tcPr>
                  <w:tcW w:w="848" w:type="dxa"/>
                  <w:shd w:val="clear" w:color="auto" w:fill="FFFFFF"/>
                </w:tcPr>
                <w:p w14:paraId="6FA0ED34"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386A3F84" w14:textId="77777777" w:rsidTr="00DC5DA7">
              <w:trPr>
                <w:trHeight w:val="228"/>
                <w:jc w:val="center"/>
              </w:trPr>
              <w:tc>
                <w:tcPr>
                  <w:tcW w:w="1705" w:type="dxa"/>
                  <w:tcBorders>
                    <w:bottom w:val="nil"/>
                  </w:tcBorders>
                  <w:shd w:val="clear" w:color="auto" w:fill="FFFFFF"/>
                </w:tcPr>
                <w:p w14:paraId="4E3E8809"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Electronics [kg]</w:t>
                  </w:r>
                </w:p>
              </w:tc>
              <w:tc>
                <w:tcPr>
                  <w:tcW w:w="810" w:type="dxa"/>
                  <w:tcBorders>
                    <w:bottom w:val="nil"/>
                  </w:tcBorders>
                  <w:shd w:val="clear" w:color="auto" w:fill="FFFFFF"/>
                </w:tcPr>
                <w:p w14:paraId="4FF59FAE"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tcBorders>
                    <w:bottom w:val="nil"/>
                  </w:tcBorders>
                  <w:shd w:val="clear" w:color="auto" w:fill="FFFFFF"/>
                </w:tcPr>
                <w:p w14:paraId="1CFBAAF5"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7.02e-03</w:t>
                  </w:r>
                </w:p>
              </w:tc>
              <w:tc>
                <w:tcPr>
                  <w:tcW w:w="848" w:type="dxa"/>
                  <w:tcBorders>
                    <w:bottom w:val="nil"/>
                  </w:tcBorders>
                  <w:shd w:val="clear" w:color="auto" w:fill="FFFFFF"/>
                </w:tcPr>
                <w:p w14:paraId="7DDA3D2F"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r>
            <w:tr w:rsidR="00D56E96" w:rsidRPr="00C20C15" w14:paraId="17E08A13" w14:textId="77777777" w:rsidTr="00DC5DA7">
              <w:trPr>
                <w:trHeight w:val="238"/>
                <w:jc w:val="center"/>
              </w:trPr>
              <w:tc>
                <w:tcPr>
                  <w:tcW w:w="1705" w:type="dxa"/>
                  <w:tcBorders>
                    <w:top w:val="nil"/>
                    <w:bottom w:val="nil"/>
                  </w:tcBorders>
                  <w:shd w:val="clear" w:color="auto" w:fill="FFFFFF"/>
                </w:tcPr>
                <w:p w14:paraId="5F138624" w14:textId="77777777" w:rsidR="00D56E96" w:rsidRPr="00C20C15" w:rsidRDefault="00D56E96" w:rsidP="00D56E96">
                  <w:pPr>
                    <w:pStyle w:val="CETBodytext"/>
                    <w:ind w:right="-1"/>
                    <w:jc w:val="left"/>
                    <w:rPr>
                      <w:rFonts w:cs="Arial"/>
                      <w:sz w:val="16"/>
                      <w:szCs w:val="18"/>
                      <w:lang w:val="en-GB"/>
                    </w:rPr>
                  </w:pPr>
                  <w:r w:rsidRPr="00C20C15">
                    <w:rPr>
                      <w:rFonts w:cs="Arial"/>
                      <w:sz w:val="16"/>
                      <w:szCs w:val="18"/>
                      <w:lang w:val="en-GB"/>
                    </w:rPr>
                    <w:t>Carbon steel [kg]</w:t>
                  </w:r>
                </w:p>
              </w:tc>
              <w:tc>
                <w:tcPr>
                  <w:tcW w:w="810" w:type="dxa"/>
                  <w:tcBorders>
                    <w:top w:val="nil"/>
                    <w:bottom w:val="nil"/>
                  </w:tcBorders>
                  <w:shd w:val="clear" w:color="auto" w:fill="FFFFFF"/>
                </w:tcPr>
                <w:p w14:paraId="0B0DEF18"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tcBorders>
                    <w:top w:val="nil"/>
                    <w:bottom w:val="nil"/>
                  </w:tcBorders>
                  <w:shd w:val="clear" w:color="auto" w:fill="FFFFFF"/>
                </w:tcPr>
                <w:p w14:paraId="309A214B"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48" w:type="dxa"/>
                  <w:tcBorders>
                    <w:top w:val="nil"/>
                    <w:bottom w:val="nil"/>
                  </w:tcBorders>
                  <w:shd w:val="clear" w:color="auto" w:fill="FFFFFF"/>
                </w:tcPr>
                <w:p w14:paraId="23FC0F38"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7.54e-05</w:t>
                  </w:r>
                </w:p>
              </w:tc>
            </w:tr>
            <w:tr w:rsidR="00D56E96" w:rsidRPr="00C20C15" w14:paraId="36EC145B" w14:textId="77777777" w:rsidTr="00DC5DA7">
              <w:trPr>
                <w:trHeight w:val="251"/>
                <w:jc w:val="center"/>
              </w:trPr>
              <w:tc>
                <w:tcPr>
                  <w:tcW w:w="1705" w:type="dxa"/>
                  <w:tcBorders>
                    <w:top w:val="nil"/>
                    <w:bottom w:val="single" w:sz="12" w:space="0" w:color="008000"/>
                  </w:tcBorders>
                  <w:shd w:val="clear" w:color="auto" w:fill="FFFFFF"/>
                </w:tcPr>
                <w:p w14:paraId="1C1DAD42" w14:textId="77777777" w:rsidR="00D56E96" w:rsidRPr="00C20C15" w:rsidRDefault="00D56E96" w:rsidP="00D56E96">
                  <w:pPr>
                    <w:pStyle w:val="CETBodytext"/>
                    <w:ind w:right="-1"/>
                    <w:rPr>
                      <w:rFonts w:cs="Arial"/>
                      <w:sz w:val="16"/>
                      <w:szCs w:val="18"/>
                      <w:lang w:val="en-GB"/>
                    </w:rPr>
                  </w:pPr>
                  <w:r w:rsidRPr="00C20C15">
                    <w:rPr>
                      <w:rFonts w:cs="Arial"/>
                      <w:sz w:val="16"/>
                      <w:szCs w:val="18"/>
                      <w:lang w:val="en-GB"/>
                    </w:rPr>
                    <w:t>Stainless steel [kg]</w:t>
                  </w:r>
                </w:p>
              </w:tc>
              <w:tc>
                <w:tcPr>
                  <w:tcW w:w="810" w:type="dxa"/>
                  <w:tcBorders>
                    <w:top w:val="nil"/>
                    <w:bottom w:val="single" w:sz="12" w:space="0" w:color="008000"/>
                  </w:tcBorders>
                  <w:shd w:val="clear" w:color="auto" w:fill="FFFFFF"/>
                </w:tcPr>
                <w:p w14:paraId="398C72DA"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900" w:type="dxa"/>
                  <w:tcBorders>
                    <w:top w:val="nil"/>
                    <w:bottom w:val="single" w:sz="12" w:space="0" w:color="008000"/>
                  </w:tcBorders>
                  <w:shd w:val="clear" w:color="auto" w:fill="FFFFFF"/>
                </w:tcPr>
                <w:p w14:paraId="5C1EDFAC"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w:t>
                  </w:r>
                </w:p>
              </w:tc>
              <w:tc>
                <w:tcPr>
                  <w:tcW w:w="848" w:type="dxa"/>
                  <w:tcBorders>
                    <w:top w:val="nil"/>
                    <w:bottom w:val="single" w:sz="12" w:space="0" w:color="008000"/>
                  </w:tcBorders>
                  <w:shd w:val="clear" w:color="auto" w:fill="FFFFFF"/>
                </w:tcPr>
                <w:p w14:paraId="2777B874" w14:textId="77777777" w:rsidR="00D56E96" w:rsidRPr="00C20C15" w:rsidRDefault="00D56E96" w:rsidP="00D56E96">
                  <w:pPr>
                    <w:pStyle w:val="CETBodytext"/>
                    <w:ind w:right="-1"/>
                    <w:jc w:val="center"/>
                    <w:rPr>
                      <w:rFonts w:cs="Arial"/>
                      <w:sz w:val="16"/>
                      <w:szCs w:val="18"/>
                      <w:lang w:val="en-GB"/>
                    </w:rPr>
                  </w:pPr>
                  <w:r w:rsidRPr="00C20C15">
                    <w:rPr>
                      <w:rFonts w:cs="Arial"/>
                      <w:sz w:val="16"/>
                      <w:szCs w:val="18"/>
                      <w:lang w:val="en-GB"/>
                    </w:rPr>
                    <w:t>1.18e-04</w:t>
                  </w:r>
                </w:p>
              </w:tc>
            </w:tr>
          </w:tbl>
          <w:p w14:paraId="41FC242E" w14:textId="77777777" w:rsidR="00303395" w:rsidRPr="00F74A1F" w:rsidRDefault="00303395" w:rsidP="00C173C9">
            <w:pPr>
              <w:pStyle w:val="CETBodytext"/>
              <w:jc w:val="center"/>
              <w:rPr>
                <w:lang w:val="en-GB"/>
              </w:rPr>
            </w:pPr>
          </w:p>
        </w:tc>
      </w:tr>
    </w:tbl>
    <w:p w14:paraId="6574577F" w14:textId="301B2CFB" w:rsidR="00695396" w:rsidRDefault="00695396" w:rsidP="001805CE">
      <w:pPr>
        <w:pStyle w:val="CETBodytext"/>
        <w:rPr>
          <w:sz w:val="14"/>
          <w:szCs w:val="16"/>
        </w:rPr>
      </w:pPr>
      <w:r w:rsidRPr="00DC7EEE">
        <w:rPr>
          <w:b/>
          <w:bCs/>
          <w:sz w:val="14"/>
          <w:szCs w:val="16"/>
        </w:rPr>
        <w:t>Note:</w:t>
      </w:r>
      <w:r w:rsidRPr="00DC7EEE">
        <w:rPr>
          <w:sz w:val="14"/>
          <w:szCs w:val="16"/>
        </w:rPr>
        <w:t xml:space="preserve"> </w:t>
      </w:r>
      <w:r w:rsidRPr="00C000C2">
        <w:rPr>
          <w:sz w:val="14"/>
          <w:szCs w:val="16"/>
        </w:rPr>
        <w:t xml:space="preserve">SMR parameters are based on Song et al. (2015) </w:t>
      </w:r>
      <w:r w:rsidR="00921AAF" w:rsidRPr="00C000C2">
        <w:rPr>
          <w:sz w:val="14"/>
          <w:szCs w:val="16"/>
        </w:rPr>
        <w:t xml:space="preserve">and </w:t>
      </w:r>
      <w:r w:rsidRPr="00C000C2">
        <w:rPr>
          <w:sz w:val="14"/>
          <w:szCs w:val="16"/>
        </w:rPr>
        <w:t xml:space="preserve">Spath </w:t>
      </w:r>
      <w:r w:rsidR="00436B84">
        <w:rPr>
          <w:sz w:val="14"/>
          <w:szCs w:val="16"/>
        </w:rPr>
        <w:t>&amp;</w:t>
      </w:r>
      <w:r w:rsidRPr="00C000C2">
        <w:rPr>
          <w:sz w:val="14"/>
          <w:szCs w:val="16"/>
        </w:rPr>
        <w:t xml:space="preserve"> Mann (2000). AWE values were defined </w:t>
      </w:r>
      <w:r w:rsidR="00B1163C" w:rsidRPr="00C000C2">
        <w:rPr>
          <w:sz w:val="14"/>
          <w:szCs w:val="16"/>
        </w:rPr>
        <w:t>based on</w:t>
      </w:r>
      <w:r w:rsidRPr="00C000C2">
        <w:rPr>
          <w:sz w:val="14"/>
          <w:szCs w:val="16"/>
        </w:rPr>
        <w:t xml:space="preserve"> Burkhardt et al. (2016)</w:t>
      </w:r>
      <w:r w:rsidR="00921AAF" w:rsidRPr="00C000C2">
        <w:rPr>
          <w:sz w:val="14"/>
          <w:szCs w:val="16"/>
        </w:rPr>
        <w:t xml:space="preserve"> and</w:t>
      </w:r>
      <w:r w:rsidRPr="00C000C2">
        <w:rPr>
          <w:sz w:val="14"/>
          <w:szCs w:val="16"/>
        </w:rPr>
        <w:t xml:space="preserve"> Sanchez et al. (2020). </w:t>
      </w:r>
      <w:r w:rsidR="00A671AD" w:rsidRPr="00C000C2">
        <w:rPr>
          <w:sz w:val="14"/>
          <w:szCs w:val="16"/>
        </w:rPr>
        <w:t xml:space="preserve">JBC </w:t>
      </w:r>
      <w:r w:rsidR="00D56E96" w:rsidRPr="00C000C2">
        <w:rPr>
          <w:sz w:val="14"/>
          <w:szCs w:val="16"/>
        </w:rPr>
        <w:t xml:space="preserve">parameters were established </w:t>
      </w:r>
      <w:r w:rsidR="00921AAF" w:rsidRPr="00C000C2">
        <w:rPr>
          <w:sz w:val="14"/>
          <w:szCs w:val="16"/>
        </w:rPr>
        <w:t xml:space="preserve">by </w:t>
      </w:r>
      <w:r w:rsidR="001C17CB" w:rsidRPr="00C000C2">
        <w:rPr>
          <w:sz w:val="14"/>
          <w:szCs w:val="16"/>
        </w:rPr>
        <w:t xml:space="preserve">referencing </w:t>
      </w:r>
      <w:r w:rsidRPr="00C000C2">
        <w:rPr>
          <w:sz w:val="14"/>
          <w:szCs w:val="16"/>
        </w:rPr>
        <w:t>Stolzenburg and Mubbala (2013)</w:t>
      </w:r>
      <w:r w:rsidR="00921AAF" w:rsidRPr="00C000C2">
        <w:rPr>
          <w:sz w:val="14"/>
          <w:szCs w:val="16"/>
        </w:rPr>
        <w:t xml:space="preserve"> and</w:t>
      </w:r>
      <w:r w:rsidRPr="00C000C2">
        <w:rPr>
          <w:sz w:val="14"/>
          <w:szCs w:val="16"/>
        </w:rPr>
        <w:t xml:space="preserve"> Valenti and Macchi (2008</w:t>
      </w:r>
      <w:r w:rsidR="00D56E96" w:rsidRPr="00C000C2">
        <w:rPr>
          <w:sz w:val="14"/>
          <w:szCs w:val="16"/>
        </w:rPr>
        <w:t>)</w:t>
      </w:r>
      <w:r w:rsidR="00773DDD">
        <w:rPr>
          <w:sz w:val="14"/>
          <w:szCs w:val="16"/>
        </w:rPr>
        <w:t>.</w:t>
      </w:r>
      <w:r w:rsidR="00D56E96">
        <w:rPr>
          <w:sz w:val="14"/>
          <w:szCs w:val="16"/>
        </w:rPr>
        <w:t xml:space="preserve"> </w:t>
      </w:r>
    </w:p>
    <w:p w14:paraId="1CB2D7C6" w14:textId="77777777" w:rsidR="00B43797" w:rsidRPr="001805CE" w:rsidRDefault="00B43797" w:rsidP="00303395">
      <w:pPr>
        <w:pStyle w:val="CETBodytext"/>
        <w:rPr>
          <w:sz w:val="14"/>
          <w:szCs w:val="16"/>
          <w:lang w:val="en-GB"/>
        </w:rPr>
      </w:pPr>
    </w:p>
    <w:bookmarkEnd w:id="3"/>
    <w:p w14:paraId="66636DC9" w14:textId="79F9759D" w:rsidR="00757CF1" w:rsidDel="003F76FF" w:rsidRDefault="00757CF1" w:rsidP="00757CF1">
      <w:pPr>
        <w:pStyle w:val="CETBodytext"/>
        <w:rPr>
          <w:lang w:val="en-GB"/>
        </w:rPr>
      </w:pPr>
      <w:r w:rsidRPr="00820DC0">
        <w:rPr>
          <w:lang w:val="en-GB"/>
        </w:rPr>
        <w:t>The ReCiPe 2016 (h/hierarchist perspective) distinguishes midpoint and endpoint characterization factors (Huijbregts et al., 2017). Midpoint factors assess immediate environmental changes, while endpoint factors integrate these to evaluate effects on human health, ecosystem quality, and resource scarcity.</w:t>
      </w:r>
    </w:p>
    <w:p w14:paraId="68D26B83" w14:textId="71DC091D" w:rsidR="00600535" w:rsidRPr="00B57B36" w:rsidRDefault="0064275C" w:rsidP="004F7519">
      <w:pPr>
        <w:pStyle w:val="CETHeading1"/>
        <w:rPr>
          <w:lang w:val="en-GB"/>
        </w:rPr>
      </w:pPr>
      <w:r w:rsidRPr="0064275C">
        <w:rPr>
          <w:lang w:val="en-GB"/>
        </w:rPr>
        <w:t>Results and discussion</w:t>
      </w:r>
    </w:p>
    <w:p w14:paraId="635EF3F1" w14:textId="4968CF97" w:rsidR="0064275C" w:rsidRPr="00B57B36" w:rsidRDefault="00C45ECE" w:rsidP="00845550">
      <w:pPr>
        <w:pStyle w:val="CETheadingx"/>
      </w:pPr>
      <w:r>
        <w:t>Influence of the selected e</w:t>
      </w:r>
      <w:r w:rsidR="0064275C" w:rsidRPr="00D24914">
        <w:t>nergy scenarios</w:t>
      </w:r>
      <w:r w:rsidR="00D23861">
        <w:t xml:space="preserve"> on GWP and AP</w:t>
      </w:r>
    </w:p>
    <w:p w14:paraId="7197EEA8" w14:textId="6E684C60" w:rsidR="00766E68" w:rsidRDefault="0064275C" w:rsidP="0064275C">
      <w:pPr>
        <w:pStyle w:val="CETBodytext"/>
        <w:rPr>
          <w:lang w:val="en-GB"/>
        </w:rPr>
      </w:pPr>
      <w:r w:rsidRPr="0064275C">
        <w:rPr>
          <w:lang w:val="en-GB"/>
        </w:rPr>
        <w:t>To assess the influence of energy supply on the environmental impact</w:t>
      </w:r>
      <w:r w:rsidRPr="008F094A">
        <w:rPr>
          <w:lang w:val="en-GB"/>
        </w:rPr>
        <w:t xml:space="preserve">, we </w:t>
      </w:r>
      <w:r w:rsidR="005A69B3" w:rsidRPr="008F094A">
        <w:rPr>
          <w:lang w:val="en-GB"/>
        </w:rPr>
        <w:t>analyzed</w:t>
      </w:r>
      <w:r w:rsidRPr="008F094A">
        <w:rPr>
          <w:lang w:val="en-GB"/>
        </w:rPr>
        <w:t xml:space="preserve"> the</w:t>
      </w:r>
      <w:r w:rsidRPr="0064275C">
        <w:rPr>
          <w:lang w:val="en-GB"/>
        </w:rPr>
        <w:t xml:space="preserve"> GWP and AP of </w:t>
      </w:r>
      <w:r w:rsidR="005A69B3">
        <w:rPr>
          <w:lang w:val="en-GB"/>
        </w:rPr>
        <w:t>t</w:t>
      </w:r>
      <w:r w:rsidRPr="0064275C">
        <w:rPr>
          <w:lang w:val="en-GB"/>
        </w:rPr>
        <w:t xml:space="preserve">he </w:t>
      </w:r>
      <w:r w:rsidR="005A69B3" w:rsidRPr="0064275C">
        <w:rPr>
          <w:lang w:val="en-GB"/>
        </w:rPr>
        <w:t xml:space="preserve">introduced </w:t>
      </w:r>
      <w:r w:rsidRPr="0064275C">
        <w:rPr>
          <w:lang w:val="en-GB"/>
        </w:rPr>
        <w:t xml:space="preserve">energy scenarios </w:t>
      </w:r>
      <w:r w:rsidR="005A69B3">
        <w:rPr>
          <w:lang w:val="en-GB"/>
        </w:rPr>
        <w:t xml:space="preserve">as </w:t>
      </w:r>
      <w:r w:rsidR="008F094A">
        <w:rPr>
          <w:lang w:val="en-GB"/>
        </w:rPr>
        <w:t>show</w:t>
      </w:r>
      <w:r w:rsidR="005A69B3">
        <w:rPr>
          <w:lang w:val="en-GB"/>
        </w:rPr>
        <w:t xml:space="preserve">n </w:t>
      </w:r>
      <w:r w:rsidR="005A69B3" w:rsidRPr="00773DDD">
        <w:rPr>
          <w:lang w:val="en-GB"/>
        </w:rPr>
        <w:t>in</w:t>
      </w:r>
      <w:r w:rsidRPr="00773DDD">
        <w:rPr>
          <w:lang w:val="en-GB"/>
        </w:rPr>
        <w:t xml:space="preserve"> Fig</w:t>
      </w:r>
      <w:r w:rsidR="00436B84" w:rsidRPr="00773DDD">
        <w:rPr>
          <w:lang w:val="en-GB"/>
        </w:rPr>
        <w:t>.</w:t>
      </w:r>
      <w:r w:rsidRPr="00773DDD">
        <w:rPr>
          <w:lang w:val="en-GB"/>
        </w:rPr>
        <w:t xml:space="preserve"> </w:t>
      </w:r>
      <w:r w:rsidR="006A0705" w:rsidRPr="00773DDD">
        <w:rPr>
          <w:lang w:val="en-GB"/>
        </w:rPr>
        <w:t>3</w:t>
      </w:r>
      <w:r w:rsidRPr="00773DDD">
        <w:rPr>
          <w:lang w:val="en-GB"/>
        </w:rPr>
        <w:t>. The</w:t>
      </w:r>
      <w:r w:rsidRPr="0064275C">
        <w:rPr>
          <w:lang w:val="en-GB"/>
        </w:rPr>
        <w:t xml:space="preserve"> base scenario, representing</w:t>
      </w:r>
      <w:r w:rsidR="008A4F6C">
        <w:rPr>
          <w:lang w:val="en-GB"/>
        </w:rPr>
        <w:t xml:space="preserve"> </w:t>
      </w:r>
      <w:r w:rsidR="00C45ECE">
        <w:rPr>
          <w:lang w:val="en-GB"/>
        </w:rPr>
        <w:t>Germany’s</w:t>
      </w:r>
      <w:r w:rsidRPr="0064275C">
        <w:rPr>
          <w:lang w:val="en-GB"/>
        </w:rPr>
        <w:t xml:space="preserve"> energy mix</w:t>
      </w:r>
      <w:r w:rsidR="00C45ECE">
        <w:rPr>
          <w:lang w:val="en-GB"/>
        </w:rPr>
        <w:t xml:space="preserve"> in 2022</w:t>
      </w:r>
      <w:r w:rsidRPr="0064275C">
        <w:rPr>
          <w:lang w:val="en-GB"/>
        </w:rPr>
        <w:t>, generates the highest GWP and AP</w:t>
      </w:r>
      <w:r w:rsidR="00C45ECE">
        <w:rPr>
          <w:lang w:val="en-GB"/>
        </w:rPr>
        <w:t xml:space="preserve"> compared with t</w:t>
      </w:r>
      <w:r w:rsidRPr="0064275C">
        <w:rPr>
          <w:lang w:val="en-GB"/>
        </w:rPr>
        <w:t>ransitioning</w:t>
      </w:r>
      <w:r w:rsidR="008A4F6C">
        <w:rPr>
          <w:lang w:val="en-GB"/>
        </w:rPr>
        <w:t xml:space="preserve"> </w:t>
      </w:r>
      <w:r w:rsidRPr="0064275C">
        <w:rPr>
          <w:lang w:val="en-GB"/>
        </w:rPr>
        <w:t>to scenarios with reduced fossil fuel reliance and increased renewable energy</w:t>
      </w:r>
      <w:r w:rsidR="008A4F6C">
        <w:rPr>
          <w:lang w:val="en-GB"/>
        </w:rPr>
        <w:t xml:space="preserve"> </w:t>
      </w:r>
      <w:r w:rsidRPr="0064275C">
        <w:rPr>
          <w:lang w:val="en-GB"/>
        </w:rPr>
        <w:t xml:space="preserve">usage. With the 2022 renewable scenario, the base case has been surpassed by a remarkable </w:t>
      </w:r>
      <w:r w:rsidR="00237802" w:rsidRPr="0064275C">
        <w:rPr>
          <w:lang w:val="en-GB"/>
        </w:rPr>
        <w:t xml:space="preserve">GWP </w:t>
      </w:r>
      <w:r w:rsidRPr="0064275C">
        <w:rPr>
          <w:lang w:val="en-GB"/>
        </w:rPr>
        <w:t>decrease, accompanied by a slight reduction in the AP. The</w:t>
      </w:r>
      <w:r w:rsidR="008A4F6C">
        <w:rPr>
          <w:lang w:val="en-GB"/>
        </w:rPr>
        <w:t xml:space="preserve"> </w:t>
      </w:r>
      <w:r w:rsidRPr="0064275C">
        <w:rPr>
          <w:lang w:val="en-GB"/>
        </w:rPr>
        <w:t>2050 renewable scenario, with a considerable portion of energy imported from</w:t>
      </w:r>
      <w:r w:rsidR="008A4F6C">
        <w:rPr>
          <w:lang w:val="en-GB"/>
        </w:rPr>
        <w:t xml:space="preserve"> </w:t>
      </w:r>
      <w:r w:rsidRPr="0064275C">
        <w:rPr>
          <w:lang w:val="en-GB"/>
        </w:rPr>
        <w:t>other countries, leads to a drastic decline in GWP and the lowest AP among</w:t>
      </w:r>
      <w:r w:rsidR="008A4F6C">
        <w:rPr>
          <w:lang w:val="en-GB"/>
        </w:rPr>
        <w:t xml:space="preserve"> </w:t>
      </w:r>
      <w:r w:rsidRPr="0064275C">
        <w:rPr>
          <w:lang w:val="en-GB"/>
        </w:rPr>
        <w:t xml:space="preserve">all the scenarios. </w:t>
      </w:r>
      <w:r w:rsidR="007F3107">
        <w:rPr>
          <w:lang w:val="en-GB"/>
        </w:rPr>
        <w:t>However, the results also</w:t>
      </w:r>
      <w:r w:rsidRPr="0064275C">
        <w:rPr>
          <w:lang w:val="en-GB"/>
        </w:rPr>
        <w:t xml:space="preserve"> indicate that while the scenario effectively addresses</w:t>
      </w:r>
      <w:r w:rsidR="008A4F6C">
        <w:rPr>
          <w:lang w:val="en-GB"/>
        </w:rPr>
        <w:t xml:space="preserve"> </w:t>
      </w:r>
      <w:r w:rsidRPr="0064275C">
        <w:rPr>
          <w:lang w:val="en-GB"/>
        </w:rPr>
        <w:t>climate change concerns, its influence on reducing acidification is relatively</w:t>
      </w:r>
      <w:r w:rsidR="008A4F6C">
        <w:rPr>
          <w:lang w:val="en-GB"/>
        </w:rPr>
        <w:t xml:space="preserve"> </w:t>
      </w:r>
      <w:r w:rsidRPr="0064275C">
        <w:rPr>
          <w:lang w:val="en-GB"/>
        </w:rPr>
        <w:t>limited</w:t>
      </w:r>
      <w:r w:rsidRPr="009378D6">
        <w:rPr>
          <w:lang w:val="en-GB"/>
        </w:rPr>
        <w:t>.</w:t>
      </w:r>
    </w:p>
    <w:tbl>
      <w:tblPr>
        <w:tblStyle w:val="Grigliatabella"/>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116"/>
      </w:tblGrid>
      <w:tr w:rsidR="00404E27" w14:paraId="31BEC5B7" w14:textId="77777777" w:rsidTr="00404E27">
        <w:trPr>
          <w:jc w:val="center"/>
        </w:trPr>
        <w:tc>
          <w:tcPr>
            <w:tcW w:w="5376" w:type="dxa"/>
          </w:tcPr>
          <w:p w14:paraId="012A3B22" w14:textId="139B535B" w:rsidR="00D25EC3" w:rsidRDefault="00B53208" w:rsidP="00702E01">
            <w:pPr>
              <w:pStyle w:val="CETBodytext"/>
              <w:jc w:val="center"/>
              <w:rPr>
                <w:lang w:val="en-GB"/>
              </w:rPr>
            </w:pPr>
            <w:bookmarkStart w:id="4" w:name="_Hlk163403261"/>
            <w:r>
              <w:rPr>
                <w:noProof/>
                <w:lang w:val="en-GB"/>
              </w:rPr>
              <w:drawing>
                <wp:inline distT="0" distB="0" distL="0" distR="0" wp14:anchorId="48D98E2B" wp14:editId="75F40D34">
                  <wp:extent cx="3178100" cy="1522325"/>
                  <wp:effectExtent l="0" t="0" r="3810" b="1905"/>
                  <wp:docPr id="1459515437" name="Picture 15" descr="A graph of global wa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15437" name="Picture 15" descr="A graph of global warming&#10;&#10;Description automatically generated"/>
                          <pic:cNvPicPr/>
                        </pic:nvPicPr>
                        <pic:blipFill rotWithShape="1">
                          <a:blip r:embed="rId17"/>
                          <a:srcRect l="1662" t="3623" r="2007" b="3552"/>
                          <a:stretch/>
                        </pic:blipFill>
                        <pic:spPr bwMode="auto">
                          <a:xfrm>
                            <a:off x="0" y="0"/>
                            <a:ext cx="3224438" cy="1544521"/>
                          </a:xfrm>
                          <a:prstGeom prst="rect">
                            <a:avLst/>
                          </a:prstGeom>
                          <a:ln>
                            <a:noFill/>
                          </a:ln>
                          <a:extLst>
                            <a:ext uri="{53640926-AAD7-44D8-BBD7-CCE9431645EC}">
                              <a14:shadowObscured xmlns:a14="http://schemas.microsoft.com/office/drawing/2010/main"/>
                            </a:ext>
                          </a:extLst>
                        </pic:spPr>
                      </pic:pic>
                    </a:graphicData>
                  </a:graphic>
                </wp:inline>
              </w:drawing>
            </w:r>
          </w:p>
        </w:tc>
        <w:tc>
          <w:tcPr>
            <w:tcW w:w="3714" w:type="dxa"/>
          </w:tcPr>
          <w:p w14:paraId="4C2B3C8D" w14:textId="5DD4D11B" w:rsidR="00D25EC3" w:rsidRDefault="00E116E3" w:rsidP="00702E01">
            <w:pPr>
              <w:pStyle w:val="CETBodytext"/>
              <w:jc w:val="center"/>
              <w:rPr>
                <w:lang w:val="en-GB"/>
              </w:rPr>
            </w:pPr>
            <w:r>
              <w:rPr>
                <w:noProof/>
                <w:lang w:val="en-GB"/>
              </w:rPr>
              <w:drawing>
                <wp:inline distT="0" distB="0" distL="0" distR="0" wp14:anchorId="4866D891" wp14:editId="7079DAB9">
                  <wp:extent cx="2470623" cy="1551182"/>
                  <wp:effectExtent l="0" t="0" r="6350" b="0"/>
                  <wp:docPr id="1203886119" name="Picture 2" descr="A graph showing the number of energy sour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6119" name="Picture 2" descr="A graph showing the number of energy sources&#10;&#10;Description automatically generated with medium confidence"/>
                          <pic:cNvPicPr/>
                        </pic:nvPicPr>
                        <pic:blipFill rotWithShape="1">
                          <a:blip r:embed="rId18"/>
                          <a:srcRect l="1993" t="3612" r="2219" b="4083"/>
                          <a:stretch/>
                        </pic:blipFill>
                        <pic:spPr bwMode="auto">
                          <a:xfrm>
                            <a:off x="0" y="0"/>
                            <a:ext cx="2475944" cy="1554523"/>
                          </a:xfrm>
                          <a:prstGeom prst="rect">
                            <a:avLst/>
                          </a:prstGeom>
                          <a:ln>
                            <a:noFill/>
                          </a:ln>
                          <a:extLst>
                            <a:ext uri="{53640926-AAD7-44D8-BBD7-CCE9431645EC}">
                              <a14:shadowObscured xmlns:a14="http://schemas.microsoft.com/office/drawing/2010/main"/>
                            </a:ext>
                          </a:extLst>
                        </pic:spPr>
                      </pic:pic>
                    </a:graphicData>
                  </a:graphic>
                </wp:inline>
              </w:drawing>
            </w:r>
          </w:p>
        </w:tc>
      </w:tr>
      <w:tr w:rsidR="00404E27" w14:paraId="59534488" w14:textId="77777777" w:rsidTr="00404E27">
        <w:trPr>
          <w:jc w:val="center"/>
        </w:trPr>
        <w:tc>
          <w:tcPr>
            <w:tcW w:w="5376" w:type="dxa"/>
          </w:tcPr>
          <w:p w14:paraId="5B27E7B7" w14:textId="66784C7C" w:rsidR="00773DDD" w:rsidRPr="00115163" w:rsidRDefault="00D25EC3" w:rsidP="00702E01">
            <w:pPr>
              <w:pStyle w:val="CETBodytext"/>
              <w:jc w:val="center"/>
              <w:rPr>
                <w:rStyle w:val="CETCaptionCarattere"/>
              </w:rPr>
            </w:pPr>
            <w:r w:rsidRPr="00115163">
              <w:rPr>
                <w:rStyle w:val="CETCaptionCarattere"/>
              </w:rPr>
              <w:t xml:space="preserve">Figure </w:t>
            </w:r>
            <w:r w:rsidR="006A0705" w:rsidRPr="00115163">
              <w:rPr>
                <w:rStyle w:val="CETCaptionCarattere"/>
              </w:rPr>
              <w:t>3</w:t>
            </w:r>
            <w:r w:rsidRPr="00115163">
              <w:rPr>
                <w:rStyle w:val="CETCaptionCarattere"/>
              </w:rPr>
              <w:t>: Results of the selected impact categories</w:t>
            </w:r>
            <w:r w:rsidR="00773DDD" w:rsidRPr="00115163">
              <w:rPr>
                <w:rStyle w:val="CETCaptionCarattere"/>
              </w:rPr>
              <w:t xml:space="preserve"> </w:t>
            </w:r>
            <w:r w:rsidRPr="00115163">
              <w:rPr>
                <w:rStyle w:val="CETCaptionCarattere"/>
              </w:rPr>
              <w:t>GWP</w:t>
            </w:r>
          </w:p>
          <w:p w14:paraId="7EB3D046" w14:textId="75A8789C" w:rsidR="00D25EC3" w:rsidRPr="00115163" w:rsidRDefault="00D25EC3" w:rsidP="00702E01">
            <w:pPr>
              <w:pStyle w:val="CETBodytext"/>
              <w:jc w:val="center"/>
              <w:rPr>
                <w:lang w:val="en-GB"/>
              </w:rPr>
            </w:pPr>
            <w:r w:rsidRPr="00115163">
              <w:rPr>
                <w:rStyle w:val="CETCaptionCarattere"/>
              </w:rPr>
              <w:t>and AP for the energy scenarios analyzed</w:t>
            </w:r>
          </w:p>
        </w:tc>
        <w:tc>
          <w:tcPr>
            <w:tcW w:w="3714" w:type="dxa"/>
          </w:tcPr>
          <w:p w14:paraId="534A029E" w14:textId="2BA05A2A" w:rsidR="00D25EC3" w:rsidRPr="00115163" w:rsidRDefault="00D25EC3" w:rsidP="00702E01">
            <w:pPr>
              <w:pStyle w:val="CETBodytext"/>
              <w:jc w:val="center"/>
              <w:rPr>
                <w:i/>
                <w:lang w:val="en-GB"/>
              </w:rPr>
            </w:pPr>
            <w:r w:rsidRPr="00115163">
              <w:rPr>
                <w:rStyle w:val="CETCaptionCarattere"/>
              </w:rPr>
              <w:t xml:space="preserve">Figure </w:t>
            </w:r>
            <w:r w:rsidR="006A0705" w:rsidRPr="00115163">
              <w:rPr>
                <w:rStyle w:val="CETCaptionCarattere"/>
              </w:rPr>
              <w:t>4</w:t>
            </w:r>
            <w:r w:rsidRPr="00115163">
              <w:rPr>
                <w:rStyle w:val="CETCaptionCarattere"/>
              </w:rPr>
              <w:t>: Resulting energy requirement for the analyzed hydrogen production routes</w:t>
            </w:r>
          </w:p>
        </w:tc>
      </w:tr>
      <w:bookmarkEnd w:id="4"/>
    </w:tbl>
    <w:p w14:paraId="46FF2C4F" w14:textId="77777777" w:rsidR="003F2D67" w:rsidRPr="003F2D67" w:rsidRDefault="003F2D67" w:rsidP="00436B84">
      <w:pPr>
        <w:pStyle w:val="CETBodytext"/>
        <w:rPr>
          <w:sz w:val="8"/>
          <w:szCs w:val="8"/>
          <w:lang w:val="en-GB"/>
        </w:rPr>
      </w:pPr>
    </w:p>
    <w:p w14:paraId="0AF250A6" w14:textId="5CE136C6" w:rsidR="00436B84" w:rsidRPr="00773DDD" w:rsidRDefault="00436B84" w:rsidP="00436B84">
      <w:pPr>
        <w:pStyle w:val="CETBodytext"/>
        <w:rPr>
          <w:lang w:val="en-GB"/>
        </w:rPr>
      </w:pPr>
      <w:r w:rsidRPr="00773DDD">
        <w:rPr>
          <w:lang w:val="en-GB"/>
        </w:rPr>
        <w:t>Figure 4 shows the energy demands for each route. The hydrogen liquefaction process consumes 5.1 kWh per kg</w:t>
      </w:r>
      <w:r w:rsidRPr="00773DDD">
        <w:rPr>
          <w:vertAlign w:val="subscript"/>
          <w:lang w:val="en-GB"/>
        </w:rPr>
        <w:t>H2</w:t>
      </w:r>
      <w:r w:rsidRPr="00773DDD">
        <w:rPr>
          <w:lang w:val="en-GB"/>
        </w:rPr>
        <w:t xml:space="preserve"> of the total energy requirement for the SMR and AWE routes. In brief, the SMR route requires 11.3 kWh per </w:t>
      </w:r>
      <w:r w:rsidRPr="00773DDD">
        <w:rPr>
          <w:rFonts w:eastAsiaTheme="minorEastAsia" w:hint="eastAsia"/>
          <w:lang w:val="en-GB" w:eastAsia="zh-TW"/>
        </w:rPr>
        <w:t>1 kg of liquid hydrogen</w:t>
      </w:r>
      <w:r w:rsidRPr="00773DDD">
        <w:rPr>
          <w:rFonts w:eastAsiaTheme="minorEastAsia"/>
          <w:lang w:val="en-GB" w:eastAsia="zh-TW"/>
        </w:rPr>
        <w:t xml:space="preserve"> produced, </w:t>
      </w:r>
      <w:r w:rsidRPr="00773DDD">
        <w:rPr>
          <w:lang w:val="en-GB"/>
        </w:rPr>
        <w:t>while the AWE process comes to 61.8 kWh/kg</w:t>
      </w:r>
      <w:r w:rsidRPr="00773DDD">
        <w:rPr>
          <w:vertAlign w:val="subscript"/>
          <w:lang w:val="en-GB"/>
        </w:rPr>
        <w:t>H2</w:t>
      </w:r>
      <w:r w:rsidRPr="00773DDD">
        <w:rPr>
          <w:lang w:val="en-GB"/>
        </w:rPr>
        <w:t>.</w:t>
      </w:r>
    </w:p>
    <w:p w14:paraId="5F48868E" w14:textId="77777777" w:rsidR="00436B84" w:rsidRPr="00B57B36" w:rsidRDefault="00436B84" w:rsidP="00436B84">
      <w:pPr>
        <w:pStyle w:val="CETheadingx"/>
      </w:pPr>
      <w:r w:rsidRPr="001250EA">
        <w:t>LCA interpretation of liquid hydrogen production routes</w:t>
      </w:r>
    </w:p>
    <w:p w14:paraId="51AC5A7E" w14:textId="525DA928" w:rsidR="00C20C15" w:rsidRPr="00773DDD" w:rsidRDefault="00436B84" w:rsidP="00436B84">
      <w:pPr>
        <w:pStyle w:val="CETBodytext"/>
        <w:rPr>
          <w:rFonts w:eastAsia="PMingLiU"/>
          <w:lang w:val="en-GB" w:eastAsia="zh-TW"/>
        </w:rPr>
      </w:pPr>
      <w:r w:rsidRPr="00773DDD">
        <w:rPr>
          <w:rFonts w:eastAsia="PMingLiU" w:hint="eastAsia"/>
          <w:lang w:val="en-GB" w:eastAsia="zh-TW"/>
        </w:rPr>
        <w:t xml:space="preserve">Table </w:t>
      </w:r>
      <w:r w:rsidR="00DB56D3">
        <w:rPr>
          <w:rFonts w:eastAsia="PMingLiU"/>
          <w:lang w:val="en-GB" w:eastAsia="zh-TW"/>
        </w:rPr>
        <w:t>2</w:t>
      </w:r>
      <w:r w:rsidRPr="00773DDD">
        <w:rPr>
          <w:rFonts w:eastAsia="PMingLiU" w:hint="eastAsia"/>
          <w:lang w:val="en-GB" w:eastAsia="zh-TW"/>
        </w:rPr>
        <w:t xml:space="preserve"> outlines the environmental impacts of the SMR and AWE within </w:t>
      </w:r>
      <w:r w:rsidRPr="00773DDD">
        <w:rPr>
          <w:rFonts w:eastAsia="PMingLiU"/>
          <w:lang w:val="en-GB" w:eastAsia="zh-TW"/>
        </w:rPr>
        <w:t xml:space="preserve">the </w:t>
      </w:r>
      <w:r w:rsidRPr="00773DDD">
        <w:rPr>
          <w:rFonts w:eastAsia="PMingLiU" w:hint="eastAsia"/>
          <w:lang w:val="en-GB" w:eastAsia="zh-TW"/>
        </w:rPr>
        <w:t xml:space="preserve">four energy scenarios using </w:t>
      </w:r>
      <w:r w:rsidRPr="00773DDD">
        <w:rPr>
          <w:rFonts w:eastAsia="PMingLiU"/>
          <w:lang w:val="en-GB" w:eastAsia="zh-TW"/>
        </w:rPr>
        <w:t xml:space="preserve">the </w:t>
      </w:r>
      <w:r w:rsidRPr="00773DDD">
        <w:rPr>
          <w:rFonts w:eastAsia="PMingLiU" w:hint="eastAsia"/>
          <w:lang w:val="en-GB" w:eastAsia="zh-TW"/>
        </w:rPr>
        <w:t xml:space="preserve">ReCiPe 2016. This comprehensive evaluation includes </w:t>
      </w:r>
      <w:r w:rsidRPr="00773DDD">
        <w:rPr>
          <w:rFonts w:eastAsia="PMingLiU"/>
          <w:lang w:val="en-GB" w:eastAsia="zh-TW"/>
        </w:rPr>
        <w:t>the following impact categories: acidification (AP)</w:t>
      </w:r>
      <w:r w:rsidRPr="00773DDD">
        <w:rPr>
          <w:rFonts w:eastAsia="PMingLiU" w:hint="eastAsia"/>
          <w:lang w:val="en-GB" w:eastAsia="zh-TW"/>
        </w:rPr>
        <w:t xml:space="preserve">, </w:t>
      </w:r>
      <w:r w:rsidRPr="00773DDD">
        <w:rPr>
          <w:rFonts w:eastAsia="PMingLiU"/>
          <w:lang w:val="en-GB" w:eastAsia="zh-TW"/>
        </w:rPr>
        <w:t>climate change (GWP100)</w:t>
      </w:r>
      <w:r w:rsidRPr="00773DDD">
        <w:rPr>
          <w:rFonts w:eastAsia="PMingLiU" w:hint="eastAsia"/>
          <w:lang w:val="en-GB" w:eastAsia="zh-TW"/>
        </w:rPr>
        <w:t>, ecotoxicity</w:t>
      </w:r>
      <w:r w:rsidRPr="00773DDD">
        <w:rPr>
          <w:rFonts w:eastAsia="PMingLiU"/>
          <w:lang w:val="en-GB" w:eastAsia="zh-TW"/>
        </w:rPr>
        <w:t xml:space="preserve"> (TETP)</w:t>
      </w:r>
      <w:r w:rsidRPr="00773DDD">
        <w:rPr>
          <w:rFonts w:eastAsia="PMingLiU" w:hint="eastAsia"/>
          <w:lang w:val="en-GB" w:eastAsia="zh-TW"/>
        </w:rPr>
        <w:t>, energy sources</w:t>
      </w:r>
      <w:r w:rsidRPr="00773DDD">
        <w:rPr>
          <w:rFonts w:eastAsia="PMingLiU"/>
          <w:lang w:val="en-GB" w:eastAsia="zh-TW"/>
        </w:rPr>
        <w:t xml:space="preserve"> (FFP)</w:t>
      </w:r>
      <w:r w:rsidRPr="00773DDD">
        <w:rPr>
          <w:rFonts w:eastAsia="PMingLiU" w:hint="eastAsia"/>
          <w:lang w:val="en-GB" w:eastAsia="zh-TW"/>
        </w:rPr>
        <w:t>, human toxicity</w:t>
      </w:r>
      <w:r w:rsidRPr="00773DDD">
        <w:rPr>
          <w:rFonts w:eastAsia="PMingLiU"/>
          <w:lang w:val="en-GB" w:eastAsia="zh-TW"/>
        </w:rPr>
        <w:t xml:space="preserve"> (HTPc and HTPnc)</w:t>
      </w:r>
      <w:r w:rsidRPr="00773DDD">
        <w:rPr>
          <w:rFonts w:eastAsia="PMingLiU" w:hint="eastAsia"/>
          <w:lang w:val="en-GB" w:eastAsia="zh-TW"/>
        </w:rPr>
        <w:t>, land use</w:t>
      </w:r>
      <w:r w:rsidRPr="00773DDD">
        <w:rPr>
          <w:rFonts w:eastAsia="PMingLiU"/>
          <w:lang w:val="en-GB" w:eastAsia="zh-TW"/>
        </w:rPr>
        <w:t xml:space="preserve"> (LOP)</w:t>
      </w:r>
      <w:r w:rsidRPr="00773DDD">
        <w:rPr>
          <w:rFonts w:eastAsia="PMingLiU" w:hint="eastAsia"/>
          <w:lang w:val="en-GB" w:eastAsia="zh-TW"/>
        </w:rPr>
        <w:t>, and water use</w:t>
      </w:r>
      <w:r w:rsidRPr="00773DDD">
        <w:rPr>
          <w:rFonts w:eastAsia="PMingLiU"/>
          <w:lang w:val="en-GB" w:eastAsia="zh-TW"/>
        </w:rPr>
        <w:t xml:space="preserve"> (WCP)</w:t>
      </w:r>
      <w:r w:rsidRPr="00773DDD">
        <w:rPr>
          <w:rFonts w:eastAsia="PMingLiU" w:hint="eastAsia"/>
          <w:lang w:val="en-GB" w:eastAsia="zh-TW"/>
        </w:rPr>
        <w:t xml:space="preserve">. Figure </w:t>
      </w:r>
      <w:r w:rsidRPr="00773DDD">
        <w:rPr>
          <w:rFonts w:eastAsia="PMingLiU"/>
          <w:lang w:val="en-GB" w:eastAsia="zh-TW"/>
        </w:rPr>
        <w:t xml:space="preserve">5 shows the cradle-to-grave profile related to the impact categories of the </w:t>
      </w:r>
      <w:r w:rsidRPr="00773DDD">
        <w:rPr>
          <w:rFonts w:eastAsia="PMingLiU" w:hint="eastAsia"/>
          <w:lang w:val="en-GB" w:eastAsia="zh-TW"/>
        </w:rPr>
        <w:t>ReCiPe</w:t>
      </w:r>
      <w:r w:rsidRPr="00773DDD">
        <w:rPr>
          <w:rFonts w:eastAsia="PMingLiU"/>
          <w:lang w:val="en-GB" w:eastAsia="zh-TW"/>
        </w:rPr>
        <w:t xml:space="preserve"> method. Notably, the AWE impact is higher than that of the </w:t>
      </w:r>
      <w:r w:rsidRPr="00773DDD">
        <w:rPr>
          <w:rFonts w:eastAsia="PMingLiU" w:hint="eastAsia"/>
          <w:lang w:val="en-GB" w:eastAsia="zh-TW"/>
        </w:rPr>
        <w:t>SMR</w:t>
      </w:r>
      <w:r w:rsidRPr="00773DDD">
        <w:rPr>
          <w:rFonts w:eastAsia="PMingLiU"/>
          <w:lang w:val="en-GB" w:eastAsia="zh-TW"/>
        </w:rPr>
        <w:t xml:space="preserve"> route</w:t>
      </w:r>
      <w:r w:rsidRPr="00773DDD">
        <w:rPr>
          <w:rFonts w:eastAsia="PMingLiU" w:hint="eastAsia"/>
          <w:lang w:val="en-GB" w:eastAsia="zh-TW"/>
        </w:rPr>
        <w:t>. The subsequent section investigates GWP and AP, which are critical in evaluating production routes within the aviation sector.</w:t>
      </w:r>
    </w:p>
    <w:p w14:paraId="00C42780" w14:textId="292C2AD4" w:rsidR="00F931D1" w:rsidRPr="00B57B36" w:rsidRDefault="00F931D1" w:rsidP="00AB22FE">
      <w:pPr>
        <w:pStyle w:val="CETTabletitle"/>
        <w:jc w:val="center"/>
      </w:pPr>
      <w:r w:rsidRPr="00AB22FE">
        <w:lastRenderedPageBreak/>
        <w:t xml:space="preserve">Table </w:t>
      </w:r>
      <w:r w:rsidR="00DB56D3">
        <w:rPr>
          <w:rFonts w:eastAsia="PMingLiU"/>
          <w:lang w:eastAsia="zh-TW"/>
        </w:rPr>
        <w:t>2</w:t>
      </w:r>
      <w:r w:rsidRPr="00AB22FE">
        <w:t xml:space="preserve">: </w:t>
      </w:r>
      <w:r w:rsidRPr="00AB22FE">
        <w:rPr>
          <w:rFonts w:eastAsia="PMingLiU" w:hint="eastAsia"/>
          <w:lang w:eastAsia="zh-TW"/>
        </w:rPr>
        <w:t>Environmental impact</w:t>
      </w:r>
      <w:r w:rsidRPr="00AB22FE">
        <w:t xml:space="preserve"> for the SMR and AWE</w:t>
      </w:r>
      <w:r w:rsidRPr="00AB22FE">
        <w:rPr>
          <w:rFonts w:eastAsia="PMingLiU" w:hint="eastAsia"/>
          <w:lang w:eastAsia="zh-TW"/>
        </w:rPr>
        <w:t xml:space="preserve"> routes analyzed </w:t>
      </w:r>
      <w:r w:rsidR="00766E68" w:rsidRPr="00AB22FE">
        <w:rPr>
          <w:rFonts w:eastAsia="PMingLiU"/>
          <w:lang w:eastAsia="zh-TW"/>
        </w:rPr>
        <w:t>via</w:t>
      </w:r>
      <w:r w:rsidRPr="00AB22FE">
        <w:rPr>
          <w:rFonts w:eastAsia="PMingLiU" w:hint="eastAsia"/>
          <w:lang w:eastAsia="zh-TW"/>
        </w:rPr>
        <w:t xml:space="preserve"> ReCiPe 2016 method</w:t>
      </w:r>
    </w:p>
    <w:tbl>
      <w:tblPr>
        <w:tblStyle w:val="Grigliatabella"/>
        <w:tblW w:w="9180" w:type="dxa"/>
        <w:jc w:val="center"/>
        <w:tblLook w:val="04A0" w:firstRow="1" w:lastRow="0" w:firstColumn="1" w:lastColumn="0" w:noHBand="0" w:noVBand="1"/>
      </w:tblPr>
      <w:tblGrid>
        <w:gridCol w:w="1530"/>
        <w:gridCol w:w="1460"/>
        <w:gridCol w:w="706"/>
        <w:gridCol w:w="795"/>
        <w:gridCol w:w="706"/>
        <w:gridCol w:w="795"/>
        <w:gridCol w:w="767"/>
        <w:gridCol w:w="867"/>
        <w:gridCol w:w="706"/>
        <w:gridCol w:w="848"/>
      </w:tblGrid>
      <w:tr w:rsidR="00F931D1" w:rsidRPr="00BD3F93" w14:paraId="0343F2E8" w14:textId="77777777" w:rsidTr="00E71792">
        <w:trPr>
          <w:trHeight w:val="292"/>
          <w:jc w:val="center"/>
        </w:trPr>
        <w:tc>
          <w:tcPr>
            <w:tcW w:w="1530" w:type="dxa"/>
            <w:vMerge w:val="restart"/>
            <w:tcBorders>
              <w:top w:val="single" w:sz="12" w:space="0" w:color="00B050"/>
              <w:left w:val="nil"/>
            </w:tcBorders>
            <w:noWrap/>
            <w:vAlign w:val="center"/>
          </w:tcPr>
          <w:p w14:paraId="3B7EF014" w14:textId="0FCD1313" w:rsidR="00BF6D49" w:rsidRPr="00BD3F93" w:rsidRDefault="00F931D1" w:rsidP="00931799">
            <w:pPr>
              <w:pStyle w:val="CETBodytext"/>
              <w:ind w:right="-1"/>
              <w:rPr>
                <w:rFonts w:cs="Arial"/>
                <w:b/>
                <w:bCs/>
                <w:sz w:val="15"/>
                <w:szCs w:val="15"/>
                <w:lang w:val="en-GB"/>
              </w:rPr>
            </w:pPr>
            <w:r w:rsidRPr="00BD3F93">
              <w:rPr>
                <w:rFonts w:cs="Arial" w:hint="eastAsia"/>
                <w:b/>
                <w:bCs/>
                <w:sz w:val="15"/>
                <w:szCs w:val="15"/>
                <w:lang w:val="en-GB"/>
              </w:rPr>
              <w:t>Environmental</w:t>
            </w:r>
          </w:p>
          <w:p w14:paraId="002C0DBB" w14:textId="1AA4B34A" w:rsidR="00F931D1" w:rsidRPr="00BD3F93" w:rsidRDefault="00F931D1" w:rsidP="00931799">
            <w:pPr>
              <w:pStyle w:val="CETBodytext"/>
              <w:ind w:right="-1"/>
              <w:rPr>
                <w:rFonts w:eastAsia="PMingLiU"/>
                <w:b/>
                <w:bCs/>
                <w:sz w:val="15"/>
                <w:szCs w:val="15"/>
                <w:lang w:eastAsia="zh-TW"/>
              </w:rPr>
            </w:pPr>
            <w:r w:rsidRPr="00BD3F93">
              <w:rPr>
                <w:rFonts w:cs="Arial" w:hint="eastAsia"/>
                <w:b/>
                <w:bCs/>
                <w:sz w:val="15"/>
                <w:szCs w:val="15"/>
                <w:lang w:val="en-GB"/>
              </w:rPr>
              <w:t>Impact</w:t>
            </w:r>
          </w:p>
        </w:tc>
        <w:tc>
          <w:tcPr>
            <w:tcW w:w="1460" w:type="dxa"/>
            <w:vMerge w:val="restart"/>
            <w:tcBorders>
              <w:top w:val="single" w:sz="12" w:space="0" w:color="00B050"/>
            </w:tcBorders>
            <w:noWrap/>
            <w:vAlign w:val="center"/>
          </w:tcPr>
          <w:p w14:paraId="35176333" w14:textId="2BF8CC18" w:rsidR="00F931D1" w:rsidRPr="00BD3F93" w:rsidRDefault="00F931D1" w:rsidP="00FC4FA4">
            <w:pPr>
              <w:pStyle w:val="CETBodytext"/>
              <w:jc w:val="center"/>
              <w:rPr>
                <w:rFonts w:eastAsia="PMingLiU"/>
                <w:b/>
                <w:bCs/>
                <w:sz w:val="15"/>
                <w:szCs w:val="15"/>
                <w:lang w:eastAsia="zh-TW"/>
              </w:rPr>
            </w:pPr>
            <w:r w:rsidRPr="00BD3F93">
              <w:rPr>
                <w:rFonts w:eastAsia="PMingLiU" w:hint="eastAsia"/>
                <w:b/>
                <w:bCs/>
                <w:sz w:val="15"/>
                <w:szCs w:val="15"/>
                <w:lang w:eastAsia="zh-TW"/>
              </w:rPr>
              <w:t>Unit</w:t>
            </w:r>
            <w:r w:rsidR="00E0665F" w:rsidRPr="00BD3F93">
              <w:rPr>
                <w:rFonts w:eastAsia="PMingLiU"/>
                <w:b/>
                <w:bCs/>
                <w:sz w:val="15"/>
                <w:szCs w:val="15"/>
                <w:lang w:eastAsia="zh-TW"/>
              </w:rPr>
              <w:t>s</w:t>
            </w:r>
          </w:p>
        </w:tc>
        <w:tc>
          <w:tcPr>
            <w:tcW w:w="1501" w:type="dxa"/>
            <w:gridSpan w:val="2"/>
            <w:tcBorders>
              <w:top w:val="single" w:sz="12" w:space="0" w:color="00B050"/>
            </w:tcBorders>
            <w:noWrap/>
            <w:vAlign w:val="center"/>
          </w:tcPr>
          <w:p w14:paraId="5D457D91" w14:textId="014E23B7" w:rsidR="00F931D1" w:rsidRPr="00BD3F93" w:rsidRDefault="00F931D1" w:rsidP="00FC4FA4">
            <w:pPr>
              <w:pStyle w:val="CETBodytext"/>
              <w:jc w:val="center"/>
              <w:rPr>
                <w:rFonts w:eastAsia="PMingLiU"/>
                <w:sz w:val="15"/>
                <w:szCs w:val="15"/>
                <w:lang w:eastAsia="zh-TW"/>
              </w:rPr>
            </w:pPr>
            <w:r w:rsidRPr="00BD3F93">
              <w:rPr>
                <w:b/>
                <w:bCs/>
                <w:sz w:val="15"/>
                <w:szCs w:val="15"/>
              </w:rPr>
              <w:t>B</w:t>
            </w:r>
            <w:r w:rsidR="00081533">
              <w:rPr>
                <w:b/>
                <w:bCs/>
                <w:sz w:val="15"/>
                <w:szCs w:val="15"/>
              </w:rPr>
              <w:t>C 2022</w:t>
            </w:r>
          </w:p>
        </w:tc>
        <w:tc>
          <w:tcPr>
            <w:tcW w:w="1501" w:type="dxa"/>
            <w:gridSpan w:val="2"/>
            <w:tcBorders>
              <w:top w:val="single" w:sz="12" w:space="0" w:color="00B050"/>
            </w:tcBorders>
            <w:noWrap/>
            <w:vAlign w:val="center"/>
          </w:tcPr>
          <w:p w14:paraId="4DEF168A" w14:textId="1A875BD8" w:rsidR="00F931D1" w:rsidRPr="00BD3F93" w:rsidRDefault="00F931D1" w:rsidP="00FC4FA4">
            <w:pPr>
              <w:pStyle w:val="CETBodytext"/>
              <w:jc w:val="center"/>
              <w:rPr>
                <w:sz w:val="15"/>
                <w:szCs w:val="15"/>
              </w:rPr>
            </w:pPr>
            <w:r w:rsidRPr="00BD3F93">
              <w:rPr>
                <w:b/>
                <w:bCs/>
                <w:sz w:val="15"/>
                <w:szCs w:val="15"/>
              </w:rPr>
              <w:t>RE</w:t>
            </w:r>
            <w:r w:rsidR="00081533">
              <w:rPr>
                <w:b/>
                <w:bCs/>
                <w:sz w:val="15"/>
                <w:szCs w:val="15"/>
              </w:rPr>
              <w:t xml:space="preserve"> </w:t>
            </w:r>
            <w:r w:rsidR="00081533" w:rsidRPr="00081533">
              <w:rPr>
                <w:b/>
                <w:bCs/>
                <w:sz w:val="15"/>
                <w:szCs w:val="15"/>
              </w:rPr>
              <w:t>2022</w:t>
            </w:r>
          </w:p>
        </w:tc>
        <w:tc>
          <w:tcPr>
            <w:tcW w:w="1634" w:type="dxa"/>
            <w:gridSpan w:val="2"/>
            <w:tcBorders>
              <w:top w:val="single" w:sz="12" w:space="0" w:color="00B050"/>
            </w:tcBorders>
            <w:noWrap/>
            <w:vAlign w:val="center"/>
          </w:tcPr>
          <w:p w14:paraId="6840976E" w14:textId="212EABEF" w:rsidR="00F931D1" w:rsidRPr="00BD3F93" w:rsidRDefault="00F931D1" w:rsidP="00FC4FA4">
            <w:pPr>
              <w:pStyle w:val="CETBodytext"/>
              <w:jc w:val="center"/>
              <w:rPr>
                <w:sz w:val="15"/>
                <w:szCs w:val="15"/>
              </w:rPr>
            </w:pPr>
            <w:r w:rsidRPr="00BD3F93">
              <w:rPr>
                <w:b/>
                <w:bCs/>
                <w:sz w:val="15"/>
                <w:szCs w:val="15"/>
              </w:rPr>
              <w:t>BC</w:t>
            </w:r>
            <w:r w:rsidR="00081533">
              <w:rPr>
                <w:b/>
                <w:bCs/>
                <w:sz w:val="15"/>
                <w:szCs w:val="15"/>
              </w:rPr>
              <w:t xml:space="preserve"> </w:t>
            </w:r>
            <w:r w:rsidR="00081533" w:rsidRPr="00BD3F93">
              <w:rPr>
                <w:b/>
                <w:bCs/>
                <w:sz w:val="15"/>
                <w:szCs w:val="15"/>
              </w:rPr>
              <w:t>2050</w:t>
            </w:r>
          </w:p>
        </w:tc>
        <w:tc>
          <w:tcPr>
            <w:tcW w:w="1554" w:type="dxa"/>
            <w:gridSpan w:val="2"/>
            <w:tcBorders>
              <w:top w:val="single" w:sz="12" w:space="0" w:color="00B050"/>
              <w:right w:val="nil"/>
            </w:tcBorders>
            <w:noWrap/>
            <w:vAlign w:val="center"/>
          </w:tcPr>
          <w:p w14:paraId="10FE3500" w14:textId="2FA6D96C" w:rsidR="00F931D1" w:rsidRPr="00BD3F93" w:rsidRDefault="00F931D1" w:rsidP="00FC4FA4">
            <w:pPr>
              <w:pStyle w:val="CETBodytext"/>
              <w:jc w:val="center"/>
              <w:rPr>
                <w:sz w:val="15"/>
                <w:szCs w:val="15"/>
              </w:rPr>
            </w:pPr>
            <w:r w:rsidRPr="00BD3F93">
              <w:rPr>
                <w:b/>
                <w:bCs/>
                <w:sz w:val="15"/>
                <w:szCs w:val="15"/>
              </w:rPr>
              <w:t>RE</w:t>
            </w:r>
            <w:r w:rsidR="00081533">
              <w:rPr>
                <w:b/>
                <w:bCs/>
                <w:sz w:val="15"/>
                <w:szCs w:val="15"/>
              </w:rPr>
              <w:t xml:space="preserve"> </w:t>
            </w:r>
            <w:r w:rsidR="00081533" w:rsidRPr="00BD3F93">
              <w:rPr>
                <w:b/>
                <w:bCs/>
                <w:sz w:val="15"/>
                <w:szCs w:val="15"/>
              </w:rPr>
              <w:t>2050</w:t>
            </w:r>
          </w:p>
        </w:tc>
      </w:tr>
      <w:tr w:rsidR="00F931D1" w:rsidRPr="00BD3F93" w14:paraId="7150DF47" w14:textId="77777777" w:rsidTr="00C20C15">
        <w:trPr>
          <w:trHeight w:val="134"/>
          <w:jc w:val="center"/>
        </w:trPr>
        <w:tc>
          <w:tcPr>
            <w:tcW w:w="1530" w:type="dxa"/>
            <w:vMerge/>
            <w:tcBorders>
              <w:left w:val="nil"/>
              <w:bottom w:val="single" w:sz="2" w:space="0" w:color="00B050"/>
            </w:tcBorders>
            <w:noWrap/>
            <w:vAlign w:val="center"/>
          </w:tcPr>
          <w:p w14:paraId="60CA60B5" w14:textId="77777777" w:rsidR="00F931D1" w:rsidRPr="00BD3F93" w:rsidRDefault="00F931D1" w:rsidP="00FC4FA4">
            <w:pPr>
              <w:pStyle w:val="CETBodytext"/>
              <w:jc w:val="center"/>
              <w:rPr>
                <w:sz w:val="15"/>
                <w:szCs w:val="15"/>
              </w:rPr>
            </w:pPr>
          </w:p>
        </w:tc>
        <w:tc>
          <w:tcPr>
            <w:tcW w:w="1460" w:type="dxa"/>
            <w:vMerge/>
            <w:tcBorders>
              <w:bottom w:val="single" w:sz="2" w:space="0" w:color="00B050"/>
            </w:tcBorders>
            <w:noWrap/>
            <w:vAlign w:val="center"/>
          </w:tcPr>
          <w:p w14:paraId="4EECE2F6" w14:textId="77777777" w:rsidR="00F931D1" w:rsidRPr="00BD3F93" w:rsidRDefault="00F931D1" w:rsidP="00FC4FA4">
            <w:pPr>
              <w:pStyle w:val="CETBodytext"/>
              <w:jc w:val="center"/>
              <w:rPr>
                <w:sz w:val="15"/>
                <w:szCs w:val="15"/>
              </w:rPr>
            </w:pPr>
          </w:p>
        </w:tc>
        <w:tc>
          <w:tcPr>
            <w:tcW w:w="706" w:type="dxa"/>
            <w:tcBorders>
              <w:bottom w:val="single" w:sz="2" w:space="0" w:color="00B050"/>
            </w:tcBorders>
            <w:noWrap/>
            <w:vAlign w:val="center"/>
          </w:tcPr>
          <w:p w14:paraId="70CBD4BA" w14:textId="77777777" w:rsidR="00F931D1" w:rsidRPr="00BD3F93" w:rsidRDefault="00F931D1" w:rsidP="00FC4FA4">
            <w:pPr>
              <w:pStyle w:val="CETBodytext"/>
              <w:jc w:val="center"/>
              <w:rPr>
                <w:sz w:val="15"/>
                <w:szCs w:val="15"/>
              </w:rPr>
            </w:pPr>
            <w:r w:rsidRPr="00BD3F93">
              <w:rPr>
                <w:i/>
                <w:iCs/>
                <w:sz w:val="15"/>
                <w:szCs w:val="15"/>
              </w:rPr>
              <w:t>SMR</w:t>
            </w:r>
          </w:p>
        </w:tc>
        <w:tc>
          <w:tcPr>
            <w:tcW w:w="795" w:type="dxa"/>
            <w:tcBorders>
              <w:bottom w:val="single" w:sz="2" w:space="0" w:color="00B050"/>
            </w:tcBorders>
            <w:noWrap/>
            <w:vAlign w:val="center"/>
          </w:tcPr>
          <w:p w14:paraId="56ACC9D9" w14:textId="77777777" w:rsidR="00F931D1" w:rsidRPr="00BD3F93" w:rsidRDefault="00F931D1" w:rsidP="00FC4FA4">
            <w:pPr>
              <w:pStyle w:val="CETBodytext"/>
              <w:jc w:val="center"/>
              <w:rPr>
                <w:sz w:val="15"/>
                <w:szCs w:val="15"/>
              </w:rPr>
            </w:pPr>
            <w:r w:rsidRPr="00BD3F93">
              <w:rPr>
                <w:i/>
                <w:iCs/>
                <w:sz w:val="15"/>
                <w:szCs w:val="15"/>
              </w:rPr>
              <w:t>AWE</w:t>
            </w:r>
          </w:p>
        </w:tc>
        <w:tc>
          <w:tcPr>
            <w:tcW w:w="706" w:type="dxa"/>
            <w:tcBorders>
              <w:bottom w:val="single" w:sz="2" w:space="0" w:color="00B050"/>
            </w:tcBorders>
            <w:noWrap/>
            <w:vAlign w:val="center"/>
          </w:tcPr>
          <w:p w14:paraId="3DC8616C" w14:textId="77777777" w:rsidR="00F931D1" w:rsidRPr="00BD3F93" w:rsidRDefault="00F931D1" w:rsidP="00FC4FA4">
            <w:pPr>
              <w:pStyle w:val="CETBodytext"/>
              <w:jc w:val="center"/>
              <w:rPr>
                <w:sz w:val="15"/>
                <w:szCs w:val="15"/>
              </w:rPr>
            </w:pPr>
            <w:r w:rsidRPr="00BD3F93">
              <w:rPr>
                <w:i/>
                <w:iCs/>
                <w:sz w:val="15"/>
                <w:szCs w:val="15"/>
              </w:rPr>
              <w:t>SMR</w:t>
            </w:r>
          </w:p>
        </w:tc>
        <w:tc>
          <w:tcPr>
            <w:tcW w:w="795" w:type="dxa"/>
            <w:tcBorders>
              <w:bottom w:val="single" w:sz="2" w:space="0" w:color="00B050"/>
            </w:tcBorders>
            <w:noWrap/>
            <w:vAlign w:val="center"/>
          </w:tcPr>
          <w:p w14:paraId="4B4E5309" w14:textId="77777777" w:rsidR="00F931D1" w:rsidRPr="00BD3F93" w:rsidRDefault="00F931D1" w:rsidP="00FC4FA4">
            <w:pPr>
              <w:pStyle w:val="CETBodytext"/>
              <w:jc w:val="center"/>
              <w:rPr>
                <w:sz w:val="15"/>
                <w:szCs w:val="15"/>
              </w:rPr>
            </w:pPr>
            <w:r w:rsidRPr="00BD3F93">
              <w:rPr>
                <w:i/>
                <w:iCs/>
                <w:sz w:val="15"/>
                <w:szCs w:val="15"/>
              </w:rPr>
              <w:t>AWE</w:t>
            </w:r>
          </w:p>
        </w:tc>
        <w:tc>
          <w:tcPr>
            <w:tcW w:w="767" w:type="dxa"/>
            <w:tcBorders>
              <w:bottom w:val="single" w:sz="2" w:space="0" w:color="00B050"/>
            </w:tcBorders>
            <w:noWrap/>
            <w:vAlign w:val="center"/>
          </w:tcPr>
          <w:p w14:paraId="16D46234" w14:textId="77777777" w:rsidR="00F931D1" w:rsidRPr="00BD3F93" w:rsidRDefault="00F931D1" w:rsidP="00FC4FA4">
            <w:pPr>
              <w:pStyle w:val="CETBodytext"/>
              <w:jc w:val="center"/>
              <w:rPr>
                <w:sz w:val="15"/>
                <w:szCs w:val="15"/>
              </w:rPr>
            </w:pPr>
            <w:r w:rsidRPr="00BD3F93">
              <w:rPr>
                <w:i/>
                <w:iCs/>
                <w:sz w:val="15"/>
                <w:szCs w:val="15"/>
              </w:rPr>
              <w:t>SMR</w:t>
            </w:r>
          </w:p>
        </w:tc>
        <w:tc>
          <w:tcPr>
            <w:tcW w:w="867" w:type="dxa"/>
            <w:tcBorders>
              <w:bottom w:val="single" w:sz="2" w:space="0" w:color="00B050"/>
            </w:tcBorders>
            <w:noWrap/>
            <w:vAlign w:val="center"/>
          </w:tcPr>
          <w:p w14:paraId="6CC827E0" w14:textId="77777777" w:rsidR="00F931D1" w:rsidRPr="00BD3F93" w:rsidRDefault="00F931D1" w:rsidP="00FC4FA4">
            <w:pPr>
              <w:pStyle w:val="CETBodytext"/>
              <w:jc w:val="center"/>
              <w:rPr>
                <w:sz w:val="15"/>
                <w:szCs w:val="15"/>
              </w:rPr>
            </w:pPr>
            <w:r w:rsidRPr="00BD3F93">
              <w:rPr>
                <w:i/>
                <w:iCs/>
                <w:sz w:val="15"/>
                <w:szCs w:val="15"/>
              </w:rPr>
              <w:t>AWE</w:t>
            </w:r>
          </w:p>
        </w:tc>
        <w:tc>
          <w:tcPr>
            <w:tcW w:w="706" w:type="dxa"/>
            <w:tcBorders>
              <w:bottom w:val="single" w:sz="2" w:space="0" w:color="00B050"/>
            </w:tcBorders>
            <w:noWrap/>
            <w:vAlign w:val="center"/>
          </w:tcPr>
          <w:p w14:paraId="55AEA50D" w14:textId="77777777" w:rsidR="00F931D1" w:rsidRPr="00BD3F93" w:rsidRDefault="00F931D1" w:rsidP="00FC4FA4">
            <w:pPr>
              <w:pStyle w:val="CETBodytext"/>
              <w:jc w:val="center"/>
              <w:rPr>
                <w:sz w:val="15"/>
                <w:szCs w:val="15"/>
              </w:rPr>
            </w:pPr>
            <w:r w:rsidRPr="00BD3F93">
              <w:rPr>
                <w:i/>
                <w:iCs/>
                <w:sz w:val="15"/>
                <w:szCs w:val="15"/>
              </w:rPr>
              <w:t>SMR</w:t>
            </w:r>
          </w:p>
        </w:tc>
        <w:tc>
          <w:tcPr>
            <w:tcW w:w="848" w:type="dxa"/>
            <w:tcBorders>
              <w:bottom w:val="single" w:sz="2" w:space="0" w:color="00B050"/>
              <w:right w:val="nil"/>
            </w:tcBorders>
            <w:noWrap/>
            <w:vAlign w:val="center"/>
          </w:tcPr>
          <w:p w14:paraId="27FEB41F" w14:textId="77777777" w:rsidR="00F931D1" w:rsidRPr="00BD3F93" w:rsidRDefault="00F931D1" w:rsidP="00FC4FA4">
            <w:pPr>
              <w:pStyle w:val="CETBodytext"/>
              <w:jc w:val="center"/>
              <w:rPr>
                <w:sz w:val="15"/>
                <w:szCs w:val="15"/>
              </w:rPr>
            </w:pPr>
            <w:r w:rsidRPr="00BD3F93">
              <w:rPr>
                <w:i/>
                <w:iCs/>
                <w:sz w:val="15"/>
                <w:szCs w:val="15"/>
              </w:rPr>
              <w:t>AWE</w:t>
            </w:r>
          </w:p>
        </w:tc>
      </w:tr>
      <w:tr w:rsidR="00AB22FE" w:rsidRPr="00BD3F93" w14:paraId="0545AB38" w14:textId="77777777" w:rsidTr="00BD3F93">
        <w:trPr>
          <w:trHeight w:val="202"/>
          <w:jc w:val="center"/>
        </w:trPr>
        <w:tc>
          <w:tcPr>
            <w:tcW w:w="1530" w:type="dxa"/>
            <w:tcBorders>
              <w:top w:val="single" w:sz="2" w:space="0" w:color="00B050"/>
              <w:left w:val="nil"/>
              <w:bottom w:val="nil"/>
              <w:right w:val="nil"/>
            </w:tcBorders>
            <w:noWrap/>
            <w:vAlign w:val="center"/>
            <w:hideMark/>
          </w:tcPr>
          <w:p w14:paraId="469294B6" w14:textId="3252368C" w:rsidR="00AB22FE" w:rsidRPr="00BD3F93" w:rsidRDefault="00AB22FE" w:rsidP="00AB22FE">
            <w:pPr>
              <w:pStyle w:val="CETBodytext"/>
              <w:jc w:val="left"/>
              <w:rPr>
                <w:sz w:val="15"/>
                <w:szCs w:val="15"/>
              </w:rPr>
            </w:pPr>
            <w:r w:rsidRPr="00BD3F93">
              <w:rPr>
                <w:sz w:val="15"/>
                <w:szCs w:val="15"/>
              </w:rPr>
              <w:t>AP</w:t>
            </w:r>
          </w:p>
        </w:tc>
        <w:tc>
          <w:tcPr>
            <w:tcW w:w="1460" w:type="dxa"/>
            <w:tcBorders>
              <w:top w:val="single" w:sz="2" w:space="0" w:color="00B050"/>
              <w:left w:val="nil"/>
              <w:bottom w:val="nil"/>
              <w:right w:val="nil"/>
            </w:tcBorders>
            <w:noWrap/>
            <w:vAlign w:val="center"/>
            <w:hideMark/>
          </w:tcPr>
          <w:p w14:paraId="005FF5F1" w14:textId="77777777" w:rsidR="00AB22FE" w:rsidRPr="00BD3F93" w:rsidRDefault="00AB22FE" w:rsidP="00AB22FE">
            <w:pPr>
              <w:pStyle w:val="CETBodytext"/>
              <w:jc w:val="center"/>
              <w:rPr>
                <w:sz w:val="15"/>
                <w:szCs w:val="15"/>
              </w:rPr>
            </w:pPr>
            <w:r w:rsidRPr="00BD3F93">
              <w:rPr>
                <w:sz w:val="15"/>
                <w:szCs w:val="15"/>
              </w:rPr>
              <w:t>kg SO</w:t>
            </w:r>
            <w:r w:rsidRPr="00BD3F93">
              <w:rPr>
                <w:sz w:val="15"/>
                <w:szCs w:val="15"/>
                <w:vertAlign w:val="subscript"/>
              </w:rPr>
              <w:t>2</w:t>
            </w:r>
            <w:r w:rsidRPr="00BD3F93">
              <w:rPr>
                <w:sz w:val="15"/>
                <w:szCs w:val="15"/>
              </w:rPr>
              <w:t>-Eq</w:t>
            </w:r>
          </w:p>
        </w:tc>
        <w:tc>
          <w:tcPr>
            <w:tcW w:w="706" w:type="dxa"/>
            <w:tcBorders>
              <w:top w:val="single" w:sz="2" w:space="0" w:color="00B050"/>
              <w:left w:val="nil"/>
              <w:bottom w:val="nil"/>
              <w:right w:val="nil"/>
            </w:tcBorders>
            <w:noWrap/>
            <w:vAlign w:val="center"/>
            <w:hideMark/>
          </w:tcPr>
          <w:p w14:paraId="7C6AE0A2" w14:textId="77777777" w:rsidR="00AB22FE" w:rsidRPr="00BD3F93" w:rsidRDefault="00AB22FE" w:rsidP="00AB22FE">
            <w:pPr>
              <w:pStyle w:val="CETBodytext"/>
              <w:jc w:val="center"/>
              <w:rPr>
                <w:sz w:val="15"/>
                <w:szCs w:val="15"/>
              </w:rPr>
            </w:pPr>
            <w:r w:rsidRPr="00BD3F93">
              <w:rPr>
                <w:sz w:val="15"/>
                <w:szCs w:val="15"/>
              </w:rPr>
              <w:t>0.011</w:t>
            </w:r>
          </w:p>
        </w:tc>
        <w:tc>
          <w:tcPr>
            <w:tcW w:w="795" w:type="dxa"/>
            <w:tcBorders>
              <w:top w:val="single" w:sz="2" w:space="0" w:color="00B050"/>
              <w:left w:val="nil"/>
              <w:bottom w:val="nil"/>
              <w:right w:val="nil"/>
            </w:tcBorders>
            <w:noWrap/>
            <w:vAlign w:val="center"/>
            <w:hideMark/>
          </w:tcPr>
          <w:p w14:paraId="2B38AF00" w14:textId="77777777" w:rsidR="00AB22FE" w:rsidRPr="00BD3F93" w:rsidRDefault="00AB22FE" w:rsidP="00AB22FE">
            <w:pPr>
              <w:pStyle w:val="CETBodytext"/>
              <w:jc w:val="center"/>
              <w:rPr>
                <w:sz w:val="15"/>
                <w:szCs w:val="15"/>
              </w:rPr>
            </w:pPr>
            <w:r w:rsidRPr="00BD3F93">
              <w:rPr>
                <w:sz w:val="15"/>
                <w:szCs w:val="15"/>
              </w:rPr>
              <w:t>0.126</w:t>
            </w:r>
          </w:p>
        </w:tc>
        <w:tc>
          <w:tcPr>
            <w:tcW w:w="706" w:type="dxa"/>
            <w:tcBorders>
              <w:top w:val="single" w:sz="2" w:space="0" w:color="00B050"/>
              <w:left w:val="nil"/>
              <w:bottom w:val="nil"/>
              <w:right w:val="nil"/>
            </w:tcBorders>
            <w:noWrap/>
            <w:vAlign w:val="center"/>
            <w:hideMark/>
          </w:tcPr>
          <w:p w14:paraId="389E5683" w14:textId="167F2E5E" w:rsidR="00AB22FE" w:rsidRPr="00BD3F93" w:rsidRDefault="00AB22FE" w:rsidP="00AB22FE">
            <w:pPr>
              <w:pStyle w:val="CETBodytext"/>
              <w:jc w:val="center"/>
              <w:rPr>
                <w:sz w:val="15"/>
                <w:szCs w:val="15"/>
              </w:rPr>
            </w:pPr>
            <w:r w:rsidRPr="00BD3F93">
              <w:rPr>
                <w:sz w:val="15"/>
                <w:szCs w:val="15"/>
              </w:rPr>
              <w:t>0.008</w:t>
            </w:r>
          </w:p>
        </w:tc>
        <w:tc>
          <w:tcPr>
            <w:tcW w:w="795" w:type="dxa"/>
            <w:tcBorders>
              <w:top w:val="single" w:sz="2" w:space="0" w:color="00B050"/>
              <w:left w:val="nil"/>
              <w:bottom w:val="nil"/>
              <w:right w:val="nil"/>
            </w:tcBorders>
            <w:noWrap/>
            <w:vAlign w:val="center"/>
            <w:hideMark/>
          </w:tcPr>
          <w:p w14:paraId="2D69AC51" w14:textId="4E02B4BF" w:rsidR="00AB22FE" w:rsidRPr="00BD3F93" w:rsidRDefault="00AB22FE" w:rsidP="00AB22FE">
            <w:pPr>
              <w:pStyle w:val="CETBodytext"/>
              <w:jc w:val="center"/>
              <w:rPr>
                <w:sz w:val="15"/>
                <w:szCs w:val="15"/>
              </w:rPr>
            </w:pPr>
            <w:r w:rsidRPr="00BD3F93">
              <w:rPr>
                <w:sz w:val="15"/>
                <w:szCs w:val="15"/>
              </w:rPr>
              <w:t>0.110</w:t>
            </w:r>
          </w:p>
        </w:tc>
        <w:tc>
          <w:tcPr>
            <w:tcW w:w="767" w:type="dxa"/>
            <w:tcBorders>
              <w:top w:val="single" w:sz="2" w:space="0" w:color="00B050"/>
              <w:left w:val="nil"/>
              <w:bottom w:val="nil"/>
              <w:right w:val="nil"/>
            </w:tcBorders>
            <w:noWrap/>
            <w:vAlign w:val="center"/>
            <w:hideMark/>
          </w:tcPr>
          <w:p w14:paraId="4A047944" w14:textId="67634FCF" w:rsidR="00AB22FE" w:rsidRPr="00BD3F93" w:rsidRDefault="00AB22FE" w:rsidP="00AB22FE">
            <w:pPr>
              <w:pStyle w:val="CETBodytext"/>
              <w:jc w:val="center"/>
              <w:rPr>
                <w:sz w:val="15"/>
                <w:szCs w:val="15"/>
              </w:rPr>
            </w:pPr>
            <w:r w:rsidRPr="00BD3F93">
              <w:rPr>
                <w:sz w:val="15"/>
                <w:szCs w:val="15"/>
              </w:rPr>
              <w:t>0.005</w:t>
            </w:r>
          </w:p>
        </w:tc>
        <w:tc>
          <w:tcPr>
            <w:tcW w:w="867" w:type="dxa"/>
            <w:tcBorders>
              <w:top w:val="single" w:sz="2" w:space="0" w:color="00B050"/>
              <w:left w:val="nil"/>
              <w:bottom w:val="nil"/>
              <w:right w:val="nil"/>
            </w:tcBorders>
            <w:noWrap/>
            <w:vAlign w:val="center"/>
            <w:hideMark/>
          </w:tcPr>
          <w:p w14:paraId="28ACF760" w14:textId="704CAE4C" w:rsidR="00AB22FE" w:rsidRPr="00BD3F93" w:rsidRDefault="00AB22FE" w:rsidP="00AB22FE">
            <w:pPr>
              <w:pStyle w:val="CETBodytext"/>
              <w:jc w:val="center"/>
              <w:rPr>
                <w:sz w:val="15"/>
                <w:szCs w:val="15"/>
              </w:rPr>
            </w:pPr>
            <w:r w:rsidRPr="00BD3F93">
              <w:rPr>
                <w:sz w:val="15"/>
                <w:szCs w:val="15"/>
              </w:rPr>
              <w:t>0.092</w:t>
            </w:r>
          </w:p>
        </w:tc>
        <w:tc>
          <w:tcPr>
            <w:tcW w:w="706" w:type="dxa"/>
            <w:tcBorders>
              <w:top w:val="single" w:sz="2" w:space="0" w:color="00B050"/>
              <w:left w:val="nil"/>
              <w:bottom w:val="nil"/>
              <w:right w:val="nil"/>
            </w:tcBorders>
            <w:noWrap/>
            <w:vAlign w:val="center"/>
            <w:hideMark/>
          </w:tcPr>
          <w:p w14:paraId="0E9AF745" w14:textId="6B7C6763" w:rsidR="00AB22FE" w:rsidRPr="00BD3F93" w:rsidRDefault="00AB22FE" w:rsidP="00AB22FE">
            <w:pPr>
              <w:pStyle w:val="CETBodytext"/>
              <w:jc w:val="center"/>
              <w:rPr>
                <w:sz w:val="15"/>
                <w:szCs w:val="15"/>
              </w:rPr>
            </w:pPr>
            <w:r w:rsidRPr="00BD3F93">
              <w:rPr>
                <w:sz w:val="15"/>
                <w:szCs w:val="15"/>
              </w:rPr>
              <w:t>0.007</w:t>
            </w:r>
          </w:p>
        </w:tc>
        <w:tc>
          <w:tcPr>
            <w:tcW w:w="848" w:type="dxa"/>
            <w:tcBorders>
              <w:top w:val="single" w:sz="2" w:space="0" w:color="00B050"/>
              <w:left w:val="nil"/>
              <w:bottom w:val="nil"/>
              <w:right w:val="nil"/>
            </w:tcBorders>
            <w:noWrap/>
            <w:vAlign w:val="center"/>
            <w:hideMark/>
          </w:tcPr>
          <w:p w14:paraId="6A0CB9ED" w14:textId="2BCB7F06" w:rsidR="00AB22FE" w:rsidRPr="00BD3F93" w:rsidRDefault="00AB22FE" w:rsidP="00AB22FE">
            <w:pPr>
              <w:pStyle w:val="CETBodytext"/>
              <w:jc w:val="center"/>
              <w:rPr>
                <w:sz w:val="15"/>
                <w:szCs w:val="15"/>
              </w:rPr>
            </w:pPr>
            <w:r w:rsidRPr="00BD3F93">
              <w:rPr>
                <w:sz w:val="15"/>
                <w:szCs w:val="15"/>
              </w:rPr>
              <w:t>0.103</w:t>
            </w:r>
          </w:p>
        </w:tc>
      </w:tr>
      <w:tr w:rsidR="00AB22FE" w:rsidRPr="00BD3F93" w14:paraId="66938A93" w14:textId="77777777" w:rsidTr="00BD3F93">
        <w:trPr>
          <w:trHeight w:val="216"/>
          <w:jc w:val="center"/>
        </w:trPr>
        <w:tc>
          <w:tcPr>
            <w:tcW w:w="1530" w:type="dxa"/>
            <w:tcBorders>
              <w:top w:val="nil"/>
              <w:left w:val="nil"/>
              <w:bottom w:val="nil"/>
              <w:right w:val="nil"/>
            </w:tcBorders>
            <w:noWrap/>
            <w:vAlign w:val="center"/>
            <w:hideMark/>
          </w:tcPr>
          <w:p w14:paraId="5CC628F5" w14:textId="42DDFB66" w:rsidR="00AB22FE" w:rsidRPr="00BD3F93" w:rsidRDefault="00AB22FE" w:rsidP="00AB22FE">
            <w:pPr>
              <w:pStyle w:val="CETBodytext"/>
              <w:jc w:val="left"/>
              <w:rPr>
                <w:sz w:val="15"/>
                <w:szCs w:val="15"/>
              </w:rPr>
            </w:pPr>
            <w:r w:rsidRPr="00BD3F93">
              <w:rPr>
                <w:sz w:val="15"/>
                <w:szCs w:val="15"/>
              </w:rPr>
              <w:t>GWP100</w:t>
            </w:r>
          </w:p>
        </w:tc>
        <w:tc>
          <w:tcPr>
            <w:tcW w:w="1460" w:type="dxa"/>
            <w:tcBorders>
              <w:top w:val="nil"/>
              <w:left w:val="nil"/>
              <w:bottom w:val="nil"/>
              <w:right w:val="nil"/>
            </w:tcBorders>
            <w:noWrap/>
            <w:vAlign w:val="center"/>
            <w:hideMark/>
          </w:tcPr>
          <w:p w14:paraId="391E1FE3" w14:textId="77777777" w:rsidR="00AB22FE" w:rsidRPr="00BD3F93" w:rsidRDefault="00AB22FE" w:rsidP="00AB22FE">
            <w:pPr>
              <w:pStyle w:val="CETBodytext"/>
              <w:jc w:val="center"/>
              <w:rPr>
                <w:sz w:val="15"/>
                <w:szCs w:val="15"/>
              </w:rPr>
            </w:pPr>
            <w:r w:rsidRPr="00BD3F93">
              <w:rPr>
                <w:sz w:val="15"/>
                <w:szCs w:val="15"/>
              </w:rPr>
              <w:t>kg CO</w:t>
            </w:r>
            <w:r w:rsidRPr="00BD3F93">
              <w:rPr>
                <w:sz w:val="15"/>
                <w:szCs w:val="15"/>
                <w:vertAlign w:val="subscript"/>
              </w:rPr>
              <w:t>2</w:t>
            </w:r>
            <w:r w:rsidRPr="00BD3F93">
              <w:rPr>
                <w:sz w:val="15"/>
                <w:szCs w:val="15"/>
              </w:rPr>
              <w:t>-Eq</w:t>
            </w:r>
          </w:p>
        </w:tc>
        <w:tc>
          <w:tcPr>
            <w:tcW w:w="706" w:type="dxa"/>
            <w:tcBorders>
              <w:top w:val="nil"/>
              <w:left w:val="nil"/>
              <w:bottom w:val="nil"/>
              <w:right w:val="nil"/>
            </w:tcBorders>
            <w:noWrap/>
            <w:vAlign w:val="center"/>
            <w:hideMark/>
          </w:tcPr>
          <w:p w14:paraId="53BA1BFC" w14:textId="77777777" w:rsidR="00AB22FE" w:rsidRPr="00BD3F93" w:rsidRDefault="00AB22FE" w:rsidP="00AB22FE">
            <w:pPr>
              <w:pStyle w:val="CETBodytext"/>
              <w:jc w:val="center"/>
              <w:rPr>
                <w:sz w:val="15"/>
                <w:szCs w:val="15"/>
              </w:rPr>
            </w:pPr>
            <w:r w:rsidRPr="00BD3F93">
              <w:rPr>
                <w:sz w:val="15"/>
                <w:szCs w:val="15"/>
              </w:rPr>
              <w:t>11.547</w:t>
            </w:r>
          </w:p>
        </w:tc>
        <w:tc>
          <w:tcPr>
            <w:tcW w:w="795" w:type="dxa"/>
            <w:tcBorders>
              <w:top w:val="nil"/>
              <w:left w:val="nil"/>
              <w:bottom w:val="nil"/>
              <w:right w:val="nil"/>
            </w:tcBorders>
            <w:noWrap/>
            <w:vAlign w:val="center"/>
            <w:hideMark/>
          </w:tcPr>
          <w:p w14:paraId="25D06831" w14:textId="77777777" w:rsidR="00AB22FE" w:rsidRPr="00BD3F93" w:rsidRDefault="00AB22FE" w:rsidP="00AB22FE">
            <w:pPr>
              <w:pStyle w:val="CETBodytext"/>
              <w:jc w:val="center"/>
              <w:rPr>
                <w:sz w:val="15"/>
                <w:szCs w:val="15"/>
              </w:rPr>
            </w:pPr>
            <w:r w:rsidRPr="00BD3F93">
              <w:rPr>
                <w:sz w:val="15"/>
                <w:szCs w:val="15"/>
              </w:rPr>
              <w:t>51.956</w:t>
            </w:r>
          </w:p>
        </w:tc>
        <w:tc>
          <w:tcPr>
            <w:tcW w:w="706" w:type="dxa"/>
            <w:tcBorders>
              <w:top w:val="nil"/>
              <w:left w:val="nil"/>
              <w:bottom w:val="nil"/>
              <w:right w:val="nil"/>
            </w:tcBorders>
            <w:noWrap/>
            <w:vAlign w:val="center"/>
            <w:hideMark/>
          </w:tcPr>
          <w:p w14:paraId="4739EAE1" w14:textId="2BB85066" w:rsidR="00AB22FE" w:rsidRPr="00BD3F93" w:rsidRDefault="00AB22FE" w:rsidP="00AB22FE">
            <w:pPr>
              <w:pStyle w:val="CETBodytext"/>
              <w:jc w:val="center"/>
              <w:rPr>
                <w:sz w:val="15"/>
                <w:szCs w:val="15"/>
              </w:rPr>
            </w:pPr>
            <w:r w:rsidRPr="00BD3F93">
              <w:rPr>
                <w:sz w:val="15"/>
                <w:szCs w:val="15"/>
              </w:rPr>
              <w:t>8.784</w:t>
            </w:r>
          </w:p>
        </w:tc>
        <w:tc>
          <w:tcPr>
            <w:tcW w:w="795" w:type="dxa"/>
            <w:tcBorders>
              <w:top w:val="nil"/>
              <w:left w:val="nil"/>
              <w:bottom w:val="nil"/>
              <w:right w:val="nil"/>
            </w:tcBorders>
            <w:noWrap/>
            <w:vAlign w:val="center"/>
            <w:hideMark/>
          </w:tcPr>
          <w:p w14:paraId="13F493BB" w14:textId="3765966F" w:rsidR="00AB22FE" w:rsidRPr="00BD3F93" w:rsidRDefault="00AB22FE" w:rsidP="00AB22FE">
            <w:pPr>
              <w:pStyle w:val="CETBodytext"/>
              <w:jc w:val="center"/>
              <w:rPr>
                <w:sz w:val="15"/>
                <w:szCs w:val="15"/>
              </w:rPr>
            </w:pPr>
            <w:r w:rsidRPr="00BD3F93">
              <w:rPr>
                <w:sz w:val="15"/>
                <w:szCs w:val="15"/>
              </w:rPr>
              <w:t>36.873</w:t>
            </w:r>
          </w:p>
        </w:tc>
        <w:tc>
          <w:tcPr>
            <w:tcW w:w="767" w:type="dxa"/>
            <w:tcBorders>
              <w:top w:val="nil"/>
              <w:left w:val="nil"/>
              <w:bottom w:val="nil"/>
              <w:right w:val="nil"/>
            </w:tcBorders>
            <w:noWrap/>
            <w:vAlign w:val="center"/>
            <w:hideMark/>
          </w:tcPr>
          <w:p w14:paraId="28D4262E" w14:textId="2A1FEC6F" w:rsidR="00AB22FE" w:rsidRPr="00BD3F93" w:rsidRDefault="00AB22FE" w:rsidP="00AB22FE">
            <w:pPr>
              <w:pStyle w:val="CETBodytext"/>
              <w:jc w:val="center"/>
              <w:rPr>
                <w:sz w:val="15"/>
                <w:szCs w:val="15"/>
              </w:rPr>
            </w:pPr>
            <w:r w:rsidRPr="00BD3F93">
              <w:rPr>
                <w:sz w:val="15"/>
                <w:szCs w:val="15"/>
              </w:rPr>
              <w:t>6.390</w:t>
            </w:r>
          </w:p>
        </w:tc>
        <w:tc>
          <w:tcPr>
            <w:tcW w:w="867" w:type="dxa"/>
            <w:tcBorders>
              <w:top w:val="nil"/>
              <w:left w:val="nil"/>
              <w:bottom w:val="nil"/>
              <w:right w:val="nil"/>
            </w:tcBorders>
            <w:noWrap/>
            <w:vAlign w:val="center"/>
            <w:hideMark/>
          </w:tcPr>
          <w:p w14:paraId="6DC983DB" w14:textId="0CBCDD99" w:rsidR="00AB22FE" w:rsidRPr="00BD3F93" w:rsidRDefault="00AB22FE" w:rsidP="00AB22FE">
            <w:pPr>
              <w:pStyle w:val="CETBodytext"/>
              <w:jc w:val="center"/>
              <w:rPr>
                <w:sz w:val="15"/>
                <w:szCs w:val="15"/>
              </w:rPr>
            </w:pPr>
            <w:r w:rsidRPr="00BD3F93">
              <w:rPr>
                <w:sz w:val="15"/>
                <w:szCs w:val="15"/>
              </w:rPr>
              <w:t>23.803</w:t>
            </w:r>
          </w:p>
        </w:tc>
        <w:tc>
          <w:tcPr>
            <w:tcW w:w="706" w:type="dxa"/>
            <w:tcBorders>
              <w:top w:val="nil"/>
              <w:left w:val="nil"/>
              <w:bottom w:val="nil"/>
              <w:right w:val="nil"/>
            </w:tcBorders>
            <w:noWrap/>
            <w:vAlign w:val="center"/>
            <w:hideMark/>
          </w:tcPr>
          <w:p w14:paraId="66D45DE5" w14:textId="55505F73" w:rsidR="00AB22FE" w:rsidRPr="00BD3F93" w:rsidRDefault="00AB22FE" w:rsidP="00AB22FE">
            <w:pPr>
              <w:pStyle w:val="CETBodytext"/>
              <w:jc w:val="center"/>
              <w:rPr>
                <w:sz w:val="15"/>
                <w:szCs w:val="15"/>
              </w:rPr>
            </w:pPr>
            <w:r w:rsidRPr="00BD3F93">
              <w:rPr>
                <w:sz w:val="15"/>
                <w:szCs w:val="15"/>
              </w:rPr>
              <w:t>5.896</w:t>
            </w:r>
          </w:p>
        </w:tc>
        <w:tc>
          <w:tcPr>
            <w:tcW w:w="848" w:type="dxa"/>
            <w:tcBorders>
              <w:top w:val="nil"/>
              <w:left w:val="nil"/>
              <w:bottom w:val="nil"/>
              <w:right w:val="nil"/>
            </w:tcBorders>
            <w:noWrap/>
            <w:vAlign w:val="center"/>
            <w:hideMark/>
          </w:tcPr>
          <w:p w14:paraId="7C230569" w14:textId="231F6C86" w:rsidR="00AB22FE" w:rsidRPr="00BD3F93" w:rsidRDefault="00AB22FE" w:rsidP="00AB22FE">
            <w:pPr>
              <w:pStyle w:val="CETBodytext"/>
              <w:jc w:val="center"/>
              <w:rPr>
                <w:sz w:val="15"/>
                <w:szCs w:val="15"/>
              </w:rPr>
            </w:pPr>
            <w:r w:rsidRPr="00BD3F93">
              <w:rPr>
                <w:sz w:val="15"/>
                <w:szCs w:val="15"/>
              </w:rPr>
              <w:t>21.106</w:t>
            </w:r>
          </w:p>
        </w:tc>
      </w:tr>
      <w:tr w:rsidR="00AB22FE" w:rsidRPr="00BD3F93" w14:paraId="7CC017C2" w14:textId="77777777" w:rsidTr="00BD3F93">
        <w:trPr>
          <w:trHeight w:val="216"/>
          <w:jc w:val="center"/>
        </w:trPr>
        <w:tc>
          <w:tcPr>
            <w:tcW w:w="1530" w:type="dxa"/>
            <w:tcBorders>
              <w:top w:val="nil"/>
              <w:left w:val="nil"/>
              <w:bottom w:val="nil"/>
              <w:right w:val="nil"/>
            </w:tcBorders>
            <w:noWrap/>
            <w:vAlign w:val="center"/>
            <w:hideMark/>
          </w:tcPr>
          <w:p w14:paraId="453805F0" w14:textId="5F258FE7" w:rsidR="00AB22FE" w:rsidRPr="00BD3F93" w:rsidRDefault="00AB22FE" w:rsidP="00AB22FE">
            <w:pPr>
              <w:pStyle w:val="CETBodytext"/>
              <w:jc w:val="left"/>
              <w:rPr>
                <w:sz w:val="15"/>
                <w:szCs w:val="15"/>
              </w:rPr>
            </w:pPr>
            <w:r w:rsidRPr="00BD3F93">
              <w:rPr>
                <w:sz w:val="15"/>
                <w:szCs w:val="15"/>
              </w:rPr>
              <w:t>TETP</w:t>
            </w:r>
          </w:p>
        </w:tc>
        <w:tc>
          <w:tcPr>
            <w:tcW w:w="1460" w:type="dxa"/>
            <w:tcBorders>
              <w:top w:val="nil"/>
              <w:left w:val="nil"/>
              <w:bottom w:val="nil"/>
              <w:right w:val="nil"/>
            </w:tcBorders>
            <w:noWrap/>
            <w:vAlign w:val="center"/>
            <w:hideMark/>
          </w:tcPr>
          <w:p w14:paraId="1148AE8B" w14:textId="77777777" w:rsidR="00AB22FE" w:rsidRPr="00BD3F93" w:rsidRDefault="00AB22FE" w:rsidP="00AB22FE">
            <w:pPr>
              <w:pStyle w:val="CETBodytext"/>
              <w:jc w:val="center"/>
              <w:rPr>
                <w:sz w:val="15"/>
                <w:szCs w:val="15"/>
              </w:rPr>
            </w:pPr>
            <w:r w:rsidRPr="00BD3F93">
              <w:rPr>
                <w:sz w:val="15"/>
                <w:szCs w:val="15"/>
              </w:rPr>
              <w:t>kg 1,4-DCB-Eq</w:t>
            </w:r>
          </w:p>
        </w:tc>
        <w:tc>
          <w:tcPr>
            <w:tcW w:w="706" w:type="dxa"/>
            <w:tcBorders>
              <w:top w:val="nil"/>
              <w:left w:val="nil"/>
              <w:bottom w:val="nil"/>
              <w:right w:val="nil"/>
            </w:tcBorders>
            <w:noWrap/>
            <w:vAlign w:val="center"/>
            <w:hideMark/>
          </w:tcPr>
          <w:p w14:paraId="2C5CC29E" w14:textId="77777777" w:rsidR="00AB22FE" w:rsidRPr="00BD3F93" w:rsidRDefault="00AB22FE" w:rsidP="00AB22FE">
            <w:pPr>
              <w:pStyle w:val="CETBodytext"/>
              <w:jc w:val="center"/>
              <w:rPr>
                <w:sz w:val="15"/>
                <w:szCs w:val="15"/>
              </w:rPr>
            </w:pPr>
            <w:r w:rsidRPr="00BD3F93">
              <w:rPr>
                <w:sz w:val="15"/>
                <w:szCs w:val="15"/>
              </w:rPr>
              <w:t>10.231</w:t>
            </w:r>
          </w:p>
        </w:tc>
        <w:tc>
          <w:tcPr>
            <w:tcW w:w="795" w:type="dxa"/>
            <w:tcBorders>
              <w:top w:val="nil"/>
              <w:left w:val="nil"/>
              <w:bottom w:val="nil"/>
              <w:right w:val="nil"/>
            </w:tcBorders>
            <w:noWrap/>
            <w:vAlign w:val="center"/>
            <w:hideMark/>
          </w:tcPr>
          <w:p w14:paraId="7DA3031B" w14:textId="77777777" w:rsidR="00AB22FE" w:rsidRPr="00BD3F93" w:rsidRDefault="00AB22FE" w:rsidP="00AB22FE">
            <w:pPr>
              <w:pStyle w:val="CETBodytext"/>
              <w:jc w:val="center"/>
              <w:rPr>
                <w:sz w:val="15"/>
                <w:szCs w:val="15"/>
              </w:rPr>
            </w:pPr>
            <w:r w:rsidRPr="00BD3F93">
              <w:rPr>
                <w:sz w:val="15"/>
                <w:szCs w:val="15"/>
              </w:rPr>
              <w:t>117.625</w:t>
            </w:r>
          </w:p>
        </w:tc>
        <w:tc>
          <w:tcPr>
            <w:tcW w:w="706" w:type="dxa"/>
            <w:tcBorders>
              <w:top w:val="nil"/>
              <w:left w:val="nil"/>
              <w:bottom w:val="nil"/>
              <w:right w:val="nil"/>
            </w:tcBorders>
            <w:noWrap/>
            <w:vAlign w:val="center"/>
            <w:hideMark/>
          </w:tcPr>
          <w:p w14:paraId="71BB2F99" w14:textId="3D55F312" w:rsidR="00AB22FE" w:rsidRPr="00BD3F93" w:rsidRDefault="00AB22FE" w:rsidP="00AB22FE">
            <w:pPr>
              <w:pStyle w:val="CETBodytext"/>
              <w:jc w:val="center"/>
              <w:rPr>
                <w:sz w:val="15"/>
                <w:szCs w:val="15"/>
              </w:rPr>
            </w:pPr>
            <w:r w:rsidRPr="00BD3F93">
              <w:rPr>
                <w:sz w:val="15"/>
                <w:szCs w:val="15"/>
              </w:rPr>
              <w:t>11.067</w:t>
            </w:r>
          </w:p>
        </w:tc>
        <w:tc>
          <w:tcPr>
            <w:tcW w:w="795" w:type="dxa"/>
            <w:tcBorders>
              <w:top w:val="nil"/>
              <w:left w:val="nil"/>
              <w:bottom w:val="nil"/>
              <w:right w:val="nil"/>
            </w:tcBorders>
            <w:noWrap/>
            <w:vAlign w:val="center"/>
            <w:hideMark/>
          </w:tcPr>
          <w:p w14:paraId="351DE61C" w14:textId="251EE7EF" w:rsidR="00AB22FE" w:rsidRPr="00BD3F93" w:rsidRDefault="00AB22FE" w:rsidP="00AB22FE">
            <w:pPr>
              <w:pStyle w:val="CETBodytext"/>
              <w:jc w:val="center"/>
              <w:rPr>
                <w:sz w:val="15"/>
                <w:szCs w:val="15"/>
              </w:rPr>
            </w:pPr>
            <w:r w:rsidRPr="00BD3F93">
              <w:rPr>
                <w:sz w:val="15"/>
                <w:szCs w:val="15"/>
              </w:rPr>
              <w:t>122.185</w:t>
            </w:r>
          </w:p>
        </w:tc>
        <w:tc>
          <w:tcPr>
            <w:tcW w:w="767" w:type="dxa"/>
            <w:tcBorders>
              <w:top w:val="nil"/>
              <w:left w:val="nil"/>
              <w:bottom w:val="nil"/>
              <w:right w:val="nil"/>
            </w:tcBorders>
            <w:noWrap/>
            <w:vAlign w:val="center"/>
            <w:hideMark/>
          </w:tcPr>
          <w:p w14:paraId="57119ECE" w14:textId="146A26D7" w:rsidR="00AB22FE" w:rsidRPr="00BD3F93" w:rsidRDefault="00AB22FE" w:rsidP="00AB22FE">
            <w:pPr>
              <w:pStyle w:val="CETBodytext"/>
              <w:jc w:val="center"/>
              <w:rPr>
                <w:sz w:val="15"/>
                <w:szCs w:val="15"/>
              </w:rPr>
            </w:pPr>
            <w:r w:rsidRPr="00BD3F93">
              <w:rPr>
                <w:sz w:val="15"/>
                <w:szCs w:val="15"/>
              </w:rPr>
              <w:t>10.765</w:t>
            </w:r>
          </w:p>
        </w:tc>
        <w:tc>
          <w:tcPr>
            <w:tcW w:w="867" w:type="dxa"/>
            <w:tcBorders>
              <w:top w:val="nil"/>
              <w:left w:val="nil"/>
              <w:bottom w:val="nil"/>
              <w:right w:val="nil"/>
            </w:tcBorders>
            <w:noWrap/>
            <w:vAlign w:val="center"/>
            <w:hideMark/>
          </w:tcPr>
          <w:p w14:paraId="5A062E7C" w14:textId="637D4927" w:rsidR="00AB22FE" w:rsidRPr="00BD3F93" w:rsidRDefault="00AB22FE" w:rsidP="00AB22FE">
            <w:pPr>
              <w:pStyle w:val="CETBodytext"/>
              <w:jc w:val="center"/>
              <w:rPr>
                <w:sz w:val="15"/>
                <w:szCs w:val="15"/>
              </w:rPr>
            </w:pPr>
            <w:r w:rsidRPr="00BD3F93">
              <w:rPr>
                <w:sz w:val="15"/>
                <w:szCs w:val="15"/>
              </w:rPr>
              <w:t>120.539</w:t>
            </w:r>
          </w:p>
        </w:tc>
        <w:tc>
          <w:tcPr>
            <w:tcW w:w="706" w:type="dxa"/>
            <w:tcBorders>
              <w:top w:val="nil"/>
              <w:left w:val="nil"/>
              <w:bottom w:val="nil"/>
              <w:right w:val="nil"/>
            </w:tcBorders>
            <w:noWrap/>
            <w:vAlign w:val="center"/>
            <w:hideMark/>
          </w:tcPr>
          <w:p w14:paraId="3A32293B" w14:textId="31CAB966" w:rsidR="00AB22FE" w:rsidRPr="00BD3F93" w:rsidRDefault="00AB22FE" w:rsidP="00AB22FE">
            <w:pPr>
              <w:pStyle w:val="CETBodytext"/>
              <w:jc w:val="center"/>
              <w:rPr>
                <w:sz w:val="15"/>
                <w:szCs w:val="15"/>
              </w:rPr>
            </w:pPr>
            <w:r w:rsidRPr="00BD3F93">
              <w:rPr>
                <w:sz w:val="15"/>
                <w:szCs w:val="15"/>
              </w:rPr>
              <w:t>15.635</w:t>
            </w:r>
          </w:p>
        </w:tc>
        <w:tc>
          <w:tcPr>
            <w:tcW w:w="848" w:type="dxa"/>
            <w:tcBorders>
              <w:top w:val="nil"/>
              <w:left w:val="nil"/>
              <w:bottom w:val="nil"/>
              <w:right w:val="nil"/>
            </w:tcBorders>
            <w:noWrap/>
            <w:vAlign w:val="center"/>
            <w:hideMark/>
          </w:tcPr>
          <w:p w14:paraId="3164A2A3" w14:textId="67EF437F" w:rsidR="00AB22FE" w:rsidRPr="00BD3F93" w:rsidRDefault="00AB22FE" w:rsidP="00AB22FE">
            <w:pPr>
              <w:pStyle w:val="CETBodytext"/>
              <w:jc w:val="center"/>
              <w:rPr>
                <w:sz w:val="15"/>
                <w:szCs w:val="15"/>
              </w:rPr>
            </w:pPr>
            <w:r w:rsidRPr="00BD3F93">
              <w:rPr>
                <w:sz w:val="15"/>
                <w:szCs w:val="15"/>
              </w:rPr>
              <w:t>147.122</w:t>
            </w:r>
          </w:p>
        </w:tc>
      </w:tr>
      <w:tr w:rsidR="00AB22FE" w:rsidRPr="00BD3F93" w14:paraId="3C20DFC8" w14:textId="77777777" w:rsidTr="00BD3F93">
        <w:trPr>
          <w:trHeight w:val="198"/>
          <w:jc w:val="center"/>
        </w:trPr>
        <w:tc>
          <w:tcPr>
            <w:tcW w:w="1530" w:type="dxa"/>
            <w:tcBorders>
              <w:top w:val="nil"/>
              <w:left w:val="nil"/>
              <w:bottom w:val="nil"/>
              <w:right w:val="nil"/>
            </w:tcBorders>
            <w:noWrap/>
            <w:vAlign w:val="center"/>
            <w:hideMark/>
          </w:tcPr>
          <w:p w14:paraId="705C77CB" w14:textId="0141ED89" w:rsidR="00AB22FE" w:rsidRPr="00BD3F93" w:rsidRDefault="00AB22FE" w:rsidP="00AB22FE">
            <w:pPr>
              <w:pStyle w:val="CETBodytext"/>
              <w:jc w:val="left"/>
              <w:rPr>
                <w:sz w:val="15"/>
                <w:szCs w:val="15"/>
              </w:rPr>
            </w:pPr>
            <w:r w:rsidRPr="00BD3F93">
              <w:rPr>
                <w:sz w:val="15"/>
                <w:szCs w:val="15"/>
              </w:rPr>
              <w:t>FFP</w:t>
            </w:r>
          </w:p>
        </w:tc>
        <w:tc>
          <w:tcPr>
            <w:tcW w:w="1460" w:type="dxa"/>
            <w:tcBorders>
              <w:top w:val="nil"/>
              <w:left w:val="nil"/>
              <w:bottom w:val="nil"/>
              <w:right w:val="nil"/>
            </w:tcBorders>
            <w:noWrap/>
            <w:vAlign w:val="center"/>
            <w:hideMark/>
          </w:tcPr>
          <w:p w14:paraId="266C8C93" w14:textId="77777777" w:rsidR="00AB22FE" w:rsidRPr="00BD3F93" w:rsidRDefault="00AB22FE" w:rsidP="00AB22FE">
            <w:pPr>
              <w:pStyle w:val="CETBodytext"/>
              <w:jc w:val="center"/>
              <w:rPr>
                <w:sz w:val="15"/>
                <w:szCs w:val="15"/>
              </w:rPr>
            </w:pPr>
            <w:r w:rsidRPr="00BD3F93">
              <w:rPr>
                <w:sz w:val="15"/>
                <w:szCs w:val="15"/>
              </w:rPr>
              <w:t>kg oil-Eq</w:t>
            </w:r>
          </w:p>
        </w:tc>
        <w:tc>
          <w:tcPr>
            <w:tcW w:w="706" w:type="dxa"/>
            <w:tcBorders>
              <w:top w:val="nil"/>
              <w:left w:val="nil"/>
              <w:bottom w:val="nil"/>
              <w:right w:val="nil"/>
            </w:tcBorders>
            <w:noWrap/>
            <w:vAlign w:val="center"/>
            <w:hideMark/>
          </w:tcPr>
          <w:p w14:paraId="2D59B78C" w14:textId="77777777" w:rsidR="00AB22FE" w:rsidRPr="00BD3F93" w:rsidRDefault="00AB22FE" w:rsidP="00AB22FE">
            <w:pPr>
              <w:pStyle w:val="CETBodytext"/>
              <w:jc w:val="center"/>
              <w:rPr>
                <w:sz w:val="15"/>
                <w:szCs w:val="15"/>
              </w:rPr>
            </w:pPr>
            <w:r w:rsidRPr="00BD3F93">
              <w:rPr>
                <w:sz w:val="15"/>
                <w:szCs w:val="15"/>
              </w:rPr>
              <w:t>1.695</w:t>
            </w:r>
          </w:p>
        </w:tc>
        <w:tc>
          <w:tcPr>
            <w:tcW w:w="795" w:type="dxa"/>
            <w:tcBorders>
              <w:top w:val="nil"/>
              <w:left w:val="nil"/>
              <w:bottom w:val="nil"/>
              <w:right w:val="nil"/>
            </w:tcBorders>
            <w:noWrap/>
            <w:vAlign w:val="center"/>
            <w:hideMark/>
          </w:tcPr>
          <w:p w14:paraId="65E34F06" w14:textId="77777777" w:rsidR="00AB22FE" w:rsidRPr="00BD3F93" w:rsidRDefault="00AB22FE" w:rsidP="00AB22FE">
            <w:pPr>
              <w:pStyle w:val="CETBodytext"/>
              <w:jc w:val="center"/>
              <w:rPr>
                <w:sz w:val="15"/>
                <w:szCs w:val="15"/>
              </w:rPr>
            </w:pPr>
            <w:r w:rsidRPr="00BD3F93">
              <w:rPr>
                <w:sz w:val="15"/>
                <w:szCs w:val="15"/>
              </w:rPr>
              <w:t>12.642</w:t>
            </w:r>
          </w:p>
        </w:tc>
        <w:tc>
          <w:tcPr>
            <w:tcW w:w="706" w:type="dxa"/>
            <w:tcBorders>
              <w:top w:val="nil"/>
              <w:left w:val="nil"/>
              <w:bottom w:val="nil"/>
              <w:right w:val="nil"/>
            </w:tcBorders>
            <w:noWrap/>
            <w:vAlign w:val="center"/>
            <w:hideMark/>
          </w:tcPr>
          <w:p w14:paraId="5C5B78DD" w14:textId="016608E3" w:rsidR="00AB22FE" w:rsidRPr="00BD3F93" w:rsidRDefault="00AB22FE" w:rsidP="00AB22FE">
            <w:pPr>
              <w:pStyle w:val="CETBodytext"/>
              <w:jc w:val="center"/>
              <w:rPr>
                <w:sz w:val="15"/>
                <w:szCs w:val="15"/>
              </w:rPr>
            </w:pPr>
            <w:r w:rsidRPr="00BD3F93">
              <w:rPr>
                <w:sz w:val="15"/>
                <w:szCs w:val="15"/>
              </w:rPr>
              <w:t>1.126</w:t>
            </w:r>
          </w:p>
        </w:tc>
        <w:tc>
          <w:tcPr>
            <w:tcW w:w="795" w:type="dxa"/>
            <w:tcBorders>
              <w:top w:val="nil"/>
              <w:left w:val="nil"/>
              <w:bottom w:val="nil"/>
              <w:right w:val="nil"/>
            </w:tcBorders>
            <w:noWrap/>
            <w:vAlign w:val="center"/>
            <w:hideMark/>
          </w:tcPr>
          <w:p w14:paraId="3C388E67" w14:textId="4D2A0B50" w:rsidR="00AB22FE" w:rsidRPr="00BD3F93" w:rsidRDefault="00AB22FE" w:rsidP="00AB22FE">
            <w:pPr>
              <w:pStyle w:val="CETBodytext"/>
              <w:jc w:val="center"/>
              <w:rPr>
                <w:sz w:val="15"/>
                <w:szCs w:val="15"/>
              </w:rPr>
            </w:pPr>
            <w:r w:rsidRPr="00BD3F93">
              <w:rPr>
                <w:sz w:val="15"/>
                <w:szCs w:val="15"/>
              </w:rPr>
              <w:t>9.532</w:t>
            </w:r>
          </w:p>
        </w:tc>
        <w:tc>
          <w:tcPr>
            <w:tcW w:w="767" w:type="dxa"/>
            <w:tcBorders>
              <w:top w:val="nil"/>
              <w:left w:val="nil"/>
              <w:bottom w:val="nil"/>
              <w:right w:val="nil"/>
            </w:tcBorders>
            <w:noWrap/>
            <w:vAlign w:val="center"/>
            <w:hideMark/>
          </w:tcPr>
          <w:p w14:paraId="60BBD045" w14:textId="4FC57D01" w:rsidR="00AB22FE" w:rsidRPr="00BD3F93" w:rsidRDefault="00AB22FE" w:rsidP="00AB22FE">
            <w:pPr>
              <w:pStyle w:val="CETBodytext"/>
              <w:jc w:val="center"/>
              <w:rPr>
                <w:sz w:val="15"/>
                <w:szCs w:val="15"/>
              </w:rPr>
            </w:pPr>
            <w:r w:rsidRPr="00BD3F93">
              <w:rPr>
                <w:sz w:val="15"/>
                <w:szCs w:val="15"/>
              </w:rPr>
              <w:t>0.535</w:t>
            </w:r>
          </w:p>
        </w:tc>
        <w:tc>
          <w:tcPr>
            <w:tcW w:w="867" w:type="dxa"/>
            <w:tcBorders>
              <w:top w:val="nil"/>
              <w:left w:val="nil"/>
              <w:bottom w:val="nil"/>
              <w:right w:val="nil"/>
            </w:tcBorders>
            <w:noWrap/>
            <w:vAlign w:val="center"/>
            <w:hideMark/>
          </w:tcPr>
          <w:p w14:paraId="2031D284" w14:textId="0E202D56" w:rsidR="00AB22FE" w:rsidRPr="00BD3F93" w:rsidRDefault="00AB22FE" w:rsidP="00AB22FE">
            <w:pPr>
              <w:pStyle w:val="CETBodytext"/>
              <w:jc w:val="center"/>
              <w:rPr>
                <w:sz w:val="15"/>
                <w:szCs w:val="15"/>
              </w:rPr>
            </w:pPr>
            <w:r w:rsidRPr="00BD3F93">
              <w:rPr>
                <w:sz w:val="15"/>
                <w:szCs w:val="15"/>
              </w:rPr>
              <w:t>6.308</w:t>
            </w:r>
          </w:p>
        </w:tc>
        <w:tc>
          <w:tcPr>
            <w:tcW w:w="706" w:type="dxa"/>
            <w:tcBorders>
              <w:top w:val="nil"/>
              <w:left w:val="nil"/>
              <w:bottom w:val="nil"/>
              <w:right w:val="nil"/>
            </w:tcBorders>
            <w:noWrap/>
            <w:vAlign w:val="center"/>
            <w:hideMark/>
          </w:tcPr>
          <w:p w14:paraId="3265D790" w14:textId="6EECB011" w:rsidR="00AB22FE" w:rsidRPr="00BD3F93" w:rsidRDefault="00AB22FE" w:rsidP="00AB22FE">
            <w:pPr>
              <w:pStyle w:val="CETBodytext"/>
              <w:jc w:val="center"/>
              <w:rPr>
                <w:sz w:val="15"/>
                <w:szCs w:val="15"/>
              </w:rPr>
            </w:pPr>
            <w:r w:rsidRPr="00BD3F93">
              <w:rPr>
                <w:sz w:val="15"/>
                <w:szCs w:val="15"/>
              </w:rPr>
              <w:t>0.255</w:t>
            </w:r>
          </w:p>
        </w:tc>
        <w:tc>
          <w:tcPr>
            <w:tcW w:w="848" w:type="dxa"/>
            <w:tcBorders>
              <w:top w:val="nil"/>
              <w:left w:val="nil"/>
              <w:bottom w:val="nil"/>
              <w:right w:val="nil"/>
            </w:tcBorders>
            <w:noWrap/>
            <w:vAlign w:val="center"/>
            <w:hideMark/>
          </w:tcPr>
          <w:p w14:paraId="080B7F57" w14:textId="608C723C" w:rsidR="00AB22FE" w:rsidRPr="00BD3F93" w:rsidRDefault="00AB22FE" w:rsidP="00AB22FE">
            <w:pPr>
              <w:pStyle w:val="CETBodytext"/>
              <w:jc w:val="center"/>
              <w:rPr>
                <w:sz w:val="15"/>
                <w:szCs w:val="15"/>
              </w:rPr>
            </w:pPr>
            <w:r w:rsidRPr="00BD3F93">
              <w:rPr>
                <w:sz w:val="15"/>
                <w:szCs w:val="15"/>
              </w:rPr>
              <w:t>4.780</w:t>
            </w:r>
          </w:p>
        </w:tc>
      </w:tr>
      <w:tr w:rsidR="00AB22FE" w:rsidRPr="00BD3F93" w14:paraId="4BFF301E" w14:textId="77777777" w:rsidTr="00BD3F93">
        <w:trPr>
          <w:trHeight w:val="198"/>
          <w:jc w:val="center"/>
        </w:trPr>
        <w:tc>
          <w:tcPr>
            <w:tcW w:w="1530" w:type="dxa"/>
            <w:tcBorders>
              <w:top w:val="nil"/>
              <w:left w:val="nil"/>
              <w:bottom w:val="nil"/>
              <w:right w:val="nil"/>
            </w:tcBorders>
            <w:noWrap/>
            <w:vAlign w:val="center"/>
            <w:hideMark/>
          </w:tcPr>
          <w:p w14:paraId="5435D7D1" w14:textId="31C0DD02" w:rsidR="00AB22FE" w:rsidRPr="00BD3F93" w:rsidRDefault="00AB22FE" w:rsidP="00AB22FE">
            <w:pPr>
              <w:pStyle w:val="CETBodytext"/>
              <w:jc w:val="left"/>
              <w:rPr>
                <w:sz w:val="15"/>
                <w:szCs w:val="15"/>
              </w:rPr>
            </w:pPr>
            <w:r w:rsidRPr="00BD3F93">
              <w:rPr>
                <w:sz w:val="15"/>
                <w:szCs w:val="15"/>
              </w:rPr>
              <w:t>HTPc</w:t>
            </w:r>
          </w:p>
        </w:tc>
        <w:tc>
          <w:tcPr>
            <w:tcW w:w="1460" w:type="dxa"/>
            <w:tcBorders>
              <w:top w:val="nil"/>
              <w:left w:val="nil"/>
              <w:bottom w:val="nil"/>
              <w:right w:val="nil"/>
            </w:tcBorders>
            <w:noWrap/>
            <w:vAlign w:val="center"/>
            <w:hideMark/>
          </w:tcPr>
          <w:p w14:paraId="30A556CD" w14:textId="77777777" w:rsidR="00AB22FE" w:rsidRPr="00BD3F93" w:rsidRDefault="00AB22FE" w:rsidP="00AB22FE">
            <w:pPr>
              <w:pStyle w:val="CETBodytext"/>
              <w:jc w:val="center"/>
              <w:rPr>
                <w:sz w:val="15"/>
                <w:szCs w:val="15"/>
              </w:rPr>
            </w:pPr>
            <w:r w:rsidRPr="00BD3F93">
              <w:rPr>
                <w:sz w:val="15"/>
                <w:szCs w:val="15"/>
              </w:rPr>
              <w:t>kg 1,4-DCB-Eq</w:t>
            </w:r>
          </w:p>
        </w:tc>
        <w:tc>
          <w:tcPr>
            <w:tcW w:w="706" w:type="dxa"/>
            <w:tcBorders>
              <w:top w:val="nil"/>
              <w:left w:val="nil"/>
              <w:bottom w:val="nil"/>
              <w:right w:val="nil"/>
            </w:tcBorders>
            <w:noWrap/>
            <w:vAlign w:val="center"/>
            <w:hideMark/>
          </w:tcPr>
          <w:p w14:paraId="51FFC333" w14:textId="77777777" w:rsidR="00AB22FE" w:rsidRPr="00BD3F93" w:rsidRDefault="00AB22FE" w:rsidP="00AB22FE">
            <w:pPr>
              <w:pStyle w:val="CETBodytext"/>
              <w:jc w:val="center"/>
              <w:rPr>
                <w:sz w:val="15"/>
                <w:szCs w:val="15"/>
              </w:rPr>
            </w:pPr>
            <w:r w:rsidRPr="00BD3F93">
              <w:rPr>
                <w:sz w:val="15"/>
                <w:szCs w:val="15"/>
              </w:rPr>
              <w:t>0.515</w:t>
            </w:r>
          </w:p>
        </w:tc>
        <w:tc>
          <w:tcPr>
            <w:tcW w:w="795" w:type="dxa"/>
            <w:tcBorders>
              <w:top w:val="nil"/>
              <w:left w:val="nil"/>
              <w:bottom w:val="nil"/>
              <w:right w:val="nil"/>
            </w:tcBorders>
            <w:noWrap/>
            <w:vAlign w:val="center"/>
            <w:hideMark/>
          </w:tcPr>
          <w:p w14:paraId="5BF0555D" w14:textId="77777777" w:rsidR="00AB22FE" w:rsidRPr="00BD3F93" w:rsidRDefault="00AB22FE" w:rsidP="00AB22FE">
            <w:pPr>
              <w:pStyle w:val="CETBodytext"/>
              <w:jc w:val="center"/>
              <w:rPr>
                <w:sz w:val="15"/>
                <w:szCs w:val="15"/>
              </w:rPr>
            </w:pPr>
            <w:r w:rsidRPr="00BD3F93">
              <w:rPr>
                <w:sz w:val="15"/>
                <w:szCs w:val="15"/>
              </w:rPr>
              <w:t>6.995</w:t>
            </w:r>
          </w:p>
        </w:tc>
        <w:tc>
          <w:tcPr>
            <w:tcW w:w="706" w:type="dxa"/>
            <w:tcBorders>
              <w:top w:val="nil"/>
              <w:left w:val="nil"/>
              <w:bottom w:val="nil"/>
              <w:right w:val="nil"/>
            </w:tcBorders>
            <w:noWrap/>
            <w:vAlign w:val="center"/>
            <w:hideMark/>
          </w:tcPr>
          <w:p w14:paraId="2E07C8D2" w14:textId="78D5A82E" w:rsidR="00AB22FE" w:rsidRPr="00BD3F93" w:rsidRDefault="00AB22FE" w:rsidP="00AB22FE">
            <w:pPr>
              <w:pStyle w:val="CETBodytext"/>
              <w:jc w:val="center"/>
              <w:rPr>
                <w:sz w:val="15"/>
                <w:szCs w:val="15"/>
              </w:rPr>
            </w:pPr>
            <w:r w:rsidRPr="00BD3F93">
              <w:rPr>
                <w:sz w:val="15"/>
                <w:szCs w:val="15"/>
              </w:rPr>
              <w:t>0.302</w:t>
            </w:r>
          </w:p>
        </w:tc>
        <w:tc>
          <w:tcPr>
            <w:tcW w:w="795" w:type="dxa"/>
            <w:tcBorders>
              <w:top w:val="nil"/>
              <w:left w:val="nil"/>
              <w:bottom w:val="nil"/>
              <w:right w:val="nil"/>
            </w:tcBorders>
            <w:noWrap/>
            <w:vAlign w:val="center"/>
            <w:hideMark/>
          </w:tcPr>
          <w:p w14:paraId="7BAFF9AD" w14:textId="5A133E71" w:rsidR="00AB22FE" w:rsidRPr="00BD3F93" w:rsidRDefault="00AB22FE" w:rsidP="00AB22FE">
            <w:pPr>
              <w:pStyle w:val="CETBodytext"/>
              <w:jc w:val="center"/>
              <w:rPr>
                <w:sz w:val="15"/>
                <w:szCs w:val="15"/>
              </w:rPr>
            </w:pPr>
            <w:r w:rsidRPr="00BD3F93">
              <w:rPr>
                <w:sz w:val="15"/>
                <w:szCs w:val="15"/>
              </w:rPr>
              <w:t>5.836</w:t>
            </w:r>
          </w:p>
        </w:tc>
        <w:tc>
          <w:tcPr>
            <w:tcW w:w="767" w:type="dxa"/>
            <w:tcBorders>
              <w:top w:val="nil"/>
              <w:left w:val="nil"/>
              <w:bottom w:val="nil"/>
              <w:right w:val="nil"/>
            </w:tcBorders>
            <w:noWrap/>
            <w:vAlign w:val="center"/>
            <w:hideMark/>
          </w:tcPr>
          <w:p w14:paraId="290A5670" w14:textId="29D8672A" w:rsidR="00AB22FE" w:rsidRPr="00BD3F93" w:rsidRDefault="00AB22FE" w:rsidP="00AB22FE">
            <w:pPr>
              <w:pStyle w:val="CETBodytext"/>
              <w:jc w:val="center"/>
              <w:rPr>
                <w:sz w:val="15"/>
                <w:szCs w:val="15"/>
              </w:rPr>
            </w:pPr>
            <w:r w:rsidRPr="00BD3F93">
              <w:rPr>
                <w:sz w:val="15"/>
                <w:szCs w:val="15"/>
              </w:rPr>
              <w:t>0.172</w:t>
            </w:r>
          </w:p>
        </w:tc>
        <w:tc>
          <w:tcPr>
            <w:tcW w:w="867" w:type="dxa"/>
            <w:tcBorders>
              <w:top w:val="nil"/>
              <w:left w:val="nil"/>
              <w:bottom w:val="nil"/>
              <w:right w:val="nil"/>
            </w:tcBorders>
            <w:noWrap/>
            <w:vAlign w:val="center"/>
            <w:hideMark/>
          </w:tcPr>
          <w:p w14:paraId="0CA2D272" w14:textId="4062C1A9" w:rsidR="00AB22FE" w:rsidRPr="00BD3F93" w:rsidRDefault="00AB22FE" w:rsidP="00AB22FE">
            <w:pPr>
              <w:pStyle w:val="CETBodytext"/>
              <w:jc w:val="center"/>
              <w:rPr>
                <w:sz w:val="15"/>
                <w:szCs w:val="15"/>
              </w:rPr>
            </w:pPr>
            <w:r w:rsidRPr="00BD3F93">
              <w:rPr>
                <w:sz w:val="15"/>
                <w:szCs w:val="15"/>
              </w:rPr>
              <w:t>5.125</w:t>
            </w:r>
          </w:p>
        </w:tc>
        <w:tc>
          <w:tcPr>
            <w:tcW w:w="706" w:type="dxa"/>
            <w:tcBorders>
              <w:top w:val="nil"/>
              <w:left w:val="nil"/>
              <w:bottom w:val="nil"/>
              <w:right w:val="nil"/>
            </w:tcBorders>
            <w:noWrap/>
            <w:vAlign w:val="center"/>
            <w:hideMark/>
          </w:tcPr>
          <w:p w14:paraId="5D700507" w14:textId="3C487D92" w:rsidR="00AB22FE" w:rsidRPr="00BD3F93" w:rsidRDefault="00AB22FE" w:rsidP="00AB22FE">
            <w:pPr>
              <w:pStyle w:val="CETBodytext"/>
              <w:jc w:val="center"/>
              <w:rPr>
                <w:sz w:val="15"/>
                <w:szCs w:val="15"/>
              </w:rPr>
            </w:pPr>
            <w:r w:rsidRPr="00BD3F93">
              <w:rPr>
                <w:sz w:val="15"/>
                <w:szCs w:val="15"/>
              </w:rPr>
              <w:t>0.197</w:t>
            </w:r>
          </w:p>
        </w:tc>
        <w:tc>
          <w:tcPr>
            <w:tcW w:w="848" w:type="dxa"/>
            <w:tcBorders>
              <w:top w:val="nil"/>
              <w:left w:val="nil"/>
              <w:bottom w:val="nil"/>
              <w:right w:val="nil"/>
            </w:tcBorders>
            <w:noWrap/>
            <w:vAlign w:val="center"/>
            <w:hideMark/>
          </w:tcPr>
          <w:p w14:paraId="2D7DBE6D" w14:textId="3711C926" w:rsidR="00AB22FE" w:rsidRPr="00BD3F93" w:rsidRDefault="00AB22FE" w:rsidP="00AB22FE">
            <w:pPr>
              <w:pStyle w:val="CETBodytext"/>
              <w:jc w:val="center"/>
              <w:rPr>
                <w:sz w:val="15"/>
                <w:szCs w:val="15"/>
              </w:rPr>
            </w:pPr>
            <w:r w:rsidRPr="00BD3F93">
              <w:rPr>
                <w:sz w:val="15"/>
                <w:szCs w:val="15"/>
              </w:rPr>
              <w:t>5.259</w:t>
            </w:r>
          </w:p>
        </w:tc>
      </w:tr>
      <w:tr w:rsidR="00AB22FE" w:rsidRPr="00BD3F93" w14:paraId="7F6D6EE1" w14:textId="77777777" w:rsidTr="00BD3F93">
        <w:trPr>
          <w:trHeight w:val="189"/>
          <w:jc w:val="center"/>
        </w:trPr>
        <w:tc>
          <w:tcPr>
            <w:tcW w:w="1530" w:type="dxa"/>
            <w:tcBorders>
              <w:top w:val="nil"/>
              <w:left w:val="nil"/>
              <w:bottom w:val="nil"/>
              <w:right w:val="nil"/>
            </w:tcBorders>
            <w:noWrap/>
            <w:vAlign w:val="center"/>
            <w:hideMark/>
          </w:tcPr>
          <w:p w14:paraId="17E5C48B" w14:textId="21907A5B" w:rsidR="00AB22FE" w:rsidRPr="00BD3F93" w:rsidRDefault="00AB22FE" w:rsidP="00AB22FE">
            <w:pPr>
              <w:pStyle w:val="CETBodytext"/>
              <w:jc w:val="left"/>
              <w:rPr>
                <w:sz w:val="15"/>
                <w:szCs w:val="15"/>
              </w:rPr>
            </w:pPr>
            <w:bookmarkStart w:id="5" w:name="_Hlk163685555"/>
            <w:r w:rsidRPr="00BD3F93">
              <w:rPr>
                <w:sz w:val="15"/>
                <w:szCs w:val="15"/>
              </w:rPr>
              <w:t>HTPnc</w:t>
            </w:r>
            <w:bookmarkEnd w:id="5"/>
          </w:p>
        </w:tc>
        <w:tc>
          <w:tcPr>
            <w:tcW w:w="1460" w:type="dxa"/>
            <w:tcBorders>
              <w:top w:val="nil"/>
              <w:left w:val="nil"/>
              <w:bottom w:val="nil"/>
              <w:right w:val="nil"/>
            </w:tcBorders>
            <w:noWrap/>
            <w:vAlign w:val="center"/>
            <w:hideMark/>
          </w:tcPr>
          <w:p w14:paraId="64B1D393" w14:textId="77777777" w:rsidR="00AB22FE" w:rsidRPr="00BD3F93" w:rsidRDefault="00AB22FE" w:rsidP="00AB22FE">
            <w:pPr>
              <w:pStyle w:val="CETBodytext"/>
              <w:jc w:val="center"/>
              <w:rPr>
                <w:sz w:val="15"/>
                <w:szCs w:val="15"/>
              </w:rPr>
            </w:pPr>
            <w:r w:rsidRPr="00BD3F93">
              <w:rPr>
                <w:sz w:val="15"/>
                <w:szCs w:val="15"/>
              </w:rPr>
              <w:t>kg 1,4-DCB-Eq</w:t>
            </w:r>
          </w:p>
        </w:tc>
        <w:tc>
          <w:tcPr>
            <w:tcW w:w="706" w:type="dxa"/>
            <w:tcBorders>
              <w:top w:val="nil"/>
              <w:left w:val="nil"/>
              <w:bottom w:val="nil"/>
              <w:right w:val="nil"/>
            </w:tcBorders>
            <w:noWrap/>
            <w:vAlign w:val="center"/>
            <w:hideMark/>
          </w:tcPr>
          <w:p w14:paraId="150E8865" w14:textId="77777777" w:rsidR="00AB22FE" w:rsidRPr="00BD3F93" w:rsidRDefault="00AB22FE" w:rsidP="00AB22FE">
            <w:pPr>
              <w:pStyle w:val="CETBodytext"/>
              <w:jc w:val="center"/>
              <w:rPr>
                <w:sz w:val="15"/>
                <w:szCs w:val="15"/>
              </w:rPr>
            </w:pPr>
            <w:r w:rsidRPr="00BD3F93">
              <w:rPr>
                <w:sz w:val="15"/>
                <w:szCs w:val="15"/>
              </w:rPr>
              <w:t>14.892</w:t>
            </w:r>
          </w:p>
        </w:tc>
        <w:tc>
          <w:tcPr>
            <w:tcW w:w="795" w:type="dxa"/>
            <w:tcBorders>
              <w:top w:val="nil"/>
              <w:left w:val="nil"/>
              <w:bottom w:val="nil"/>
              <w:right w:val="nil"/>
            </w:tcBorders>
            <w:noWrap/>
            <w:vAlign w:val="center"/>
            <w:hideMark/>
          </w:tcPr>
          <w:p w14:paraId="699343EF" w14:textId="77777777" w:rsidR="00AB22FE" w:rsidRPr="00BD3F93" w:rsidRDefault="00AB22FE" w:rsidP="00AB22FE">
            <w:pPr>
              <w:pStyle w:val="CETBodytext"/>
              <w:jc w:val="center"/>
              <w:rPr>
                <w:sz w:val="15"/>
                <w:szCs w:val="15"/>
              </w:rPr>
            </w:pPr>
            <w:r w:rsidRPr="00BD3F93">
              <w:rPr>
                <w:sz w:val="15"/>
                <w:szCs w:val="15"/>
              </w:rPr>
              <w:t>133.629</w:t>
            </w:r>
          </w:p>
        </w:tc>
        <w:tc>
          <w:tcPr>
            <w:tcW w:w="706" w:type="dxa"/>
            <w:tcBorders>
              <w:top w:val="nil"/>
              <w:left w:val="nil"/>
              <w:bottom w:val="nil"/>
              <w:right w:val="nil"/>
            </w:tcBorders>
            <w:noWrap/>
            <w:vAlign w:val="center"/>
            <w:hideMark/>
          </w:tcPr>
          <w:p w14:paraId="51A21F56" w14:textId="10BD7090" w:rsidR="00AB22FE" w:rsidRPr="00BD3F93" w:rsidRDefault="00AB22FE" w:rsidP="00AB22FE">
            <w:pPr>
              <w:pStyle w:val="CETBodytext"/>
              <w:jc w:val="center"/>
              <w:rPr>
                <w:sz w:val="15"/>
                <w:szCs w:val="15"/>
              </w:rPr>
            </w:pPr>
            <w:r w:rsidRPr="00BD3F93">
              <w:rPr>
                <w:sz w:val="15"/>
                <w:szCs w:val="15"/>
              </w:rPr>
              <w:t>10.171</w:t>
            </w:r>
          </w:p>
        </w:tc>
        <w:tc>
          <w:tcPr>
            <w:tcW w:w="795" w:type="dxa"/>
            <w:tcBorders>
              <w:top w:val="nil"/>
              <w:left w:val="nil"/>
              <w:bottom w:val="nil"/>
              <w:right w:val="nil"/>
            </w:tcBorders>
            <w:noWrap/>
            <w:vAlign w:val="center"/>
            <w:hideMark/>
          </w:tcPr>
          <w:p w14:paraId="5398F537" w14:textId="1FC09919" w:rsidR="00AB22FE" w:rsidRPr="00BD3F93" w:rsidRDefault="00AB22FE" w:rsidP="00AB22FE">
            <w:pPr>
              <w:pStyle w:val="CETBodytext"/>
              <w:jc w:val="center"/>
              <w:rPr>
                <w:sz w:val="15"/>
                <w:szCs w:val="15"/>
              </w:rPr>
            </w:pPr>
            <w:r w:rsidRPr="00BD3F93">
              <w:rPr>
                <w:sz w:val="15"/>
                <w:szCs w:val="15"/>
              </w:rPr>
              <w:t>107.859</w:t>
            </w:r>
          </w:p>
        </w:tc>
        <w:tc>
          <w:tcPr>
            <w:tcW w:w="767" w:type="dxa"/>
            <w:tcBorders>
              <w:top w:val="nil"/>
              <w:left w:val="nil"/>
              <w:bottom w:val="nil"/>
              <w:right w:val="nil"/>
            </w:tcBorders>
            <w:noWrap/>
            <w:vAlign w:val="center"/>
            <w:hideMark/>
          </w:tcPr>
          <w:p w14:paraId="2E042A0E" w14:textId="162D428B" w:rsidR="00AB22FE" w:rsidRPr="00BD3F93" w:rsidRDefault="00AB22FE" w:rsidP="00AB22FE">
            <w:pPr>
              <w:pStyle w:val="CETBodytext"/>
              <w:jc w:val="center"/>
              <w:rPr>
                <w:sz w:val="15"/>
                <w:szCs w:val="15"/>
              </w:rPr>
            </w:pPr>
            <w:r w:rsidRPr="00BD3F93">
              <w:rPr>
                <w:sz w:val="15"/>
                <w:szCs w:val="15"/>
              </w:rPr>
              <w:t>7.623</w:t>
            </w:r>
          </w:p>
        </w:tc>
        <w:tc>
          <w:tcPr>
            <w:tcW w:w="867" w:type="dxa"/>
            <w:tcBorders>
              <w:top w:val="nil"/>
              <w:left w:val="nil"/>
              <w:bottom w:val="nil"/>
              <w:right w:val="nil"/>
            </w:tcBorders>
            <w:noWrap/>
            <w:vAlign w:val="center"/>
            <w:hideMark/>
          </w:tcPr>
          <w:p w14:paraId="70CE2437" w14:textId="02A43403" w:rsidR="00AB22FE" w:rsidRPr="00BD3F93" w:rsidRDefault="00AB22FE" w:rsidP="00AB22FE">
            <w:pPr>
              <w:pStyle w:val="CETBodytext"/>
              <w:jc w:val="center"/>
              <w:rPr>
                <w:sz w:val="15"/>
                <w:szCs w:val="15"/>
              </w:rPr>
            </w:pPr>
            <w:r w:rsidRPr="00BD3F93">
              <w:rPr>
                <w:sz w:val="15"/>
                <w:szCs w:val="15"/>
              </w:rPr>
              <w:t>93.950</w:t>
            </w:r>
          </w:p>
        </w:tc>
        <w:tc>
          <w:tcPr>
            <w:tcW w:w="706" w:type="dxa"/>
            <w:tcBorders>
              <w:top w:val="nil"/>
              <w:left w:val="nil"/>
              <w:bottom w:val="nil"/>
              <w:right w:val="nil"/>
            </w:tcBorders>
            <w:noWrap/>
            <w:vAlign w:val="center"/>
            <w:hideMark/>
          </w:tcPr>
          <w:p w14:paraId="2F50369C" w14:textId="05E00721" w:rsidR="00AB22FE" w:rsidRPr="00BD3F93" w:rsidRDefault="00AB22FE" w:rsidP="00AB22FE">
            <w:pPr>
              <w:pStyle w:val="CETBodytext"/>
              <w:jc w:val="center"/>
              <w:rPr>
                <w:sz w:val="15"/>
                <w:szCs w:val="15"/>
              </w:rPr>
            </w:pPr>
            <w:r w:rsidRPr="00BD3F93">
              <w:rPr>
                <w:sz w:val="15"/>
                <w:szCs w:val="15"/>
              </w:rPr>
              <w:t>8.065</w:t>
            </w:r>
          </w:p>
        </w:tc>
        <w:tc>
          <w:tcPr>
            <w:tcW w:w="848" w:type="dxa"/>
            <w:tcBorders>
              <w:top w:val="nil"/>
              <w:left w:val="nil"/>
              <w:bottom w:val="nil"/>
              <w:right w:val="nil"/>
            </w:tcBorders>
            <w:noWrap/>
            <w:vAlign w:val="center"/>
            <w:hideMark/>
          </w:tcPr>
          <w:p w14:paraId="334BD66A" w14:textId="477E14C7" w:rsidR="00AB22FE" w:rsidRPr="00BD3F93" w:rsidRDefault="00AB22FE" w:rsidP="00AB22FE">
            <w:pPr>
              <w:pStyle w:val="CETBodytext"/>
              <w:jc w:val="center"/>
              <w:rPr>
                <w:sz w:val="15"/>
                <w:szCs w:val="15"/>
              </w:rPr>
            </w:pPr>
            <w:r w:rsidRPr="00BD3F93">
              <w:rPr>
                <w:sz w:val="15"/>
                <w:szCs w:val="15"/>
              </w:rPr>
              <w:t>96.364</w:t>
            </w:r>
          </w:p>
        </w:tc>
      </w:tr>
      <w:tr w:rsidR="00AB22FE" w:rsidRPr="00BD3F93" w14:paraId="5D216FD9" w14:textId="77777777" w:rsidTr="00C20C15">
        <w:trPr>
          <w:trHeight w:val="207"/>
          <w:jc w:val="center"/>
        </w:trPr>
        <w:tc>
          <w:tcPr>
            <w:tcW w:w="1530" w:type="dxa"/>
            <w:tcBorders>
              <w:top w:val="nil"/>
              <w:left w:val="nil"/>
              <w:bottom w:val="nil"/>
              <w:right w:val="nil"/>
            </w:tcBorders>
            <w:noWrap/>
            <w:vAlign w:val="center"/>
            <w:hideMark/>
          </w:tcPr>
          <w:p w14:paraId="2443ADCB" w14:textId="019CFA8A" w:rsidR="00AB22FE" w:rsidRPr="00BD3F93" w:rsidRDefault="00AB22FE" w:rsidP="00AB22FE">
            <w:pPr>
              <w:pStyle w:val="CETBodytext"/>
              <w:jc w:val="left"/>
              <w:rPr>
                <w:sz w:val="15"/>
                <w:szCs w:val="15"/>
              </w:rPr>
            </w:pPr>
            <w:r w:rsidRPr="00BD3F93">
              <w:rPr>
                <w:sz w:val="15"/>
                <w:szCs w:val="15"/>
              </w:rPr>
              <w:t>LOP</w:t>
            </w:r>
          </w:p>
        </w:tc>
        <w:tc>
          <w:tcPr>
            <w:tcW w:w="1460" w:type="dxa"/>
            <w:tcBorders>
              <w:top w:val="nil"/>
              <w:left w:val="nil"/>
              <w:bottom w:val="nil"/>
              <w:right w:val="nil"/>
            </w:tcBorders>
            <w:noWrap/>
            <w:vAlign w:val="center"/>
            <w:hideMark/>
          </w:tcPr>
          <w:p w14:paraId="536F088E" w14:textId="77777777" w:rsidR="00AB22FE" w:rsidRPr="00BD3F93" w:rsidRDefault="00AB22FE" w:rsidP="00AB22FE">
            <w:pPr>
              <w:pStyle w:val="CETBodytext"/>
              <w:jc w:val="center"/>
              <w:rPr>
                <w:sz w:val="15"/>
                <w:szCs w:val="15"/>
              </w:rPr>
            </w:pPr>
            <w:r w:rsidRPr="00BD3F93">
              <w:rPr>
                <w:sz w:val="15"/>
                <w:szCs w:val="15"/>
              </w:rPr>
              <w:t>m</w:t>
            </w:r>
            <w:r w:rsidRPr="00BD3F93">
              <w:rPr>
                <w:sz w:val="15"/>
                <w:szCs w:val="15"/>
                <w:vertAlign w:val="superscript"/>
              </w:rPr>
              <w:t>2</w:t>
            </w:r>
            <w:r w:rsidRPr="00BD3F93">
              <w:rPr>
                <w:sz w:val="15"/>
                <w:szCs w:val="15"/>
              </w:rPr>
              <w:t>*a crop-Eq</w:t>
            </w:r>
          </w:p>
        </w:tc>
        <w:tc>
          <w:tcPr>
            <w:tcW w:w="706" w:type="dxa"/>
            <w:tcBorders>
              <w:top w:val="nil"/>
              <w:left w:val="nil"/>
              <w:bottom w:val="nil"/>
              <w:right w:val="nil"/>
            </w:tcBorders>
            <w:noWrap/>
            <w:vAlign w:val="center"/>
            <w:hideMark/>
          </w:tcPr>
          <w:p w14:paraId="65A8182F" w14:textId="77777777" w:rsidR="00AB22FE" w:rsidRPr="00BD3F93" w:rsidRDefault="00AB22FE" w:rsidP="00AB22FE">
            <w:pPr>
              <w:pStyle w:val="CETBodytext"/>
              <w:jc w:val="center"/>
              <w:rPr>
                <w:sz w:val="15"/>
                <w:szCs w:val="15"/>
              </w:rPr>
            </w:pPr>
            <w:r w:rsidRPr="00BD3F93">
              <w:rPr>
                <w:sz w:val="15"/>
                <w:szCs w:val="15"/>
              </w:rPr>
              <w:t>0.124</w:t>
            </w:r>
          </w:p>
        </w:tc>
        <w:tc>
          <w:tcPr>
            <w:tcW w:w="795" w:type="dxa"/>
            <w:tcBorders>
              <w:top w:val="nil"/>
              <w:left w:val="nil"/>
              <w:bottom w:val="nil"/>
              <w:right w:val="nil"/>
            </w:tcBorders>
            <w:noWrap/>
            <w:vAlign w:val="center"/>
            <w:hideMark/>
          </w:tcPr>
          <w:p w14:paraId="7CB4B2CA" w14:textId="77777777" w:rsidR="00AB22FE" w:rsidRPr="00BD3F93" w:rsidRDefault="00AB22FE" w:rsidP="00AB22FE">
            <w:pPr>
              <w:pStyle w:val="CETBodytext"/>
              <w:jc w:val="center"/>
              <w:rPr>
                <w:sz w:val="15"/>
                <w:szCs w:val="15"/>
              </w:rPr>
            </w:pPr>
            <w:r w:rsidRPr="00BD3F93">
              <w:rPr>
                <w:sz w:val="15"/>
                <w:szCs w:val="15"/>
              </w:rPr>
              <w:t>0.999</w:t>
            </w:r>
          </w:p>
        </w:tc>
        <w:tc>
          <w:tcPr>
            <w:tcW w:w="706" w:type="dxa"/>
            <w:tcBorders>
              <w:top w:val="nil"/>
              <w:left w:val="nil"/>
              <w:bottom w:val="nil"/>
              <w:right w:val="nil"/>
            </w:tcBorders>
            <w:noWrap/>
            <w:vAlign w:val="center"/>
            <w:hideMark/>
          </w:tcPr>
          <w:p w14:paraId="3B3BE8EB" w14:textId="28AD59AE" w:rsidR="00AB22FE" w:rsidRPr="00BD3F93" w:rsidRDefault="00AB22FE" w:rsidP="00AB22FE">
            <w:pPr>
              <w:pStyle w:val="CETBodytext"/>
              <w:jc w:val="center"/>
              <w:rPr>
                <w:sz w:val="15"/>
                <w:szCs w:val="15"/>
              </w:rPr>
            </w:pPr>
            <w:r w:rsidRPr="00BD3F93">
              <w:rPr>
                <w:sz w:val="15"/>
                <w:szCs w:val="15"/>
              </w:rPr>
              <w:t>0.125</w:t>
            </w:r>
          </w:p>
        </w:tc>
        <w:tc>
          <w:tcPr>
            <w:tcW w:w="795" w:type="dxa"/>
            <w:tcBorders>
              <w:top w:val="nil"/>
              <w:left w:val="nil"/>
              <w:bottom w:val="nil"/>
              <w:right w:val="nil"/>
            </w:tcBorders>
            <w:noWrap/>
            <w:vAlign w:val="center"/>
            <w:hideMark/>
          </w:tcPr>
          <w:p w14:paraId="04634AD4" w14:textId="10B523F5" w:rsidR="00AB22FE" w:rsidRPr="00BD3F93" w:rsidRDefault="00AB22FE" w:rsidP="00AB22FE">
            <w:pPr>
              <w:pStyle w:val="CETBodytext"/>
              <w:jc w:val="center"/>
              <w:rPr>
                <w:sz w:val="15"/>
                <w:szCs w:val="15"/>
              </w:rPr>
            </w:pPr>
            <w:r w:rsidRPr="00BD3F93">
              <w:rPr>
                <w:sz w:val="15"/>
                <w:szCs w:val="15"/>
              </w:rPr>
              <w:t>1.002</w:t>
            </w:r>
          </w:p>
        </w:tc>
        <w:tc>
          <w:tcPr>
            <w:tcW w:w="767" w:type="dxa"/>
            <w:tcBorders>
              <w:top w:val="nil"/>
              <w:left w:val="nil"/>
              <w:bottom w:val="nil"/>
              <w:right w:val="nil"/>
            </w:tcBorders>
            <w:noWrap/>
            <w:vAlign w:val="center"/>
            <w:hideMark/>
          </w:tcPr>
          <w:p w14:paraId="703A571E" w14:textId="7A6E3EE7" w:rsidR="00AB22FE" w:rsidRPr="00BD3F93" w:rsidRDefault="00AB22FE" w:rsidP="00AB22FE">
            <w:pPr>
              <w:pStyle w:val="CETBodytext"/>
              <w:jc w:val="center"/>
              <w:rPr>
                <w:sz w:val="15"/>
                <w:szCs w:val="15"/>
              </w:rPr>
            </w:pPr>
            <w:r w:rsidRPr="00BD3F93">
              <w:rPr>
                <w:sz w:val="15"/>
                <w:szCs w:val="15"/>
              </w:rPr>
              <w:t>0.081</w:t>
            </w:r>
          </w:p>
        </w:tc>
        <w:tc>
          <w:tcPr>
            <w:tcW w:w="867" w:type="dxa"/>
            <w:tcBorders>
              <w:top w:val="nil"/>
              <w:left w:val="nil"/>
              <w:bottom w:val="nil"/>
              <w:right w:val="nil"/>
            </w:tcBorders>
            <w:noWrap/>
            <w:vAlign w:val="center"/>
            <w:hideMark/>
          </w:tcPr>
          <w:p w14:paraId="092D0B45" w14:textId="4F5AF6B8" w:rsidR="00AB22FE" w:rsidRPr="00BD3F93" w:rsidRDefault="00AB22FE" w:rsidP="00AB22FE">
            <w:pPr>
              <w:pStyle w:val="CETBodytext"/>
              <w:jc w:val="center"/>
              <w:rPr>
                <w:sz w:val="15"/>
                <w:szCs w:val="15"/>
              </w:rPr>
            </w:pPr>
            <w:r w:rsidRPr="00BD3F93">
              <w:rPr>
                <w:sz w:val="15"/>
                <w:szCs w:val="15"/>
              </w:rPr>
              <w:t>0.761</w:t>
            </w:r>
          </w:p>
        </w:tc>
        <w:tc>
          <w:tcPr>
            <w:tcW w:w="706" w:type="dxa"/>
            <w:tcBorders>
              <w:top w:val="nil"/>
              <w:left w:val="nil"/>
              <w:bottom w:val="nil"/>
              <w:right w:val="nil"/>
            </w:tcBorders>
            <w:noWrap/>
            <w:vAlign w:val="center"/>
            <w:hideMark/>
          </w:tcPr>
          <w:p w14:paraId="201602CD" w14:textId="70BCA6F4" w:rsidR="00AB22FE" w:rsidRPr="00BD3F93" w:rsidRDefault="00AB22FE" w:rsidP="00AB22FE">
            <w:pPr>
              <w:pStyle w:val="CETBodytext"/>
              <w:jc w:val="center"/>
              <w:rPr>
                <w:sz w:val="15"/>
                <w:szCs w:val="15"/>
              </w:rPr>
            </w:pPr>
            <w:r w:rsidRPr="00BD3F93">
              <w:rPr>
                <w:sz w:val="15"/>
                <w:szCs w:val="15"/>
              </w:rPr>
              <w:t>0.211</w:t>
            </w:r>
          </w:p>
        </w:tc>
        <w:tc>
          <w:tcPr>
            <w:tcW w:w="848" w:type="dxa"/>
            <w:tcBorders>
              <w:top w:val="nil"/>
              <w:left w:val="nil"/>
              <w:bottom w:val="nil"/>
              <w:right w:val="nil"/>
            </w:tcBorders>
            <w:noWrap/>
            <w:vAlign w:val="center"/>
            <w:hideMark/>
          </w:tcPr>
          <w:p w14:paraId="077636D0" w14:textId="7AAE280F" w:rsidR="00AB22FE" w:rsidRPr="00BD3F93" w:rsidRDefault="00AB22FE" w:rsidP="00AB22FE">
            <w:pPr>
              <w:pStyle w:val="CETBodytext"/>
              <w:jc w:val="center"/>
              <w:rPr>
                <w:sz w:val="15"/>
                <w:szCs w:val="15"/>
              </w:rPr>
            </w:pPr>
            <w:r w:rsidRPr="00BD3F93">
              <w:rPr>
                <w:sz w:val="15"/>
                <w:szCs w:val="15"/>
              </w:rPr>
              <w:t>1.473</w:t>
            </w:r>
          </w:p>
        </w:tc>
      </w:tr>
      <w:tr w:rsidR="00AB22FE" w:rsidRPr="00BD3F93" w14:paraId="7509F353" w14:textId="77777777" w:rsidTr="00C20C15">
        <w:trPr>
          <w:trHeight w:val="198"/>
          <w:jc w:val="center"/>
        </w:trPr>
        <w:tc>
          <w:tcPr>
            <w:tcW w:w="1530" w:type="dxa"/>
            <w:tcBorders>
              <w:top w:val="nil"/>
              <w:left w:val="nil"/>
              <w:bottom w:val="single" w:sz="12" w:space="0" w:color="00B050"/>
              <w:right w:val="nil"/>
            </w:tcBorders>
            <w:noWrap/>
            <w:vAlign w:val="center"/>
            <w:hideMark/>
          </w:tcPr>
          <w:p w14:paraId="66CCD110" w14:textId="37C2DE0C" w:rsidR="00AB22FE" w:rsidRPr="00BD3F93" w:rsidRDefault="00AB22FE" w:rsidP="00AB22FE">
            <w:pPr>
              <w:pStyle w:val="CETBodytext"/>
              <w:jc w:val="left"/>
              <w:rPr>
                <w:sz w:val="15"/>
                <w:szCs w:val="15"/>
              </w:rPr>
            </w:pPr>
            <w:r w:rsidRPr="00BD3F93">
              <w:rPr>
                <w:sz w:val="15"/>
                <w:szCs w:val="15"/>
              </w:rPr>
              <w:t>WCP</w:t>
            </w:r>
          </w:p>
        </w:tc>
        <w:tc>
          <w:tcPr>
            <w:tcW w:w="1460" w:type="dxa"/>
            <w:tcBorders>
              <w:top w:val="nil"/>
              <w:left w:val="nil"/>
              <w:bottom w:val="single" w:sz="12" w:space="0" w:color="00B050"/>
              <w:right w:val="nil"/>
            </w:tcBorders>
            <w:noWrap/>
            <w:vAlign w:val="center"/>
            <w:hideMark/>
          </w:tcPr>
          <w:p w14:paraId="5A7D4EF8" w14:textId="77777777" w:rsidR="00AB22FE" w:rsidRPr="00BD3F93" w:rsidRDefault="00AB22FE" w:rsidP="00AB22FE">
            <w:pPr>
              <w:pStyle w:val="CETBodytext"/>
              <w:jc w:val="center"/>
              <w:rPr>
                <w:sz w:val="15"/>
                <w:szCs w:val="15"/>
              </w:rPr>
            </w:pPr>
            <w:r w:rsidRPr="00BD3F93">
              <w:rPr>
                <w:sz w:val="15"/>
                <w:szCs w:val="15"/>
              </w:rPr>
              <w:t>m</w:t>
            </w:r>
            <w:r w:rsidRPr="00BD3F93">
              <w:rPr>
                <w:sz w:val="15"/>
                <w:szCs w:val="15"/>
                <w:vertAlign w:val="superscript"/>
              </w:rPr>
              <w:t>3</w:t>
            </w:r>
          </w:p>
        </w:tc>
        <w:tc>
          <w:tcPr>
            <w:tcW w:w="706" w:type="dxa"/>
            <w:tcBorders>
              <w:top w:val="nil"/>
              <w:left w:val="nil"/>
              <w:bottom w:val="single" w:sz="12" w:space="0" w:color="00B050"/>
              <w:right w:val="nil"/>
            </w:tcBorders>
            <w:noWrap/>
            <w:vAlign w:val="center"/>
            <w:hideMark/>
          </w:tcPr>
          <w:p w14:paraId="144B591D" w14:textId="77777777" w:rsidR="00AB22FE" w:rsidRPr="00BD3F93" w:rsidRDefault="00AB22FE" w:rsidP="00AB22FE">
            <w:pPr>
              <w:pStyle w:val="CETBodytext"/>
              <w:jc w:val="center"/>
              <w:rPr>
                <w:sz w:val="15"/>
                <w:szCs w:val="15"/>
              </w:rPr>
            </w:pPr>
            <w:r w:rsidRPr="00BD3F93">
              <w:rPr>
                <w:sz w:val="15"/>
                <w:szCs w:val="15"/>
              </w:rPr>
              <w:t>0.027</w:t>
            </w:r>
          </w:p>
        </w:tc>
        <w:tc>
          <w:tcPr>
            <w:tcW w:w="795" w:type="dxa"/>
            <w:tcBorders>
              <w:top w:val="nil"/>
              <w:left w:val="nil"/>
              <w:bottom w:val="single" w:sz="12" w:space="0" w:color="00B050"/>
              <w:right w:val="nil"/>
            </w:tcBorders>
            <w:noWrap/>
            <w:vAlign w:val="center"/>
            <w:hideMark/>
          </w:tcPr>
          <w:p w14:paraId="29A658EC" w14:textId="77777777" w:rsidR="00AB22FE" w:rsidRPr="00BD3F93" w:rsidRDefault="00AB22FE" w:rsidP="00AB22FE">
            <w:pPr>
              <w:pStyle w:val="CETBodytext"/>
              <w:jc w:val="center"/>
              <w:rPr>
                <w:sz w:val="15"/>
                <w:szCs w:val="15"/>
              </w:rPr>
            </w:pPr>
            <w:r w:rsidRPr="00BD3F93">
              <w:rPr>
                <w:sz w:val="15"/>
                <w:szCs w:val="15"/>
              </w:rPr>
              <w:t>0.439</w:t>
            </w:r>
          </w:p>
        </w:tc>
        <w:tc>
          <w:tcPr>
            <w:tcW w:w="706" w:type="dxa"/>
            <w:tcBorders>
              <w:top w:val="nil"/>
              <w:left w:val="nil"/>
              <w:bottom w:val="single" w:sz="12" w:space="0" w:color="00B050"/>
              <w:right w:val="nil"/>
            </w:tcBorders>
            <w:noWrap/>
            <w:vAlign w:val="center"/>
            <w:hideMark/>
          </w:tcPr>
          <w:p w14:paraId="6DAE0FBA" w14:textId="4B5C3522" w:rsidR="00AB22FE" w:rsidRPr="00BD3F93" w:rsidRDefault="00AB22FE" w:rsidP="00AB22FE">
            <w:pPr>
              <w:pStyle w:val="CETBodytext"/>
              <w:jc w:val="center"/>
              <w:rPr>
                <w:sz w:val="15"/>
                <w:szCs w:val="15"/>
              </w:rPr>
            </w:pPr>
            <w:r w:rsidRPr="00BD3F93">
              <w:rPr>
                <w:sz w:val="15"/>
                <w:szCs w:val="15"/>
              </w:rPr>
              <w:t>0.019</w:t>
            </w:r>
          </w:p>
        </w:tc>
        <w:tc>
          <w:tcPr>
            <w:tcW w:w="795" w:type="dxa"/>
            <w:tcBorders>
              <w:top w:val="nil"/>
              <w:left w:val="nil"/>
              <w:bottom w:val="single" w:sz="12" w:space="0" w:color="00B050"/>
              <w:right w:val="nil"/>
            </w:tcBorders>
            <w:noWrap/>
            <w:vAlign w:val="center"/>
            <w:hideMark/>
          </w:tcPr>
          <w:p w14:paraId="499E430A" w14:textId="67616A10" w:rsidR="00AB22FE" w:rsidRPr="00BD3F93" w:rsidRDefault="00AB22FE" w:rsidP="00AB22FE">
            <w:pPr>
              <w:pStyle w:val="CETBodytext"/>
              <w:jc w:val="center"/>
              <w:rPr>
                <w:sz w:val="15"/>
                <w:szCs w:val="15"/>
              </w:rPr>
            </w:pPr>
            <w:r w:rsidRPr="00BD3F93">
              <w:rPr>
                <w:sz w:val="15"/>
                <w:szCs w:val="15"/>
              </w:rPr>
              <w:t>0.397</w:t>
            </w:r>
          </w:p>
        </w:tc>
        <w:tc>
          <w:tcPr>
            <w:tcW w:w="767" w:type="dxa"/>
            <w:tcBorders>
              <w:top w:val="nil"/>
              <w:left w:val="nil"/>
              <w:bottom w:val="single" w:sz="12" w:space="0" w:color="00B050"/>
              <w:right w:val="nil"/>
            </w:tcBorders>
            <w:noWrap/>
            <w:vAlign w:val="center"/>
            <w:hideMark/>
          </w:tcPr>
          <w:p w14:paraId="577EA2D5" w14:textId="7BAA8D6E" w:rsidR="00AB22FE" w:rsidRPr="00BD3F93" w:rsidRDefault="00AB22FE" w:rsidP="00AB22FE">
            <w:pPr>
              <w:pStyle w:val="CETBodytext"/>
              <w:jc w:val="center"/>
              <w:rPr>
                <w:sz w:val="15"/>
                <w:szCs w:val="15"/>
              </w:rPr>
            </w:pPr>
            <w:r w:rsidRPr="00BD3F93">
              <w:rPr>
                <w:sz w:val="15"/>
                <w:szCs w:val="15"/>
              </w:rPr>
              <w:t>0.026</w:t>
            </w:r>
          </w:p>
        </w:tc>
        <w:tc>
          <w:tcPr>
            <w:tcW w:w="867" w:type="dxa"/>
            <w:tcBorders>
              <w:top w:val="nil"/>
              <w:left w:val="nil"/>
              <w:bottom w:val="single" w:sz="12" w:space="0" w:color="00B050"/>
              <w:right w:val="nil"/>
            </w:tcBorders>
            <w:noWrap/>
            <w:vAlign w:val="center"/>
            <w:hideMark/>
          </w:tcPr>
          <w:p w14:paraId="3039BB2B" w14:textId="08AEFAFA" w:rsidR="00AB22FE" w:rsidRPr="00BD3F93" w:rsidRDefault="00AB22FE" w:rsidP="00AB22FE">
            <w:pPr>
              <w:pStyle w:val="CETBodytext"/>
              <w:jc w:val="center"/>
              <w:rPr>
                <w:sz w:val="15"/>
                <w:szCs w:val="15"/>
              </w:rPr>
            </w:pPr>
            <w:r w:rsidRPr="00BD3F93">
              <w:rPr>
                <w:sz w:val="15"/>
                <w:szCs w:val="15"/>
              </w:rPr>
              <w:t>0.432</w:t>
            </w:r>
          </w:p>
        </w:tc>
        <w:tc>
          <w:tcPr>
            <w:tcW w:w="706" w:type="dxa"/>
            <w:tcBorders>
              <w:top w:val="nil"/>
              <w:left w:val="nil"/>
              <w:bottom w:val="single" w:sz="12" w:space="0" w:color="00B050"/>
              <w:right w:val="nil"/>
            </w:tcBorders>
            <w:noWrap/>
            <w:vAlign w:val="center"/>
            <w:hideMark/>
          </w:tcPr>
          <w:p w14:paraId="31CE28C7" w14:textId="714683BA" w:rsidR="00AB22FE" w:rsidRPr="00BD3F93" w:rsidRDefault="00AB22FE" w:rsidP="00AB22FE">
            <w:pPr>
              <w:pStyle w:val="CETBodytext"/>
              <w:jc w:val="center"/>
              <w:rPr>
                <w:sz w:val="15"/>
                <w:szCs w:val="15"/>
              </w:rPr>
            </w:pPr>
            <w:r w:rsidRPr="00BD3F93">
              <w:rPr>
                <w:sz w:val="15"/>
                <w:szCs w:val="15"/>
              </w:rPr>
              <w:t>0.018</w:t>
            </w:r>
          </w:p>
        </w:tc>
        <w:tc>
          <w:tcPr>
            <w:tcW w:w="848" w:type="dxa"/>
            <w:tcBorders>
              <w:top w:val="nil"/>
              <w:left w:val="nil"/>
              <w:bottom w:val="single" w:sz="12" w:space="0" w:color="00B050"/>
              <w:right w:val="nil"/>
            </w:tcBorders>
            <w:noWrap/>
            <w:vAlign w:val="center"/>
            <w:hideMark/>
          </w:tcPr>
          <w:p w14:paraId="4CFF310F" w14:textId="423AA967" w:rsidR="00AB22FE" w:rsidRPr="00BD3F93" w:rsidRDefault="00AB22FE" w:rsidP="00AB22FE">
            <w:pPr>
              <w:pStyle w:val="CETBodytext"/>
              <w:jc w:val="center"/>
              <w:rPr>
                <w:sz w:val="15"/>
                <w:szCs w:val="15"/>
              </w:rPr>
            </w:pPr>
            <w:r w:rsidRPr="00BD3F93">
              <w:rPr>
                <w:sz w:val="15"/>
                <w:szCs w:val="15"/>
              </w:rPr>
              <w:t>0.393</w:t>
            </w:r>
          </w:p>
        </w:tc>
      </w:tr>
    </w:tbl>
    <w:p w14:paraId="279E58DF" w14:textId="584C9827" w:rsidR="00F931D1" w:rsidRPr="00AE744C" w:rsidRDefault="00F931D1" w:rsidP="00136D35">
      <w:pPr>
        <w:pStyle w:val="CETBodytext"/>
        <w:rPr>
          <w:rFonts w:eastAsia="PMingLiU"/>
          <w:sz w:val="6"/>
          <w:szCs w:val="8"/>
          <w:lang w:val="en-GB" w:eastAsia="zh-TW"/>
        </w:rPr>
      </w:pPr>
    </w:p>
    <w:p w14:paraId="2E3529D4" w14:textId="29FBDE1E" w:rsidR="00F931D1" w:rsidRDefault="00AD27F0" w:rsidP="00503DE0">
      <w:pPr>
        <w:pStyle w:val="CETBodytext"/>
        <w:jc w:val="center"/>
        <w:rPr>
          <w:rFonts w:eastAsia="PMingLiU"/>
          <w:lang w:val="en-GB" w:eastAsia="zh-TW"/>
        </w:rPr>
      </w:pPr>
      <w:r w:rsidRPr="00AD27F0">
        <w:rPr>
          <w:rFonts w:eastAsia="PMingLiU"/>
          <w:noProof/>
          <w:lang w:val="en-GB" w:eastAsia="zh-TW"/>
        </w:rPr>
        <w:drawing>
          <wp:inline distT="0" distB="0" distL="0" distR="0" wp14:anchorId="3E84FA64" wp14:editId="1B158699">
            <wp:extent cx="5579745" cy="1680845"/>
            <wp:effectExtent l="0" t="0" r="1905" b="0"/>
            <wp:docPr id="2004343352"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43352" name="Picture 1" descr="A graph of different colored bars&#10;&#10;Description automatically generated with medium confidence"/>
                    <pic:cNvPicPr/>
                  </pic:nvPicPr>
                  <pic:blipFill>
                    <a:blip r:embed="rId19"/>
                    <a:stretch>
                      <a:fillRect/>
                    </a:stretch>
                  </pic:blipFill>
                  <pic:spPr>
                    <a:xfrm>
                      <a:off x="0" y="0"/>
                      <a:ext cx="5579745" cy="1680845"/>
                    </a:xfrm>
                    <a:prstGeom prst="rect">
                      <a:avLst/>
                    </a:prstGeom>
                  </pic:spPr>
                </pic:pic>
              </a:graphicData>
            </a:graphic>
          </wp:inline>
        </w:drawing>
      </w:r>
    </w:p>
    <w:p w14:paraId="10FC959F" w14:textId="290ABA76" w:rsidR="00FA1FCA" w:rsidRPr="00773DDD" w:rsidRDefault="00FA1FCA" w:rsidP="005C2D71">
      <w:pPr>
        <w:pStyle w:val="CETBodytext"/>
        <w:jc w:val="center"/>
        <w:rPr>
          <w:rFonts w:eastAsia="PMingLiU"/>
          <w:i/>
          <w:iCs/>
          <w:lang w:val="en-GB" w:eastAsia="zh-TW"/>
        </w:rPr>
      </w:pPr>
      <w:r w:rsidRPr="00773DDD">
        <w:rPr>
          <w:rFonts w:eastAsia="PMingLiU" w:hint="eastAsia"/>
          <w:i/>
          <w:iCs/>
          <w:lang w:val="en-GB" w:eastAsia="zh-TW"/>
        </w:rPr>
        <w:t xml:space="preserve">Figure </w:t>
      </w:r>
      <w:r w:rsidR="006A0705" w:rsidRPr="00773DDD">
        <w:rPr>
          <w:rFonts w:eastAsia="PMingLiU"/>
          <w:i/>
          <w:iCs/>
          <w:lang w:val="en-GB" w:eastAsia="zh-TW"/>
        </w:rPr>
        <w:t>5</w:t>
      </w:r>
      <w:r w:rsidRPr="00773DDD">
        <w:rPr>
          <w:rFonts w:eastAsia="PMingLiU" w:hint="eastAsia"/>
          <w:i/>
          <w:iCs/>
          <w:lang w:val="en-GB" w:eastAsia="zh-TW"/>
        </w:rPr>
        <w:t xml:space="preserve">: </w:t>
      </w:r>
      <w:r w:rsidR="00825B12" w:rsidRPr="00773DDD">
        <w:rPr>
          <w:rFonts w:eastAsia="PMingLiU"/>
          <w:i/>
          <w:iCs/>
          <w:lang w:val="en-GB" w:eastAsia="zh-TW"/>
        </w:rPr>
        <w:t>Cradle-to-grave profiles related to the e</w:t>
      </w:r>
      <w:r w:rsidR="00177631" w:rsidRPr="00773DDD">
        <w:rPr>
          <w:rFonts w:eastAsia="PMingLiU" w:hint="eastAsia"/>
          <w:i/>
          <w:iCs/>
          <w:lang w:val="en-GB" w:eastAsia="zh-TW"/>
        </w:rPr>
        <w:t xml:space="preserve">nvironmental </w:t>
      </w:r>
      <w:r w:rsidR="00AE2BDC" w:rsidRPr="00773DDD">
        <w:rPr>
          <w:rFonts w:eastAsia="PMingLiU"/>
          <w:i/>
          <w:iCs/>
          <w:lang w:val="en-GB" w:eastAsia="zh-TW"/>
        </w:rPr>
        <w:t>impact</w:t>
      </w:r>
      <w:r w:rsidR="00177631" w:rsidRPr="00773DDD">
        <w:rPr>
          <w:rFonts w:eastAsia="PMingLiU" w:hint="eastAsia"/>
          <w:i/>
          <w:iCs/>
          <w:lang w:val="en-GB" w:eastAsia="zh-TW"/>
        </w:rPr>
        <w:t xml:space="preserve"> </w:t>
      </w:r>
      <w:r w:rsidR="005C2D71" w:rsidRPr="00773DDD">
        <w:rPr>
          <w:rFonts w:eastAsia="PMingLiU"/>
          <w:i/>
          <w:iCs/>
          <w:lang w:val="en-GB" w:eastAsia="zh-TW"/>
        </w:rPr>
        <w:t>categories</w:t>
      </w:r>
      <w:r w:rsidR="00825B12" w:rsidRPr="00773DDD">
        <w:rPr>
          <w:rFonts w:eastAsia="PMingLiU"/>
          <w:i/>
          <w:iCs/>
          <w:lang w:val="en-GB" w:eastAsia="zh-TW"/>
        </w:rPr>
        <w:t xml:space="preserve"> according to the</w:t>
      </w:r>
      <w:r w:rsidR="005C2D71" w:rsidRPr="00773DDD">
        <w:rPr>
          <w:rFonts w:eastAsia="PMingLiU"/>
          <w:i/>
          <w:iCs/>
          <w:lang w:val="en-GB" w:eastAsia="zh-TW"/>
        </w:rPr>
        <w:t xml:space="preserve"> </w:t>
      </w:r>
      <w:r w:rsidR="00825B12" w:rsidRPr="00773DDD">
        <w:rPr>
          <w:rFonts w:eastAsia="PMingLiU" w:hint="eastAsia"/>
          <w:i/>
          <w:iCs/>
          <w:lang w:val="en-GB" w:eastAsia="zh-TW"/>
        </w:rPr>
        <w:t>ReCiPe</w:t>
      </w:r>
      <w:r w:rsidR="00825B12" w:rsidRPr="00773DDD">
        <w:rPr>
          <w:rFonts w:eastAsia="PMingLiU"/>
          <w:i/>
          <w:iCs/>
          <w:lang w:val="en-GB" w:eastAsia="zh-TW"/>
        </w:rPr>
        <w:t xml:space="preserve"> method</w:t>
      </w:r>
      <w:r w:rsidR="00825B12" w:rsidRPr="00773DDD">
        <w:rPr>
          <w:rFonts w:eastAsia="PMingLiU" w:hint="eastAsia"/>
          <w:i/>
          <w:iCs/>
          <w:lang w:val="en-GB" w:eastAsia="zh-TW"/>
        </w:rPr>
        <w:t xml:space="preserve"> </w:t>
      </w:r>
      <w:r w:rsidR="00177631" w:rsidRPr="00773DDD">
        <w:rPr>
          <w:rFonts w:eastAsia="PMingLiU" w:hint="eastAsia"/>
          <w:i/>
          <w:iCs/>
          <w:lang w:val="en-GB" w:eastAsia="zh-TW"/>
        </w:rPr>
        <w:t>of</w:t>
      </w:r>
      <w:r w:rsidR="00825B12" w:rsidRPr="00773DDD">
        <w:rPr>
          <w:rFonts w:eastAsia="PMingLiU"/>
          <w:i/>
          <w:iCs/>
          <w:lang w:val="en-GB" w:eastAsia="zh-TW"/>
        </w:rPr>
        <w:t xml:space="preserve"> the</w:t>
      </w:r>
      <w:r w:rsidR="00177631" w:rsidRPr="00773DDD">
        <w:rPr>
          <w:rFonts w:eastAsia="PMingLiU" w:hint="eastAsia"/>
          <w:i/>
          <w:iCs/>
          <w:lang w:val="en-GB" w:eastAsia="zh-TW"/>
        </w:rPr>
        <w:t xml:space="preserve"> liquid hydrogen production routes</w:t>
      </w:r>
    </w:p>
    <w:p w14:paraId="6026B09C" w14:textId="77777777" w:rsidR="00237802" w:rsidRPr="00DB56D3" w:rsidRDefault="00237802" w:rsidP="00136D35">
      <w:pPr>
        <w:pStyle w:val="CETBodytext"/>
        <w:rPr>
          <w:rFonts w:eastAsia="PMingLiU"/>
          <w:sz w:val="8"/>
          <w:szCs w:val="10"/>
          <w:lang w:val="en-GB" w:eastAsia="zh-TW"/>
        </w:rPr>
      </w:pPr>
    </w:p>
    <w:p w14:paraId="74BEE9A2" w14:textId="2CA7A8A8" w:rsidR="00237802" w:rsidRDefault="008F094A" w:rsidP="00237802">
      <w:pPr>
        <w:pStyle w:val="CETBodytext"/>
        <w:rPr>
          <w:lang w:val="en-GB"/>
        </w:rPr>
      </w:pPr>
      <w:r w:rsidRPr="00773DDD">
        <w:rPr>
          <w:rFonts w:eastAsia="PMingLiU"/>
          <w:lang w:val="en-GB" w:eastAsia="zh-TW"/>
        </w:rPr>
        <w:t xml:space="preserve">Figure </w:t>
      </w:r>
      <w:r w:rsidR="006A0705" w:rsidRPr="00773DDD">
        <w:rPr>
          <w:rFonts w:eastAsia="PMingLiU"/>
          <w:lang w:val="en-GB" w:eastAsia="zh-TW"/>
        </w:rPr>
        <w:t>6</w:t>
      </w:r>
      <w:r w:rsidRPr="00773DDD">
        <w:rPr>
          <w:rFonts w:eastAsia="PMingLiU"/>
          <w:lang w:val="en-GB" w:eastAsia="zh-TW"/>
        </w:rPr>
        <w:t xml:space="preserve">a illustrates the GWP associated with the SMR and AWE routes under the four </w:t>
      </w:r>
      <w:r w:rsidR="007D5B76" w:rsidRPr="00773DDD">
        <w:rPr>
          <w:rFonts w:eastAsia="PMingLiU"/>
          <w:lang w:val="en-GB" w:eastAsia="zh-TW"/>
        </w:rPr>
        <w:t xml:space="preserve">investigated </w:t>
      </w:r>
      <w:r w:rsidRPr="00773DDD">
        <w:rPr>
          <w:rFonts w:eastAsia="PMingLiU"/>
          <w:lang w:val="en-GB" w:eastAsia="zh-TW"/>
        </w:rPr>
        <w:t>energy scenarios</w:t>
      </w:r>
      <w:r w:rsidR="002E6DD5" w:rsidRPr="00773DDD">
        <w:rPr>
          <w:rFonts w:eastAsia="PMingLiU"/>
          <w:lang w:val="en-GB" w:eastAsia="zh-TW"/>
        </w:rPr>
        <w:t xml:space="preserve"> per kg of hydrogen</w:t>
      </w:r>
      <w:r w:rsidRPr="00773DDD">
        <w:rPr>
          <w:rFonts w:eastAsia="PMingLiU"/>
          <w:lang w:val="en-GB" w:eastAsia="zh-TW"/>
        </w:rPr>
        <w:t>. Both production paths show a decline in GWP with an increasing share of renewable energy</w:t>
      </w:r>
      <w:r w:rsidRPr="008F094A">
        <w:rPr>
          <w:rFonts w:eastAsia="PMingLiU"/>
          <w:lang w:val="en-GB" w:eastAsia="zh-TW"/>
        </w:rPr>
        <w:t>. Due to higher energy consumption in the AWE route, the influence of the energy mix is much more apparent than in the SMR route. However, the AWE route consistently shows a higher GWP than the SMR, even with 100% renewable energy. This higher GWP is attributed to the cradle-to-gate approach, which includes producing electronic components (global level, cutoff</w:t>
      </w:r>
      <w:r w:rsidR="00F74A1F">
        <w:rPr>
          <w:rFonts w:eastAsia="PMingLiU"/>
          <w:lang w:val="en-GB" w:eastAsia="zh-TW"/>
        </w:rPr>
        <w:t>)</w:t>
      </w:r>
      <w:r w:rsidRPr="008F094A">
        <w:rPr>
          <w:rFonts w:eastAsia="PMingLiU"/>
          <w:lang w:val="en-GB" w:eastAsia="zh-TW"/>
        </w:rPr>
        <w:t xml:space="preserve"> and water deionization processes that consume energy from the existing electricity grid </w:t>
      </w:r>
      <w:r w:rsidR="0048478F">
        <w:rPr>
          <w:rFonts w:eastAsia="PMingLiU"/>
          <w:lang w:val="en-GB" w:eastAsia="zh-TW"/>
        </w:rPr>
        <w:t>with a f</w:t>
      </w:r>
      <w:r w:rsidRPr="008F094A">
        <w:rPr>
          <w:rFonts w:eastAsia="PMingLiU"/>
          <w:lang w:val="en-GB" w:eastAsia="zh-TW"/>
        </w:rPr>
        <w:t>ocus on Europe without Switzerland as a provider.</w:t>
      </w:r>
    </w:p>
    <w:p w14:paraId="4B11558A" w14:textId="2768385F" w:rsidR="00AC7C61" w:rsidRDefault="00AD27F0" w:rsidP="00AC7C61">
      <w:pPr>
        <w:pStyle w:val="CETBodytext"/>
        <w:jc w:val="center"/>
        <w:rPr>
          <w:lang w:val="en-GB"/>
        </w:rPr>
      </w:pPr>
      <w:r>
        <w:rPr>
          <w:noProof/>
          <w:lang w:val="en-GB"/>
        </w:rPr>
        <w:drawing>
          <wp:inline distT="0" distB="0" distL="0" distR="0" wp14:anchorId="64476103" wp14:editId="0D53A42C">
            <wp:extent cx="5577761" cy="1222218"/>
            <wp:effectExtent l="0" t="0" r="4445" b="0"/>
            <wp:docPr id="1860801858" name="Picture 14" descr="A graph of a bar and a graph of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01858" name="Picture 14" descr="A graph of a bar and a graph of a bar&#10;&#10;Description automatically generated with medium confidence"/>
                    <pic:cNvPicPr/>
                  </pic:nvPicPr>
                  <pic:blipFill rotWithShape="1">
                    <a:blip r:embed="rId20"/>
                    <a:srcRect t="3430" b="3912"/>
                    <a:stretch/>
                  </pic:blipFill>
                  <pic:spPr bwMode="auto">
                    <a:xfrm>
                      <a:off x="0" y="0"/>
                      <a:ext cx="5579745" cy="1222653"/>
                    </a:xfrm>
                    <a:prstGeom prst="rect">
                      <a:avLst/>
                    </a:prstGeom>
                    <a:ln>
                      <a:noFill/>
                    </a:ln>
                    <a:extLst>
                      <a:ext uri="{53640926-AAD7-44D8-BBD7-CCE9431645EC}">
                        <a14:shadowObscured xmlns:a14="http://schemas.microsoft.com/office/drawing/2010/main"/>
                      </a:ext>
                    </a:extLst>
                  </pic:spPr>
                </pic:pic>
              </a:graphicData>
            </a:graphic>
          </wp:inline>
        </w:drawing>
      </w:r>
    </w:p>
    <w:p w14:paraId="730B5F87" w14:textId="661AEE8F" w:rsidR="00AC7C61" w:rsidRDefault="00AC7C61" w:rsidP="00AC7C61">
      <w:pPr>
        <w:pStyle w:val="CETBodytext"/>
        <w:jc w:val="center"/>
        <w:rPr>
          <w:rStyle w:val="CETCaptionCarattere"/>
        </w:rPr>
      </w:pPr>
      <w:r w:rsidRPr="0048061D">
        <w:rPr>
          <w:rStyle w:val="CETCaptionCarattere"/>
        </w:rPr>
        <w:t xml:space="preserve">Figure </w:t>
      </w:r>
      <w:r w:rsidRPr="0048061D">
        <w:rPr>
          <w:rStyle w:val="CETCaptionCarattere"/>
          <w:i w:val="0"/>
        </w:rPr>
        <w:t>6</w:t>
      </w:r>
      <w:r w:rsidRPr="0048061D">
        <w:rPr>
          <w:rStyle w:val="CETCaptionCarattere"/>
        </w:rPr>
        <w:t>: Environmental</w:t>
      </w:r>
      <w:r w:rsidRPr="00AC7C61">
        <w:rPr>
          <w:rStyle w:val="CETCaptionCarattere"/>
        </w:rPr>
        <w:t xml:space="preserve"> impact of </w:t>
      </w:r>
      <w:r w:rsidR="00777CE0" w:rsidRPr="00777CE0">
        <w:rPr>
          <w:rStyle w:val="CETCaptionCarattere"/>
        </w:rPr>
        <w:t>LH</w:t>
      </w:r>
      <w:r w:rsidR="00777CE0" w:rsidRPr="00777CE0">
        <w:rPr>
          <w:rStyle w:val="CETCaptionCarattere"/>
          <w:vertAlign w:val="subscript"/>
        </w:rPr>
        <w:t>2</w:t>
      </w:r>
      <w:r w:rsidR="00777CE0">
        <w:rPr>
          <w:rStyle w:val="CETCaptionCarattere"/>
        </w:rPr>
        <w:t xml:space="preserve"> </w:t>
      </w:r>
      <w:r w:rsidRPr="00AC7C61">
        <w:rPr>
          <w:rStyle w:val="CETCaptionCarattere"/>
        </w:rPr>
        <w:t>production routes in the investigated energy scenarios for Germany</w:t>
      </w:r>
    </w:p>
    <w:p w14:paraId="16D3D2EC" w14:textId="77777777" w:rsidR="002D0005" w:rsidRPr="00DB56D3" w:rsidRDefault="002D0005" w:rsidP="00E0665F">
      <w:pPr>
        <w:pStyle w:val="CETBodytext"/>
        <w:rPr>
          <w:rFonts w:eastAsia="PMingLiU"/>
          <w:sz w:val="8"/>
          <w:szCs w:val="10"/>
          <w:lang w:val="en-GB" w:eastAsia="zh-TW"/>
        </w:rPr>
      </w:pPr>
    </w:p>
    <w:p w14:paraId="35660B6D" w14:textId="3324F46B" w:rsidR="00E0665F" w:rsidRDefault="00E0665F" w:rsidP="00E0665F">
      <w:pPr>
        <w:pStyle w:val="CETBodytext"/>
        <w:rPr>
          <w:lang w:val="en-GB"/>
        </w:rPr>
      </w:pPr>
      <w:r w:rsidRPr="008F094A">
        <w:rPr>
          <w:rFonts w:eastAsia="PMingLiU"/>
          <w:lang w:val="en-GB" w:eastAsia="zh-TW"/>
        </w:rPr>
        <w:t xml:space="preserve">Moreover, the liquefaction process is </w:t>
      </w:r>
      <w:r>
        <w:rPr>
          <w:rFonts w:eastAsia="PMingLiU"/>
          <w:lang w:val="en-GB" w:eastAsia="zh-TW"/>
        </w:rPr>
        <w:t xml:space="preserve">treated as </w:t>
      </w:r>
      <w:r w:rsidRPr="008F094A">
        <w:rPr>
          <w:rFonts w:eastAsia="PMingLiU"/>
          <w:lang w:val="en-GB" w:eastAsia="zh-TW"/>
        </w:rPr>
        <w:t xml:space="preserve">a standalone stage, relying on electricity and </w:t>
      </w:r>
      <w:r w:rsidR="00EA4A05">
        <w:rPr>
          <w:rFonts w:eastAsia="PMingLiU"/>
          <w:lang w:val="en-GB" w:eastAsia="zh-TW"/>
        </w:rPr>
        <w:t>H</w:t>
      </w:r>
      <w:r w:rsidR="00EA4A05" w:rsidRPr="00EA4A05">
        <w:rPr>
          <w:rFonts w:eastAsia="PMingLiU"/>
          <w:vertAlign w:val="subscript"/>
          <w:lang w:val="en-GB" w:eastAsia="zh-TW"/>
        </w:rPr>
        <w:t>2</w:t>
      </w:r>
      <w:r w:rsidRPr="008F094A">
        <w:rPr>
          <w:rFonts w:eastAsia="PMingLiU"/>
          <w:lang w:val="en-GB" w:eastAsia="zh-TW"/>
        </w:rPr>
        <w:t xml:space="preserve"> as its primary inputs. This highlights that its environmental impact heavily depends on the nature of the energy supply.</w:t>
      </w:r>
      <w:r>
        <w:rPr>
          <w:rFonts w:eastAsia="PMingLiU"/>
          <w:lang w:val="en-GB" w:eastAsia="zh-TW"/>
        </w:rPr>
        <w:t xml:space="preserve"> </w:t>
      </w:r>
      <w:r w:rsidRPr="007278A8">
        <w:rPr>
          <w:lang w:val="en-GB"/>
        </w:rPr>
        <w:t>Fig</w:t>
      </w:r>
      <w:r w:rsidR="00EA4A05">
        <w:rPr>
          <w:lang w:val="en-GB"/>
        </w:rPr>
        <w:t>.</w:t>
      </w:r>
      <w:r w:rsidRPr="007278A8">
        <w:rPr>
          <w:lang w:val="en-GB"/>
        </w:rPr>
        <w:t xml:space="preserve"> 6b presents the AP per kg</w:t>
      </w:r>
      <w:r w:rsidR="00EA4A05" w:rsidRPr="00EA4A05">
        <w:rPr>
          <w:rFonts w:eastAsia="PMingLiU"/>
          <w:lang w:val="en-GB" w:eastAsia="zh-TW"/>
        </w:rPr>
        <w:t xml:space="preserve"> </w:t>
      </w:r>
      <w:r w:rsidR="00EA4A05">
        <w:rPr>
          <w:rFonts w:eastAsia="PMingLiU"/>
          <w:lang w:val="en-GB" w:eastAsia="zh-TW"/>
        </w:rPr>
        <w:t>H</w:t>
      </w:r>
      <w:r w:rsidR="00EA4A05" w:rsidRPr="00EA4A05">
        <w:rPr>
          <w:rFonts w:eastAsia="PMingLiU"/>
          <w:vertAlign w:val="subscript"/>
          <w:lang w:val="en-GB" w:eastAsia="zh-TW"/>
        </w:rPr>
        <w:t>2</w:t>
      </w:r>
      <w:r w:rsidRPr="007278A8">
        <w:rPr>
          <w:lang w:val="en-GB"/>
        </w:rPr>
        <w:t xml:space="preserve"> from the SMR and AWE production route across the energy scenarios. The AWE route exhibits a much higher AP compared to the SMR counterpart. While an increase in renewable energy supply slightly narrows this difference, it barely influences acidification, as the primary contributors to AP in the AWE route are the fabrication of electronic components and the process of water deionization. The liquefaction process in the </w:t>
      </w:r>
      <w:bookmarkStart w:id="6" w:name="_Hlk164347324"/>
      <w:r w:rsidR="00EA4A05" w:rsidRPr="001948C3">
        <w:rPr>
          <w:lang w:val="en-GB"/>
        </w:rPr>
        <w:t>LH</w:t>
      </w:r>
      <w:r w:rsidR="00EA4A05" w:rsidRPr="00321947">
        <w:rPr>
          <w:vertAlign w:val="subscript"/>
          <w:lang w:val="en-GB"/>
        </w:rPr>
        <w:t>2</w:t>
      </w:r>
      <w:bookmarkEnd w:id="6"/>
      <w:r w:rsidRPr="007278A8">
        <w:rPr>
          <w:lang w:val="en-GB"/>
        </w:rPr>
        <w:t xml:space="preserve"> routes requires considerably less energy than the SMR and AWE routes. As a result, changes in energy supply have a less noticeable effect on the environmental impact of liquefaction compared to the more energy-intensive SMR and AWE processes.</w:t>
      </w:r>
    </w:p>
    <w:p w14:paraId="508BA400" w14:textId="77777777" w:rsidR="00136D35" w:rsidRPr="00AB22FE" w:rsidRDefault="00136D35" w:rsidP="00136D35">
      <w:pPr>
        <w:pStyle w:val="CETHeading1"/>
        <w:rPr>
          <w:lang w:val="en-GB"/>
        </w:rPr>
      </w:pPr>
      <w:r w:rsidRPr="00AB22FE">
        <w:rPr>
          <w:lang w:val="en-GB"/>
        </w:rPr>
        <w:t>Conclusions</w:t>
      </w:r>
    </w:p>
    <w:p w14:paraId="230886DB" w14:textId="4E3BB230" w:rsidR="00136D35" w:rsidRDefault="00136D35" w:rsidP="0009784B">
      <w:pPr>
        <w:pStyle w:val="CETBodytext"/>
        <w:rPr>
          <w:lang w:val="en-GB"/>
        </w:rPr>
      </w:pPr>
      <w:r w:rsidRPr="00136D35">
        <w:rPr>
          <w:lang w:val="en-GB"/>
        </w:rPr>
        <w:t>Based on the cradle-to-gate approach, the LCA results indicate that the</w:t>
      </w:r>
      <w:r>
        <w:rPr>
          <w:lang w:val="en-GB"/>
        </w:rPr>
        <w:t xml:space="preserve"> </w:t>
      </w:r>
      <w:r w:rsidRPr="00136D35">
        <w:rPr>
          <w:lang w:val="en-GB"/>
        </w:rPr>
        <w:t>electricity mix significantly influences the environmental impact of both liquid hydrogen production routes. With its substantially higher energy consumption, the AWE route is more sensitive to variations in the electricity</w:t>
      </w:r>
      <w:r>
        <w:rPr>
          <w:lang w:val="en-GB"/>
        </w:rPr>
        <w:t xml:space="preserve"> </w:t>
      </w:r>
      <w:r w:rsidRPr="00136D35">
        <w:rPr>
          <w:lang w:val="en-GB"/>
        </w:rPr>
        <w:t>mix than the SMR route.</w:t>
      </w:r>
      <w:r>
        <w:rPr>
          <w:lang w:val="en-GB"/>
        </w:rPr>
        <w:t xml:space="preserve"> </w:t>
      </w:r>
      <w:r w:rsidRPr="00136D35">
        <w:rPr>
          <w:lang w:val="en-GB"/>
        </w:rPr>
        <w:t>Increasing the proportion of renewable energy in the electricity mix effectively reduces the GWP and AP across the two liquid hydrogen production</w:t>
      </w:r>
      <w:r>
        <w:rPr>
          <w:lang w:val="en-GB"/>
        </w:rPr>
        <w:t xml:space="preserve"> </w:t>
      </w:r>
      <w:r w:rsidRPr="00136D35">
        <w:rPr>
          <w:lang w:val="en-GB"/>
        </w:rPr>
        <w:t>routes. It also reduces the discrepancy in these values between different</w:t>
      </w:r>
      <w:r>
        <w:rPr>
          <w:lang w:val="en-GB"/>
        </w:rPr>
        <w:t xml:space="preserve"> </w:t>
      </w:r>
      <w:r w:rsidRPr="00136D35">
        <w:rPr>
          <w:lang w:val="en-GB"/>
        </w:rPr>
        <w:t xml:space="preserve">production </w:t>
      </w:r>
      <w:r w:rsidRPr="00136D35">
        <w:rPr>
          <w:lang w:val="en-GB"/>
        </w:rPr>
        <w:lastRenderedPageBreak/>
        <w:t>technologies. However, the AWE route exhibits a higher environmental impact than the SMR, even with a complete transition to renewable</w:t>
      </w:r>
      <w:r w:rsidR="0009784B">
        <w:rPr>
          <w:lang w:val="en-GB"/>
        </w:rPr>
        <w:t xml:space="preserve"> </w:t>
      </w:r>
      <w:r w:rsidR="0009784B" w:rsidRPr="0009784B">
        <w:rPr>
          <w:lang w:val="en-GB"/>
        </w:rPr>
        <w:t xml:space="preserve">energy. This higher impact is attributed to the energy </w:t>
      </w:r>
      <w:r w:rsidR="001854CA">
        <w:rPr>
          <w:lang w:val="en-GB"/>
        </w:rPr>
        <w:t>needed to</w:t>
      </w:r>
      <w:r w:rsidR="0009784B" w:rsidRPr="0009784B">
        <w:rPr>
          <w:lang w:val="en-GB"/>
        </w:rPr>
        <w:t xml:space="preserve"> </w:t>
      </w:r>
      <w:r w:rsidR="001854CA">
        <w:rPr>
          <w:lang w:val="en-GB"/>
        </w:rPr>
        <w:t xml:space="preserve">deionize </w:t>
      </w:r>
      <w:r w:rsidR="001854CA" w:rsidRPr="0009784B">
        <w:rPr>
          <w:lang w:val="en-GB"/>
        </w:rPr>
        <w:t>water</w:t>
      </w:r>
      <w:r w:rsidR="001854CA" w:rsidRPr="008F094A">
        <w:rPr>
          <w:lang w:val="en-GB"/>
        </w:rPr>
        <w:t xml:space="preserve"> </w:t>
      </w:r>
      <w:r w:rsidR="0009784B" w:rsidRPr="008F094A">
        <w:rPr>
          <w:lang w:val="en-GB"/>
        </w:rPr>
        <w:t>and</w:t>
      </w:r>
      <w:r w:rsidR="001854CA">
        <w:rPr>
          <w:lang w:val="en-GB"/>
        </w:rPr>
        <w:t xml:space="preserve"> the</w:t>
      </w:r>
      <w:r w:rsidR="0009784B" w:rsidRPr="008F094A">
        <w:rPr>
          <w:lang w:val="en-GB"/>
        </w:rPr>
        <w:t xml:space="preserve"> electrolyzer construction that consumes energy from the current electricity grid. Additionally, while contributing to a considerable portion of energy in the SMR route, the liquefaction process </w:t>
      </w:r>
      <w:r w:rsidR="008F094A" w:rsidRPr="008F094A">
        <w:rPr>
          <w:lang w:val="en-GB"/>
        </w:rPr>
        <w:t>contribut</w:t>
      </w:r>
      <w:r w:rsidR="001854CA">
        <w:rPr>
          <w:lang w:val="en-GB"/>
        </w:rPr>
        <w:t xml:space="preserve">es </w:t>
      </w:r>
      <w:r w:rsidR="001854CA" w:rsidRPr="008F094A">
        <w:rPr>
          <w:lang w:val="en-GB"/>
        </w:rPr>
        <w:t>less</w:t>
      </w:r>
      <w:r w:rsidR="008F094A" w:rsidRPr="008F094A">
        <w:rPr>
          <w:lang w:val="en-GB"/>
        </w:rPr>
        <w:t xml:space="preserve"> </w:t>
      </w:r>
      <w:r w:rsidR="0009784B" w:rsidRPr="008F094A">
        <w:rPr>
          <w:lang w:val="en-GB"/>
        </w:rPr>
        <w:t xml:space="preserve">to the total environmental impact </w:t>
      </w:r>
      <w:r w:rsidR="001854CA">
        <w:rPr>
          <w:lang w:val="en-GB"/>
        </w:rPr>
        <w:t>of</w:t>
      </w:r>
      <w:r w:rsidR="001854CA" w:rsidRPr="008F094A">
        <w:rPr>
          <w:lang w:val="en-GB"/>
        </w:rPr>
        <w:t xml:space="preserve"> </w:t>
      </w:r>
      <w:r w:rsidR="0009784B" w:rsidRPr="008F094A">
        <w:rPr>
          <w:lang w:val="en-GB"/>
        </w:rPr>
        <w:t xml:space="preserve">both production paths. Given the substantial environmental impacts of the AWE’s operation and construction, it is necessary to improve its operational efficiency and optimize construction practices. Future strategies in hydrogen production should not only accelerate the shift to renewable energy but also emphasize the use of sustainable materials and prolong the lifespan of production equipment. Such measures are crucial </w:t>
      </w:r>
      <w:r w:rsidR="008F094A" w:rsidRPr="00237802">
        <w:rPr>
          <w:lang w:val="en-GB"/>
        </w:rPr>
        <w:t>to</w:t>
      </w:r>
      <w:r w:rsidR="0009784B" w:rsidRPr="00237802">
        <w:rPr>
          <w:lang w:val="en-GB"/>
        </w:rPr>
        <w:t xml:space="preserve"> achieving carbon neutrality targets </w:t>
      </w:r>
      <w:r w:rsidR="00C00A65" w:rsidRPr="00237802">
        <w:rPr>
          <w:lang w:val="en-GB"/>
        </w:rPr>
        <w:t>in the transportation sector</w:t>
      </w:r>
      <w:r w:rsidR="00235D50" w:rsidRPr="00237802">
        <w:rPr>
          <w:lang w:val="en-GB"/>
        </w:rPr>
        <w:t xml:space="preserve"> general</w:t>
      </w:r>
      <w:r w:rsidR="001854CA" w:rsidRPr="00237802">
        <w:rPr>
          <w:lang w:val="en-GB"/>
        </w:rPr>
        <w:t>ly</w:t>
      </w:r>
      <w:r w:rsidR="00235D50" w:rsidRPr="00237802">
        <w:rPr>
          <w:lang w:val="en-GB"/>
        </w:rPr>
        <w:t xml:space="preserve"> and </w:t>
      </w:r>
      <w:r w:rsidR="00383501" w:rsidRPr="00237802">
        <w:rPr>
          <w:lang w:val="en-GB"/>
        </w:rPr>
        <w:t xml:space="preserve">in </w:t>
      </w:r>
      <w:r w:rsidR="001854CA" w:rsidRPr="00237802">
        <w:rPr>
          <w:lang w:val="en-GB"/>
        </w:rPr>
        <w:t xml:space="preserve">the aviation industry </w:t>
      </w:r>
      <w:r w:rsidR="00235D50" w:rsidRPr="00237802">
        <w:rPr>
          <w:lang w:val="en-GB"/>
        </w:rPr>
        <w:t>specifically</w:t>
      </w:r>
      <w:r w:rsidR="0009784B" w:rsidRPr="00237802">
        <w:rPr>
          <w:lang w:val="en-GB"/>
        </w:rPr>
        <w:t>.</w:t>
      </w:r>
    </w:p>
    <w:p w14:paraId="07A6D20F" w14:textId="0ECF229E" w:rsidR="00280FAF" w:rsidRPr="008F094A" w:rsidRDefault="00280FAF" w:rsidP="00845550">
      <w:pPr>
        <w:pStyle w:val="CETHeadingxx"/>
        <w:rPr>
          <w:lang w:val="en-GB"/>
        </w:rPr>
        <w:sectPr w:rsidR="00280FAF" w:rsidRPr="008F094A" w:rsidSect="00D75FE5">
          <w:type w:val="continuous"/>
          <w:pgSz w:w="11906" w:h="16838" w:code="9"/>
          <w:pgMar w:top="1701" w:right="1418" w:bottom="1701" w:left="1701" w:header="1701" w:footer="0" w:gutter="0"/>
          <w:cols w:space="708"/>
          <w:formProt w:val="0"/>
          <w:titlePg/>
          <w:docGrid w:linePitch="360"/>
        </w:sectPr>
      </w:pPr>
      <w:bookmarkStart w:id="7" w:name="_Hlk164333123"/>
      <w:r w:rsidRPr="008F094A">
        <w:t>Nomenclature</w:t>
      </w:r>
    </w:p>
    <w:tbl>
      <w:tblPr>
        <w:tblStyle w:val="Grigliatabella"/>
        <w:tblW w:w="90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268"/>
        <w:gridCol w:w="2605"/>
      </w:tblGrid>
      <w:tr w:rsidR="00535D2F" w:rsidRPr="00535D2F" w14:paraId="6BC023A2" w14:textId="48BE9B79" w:rsidTr="00DB4A1A">
        <w:tc>
          <w:tcPr>
            <w:tcW w:w="3127" w:type="dxa"/>
          </w:tcPr>
          <w:p w14:paraId="78DA8B55" w14:textId="77777777" w:rsidR="00535D2F" w:rsidRPr="004449A6" w:rsidRDefault="00535D2F" w:rsidP="00535D2F">
            <w:pPr>
              <w:pStyle w:val="CETBodytext"/>
              <w:jc w:val="left"/>
              <w:rPr>
                <w:rFonts w:eastAsia="SimSun"/>
                <w:sz w:val="13"/>
                <w:szCs w:val="13"/>
              </w:rPr>
            </w:pPr>
            <w:bookmarkStart w:id="8" w:name="_Hlk164332525"/>
            <w:bookmarkEnd w:id="7"/>
            <w:r w:rsidRPr="004449A6">
              <w:rPr>
                <w:rFonts w:eastAsia="SimSun"/>
                <w:sz w:val="13"/>
                <w:szCs w:val="13"/>
              </w:rPr>
              <w:t>AP – Acidification potential (terrestrial)</w:t>
            </w:r>
          </w:p>
          <w:p w14:paraId="732026CC" w14:textId="77777777" w:rsidR="00535D2F" w:rsidRPr="004449A6" w:rsidRDefault="00535D2F" w:rsidP="00535D2F">
            <w:pPr>
              <w:pStyle w:val="CETBodytext"/>
              <w:jc w:val="left"/>
              <w:rPr>
                <w:rFonts w:eastAsia="SimSun"/>
                <w:sz w:val="13"/>
                <w:szCs w:val="13"/>
              </w:rPr>
            </w:pPr>
            <w:r w:rsidRPr="004449A6">
              <w:rPr>
                <w:rFonts w:eastAsia="SimSun"/>
                <w:sz w:val="13"/>
                <w:szCs w:val="13"/>
              </w:rPr>
              <w:t>AWE – Alkaline water electrolysis</w:t>
            </w:r>
          </w:p>
          <w:p w14:paraId="337D681B" w14:textId="77777777" w:rsidR="00535D2F" w:rsidRPr="004449A6" w:rsidRDefault="00535D2F" w:rsidP="00535D2F">
            <w:pPr>
              <w:pStyle w:val="CETBodytext"/>
              <w:jc w:val="left"/>
              <w:rPr>
                <w:rFonts w:eastAsia="SimSun"/>
                <w:sz w:val="13"/>
                <w:szCs w:val="13"/>
              </w:rPr>
            </w:pPr>
            <w:r w:rsidRPr="004449A6">
              <w:rPr>
                <w:rFonts w:eastAsia="SimSun"/>
                <w:sz w:val="13"/>
                <w:szCs w:val="13"/>
              </w:rPr>
              <w:t>FFP – fossil fuel potential (energy resources)</w:t>
            </w:r>
          </w:p>
          <w:p w14:paraId="6D0FA15B" w14:textId="77777777" w:rsidR="00535D2F" w:rsidRPr="004449A6" w:rsidRDefault="00535D2F" w:rsidP="00535D2F">
            <w:pPr>
              <w:pStyle w:val="CETBodytext"/>
              <w:jc w:val="left"/>
              <w:rPr>
                <w:rFonts w:eastAsia="SimSun"/>
                <w:sz w:val="13"/>
                <w:szCs w:val="13"/>
              </w:rPr>
            </w:pPr>
            <w:r w:rsidRPr="004449A6">
              <w:rPr>
                <w:rFonts w:eastAsia="SimSun"/>
                <w:sz w:val="13"/>
                <w:szCs w:val="13"/>
              </w:rPr>
              <w:t>GHG – Greenhouse gas emissions</w:t>
            </w:r>
          </w:p>
          <w:p w14:paraId="0BAE2031" w14:textId="77777777" w:rsidR="00535D2F" w:rsidRPr="004449A6" w:rsidRDefault="00535D2F" w:rsidP="00535D2F">
            <w:pPr>
              <w:pStyle w:val="CETBodytext"/>
              <w:jc w:val="left"/>
              <w:rPr>
                <w:rFonts w:eastAsia="SimSun"/>
                <w:sz w:val="13"/>
                <w:szCs w:val="13"/>
              </w:rPr>
            </w:pPr>
            <w:r w:rsidRPr="004449A6">
              <w:rPr>
                <w:rFonts w:eastAsia="SimSun"/>
                <w:sz w:val="13"/>
                <w:szCs w:val="13"/>
              </w:rPr>
              <w:t>GWP – Global warming potential</w:t>
            </w:r>
          </w:p>
          <w:p w14:paraId="0931FE6E" w14:textId="6E580EAF" w:rsidR="00535D2F" w:rsidRPr="004449A6" w:rsidRDefault="00535D2F" w:rsidP="00535D2F">
            <w:pPr>
              <w:pStyle w:val="CETBodytext"/>
              <w:jc w:val="left"/>
              <w:rPr>
                <w:rFonts w:eastAsia="SimSun"/>
                <w:sz w:val="13"/>
                <w:szCs w:val="13"/>
              </w:rPr>
            </w:pPr>
            <w:r w:rsidRPr="004449A6">
              <w:rPr>
                <w:rFonts w:eastAsia="SimSun"/>
                <w:sz w:val="13"/>
                <w:szCs w:val="13"/>
              </w:rPr>
              <w:t>HTPc – human toxicity potential (carcinogenic)</w:t>
            </w:r>
          </w:p>
        </w:tc>
        <w:tc>
          <w:tcPr>
            <w:tcW w:w="3268" w:type="dxa"/>
          </w:tcPr>
          <w:p w14:paraId="784AD95E" w14:textId="6A81EBB9" w:rsidR="00535D2F" w:rsidRPr="004449A6" w:rsidRDefault="00535D2F" w:rsidP="00535D2F">
            <w:pPr>
              <w:pStyle w:val="CETBodytext"/>
              <w:jc w:val="left"/>
              <w:rPr>
                <w:rFonts w:eastAsia="SimSun"/>
                <w:sz w:val="13"/>
                <w:szCs w:val="13"/>
              </w:rPr>
            </w:pPr>
            <w:r w:rsidRPr="004449A6">
              <w:rPr>
                <w:rFonts w:eastAsia="SimSun"/>
                <w:sz w:val="13"/>
                <w:szCs w:val="13"/>
              </w:rPr>
              <w:t>HTPnc - human toxicity potential (non-carcinogenic)</w:t>
            </w:r>
          </w:p>
          <w:p w14:paraId="57C49A11" w14:textId="19233F94" w:rsidR="00535D2F" w:rsidRPr="004449A6" w:rsidRDefault="00535D2F" w:rsidP="00535D2F">
            <w:pPr>
              <w:pStyle w:val="CETBodytext"/>
              <w:jc w:val="left"/>
              <w:rPr>
                <w:rFonts w:eastAsia="SimSun"/>
                <w:sz w:val="13"/>
                <w:szCs w:val="13"/>
              </w:rPr>
            </w:pPr>
            <w:r w:rsidRPr="004449A6">
              <w:rPr>
                <w:rFonts w:eastAsia="SimSun"/>
                <w:sz w:val="13"/>
                <w:szCs w:val="13"/>
              </w:rPr>
              <w:t>JBC – Joule Brayton cycle (helium liquefaction)</w:t>
            </w:r>
          </w:p>
          <w:p w14:paraId="2C575671" w14:textId="77777777" w:rsidR="00535D2F" w:rsidRPr="004449A6" w:rsidRDefault="00535D2F" w:rsidP="00535D2F">
            <w:pPr>
              <w:pStyle w:val="CETBodytext"/>
              <w:jc w:val="left"/>
              <w:rPr>
                <w:rFonts w:eastAsia="SimSun"/>
                <w:sz w:val="13"/>
                <w:szCs w:val="13"/>
              </w:rPr>
            </w:pPr>
            <w:r w:rsidRPr="004449A6">
              <w:rPr>
                <w:rFonts w:eastAsia="SimSun"/>
                <w:sz w:val="13"/>
                <w:szCs w:val="13"/>
              </w:rPr>
              <w:t>LCA – Life cycle assessment</w:t>
            </w:r>
          </w:p>
          <w:p w14:paraId="2D9C05D8" w14:textId="77777777" w:rsidR="00535D2F" w:rsidRPr="004449A6" w:rsidRDefault="00535D2F" w:rsidP="00535D2F">
            <w:pPr>
              <w:pStyle w:val="CETBodytext"/>
              <w:jc w:val="left"/>
              <w:rPr>
                <w:rFonts w:eastAsia="SimSun"/>
                <w:sz w:val="13"/>
                <w:szCs w:val="13"/>
              </w:rPr>
            </w:pPr>
            <w:r w:rsidRPr="004449A6">
              <w:rPr>
                <w:rFonts w:eastAsia="SimSun"/>
                <w:sz w:val="13"/>
                <w:szCs w:val="13"/>
              </w:rPr>
              <w:t>LCI – Life cycle inventories</w:t>
            </w:r>
          </w:p>
          <w:p w14:paraId="5598EC4F" w14:textId="77777777" w:rsidR="00535D2F" w:rsidRPr="004449A6" w:rsidRDefault="00535D2F" w:rsidP="00535D2F">
            <w:pPr>
              <w:pStyle w:val="CETBodytext"/>
              <w:jc w:val="left"/>
              <w:rPr>
                <w:rFonts w:eastAsia="SimSun"/>
                <w:sz w:val="13"/>
                <w:szCs w:val="13"/>
              </w:rPr>
            </w:pPr>
            <w:r w:rsidRPr="004449A6">
              <w:rPr>
                <w:rFonts w:eastAsia="SimSun"/>
                <w:sz w:val="13"/>
                <w:szCs w:val="13"/>
              </w:rPr>
              <w:t>LCIA – Life cycle impact assessment</w:t>
            </w:r>
          </w:p>
          <w:p w14:paraId="5DFA70A4" w14:textId="6E57C95E" w:rsidR="00535D2F" w:rsidRPr="004449A6" w:rsidRDefault="00535D2F" w:rsidP="005E08C6">
            <w:pPr>
              <w:pStyle w:val="CETBodytext"/>
              <w:jc w:val="left"/>
              <w:rPr>
                <w:rFonts w:eastAsia="SimSun"/>
                <w:sz w:val="13"/>
                <w:szCs w:val="13"/>
              </w:rPr>
            </w:pPr>
            <w:r w:rsidRPr="004449A6">
              <w:rPr>
                <w:rFonts w:eastAsia="SimSun"/>
                <w:sz w:val="13"/>
                <w:szCs w:val="13"/>
              </w:rPr>
              <w:t>LOP – land use - agricultural land occupation</w:t>
            </w:r>
          </w:p>
        </w:tc>
        <w:tc>
          <w:tcPr>
            <w:tcW w:w="2605" w:type="dxa"/>
          </w:tcPr>
          <w:p w14:paraId="6A5AC54F" w14:textId="77777777" w:rsidR="005E08C6" w:rsidRPr="004449A6" w:rsidRDefault="005E08C6" w:rsidP="005E08C6">
            <w:pPr>
              <w:pStyle w:val="CETBodytext"/>
              <w:jc w:val="left"/>
              <w:rPr>
                <w:rFonts w:eastAsia="SimSun"/>
                <w:sz w:val="13"/>
                <w:szCs w:val="13"/>
              </w:rPr>
            </w:pPr>
            <w:r w:rsidRPr="004449A6">
              <w:rPr>
                <w:rFonts w:eastAsia="SimSun"/>
                <w:sz w:val="13"/>
                <w:szCs w:val="13"/>
              </w:rPr>
              <w:t>PEM – Proton exchange membrane</w:t>
            </w:r>
          </w:p>
          <w:p w14:paraId="34A6F084" w14:textId="1C017622" w:rsidR="00535D2F" w:rsidRPr="004449A6" w:rsidRDefault="00535D2F" w:rsidP="00535D2F">
            <w:pPr>
              <w:pStyle w:val="CETBodytext"/>
              <w:jc w:val="left"/>
              <w:rPr>
                <w:rFonts w:eastAsia="SimSun"/>
                <w:sz w:val="13"/>
                <w:szCs w:val="13"/>
              </w:rPr>
            </w:pPr>
            <w:r w:rsidRPr="004449A6">
              <w:rPr>
                <w:rFonts w:eastAsia="SimSun"/>
                <w:sz w:val="13"/>
                <w:szCs w:val="13"/>
              </w:rPr>
              <w:t xml:space="preserve">PSA – </w:t>
            </w:r>
            <w:r w:rsidR="00BD3F93">
              <w:rPr>
                <w:rFonts w:eastAsia="SimSun"/>
                <w:sz w:val="13"/>
                <w:szCs w:val="13"/>
              </w:rPr>
              <w:t>P</w:t>
            </w:r>
            <w:r w:rsidRPr="004449A6">
              <w:rPr>
                <w:rFonts w:eastAsia="SimSun"/>
                <w:sz w:val="13"/>
                <w:szCs w:val="13"/>
              </w:rPr>
              <w:t>ressure swing adsorption</w:t>
            </w:r>
          </w:p>
          <w:p w14:paraId="59620DF8" w14:textId="1ABBE0AC" w:rsidR="00535D2F" w:rsidRPr="004449A6" w:rsidRDefault="00535D2F" w:rsidP="00535D2F">
            <w:pPr>
              <w:pStyle w:val="CETBodytext"/>
              <w:jc w:val="left"/>
              <w:rPr>
                <w:rFonts w:eastAsia="SimSun"/>
                <w:sz w:val="13"/>
                <w:szCs w:val="13"/>
              </w:rPr>
            </w:pPr>
            <w:r w:rsidRPr="004449A6">
              <w:rPr>
                <w:rFonts w:eastAsia="SimSun"/>
                <w:sz w:val="13"/>
                <w:szCs w:val="13"/>
              </w:rPr>
              <w:t>SAF – Sustainable aviation fuels</w:t>
            </w:r>
          </w:p>
          <w:p w14:paraId="21BECB05" w14:textId="77777777" w:rsidR="00535D2F" w:rsidRPr="004449A6" w:rsidRDefault="00535D2F" w:rsidP="00535D2F">
            <w:pPr>
              <w:pStyle w:val="CETBodytext"/>
              <w:jc w:val="left"/>
              <w:rPr>
                <w:rFonts w:eastAsia="SimSun"/>
                <w:sz w:val="13"/>
                <w:szCs w:val="13"/>
              </w:rPr>
            </w:pPr>
            <w:r w:rsidRPr="004449A6">
              <w:rPr>
                <w:rFonts w:eastAsia="SimSun"/>
                <w:sz w:val="13"/>
                <w:szCs w:val="13"/>
              </w:rPr>
              <w:t>SMR – Steam methane reforming</w:t>
            </w:r>
          </w:p>
          <w:p w14:paraId="431A1AF9" w14:textId="77777777" w:rsidR="00535D2F" w:rsidRPr="004449A6" w:rsidRDefault="00535D2F" w:rsidP="00535D2F">
            <w:pPr>
              <w:pStyle w:val="CETBodytext"/>
              <w:jc w:val="left"/>
              <w:rPr>
                <w:rFonts w:eastAsia="SimSun"/>
                <w:sz w:val="13"/>
                <w:szCs w:val="13"/>
              </w:rPr>
            </w:pPr>
            <w:r w:rsidRPr="004449A6">
              <w:rPr>
                <w:rFonts w:eastAsia="SimSun"/>
                <w:sz w:val="13"/>
                <w:szCs w:val="13"/>
              </w:rPr>
              <w:t>TETP – Terrestrial ecotoxicity potential</w:t>
            </w:r>
          </w:p>
          <w:p w14:paraId="535F4A58" w14:textId="67602428" w:rsidR="00535D2F" w:rsidRPr="004449A6" w:rsidRDefault="00535D2F" w:rsidP="00535D2F">
            <w:pPr>
              <w:pStyle w:val="CETBodytext"/>
              <w:jc w:val="left"/>
              <w:rPr>
                <w:rFonts w:eastAsia="SimSun"/>
                <w:sz w:val="13"/>
                <w:szCs w:val="13"/>
              </w:rPr>
            </w:pPr>
            <w:r w:rsidRPr="004449A6">
              <w:rPr>
                <w:rFonts w:eastAsia="SimSun"/>
                <w:sz w:val="13"/>
                <w:szCs w:val="13"/>
              </w:rPr>
              <w:t>WCP – water consumption potential</w:t>
            </w:r>
          </w:p>
        </w:tc>
      </w:tr>
      <w:bookmarkEnd w:id="8"/>
    </w:tbl>
    <w:p w14:paraId="4BD9B087" w14:textId="77777777" w:rsidR="00FE1A63" w:rsidRPr="006306A4" w:rsidRDefault="00FE1A63" w:rsidP="00F8496C">
      <w:pPr>
        <w:pStyle w:val="CETBodytext"/>
        <w:jc w:val="left"/>
        <w:rPr>
          <w:rFonts w:eastAsia="SimSun"/>
          <w:sz w:val="4"/>
          <w:szCs w:val="6"/>
        </w:rPr>
      </w:pPr>
    </w:p>
    <w:p w14:paraId="7DFFBF41" w14:textId="77777777" w:rsidR="00280FAF" w:rsidRPr="00280FAF" w:rsidRDefault="00280FAF" w:rsidP="00280FAF">
      <w:pPr>
        <w:pStyle w:val="CETBodytext"/>
        <w:jc w:val="left"/>
        <w:rPr>
          <w:rFonts w:eastAsia="SimSun"/>
        </w:rPr>
        <w:sectPr w:rsidR="00280FAF" w:rsidRPr="00280FAF" w:rsidSect="00D75FE5">
          <w:type w:val="continuous"/>
          <w:pgSz w:w="11906" w:h="16838" w:code="9"/>
          <w:pgMar w:top="1701" w:right="1418" w:bottom="1701" w:left="1701" w:header="1701" w:footer="0" w:gutter="0"/>
          <w:cols w:space="708"/>
          <w:formProt w:val="0"/>
          <w:titlePg/>
          <w:docGrid w:linePitch="360"/>
        </w:sectPr>
      </w:pPr>
    </w:p>
    <w:p w14:paraId="4F1327F8" w14:textId="77777777" w:rsidR="00600535" w:rsidRPr="00B57B36" w:rsidRDefault="00600535" w:rsidP="00600535">
      <w:pPr>
        <w:pStyle w:val="CETReference"/>
      </w:pPr>
      <w:r w:rsidRPr="00B57B36">
        <w:t>References</w:t>
      </w:r>
    </w:p>
    <w:p w14:paraId="3161EF8D" w14:textId="0976729B" w:rsidR="00FE1A63" w:rsidRPr="002D0005" w:rsidRDefault="00FE1A63" w:rsidP="00FE1A63">
      <w:pPr>
        <w:pStyle w:val="CETReferencetext"/>
        <w:rPr>
          <w:sz w:val="14"/>
          <w:szCs w:val="14"/>
          <w:lang w:val="en-US"/>
        </w:rPr>
      </w:pPr>
      <w:r w:rsidRPr="002D0005">
        <w:rPr>
          <w:sz w:val="14"/>
          <w:szCs w:val="14"/>
          <w:lang w:val="de-DE"/>
        </w:rPr>
        <w:t xml:space="preserve">Appunn, K., Haas, Y., and Wettengel, J. (2023). </w:t>
      </w:r>
      <w:r w:rsidRPr="002D0005">
        <w:rPr>
          <w:sz w:val="14"/>
          <w:szCs w:val="14"/>
          <w:lang w:val="en-US"/>
        </w:rPr>
        <w:t>Germany’s energy consumption and power mix in charts. https://www.cleanenergywire.org/factsheets/germanys-energy-consumption-and-power-mix-charts.</w:t>
      </w:r>
    </w:p>
    <w:p w14:paraId="6DB0BE23" w14:textId="77777777" w:rsidR="00FE1A63" w:rsidRPr="002D0005" w:rsidRDefault="00FE1A63" w:rsidP="00FE1A63">
      <w:pPr>
        <w:pStyle w:val="CETReferencetext"/>
        <w:rPr>
          <w:sz w:val="14"/>
          <w:szCs w:val="14"/>
          <w:lang w:val="en-US"/>
        </w:rPr>
      </w:pPr>
      <w:r w:rsidRPr="002D0005">
        <w:rPr>
          <w:sz w:val="14"/>
          <w:szCs w:val="14"/>
          <w:lang w:val="en-US"/>
        </w:rPr>
        <w:t>Barelli, L., Bidini, G., Gallorini, F., and Servili, S. (2008). Hydrogen production through sorption-enhanced steam methane reforming and membrane technology: A review. Energy, 33(4):554–570.</w:t>
      </w:r>
    </w:p>
    <w:p w14:paraId="15EF68BC" w14:textId="4658F3E3" w:rsidR="008014EF" w:rsidRPr="002D0005" w:rsidRDefault="008014EF" w:rsidP="00FE1A63">
      <w:pPr>
        <w:pStyle w:val="CETReferencetext"/>
        <w:rPr>
          <w:sz w:val="14"/>
          <w:szCs w:val="14"/>
          <w:lang w:val="en-US"/>
        </w:rPr>
      </w:pPr>
      <w:r w:rsidRPr="002D0005">
        <w:rPr>
          <w:sz w:val="14"/>
          <w:szCs w:val="14"/>
          <w:lang w:val="en-US"/>
        </w:rPr>
        <w:t>Bareiß et al., 2019. L</w:t>
      </w:r>
      <w:r w:rsidR="002C0F02">
        <w:rPr>
          <w:sz w:val="14"/>
          <w:szCs w:val="14"/>
          <w:lang w:val="en-US"/>
        </w:rPr>
        <w:t>CA</w:t>
      </w:r>
      <w:r w:rsidRPr="002D0005">
        <w:rPr>
          <w:sz w:val="14"/>
          <w:szCs w:val="14"/>
          <w:lang w:val="en-US"/>
        </w:rPr>
        <w:t xml:space="preserve"> of </w:t>
      </w:r>
      <w:r w:rsidR="00DB4A1A">
        <w:rPr>
          <w:sz w:val="14"/>
          <w:szCs w:val="14"/>
          <w:lang w:val="en-US"/>
        </w:rPr>
        <w:t>H</w:t>
      </w:r>
      <w:r w:rsidR="00DB4A1A" w:rsidRPr="00EA4A05">
        <w:rPr>
          <w:sz w:val="14"/>
          <w:szCs w:val="14"/>
          <w:vertAlign w:val="subscript"/>
          <w:lang w:val="en-US"/>
        </w:rPr>
        <w:t>2</w:t>
      </w:r>
      <w:r w:rsidRPr="002D0005">
        <w:rPr>
          <w:sz w:val="14"/>
          <w:szCs w:val="14"/>
          <w:lang w:val="en-US"/>
        </w:rPr>
        <w:t xml:space="preserve"> from proton exchange membrane water electrolysis in future energy systems. Applied Energy</w:t>
      </w:r>
      <w:r w:rsidR="00DB4A1A">
        <w:rPr>
          <w:sz w:val="14"/>
          <w:szCs w:val="14"/>
          <w:lang w:val="en-US"/>
        </w:rPr>
        <w:t xml:space="preserve"> </w:t>
      </w:r>
      <w:r w:rsidRPr="002D0005">
        <w:rPr>
          <w:sz w:val="14"/>
          <w:szCs w:val="14"/>
          <w:lang w:val="en-US"/>
        </w:rPr>
        <w:t>(237), 862-872.</w:t>
      </w:r>
    </w:p>
    <w:p w14:paraId="307B4871" w14:textId="6C2D1297" w:rsidR="00FE1A63" w:rsidRPr="002D0005" w:rsidRDefault="00FE1A63" w:rsidP="00FE1A63">
      <w:pPr>
        <w:pStyle w:val="CETReferencetext"/>
        <w:rPr>
          <w:sz w:val="14"/>
          <w:szCs w:val="14"/>
          <w:lang w:val="en-US"/>
        </w:rPr>
      </w:pPr>
      <w:r w:rsidRPr="003821BE">
        <w:rPr>
          <w:sz w:val="14"/>
          <w:szCs w:val="14"/>
          <w:lang w:val="de-DE"/>
        </w:rPr>
        <w:t xml:space="preserve">Bergero, C., Gosnell, G., Gielen, D., Kang, S., Bazilian, M., Davis, S. (2023). </w:t>
      </w:r>
      <w:r w:rsidRPr="002D0005">
        <w:rPr>
          <w:sz w:val="14"/>
          <w:szCs w:val="14"/>
          <w:lang w:val="en-US"/>
        </w:rPr>
        <w:t>Pathways to net-zero emissions from aviation. Nature Sustainability, 6(4):404–414.</w:t>
      </w:r>
    </w:p>
    <w:p w14:paraId="0496D71E" w14:textId="77777777" w:rsidR="00FE1A63" w:rsidRPr="002D0005" w:rsidRDefault="00FE1A63" w:rsidP="00FE1A63">
      <w:pPr>
        <w:pStyle w:val="CETReferencetext"/>
        <w:rPr>
          <w:sz w:val="14"/>
          <w:szCs w:val="14"/>
          <w:lang w:val="de-DE"/>
        </w:rPr>
      </w:pPr>
      <w:r w:rsidRPr="002D0005">
        <w:rPr>
          <w:sz w:val="14"/>
          <w:szCs w:val="14"/>
          <w:lang w:val="en-US"/>
        </w:rPr>
        <w:t xml:space="preserve">Bhandari, R., Trudewind, C. A., and Zapp, P. (2012). Life cycle assessment of hydrogen production methods: A review. </w:t>
      </w:r>
      <w:r w:rsidRPr="002D0005">
        <w:rPr>
          <w:sz w:val="14"/>
          <w:szCs w:val="14"/>
          <w:lang w:val="de-DE"/>
        </w:rPr>
        <w:t>Institut für Energie-und Klimaforschung, Systemforschung und Technologische Entwicklung.</w:t>
      </w:r>
    </w:p>
    <w:p w14:paraId="1960E72D" w14:textId="44D152B4" w:rsidR="00FE1A63" w:rsidRPr="002D0005" w:rsidRDefault="00FE1A63" w:rsidP="00FE1A63">
      <w:pPr>
        <w:pStyle w:val="CETReferencetext"/>
        <w:rPr>
          <w:sz w:val="14"/>
          <w:szCs w:val="14"/>
          <w:lang w:val="en-US"/>
        </w:rPr>
      </w:pPr>
      <w:r w:rsidRPr="002C0F02">
        <w:rPr>
          <w:sz w:val="14"/>
          <w:szCs w:val="14"/>
          <w:lang w:val="de-DE"/>
        </w:rPr>
        <w:t xml:space="preserve">Boyano, A., Blanco-Marigorta, A., Morosuk, T., and Tsatsaronis, G. (2011). </w:t>
      </w:r>
      <w:r w:rsidRPr="002D0005">
        <w:rPr>
          <w:sz w:val="14"/>
          <w:szCs w:val="14"/>
          <w:lang w:val="en-US"/>
        </w:rPr>
        <w:t>Exergoenvironmental analysis of a steam methane reforming process for hydrogen production. Energy, 36(4):2202–2214.</w:t>
      </w:r>
    </w:p>
    <w:p w14:paraId="26B24A4E" w14:textId="4E334999" w:rsidR="00FE1A63" w:rsidRPr="002D0005" w:rsidRDefault="00FE1A63" w:rsidP="00FE1A63">
      <w:pPr>
        <w:pStyle w:val="CETReferencetext"/>
        <w:rPr>
          <w:sz w:val="14"/>
          <w:szCs w:val="14"/>
          <w:lang w:val="en-US"/>
        </w:rPr>
      </w:pPr>
      <w:r w:rsidRPr="002D0005">
        <w:rPr>
          <w:sz w:val="14"/>
          <w:szCs w:val="14"/>
          <w:lang w:val="en-US"/>
        </w:rPr>
        <w:t>Burkhardt, J., Patyk, A., Tanguy, P., and Retzke, C. (2016). Hydrogen mobility from wind energy. Applied energy, 181:54–64.</w:t>
      </w:r>
    </w:p>
    <w:p w14:paraId="4B8E8044" w14:textId="1820AEF4" w:rsidR="00FE1A63" w:rsidRPr="002D0005" w:rsidRDefault="00FE1A63" w:rsidP="00FE1A63">
      <w:pPr>
        <w:pStyle w:val="CETReferencetext"/>
        <w:rPr>
          <w:sz w:val="14"/>
          <w:szCs w:val="14"/>
          <w:lang w:val="en-US"/>
        </w:rPr>
      </w:pPr>
      <w:r w:rsidRPr="002D0005">
        <w:rPr>
          <w:sz w:val="14"/>
          <w:szCs w:val="14"/>
          <w:lang w:val="en-US"/>
        </w:rPr>
        <w:t xml:space="preserve">Chen, W.-H. and Chen, C.-Y. (2020). Water gas shift reaction for </w:t>
      </w:r>
      <w:r w:rsidR="00EA4A05">
        <w:rPr>
          <w:sz w:val="14"/>
          <w:szCs w:val="14"/>
          <w:lang w:val="en-US"/>
        </w:rPr>
        <w:t>H</w:t>
      </w:r>
      <w:r w:rsidR="00EA4A05" w:rsidRPr="00EA4A05">
        <w:rPr>
          <w:sz w:val="14"/>
          <w:szCs w:val="14"/>
          <w:vertAlign w:val="subscript"/>
          <w:lang w:val="en-US"/>
        </w:rPr>
        <w:t>2</w:t>
      </w:r>
      <w:r w:rsidRPr="002D0005">
        <w:rPr>
          <w:sz w:val="14"/>
          <w:szCs w:val="14"/>
          <w:lang w:val="en-US"/>
        </w:rPr>
        <w:t xml:space="preserve"> production and carbon dioxide capture. Applied Energy, 258:114078.</w:t>
      </w:r>
    </w:p>
    <w:p w14:paraId="4BFCC2AB" w14:textId="5751CB6B" w:rsidR="008014EF" w:rsidRPr="002D0005" w:rsidRDefault="008014EF" w:rsidP="008014EF">
      <w:pPr>
        <w:pStyle w:val="CETReferencetext"/>
        <w:rPr>
          <w:sz w:val="14"/>
          <w:szCs w:val="14"/>
          <w:lang w:val="en-US"/>
        </w:rPr>
      </w:pPr>
      <w:r w:rsidRPr="002D0005">
        <w:rPr>
          <w:sz w:val="14"/>
          <w:szCs w:val="14"/>
          <w:lang w:val="en-US"/>
        </w:rPr>
        <w:t>Chelvam et al., (2024). A review on the environmental performance of various hydrogen production technologies: An approach towards hydrogen economy. Energy Reports. June (11) 2024, 369-383</w:t>
      </w:r>
    </w:p>
    <w:p w14:paraId="34DB9961" w14:textId="676C977F" w:rsidR="00FE1A63" w:rsidRPr="002D0005" w:rsidRDefault="00FE1A63" w:rsidP="00FE1A63">
      <w:pPr>
        <w:pStyle w:val="CETReferencetext"/>
        <w:rPr>
          <w:sz w:val="14"/>
          <w:szCs w:val="14"/>
          <w:lang w:val="en-US"/>
        </w:rPr>
      </w:pPr>
      <w:r w:rsidRPr="002D0005">
        <w:rPr>
          <w:sz w:val="14"/>
          <w:szCs w:val="14"/>
          <w:lang w:val="en-US"/>
        </w:rPr>
        <w:t>Choi, Y. and Lee, J. (2022). Estimation of liquid hydrogen fuels in aviation. Aerospace, 9(10):564.</w:t>
      </w:r>
    </w:p>
    <w:p w14:paraId="6797EE8F" w14:textId="7D5E5226" w:rsidR="00FE1A63" w:rsidRPr="002D0005" w:rsidRDefault="00FE1A63" w:rsidP="00FE1A63">
      <w:pPr>
        <w:pStyle w:val="CETReferencetext"/>
        <w:rPr>
          <w:sz w:val="14"/>
          <w:szCs w:val="14"/>
          <w:lang w:val="en-US"/>
        </w:rPr>
      </w:pPr>
      <w:r w:rsidRPr="002D0005">
        <w:rPr>
          <w:sz w:val="14"/>
          <w:szCs w:val="14"/>
          <w:lang w:val="en-US"/>
        </w:rPr>
        <w:t>Colozza, A. J. and Kohout, L. (2002). Hydrogen storage for aircraft applications overview. Technical report, NASA.</w:t>
      </w:r>
    </w:p>
    <w:p w14:paraId="4AA7D95D" w14:textId="1216D174" w:rsidR="00FE1A63" w:rsidRPr="002D0005" w:rsidRDefault="00FE1A63" w:rsidP="00FE1A63">
      <w:pPr>
        <w:pStyle w:val="CETReferencetext"/>
        <w:rPr>
          <w:sz w:val="14"/>
          <w:szCs w:val="14"/>
          <w:lang w:val="en-US"/>
        </w:rPr>
      </w:pPr>
      <w:r w:rsidRPr="002D0005">
        <w:rPr>
          <w:sz w:val="14"/>
          <w:szCs w:val="14"/>
          <w:lang w:val="en-US"/>
        </w:rPr>
        <w:t xml:space="preserve">Dawood, F., Anda, M., and Shafiullah, G. (2020). Hydrogen production for energy: An overview. </w:t>
      </w:r>
      <w:r w:rsidR="00EA4A05" w:rsidRPr="00EA4A05">
        <w:rPr>
          <w:sz w:val="14"/>
          <w:szCs w:val="14"/>
          <w:lang w:val="en-US"/>
        </w:rPr>
        <w:t>Int. J. Hydrogen Energy</w:t>
      </w:r>
      <w:r w:rsidRPr="002D0005">
        <w:rPr>
          <w:sz w:val="14"/>
          <w:szCs w:val="14"/>
          <w:lang w:val="en-US"/>
        </w:rPr>
        <w:t>, 45(7):3847–3869.</w:t>
      </w:r>
    </w:p>
    <w:p w14:paraId="244A9077" w14:textId="77777777" w:rsidR="00FE1A63" w:rsidRPr="002D0005" w:rsidRDefault="00E144DD" w:rsidP="00FE1A63">
      <w:pPr>
        <w:pStyle w:val="CETReferencetext"/>
        <w:rPr>
          <w:sz w:val="14"/>
          <w:szCs w:val="14"/>
          <w:lang w:val="en-US"/>
        </w:rPr>
      </w:pPr>
      <w:r w:rsidRPr="002D0005">
        <w:rPr>
          <w:sz w:val="14"/>
          <w:szCs w:val="14"/>
          <w:lang w:val="en-US"/>
        </w:rPr>
        <w:t>E</w:t>
      </w:r>
      <w:r w:rsidR="00FE1A63" w:rsidRPr="002D0005">
        <w:rPr>
          <w:sz w:val="14"/>
          <w:szCs w:val="14"/>
          <w:lang w:val="en-US"/>
        </w:rPr>
        <w:t>coinvent (2023). Allocation, cut-off by classification. ecoinvent database version 3.91.</w:t>
      </w:r>
    </w:p>
    <w:p w14:paraId="7AEB0B29" w14:textId="7F57823A" w:rsidR="00FE1A63" w:rsidRPr="002D0005" w:rsidRDefault="00FE1A63" w:rsidP="00FE1A63">
      <w:pPr>
        <w:pStyle w:val="CETReferencetext"/>
        <w:rPr>
          <w:sz w:val="14"/>
          <w:szCs w:val="14"/>
          <w:lang w:val="en-US"/>
        </w:rPr>
      </w:pPr>
      <w:r w:rsidRPr="002D0005">
        <w:rPr>
          <w:sz w:val="14"/>
          <w:szCs w:val="14"/>
          <w:lang w:val="de-DE"/>
        </w:rPr>
        <w:t xml:space="preserve">Gangadharan, P., Kanchi, K., and Lou, H. (2012). </w:t>
      </w:r>
      <w:r w:rsidRPr="002D0005">
        <w:rPr>
          <w:sz w:val="14"/>
          <w:szCs w:val="14"/>
          <w:lang w:val="en-US"/>
        </w:rPr>
        <w:t>Evaluation of the economic and environmental impact of combining dry reforming with steam reforming of methane. Chemical Engineering Research and Design, 90(11):1956–1968.</w:t>
      </w:r>
    </w:p>
    <w:p w14:paraId="26181E67" w14:textId="77777777" w:rsidR="00FE1A63" w:rsidRPr="002D0005" w:rsidRDefault="00FE1A63" w:rsidP="00FE1A63">
      <w:pPr>
        <w:pStyle w:val="CETReferencetext"/>
        <w:rPr>
          <w:sz w:val="14"/>
          <w:szCs w:val="14"/>
          <w:lang w:val="en-US"/>
        </w:rPr>
      </w:pPr>
      <w:r w:rsidRPr="002D0005">
        <w:rPr>
          <w:sz w:val="14"/>
          <w:szCs w:val="14"/>
          <w:lang w:val="en-US"/>
        </w:rPr>
        <w:t>Hajjaji, N., Pons, M.-N., Houas, A., and Renaudin, V. (2012). Exergy analysis: An efficient tool for understanding and improving hydrogen production via the steam methane reforming process. Energy Policy, 42:392–399.</w:t>
      </w:r>
    </w:p>
    <w:p w14:paraId="06532EA9" w14:textId="1DDEF4A8" w:rsidR="00046272" w:rsidRPr="002D0005" w:rsidRDefault="00046272" w:rsidP="00046272">
      <w:pPr>
        <w:pStyle w:val="CETReferencetext"/>
        <w:rPr>
          <w:sz w:val="14"/>
          <w:szCs w:val="14"/>
          <w:lang w:val="de-DE"/>
        </w:rPr>
      </w:pPr>
      <w:r w:rsidRPr="002D0005">
        <w:rPr>
          <w:sz w:val="14"/>
          <w:szCs w:val="14"/>
          <w:lang w:val="en-US"/>
        </w:rPr>
        <w:t xml:space="preserve">Holladay, J., Hu, J., King, D., Wang, Y. (2009). An overview of hydrogen production technologies. </w:t>
      </w:r>
      <w:r w:rsidRPr="002D0005">
        <w:rPr>
          <w:sz w:val="14"/>
          <w:szCs w:val="14"/>
          <w:lang w:val="de-DE"/>
        </w:rPr>
        <w:t>Catalysis, 139(4):244–260.</w:t>
      </w:r>
    </w:p>
    <w:p w14:paraId="51131291" w14:textId="6FB4AC6E" w:rsidR="00046272" w:rsidRPr="002D0005" w:rsidRDefault="00046272" w:rsidP="00046272">
      <w:pPr>
        <w:pStyle w:val="CETReferencetext"/>
        <w:rPr>
          <w:sz w:val="14"/>
          <w:szCs w:val="14"/>
          <w:lang w:val="en-US"/>
        </w:rPr>
      </w:pPr>
      <w:r w:rsidRPr="002D0005">
        <w:rPr>
          <w:sz w:val="14"/>
          <w:szCs w:val="14"/>
          <w:lang w:val="de-DE"/>
        </w:rPr>
        <w:t xml:space="preserve">Huijbregts, M., Steinmann, Z., Elshout, P., Stam, G., Verones, F., Vieira, M., Zijp, M., Hollander, A., and van Zelm, R. (2017). </w:t>
      </w:r>
      <w:r w:rsidRPr="002D0005">
        <w:rPr>
          <w:sz w:val="14"/>
          <w:szCs w:val="14"/>
          <w:lang w:val="en-US"/>
        </w:rPr>
        <w:t xml:space="preserve">ReCiPe2016: a harmonised </w:t>
      </w:r>
      <w:r w:rsidR="00F013F1" w:rsidRPr="002D0005">
        <w:rPr>
          <w:sz w:val="14"/>
          <w:szCs w:val="14"/>
          <w:lang w:val="en-US"/>
        </w:rPr>
        <w:t xml:space="preserve">LCIA </w:t>
      </w:r>
      <w:r w:rsidRPr="002D0005">
        <w:rPr>
          <w:sz w:val="14"/>
          <w:szCs w:val="14"/>
          <w:lang w:val="en-US"/>
        </w:rPr>
        <w:t xml:space="preserve">method at midpoint and endpoint level. </w:t>
      </w:r>
      <w:r w:rsidR="00F013F1" w:rsidRPr="002D0005">
        <w:rPr>
          <w:sz w:val="14"/>
          <w:szCs w:val="14"/>
          <w:lang w:val="en-US"/>
        </w:rPr>
        <w:t>Int J Life Cycle Assess</w:t>
      </w:r>
      <w:r w:rsidRPr="002D0005">
        <w:rPr>
          <w:sz w:val="14"/>
          <w:szCs w:val="14"/>
          <w:lang w:val="en-US"/>
        </w:rPr>
        <w:t>, 22(2):138–147.</w:t>
      </w:r>
    </w:p>
    <w:p w14:paraId="0F7EED22" w14:textId="11EBF0E1" w:rsidR="00046272" w:rsidRPr="002D0005" w:rsidRDefault="00046272" w:rsidP="00046272">
      <w:pPr>
        <w:pStyle w:val="CETReferencetext"/>
        <w:rPr>
          <w:sz w:val="14"/>
          <w:szCs w:val="14"/>
          <w:lang w:val="en-US"/>
        </w:rPr>
      </w:pPr>
      <w:r w:rsidRPr="002D0005">
        <w:rPr>
          <w:sz w:val="14"/>
          <w:szCs w:val="14"/>
          <w:lang w:val="en-US"/>
        </w:rPr>
        <w:t>ICAO (2022). Global Market Forecast 2023. Montreal: International Civil Aviation Organization.</w:t>
      </w:r>
    </w:p>
    <w:p w14:paraId="63BC3644" w14:textId="77777777" w:rsidR="00046272" w:rsidRPr="002D0005" w:rsidRDefault="00046272" w:rsidP="00046272">
      <w:pPr>
        <w:pStyle w:val="CETReferencetext"/>
        <w:rPr>
          <w:sz w:val="14"/>
          <w:szCs w:val="14"/>
          <w:lang w:val="en-US"/>
        </w:rPr>
      </w:pPr>
      <w:r w:rsidRPr="002D0005">
        <w:rPr>
          <w:sz w:val="14"/>
          <w:szCs w:val="14"/>
          <w:lang w:val="en-US"/>
        </w:rPr>
        <w:t>IEA (2021). Net Zero by 2050. International Energy Agency.</w:t>
      </w:r>
    </w:p>
    <w:p w14:paraId="467AB6A1" w14:textId="770F99E6" w:rsidR="00046272" w:rsidRPr="002D0005" w:rsidRDefault="00046272" w:rsidP="00046272">
      <w:pPr>
        <w:pStyle w:val="CETReferencetext"/>
        <w:rPr>
          <w:sz w:val="14"/>
          <w:szCs w:val="14"/>
          <w:lang w:val="en-US"/>
        </w:rPr>
      </w:pPr>
      <w:r w:rsidRPr="002D0005">
        <w:rPr>
          <w:sz w:val="14"/>
          <w:szCs w:val="14"/>
          <w:lang w:val="en-US"/>
        </w:rPr>
        <w:t>ISO (1997). Environmental management</w:t>
      </w:r>
      <w:r w:rsidR="002C0F02">
        <w:rPr>
          <w:sz w:val="14"/>
          <w:szCs w:val="14"/>
          <w:lang w:val="en-US"/>
        </w:rPr>
        <w:t>:</w:t>
      </w:r>
      <w:r w:rsidRPr="002D0005">
        <w:rPr>
          <w:sz w:val="14"/>
          <w:szCs w:val="14"/>
          <w:lang w:val="en-US"/>
        </w:rPr>
        <w:t xml:space="preserve"> </w:t>
      </w:r>
      <w:r w:rsidR="002C0F02">
        <w:rPr>
          <w:sz w:val="14"/>
          <w:szCs w:val="14"/>
          <w:lang w:val="en-US"/>
        </w:rPr>
        <w:t>LCA</w:t>
      </w:r>
      <w:r w:rsidRPr="002D0005">
        <w:rPr>
          <w:sz w:val="14"/>
          <w:szCs w:val="14"/>
          <w:lang w:val="en-US"/>
        </w:rPr>
        <w:t xml:space="preserve"> – principles and framework. Technical report, International Organization for Standardization, CH.</w:t>
      </w:r>
    </w:p>
    <w:p w14:paraId="2CFC4475" w14:textId="77777777" w:rsidR="00046272" w:rsidRPr="002D0005" w:rsidRDefault="00046272" w:rsidP="00046272">
      <w:pPr>
        <w:pStyle w:val="CETReferencetext"/>
        <w:rPr>
          <w:sz w:val="14"/>
          <w:szCs w:val="14"/>
          <w:lang w:val="en-US"/>
        </w:rPr>
      </w:pPr>
      <w:r w:rsidRPr="002D0005">
        <w:rPr>
          <w:sz w:val="14"/>
          <w:szCs w:val="14"/>
          <w:lang w:val="en-US"/>
        </w:rPr>
        <w:t>Knaut, A., Tode, C., Lindenberger, D., Malischek, R., Paulus, S., and Wagner, J. (2016). The reference forecast of the German energy transition—an outlook on electricity markets. Energy Policy, 92:477–491.</w:t>
      </w:r>
    </w:p>
    <w:p w14:paraId="23899DFE" w14:textId="77777777" w:rsidR="00E144DD" w:rsidRPr="002D0005" w:rsidRDefault="00E144DD" w:rsidP="00E144DD">
      <w:pPr>
        <w:pStyle w:val="CETReferencetext"/>
        <w:rPr>
          <w:sz w:val="14"/>
          <w:szCs w:val="14"/>
          <w:lang w:val="en-US"/>
        </w:rPr>
      </w:pPr>
      <w:r w:rsidRPr="002D0005">
        <w:rPr>
          <w:sz w:val="14"/>
          <w:szCs w:val="14"/>
          <w:lang w:val="en-US"/>
        </w:rPr>
        <w:t>Pal, D. B., Chand, R., Upadhyay, S., and Mishra, P. (2018). Performance of water gas shift reaction catalysts: A review. Renewable and Sustainable Energy Reviews, 93:549–565.</w:t>
      </w:r>
    </w:p>
    <w:p w14:paraId="717EDB0F" w14:textId="656E1C35" w:rsidR="00E144DD" w:rsidRPr="002D0005" w:rsidRDefault="00E144DD" w:rsidP="00E144DD">
      <w:pPr>
        <w:pStyle w:val="CETReferencetext"/>
        <w:rPr>
          <w:sz w:val="14"/>
          <w:szCs w:val="14"/>
          <w:lang w:val="en-US"/>
        </w:rPr>
      </w:pPr>
      <w:r w:rsidRPr="002D0005">
        <w:rPr>
          <w:sz w:val="14"/>
          <w:szCs w:val="14"/>
          <w:lang w:val="en-US"/>
        </w:rPr>
        <w:t>Panigrahy, B., Narayan, K., and Rao, B. R. (2022). Green hydrogen production by water electrolysis. Materials today, 67:1310–1314.</w:t>
      </w:r>
    </w:p>
    <w:p w14:paraId="55CFF1F3" w14:textId="77777777" w:rsidR="00E144DD" w:rsidRPr="002D0005" w:rsidRDefault="00E144DD" w:rsidP="00E144DD">
      <w:pPr>
        <w:pStyle w:val="CETReferencetext"/>
        <w:rPr>
          <w:sz w:val="14"/>
          <w:szCs w:val="14"/>
          <w:lang w:val="en-US"/>
        </w:rPr>
      </w:pPr>
      <w:r w:rsidRPr="002D0005">
        <w:rPr>
          <w:sz w:val="14"/>
          <w:szCs w:val="14"/>
          <w:lang w:val="en-US"/>
        </w:rPr>
        <w:t xml:space="preserve">Ritchie, H. and Roser, M. (2023). Sector by sector: Where do global </w:t>
      </w:r>
      <w:r w:rsidR="009F127C" w:rsidRPr="002D0005">
        <w:rPr>
          <w:sz w:val="14"/>
          <w:szCs w:val="14"/>
          <w:lang w:val="en-US"/>
        </w:rPr>
        <w:t>GHG</w:t>
      </w:r>
      <w:r w:rsidRPr="002D0005">
        <w:rPr>
          <w:sz w:val="14"/>
          <w:szCs w:val="14"/>
          <w:lang w:val="en-US"/>
        </w:rPr>
        <w:t xml:space="preserve"> emissions come from? Our World in data.</w:t>
      </w:r>
    </w:p>
    <w:p w14:paraId="34A99750" w14:textId="436A39AD" w:rsidR="00E144DD" w:rsidRPr="002D0005" w:rsidRDefault="00E144DD" w:rsidP="00E144DD">
      <w:pPr>
        <w:pStyle w:val="CETReferencetext"/>
        <w:rPr>
          <w:sz w:val="14"/>
          <w:szCs w:val="14"/>
          <w:lang w:val="en-US"/>
        </w:rPr>
      </w:pPr>
      <w:r w:rsidRPr="002D0005">
        <w:rPr>
          <w:sz w:val="14"/>
          <w:szCs w:val="14"/>
          <w:lang w:val="en-US"/>
        </w:rPr>
        <w:t>Rogge, K. S., Pfluger, B., and Geels, F. W. (2020). Transformative policy mixes in socio-technical scenarios: The case of the low-carbon transition of the German electricity system (2010–2050). Tech</w:t>
      </w:r>
      <w:r w:rsidR="0016131A" w:rsidRPr="002D0005">
        <w:rPr>
          <w:sz w:val="14"/>
          <w:szCs w:val="14"/>
          <w:lang w:val="en-US"/>
        </w:rPr>
        <w:t xml:space="preserve">. </w:t>
      </w:r>
      <w:r w:rsidRPr="002D0005">
        <w:rPr>
          <w:sz w:val="14"/>
          <w:szCs w:val="14"/>
          <w:lang w:val="en-US"/>
        </w:rPr>
        <w:t>Forecasting and Social Change, 151:119259.</w:t>
      </w:r>
    </w:p>
    <w:p w14:paraId="0034BE18" w14:textId="77777777" w:rsidR="00E144DD" w:rsidRPr="002D0005" w:rsidRDefault="00E144DD" w:rsidP="00E144DD">
      <w:pPr>
        <w:pStyle w:val="CETReferencetext"/>
        <w:rPr>
          <w:sz w:val="14"/>
          <w:szCs w:val="14"/>
          <w:lang w:val="en-US"/>
        </w:rPr>
      </w:pPr>
      <w:r w:rsidRPr="002D0005">
        <w:rPr>
          <w:sz w:val="14"/>
          <w:szCs w:val="14"/>
          <w:lang w:val="en-US"/>
        </w:rPr>
        <w:t>Sanchez, M., Amores, E., Abad, D., Rodriguez, L., and Clemente, C. (2020). Aspen plus model of an alkaline electrolysis system for hydrogen production. International journal of hydrogen energy, 45(7):3916–3929.</w:t>
      </w:r>
    </w:p>
    <w:p w14:paraId="2D27995C" w14:textId="2E31CB6B" w:rsidR="00EA3E4A" w:rsidRPr="002D0005" w:rsidRDefault="00EA3E4A" w:rsidP="00E144DD">
      <w:pPr>
        <w:pStyle w:val="CETReferencetext"/>
        <w:rPr>
          <w:sz w:val="14"/>
          <w:szCs w:val="14"/>
          <w:lang w:val="en-US"/>
        </w:rPr>
      </w:pPr>
      <w:r w:rsidRPr="002D0005">
        <w:rPr>
          <w:sz w:val="14"/>
          <w:szCs w:val="14"/>
          <w:lang w:val="en-US"/>
        </w:rPr>
        <w:t>Son et al., (2022). Simulation methodology for hydrogen liquefaction process design considering hydrogen characteristics. Int. Journal of Hydrogen Energy. V47(61), 25662-25678</w:t>
      </w:r>
    </w:p>
    <w:p w14:paraId="339E8061" w14:textId="23130EB2" w:rsidR="00E144DD" w:rsidRPr="002D0005" w:rsidRDefault="00E144DD" w:rsidP="00E144DD">
      <w:pPr>
        <w:pStyle w:val="CETReferencetext"/>
        <w:rPr>
          <w:sz w:val="14"/>
          <w:szCs w:val="14"/>
          <w:lang w:val="en-US"/>
        </w:rPr>
      </w:pPr>
      <w:r w:rsidRPr="002D0005">
        <w:rPr>
          <w:sz w:val="14"/>
          <w:szCs w:val="14"/>
          <w:lang w:val="en-US"/>
        </w:rPr>
        <w:t>Song, C., Liu, Q., Ji, N., Kansha, Y., and Tsutsumi, A. (2015). Optimization of steam methane reforming coupled with pressure swing adsorption hydrogen production process by heat integration. Applied energy, 154:392.</w:t>
      </w:r>
    </w:p>
    <w:p w14:paraId="62AFCB16" w14:textId="79407E60" w:rsidR="00E144DD" w:rsidRPr="002D0005" w:rsidRDefault="00E144DD" w:rsidP="00E144DD">
      <w:pPr>
        <w:pStyle w:val="CETReferencetext"/>
        <w:rPr>
          <w:sz w:val="14"/>
          <w:szCs w:val="14"/>
          <w:lang w:val="en-US"/>
        </w:rPr>
      </w:pPr>
      <w:r w:rsidRPr="002D0005">
        <w:rPr>
          <w:sz w:val="14"/>
          <w:szCs w:val="14"/>
          <w:lang w:val="en-US"/>
        </w:rPr>
        <w:t xml:space="preserve">Spath, P. L. and Mann, M. K. (2000). </w:t>
      </w:r>
      <w:r w:rsidR="00EA4A05">
        <w:rPr>
          <w:sz w:val="14"/>
          <w:szCs w:val="14"/>
          <w:lang w:val="en-US"/>
        </w:rPr>
        <w:t>LCA</w:t>
      </w:r>
      <w:r w:rsidRPr="002D0005">
        <w:rPr>
          <w:sz w:val="14"/>
          <w:szCs w:val="14"/>
          <w:lang w:val="en-US"/>
        </w:rPr>
        <w:t xml:space="preserve"> of hydrogen production via natural gas steam reforming. Technical report, N</w:t>
      </w:r>
      <w:r w:rsidR="00EA4A05">
        <w:rPr>
          <w:sz w:val="14"/>
          <w:szCs w:val="14"/>
          <w:lang w:val="en-US"/>
        </w:rPr>
        <w:t>REL (</w:t>
      </w:r>
      <w:r w:rsidRPr="002D0005">
        <w:rPr>
          <w:sz w:val="14"/>
          <w:szCs w:val="14"/>
          <w:lang w:val="en-US"/>
        </w:rPr>
        <w:t>US</w:t>
      </w:r>
      <w:r w:rsidR="00EA4A05">
        <w:rPr>
          <w:sz w:val="14"/>
          <w:szCs w:val="14"/>
          <w:lang w:val="en-US"/>
        </w:rPr>
        <w:t>A</w:t>
      </w:r>
      <w:r w:rsidRPr="002D0005">
        <w:rPr>
          <w:sz w:val="14"/>
          <w:szCs w:val="14"/>
          <w:lang w:val="en-US"/>
        </w:rPr>
        <w:t>).</w:t>
      </w:r>
    </w:p>
    <w:p w14:paraId="0D0EFE59" w14:textId="7D6974F9" w:rsidR="00E144DD" w:rsidRPr="002D0005" w:rsidRDefault="00E144DD" w:rsidP="00E144DD">
      <w:pPr>
        <w:pStyle w:val="CETReferencetext"/>
        <w:rPr>
          <w:sz w:val="14"/>
          <w:szCs w:val="14"/>
          <w:lang w:val="en-US"/>
        </w:rPr>
      </w:pPr>
      <w:r w:rsidRPr="002D0005">
        <w:rPr>
          <w:sz w:val="14"/>
          <w:szCs w:val="14"/>
          <w:lang w:val="en-US"/>
        </w:rPr>
        <w:t>Stolzenburg, K.</w:t>
      </w:r>
      <w:r w:rsidR="003821BE">
        <w:rPr>
          <w:sz w:val="14"/>
          <w:szCs w:val="14"/>
          <w:lang w:val="en-US"/>
        </w:rPr>
        <w:t xml:space="preserve">; </w:t>
      </w:r>
      <w:r w:rsidRPr="002D0005">
        <w:rPr>
          <w:sz w:val="14"/>
          <w:szCs w:val="14"/>
          <w:lang w:val="en-US"/>
        </w:rPr>
        <w:t xml:space="preserve">Mubbala, R. (2013). Integrated design for demonstration of efficient liquefaction of </w:t>
      </w:r>
      <w:r w:rsidR="003821BE">
        <w:rPr>
          <w:sz w:val="14"/>
          <w:szCs w:val="14"/>
          <w:lang w:val="en-US"/>
        </w:rPr>
        <w:t>H</w:t>
      </w:r>
      <w:r w:rsidR="003821BE" w:rsidRPr="00EA4A05">
        <w:rPr>
          <w:sz w:val="14"/>
          <w:szCs w:val="14"/>
          <w:vertAlign w:val="subscript"/>
          <w:lang w:val="en-US"/>
        </w:rPr>
        <w:t>2</w:t>
      </w:r>
      <w:r w:rsidR="00EA4A05">
        <w:rPr>
          <w:sz w:val="14"/>
          <w:szCs w:val="14"/>
          <w:lang w:val="en-US"/>
        </w:rPr>
        <w:t>.</w:t>
      </w:r>
      <w:r w:rsidRPr="002D0005">
        <w:rPr>
          <w:sz w:val="14"/>
          <w:szCs w:val="14"/>
          <w:lang w:val="en-US"/>
        </w:rPr>
        <w:t xml:space="preserve"> Technical report, F</w:t>
      </w:r>
      <w:r w:rsidR="00274BDF">
        <w:rPr>
          <w:sz w:val="14"/>
          <w:szCs w:val="14"/>
          <w:lang w:val="en-US"/>
        </w:rPr>
        <w:t>CH JU</w:t>
      </w:r>
      <w:r w:rsidRPr="002D0005">
        <w:rPr>
          <w:sz w:val="14"/>
          <w:szCs w:val="14"/>
          <w:lang w:val="en-US"/>
        </w:rPr>
        <w:t>.</w:t>
      </w:r>
    </w:p>
    <w:p w14:paraId="134054FB" w14:textId="09FE1777" w:rsidR="00E144DD" w:rsidRPr="002D0005" w:rsidRDefault="00E144DD" w:rsidP="00E144DD">
      <w:pPr>
        <w:pStyle w:val="CETReferencetext"/>
        <w:rPr>
          <w:sz w:val="14"/>
          <w:szCs w:val="14"/>
          <w:lang w:val="en-US"/>
        </w:rPr>
      </w:pPr>
      <w:r w:rsidRPr="002D0005">
        <w:rPr>
          <w:sz w:val="14"/>
          <w:szCs w:val="14"/>
          <w:lang w:val="en-US"/>
        </w:rPr>
        <w:t>Ursua, A., Gandia, L., Sanchis, P. (2011). Hydrogen production from water electrolysis: current status and future trends. IEEE, 100(2):410–426.</w:t>
      </w:r>
    </w:p>
    <w:p w14:paraId="2608E0F3" w14:textId="3DA37617" w:rsidR="00E144DD" w:rsidRPr="002D0005" w:rsidRDefault="00E144DD" w:rsidP="00E144DD">
      <w:pPr>
        <w:pStyle w:val="CETReferencetext"/>
        <w:rPr>
          <w:sz w:val="14"/>
          <w:szCs w:val="14"/>
          <w:lang w:val="en-US"/>
        </w:rPr>
      </w:pPr>
      <w:r w:rsidRPr="002D0005">
        <w:rPr>
          <w:sz w:val="14"/>
          <w:szCs w:val="14"/>
          <w:lang w:val="en-US"/>
        </w:rPr>
        <w:t>Valenti, G.</w:t>
      </w:r>
      <w:r w:rsidR="002C0F02">
        <w:rPr>
          <w:sz w:val="14"/>
          <w:szCs w:val="14"/>
          <w:lang w:val="en-US"/>
        </w:rPr>
        <w:t xml:space="preserve">; </w:t>
      </w:r>
      <w:r w:rsidRPr="002D0005">
        <w:rPr>
          <w:sz w:val="14"/>
          <w:szCs w:val="14"/>
          <w:lang w:val="en-US"/>
        </w:rPr>
        <w:t xml:space="preserve">Macchi, E. (2008). Proposal of an innovative, high-efficiency, large-scale </w:t>
      </w:r>
      <w:r w:rsidR="002C0F02" w:rsidRPr="002D0005">
        <w:rPr>
          <w:sz w:val="14"/>
          <w:szCs w:val="14"/>
          <w:lang w:val="en-US"/>
        </w:rPr>
        <w:t>H</w:t>
      </w:r>
      <w:r w:rsidR="002C0F02" w:rsidRPr="002D0005">
        <w:rPr>
          <w:sz w:val="14"/>
          <w:szCs w:val="14"/>
          <w:vertAlign w:val="subscript"/>
          <w:lang w:val="en-US"/>
        </w:rPr>
        <w:t>2</w:t>
      </w:r>
      <w:r w:rsidRPr="002D0005">
        <w:rPr>
          <w:sz w:val="14"/>
          <w:szCs w:val="14"/>
          <w:lang w:val="en-US"/>
        </w:rPr>
        <w:t xml:space="preserve"> liquefier. </w:t>
      </w:r>
      <w:r w:rsidR="002C0F02">
        <w:rPr>
          <w:sz w:val="14"/>
          <w:szCs w:val="14"/>
          <w:lang w:val="en-US"/>
        </w:rPr>
        <w:t>I</w:t>
      </w:r>
      <w:r w:rsidR="002C0F02" w:rsidRPr="002C0F02">
        <w:rPr>
          <w:sz w:val="14"/>
          <w:szCs w:val="14"/>
          <w:lang w:val="en-US"/>
        </w:rPr>
        <w:t>nt. J. Hydrogen Energy.</w:t>
      </w:r>
      <w:r w:rsidRPr="002D0005">
        <w:rPr>
          <w:sz w:val="14"/>
          <w:szCs w:val="14"/>
          <w:lang w:val="en-US"/>
        </w:rPr>
        <w:t>, 33(12):3116–3121.</w:t>
      </w:r>
    </w:p>
    <w:p w14:paraId="3DAA93DB" w14:textId="6CCF5402" w:rsidR="00E144DD" w:rsidRPr="002D0005" w:rsidRDefault="00E144DD" w:rsidP="00E144DD">
      <w:pPr>
        <w:pStyle w:val="CETReferencetext"/>
        <w:rPr>
          <w:sz w:val="14"/>
          <w:szCs w:val="14"/>
          <w:lang w:val="en-US"/>
        </w:rPr>
      </w:pPr>
      <w:r w:rsidRPr="002D0005">
        <w:rPr>
          <w:sz w:val="14"/>
          <w:szCs w:val="14"/>
          <w:lang w:val="en-US"/>
        </w:rPr>
        <w:t>Vardon, D., Sherbacow, B., Guan, K., Heyne, J., Abdullah, Z. (2022). Realizing “net-zero-carbon” sustainable aviation fuel. Joule, 6(1):16–21.</w:t>
      </w:r>
    </w:p>
    <w:p w14:paraId="4AABCC27" w14:textId="0C4F274A" w:rsidR="00E144DD" w:rsidRPr="002D0005" w:rsidRDefault="00E144DD" w:rsidP="00E144DD">
      <w:pPr>
        <w:pStyle w:val="CETReferencetext"/>
        <w:rPr>
          <w:sz w:val="14"/>
          <w:szCs w:val="14"/>
          <w:lang w:val="en-US"/>
        </w:rPr>
      </w:pPr>
      <w:r w:rsidRPr="002D0005">
        <w:rPr>
          <w:sz w:val="14"/>
          <w:szCs w:val="14"/>
          <w:lang w:val="en-US"/>
        </w:rPr>
        <w:t xml:space="preserve">Yin, L. and Ju, Y. (2020). Review on the design and optimization of </w:t>
      </w:r>
      <w:r w:rsidR="000B407B" w:rsidRPr="002D0005">
        <w:rPr>
          <w:sz w:val="14"/>
          <w:szCs w:val="14"/>
          <w:lang w:val="en-US"/>
        </w:rPr>
        <w:t>H</w:t>
      </w:r>
      <w:r w:rsidR="000B407B" w:rsidRPr="002D0005">
        <w:rPr>
          <w:sz w:val="14"/>
          <w:szCs w:val="14"/>
          <w:vertAlign w:val="subscript"/>
          <w:lang w:val="en-US"/>
        </w:rPr>
        <w:t>2</w:t>
      </w:r>
      <w:r w:rsidRPr="002D0005">
        <w:rPr>
          <w:sz w:val="14"/>
          <w:szCs w:val="14"/>
          <w:lang w:val="en-US"/>
        </w:rPr>
        <w:t xml:space="preserve"> liquefaction processes. Front</w:t>
      </w:r>
      <w:r w:rsidR="000B407B" w:rsidRPr="002D0005">
        <w:rPr>
          <w:sz w:val="14"/>
          <w:szCs w:val="14"/>
          <w:lang w:val="en-US"/>
        </w:rPr>
        <w:t>.</w:t>
      </w:r>
      <w:r w:rsidRPr="002D0005">
        <w:rPr>
          <w:sz w:val="14"/>
          <w:szCs w:val="14"/>
          <w:lang w:val="en-US"/>
        </w:rPr>
        <w:t xml:space="preserve"> in Energy, 14:530–544.</w:t>
      </w:r>
    </w:p>
    <w:p w14:paraId="70191CD5" w14:textId="006EAB4B" w:rsidR="007278A8" w:rsidRPr="002D0005" w:rsidRDefault="00E144DD" w:rsidP="00237802">
      <w:pPr>
        <w:pStyle w:val="CETReferencetext"/>
        <w:rPr>
          <w:sz w:val="14"/>
          <w:szCs w:val="14"/>
          <w:lang w:val="en-US"/>
        </w:rPr>
      </w:pPr>
      <w:r w:rsidRPr="002D0005">
        <w:rPr>
          <w:sz w:val="14"/>
          <w:szCs w:val="14"/>
          <w:lang w:val="en-US"/>
        </w:rPr>
        <w:t>Yusaf</w:t>
      </w:r>
      <w:r w:rsidR="00504115" w:rsidRPr="002D0005">
        <w:rPr>
          <w:sz w:val="14"/>
          <w:szCs w:val="14"/>
          <w:lang w:val="en-US"/>
        </w:rPr>
        <w:t xml:space="preserve"> </w:t>
      </w:r>
      <w:r w:rsidRPr="002D0005">
        <w:rPr>
          <w:sz w:val="14"/>
          <w:szCs w:val="14"/>
          <w:lang w:val="en-US"/>
        </w:rPr>
        <w:t>et al. (2022). Sustainable aviation—hydrogen is the future. Sustainability 14(1):548.</w:t>
      </w:r>
    </w:p>
    <w:p w14:paraId="7D9D9C86" w14:textId="228AC54E" w:rsidR="00F84C40" w:rsidRPr="002D0005" w:rsidRDefault="00504115" w:rsidP="00F84C40">
      <w:pPr>
        <w:pStyle w:val="CETReferencetext"/>
        <w:rPr>
          <w:sz w:val="14"/>
          <w:szCs w:val="14"/>
          <w:lang w:val="en-US"/>
        </w:rPr>
      </w:pPr>
      <w:r w:rsidRPr="002D0005">
        <w:rPr>
          <w:sz w:val="14"/>
          <w:szCs w:val="14"/>
          <w:lang w:val="en-US"/>
        </w:rPr>
        <w:t xml:space="preserve">Wilkinson et al. (2023), Review and meta-analysis of recent </w:t>
      </w:r>
      <w:r w:rsidR="00EA4A05">
        <w:rPr>
          <w:sz w:val="14"/>
          <w:szCs w:val="14"/>
          <w:lang w:val="en-US"/>
        </w:rPr>
        <w:t>LCA</w:t>
      </w:r>
      <w:r w:rsidRPr="002D0005">
        <w:rPr>
          <w:sz w:val="14"/>
          <w:szCs w:val="14"/>
          <w:lang w:val="en-US"/>
        </w:rPr>
        <w:t xml:space="preserve"> of hydrogen production. Cleaner Environmental Systems 9, 100116.</w:t>
      </w:r>
    </w:p>
    <w:sectPr w:rsidR="00F84C40" w:rsidRPr="002D0005" w:rsidSect="00D75FE5">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860F" w14:textId="77777777" w:rsidR="00D75FE5" w:rsidRDefault="00D75FE5" w:rsidP="004F5E36">
      <w:r>
        <w:separator/>
      </w:r>
    </w:p>
  </w:endnote>
  <w:endnote w:type="continuationSeparator" w:id="0">
    <w:p w14:paraId="6CF7866F" w14:textId="77777777" w:rsidR="00D75FE5" w:rsidRDefault="00D75FE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C754C" w14:textId="77777777" w:rsidR="00D75FE5" w:rsidRDefault="00D75FE5" w:rsidP="004F5E36">
      <w:r>
        <w:separator/>
      </w:r>
    </w:p>
  </w:footnote>
  <w:footnote w:type="continuationSeparator" w:id="0">
    <w:p w14:paraId="68A0145E" w14:textId="77777777" w:rsidR="00D75FE5" w:rsidRDefault="00D75FE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E20C909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117CB"/>
    <w:rsid w:val="000118D3"/>
    <w:rsid w:val="0002781F"/>
    <w:rsid w:val="0003148D"/>
    <w:rsid w:val="00031EEC"/>
    <w:rsid w:val="00032679"/>
    <w:rsid w:val="00034D4B"/>
    <w:rsid w:val="00036417"/>
    <w:rsid w:val="00042F9C"/>
    <w:rsid w:val="00043E7A"/>
    <w:rsid w:val="00045916"/>
    <w:rsid w:val="00046272"/>
    <w:rsid w:val="00046C6A"/>
    <w:rsid w:val="00051566"/>
    <w:rsid w:val="000562A9"/>
    <w:rsid w:val="00062A9A"/>
    <w:rsid w:val="00062F25"/>
    <w:rsid w:val="00065058"/>
    <w:rsid w:val="0007282B"/>
    <w:rsid w:val="00081533"/>
    <w:rsid w:val="00086C39"/>
    <w:rsid w:val="00087F83"/>
    <w:rsid w:val="00092BA3"/>
    <w:rsid w:val="0009784B"/>
    <w:rsid w:val="000A03B2"/>
    <w:rsid w:val="000A15B5"/>
    <w:rsid w:val="000B407B"/>
    <w:rsid w:val="000C5ED4"/>
    <w:rsid w:val="000D0268"/>
    <w:rsid w:val="000D34BE"/>
    <w:rsid w:val="000D433B"/>
    <w:rsid w:val="000D7486"/>
    <w:rsid w:val="000E102F"/>
    <w:rsid w:val="000E36F1"/>
    <w:rsid w:val="000E374E"/>
    <w:rsid w:val="000E3A73"/>
    <w:rsid w:val="000E414A"/>
    <w:rsid w:val="000F093C"/>
    <w:rsid w:val="000F3B65"/>
    <w:rsid w:val="000F787B"/>
    <w:rsid w:val="00105BCF"/>
    <w:rsid w:val="00115163"/>
    <w:rsid w:val="0012091F"/>
    <w:rsid w:val="001250EA"/>
    <w:rsid w:val="00126BC2"/>
    <w:rsid w:val="001308B6"/>
    <w:rsid w:val="0013121F"/>
    <w:rsid w:val="00131CC7"/>
    <w:rsid w:val="00131FE6"/>
    <w:rsid w:val="0013263F"/>
    <w:rsid w:val="001331DF"/>
    <w:rsid w:val="001340DE"/>
    <w:rsid w:val="00134C65"/>
    <w:rsid w:val="00134DE4"/>
    <w:rsid w:val="001369A0"/>
    <w:rsid w:val="00136D35"/>
    <w:rsid w:val="00136F5F"/>
    <w:rsid w:val="00137F4E"/>
    <w:rsid w:val="0014034D"/>
    <w:rsid w:val="00144011"/>
    <w:rsid w:val="00144D16"/>
    <w:rsid w:val="0014621C"/>
    <w:rsid w:val="001501B7"/>
    <w:rsid w:val="00150E59"/>
    <w:rsid w:val="00151091"/>
    <w:rsid w:val="00152381"/>
    <w:rsid w:val="00152DE3"/>
    <w:rsid w:val="00153210"/>
    <w:rsid w:val="00156E1E"/>
    <w:rsid w:val="00156F74"/>
    <w:rsid w:val="00160A2A"/>
    <w:rsid w:val="00160F6E"/>
    <w:rsid w:val="0016131A"/>
    <w:rsid w:val="001643DF"/>
    <w:rsid w:val="00164CF9"/>
    <w:rsid w:val="001667A6"/>
    <w:rsid w:val="00167251"/>
    <w:rsid w:val="00170C2F"/>
    <w:rsid w:val="00174A28"/>
    <w:rsid w:val="00174F49"/>
    <w:rsid w:val="00175A57"/>
    <w:rsid w:val="00177631"/>
    <w:rsid w:val="001805CE"/>
    <w:rsid w:val="00181675"/>
    <w:rsid w:val="00184AD6"/>
    <w:rsid w:val="001854CA"/>
    <w:rsid w:val="0018650F"/>
    <w:rsid w:val="00192DBF"/>
    <w:rsid w:val="001935AD"/>
    <w:rsid w:val="001948C3"/>
    <w:rsid w:val="001A4AF7"/>
    <w:rsid w:val="001A51C2"/>
    <w:rsid w:val="001B0349"/>
    <w:rsid w:val="001B1E93"/>
    <w:rsid w:val="001B65C1"/>
    <w:rsid w:val="001B7149"/>
    <w:rsid w:val="001C109C"/>
    <w:rsid w:val="001C17CB"/>
    <w:rsid w:val="001C1A2B"/>
    <w:rsid w:val="001C5DB0"/>
    <w:rsid w:val="001C684B"/>
    <w:rsid w:val="001D0CFB"/>
    <w:rsid w:val="001D21AF"/>
    <w:rsid w:val="001D53FC"/>
    <w:rsid w:val="001D5A0E"/>
    <w:rsid w:val="001E5D8E"/>
    <w:rsid w:val="001F0D1E"/>
    <w:rsid w:val="001F42A5"/>
    <w:rsid w:val="001F7B9D"/>
    <w:rsid w:val="00201C93"/>
    <w:rsid w:val="00202F8B"/>
    <w:rsid w:val="00216E77"/>
    <w:rsid w:val="002224B4"/>
    <w:rsid w:val="00235D50"/>
    <w:rsid w:val="00237802"/>
    <w:rsid w:val="002425B5"/>
    <w:rsid w:val="002447EF"/>
    <w:rsid w:val="00251550"/>
    <w:rsid w:val="0025618B"/>
    <w:rsid w:val="00263B05"/>
    <w:rsid w:val="002657F1"/>
    <w:rsid w:val="002667EF"/>
    <w:rsid w:val="0027221A"/>
    <w:rsid w:val="00274BDF"/>
    <w:rsid w:val="00275B61"/>
    <w:rsid w:val="00280FAF"/>
    <w:rsid w:val="00282656"/>
    <w:rsid w:val="00292DB1"/>
    <w:rsid w:val="00296B83"/>
    <w:rsid w:val="002B126F"/>
    <w:rsid w:val="002B4015"/>
    <w:rsid w:val="002B5B27"/>
    <w:rsid w:val="002B78CE"/>
    <w:rsid w:val="002C0F02"/>
    <w:rsid w:val="002C1010"/>
    <w:rsid w:val="002C2FB6"/>
    <w:rsid w:val="002C5E56"/>
    <w:rsid w:val="002D0005"/>
    <w:rsid w:val="002E5FA7"/>
    <w:rsid w:val="002E6DD5"/>
    <w:rsid w:val="002F3309"/>
    <w:rsid w:val="003008CE"/>
    <w:rsid w:val="003009B7"/>
    <w:rsid w:val="00300E56"/>
    <w:rsid w:val="0030152C"/>
    <w:rsid w:val="0030309D"/>
    <w:rsid w:val="00303395"/>
    <w:rsid w:val="0030469C"/>
    <w:rsid w:val="003106DC"/>
    <w:rsid w:val="0031316E"/>
    <w:rsid w:val="00321947"/>
    <w:rsid w:val="00321CA6"/>
    <w:rsid w:val="00323763"/>
    <w:rsid w:val="00323C5F"/>
    <w:rsid w:val="00333058"/>
    <w:rsid w:val="00334C09"/>
    <w:rsid w:val="0034679B"/>
    <w:rsid w:val="003467AE"/>
    <w:rsid w:val="0035266C"/>
    <w:rsid w:val="00362A0C"/>
    <w:rsid w:val="00363F89"/>
    <w:rsid w:val="00370DCA"/>
    <w:rsid w:val="003723D4"/>
    <w:rsid w:val="00373CC2"/>
    <w:rsid w:val="00373D6B"/>
    <w:rsid w:val="00381905"/>
    <w:rsid w:val="003821BE"/>
    <w:rsid w:val="00383501"/>
    <w:rsid w:val="00384CC8"/>
    <w:rsid w:val="003871FD"/>
    <w:rsid w:val="003A1E30"/>
    <w:rsid w:val="003A2829"/>
    <w:rsid w:val="003A33D1"/>
    <w:rsid w:val="003A6ED1"/>
    <w:rsid w:val="003A6FC6"/>
    <w:rsid w:val="003A7D1C"/>
    <w:rsid w:val="003B304B"/>
    <w:rsid w:val="003B3146"/>
    <w:rsid w:val="003B4136"/>
    <w:rsid w:val="003B417E"/>
    <w:rsid w:val="003B56C4"/>
    <w:rsid w:val="003D08D6"/>
    <w:rsid w:val="003D3D04"/>
    <w:rsid w:val="003E1AE8"/>
    <w:rsid w:val="003F015E"/>
    <w:rsid w:val="003F06DD"/>
    <w:rsid w:val="003F2D67"/>
    <w:rsid w:val="003F76FF"/>
    <w:rsid w:val="00400414"/>
    <w:rsid w:val="00404E27"/>
    <w:rsid w:val="00406C4E"/>
    <w:rsid w:val="004112DE"/>
    <w:rsid w:val="0041446B"/>
    <w:rsid w:val="00426B32"/>
    <w:rsid w:val="00436B84"/>
    <w:rsid w:val="0044071E"/>
    <w:rsid w:val="0044329C"/>
    <w:rsid w:val="00443B0B"/>
    <w:rsid w:val="004449A6"/>
    <w:rsid w:val="00453E24"/>
    <w:rsid w:val="00457456"/>
    <w:rsid w:val="004577FE"/>
    <w:rsid w:val="00457B9C"/>
    <w:rsid w:val="00460393"/>
    <w:rsid w:val="0046164A"/>
    <w:rsid w:val="004628D2"/>
    <w:rsid w:val="00462DCD"/>
    <w:rsid w:val="00463FC1"/>
    <w:rsid w:val="004648AD"/>
    <w:rsid w:val="0046662C"/>
    <w:rsid w:val="004703A9"/>
    <w:rsid w:val="004760DE"/>
    <w:rsid w:val="004761E9"/>
    <w:rsid w:val="004763D7"/>
    <w:rsid w:val="0048061D"/>
    <w:rsid w:val="0048478F"/>
    <w:rsid w:val="00491AB1"/>
    <w:rsid w:val="004A004E"/>
    <w:rsid w:val="004A24CF"/>
    <w:rsid w:val="004A33C6"/>
    <w:rsid w:val="004A6D77"/>
    <w:rsid w:val="004B589B"/>
    <w:rsid w:val="004C3D1D"/>
    <w:rsid w:val="004C3D84"/>
    <w:rsid w:val="004C7913"/>
    <w:rsid w:val="004D0A5D"/>
    <w:rsid w:val="004E4DD6"/>
    <w:rsid w:val="004F2F78"/>
    <w:rsid w:val="004F4E9B"/>
    <w:rsid w:val="004F5E36"/>
    <w:rsid w:val="004F663C"/>
    <w:rsid w:val="004F7519"/>
    <w:rsid w:val="00503DE0"/>
    <w:rsid w:val="00504115"/>
    <w:rsid w:val="00507B47"/>
    <w:rsid w:val="00507BEF"/>
    <w:rsid w:val="00507CC9"/>
    <w:rsid w:val="005119A5"/>
    <w:rsid w:val="00516AAC"/>
    <w:rsid w:val="005278B7"/>
    <w:rsid w:val="005319A2"/>
    <w:rsid w:val="00532016"/>
    <w:rsid w:val="005346C8"/>
    <w:rsid w:val="00535D2F"/>
    <w:rsid w:val="0053756B"/>
    <w:rsid w:val="00543E7D"/>
    <w:rsid w:val="00547A68"/>
    <w:rsid w:val="005531C9"/>
    <w:rsid w:val="00553D6E"/>
    <w:rsid w:val="00556967"/>
    <w:rsid w:val="0055742F"/>
    <w:rsid w:val="00564B29"/>
    <w:rsid w:val="00564D7C"/>
    <w:rsid w:val="00566EBA"/>
    <w:rsid w:val="00570C43"/>
    <w:rsid w:val="00575505"/>
    <w:rsid w:val="005775A6"/>
    <w:rsid w:val="0058302E"/>
    <w:rsid w:val="00597EE3"/>
    <w:rsid w:val="005A69B3"/>
    <w:rsid w:val="005B2110"/>
    <w:rsid w:val="005B61E6"/>
    <w:rsid w:val="005C1517"/>
    <w:rsid w:val="005C2D71"/>
    <w:rsid w:val="005C737D"/>
    <w:rsid w:val="005C77E1"/>
    <w:rsid w:val="005D6009"/>
    <w:rsid w:val="005D668A"/>
    <w:rsid w:val="005D6A2F"/>
    <w:rsid w:val="005E08C6"/>
    <w:rsid w:val="005E1A82"/>
    <w:rsid w:val="005E794C"/>
    <w:rsid w:val="005F0A28"/>
    <w:rsid w:val="005F0E5E"/>
    <w:rsid w:val="00600535"/>
    <w:rsid w:val="00610CD6"/>
    <w:rsid w:val="00614E0E"/>
    <w:rsid w:val="00620143"/>
    <w:rsid w:val="00620DEE"/>
    <w:rsid w:val="00621F92"/>
    <w:rsid w:val="0062280A"/>
    <w:rsid w:val="00625639"/>
    <w:rsid w:val="006277D1"/>
    <w:rsid w:val="006306A4"/>
    <w:rsid w:val="00631B33"/>
    <w:rsid w:val="00637F16"/>
    <w:rsid w:val="0064184D"/>
    <w:rsid w:val="006422CC"/>
    <w:rsid w:val="0064275C"/>
    <w:rsid w:val="006441F7"/>
    <w:rsid w:val="006543BC"/>
    <w:rsid w:val="00656A34"/>
    <w:rsid w:val="00656D74"/>
    <w:rsid w:val="0065737F"/>
    <w:rsid w:val="00660E3E"/>
    <w:rsid w:val="00662E74"/>
    <w:rsid w:val="0067707B"/>
    <w:rsid w:val="00680C23"/>
    <w:rsid w:val="00684762"/>
    <w:rsid w:val="006854F4"/>
    <w:rsid w:val="00693766"/>
    <w:rsid w:val="00695396"/>
    <w:rsid w:val="006A0705"/>
    <w:rsid w:val="006A23E9"/>
    <w:rsid w:val="006A3281"/>
    <w:rsid w:val="006A414E"/>
    <w:rsid w:val="006B1F96"/>
    <w:rsid w:val="006B4888"/>
    <w:rsid w:val="006C2E45"/>
    <w:rsid w:val="006C359C"/>
    <w:rsid w:val="006C5579"/>
    <w:rsid w:val="006C6E13"/>
    <w:rsid w:val="006D6E8B"/>
    <w:rsid w:val="006E22D4"/>
    <w:rsid w:val="006E737D"/>
    <w:rsid w:val="006F1ED5"/>
    <w:rsid w:val="00701950"/>
    <w:rsid w:val="00706D2D"/>
    <w:rsid w:val="00713441"/>
    <w:rsid w:val="00713973"/>
    <w:rsid w:val="00713FA0"/>
    <w:rsid w:val="00716AE6"/>
    <w:rsid w:val="00720A24"/>
    <w:rsid w:val="0072703E"/>
    <w:rsid w:val="007278A8"/>
    <w:rsid w:val="00732386"/>
    <w:rsid w:val="0073514D"/>
    <w:rsid w:val="0074119D"/>
    <w:rsid w:val="007421DE"/>
    <w:rsid w:val="007447F3"/>
    <w:rsid w:val="00745D24"/>
    <w:rsid w:val="00753BAF"/>
    <w:rsid w:val="0075499F"/>
    <w:rsid w:val="00757CF1"/>
    <w:rsid w:val="007661C8"/>
    <w:rsid w:val="00766999"/>
    <w:rsid w:val="00766E68"/>
    <w:rsid w:val="0077098D"/>
    <w:rsid w:val="0077300D"/>
    <w:rsid w:val="00773DDD"/>
    <w:rsid w:val="00777924"/>
    <w:rsid w:val="00777CE0"/>
    <w:rsid w:val="00784B68"/>
    <w:rsid w:val="007901F6"/>
    <w:rsid w:val="007931FA"/>
    <w:rsid w:val="007950A9"/>
    <w:rsid w:val="00795A02"/>
    <w:rsid w:val="00797C5E"/>
    <w:rsid w:val="007A4861"/>
    <w:rsid w:val="007A7BBA"/>
    <w:rsid w:val="007B0C50"/>
    <w:rsid w:val="007B3C60"/>
    <w:rsid w:val="007B48F9"/>
    <w:rsid w:val="007C1A43"/>
    <w:rsid w:val="007D0951"/>
    <w:rsid w:val="007D3D39"/>
    <w:rsid w:val="007D5B76"/>
    <w:rsid w:val="007D65EC"/>
    <w:rsid w:val="007D7B49"/>
    <w:rsid w:val="007F3107"/>
    <w:rsid w:val="007F7398"/>
    <w:rsid w:val="0080013E"/>
    <w:rsid w:val="008014EF"/>
    <w:rsid w:val="00804E09"/>
    <w:rsid w:val="00811B1A"/>
    <w:rsid w:val="00813288"/>
    <w:rsid w:val="008168FC"/>
    <w:rsid w:val="00816CDC"/>
    <w:rsid w:val="00820DC0"/>
    <w:rsid w:val="00821FB9"/>
    <w:rsid w:val="00825B12"/>
    <w:rsid w:val="00826003"/>
    <w:rsid w:val="008276D8"/>
    <w:rsid w:val="00830996"/>
    <w:rsid w:val="00831E4E"/>
    <w:rsid w:val="008345F1"/>
    <w:rsid w:val="00842328"/>
    <w:rsid w:val="00843EAC"/>
    <w:rsid w:val="00845550"/>
    <w:rsid w:val="00850565"/>
    <w:rsid w:val="00850D89"/>
    <w:rsid w:val="0085407F"/>
    <w:rsid w:val="00861171"/>
    <w:rsid w:val="00865B07"/>
    <w:rsid w:val="00866173"/>
    <w:rsid w:val="008667EA"/>
    <w:rsid w:val="00870E0C"/>
    <w:rsid w:val="00873896"/>
    <w:rsid w:val="0087637F"/>
    <w:rsid w:val="008803E2"/>
    <w:rsid w:val="00884042"/>
    <w:rsid w:val="00885CA5"/>
    <w:rsid w:val="008918E4"/>
    <w:rsid w:val="00892AD5"/>
    <w:rsid w:val="008A0DFA"/>
    <w:rsid w:val="008A1512"/>
    <w:rsid w:val="008A3AA8"/>
    <w:rsid w:val="008A4F6C"/>
    <w:rsid w:val="008A644D"/>
    <w:rsid w:val="008A65BC"/>
    <w:rsid w:val="008B4B81"/>
    <w:rsid w:val="008B7C03"/>
    <w:rsid w:val="008C35B4"/>
    <w:rsid w:val="008D32B9"/>
    <w:rsid w:val="008D433B"/>
    <w:rsid w:val="008D4A16"/>
    <w:rsid w:val="008E566E"/>
    <w:rsid w:val="008E6AC1"/>
    <w:rsid w:val="008E7B7C"/>
    <w:rsid w:val="008F094A"/>
    <w:rsid w:val="008F1555"/>
    <w:rsid w:val="008F6946"/>
    <w:rsid w:val="0090161A"/>
    <w:rsid w:val="00901EB6"/>
    <w:rsid w:val="00902D97"/>
    <w:rsid w:val="00902EDA"/>
    <w:rsid w:val="00904C62"/>
    <w:rsid w:val="00910AA3"/>
    <w:rsid w:val="00921AAF"/>
    <w:rsid w:val="00921FFA"/>
    <w:rsid w:val="00922BA8"/>
    <w:rsid w:val="00924DAC"/>
    <w:rsid w:val="00927058"/>
    <w:rsid w:val="00927946"/>
    <w:rsid w:val="00930212"/>
    <w:rsid w:val="00931799"/>
    <w:rsid w:val="009378D6"/>
    <w:rsid w:val="00942750"/>
    <w:rsid w:val="009450CE"/>
    <w:rsid w:val="009459BB"/>
    <w:rsid w:val="00947179"/>
    <w:rsid w:val="0095164B"/>
    <w:rsid w:val="00951D44"/>
    <w:rsid w:val="00953CEE"/>
    <w:rsid w:val="00954090"/>
    <w:rsid w:val="0095543A"/>
    <w:rsid w:val="009573E7"/>
    <w:rsid w:val="00960047"/>
    <w:rsid w:val="0096022A"/>
    <w:rsid w:val="0096178A"/>
    <w:rsid w:val="00963E05"/>
    <w:rsid w:val="00964A45"/>
    <w:rsid w:val="009666F0"/>
    <w:rsid w:val="00967843"/>
    <w:rsid w:val="00967D54"/>
    <w:rsid w:val="00971028"/>
    <w:rsid w:val="00971408"/>
    <w:rsid w:val="00971D68"/>
    <w:rsid w:val="00980E49"/>
    <w:rsid w:val="0098691D"/>
    <w:rsid w:val="0098707A"/>
    <w:rsid w:val="0099080A"/>
    <w:rsid w:val="00993B84"/>
    <w:rsid w:val="00995DD9"/>
    <w:rsid w:val="00996483"/>
    <w:rsid w:val="00996F5A"/>
    <w:rsid w:val="009A2481"/>
    <w:rsid w:val="009A4031"/>
    <w:rsid w:val="009A46D4"/>
    <w:rsid w:val="009A5DB7"/>
    <w:rsid w:val="009B041A"/>
    <w:rsid w:val="009C060B"/>
    <w:rsid w:val="009C0885"/>
    <w:rsid w:val="009C1397"/>
    <w:rsid w:val="009C37C3"/>
    <w:rsid w:val="009C7C86"/>
    <w:rsid w:val="009D2FF7"/>
    <w:rsid w:val="009E7884"/>
    <w:rsid w:val="009E788A"/>
    <w:rsid w:val="009F0E08"/>
    <w:rsid w:val="009F127C"/>
    <w:rsid w:val="00A11950"/>
    <w:rsid w:val="00A1763D"/>
    <w:rsid w:val="00A17CEC"/>
    <w:rsid w:val="00A256F7"/>
    <w:rsid w:val="00A2679D"/>
    <w:rsid w:val="00A27EF0"/>
    <w:rsid w:val="00A30C75"/>
    <w:rsid w:val="00A328CA"/>
    <w:rsid w:val="00A42361"/>
    <w:rsid w:val="00A50B20"/>
    <w:rsid w:val="00A51390"/>
    <w:rsid w:val="00A60D13"/>
    <w:rsid w:val="00A671AD"/>
    <w:rsid w:val="00A7223D"/>
    <w:rsid w:val="00A72745"/>
    <w:rsid w:val="00A76EFC"/>
    <w:rsid w:val="00A844A4"/>
    <w:rsid w:val="00A87D50"/>
    <w:rsid w:val="00A91010"/>
    <w:rsid w:val="00A93BB7"/>
    <w:rsid w:val="00A97F29"/>
    <w:rsid w:val="00AA0DF0"/>
    <w:rsid w:val="00AA702E"/>
    <w:rsid w:val="00AA7D26"/>
    <w:rsid w:val="00AB0964"/>
    <w:rsid w:val="00AB22FE"/>
    <w:rsid w:val="00AB5011"/>
    <w:rsid w:val="00AC7368"/>
    <w:rsid w:val="00AC7C61"/>
    <w:rsid w:val="00AD16B9"/>
    <w:rsid w:val="00AD27F0"/>
    <w:rsid w:val="00AE2BDC"/>
    <w:rsid w:val="00AE377D"/>
    <w:rsid w:val="00AE744C"/>
    <w:rsid w:val="00AF0EBA"/>
    <w:rsid w:val="00AF5C8E"/>
    <w:rsid w:val="00B0286A"/>
    <w:rsid w:val="00B02C8A"/>
    <w:rsid w:val="00B06D93"/>
    <w:rsid w:val="00B07A6A"/>
    <w:rsid w:val="00B1163C"/>
    <w:rsid w:val="00B12ED9"/>
    <w:rsid w:val="00B14BA9"/>
    <w:rsid w:val="00B15EBF"/>
    <w:rsid w:val="00B17FBD"/>
    <w:rsid w:val="00B26EB0"/>
    <w:rsid w:val="00B315A6"/>
    <w:rsid w:val="00B31813"/>
    <w:rsid w:val="00B33365"/>
    <w:rsid w:val="00B36142"/>
    <w:rsid w:val="00B37B4D"/>
    <w:rsid w:val="00B43797"/>
    <w:rsid w:val="00B52BF3"/>
    <w:rsid w:val="00B53208"/>
    <w:rsid w:val="00B57B36"/>
    <w:rsid w:val="00B57E6F"/>
    <w:rsid w:val="00B7188B"/>
    <w:rsid w:val="00B72D1B"/>
    <w:rsid w:val="00B75FC0"/>
    <w:rsid w:val="00B810D4"/>
    <w:rsid w:val="00B8443B"/>
    <w:rsid w:val="00B8686D"/>
    <w:rsid w:val="00B86F95"/>
    <w:rsid w:val="00B90C2C"/>
    <w:rsid w:val="00B93F69"/>
    <w:rsid w:val="00BB1DDC"/>
    <w:rsid w:val="00BC1D5A"/>
    <w:rsid w:val="00BC30C9"/>
    <w:rsid w:val="00BC35D1"/>
    <w:rsid w:val="00BC67A2"/>
    <w:rsid w:val="00BD077D"/>
    <w:rsid w:val="00BD2158"/>
    <w:rsid w:val="00BD3F93"/>
    <w:rsid w:val="00BE3E58"/>
    <w:rsid w:val="00BF1DB0"/>
    <w:rsid w:val="00BF6D49"/>
    <w:rsid w:val="00C000C2"/>
    <w:rsid w:val="00C005B5"/>
    <w:rsid w:val="00C00A65"/>
    <w:rsid w:val="00C01616"/>
    <w:rsid w:val="00C0162B"/>
    <w:rsid w:val="00C053D3"/>
    <w:rsid w:val="00C068ED"/>
    <w:rsid w:val="00C11EE6"/>
    <w:rsid w:val="00C14962"/>
    <w:rsid w:val="00C173C9"/>
    <w:rsid w:val="00C20C15"/>
    <w:rsid w:val="00C212E7"/>
    <w:rsid w:val="00C22E0C"/>
    <w:rsid w:val="00C345B1"/>
    <w:rsid w:val="00C36B0B"/>
    <w:rsid w:val="00C37826"/>
    <w:rsid w:val="00C40142"/>
    <w:rsid w:val="00C4165A"/>
    <w:rsid w:val="00C4526E"/>
    <w:rsid w:val="00C45ECE"/>
    <w:rsid w:val="00C460AB"/>
    <w:rsid w:val="00C506FD"/>
    <w:rsid w:val="00C50C10"/>
    <w:rsid w:val="00C52C3C"/>
    <w:rsid w:val="00C57182"/>
    <w:rsid w:val="00C57863"/>
    <w:rsid w:val="00C640AF"/>
    <w:rsid w:val="00C655FD"/>
    <w:rsid w:val="00C66F26"/>
    <w:rsid w:val="00C72639"/>
    <w:rsid w:val="00C75407"/>
    <w:rsid w:val="00C82D90"/>
    <w:rsid w:val="00C851B9"/>
    <w:rsid w:val="00C85B85"/>
    <w:rsid w:val="00C870A8"/>
    <w:rsid w:val="00C94434"/>
    <w:rsid w:val="00C95219"/>
    <w:rsid w:val="00CA00DD"/>
    <w:rsid w:val="00CA0D4A"/>
    <w:rsid w:val="00CA0D75"/>
    <w:rsid w:val="00CA1C95"/>
    <w:rsid w:val="00CA2C68"/>
    <w:rsid w:val="00CA478A"/>
    <w:rsid w:val="00CA5A9C"/>
    <w:rsid w:val="00CB0419"/>
    <w:rsid w:val="00CB1D00"/>
    <w:rsid w:val="00CC35D2"/>
    <w:rsid w:val="00CC3B0E"/>
    <w:rsid w:val="00CC4C20"/>
    <w:rsid w:val="00CD3517"/>
    <w:rsid w:val="00CD5FE2"/>
    <w:rsid w:val="00CE2D73"/>
    <w:rsid w:val="00CE4459"/>
    <w:rsid w:val="00CE7C68"/>
    <w:rsid w:val="00CF4FEB"/>
    <w:rsid w:val="00D02B4C"/>
    <w:rsid w:val="00D040C4"/>
    <w:rsid w:val="00D04416"/>
    <w:rsid w:val="00D113A4"/>
    <w:rsid w:val="00D166AF"/>
    <w:rsid w:val="00D20AD1"/>
    <w:rsid w:val="00D23861"/>
    <w:rsid w:val="00D24914"/>
    <w:rsid w:val="00D24A12"/>
    <w:rsid w:val="00D25EC3"/>
    <w:rsid w:val="00D30E37"/>
    <w:rsid w:val="00D4406F"/>
    <w:rsid w:val="00D46B7E"/>
    <w:rsid w:val="00D56E96"/>
    <w:rsid w:val="00D57C84"/>
    <w:rsid w:val="00D6057D"/>
    <w:rsid w:val="00D648EC"/>
    <w:rsid w:val="00D679BB"/>
    <w:rsid w:val="00D71640"/>
    <w:rsid w:val="00D741CD"/>
    <w:rsid w:val="00D75FE5"/>
    <w:rsid w:val="00D76F0E"/>
    <w:rsid w:val="00D81002"/>
    <w:rsid w:val="00D836C5"/>
    <w:rsid w:val="00D84576"/>
    <w:rsid w:val="00DA1399"/>
    <w:rsid w:val="00DA19C0"/>
    <w:rsid w:val="00DA24C6"/>
    <w:rsid w:val="00DA4D7B"/>
    <w:rsid w:val="00DA5C0F"/>
    <w:rsid w:val="00DB3233"/>
    <w:rsid w:val="00DB4A1A"/>
    <w:rsid w:val="00DB56D3"/>
    <w:rsid w:val="00DC1C5D"/>
    <w:rsid w:val="00DC7EEE"/>
    <w:rsid w:val="00DD0483"/>
    <w:rsid w:val="00DD271C"/>
    <w:rsid w:val="00DE264A"/>
    <w:rsid w:val="00DE72A7"/>
    <w:rsid w:val="00DF30E9"/>
    <w:rsid w:val="00DF5072"/>
    <w:rsid w:val="00E02D18"/>
    <w:rsid w:val="00E041E7"/>
    <w:rsid w:val="00E0665F"/>
    <w:rsid w:val="00E116E3"/>
    <w:rsid w:val="00E144DD"/>
    <w:rsid w:val="00E1682E"/>
    <w:rsid w:val="00E23CA1"/>
    <w:rsid w:val="00E24792"/>
    <w:rsid w:val="00E30C62"/>
    <w:rsid w:val="00E33DD7"/>
    <w:rsid w:val="00E409A8"/>
    <w:rsid w:val="00E50883"/>
    <w:rsid w:val="00E50C12"/>
    <w:rsid w:val="00E65B91"/>
    <w:rsid w:val="00E71792"/>
    <w:rsid w:val="00E7209D"/>
    <w:rsid w:val="00E72EAD"/>
    <w:rsid w:val="00E77223"/>
    <w:rsid w:val="00E77329"/>
    <w:rsid w:val="00E80B57"/>
    <w:rsid w:val="00E8528B"/>
    <w:rsid w:val="00E85B94"/>
    <w:rsid w:val="00E96ECF"/>
    <w:rsid w:val="00E978D0"/>
    <w:rsid w:val="00EA3BD3"/>
    <w:rsid w:val="00EA3E4A"/>
    <w:rsid w:val="00EA4613"/>
    <w:rsid w:val="00EA4A05"/>
    <w:rsid w:val="00EA7F91"/>
    <w:rsid w:val="00EA7FD8"/>
    <w:rsid w:val="00EB1523"/>
    <w:rsid w:val="00EB1A9F"/>
    <w:rsid w:val="00EB28EF"/>
    <w:rsid w:val="00EC0E49"/>
    <w:rsid w:val="00EC101F"/>
    <w:rsid w:val="00EC1D9F"/>
    <w:rsid w:val="00EC49DA"/>
    <w:rsid w:val="00EE0131"/>
    <w:rsid w:val="00EE17B0"/>
    <w:rsid w:val="00EE489F"/>
    <w:rsid w:val="00EE5B4D"/>
    <w:rsid w:val="00EF06D9"/>
    <w:rsid w:val="00F013F1"/>
    <w:rsid w:val="00F0664E"/>
    <w:rsid w:val="00F066DB"/>
    <w:rsid w:val="00F2000D"/>
    <w:rsid w:val="00F232B2"/>
    <w:rsid w:val="00F3049D"/>
    <w:rsid w:val="00F3049E"/>
    <w:rsid w:val="00F30C64"/>
    <w:rsid w:val="00F32BA2"/>
    <w:rsid w:val="00F32CDB"/>
    <w:rsid w:val="00F35F22"/>
    <w:rsid w:val="00F44C16"/>
    <w:rsid w:val="00F53A55"/>
    <w:rsid w:val="00F565FE"/>
    <w:rsid w:val="00F63A70"/>
    <w:rsid w:val="00F63D8C"/>
    <w:rsid w:val="00F71783"/>
    <w:rsid w:val="00F723C1"/>
    <w:rsid w:val="00F734C2"/>
    <w:rsid w:val="00F74A1F"/>
    <w:rsid w:val="00F7534E"/>
    <w:rsid w:val="00F8496C"/>
    <w:rsid w:val="00F84C40"/>
    <w:rsid w:val="00F86CE3"/>
    <w:rsid w:val="00F931D1"/>
    <w:rsid w:val="00F93EDF"/>
    <w:rsid w:val="00F94153"/>
    <w:rsid w:val="00FA1802"/>
    <w:rsid w:val="00FA1FCA"/>
    <w:rsid w:val="00FA21D0"/>
    <w:rsid w:val="00FA576D"/>
    <w:rsid w:val="00FA5F5F"/>
    <w:rsid w:val="00FB730C"/>
    <w:rsid w:val="00FC004E"/>
    <w:rsid w:val="00FC25BB"/>
    <w:rsid w:val="00FC2695"/>
    <w:rsid w:val="00FC2F31"/>
    <w:rsid w:val="00FC3E03"/>
    <w:rsid w:val="00FC3FC1"/>
    <w:rsid w:val="00FD281A"/>
    <w:rsid w:val="00FE1A6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58302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45550"/>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4555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910AA3"/>
    <w:rPr>
      <w:color w:val="605E5C"/>
      <w:shd w:val="clear" w:color="auto" w:fill="E1DFDD"/>
    </w:rPr>
  </w:style>
  <w:style w:type="paragraph" w:styleId="Revisione">
    <w:name w:val="Revision"/>
    <w:hidden/>
    <w:uiPriority w:val="99"/>
    <w:semiHidden/>
    <w:rsid w:val="009C060B"/>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564B2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558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pm@unicamp.br"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gnes.jocher@tum.de"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awei.lin@tum.de"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pablo.silva@tum.d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maciel@unicamp.br"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4098</Words>
  <Characters>23362</Characters>
  <Application>Microsoft Office Word</Application>
  <DocSecurity>0</DocSecurity>
  <Lines>194</Lines>
  <Paragraphs>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2024-04-18T14:07:00Z</cp:lastPrinted>
  <dcterms:created xsi:type="dcterms:W3CDTF">2024-04-22T08:19:00Z</dcterms:created>
  <dcterms:modified xsi:type="dcterms:W3CDTF">2024-04-22T08:19:00Z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cb7cd6235d46ad58ac4e56485e71b110a8af8b3d5db149136b94277219d01bec</vt:lpwstr>
  </property>
</Properties>
</file>