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5C16E1">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5DAE12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proofErr w:type="gramStart"/>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5C16E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5C16E1">
        <w:trPr>
          <w:trHeight w:val="68"/>
          <w:jc w:val="center"/>
        </w:trPr>
        <w:tc>
          <w:tcPr>
            <w:tcW w:w="8782"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Tognotti,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proofErr w:type="spellStart"/>
            <w:r w:rsidR="006A23E9" w:rsidRPr="00946B70">
              <w:rPr>
                <w:rFonts w:ascii="Tahoma" w:hAnsi="Tahoma" w:cs="Tahoma"/>
                <w:color w:val="000000"/>
                <w:sz w:val="14"/>
                <w:szCs w:val="14"/>
              </w:rPr>
              <w:t>Viatcheslav</w:t>
            </w:r>
            <w:proofErr w:type="spellEnd"/>
            <w:r w:rsidR="006A23E9" w:rsidRPr="00946B70">
              <w:rPr>
                <w:rFonts w:ascii="Tahoma" w:hAnsi="Tahoma" w:cs="Tahoma"/>
                <w:color w:val="000000"/>
                <w:sz w:val="14"/>
                <w:szCs w:val="14"/>
              </w:rPr>
              <w:t xml:space="preserve"> </w:t>
            </w:r>
            <w:proofErr w:type="spellStart"/>
            <w:r w:rsidR="006A23E9" w:rsidRPr="00946B70">
              <w:rPr>
                <w:rFonts w:ascii="Tahoma" w:hAnsi="Tahoma" w:cs="Tahoma"/>
                <w:color w:val="000000"/>
                <w:sz w:val="14"/>
                <w:szCs w:val="14"/>
              </w:rPr>
              <w:t>Kafarov</w:t>
            </w:r>
            <w:proofErr w:type="spellEnd"/>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407FEC46" w14:textId="77777777" w:rsidR="005C16E1" w:rsidRDefault="005C16E1" w:rsidP="00B57E6F">
      <w:pPr>
        <w:pStyle w:val="CETAuthors"/>
        <w:rPr>
          <w:noProof w:val="0"/>
          <w:sz w:val="32"/>
        </w:rPr>
      </w:pPr>
      <w:r w:rsidRPr="005C16E1">
        <w:rPr>
          <w:noProof w:val="0"/>
          <w:sz w:val="32"/>
        </w:rPr>
        <w:t xml:space="preserve">Morphology and nanostructure of soot particles emitted by a domestic boiler using pine </w:t>
      </w:r>
      <w:proofErr w:type="gramStart"/>
      <w:r w:rsidRPr="005C16E1">
        <w:rPr>
          <w:noProof w:val="0"/>
          <w:sz w:val="32"/>
        </w:rPr>
        <w:t>pellets</w:t>
      </w:r>
      <w:proofErr w:type="gramEnd"/>
    </w:p>
    <w:p w14:paraId="0488FED2" w14:textId="04BFCC21" w:rsidR="00B57E6F" w:rsidRPr="00FB750C" w:rsidRDefault="005C16E1" w:rsidP="00B57E6F">
      <w:pPr>
        <w:pStyle w:val="CETAuthors"/>
        <w:rPr>
          <w:lang w:val="es-ES"/>
        </w:rPr>
      </w:pPr>
      <w:r w:rsidRPr="005C16E1">
        <w:rPr>
          <w:lang w:val="es-ES"/>
        </w:rPr>
        <w:t>Rosario Ballesteros</w:t>
      </w:r>
      <w:r>
        <w:rPr>
          <w:vertAlign w:val="superscript"/>
          <w:lang w:val="es-ES"/>
        </w:rPr>
        <w:t>a</w:t>
      </w:r>
      <w:r w:rsidRPr="005C16E1">
        <w:rPr>
          <w:lang w:val="es-ES"/>
        </w:rPr>
        <w:t>, S</w:t>
      </w:r>
      <w:r>
        <w:rPr>
          <w:lang w:val="es-ES"/>
        </w:rPr>
        <w:t>ofía González-Correa</w:t>
      </w:r>
      <w:r>
        <w:rPr>
          <w:vertAlign w:val="superscript"/>
          <w:lang w:val="es-ES"/>
        </w:rPr>
        <w:t>a</w:t>
      </w:r>
      <w:r>
        <w:rPr>
          <w:lang w:val="es-ES"/>
        </w:rPr>
        <w:t>, Esperanza Monedero</w:t>
      </w:r>
      <w:r>
        <w:rPr>
          <w:vertAlign w:val="superscript"/>
          <w:lang w:val="es-ES"/>
        </w:rPr>
        <w:t>b</w:t>
      </w:r>
      <w:r>
        <w:rPr>
          <w:lang w:val="es-ES"/>
        </w:rPr>
        <w:t>, Rocío Collado</w:t>
      </w:r>
      <w:r>
        <w:rPr>
          <w:vertAlign w:val="superscript"/>
          <w:lang w:val="es-ES"/>
        </w:rPr>
        <w:t>b</w:t>
      </w:r>
      <w:r w:rsidR="00FB750C">
        <w:rPr>
          <w:lang w:val="es-ES"/>
        </w:rPr>
        <w:t xml:space="preserve">, </w:t>
      </w:r>
      <w:r w:rsidR="00FB750C" w:rsidRPr="005C16E1">
        <w:rPr>
          <w:lang w:val="es-ES"/>
        </w:rPr>
        <w:t>Magín Lapuerta</w:t>
      </w:r>
      <w:r w:rsidR="00FB750C">
        <w:rPr>
          <w:vertAlign w:val="superscript"/>
          <w:lang w:val="es-ES"/>
        </w:rPr>
        <w:t>a</w:t>
      </w:r>
    </w:p>
    <w:p w14:paraId="3B032011" w14:textId="16AD819E" w:rsidR="00A7637C" w:rsidRPr="00AE31E1" w:rsidRDefault="00A7637C" w:rsidP="00B57E6F">
      <w:pPr>
        <w:pStyle w:val="CETAddress"/>
        <w:rPr>
          <w:lang w:val="es-ES"/>
        </w:rPr>
      </w:pPr>
      <w:r>
        <w:rPr>
          <w:vertAlign w:val="superscript"/>
          <w:lang w:val="es-ES"/>
        </w:rPr>
        <w:t>a</w:t>
      </w:r>
      <w:r w:rsidRPr="00A7637C">
        <w:rPr>
          <w:lang w:val="es-ES"/>
        </w:rPr>
        <w:t xml:space="preserve">Escuela Técnica Superior de Ingeniería Industrial, Universidad de Castilla-La Mancha, Edificio Politécnica, Avda. </w:t>
      </w:r>
      <w:r w:rsidRPr="00AE31E1">
        <w:rPr>
          <w:lang w:val="es-ES"/>
        </w:rPr>
        <w:t>Camilo José Cela, s/n. 13071. Ciudad Real. Spain.</w:t>
      </w:r>
    </w:p>
    <w:p w14:paraId="73F1267A" w14:textId="3CEBC91B" w:rsidR="00B57E6F" w:rsidRPr="004F5655" w:rsidRDefault="00A7637C" w:rsidP="00B57E6F">
      <w:pPr>
        <w:pStyle w:val="CETemail"/>
        <w:rPr>
          <w:lang w:val="en-US"/>
        </w:rPr>
      </w:pPr>
      <w:r>
        <w:rPr>
          <w:vertAlign w:val="superscript"/>
          <w:lang w:val="es-ES"/>
        </w:rPr>
        <w:t>b</w:t>
      </w:r>
      <w:r w:rsidRPr="00A7637C">
        <w:rPr>
          <w:lang w:val="es-ES"/>
        </w:rPr>
        <w:t>Instituto de Investigación en Energías Renovables, Universidad de Castilla-La Mancha, 02006 Albacete, Spain.</w:t>
      </w:r>
      <w:r w:rsidR="00B57E6F" w:rsidRPr="00A7637C">
        <w:rPr>
          <w:lang w:val="es-ES"/>
        </w:rPr>
        <w:t xml:space="preserve"> </w:t>
      </w:r>
      <w:r w:rsidR="004F5655" w:rsidRPr="004F5655">
        <w:rPr>
          <w:lang w:val="en-US"/>
        </w:rPr>
        <w:t xml:space="preserve">Corresponding author: </w:t>
      </w:r>
      <w:r w:rsidRPr="004F5655">
        <w:rPr>
          <w:lang w:val="en-US"/>
        </w:rPr>
        <w:t>Magin.lapuerta@uclm.es</w:t>
      </w:r>
    </w:p>
    <w:p w14:paraId="3DA406A1" w14:textId="613B4661" w:rsidR="00A7637C" w:rsidRDefault="00A7637C" w:rsidP="006E782A">
      <w:pPr>
        <w:pStyle w:val="CETHeading1"/>
        <w:numPr>
          <w:ilvl w:val="0"/>
          <w:numId w:val="0"/>
        </w:numPr>
        <w:jc w:val="both"/>
        <w:rPr>
          <w:b w:val="0"/>
          <w:sz w:val="18"/>
          <w:lang w:val="en-GB"/>
        </w:rPr>
      </w:pPr>
      <w:r w:rsidRPr="00A7637C">
        <w:rPr>
          <w:b w:val="0"/>
          <w:sz w:val="18"/>
          <w:lang w:val="en-GB"/>
        </w:rPr>
        <w:t>Particulate aerosols derived from combustion processes are a major contributor to climate change, but quantifying this effect is difficult because the optical and radiative properties of these aerosol depend on their composition, size, and structure. In the case of biomass boiler exhaust, five types of particles can be found in the chimney: soot agglomerates, organic films, organic particles with impregnated fibrous structures, condensed tars and condensed organic particles. All attention has so far been focused on the morphological and nanostructure characterization of soot agglomerates in internal combustion engines</w:t>
      </w:r>
      <w:r w:rsidR="00661C6E">
        <w:rPr>
          <w:b w:val="0"/>
          <w:sz w:val="18"/>
          <w:lang w:val="en-GB"/>
        </w:rPr>
        <w:t xml:space="preserve"> </w:t>
      </w:r>
      <w:r w:rsidRPr="00A7637C">
        <w:rPr>
          <w:b w:val="0"/>
          <w:sz w:val="18"/>
          <w:lang w:val="en-GB"/>
        </w:rPr>
        <w:t>and in pre-mixed or diffusive flames</w:t>
      </w:r>
      <w:r w:rsidR="00BC41A6">
        <w:rPr>
          <w:b w:val="0"/>
          <w:sz w:val="18"/>
          <w:lang w:val="en-GB"/>
        </w:rPr>
        <w:t xml:space="preserve">. </w:t>
      </w:r>
      <w:r w:rsidRPr="00A7637C">
        <w:rPr>
          <w:b w:val="0"/>
          <w:sz w:val="18"/>
          <w:lang w:val="en-GB"/>
        </w:rPr>
        <w:t>Similar works in boilers are scarce</w:t>
      </w:r>
      <w:r w:rsidR="00BC41A6">
        <w:rPr>
          <w:b w:val="0"/>
          <w:sz w:val="18"/>
          <w:lang w:val="en-GB"/>
        </w:rPr>
        <w:t xml:space="preserve">. </w:t>
      </w:r>
      <w:r w:rsidRPr="00A7637C">
        <w:rPr>
          <w:b w:val="0"/>
          <w:sz w:val="18"/>
          <w:lang w:val="en-GB"/>
        </w:rPr>
        <w:t xml:space="preserve">In this work, the morphology and nanostructure of these </w:t>
      </w:r>
      <w:r w:rsidRPr="00BC41A6">
        <w:rPr>
          <w:b w:val="0"/>
          <w:sz w:val="18"/>
          <w:lang w:val="en-GB"/>
        </w:rPr>
        <w:t>agglomerates sampled in a domestic boiler using pine pellets is analy</w:t>
      </w:r>
      <w:r w:rsidR="00A23204">
        <w:rPr>
          <w:b w:val="0"/>
          <w:sz w:val="18"/>
          <w:lang w:val="en-GB"/>
        </w:rPr>
        <w:t>s</w:t>
      </w:r>
      <w:r w:rsidRPr="00BC41A6">
        <w:rPr>
          <w:b w:val="0"/>
          <w:sz w:val="18"/>
          <w:lang w:val="en-GB"/>
        </w:rPr>
        <w:t>ed. The relationship between the fractal dimension, the number of primary particles forming the agglomerate, the interlaminar distance and the degree of graphitization of these agglomerates versus diameter of gyration</w:t>
      </w:r>
      <w:r w:rsidR="00BC41A6" w:rsidRPr="00BC41A6">
        <w:rPr>
          <w:b w:val="0"/>
          <w:sz w:val="18"/>
          <w:lang w:val="en-GB"/>
        </w:rPr>
        <w:t xml:space="preserve"> or electrical mobility diameter</w:t>
      </w:r>
      <w:r w:rsidRPr="00BC41A6">
        <w:rPr>
          <w:b w:val="0"/>
          <w:sz w:val="18"/>
          <w:lang w:val="en-GB"/>
        </w:rPr>
        <w:t xml:space="preserve"> are presented</w:t>
      </w:r>
      <w:r w:rsidR="00BC41A6">
        <w:rPr>
          <w:b w:val="0"/>
          <w:sz w:val="18"/>
          <w:lang w:val="en-GB"/>
        </w:rPr>
        <w:t>.</w:t>
      </w:r>
    </w:p>
    <w:p w14:paraId="476B2F2E" w14:textId="77777777" w:rsidR="00600535" w:rsidRDefault="00600535" w:rsidP="00600535">
      <w:pPr>
        <w:pStyle w:val="CETHeading1"/>
        <w:rPr>
          <w:lang w:val="en-GB"/>
        </w:rPr>
      </w:pPr>
      <w:r w:rsidRPr="00B57B36">
        <w:rPr>
          <w:lang w:val="en-GB"/>
        </w:rPr>
        <w:t>Introduction</w:t>
      </w:r>
    </w:p>
    <w:p w14:paraId="1F635D90" w14:textId="1A9088CE" w:rsidR="00703CFB" w:rsidRPr="008C1827" w:rsidRDefault="008E59F3" w:rsidP="008D27E5">
      <w:pPr>
        <w:pStyle w:val="CETBodytext"/>
      </w:pPr>
      <w:r w:rsidRPr="008C1827">
        <w:rPr>
          <w:lang w:val="en-GB"/>
        </w:rPr>
        <w:t xml:space="preserve">The role of biomass to produce thermal energy in the domestic sector has grown up progressively since it allows to ensure the energy supply </w:t>
      </w:r>
      <w:proofErr w:type="gramStart"/>
      <w:r w:rsidRPr="008C1827">
        <w:rPr>
          <w:lang w:val="en-GB"/>
        </w:rPr>
        <w:t>through the use of</w:t>
      </w:r>
      <w:proofErr w:type="gramEnd"/>
      <w:r w:rsidRPr="008C1827">
        <w:rPr>
          <w:lang w:val="en-GB"/>
        </w:rPr>
        <w:t xml:space="preserve"> household fuels, in addition to the obvious reduction of fossil fuel use. The EU Renewable Energy Directive (</w:t>
      </w:r>
      <w:r w:rsidR="006D735A" w:rsidRPr="008C1827">
        <w:rPr>
          <w:lang w:val="en-GB"/>
        </w:rPr>
        <w:t xml:space="preserve">Directive (EU) </w:t>
      </w:r>
      <w:r w:rsidR="00C64E3D">
        <w:rPr>
          <w:rStyle w:val="cf01"/>
        </w:rPr>
        <w:t>2023/2413</w:t>
      </w:r>
      <w:r w:rsidRPr="008C1827">
        <w:rPr>
          <w:lang w:val="en-GB"/>
        </w:rPr>
        <w:t xml:space="preserve">) establishes that at least </w:t>
      </w:r>
      <w:r w:rsidR="00C64E3D">
        <w:rPr>
          <w:lang w:val="en-GB"/>
        </w:rPr>
        <w:t>42.5</w:t>
      </w:r>
      <w:r w:rsidRPr="008C1827">
        <w:rPr>
          <w:lang w:val="en-GB"/>
        </w:rPr>
        <w:t>% of the final energy consumption should come from renewable s</w:t>
      </w:r>
      <w:r w:rsidRPr="009204AA">
        <w:rPr>
          <w:lang w:val="en-GB"/>
        </w:rPr>
        <w:t>ources.</w:t>
      </w:r>
      <w:r w:rsidR="002E7096" w:rsidRPr="009204AA">
        <w:t xml:space="preserve"> </w:t>
      </w:r>
      <w:r w:rsidR="009204AA" w:rsidRPr="009204AA">
        <w:rPr>
          <w:lang w:val="en-GB"/>
        </w:rPr>
        <w:t>In the residential sector, biomass combustion in heating installations in the European Union represents about 17.3% in 2021 according to EUROSTAT</w:t>
      </w:r>
      <w:r w:rsidR="002E7096" w:rsidRPr="008C1827">
        <w:rPr>
          <w:lang w:val="en-GB"/>
        </w:rPr>
        <w:t xml:space="preserve">, with </w:t>
      </w:r>
      <w:r w:rsidR="005D2EE8" w:rsidRPr="008C1827">
        <w:rPr>
          <w:lang w:val="en-GB"/>
        </w:rPr>
        <w:t>pine</w:t>
      </w:r>
      <w:r w:rsidR="002E7096" w:rsidRPr="008C1827">
        <w:rPr>
          <w:lang w:val="en-GB"/>
        </w:rPr>
        <w:t xml:space="preserve"> pellets being the</w:t>
      </w:r>
      <w:r w:rsidR="00095044">
        <w:rPr>
          <w:lang w:val="en-GB"/>
        </w:rPr>
        <w:t xml:space="preserve"> main</w:t>
      </w:r>
      <w:r w:rsidR="00095044" w:rsidRPr="000E0207">
        <w:rPr>
          <w:color w:val="9BBB59" w:themeColor="accent3"/>
          <w:lang w:val="en-GB"/>
        </w:rPr>
        <w:t xml:space="preserve"> </w:t>
      </w:r>
      <w:r w:rsidR="00095044" w:rsidRPr="008D27E5">
        <w:rPr>
          <w:lang w:val="en-GB"/>
        </w:rPr>
        <w:t>feedstock</w:t>
      </w:r>
      <w:r w:rsidR="00C25A38" w:rsidRPr="008D27E5">
        <w:rPr>
          <w:lang w:val="en-GB"/>
        </w:rPr>
        <w:t xml:space="preserve"> due to its </w:t>
      </w:r>
      <w:r w:rsidR="000E0207" w:rsidRPr="008D27E5">
        <w:rPr>
          <w:lang w:val="en-GB"/>
        </w:rPr>
        <w:t>suitable properties (high heating value and low ash content)</w:t>
      </w:r>
      <w:r w:rsidR="007F13CE" w:rsidRPr="008D27E5">
        <w:rPr>
          <w:lang w:val="en-GB"/>
        </w:rPr>
        <w:t xml:space="preserve"> </w:t>
      </w:r>
      <w:r w:rsidR="000E72E2" w:rsidRPr="008D27E5">
        <w:t xml:space="preserve">Biomass combustion processes </w:t>
      </w:r>
      <w:r w:rsidR="000E72E2" w:rsidRPr="008C1827">
        <w:t>in domestic boilers are not exempt from polluting emissions (Nussbaumer, 2010).</w:t>
      </w:r>
      <w:r w:rsidR="00965778" w:rsidRPr="008C1827">
        <w:t xml:space="preserve"> Nussbaumer (2017) highlighted the importance of VOCs and the inhalable fraction of soot below 10 µm as the main relevant factors in air quality, </w:t>
      </w:r>
      <w:r w:rsidR="00965778" w:rsidRPr="003534D3">
        <w:t>although emissions of nitric oxide (NOx), polycyclic aromatic hydrocarbons (PAH), polychlorinated dibenzo-p-</w:t>
      </w:r>
      <w:proofErr w:type="spellStart"/>
      <w:r w:rsidR="00965778" w:rsidRPr="003534D3">
        <w:t>oxins</w:t>
      </w:r>
      <w:proofErr w:type="spellEnd"/>
      <w:r w:rsidR="00965778" w:rsidRPr="003534D3">
        <w:t xml:space="preserve"> and furans (PCDD/F) are also mentioned. </w:t>
      </w:r>
      <w:r w:rsidR="00761AE6" w:rsidRPr="003534D3">
        <w:t xml:space="preserve">According to several authors, the size, shape, </w:t>
      </w:r>
      <w:proofErr w:type="gramStart"/>
      <w:r w:rsidR="00761AE6" w:rsidRPr="003534D3">
        <w:t>morphology</w:t>
      </w:r>
      <w:proofErr w:type="gramEnd"/>
      <w:r w:rsidR="00761AE6" w:rsidRPr="003534D3">
        <w:t xml:space="preserve"> and chemical composition of soot particles are the most relevant aspects to be taken into account when assessing </w:t>
      </w:r>
      <w:r w:rsidR="00761AE6" w:rsidRPr="008C1827">
        <w:t xml:space="preserve">the potential impact of soot on the environment and humans. </w:t>
      </w:r>
      <w:r w:rsidR="008D27E5">
        <w:t xml:space="preserve">The environmental impact is inverse to particle size. The smaller they are, the </w:t>
      </w:r>
      <w:proofErr w:type="gramStart"/>
      <w:r w:rsidR="008D27E5">
        <w:t>more light</w:t>
      </w:r>
      <w:proofErr w:type="gramEnd"/>
      <w:r w:rsidR="008D27E5">
        <w:t xml:space="preserve"> they absorb and the less they scatter, and therefore they have higher heating potential. In addition, as the irregularity of the agglomerates grows, their surface area increase</w:t>
      </w:r>
      <w:r w:rsidR="00036DB2">
        <w:t>s</w:t>
      </w:r>
      <w:r w:rsidR="008D27E5">
        <w:t xml:space="preserve"> and, thus their capacity to adsorb hydrocarbons. For equal size, more irregular agglomerates (with lower fractal dimension) show higher absorption capacity. Moreover, as a carbonaceous material, soot varies greatly in their properties depending on the amount of sp</w:t>
      </w:r>
      <w:r w:rsidR="008D27E5" w:rsidRPr="003F6C26">
        <w:rPr>
          <w:vertAlign w:val="superscript"/>
        </w:rPr>
        <w:t>2</w:t>
      </w:r>
      <w:r w:rsidR="003F6C26">
        <w:t xml:space="preserve"> </w:t>
      </w:r>
      <w:r w:rsidR="008D27E5">
        <w:t>or sp</w:t>
      </w:r>
      <w:r w:rsidR="008D27E5" w:rsidRPr="003F6C26">
        <w:rPr>
          <w:vertAlign w:val="superscript"/>
        </w:rPr>
        <w:t>3</w:t>
      </w:r>
      <w:r w:rsidR="003F6C26">
        <w:t xml:space="preserve"> </w:t>
      </w:r>
      <w:r w:rsidR="008D27E5">
        <w:t xml:space="preserve">bonds it contains. </w:t>
      </w:r>
      <w:r w:rsidR="00761AE6" w:rsidRPr="008C1827">
        <w:t xml:space="preserve">There are many published studies that focus on the determination of the nanostructure and morphology of soot emitted by internal combustion engines </w:t>
      </w:r>
      <w:r w:rsidR="008C1827" w:rsidRPr="008C1827">
        <w:rPr>
          <w:lang w:val="en-GB"/>
        </w:rPr>
        <w:t>(Lapuerta et al., 2023) (Arora et al., 2023) (</w:t>
      </w:r>
      <w:proofErr w:type="spellStart"/>
      <w:r w:rsidR="008C1827" w:rsidRPr="008C1827">
        <w:rPr>
          <w:lang w:val="en-GB"/>
        </w:rPr>
        <w:t>Almanzalawy</w:t>
      </w:r>
      <w:proofErr w:type="spellEnd"/>
      <w:r w:rsidR="008C1827" w:rsidRPr="008C1827">
        <w:rPr>
          <w:lang w:val="en-GB"/>
        </w:rPr>
        <w:t xml:space="preserve"> et al., 2023) </w:t>
      </w:r>
      <w:r w:rsidR="00761AE6" w:rsidRPr="008C1827">
        <w:t>or by premixed and diffusive flames</w:t>
      </w:r>
      <w:r w:rsidR="008C1827" w:rsidRPr="008C1827">
        <w:t xml:space="preserve"> </w:t>
      </w:r>
      <w:r w:rsidR="008C1827" w:rsidRPr="008C1827">
        <w:rPr>
          <w:lang w:val="en-GB"/>
        </w:rPr>
        <w:t>(Chang et al., 2022) (Trivanovic et al., 2023)</w:t>
      </w:r>
      <w:r w:rsidR="00761AE6" w:rsidRPr="008C1827">
        <w:t xml:space="preserve">. In more recent works, the optical characterization of such emissions has also been added, as it has an impact on radiative forcing. However, </w:t>
      </w:r>
      <w:proofErr w:type="spellStart"/>
      <w:r w:rsidR="00761AE6" w:rsidRPr="008C1827">
        <w:t>nanostructural</w:t>
      </w:r>
      <w:proofErr w:type="spellEnd"/>
      <w:r w:rsidR="00761AE6" w:rsidRPr="008C1827">
        <w:t xml:space="preserve"> and morphological analysis of soot emitted from boilers is scarce </w:t>
      </w:r>
      <w:r w:rsidR="008C1827" w:rsidRPr="008C1827">
        <w:rPr>
          <w:lang w:val="en-GB"/>
        </w:rPr>
        <w:t xml:space="preserve">(Patiño et al., 2019) </w:t>
      </w:r>
      <w:r w:rsidR="00761AE6" w:rsidRPr="008C1827">
        <w:t xml:space="preserve">and </w:t>
      </w:r>
      <w:r w:rsidR="00575E01" w:rsidRPr="00575E01">
        <w:t>there is a substantial lack</w:t>
      </w:r>
      <w:r w:rsidR="00575E01">
        <w:t>.</w:t>
      </w:r>
    </w:p>
    <w:p w14:paraId="5741900F" w14:textId="407CE4E5" w:rsidR="00453E24" w:rsidRDefault="00801577" w:rsidP="00453E24">
      <w:pPr>
        <w:pStyle w:val="CETHeading1"/>
      </w:pPr>
      <w:r>
        <w:lastRenderedPageBreak/>
        <w:t>Experimental set-up</w:t>
      </w:r>
    </w:p>
    <w:p w14:paraId="4F72422E" w14:textId="17142341" w:rsidR="00303F1A" w:rsidRPr="008C1827" w:rsidRDefault="008450CB" w:rsidP="008C1827">
      <w:pPr>
        <w:pStyle w:val="CETheadingx"/>
      </w:pPr>
      <w:r w:rsidRPr="008C1827">
        <w:t xml:space="preserve">The experimental tests were performed on a fully monitored three-pass water-tube fixed-bed boiler with </w:t>
      </w:r>
      <w:r w:rsidR="00027939">
        <w:t>two</w:t>
      </w:r>
      <w:r w:rsidRPr="008C1827">
        <w:t xml:space="preserve"> thermal output</w:t>
      </w:r>
      <w:r w:rsidR="00027939">
        <w:t>s</w:t>
      </w:r>
      <w:r w:rsidRPr="008C1827">
        <w:t xml:space="preserve"> of </w:t>
      </w:r>
      <w:r w:rsidR="00027939">
        <w:t xml:space="preserve">25 kW and </w:t>
      </w:r>
      <w:r w:rsidRPr="008C1827">
        <w:t>55 kW. This is a domestic heating boiler with air staging and automatic ash removal. The complete system has been described extensively in previous work (Monedero et al., 2010) (</w:t>
      </w:r>
      <w:r w:rsidR="0073196D" w:rsidRPr="008C1827">
        <w:t>Serrano et al., 2013)</w:t>
      </w:r>
      <w:r w:rsidRPr="008C1827">
        <w:t xml:space="preserve">. The feeding system consists of a hopper (previously calibrated for each biomass) where the biomass is loaded, and two synchronized feeding augers, which allows varying the biomass flow rate and thus the thermal load of the boiler. The excess air (λ) is defined as the actual air flow rate with respect to the stoichiometric one. The total air is divided into two flows: primary air (upward through the grate) and secondary air (through the wall orifices located just above the biomass bed). Two damper actuators operate the corresponding valves to adjust the desired primary air (PA)/secondary air (SA) ratio. The </w:t>
      </w:r>
      <w:r w:rsidRPr="00C64E3D">
        <w:t>vibration frequency of the grate can be manually adjusted between 0 and 45 s to obtain adequate ash removal while avoiding disturbances in the bed resulting in fuel particles in the form of fly ash.</w:t>
      </w:r>
      <w:r w:rsidR="00572C65" w:rsidRPr="00C64E3D">
        <w:t xml:space="preserve"> These </w:t>
      </w:r>
      <w:r w:rsidR="00572C65" w:rsidRPr="00C64E3D">
        <w:rPr>
          <w:lang w:val="en-GB"/>
        </w:rPr>
        <w:t>parameters were optimized</w:t>
      </w:r>
      <w:r w:rsidR="00AE31E1" w:rsidRPr="00C64E3D">
        <w:rPr>
          <w:lang w:val="en-GB"/>
        </w:rPr>
        <w:t xml:space="preserve"> for pine pellets</w:t>
      </w:r>
      <w:r w:rsidR="00181172" w:rsidRPr="00C64E3D">
        <w:rPr>
          <w:lang w:val="en-GB"/>
        </w:rPr>
        <w:t xml:space="preserve"> in (</w:t>
      </w:r>
      <w:r w:rsidR="00C64E3D" w:rsidRPr="00C64E3D">
        <w:rPr>
          <w:lang w:val="en-GB"/>
        </w:rPr>
        <w:t>Portero, 2018)</w:t>
      </w:r>
      <w:r w:rsidR="00181172" w:rsidRPr="00C64E3D">
        <w:rPr>
          <w:lang w:val="en-GB"/>
        </w:rPr>
        <w:t xml:space="preserve"> to achieve the highest boiler performance. </w:t>
      </w:r>
      <w:r w:rsidR="00303F1A" w:rsidRPr="00C64E3D">
        <w:rPr>
          <w:lang w:val="en-GB"/>
        </w:rPr>
        <w:t xml:space="preserve">The </w:t>
      </w:r>
      <w:r w:rsidR="00303F1A" w:rsidRPr="008C1827">
        <w:rPr>
          <w:lang w:val="en-GB"/>
        </w:rPr>
        <w:t xml:space="preserve">sampling probe </w:t>
      </w:r>
      <w:r w:rsidR="003F6C26">
        <w:rPr>
          <w:lang w:val="en-GB"/>
        </w:rPr>
        <w:t xml:space="preserve">for collecting particles </w:t>
      </w:r>
      <w:r w:rsidR="00303F1A" w:rsidRPr="008C1827">
        <w:rPr>
          <w:lang w:val="en-GB"/>
        </w:rPr>
        <w:t>is heated during all tests to prevent condensations along the sampling line</w:t>
      </w:r>
      <w:r w:rsidR="003F6C26">
        <w:rPr>
          <w:lang w:val="en-GB"/>
        </w:rPr>
        <w:t xml:space="preserve"> and</w:t>
      </w:r>
      <w:r w:rsidR="00303F1A" w:rsidRPr="008C1827">
        <w:rPr>
          <w:lang w:val="en-GB"/>
        </w:rPr>
        <w:t xml:space="preserve"> was connected at the chimney outlet. </w:t>
      </w:r>
      <w:r w:rsidR="003F6C26" w:rsidRPr="003F6C26">
        <w:rPr>
          <w:lang w:val="en-GB"/>
        </w:rPr>
        <w:t xml:space="preserve">Prior to the soot collection, the exhaust is diluted with a </w:t>
      </w:r>
      <w:r w:rsidR="00303F1A" w:rsidRPr="008C1827">
        <w:rPr>
          <w:lang w:val="en-GB"/>
        </w:rPr>
        <w:t xml:space="preserve">dilution system composed of two dilutors from </w:t>
      </w:r>
      <w:proofErr w:type="spellStart"/>
      <w:r w:rsidR="00303F1A" w:rsidRPr="008C1827">
        <w:rPr>
          <w:lang w:val="en-GB"/>
        </w:rPr>
        <w:t>Dekati</w:t>
      </w:r>
      <w:proofErr w:type="spellEnd"/>
      <w:r w:rsidR="00303F1A" w:rsidRPr="008C1827">
        <w:rPr>
          <w:lang w:val="en-GB"/>
        </w:rPr>
        <w:t>. Thermal insulation along the first dilution avoids hydrocarbon and water condensation on the aerosol surface. Each dilutor has a dilution ratio of 8:1, which considering the serial arrangement, gives a total dilution ratio of 64:1. The diluted flow is directed to the Differential Mobility Analyzer (DMA, model 3080, from TSI) to classify the aerosol particles. T</w:t>
      </w:r>
      <w:r w:rsidR="004D37D4">
        <w:rPr>
          <w:lang w:val="en-GB"/>
        </w:rPr>
        <w:t xml:space="preserve">he selected </w:t>
      </w:r>
      <w:r w:rsidR="00303F1A" w:rsidRPr="008C1827">
        <w:rPr>
          <w:lang w:val="en-GB"/>
        </w:rPr>
        <w:t xml:space="preserve">mobility diameters </w:t>
      </w:r>
      <w:r w:rsidR="004D37D4">
        <w:rPr>
          <w:lang w:val="en-GB"/>
        </w:rPr>
        <w:t>were</w:t>
      </w:r>
      <w:r w:rsidR="00303F1A" w:rsidRPr="008C1827">
        <w:rPr>
          <w:lang w:val="en-GB"/>
        </w:rPr>
        <w:t xml:space="preserve"> 10, 50, 215, and 350 nm. Samples of particle agglomerates were collected </w:t>
      </w:r>
      <w:r w:rsidR="004D37D4">
        <w:rPr>
          <w:lang w:val="en-GB"/>
        </w:rPr>
        <w:t xml:space="preserve">for each selected size </w:t>
      </w:r>
      <w:r w:rsidR="00303F1A" w:rsidRPr="008C1827">
        <w:rPr>
          <w:lang w:val="en-GB"/>
        </w:rPr>
        <w:t xml:space="preserve">with the electrostatic sampler </w:t>
      </w:r>
      <w:proofErr w:type="spellStart"/>
      <w:r w:rsidR="004D37D4" w:rsidRPr="004D37D4">
        <w:rPr>
          <w:lang w:val="en-GB"/>
        </w:rPr>
        <w:t>ESPnano</w:t>
      </w:r>
      <w:proofErr w:type="spellEnd"/>
      <w:r w:rsidR="004D37D4" w:rsidRPr="004D37D4">
        <w:rPr>
          <w:lang w:val="en-GB"/>
        </w:rPr>
        <w:t xml:space="preserve">, from Dash Connector Technology </w:t>
      </w:r>
      <w:r w:rsidR="00303F1A" w:rsidRPr="008C1827">
        <w:rPr>
          <w:lang w:val="en-GB"/>
        </w:rPr>
        <w:t xml:space="preserve">on TEM grids (with 3 mm copper grids). </w:t>
      </w:r>
      <w:r w:rsidR="00281CF2" w:rsidRPr="008C1827">
        <w:rPr>
          <w:lang w:val="en-GB"/>
        </w:rPr>
        <w:t xml:space="preserve">TEM and HRTEM in lattice fringe mode was performed on the soot samples using a JEOL </w:t>
      </w:r>
      <w:r w:rsidR="00164CD7" w:rsidRPr="008C1827">
        <w:t xml:space="preserve">JEM-2100 </w:t>
      </w:r>
      <w:r w:rsidR="00281CF2" w:rsidRPr="008C1827">
        <w:rPr>
          <w:lang w:val="en-GB"/>
        </w:rPr>
        <w:t xml:space="preserve">electron microscope operating at </w:t>
      </w:r>
      <w:r w:rsidR="00164CD7" w:rsidRPr="008C1827">
        <w:rPr>
          <w:lang w:val="en-GB"/>
        </w:rPr>
        <w:t>200</w:t>
      </w:r>
      <w:r w:rsidR="00281CF2" w:rsidRPr="008C1827">
        <w:rPr>
          <w:lang w:val="en-GB"/>
        </w:rPr>
        <w:t xml:space="preserve"> kV equipped with a LaB</w:t>
      </w:r>
      <w:r w:rsidR="00281CF2" w:rsidRPr="008C1827">
        <w:rPr>
          <w:vertAlign w:val="subscript"/>
          <w:lang w:val="en-GB"/>
        </w:rPr>
        <w:t>6</w:t>
      </w:r>
      <w:r w:rsidR="00281CF2" w:rsidRPr="008C1827">
        <w:rPr>
          <w:lang w:val="en-GB"/>
        </w:rPr>
        <w:t xml:space="preserve"> filament</w:t>
      </w:r>
      <w:r w:rsidR="00164CD7" w:rsidRPr="008C1827">
        <w:rPr>
          <w:lang w:val="en-GB"/>
        </w:rPr>
        <w:t xml:space="preserve">. </w:t>
      </w:r>
      <w:r w:rsidR="00303F1A" w:rsidRPr="008C1827">
        <w:rPr>
          <w:lang w:val="en-GB"/>
        </w:rPr>
        <w:t xml:space="preserve">Figure 1 summarizes the protocol followed in this work, combining on-line and off-line measurements. The microscopic images obtained from the grids with the electrostatic sampler </w:t>
      </w:r>
      <w:r w:rsidR="004D37D4">
        <w:rPr>
          <w:lang w:val="en-GB"/>
        </w:rPr>
        <w:t>were</w:t>
      </w:r>
      <w:r w:rsidR="00303F1A" w:rsidRPr="008C1827">
        <w:rPr>
          <w:lang w:val="en-GB"/>
        </w:rPr>
        <w:t xml:space="preserve"> pre-processed to obtain the diameter of gyration (</w:t>
      </w:r>
      <w:r w:rsidR="00303F1A" w:rsidRPr="008C1827">
        <w:rPr>
          <w:i/>
          <w:iCs/>
          <w:lang w:val="en-GB"/>
        </w:rPr>
        <w:t>d</w:t>
      </w:r>
      <w:r w:rsidR="00303F1A" w:rsidRPr="008C1827">
        <w:rPr>
          <w:i/>
          <w:iCs/>
          <w:vertAlign w:val="subscript"/>
          <w:lang w:val="en-GB"/>
        </w:rPr>
        <w:t>g</w:t>
      </w:r>
      <w:r w:rsidR="00303F1A" w:rsidRPr="008C1827">
        <w:rPr>
          <w:lang w:val="en-GB"/>
        </w:rPr>
        <w:t>), the projected area of the agglomerates (</w:t>
      </w:r>
      <w:r w:rsidR="00303F1A" w:rsidRPr="008C1827">
        <w:rPr>
          <w:i/>
          <w:iCs/>
          <w:lang w:val="en-GB"/>
        </w:rPr>
        <w:t>A</w:t>
      </w:r>
      <w:r w:rsidR="00303F1A" w:rsidRPr="008C1827">
        <w:rPr>
          <w:i/>
          <w:iCs/>
          <w:vertAlign w:val="subscript"/>
          <w:lang w:val="en-GB"/>
        </w:rPr>
        <w:t>p</w:t>
      </w:r>
      <w:r w:rsidR="00303F1A" w:rsidRPr="008C1827">
        <w:rPr>
          <w:lang w:val="en-GB"/>
        </w:rPr>
        <w:t>), and the average diameter of primary particles (</w:t>
      </w:r>
      <w:r w:rsidR="00303F1A" w:rsidRPr="008C1827">
        <w:rPr>
          <w:i/>
          <w:iCs/>
          <w:lang w:val="en-GB"/>
        </w:rPr>
        <w:t>d</w:t>
      </w:r>
      <w:r w:rsidR="00303F1A" w:rsidRPr="008C1827">
        <w:rPr>
          <w:i/>
          <w:iCs/>
          <w:vertAlign w:val="subscript"/>
          <w:lang w:val="en-GB"/>
        </w:rPr>
        <w:t>p</w:t>
      </w:r>
      <w:r w:rsidR="00303F1A" w:rsidRPr="008C1827">
        <w:rPr>
          <w:vertAlign w:val="subscript"/>
          <w:lang w:val="en-GB"/>
        </w:rPr>
        <w:t>0</w:t>
      </w:r>
      <w:r w:rsidR="00303F1A" w:rsidRPr="008C1827">
        <w:rPr>
          <w:lang w:val="en-GB"/>
        </w:rPr>
        <w:t xml:space="preserve">). </w:t>
      </w:r>
      <w:r w:rsidR="009B7C19" w:rsidRPr="008C1827">
        <w:t>With this information, the fractal dimension (</w:t>
      </w:r>
      <w:proofErr w:type="spellStart"/>
      <w:r w:rsidR="009B7C19" w:rsidRPr="008C1827">
        <w:rPr>
          <w:i/>
          <w:iCs/>
        </w:rPr>
        <w:t>D</w:t>
      </w:r>
      <w:r w:rsidR="009B7C19" w:rsidRPr="008C1827">
        <w:rPr>
          <w:i/>
          <w:iCs/>
          <w:vertAlign w:val="subscript"/>
        </w:rPr>
        <w:t>f</w:t>
      </w:r>
      <w:proofErr w:type="spellEnd"/>
      <w:r w:rsidR="009B7C19" w:rsidRPr="008C1827">
        <w:t xml:space="preserve">), the </w:t>
      </w:r>
      <w:proofErr w:type="spellStart"/>
      <w:r w:rsidR="009B7C19" w:rsidRPr="008C1827">
        <w:t>prefactor</w:t>
      </w:r>
      <w:proofErr w:type="spellEnd"/>
      <w:r w:rsidR="009B7C19" w:rsidRPr="008C1827">
        <w:t xml:space="preserve"> (</w:t>
      </w:r>
      <w:proofErr w:type="spellStart"/>
      <w:r w:rsidR="009B7C19" w:rsidRPr="008C1827">
        <w:rPr>
          <w:i/>
          <w:iCs/>
        </w:rPr>
        <w:t>k</w:t>
      </w:r>
      <w:r w:rsidR="009B7C19" w:rsidRPr="008C1827">
        <w:rPr>
          <w:i/>
          <w:iCs/>
          <w:vertAlign w:val="subscript"/>
        </w:rPr>
        <w:t>f</w:t>
      </w:r>
      <w:proofErr w:type="spellEnd"/>
      <w:r w:rsidR="009B7C19" w:rsidRPr="008C1827">
        <w:t>)</w:t>
      </w:r>
      <w:r w:rsidR="0057121B" w:rsidRPr="008C1827">
        <w:t xml:space="preserve"> and</w:t>
      </w:r>
      <w:r w:rsidR="009B7C19" w:rsidRPr="008C1827">
        <w:t xml:space="preserve"> the number of primary particles (</w:t>
      </w:r>
      <w:r w:rsidR="009B7C19" w:rsidRPr="008C1827">
        <w:rPr>
          <w:i/>
          <w:iCs/>
        </w:rPr>
        <w:t>n</w:t>
      </w:r>
      <w:r w:rsidR="009B7C19" w:rsidRPr="008C1827">
        <w:rPr>
          <w:i/>
          <w:iCs/>
          <w:vertAlign w:val="subscript"/>
        </w:rPr>
        <w:t>p</w:t>
      </w:r>
      <w:r w:rsidR="009B7C19" w:rsidRPr="008C1827">
        <w:rPr>
          <w:vertAlign w:val="subscript"/>
        </w:rPr>
        <w:t>0</w:t>
      </w:r>
      <w:r w:rsidR="009B7C19" w:rsidRPr="008C1827">
        <w:t>) were calculated using homemade software (</w:t>
      </w:r>
      <w:r w:rsidR="009B7C19" w:rsidRPr="008C1827">
        <w:rPr>
          <w:lang w:val="en-GB"/>
        </w:rPr>
        <w:t>Lapuerta</w:t>
      </w:r>
      <w:r w:rsidR="009B7C19" w:rsidRPr="008C1827">
        <w:rPr>
          <w:b/>
          <w:lang w:val="en-GB"/>
        </w:rPr>
        <w:t xml:space="preserve"> </w:t>
      </w:r>
      <w:r w:rsidR="009B7C19" w:rsidRPr="008C1827">
        <w:rPr>
          <w:lang w:val="en-GB"/>
        </w:rPr>
        <w:t>et al., 2006</w:t>
      </w:r>
      <w:r w:rsidR="009B7C19" w:rsidRPr="008C1827">
        <w:t>).</w:t>
      </w:r>
      <w:r w:rsidR="00796351" w:rsidRPr="008C1827">
        <w:t xml:space="preserve"> The high-resolution microscopy images were subjected to a skeletonization process (using ImageJ, free software) to calculate the interlaminar distance (</w:t>
      </w:r>
      <w:r w:rsidR="00796351" w:rsidRPr="008C1827">
        <w:rPr>
          <w:i/>
          <w:iCs/>
        </w:rPr>
        <w:t>d</w:t>
      </w:r>
      <w:r w:rsidR="00796351" w:rsidRPr="008C1827">
        <w:rPr>
          <w:vertAlign w:val="subscript"/>
        </w:rPr>
        <w:t>002</w:t>
      </w:r>
      <w:r w:rsidR="00796351" w:rsidRPr="008C1827">
        <w:t>) and the degree of graphitization of the samples (</w:t>
      </w:r>
      <w:r w:rsidR="00796351" w:rsidRPr="008C1827">
        <w:rPr>
          <w:i/>
          <w:iCs/>
        </w:rPr>
        <w:t>g</w:t>
      </w:r>
      <w:r w:rsidR="00796351" w:rsidRPr="008C1827">
        <w:t>)</w:t>
      </w:r>
      <w:r w:rsidR="004C34D0">
        <w:t>, following the proposal by Atria el al. (2002)</w:t>
      </w:r>
      <w:r w:rsidR="008D27E5">
        <w:t xml:space="preserve">. </w:t>
      </w:r>
      <w:r w:rsidR="0057121B" w:rsidRPr="008C1827">
        <w:t xml:space="preserve">All morphology-related results of the agglomerates are compared with previous results (with hollow circles) obtained in a parallel study carried out on a vehicle placed on a rolling test bench </w:t>
      </w:r>
      <w:r w:rsidR="008D27E5" w:rsidRPr="008D27E5">
        <w:t>(Lapuerta et al., 2023).</w:t>
      </w:r>
    </w:p>
    <w:p w14:paraId="4457AB13" w14:textId="7B291AEA" w:rsidR="009E39E9" w:rsidRPr="0073196D" w:rsidRDefault="003C7020" w:rsidP="0020358B">
      <w:pPr>
        <w:pStyle w:val="CETBodytext"/>
        <w:spacing w:before="240"/>
        <w:ind w:left="-567"/>
      </w:pPr>
      <w:r>
        <w:rPr>
          <w:noProof/>
        </w:rPr>
        <w:drawing>
          <wp:inline distT="0" distB="0" distL="0" distR="0" wp14:anchorId="4E02FCB0" wp14:editId="4D7EC489">
            <wp:extent cx="6433185" cy="3152775"/>
            <wp:effectExtent l="0" t="0" r="5715" b="9525"/>
            <wp:docPr id="4661307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r="13821"/>
                    <a:stretch/>
                  </pic:blipFill>
                  <pic:spPr bwMode="auto">
                    <a:xfrm>
                      <a:off x="0" y="0"/>
                      <a:ext cx="6507920" cy="3189401"/>
                    </a:xfrm>
                    <a:prstGeom prst="rect">
                      <a:avLst/>
                    </a:prstGeom>
                    <a:noFill/>
                    <a:ln>
                      <a:noFill/>
                    </a:ln>
                    <a:extLst>
                      <a:ext uri="{53640926-AAD7-44D8-BBD7-CCE9431645EC}">
                        <a14:shadowObscured xmlns:a14="http://schemas.microsoft.com/office/drawing/2010/main"/>
                      </a:ext>
                    </a:extLst>
                  </pic:spPr>
                </pic:pic>
              </a:graphicData>
            </a:graphic>
          </wp:inline>
        </w:drawing>
      </w:r>
    </w:p>
    <w:p w14:paraId="3A26C5AA" w14:textId="691C8435" w:rsidR="009E39E9" w:rsidRDefault="009E39E9" w:rsidP="009E39E9">
      <w:pPr>
        <w:pStyle w:val="CETBodytext"/>
        <w:rPr>
          <w:i/>
          <w:iCs/>
          <w:lang w:val="en-GB"/>
        </w:rPr>
      </w:pPr>
      <w:r w:rsidRPr="0073196D">
        <w:rPr>
          <w:i/>
          <w:iCs/>
          <w:lang w:val="en-GB"/>
        </w:rPr>
        <w:t>Figure 1. Experimental outline</w:t>
      </w:r>
      <w:r w:rsidR="00B03D93">
        <w:rPr>
          <w:i/>
          <w:iCs/>
          <w:lang w:val="en-GB"/>
        </w:rPr>
        <w:t xml:space="preserve">, </w:t>
      </w:r>
      <w:r w:rsidR="0020358B">
        <w:rPr>
          <w:i/>
          <w:iCs/>
          <w:lang w:val="en-GB"/>
        </w:rPr>
        <w:t>including</w:t>
      </w:r>
      <w:r w:rsidR="00B03D93">
        <w:rPr>
          <w:i/>
          <w:iCs/>
          <w:lang w:val="en-GB"/>
        </w:rPr>
        <w:t xml:space="preserve"> on-line measurements</w:t>
      </w:r>
      <w:r w:rsidR="0020358B">
        <w:rPr>
          <w:i/>
          <w:iCs/>
          <w:lang w:val="en-GB"/>
        </w:rPr>
        <w:t>,</w:t>
      </w:r>
      <w:r w:rsidR="00B03D93">
        <w:rPr>
          <w:i/>
          <w:iCs/>
          <w:lang w:val="en-GB"/>
        </w:rPr>
        <w:t xml:space="preserve"> off-line measurements</w:t>
      </w:r>
      <w:r w:rsidR="0020358B">
        <w:rPr>
          <w:i/>
          <w:iCs/>
          <w:lang w:val="en-GB"/>
        </w:rPr>
        <w:t>,</w:t>
      </w:r>
      <w:r w:rsidR="00B03D93">
        <w:rPr>
          <w:i/>
          <w:iCs/>
          <w:lang w:val="en-GB"/>
        </w:rPr>
        <w:t xml:space="preserve"> and processing.</w:t>
      </w:r>
    </w:p>
    <w:p w14:paraId="677EBFF0" w14:textId="4E75F385" w:rsidR="00600535" w:rsidRPr="00B57B36" w:rsidRDefault="00801577" w:rsidP="00600535">
      <w:pPr>
        <w:pStyle w:val="CETHeading1"/>
        <w:tabs>
          <w:tab w:val="clear" w:pos="360"/>
          <w:tab w:val="right" w:pos="7100"/>
        </w:tabs>
        <w:jc w:val="both"/>
        <w:rPr>
          <w:lang w:val="en-GB"/>
        </w:rPr>
      </w:pPr>
      <w:r>
        <w:rPr>
          <w:lang w:val="en-GB"/>
        </w:rPr>
        <w:lastRenderedPageBreak/>
        <w:t>Results and discussion</w:t>
      </w:r>
    </w:p>
    <w:p w14:paraId="4D342444" w14:textId="25151142" w:rsidR="00B10406" w:rsidRDefault="00B10406" w:rsidP="00C0559C">
      <w:pPr>
        <w:pStyle w:val="CETCaption"/>
        <w:spacing w:before="120" w:after="120"/>
        <w:rPr>
          <w:i w:val="0"/>
          <w:iCs/>
        </w:rPr>
      </w:pPr>
      <w:r>
        <w:rPr>
          <w:i w:val="0"/>
          <w:iCs/>
        </w:rPr>
        <w:t xml:space="preserve">3.1. Relationship between </w:t>
      </w:r>
      <w:r w:rsidR="00382F00">
        <w:rPr>
          <w:i w:val="0"/>
          <w:iCs/>
        </w:rPr>
        <w:t xml:space="preserve">soot equivalent </w:t>
      </w:r>
      <w:r>
        <w:rPr>
          <w:i w:val="0"/>
          <w:iCs/>
        </w:rPr>
        <w:t>diameters</w:t>
      </w:r>
    </w:p>
    <w:p w14:paraId="5A9B2A53" w14:textId="08CC10CC" w:rsidR="00830186" w:rsidRPr="00830186" w:rsidRDefault="00790CD5" w:rsidP="002A30E4">
      <w:pPr>
        <w:pStyle w:val="CETCaption"/>
        <w:spacing w:before="120" w:after="120"/>
        <w:rPr>
          <w:i w:val="0"/>
          <w:iCs/>
          <w:lang w:val="en-US"/>
        </w:rPr>
      </w:pPr>
      <w:r w:rsidRPr="00790CD5">
        <w:rPr>
          <w:i w:val="0"/>
          <w:iCs/>
        </w:rPr>
        <w:t xml:space="preserve">The relationship between the electrical mobility diameter </w:t>
      </w:r>
      <w:r>
        <w:rPr>
          <w:i w:val="0"/>
          <w:iCs/>
        </w:rPr>
        <w:t>(</w:t>
      </w:r>
      <w:proofErr w:type="spellStart"/>
      <w:r w:rsidRPr="00790CD5">
        <w:t>d</w:t>
      </w:r>
      <w:r w:rsidRPr="00790CD5">
        <w:rPr>
          <w:vertAlign w:val="subscript"/>
        </w:rPr>
        <w:t>em</w:t>
      </w:r>
      <w:proofErr w:type="spellEnd"/>
      <w:r>
        <w:rPr>
          <w:i w:val="0"/>
          <w:iCs/>
        </w:rPr>
        <w:t xml:space="preserve">) </w:t>
      </w:r>
      <w:r w:rsidRPr="00790CD5">
        <w:rPr>
          <w:i w:val="0"/>
          <w:iCs/>
        </w:rPr>
        <w:t>of the soot agglomerates selected with the DMA and the diameter</w:t>
      </w:r>
      <w:r>
        <w:rPr>
          <w:i w:val="0"/>
          <w:iCs/>
        </w:rPr>
        <w:t xml:space="preserve"> of gyration</w:t>
      </w:r>
      <w:r w:rsidRPr="00790CD5">
        <w:rPr>
          <w:i w:val="0"/>
          <w:iCs/>
        </w:rPr>
        <w:t xml:space="preserve"> </w:t>
      </w:r>
      <w:r>
        <w:rPr>
          <w:i w:val="0"/>
          <w:iCs/>
        </w:rPr>
        <w:t>(</w:t>
      </w:r>
      <w:r w:rsidRPr="00790CD5">
        <w:t>d</w:t>
      </w:r>
      <w:r w:rsidRPr="00790CD5">
        <w:rPr>
          <w:vertAlign w:val="subscript"/>
        </w:rPr>
        <w:t>g</w:t>
      </w:r>
      <w:r>
        <w:rPr>
          <w:i w:val="0"/>
          <w:iCs/>
        </w:rPr>
        <w:t xml:space="preserve">) </w:t>
      </w:r>
      <w:r w:rsidRPr="00790CD5">
        <w:rPr>
          <w:i w:val="0"/>
          <w:iCs/>
        </w:rPr>
        <w:t>obtained from the collection and subsequent analysis of microscopy images is shown in Figure</w:t>
      </w:r>
      <w:r>
        <w:rPr>
          <w:i w:val="0"/>
          <w:iCs/>
        </w:rPr>
        <w:t xml:space="preserve"> 2</w:t>
      </w:r>
      <w:r w:rsidR="00774559">
        <w:rPr>
          <w:i w:val="0"/>
          <w:iCs/>
        </w:rPr>
        <w:t xml:space="preserve">. </w:t>
      </w:r>
      <w:r w:rsidR="003C7020">
        <w:rPr>
          <w:i w:val="0"/>
          <w:iCs/>
          <w:lang w:val="en-US"/>
        </w:rPr>
        <w:t>This figure</w:t>
      </w:r>
      <w:r w:rsidR="00830186" w:rsidRPr="00830186">
        <w:rPr>
          <w:i w:val="0"/>
          <w:iCs/>
          <w:lang w:val="en-US"/>
        </w:rPr>
        <w:t xml:space="preserve"> </w:t>
      </w:r>
      <w:r w:rsidR="003C7020">
        <w:rPr>
          <w:i w:val="0"/>
          <w:iCs/>
          <w:lang w:val="en-US"/>
        </w:rPr>
        <w:t>shows</w:t>
      </w:r>
      <w:r w:rsidR="00830186" w:rsidRPr="00830186">
        <w:rPr>
          <w:i w:val="0"/>
          <w:iCs/>
          <w:lang w:val="en-US"/>
        </w:rPr>
        <w:t xml:space="preserve"> the relationship between agglomerate diameters in the boiler (squares) and those obtained in a vehicle (hollow circles).</w:t>
      </w:r>
      <w:r w:rsidR="00830186">
        <w:rPr>
          <w:i w:val="0"/>
          <w:iCs/>
          <w:lang w:val="en-US"/>
        </w:rPr>
        <w:t xml:space="preserve"> </w:t>
      </w:r>
      <w:r w:rsidR="00AE2542">
        <w:rPr>
          <w:i w:val="0"/>
          <w:iCs/>
          <w:lang w:val="en-US"/>
        </w:rPr>
        <w:t>In both cases, t</w:t>
      </w:r>
      <w:r w:rsidRPr="00830186">
        <w:rPr>
          <w:i w:val="0"/>
          <w:iCs/>
          <w:lang w:val="en-US"/>
        </w:rPr>
        <w:t>he standard deviation is larger with increasing agglomerate size.</w:t>
      </w:r>
      <w:r w:rsidRPr="00830186">
        <w:rPr>
          <w:lang w:val="en-US"/>
        </w:rPr>
        <w:t xml:space="preserve"> </w:t>
      </w:r>
      <w:r w:rsidRPr="00790CD5">
        <w:rPr>
          <w:i w:val="0"/>
          <w:iCs/>
        </w:rPr>
        <w:t xml:space="preserve">This variability could be reduced by increasing the number of clusters collected. It </w:t>
      </w:r>
      <w:r w:rsidR="00AE2542">
        <w:rPr>
          <w:i w:val="0"/>
          <w:iCs/>
        </w:rPr>
        <w:t>can be</w:t>
      </w:r>
      <w:r w:rsidRPr="00790CD5">
        <w:rPr>
          <w:i w:val="0"/>
          <w:iCs/>
        </w:rPr>
        <w:t xml:space="preserve"> also observed that the regression line deviates from the bisector (which represents perfect correspondence between both diameters) for both low and high mobility diameters, leading to an underestimation of </w:t>
      </w:r>
      <w:proofErr w:type="spellStart"/>
      <w:r w:rsidRPr="00790CD5">
        <w:t>d</w:t>
      </w:r>
      <w:r w:rsidRPr="00790CD5">
        <w:rPr>
          <w:vertAlign w:val="subscript"/>
        </w:rPr>
        <w:t>em</w:t>
      </w:r>
      <w:proofErr w:type="spellEnd"/>
      <w:r w:rsidRPr="00790CD5">
        <w:rPr>
          <w:i w:val="0"/>
          <w:iCs/>
        </w:rPr>
        <w:t xml:space="preserve"> for low </w:t>
      </w:r>
      <w:r w:rsidR="00F93820" w:rsidRPr="00F93820">
        <w:rPr>
          <w:i w:val="0"/>
          <w:iCs/>
        </w:rPr>
        <w:t>sizes</w:t>
      </w:r>
      <w:r w:rsidRPr="00790CD5">
        <w:rPr>
          <w:i w:val="0"/>
          <w:iCs/>
        </w:rPr>
        <w:t xml:space="preserve"> and </w:t>
      </w:r>
      <w:r w:rsidR="00F93820">
        <w:rPr>
          <w:i w:val="0"/>
          <w:iCs/>
        </w:rPr>
        <w:t xml:space="preserve">to </w:t>
      </w:r>
      <w:r w:rsidRPr="00790CD5">
        <w:rPr>
          <w:i w:val="0"/>
          <w:iCs/>
        </w:rPr>
        <w:t xml:space="preserve">an overestimation of </w:t>
      </w:r>
      <w:proofErr w:type="spellStart"/>
      <w:r w:rsidRPr="00790CD5">
        <w:t>d</w:t>
      </w:r>
      <w:r w:rsidRPr="00790CD5">
        <w:rPr>
          <w:vertAlign w:val="subscript"/>
        </w:rPr>
        <w:t>em</w:t>
      </w:r>
      <w:proofErr w:type="spellEnd"/>
      <w:r w:rsidRPr="00790CD5">
        <w:rPr>
          <w:i w:val="0"/>
          <w:iCs/>
        </w:rPr>
        <w:t xml:space="preserve"> </w:t>
      </w:r>
      <w:r w:rsidR="00F93820">
        <w:rPr>
          <w:i w:val="0"/>
          <w:iCs/>
        </w:rPr>
        <w:t>for large agglomerates</w:t>
      </w:r>
      <w:r w:rsidRPr="00790CD5">
        <w:rPr>
          <w:i w:val="0"/>
          <w:iCs/>
        </w:rPr>
        <w:t>.</w:t>
      </w:r>
      <w:r>
        <w:rPr>
          <w:i w:val="0"/>
          <w:iCs/>
        </w:rPr>
        <w:t xml:space="preserve"> </w:t>
      </w:r>
      <w:r w:rsidRPr="00790CD5">
        <w:rPr>
          <w:i w:val="0"/>
          <w:iCs/>
        </w:rPr>
        <w:t>Two reasons may explain this discrepancy:</w:t>
      </w:r>
      <w:r>
        <w:rPr>
          <w:i w:val="0"/>
          <w:iCs/>
        </w:rPr>
        <w:t xml:space="preserve"> 1. </w:t>
      </w:r>
      <w:r w:rsidRPr="00790CD5">
        <w:rPr>
          <w:i w:val="0"/>
          <w:iCs/>
        </w:rPr>
        <w:t xml:space="preserve">The composition of </w:t>
      </w:r>
      <w:r w:rsidR="00F93820">
        <w:rPr>
          <w:i w:val="0"/>
          <w:iCs/>
        </w:rPr>
        <w:t>small</w:t>
      </w:r>
      <w:r w:rsidRPr="00790CD5">
        <w:rPr>
          <w:i w:val="0"/>
          <w:iCs/>
        </w:rPr>
        <w:t xml:space="preserve"> agglomerates have more variable composition than that of larger agglomerates. The electrical </w:t>
      </w:r>
      <w:r w:rsidR="00127CC2">
        <w:rPr>
          <w:i w:val="0"/>
          <w:iCs/>
        </w:rPr>
        <w:t>mobility</w:t>
      </w:r>
      <w:r w:rsidRPr="00790CD5">
        <w:rPr>
          <w:i w:val="0"/>
          <w:iCs/>
        </w:rPr>
        <w:t xml:space="preserve"> of the agglomerates depends on the composition and even more so if these </w:t>
      </w:r>
      <w:r w:rsidR="0082109F">
        <w:rPr>
          <w:i w:val="0"/>
          <w:iCs/>
        </w:rPr>
        <w:t xml:space="preserve">agglomerates </w:t>
      </w:r>
      <w:r w:rsidRPr="00790CD5">
        <w:rPr>
          <w:i w:val="0"/>
          <w:iCs/>
        </w:rPr>
        <w:t>contain metals (as in the case of fly ash in boiler chimneys</w:t>
      </w:r>
      <w:r w:rsidR="0082109F">
        <w:rPr>
          <w:i w:val="0"/>
          <w:iCs/>
        </w:rPr>
        <w:t xml:space="preserve"> outlet</w:t>
      </w:r>
      <w:r w:rsidRPr="00790CD5">
        <w:rPr>
          <w:i w:val="0"/>
          <w:iCs/>
        </w:rPr>
        <w:t>).</w:t>
      </w:r>
      <w:r w:rsidR="0082109F">
        <w:rPr>
          <w:i w:val="0"/>
          <w:iCs/>
        </w:rPr>
        <w:t xml:space="preserve"> 2. </w:t>
      </w:r>
      <w:r w:rsidR="00C44A1F">
        <w:rPr>
          <w:i w:val="0"/>
          <w:iCs/>
        </w:rPr>
        <w:t>The i</w:t>
      </w:r>
      <w:r w:rsidR="0082109F" w:rsidRPr="0082109F">
        <w:rPr>
          <w:i w:val="0"/>
          <w:iCs/>
        </w:rPr>
        <w:t xml:space="preserve">nhomogeneity in </w:t>
      </w:r>
      <w:r w:rsidR="0082109F">
        <w:rPr>
          <w:i w:val="0"/>
          <w:iCs/>
        </w:rPr>
        <w:t>soot</w:t>
      </w:r>
      <w:r w:rsidR="0082109F" w:rsidRPr="0082109F">
        <w:rPr>
          <w:i w:val="0"/>
          <w:iCs/>
        </w:rPr>
        <w:t xml:space="preserve"> morphology can cause particles of similar size to experience different amounts of drag in the DMA, which changes their electrical mobility</w:t>
      </w:r>
      <w:r w:rsidR="0082109F">
        <w:rPr>
          <w:i w:val="0"/>
          <w:iCs/>
        </w:rPr>
        <w:t xml:space="preserve">, </w:t>
      </w:r>
      <w:r w:rsidR="003C7020">
        <w:rPr>
          <w:i w:val="0"/>
          <w:iCs/>
        </w:rPr>
        <w:t xml:space="preserve">which is </w:t>
      </w:r>
      <w:r w:rsidR="0082109F" w:rsidRPr="0082109F">
        <w:rPr>
          <w:i w:val="0"/>
          <w:iCs/>
        </w:rPr>
        <w:t>shape dependent.</w:t>
      </w:r>
      <w:r w:rsidR="000C0F5E">
        <w:rPr>
          <w:i w:val="0"/>
          <w:iCs/>
        </w:rPr>
        <w:t xml:space="preserve"> </w:t>
      </w:r>
      <w:r w:rsidRPr="00790CD5">
        <w:rPr>
          <w:i w:val="0"/>
          <w:iCs/>
        </w:rPr>
        <w:t>None of these factors can be considered systematic (the composition of the agglomerates cannot be controlled), so they all contribute to the previously mentioned variability.</w:t>
      </w:r>
      <w:r w:rsidR="00422D9E">
        <w:rPr>
          <w:i w:val="0"/>
          <w:iCs/>
        </w:rPr>
        <w:t xml:space="preserve"> </w:t>
      </w:r>
      <w:r w:rsidR="00830186" w:rsidRPr="00830186">
        <w:rPr>
          <w:i w:val="0"/>
          <w:iCs/>
          <w:lang w:val="en-US"/>
        </w:rPr>
        <w:t xml:space="preserve">The </w:t>
      </w:r>
      <w:r w:rsidR="003C7020">
        <w:rPr>
          <w:i w:val="0"/>
          <w:iCs/>
          <w:lang w:val="en-US"/>
        </w:rPr>
        <w:t>similarity</w:t>
      </w:r>
      <w:r w:rsidR="00830186" w:rsidRPr="00830186">
        <w:rPr>
          <w:i w:val="0"/>
          <w:iCs/>
          <w:lang w:val="en-US"/>
        </w:rPr>
        <w:t xml:space="preserve"> between </w:t>
      </w:r>
      <w:r w:rsidR="00830186" w:rsidRPr="00830186">
        <w:rPr>
          <w:lang w:val="en-US"/>
        </w:rPr>
        <w:t>d</w:t>
      </w:r>
      <w:r w:rsidR="00830186" w:rsidRPr="00830186">
        <w:rPr>
          <w:vertAlign w:val="subscript"/>
          <w:lang w:val="en-US"/>
        </w:rPr>
        <w:t>g</w:t>
      </w:r>
      <w:r w:rsidR="00830186" w:rsidRPr="00830186">
        <w:rPr>
          <w:i w:val="0"/>
          <w:iCs/>
          <w:lang w:val="en-US"/>
        </w:rPr>
        <w:t xml:space="preserve"> and </w:t>
      </w:r>
      <w:r w:rsidR="00830186" w:rsidRPr="00830186">
        <w:rPr>
          <w:lang w:val="en-US"/>
        </w:rPr>
        <w:t>d</w:t>
      </w:r>
      <w:r w:rsidR="00830186" w:rsidRPr="00830186">
        <w:rPr>
          <w:vertAlign w:val="subscript"/>
          <w:lang w:val="en-US"/>
        </w:rPr>
        <w:t>em</w:t>
      </w:r>
      <w:r w:rsidR="00830186" w:rsidRPr="00830186">
        <w:rPr>
          <w:i w:val="0"/>
          <w:iCs/>
          <w:vertAlign w:val="subscript"/>
          <w:lang w:val="en-US"/>
        </w:rPr>
        <w:t xml:space="preserve"> </w:t>
      </w:r>
      <w:r w:rsidR="00830186" w:rsidRPr="00830186">
        <w:rPr>
          <w:i w:val="0"/>
          <w:iCs/>
          <w:lang w:val="en-US"/>
        </w:rPr>
        <w:t xml:space="preserve">is higher for the agglomerates from </w:t>
      </w:r>
      <w:r w:rsidR="00F93820">
        <w:rPr>
          <w:i w:val="0"/>
          <w:iCs/>
          <w:lang w:val="en-US"/>
        </w:rPr>
        <w:t xml:space="preserve">the </w:t>
      </w:r>
      <w:r w:rsidR="00830186" w:rsidRPr="00830186">
        <w:rPr>
          <w:i w:val="0"/>
          <w:iCs/>
          <w:lang w:val="en-US"/>
        </w:rPr>
        <w:t>vehicle than for those emitted by the domestic boiler, probably also due to the two reasons mentioned above, which can be summarized in a higher compositional diversity of the agglomerates for the boiler.</w:t>
      </w:r>
    </w:p>
    <w:p w14:paraId="3CA56CD3" w14:textId="6DA2AA0E" w:rsidR="00AE2542" w:rsidRDefault="00027939" w:rsidP="002A30E4">
      <w:pPr>
        <w:pStyle w:val="CETCaption"/>
        <w:spacing w:before="0" w:after="0"/>
        <w:jc w:val="center"/>
        <w:rPr>
          <w:i w:val="0"/>
          <w:iCs/>
          <w:lang w:val="es-ES"/>
        </w:rPr>
      </w:pPr>
      <w:r w:rsidRPr="00696C25">
        <w:rPr>
          <w:iCs/>
          <w:noProof/>
          <w:lang w:val="en-US"/>
        </w:rPr>
        <w:drawing>
          <wp:inline distT="0" distB="0" distL="0" distR="0" wp14:anchorId="3E77F05F" wp14:editId="22ACA236">
            <wp:extent cx="2903065" cy="2407920"/>
            <wp:effectExtent l="0" t="0" r="0" b="0"/>
            <wp:docPr id="11197641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128" t="7827" r="11400" b="5032"/>
                    <a:stretch/>
                  </pic:blipFill>
                  <pic:spPr bwMode="auto">
                    <a:xfrm>
                      <a:off x="0" y="0"/>
                      <a:ext cx="2911303" cy="2414753"/>
                    </a:xfrm>
                    <a:prstGeom prst="rect">
                      <a:avLst/>
                    </a:prstGeom>
                    <a:noFill/>
                    <a:ln>
                      <a:noFill/>
                    </a:ln>
                    <a:extLst>
                      <a:ext uri="{53640926-AAD7-44D8-BBD7-CCE9431645EC}">
                        <a14:shadowObscured xmlns:a14="http://schemas.microsoft.com/office/drawing/2010/main"/>
                      </a:ext>
                    </a:extLst>
                  </pic:spPr>
                </pic:pic>
              </a:graphicData>
            </a:graphic>
          </wp:inline>
        </w:drawing>
      </w:r>
    </w:p>
    <w:p w14:paraId="518202B9" w14:textId="1D99F467" w:rsidR="009C5BFB" w:rsidRPr="009204AA" w:rsidRDefault="00B10406" w:rsidP="002A30E4">
      <w:pPr>
        <w:pStyle w:val="CETCaption"/>
        <w:spacing w:before="0" w:after="120"/>
        <w:rPr>
          <w:i w:val="0"/>
          <w:iCs/>
          <w:lang w:val="en-US"/>
        </w:rPr>
      </w:pPr>
      <w:r w:rsidRPr="00B10406">
        <w:t xml:space="preserve">Figure 2. </w:t>
      </w:r>
      <w:r w:rsidR="00382F00" w:rsidRPr="00382F00">
        <w:t>Relationship between diameter of gyration and mobility diameter</w:t>
      </w:r>
      <w:r w:rsidR="00840981">
        <w:t xml:space="preserve"> </w:t>
      </w:r>
      <w:r w:rsidR="004D37D4">
        <w:t>(</w:t>
      </w:r>
      <w:r w:rsidR="00840981">
        <w:t>data, mean values and fittings</w:t>
      </w:r>
      <w:r w:rsidR="004D37D4">
        <w:t>)</w:t>
      </w:r>
      <w:r w:rsidR="00840981">
        <w:t>.</w:t>
      </w:r>
    </w:p>
    <w:p w14:paraId="088A134E" w14:textId="469EC464" w:rsidR="00600535" w:rsidRDefault="003341D2" w:rsidP="002A30E4">
      <w:pPr>
        <w:pStyle w:val="CETCaption"/>
        <w:spacing w:before="120" w:after="120"/>
        <w:rPr>
          <w:i w:val="0"/>
          <w:iCs/>
        </w:rPr>
      </w:pPr>
      <w:r w:rsidRPr="003341D2">
        <w:rPr>
          <w:i w:val="0"/>
          <w:iCs/>
        </w:rPr>
        <w:t>3.</w:t>
      </w:r>
      <w:r w:rsidR="00B10406">
        <w:rPr>
          <w:i w:val="0"/>
          <w:iCs/>
        </w:rPr>
        <w:t>2</w:t>
      </w:r>
      <w:r w:rsidRPr="003341D2">
        <w:rPr>
          <w:i w:val="0"/>
          <w:iCs/>
        </w:rPr>
        <w:t>. Morphology</w:t>
      </w:r>
    </w:p>
    <w:p w14:paraId="4C20CB1F" w14:textId="25C2AE00" w:rsidR="004578AC" w:rsidRDefault="00220C79" w:rsidP="002A30E4">
      <w:pPr>
        <w:pStyle w:val="CETCaption"/>
        <w:spacing w:before="120" w:after="120"/>
        <w:rPr>
          <w:i w:val="0"/>
          <w:iCs/>
          <w:lang w:val="en-US"/>
        </w:rPr>
      </w:pPr>
      <w:r w:rsidRPr="00220C79">
        <w:rPr>
          <w:i w:val="0"/>
          <w:iCs/>
          <w:lang w:val="en-US"/>
        </w:rPr>
        <w:t xml:space="preserve">Figure </w:t>
      </w:r>
      <w:r w:rsidR="00A83A4B">
        <w:rPr>
          <w:i w:val="0"/>
          <w:iCs/>
          <w:lang w:val="en-US"/>
        </w:rPr>
        <w:t>3</w:t>
      </w:r>
      <w:r w:rsidR="000003CD">
        <w:rPr>
          <w:i w:val="0"/>
          <w:iCs/>
          <w:lang w:val="en-US"/>
        </w:rPr>
        <w:t>a</w:t>
      </w:r>
      <w:r w:rsidRPr="00220C79">
        <w:rPr>
          <w:i w:val="0"/>
          <w:iCs/>
          <w:lang w:val="en-US"/>
        </w:rPr>
        <w:t xml:space="preserve"> shows the relationship between </w:t>
      </w:r>
      <w:r w:rsidRPr="00A83A4B">
        <w:rPr>
          <w:lang w:val="en-US"/>
        </w:rPr>
        <w:t>A</w:t>
      </w:r>
      <w:r w:rsidRPr="00A83A4B">
        <w:rPr>
          <w:vertAlign w:val="subscript"/>
          <w:lang w:val="en-US"/>
        </w:rPr>
        <w:t>p</w:t>
      </w:r>
      <w:r w:rsidRPr="00220C79">
        <w:rPr>
          <w:i w:val="0"/>
          <w:iCs/>
          <w:lang w:val="en-US"/>
        </w:rPr>
        <w:t xml:space="preserve"> and </w:t>
      </w:r>
      <w:r w:rsidRPr="00A83A4B">
        <w:rPr>
          <w:lang w:val="en-US"/>
        </w:rPr>
        <w:t>d</w:t>
      </w:r>
      <w:r w:rsidRPr="00A83A4B">
        <w:rPr>
          <w:vertAlign w:val="subscript"/>
          <w:lang w:val="en-US"/>
        </w:rPr>
        <w:t>g</w:t>
      </w:r>
      <w:r w:rsidR="00422D9E">
        <w:rPr>
          <w:i w:val="0"/>
          <w:iCs/>
          <w:lang w:val="en-US"/>
        </w:rPr>
        <w:t xml:space="preserve"> (</w:t>
      </w:r>
      <w:r w:rsidR="00830186">
        <w:rPr>
          <w:i w:val="0"/>
          <w:iCs/>
          <w:lang w:val="en-US"/>
        </w:rPr>
        <w:t xml:space="preserve">compared with vehicle agglomerates in hollow circles). </w:t>
      </w:r>
      <w:r w:rsidRPr="00220C79">
        <w:rPr>
          <w:i w:val="0"/>
          <w:iCs/>
          <w:lang w:val="en-US"/>
        </w:rPr>
        <w:t xml:space="preserve"> The diameter of gyration scales to the projected area with a </w:t>
      </w:r>
      <w:r w:rsidRPr="00220C79">
        <w:rPr>
          <w:i w:val="0"/>
          <w:iCs/>
          <w:color w:val="000000" w:themeColor="text1"/>
          <w:lang w:val="en-US"/>
        </w:rPr>
        <w:t>power of 1.</w:t>
      </w:r>
      <w:r w:rsidR="00A83A4B">
        <w:rPr>
          <w:i w:val="0"/>
          <w:iCs/>
          <w:color w:val="000000" w:themeColor="text1"/>
          <w:lang w:val="en-US"/>
        </w:rPr>
        <w:t>4</w:t>
      </w:r>
      <w:r w:rsidR="00027939">
        <w:rPr>
          <w:i w:val="0"/>
          <w:iCs/>
          <w:color w:val="000000" w:themeColor="text1"/>
          <w:lang w:val="en-US"/>
        </w:rPr>
        <w:t>9</w:t>
      </w:r>
      <w:r w:rsidRPr="00220C79">
        <w:rPr>
          <w:i w:val="0"/>
          <w:iCs/>
          <w:color w:val="000000" w:themeColor="text1"/>
          <w:lang w:val="en-US"/>
        </w:rPr>
        <w:t xml:space="preserve"> </w:t>
      </w:r>
      <w:r w:rsidR="00830186">
        <w:rPr>
          <w:i w:val="0"/>
          <w:iCs/>
          <w:color w:val="000000" w:themeColor="text1"/>
          <w:lang w:val="en-US"/>
        </w:rPr>
        <w:t>for boiler agglomerates</w:t>
      </w:r>
      <w:r>
        <w:rPr>
          <w:i w:val="0"/>
          <w:iCs/>
          <w:color w:val="000000" w:themeColor="text1"/>
          <w:lang w:val="en-US"/>
        </w:rPr>
        <w:t xml:space="preserve">. </w:t>
      </w:r>
      <w:r w:rsidR="000441E1" w:rsidRPr="000441E1">
        <w:rPr>
          <w:i w:val="0"/>
          <w:iCs/>
          <w:color w:val="000000" w:themeColor="text1"/>
          <w:lang w:val="en-US"/>
        </w:rPr>
        <w:t>This exponent describes the average internal arrangement of the primary particles projected on the agglomerate. It can be associated with the planar fractal dimension (i.e., the fractal dimension of the projected image), which ranges from 1 to 2.</w:t>
      </w:r>
      <w:r w:rsidR="00C44A1F">
        <w:rPr>
          <w:i w:val="0"/>
          <w:iCs/>
          <w:color w:val="000000" w:themeColor="text1"/>
          <w:lang w:val="en-US"/>
        </w:rPr>
        <w:t xml:space="preserve"> </w:t>
      </w:r>
      <w:r w:rsidR="00830186" w:rsidRPr="008B104B">
        <w:rPr>
          <w:i w:val="0"/>
          <w:iCs/>
          <w:lang w:val="en-US"/>
        </w:rPr>
        <w:t xml:space="preserve">This exponent is </w:t>
      </w:r>
      <w:r w:rsidR="008B104B" w:rsidRPr="008B104B">
        <w:rPr>
          <w:i w:val="0"/>
          <w:iCs/>
          <w:lang w:val="en-US"/>
        </w:rPr>
        <w:t>lowe</w:t>
      </w:r>
      <w:r w:rsidR="008B104B">
        <w:rPr>
          <w:i w:val="0"/>
          <w:iCs/>
          <w:lang w:val="en-US"/>
        </w:rPr>
        <w:t>r</w:t>
      </w:r>
      <w:r w:rsidR="008B104B" w:rsidRPr="008B104B">
        <w:rPr>
          <w:i w:val="0"/>
          <w:iCs/>
          <w:lang w:val="en-US"/>
        </w:rPr>
        <w:t xml:space="preserve"> th</w:t>
      </w:r>
      <w:r w:rsidR="008B104B">
        <w:rPr>
          <w:i w:val="0"/>
          <w:iCs/>
          <w:lang w:val="en-US"/>
        </w:rPr>
        <w:t>a</w:t>
      </w:r>
      <w:r w:rsidR="008B104B" w:rsidRPr="008B104B">
        <w:rPr>
          <w:i w:val="0"/>
          <w:iCs/>
          <w:lang w:val="en-US"/>
        </w:rPr>
        <w:t>n that observ</w:t>
      </w:r>
      <w:r w:rsidR="008B104B">
        <w:rPr>
          <w:i w:val="0"/>
          <w:iCs/>
          <w:lang w:val="en-US"/>
        </w:rPr>
        <w:t>ed</w:t>
      </w:r>
      <w:r w:rsidR="00830186" w:rsidRPr="008B104B">
        <w:rPr>
          <w:i w:val="0"/>
          <w:iCs/>
          <w:lang w:val="en-US"/>
        </w:rPr>
        <w:t xml:space="preserve"> for vehicle agglomerates</w:t>
      </w:r>
      <w:r w:rsidR="008B104B">
        <w:rPr>
          <w:i w:val="0"/>
          <w:iCs/>
          <w:lang w:val="en-US"/>
        </w:rPr>
        <w:t>, 1.65.</w:t>
      </w:r>
      <w:r w:rsidR="004578AC">
        <w:rPr>
          <w:i w:val="0"/>
          <w:iCs/>
          <w:lang w:val="en-US"/>
        </w:rPr>
        <w:t xml:space="preserve"> </w:t>
      </w:r>
      <w:r w:rsidR="004578AC" w:rsidRPr="004578AC">
        <w:rPr>
          <w:i w:val="0"/>
          <w:iCs/>
          <w:lang w:val="en-US"/>
        </w:rPr>
        <w:t xml:space="preserve">Figure 3b shows that, in general, the primary particles are larger for larger agglomerates. The exponent obtained in the correlation between the diameter of the primary particles and the diameter of gyration of the agglomerates (0.3) is similar than that observed for agglomerates emitted by vehicles (also 0.3, as shown in Figure 3b) and slightly higher than that proposed by Olfert and Rogak (Olfert and Rogak, 2019) for agglomerates emitted by flames (0.35). As shown in Figure 4a, </w:t>
      </w:r>
      <w:proofErr w:type="spellStart"/>
      <w:r w:rsidR="004578AC" w:rsidRPr="00C0559C">
        <w:rPr>
          <w:lang w:val="en-US"/>
        </w:rPr>
        <w:t>D</w:t>
      </w:r>
      <w:r w:rsidR="004578AC" w:rsidRPr="00C0559C">
        <w:rPr>
          <w:vertAlign w:val="subscript"/>
          <w:lang w:val="en-US"/>
        </w:rPr>
        <w:t>f</w:t>
      </w:r>
      <w:proofErr w:type="spellEnd"/>
      <w:r w:rsidR="004578AC" w:rsidRPr="004578AC">
        <w:rPr>
          <w:i w:val="0"/>
          <w:iCs/>
          <w:lang w:val="en-US"/>
        </w:rPr>
        <w:t xml:space="preserve"> decreases with increasing diameter of gyration. This trend is represented by a potential regression. It can be observed that the dispersion of </w:t>
      </w:r>
      <w:proofErr w:type="spellStart"/>
      <w:r w:rsidR="004578AC" w:rsidRPr="00C0559C">
        <w:rPr>
          <w:lang w:val="en-US"/>
        </w:rPr>
        <w:t>D</w:t>
      </w:r>
      <w:r w:rsidR="004578AC" w:rsidRPr="00C0559C">
        <w:rPr>
          <w:vertAlign w:val="subscript"/>
          <w:lang w:val="en-US"/>
        </w:rPr>
        <w:t>f</w:t>
      </w:r>
      <w:proofErr w:type="spellEnd"/>
      <w:r w:rsidR="004578AC" w:rsidRPr="004578AC">
        <w:rPr>
          <w:i w:val="0"/>
          <w:iCs/>
          <w:lang w:val="en-US"/>
        </w:rPr>
        <w:t xml:space="preserve"> values decreases with increasing size for both boiler agglomerates and vehicle agglomerates. Fractal dimensions less than 2 (in the interval 1-3) are obtained for agglomerates with diameters of gyration larger than 100 nm, implying that their structure is quite far from a compact object, revealing that conceiving soot agglomerates as spherical particles can lead to significant misconceptions.</w:t>
      </w:r>
      <w:r w:rsidR="004578AC" w:rsidRPr="004578AC">
        <w:rPr>
          <w:i w:val="0"/>
          <w:iCs/>
        </w:rPr>
        <w:t xml:space="preserve"> </w:t>
      </w:r>
      <w:r w:rsidR="004578AC" w:rsidRPr="004578AC">
        <w:rPr>
          <w:i w:val="0"/>
          <w:iCs/>
          <w:lang w:val="en-US"/>
        </w:rPr>
        <w:t xml:space="preserve">The fractal dimension and the </w:t>
      </w:r>
      <w:proofErr w:type="spellStart"/>
      <w:r w:rsidR="004578AC" w:rsidRPr="004578AC">
        <w:rPr>
          <w:i w:val="0"/>
          <w:iCs/>
          <w:lang w:val="en-US"/>
        </w:rPr>
        <w:t>prefactor</w:t>
      </w:r>
      <w:proofErr w:type="spellEnd"/>
      <w:r w:rsidR="004578AC" w:rsidRPr="004578AC">
        <w:rPr>
          <w:i w:val="0"/>
          <w:iCs/>
          <w:lang w:val="en-US"/>
        </w:rPr>
        <w:t xml:space="preserve"> represent different roles in the morphological description of an agglomerate. While the fractal dimension quantifies the irregularity and clustering of the agglomerate structure (by means of an exponent), the </w:t>
      </w:r>
      <w:proofErr w:type="spellStart"/>
      <w:r w:rsidR="004578AC" w:rsidRPr="004578AC">
        <w:rPr>
          <w:i w:val="0"/>
          <w:iCs/>
          <w:lang w:val="en-US"/>
        </w:rPr>
        <w:t>prefactor</w:t>
      </w:r>
      <w:proofErr w:type="spellEnd"/>
      <w:r w:rsidR="004578AC" w:rsidRPr="004578AC">
        <w:rPr>
          <w:i w:val="0"/>
          <w:iCs/>
          <w:lang w:val="en-US"/>
        </w:rPr>
        <w:t xml:space="preserve"> expresses how the primary particles are clustered (associated with their lacunarity), independent of their size (by means of a linear factor). The </w:t>
      </w:r>
      <w:proofErr w:type="spellStart"/>
      <w:r w:rsidR="004578AC" w:rsidRPr="004578AC">
        <w:rPr>
          <w:i w:val="0"/>
          <w:iCs/>
          <w:lang w:val="en-US"/>
        </w:rPr>
        <w:t>prefactor</w:t>
      </w:r>
      <w:proofErr w:type="spellEnd"/>
      <w:r w:rsidR="004578AC" w:rsidRPr="004578AC">
        <w:rPr>
          <w:i w:val="0"/>
          <w:iCs/>
          <w:lang w:val="en-US"/>
        </w:rPr>
        <w:t xml:space="preserve"> </w:t>
      </w:r>
      <w:r w:rsidR="004578AC" w:rsidRPr="004578AC">
        <w:rPr>
          <w:i w:val="0"/>
          <w:iCs/>
          <w:lang w:val="en-US"/>
        </w:rPr>
        <w:lastRenderedPageBreak/>
        <w:t xml:space="preserve">shows a significant trend with </w:t>
      </w:r>
      <w:r w:rsidR="00C0559C">
        <w:rPr>
          <w:i w:val="0"/>
          <w:iCs/>
          <w:lang w:val="en-US"/>
        </w:rPr>
        <w:t xml:space="preserve">the </w:t>
      </w:r>
      <w:r w:rsidR="004578AC" w:rsidRPr="004578AC">
        <w:rPr>
          <w:i w:val="0"/>
          <w:iCs/>
          <w:lang w:val="en-US"/>
        </w:rPr>
        <w:t xml:space="preserve">agglomerate size, as shown in Figure 4b. </w:t>
      </w:r>
      <w:proofErr w:type="spellStart"/>
      <w:r w:rsidR="004578AC" w:rsidRPr="00C0559C">
        <w:rPr>
          <w:lang w:val="en-US"/>
        </w:rPr>
        <w:t>k</w:t>
      </w:r>
      <w:r w:rsidR="004578AC" w:rsidRPr="00C0559C">
        <w:rPr>
          <w:vertAlign w:val="subscript"/>
          <w:lang w:val="en-US"/>
        </w:rPr>
        <w:t>f</w:t>
      </w:r>
      <w:proofErr w:type="spellEnd"/>
      <w:r w:rsidR="004578AC" w:rsidRPr="00C0559C">
        <w:rPr>
          <w:vertAlign w:val="subscript"/>
          <w:lang w:val="en-US"/>
        </w:rPr>
        <w:t xml:space="preserve"> </w:t>
      </w:r>
      <w:r w:rsidR="004578AC" w:rsidRPr="004578AC">
        <w:rPr>
          <w:i w:val="0"/>
          <w:iCs/>
          <w:lang w:val="en-US"/>
        </w:rPr>
        <w:t>increases rapidly (faster for boiler agglomerates than for vehicle agglomerates) with d</w:t>
      </w:r>
      <w:r w:rsidR="004578AC" w:rsidRPr="004578AC">
        <w:rPr>
          <w:i w:val="0"/>
          <w:iCs/>
          <w:vertAlign w:val="subscript"/>
          <w:lang w:val="en-US"/>
        </w:rPr>
        <w:t>g</w:t>
      </w:r>
      <w:r w:rsidR="004578AC" w:rsidRPr="004578AC">
        <w:rPr>
          <w:i w:val="0"/>
          <w:iCs/>
          <w:lang w:val="en-US"/>
        </w:rPr>
        <w:t xml:space="preserve"> up to a value of about 200 nm, after which </w:t>
      </w:r>
      <w:proofErr w:type="spellStart"/>
      <w:r w:rsidR="004578AC" w:rsidRPr="00C0559C">
        <w:rPr>
          <w:lang w:val="en-US"/>
        </w:rPr>
        <w:t>k</w:t>
      </w:r>
      <w:r w:rsidR="004578AC" w:rsidRPr="00C0559C">
        <w:rPr>
          <w:vertAlign w:val="subscript"/>
          <w:lang w:val="en-US"/>
        </w:rPr>
        <w:t>f</w:t>
      </w:r>
      <w:proofErr w:type="spellEnd"/>
      <w:r w:rsidR="004578AC" w:rsidRPr="004578AC">
        <w:rPr>
          <w:i w:val="0"/>
          <w:iCs/>
          <w:lang w:val="en-US"/>
        </w:rPr>
        <w:t xml:space="preserve"> remains almost constant at about 1.8, for both agglomerate types.</w:t>
      </w:r>
    </w:p>
    <w:p w14:paraId="77546FA7" w14:textId="1C5A51F8" w:rsidR="00CE0A60" w:rsidRDefault="00027939" w:rsidP="004578AC">
      <w:pPr>
        <w:pStyle w:val="CETCaption"/>
        <w:spacing w:before="120" w:after="0"/>
        <w:rPr>
          <w:i w:val="0"/>
          <w:iCs/>
        </w:rPr>
      </w:pPr>
      <w:r w:rsidRPr="00404469">
        <w:rPr>
          <w:iCs/>
          <w:noProof/>
        </w:rPr>
        <w:drawing>
          <wp:inline distT="0" distB="0" distL="0" distR="0" wp14:anchorId="1CCEE36D" wp14:editId="69EA1150">
            <wp:extent cx="2895600" cy="2227534"/>
            <wp:effectExtent l="0" t="0" r="0" b="1905"/>
            <wp:docPr id="273144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486" t="10072" r="10494" b="5546"/>
                    <a:stretch/>
                  </pic:blipFill>
                  <pic:spPr bwMode="auto">
                    <a:xfrm>
                      <a:off x="0" y="0"/>
                      <a:ext cx="2921314" cy="2247315"/>
                    </a:xfrm>
                    <a:prstGeom prst="rect">
                      <a:avLst/>
                    </a:prstGeom>
                    <a:noFill/>
                    <a:ln>
                      <a:noFill/>
                    </a:ln>
                    <a:extLst>
                      <a:ext uri="{53640926-AAD7-44D8-BBD7-CCE9431645EC}">
                        <a14:shadowObscured xmlns:a14="http://schemas.microsoft.com/office/drawing/2010/main"/>
                      </a:ext>
                    </a:extLst>
                  </pic:spPr>
                </pic:pic>
              </a:graphicData>
            </a:graphic>
          </wp:inline>
        </w:drawing>
      </w:r>
      <w:r w:rsidRPr="00394007">
        <w:rPr>
          <w:noProof/>
          <w:lang w:val="en-US"/>
        </w:rPr>
        <w:drawing>
          <wp:inline distT="0" distB="0" distL="0" distR="0" wp14:anchorId="50075E80" wp14:editId="56BBB7E6">
            <wp:extent cx="2654300" cy="2234147"/>
            <wp:effectExtent l="0" t="0" r="0" b="0"/>
            <wp:docPr id="21394166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0276" t="9502" r="11955" b="5040"/>
                    <a:stretch/>
                  </pic:blipFill>
                  <pic:spPr bwMode="auto">
                    <a:xfrm>
                      <a:off x="0" y="0"/>
                      <a:ext cx="2656986" cy="2236408"/>
                    </a:xfrm>
                    <a:prstGeom prst="rect">
                      <a:avLst/>
                    </a:prstGeom>
                    <a:noFill/>
                    <a:ln>
                      <a:noFill/>
                    </a:ln>
                    <a:extLst>
                      <a:ext uri="{53640926-AAD7-44D8-BBD7-CCE9431645EC}">
                        <a14:shadowObscured xmlns:a14="http://schemas.microsoft.com/office/drawing/2010/main"/>
                      </a:ext>
                    </a:extLst>
                  </pic:spPr>
                </pic:pic>
              </a:graphicData>
            </a:graphic>
          </wp:inline>
        </w:drawing>
      </w:r>
    </w:p>
    <w:p w14:paraId="260367CA" w14:textId="521D5052" w:rsidR="000003CD" w:rsidRPr="000003CD" w:rsidRDefault="000003CD" w:rsidP="00756840">
      <w:pPr>
        <w:pStyle w:val="Paragrafoelenco"/>
        <w:numPr>
          <w:ilvl w:val="0"/>
          <w:numId w:val="28"/>
        </w:numPr>
        <w:tabs>
          <w:tab w:val="clear" w:pos="7100"/>
          <w:tab w:val="right" w:pos="6521"/>
        </w:tabs>
        <w:ind w:firstLine="1690"/>
        <w:rPr>
          <w:i/>
          <w:iCs/>
        </w:rPr>
      </w:pPr>
      <w:r>
        <w:rPr>
          <w:i/>
          <w:iCs/>
        </w:rPr>
        <w:t>(b)</w:t>
      </w:r>
    </w:p>
    <w:p w14:paraId="125208AD" w14:textId="0258DC2D" w:rsidR="000003CD" w:rsidRPr="00E41E26" w:rsidRDefault="006B238B" w:rsidP="000003CD">
      <w:pPr>
        <w:rPr>
          <w:i/>
          <w:iCs/>
          <w:lang w:val="en-US"/>
        </w:rPr>
      </w:pPr>
      <w:r w:rsidRPr="006B238B">
        <w:rPr>
          <w:i/>
          <w:iCs/>
        </w:rPr>
        <w:t xml:space="preserve">Figure 3. </w:t>
      </w:r>
      <w:r w:rsidR="000003CD">
        <w:rPr>
          <w:i/>
          <w:iCs/>
        </w:rPr>
        <w:t xml:space="preserve">(a) </w:t>
      </w:r>
      <w:r w:rsidR="006C509C">
        <w:rPr>
          <w:i/>
          <w:iCs/>
          <w:lang w:val="en-US"/>
        </w:rPr>
        <w:t>Logarithmic r</w:t>
      </w:r>
      <w:r w:rsidRPr="006B238B">
        <w:rPr>
          <w:i/>
          <w:iCs/>
          <w:lang w:val="en-US"/>
        </w:rPr>
        <w:t>elationship between projected area and diameter of gyration</w:t>
      </w:r>
      <w:r w:rsidR="000003CD">
        <w:rPr>
          <w:i/>
          <w:iCs/>
          <w:lang w:val="en-US"/>
        </w:rPr>
        <w:t xml:space="preserve"> (b)</w:t>
      </w:r>
      <w:r w:rsidR="000003CD" w:rsidRPr="000003CD">
        <w:rPr>
          <w:i/>
          <w:iCs/>
          <w:lang w:val="en-US"/>
        </w:rPr>
        <w:t xml:space="preserve"> </w:t>
      </w:r>
      <w:r w:rsidR="000003CD" w:rsidRPr="00E41E26">
        <w:rPr>
          <w:i/>
          <w:iCs/>
          <w:lang w:val="en-US"/>
        </w:rPr>
        <w:t>Relationship between diameter of primary particles and diameter of gyration of agglomerates.</w:t>
      </w:r>
    </w:p>
    <w:p w14:paraId="1EC25339" w14:textId="09661E36" w:rsidR="006B238B" w:rsidRDefault="00027939" w:rsidP="004578AC">
      <w:pPr>
        <w:pStyle w:val="CETCaption"/>
        <w:spacing w:before="120" w:after="0"/>
        <w:rPr>
          <w:i w:val="0"/>
          <w:iCs/>
          <w:noProof/>
          <w:lang w:val="en-US"/>
        </w:rPr>
      </w:pPr>
      <w:r w:rsidRPr="00BD6E5A">
        <w:rPr>
          <w:i w:val="0"/>
          <w:iCs/>
          <w:noProof/>
          <w:lang w:val="en-US"/>
        </w:rPr>
        <w:drawing>
          <wp:inline distT="0" distB="0" distL="0" distR="0" wp14:anchorId="209FF289" wp14:editId="49D7B42E">
            <wp:extent cx="2730500" cy="2230129"/>
            <wp:effectExtent l="0" t="0" r="0" b="0"/>
            <wp:docPr id="10847789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9179" t="10064" r="12175" b="6076"/>
                    <a:stretch/>
                  </pic:blipFill>
                  <pic:spPr bwMode="auto">
                    <a:xfrm>
                      <a:off x="0" y="0"/>
                      <a:ext cx="2732272" cy="2231576"/>
                    </a:xfrm>
                    <a:prstGeom prst="rect">
                      <a:avLst/>
                    </a:prstGeom>
                    <a:noFill/>
                    <a:ln>
                      <a:noFill/>
                    </a:ln>
                    <a:extLst>
                      <a:ext uri="{53640926-AAD7-44D8-BBD7-CCE9431645EC}">
                        <a14:shadowObscured xmlns:a14="http://schemas.microsoft.com/office/drawing/2010/main"/>
                      </a:ext>
                    </a:extLst>
                  </pic:spPr>
                </pic:pic>
              </a:graphicData>
            </a:graphic>
          </wp:inline>
        </w:drawing>
      </w:r>
      <w:r w:rsidRPr="00A21279">
        <w:rPr>
          <w:i w:val="0"/>
          <w:iCs/>
          <w:noProof/>
          <w:lang w:val="en-US"/>
        </w:rPr>
        <w:drawing>
          <wp:inline distT="0" distB="0" distL="0" distR="0" wp14:anchorId="207EF6C1" wp14:editId="76BEE9ED">
            <wp:extent cx="2752725" cy="2225257"/>
            <wp:effectExtent l="0" t="0" r="0" b="3810"/>
            <wp:docPr id="46225140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8442" t="10321" r="11890" b="5572"/>
                    <a:stretch/>
                  </pic:blipFill>
                  <pic:spPr bwMode="auto">
                    <a:xfrm>
                      <a:off x="0" y="0"/>
                      <a:ext cx="2763532" cy="2233993"/>
                    </a:xfrm>
                    <a:prstGeom prst="rect">
                      <a:avLst/>
                    </a:prstGeom>
                    <a:noFill/>
                    <a:ln>
                      <a:noFill/>
                    </a:ln>
                    <a:extLst>
                      <a:ext uri="{53640926-AAD7-44D8-BBD7-CCE9431645EC}">
                        <a14:shadowObscured xmlns:a14="http://schemas.microsoft.com/office/drawing/2010/main"/>
                      </a:ext>
                    </a:extLst>
                  </pic:spPr>
                </pic:pic>
              </a:graphicData>
            </a:graphic>
          </wp:inline>
        </w:drawing>
      </w:r>
    </w:p>
    <w:p w14:paraId="11FB6FBF" w14:textId="70E6489F" w:rsidR="000003CD" w:rsidRPr="000003CD" w:rsidRDefault="000003CD" w:rsidP="00756840">
      <w:pPr>
        <w:pStyle w:val="Paragrafoelenco"/>
        <w:numPr>
          <w:ilvl w:val="0"/>
          <w:numId w:val="29"/>
        </w:numPr>
        <w:tabs>
          <w:tab w:val="clear" w:pos="7100"/>
          <w:tab w:val="right" w:pos="6521"/>
        </w:tabs>
        <w:ind w:firstLine="1407"/>
        <w:rPr>
          <w:i/>
          <w:iCs/>
        </w:rPr>
      </w:pPr>
      <w:r>
        <w:rPr>
          <w:i/>
          <w:iCs/>
        </w:rPr>
        <w:t>(b)</w:t>
      </w:r>
    </w:p>
    <w:p w14:paraId="58F9E2BD" w14:textId="6A8898CC" w:rsidR="00D7724B" w:rsidRDefault="00693BD9" w:rsidP="00D7724B">
      <w:pPr>
        <w:rPr>
          <w:i/>
          <w:iCs/>
          <w:lang w:val="en-US"/>
        </w:rPr>
      </w:pPr>
      <w:r w:rsidRPr="00E41E26">
        <w:rPr>
          <w:i/>
          <w:iCs/>
          <w:lang w:val="en-US"/>
        </w:rPr>
        <w:t xml:space="preserve">Figure </w:t>
      </w:r>
      <w:r w:rsidR="000003CD">
        <w:rPr>
          <w:i/>
          <w:iCs/>
          <w:lang w:val="en-US"/>
        </w:rPr>
        <w:t>4</w:t>
      </w:r>
      <w:r w:rsidRPr="00E41E26">
        <w:rPr>
          <w:i/>
          <w:iCs/>
          <w:lang w:val="en-US"/>
        </w:rPr>
        <w:t xml:space="preserve">. </w:t>
      </w:r>
      <w:r w:rsidR="000003CD">
        <w:rPr>
          <w:i/>
          <w:iCs/>
          <w:lang w:val="en-US"/>
        </w:rPr>
        <w:t xml:space="preserve">(a) </w:t>
      </w:r>
      <w:r w:rsidRPr="00E41E26">
        <w:rPr>
          <w:i/>
          <w:iCs/>
          <w:lang w:val="en-US"/>
        </w:rPr>
        <w:t xml:space="preserve">Relationship between </w:t>
      </w:r>
      <w:r>
        <w:rPr>
          <w:i/>
          <w:iCs/>
          <w:lang w:val="en-US"/>
        </w:rPr>
        <w:t>fractal dimension</w:t>
      </w:r>
      <w:r w:rsidRPr="00E41E26">
        <w:rPr>
          <w:i/>
          <w:iCs/>
          <w:lang w:val="en-US"/>
        </w:rPr>
        <w:t xml:space="preserve"> and diameter of gyration of agglomerates</w:t>
      </w:r>
      <w:r w:rsidR="000003CD">
        <w:rPr>
          <w:i/>
          <w:iCs/>
          <w:lang w:val="en-US"/>
        </w:rPr>
        <w:t xml:space="preserve">, (b) </w:t>
      </w:r>
      <w:r w:rsidR="00D7724B" w:rsidRPr="00E41E26">
        <w:rPr>
          <w:i/>
          <w:iCs/>
          <w:lang w:val="en-US"/>
        </w:rPr>
        <w:t xml:space="preserve">Relationship between </w:t>
      </w:r>
      <w:proofErr w:type="spellStart"/>
      <w:r w:rsidR="00D7724B">
        <w:rPr>
          <w:i/>
          <w:iCs/>
          <w:lang w:val="en-US"/>
        </w:rPr>
        <w:t>prefactor</w:t>
      </w:r>
      <w:proofErr w:type="spellEnd"/>
      <w:r w:rsidR="00D7724B" w:rsidRPr="00E41E26">
        <w:rPr>
          <w:i/>
          <w:iCs/>
          <w:lang w:val="en-US"/>
        </w:rPr>
        <w:t xml:space="preserve"> and diameter of gyration of agglomerates.</w:t>
      </w:r>
    </w:p>
    <w:p w14:paraId="6D587839" w14:textId="7ED4088F" w:rsidR="007432D6" w:rsidRDefault="00027939" w:rsidP="004578AC">
      <w:pPr>
        <w:spacing w:before="120"/>
        <w:jc w:val="center"/>
        <w:rPr>
          <w:lang w:val="en-US"/>
        </w:rPr>
      </w:pPr>
      <w:r w:rsidRPr="00981F09">
        <w:rPr>
          <w:noProof/>
          <w:lang w:val="en-US"/>
        </w:rPr>
        <w:drawing>
          <wp:inline distT="0" distB="0" distL="0" distR="0" wp14:anchorId="27595BC6" wp14:editId="2C6912B2">
            <wp:extent cx="2778125" cy="2211386"/>
            <wp:effectExtent l="0" t="0" r="0" b="0"/>
            <wp:docPr id="14330309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7355" t="9691" r="10813" b="5269"/>
                    <a:stretch/>
                  </pic:blipFill>
                  <pic:spPr bwMode="auto">
                    <a:xfrm>
                      <a:off x="0" y="0"/>
                      <a:ext cx="2805677" cy="2233317"/>
                    </a:xfrm>
                    <a:prstGeom prst="rect">
                      <a:avLst/>
                    </a:prstGeom>
                    <a:noFill/>
                    <a:ln>
                      <a:noFill/>
                    </a:ln>
                    <a:extLst>
                      <a:ext uri="{53640926-AAD7-44D8-BBD7-CCE9431645EC}">
                        <a14:shadowObscured xmlns:a14="http://schemas.microsoft.com/office/drawing/2010/main"/>
                      </a:ext>
                    </a:extLst>
                  </pic:spPr>
                </pic:pic>
              </a:graphicData>
            </a:graphic>
          </wp:inline>
        </w:drawing>
      </w:r>
    </w:p>
    <w:p w14:paraId="161E363D" w14:textId="2F19A88E" w:rsidR="00150CBE" w:rsidRDefault="00150CBE" w:rsidP="00150CBE">
      <w:pPr>
        <w:rPr>
          <w:i/>
          <w:iCs/>
          <w:lang w:val="en-US"/>
        </w:rPr>
      </w:pPr>
      <w:r w:rsidRPr="00BE4112">
        <w:rPr>
          <w:i/>
          <w:iCs/>
          <w:lang w:val="en-US"/>
        </w:rPr>
        <w:t xml:space="preserve">Figure </w:t>
      </w:r>
      <w:r w:rsidR="000003CD">
        <w:rPr>
          <w:i/>
          <w:iCs/>
          <w:lang w:val="en-US"/>
        </w:rPr>
        <w:t>5</w:t>
      </w:r>
      <w:r w:rsidRPr="00BE4112">
        <w:rPr>
          <w:i/>
          <w:iCs/>
          <w:lang w:val="en-US"/>
        </w:rPr>
        <w:t xml:space="preserve">. </w:t>
      </w:r>
      <w:r w:rsidRPr="00150CBE">
        <w:rPr>
          <w:i/>
          <w:iCs/>
          <w:lang w:val="en-US"/>
        </w:rPr>
        <w:t>Relationship between the ratio d</w:t>
      </w:r>
      <w:r w:rsidRPr="00150CBE">
        <w:rPr>
          <w:i/>
          <w:iCs/>
          <w:vertAlign w:val="subscript"/>
          <w:lang w:val="en-US"/>
        </w:rPr>
        <w:t>em</w:t>
      </w:r>
      <w:r w:rsidRPr="00150CBE">
        <w:rPr>
          <w:i/>
          <w:iCs/>
          <w:lang w:val="en-US"/>
        </w:rPr>
        <w:t>/d</w:t>
      </w:r>
      <w:r w:rsidRPr="00150CBE">
        <w:rPr>
          <w:i/>
          <w:iCs/>
          <w:vertAlign w:val="subscript"/>
          <w:lang w:val="en-US"/>
        </w:rPr>
        <w:t>g</w:t>
      </w:r>
      <w:r w:rsidRPr="00150CBE">
        <w:rPr>
          <w:i/>
          <w:iCs/>
          <w:lang w:val="en-US"/>
        </w:rPr>
        <w:t xml:space="preserve"> and the number of primary particles, and comparison with th</w:t>
      </w:r>
      <w:r>
        <w:rPr>
          <w:i/>
          <w:iCs/>
          <w:lang w:val="en-US"/>
        </w:rPr>
        <w:t xml:space="preserve">ose </w:t>
      </w:r>
      <w:r w:rsidRPr="00150CBE">
        <w:rPr>
          <w:i/>
          <w:iCs/>
          <w:lang w:val="en-US"/>
        </w:rPr>
        <w:t>proposed by Kelesidis &amp; Kholghy, 2021</w:t>
      </w:r>
      <w:r>
        <w:rPr>
          <w:i/>
          <w:iCs/>
          <w:lang w:val="en-US"/>
        </w:rPr>
        <w:t xml:space="preserve"> and by Lapuerta et al., 2023</w:t>
      </w:r>
      <w:r w:rsidRPr="00150CBE">
        <w:rPr>
          <w:i/>
          <w:iCs/>
          <w:lang w:val="en-US"/>
        </w:rPr>
        <w:t>.</w:t>
      </w:r>
    </w:p>
    <w:p w14:paraId="33AA0EC0" w14:textId="0B4B47E0" w:rsidR="002A30E4" w:rsidRPr="00BE4112" w:rsidRDefault="002A30E4" w:rsidP="002A30E4">
      <w:pPr>
        <w:rPr>
          <w:lang w:val="en-US"/>
        </w:rPr>
      </w:pPr>
      <w:r w:rsidRPr="000003CD">
        <w:rPr>
          <w:lang w:val="en-US"/>
        </w:rPr>
        <w:lastRenderedPageBreak/>
        <w:t>Aiming to quantify the contribution of the number of primary particles or monomers (</w:t>
      </w:r>
      <w:r w:rsidRPr="000003CD">
        <w:rPr>
          <w:i/>
          <w:iCs/>
          <w:lang w:val="en-US"/>
        </w:rPr>
        <w:t>n</w:t>
      </w:r>
      <w:r w:rsidRPr="000003CD">
        <w:rPr>
          <w:i/>
          <w:iCs/>
          <w:vertAlign w:val="subscript"/>
          <w:lang w:val="en-US"/>
        </w:rPr>
        <w:t>p</w:t>
      </w:r>
      <w:r w:rsidRPr="000003CD">
        <w:rPr>
          <w:vertAlign w:val="subscript"/>
          <w:lang w:val="en-US"/>
        </w:rPr>
        <w:t>0</w:t>
      </w:r>
      <w:r w:rsidRPr="000003CD">
        <w:rPr>
          <w:lang w:val="en-US"/>
        </w:rPr>
        <w:t xml:space="preserve">) </w:t>
      </w:r>
      <w:r>
        <w:rPr>
          <w:lang w:val="en-US"/>
        </w:rPr>
        <w:t>to</w:t>
      </w:r>
      <w:r w:rsidRPr="000003CD">
        <w:rPr>
          <w:lang w:val="en-US"/>
        </w:rPr>
        <w:t xml:space="preserve"> the </w:t>
      </w:r>
      <w:r>
        <w:rPr>
          <w:lang w:val="en-US"/>
        </w:rPr>
        <w:t xml:space="preserve">differences between </w:t>
      </w:r>
      <w:r w:rsidRPr="000003CD">
        <w:rPr>
          <w:lang w:val="en-US"/>
        </w:rPr>
        <w:t xml:space="preserve">mobility </w:t>
      </w:r>
      <w:r>
        <w:rPr>
          <w:lang w:val="en-US"/>
        </w:rPr>
        <w:t xml:space="preserve">and gyration </w:t>
      </w:r>
      <w:r w:rsidRPr="000003CD">
        <w:rPr>
          <w:lang w:val="en-US"/>
        </w:rPr>
        <w:t>diameter</w:t>
      </w:r>
      <w:r>
        <w:rPr>
          <w:lang w:val="en-US"/>
        </w:rPr>
        <w:t>s</w:t>
      </w:r>
      <w:r w:rsidRPr="000003CD">
        <w:rPr>
          <w:lang w:val="en-US"/>
        </w:rPr>
        <w:t xml:space="preserve">, Figure </w:t>
      </w:r>
      <w:r>
        <w:rPr>
          <w:lang w:val="en-US"/>
        </w:rPr>
        <w:t>5</w:t>
      </w:r>
      <w:r w:rsidRPr="000003CD">
        <w:rPr>
          <w:lang w:val="en-US"/>
        </w:rPr>
        <w:t xml:space="preserve"> shows the behavior of the </w:t>
      </w:r>
      <w:r w:rsidRPr="008071AE">
        <w:rPr>
          <w:i/>
          <w:iCs/>
          <w:lang w:val="en-US"/>
        </w:rPr>
        <w:t>d</w:t>
      </w:r>
      <w:r w:rsidRPr="008071AE">
        <w:rPr>
          <w:i/>
          <w:iCs/>
          <w:vertAlign w:val="subscript"/>
          <w:lang w:val="en-US"/>
        </w:rPr>
        <w:t>em</w:t>
      </w:r>
      <w:r w:rsidRPr="008071AE">
        <w:rPr>
          <w:lang w:val="en-US"/>
        </w:rPr>
        <w:t>/</w:t>
      </w:r>
      <w:r w:rsidRPr="008071AE">
        <w:rPr>
          <w:i/>
          <w:iCs/>
          <w:lang w:val="en-US"/>
        </w:rPr>
        <w:t>d</w:t>
      </w:r>
      <w:r w:rsidRPr="008071AE">
        <w:rPr>
          <w:i/>
          <w:iCs/>
          <w:vertAlign w:val="subscript"/>
          <w:lang w:val="en-US"/>
        </w:rPr>
        <w:t>g</w:t>
      </w:r>
      <w:r w:rsidRPr="008071AE">
        <w:rPr>
          <w:lang w:val="en-US"/>
        </w:rPr>
        <w:t xml:space="preserve"> </w:t>
      </w:r>
      <w:r w:rsidRPr="000003CD">
        <w:rPr>
          <w:lang w:val="en-US"/>
        </w:rPr>
        <w:t xml:space="preserve">ratio against </w:t>
      </w:r>
      <w:r w:rsidRPr="000003CD">
        <w:rPr>
          <w:i/>
          <w:iCs/>
          <w:lang w:val="en-US"/>
        </w:rPr>
        <w:t>n</w:t>
      </w:r>
      <w:r w:rsidRPr="000003CD">
        <w:rPr>
          <w:i/>
          <w:iCs/>
          <w:vertAlign w:val="subscript"/>
          <w:lang w:val="en-US"/>
        </w:rPr>
        <w:t>p</w:t>
      </w:r>
      <w:r w:rsidRPr="000003CD">
        <w:rPr>
          <w:vertAlign w:val="subscript"/>
          <w:lang w:val="en-US"/>
        </w:rPr>
        <w:t>0</w:t>
      </w:r>
      <w:r w:rsidRPr="000003CD">
        <w:rPr>
          <w:lang w:val="en-US"/>
        </w:rPr>
        <w:t xml:space="preserve">. The proposal </w:t>
      </w:r>
      <w:r>
        <w:rPr>
          <w:lang w:val="en-US"/>
        </w:rPr>
        <w:t>by</w:t>
      </w:r>
      <w:r w:rsidRPr="000003CD">
        <w:rPr>
          <w:lang w:val="en-US"/>
        </w:rPr>
        <w:t xml:space="preserve"> Kelesidis &amp; Kholghy</w:t>
      </w:r>
      <w:r>
        <w:rPr>
          <w:lang w:val="en-US"/>
        </w:rPr>
        <w:t xml:space="preserve"> (</w:t>
      </w:r>
      <w:r w:rsidRPr="000003CD">
        <w:rPr>
          <w:lang w:val="en-US"/>
        </w:rPr>
        <w:t>2021</w:t>
      </w:r>
      <w:r>
        <w:rPr>
          <w:lang w:val="en-US"/>
        </w:rPr>
        <w:t>),</w:t>
      </w:r>
      <w:r w:rsidRPr="000003CD">
        <w:rPr>
          <w:lang w:val="en-US"/>
        </w:rPr>
        <w:t xml:space="preserve"> that statistically relates </w:t>
      </w:r>
      <w:r w:rsidRPr="000003CD">
        <w:rPr>
          <w:i/>
          <w:iCs/>
          <w:lang w:val="en-US"/>
        </w:rPr>
        <w:t>d</w:t>
      </w:r>
      <w:r w:rsidRPr="000003CD">
        <w:rPr>
          <w:i/>
          <w:iCs/>
          <w:vertAlign w:val="subscript"/>
          <w:lang w:val="en-US"/>
        </w:rPr>
        <w:t>em</w:t>
      </w:r>
      <w:r w:rsidRPr="000003CD">
        <w:rPr>
          <w:vertAlign w:val="subscript"/>
          <w:lang w:val="en-US"/>
        </w:rPr>
        <w:t xml:space="preserve"> </w:t>
      </w:r>
      <w:r w:rsidRPr="000003CD">
        <w:rPr>
          <w:lang w:val="en-US"/>
        </w:rPr>
        <w:t xml:space="preserve">and </w:t>
      </w:r>
      <w:r w:rsidRPr="000003CD">
        <w:rPr>
          <w:i/>
          <w:iCs/>
          <w:lang w:val="en-US"/>
        </w:rPr>
        <w:t>d</w:t>
      </w:r>
      <w:r w:rsidRPr="000003CD">
        <w:rPr>
          <w:i/>
          <w:iCs/>
          <w:vertAlign w:val="subscript"/>
          <w:lang w:val="en-US"/>
        </w:rPr>
        <w:t>g</w:t>
      </w:r>
      <w:r w:rsidRPr="000003CD">
        <w:rPr>
          <w:lang w:val="en-US"/>
        </w:rPr>
        <w:t xml:space="preserve"> as a function of </w:t>
      </w:r>
      <w:r w:rsidRPr="000003CD">
        <w:rPr>
          <w:i/>
          <w:iCs/>
          <w:lang w:val="en-US"/>
        </w:rPr>
        <w:t>n</w:t>
      </w:r>
      <w:r w:rsidRPr="000003CD">
        <w:rPr>
          <w:i/>
          <w:iCs/>
          <w:vertAlign w:val="subscript"/>
          <w:lang w:val="en-US"/>
        </w:rPr>
        <w:t>p</w:t>
      </w:r>
      <w:r w:rsidRPr="000003CD">
        <w:rPr>
          <w:vertAlign w:val="subscript"/>
          <w:lang w:val="en-US"/>
        </w:rPr>
        <w:t>0</w:t>
      </w:r>
      <w:r w:rsidRPr="000003CD">
        <w:rPr>
          <w:lang w:val="en-US"/>
        </w:rPr>
        <w:t xml:space="preserve"> for flames</w:t>
      </w:r>
      <w:r>
        <w:rPr>
          <w:lang w:val="en-US"/>
        </w:rPr>
        <w:t>,</w:t>
      </w:r>
      <w:r w:rsidRPr="000003CD">
        <w:rPr>
          <w:lang w:val="en-US"/>
        </w:rPr>
        <w:t xml:space="preserve"> and </w:t>
      </w:r>
      <w:r>
        <w:rPr>
          <w:lang w:val="en-US"/>
        </w:rPr>
        <w:t xml:space="preserve">that by </w:t>
      </w:r>
      <w:r w:rsidRPr="000003CD">
        <w:rPr>
          <w:lang w:val="en-US"/>
        </w:rPr>
        <w:t>Lapuerta et al</w:t>
      </w:r>
      <w:r>
        <w:rPr>
          <w:lang w:val="en-US"/>
        </w:rPr>
        <w:t>. (</w:t>
      </w:r>
      <w:r w:rsidRPr="000003CD">
        <w:rPr>
          <w:lang w:val="en-US"/>
        </w:rPr>
        <w:t>2023</w:t>
      </w:r>
      <w:r>
        <w:rPr>
          <w:lang w:val="en-US"/>
        </w:rPr>
        <w:t>)</w:t>
      </w:r>
      <w:r w:rsidRPr="000003CD">
        <w:rPr>
          <w:lang w:val="en-US"/>
        </w:rPr>
        <w:t xml:space="preserve"> </w:t>
      </w:r>
      <w:r>
        <w:rPr>
          <w:lang w:val="en-US"/>
        </w:rPr>
        <w:t>for</w:t>
      </w:r>
      <w:r w:rsidRPr="000003CD">
        <w:rPr>
          <w:lang w:val="en-US"/>
        </w:rPr>
        <w:t xml:space="preserve"> vehicle agglomerates</w:t>
      </w:r>
      <w:r>
        <w:rPr>
          <w:lang w:val="en-US"/>
        </w:rPr>
        <w:t xml:space="preserve">, </w:t>
      </w:r>
      <w:r w:rsidRPr="000003CD">
        <w:rPr>
          <w:lang w:val="en-US"/>
        </w:rPr>
        <w:t xml:space="preserve">fall away from the </w:t>
      </w:r>
      <w:r w:rsidR="00127CC2">
        <w:rPr>
          <w:lang w:val="en-US"/>
        </w:rPr>
        <w:t xml:space="preserve">trend observed for </w:t>
      </w:r>
      <w:r w:rsidRPr="008071AE">
        <w:rPr>
          <w:lang w:val="en-US"/>
        </w:rPr>
        <w:t xml:space="preserve">boiler </w:t>
      </w:r>
      <w:r w:rsidRPr="000003CD">
        <w:rPr>
          <w:lang w:val="en-US"/>
        </w:rPr>
        <w:t xml:space="preserve">agglomerates. The expressions </w:t>
      </w:r>
      <w:r>
        <w:rPr>
          <w:lang w:val="en-US"/>
        </w:rPr>
        <w:t xml:space="preserve">of these fits </w:t>
      </w:r>
      <w:r w:rsidRPr="000003CD">
        <w:rPr>
          <w:lang w:val="en-US"/>
        </w:rPr>
        <w:t xml:space="preserve">to the experimental data are shown in Figure </w:t>
      </w:r>
      <w:r>
        <w:rPr>
          <w:lang w:val="en-US"/>
        </w:rPr>
        <w:t>5</w:t>
      </w:r>
      <w:r w:rsidRPr="000003CD">
        <w:rPr>
          <w:lang w:val="en-US"/>
        </w:rPr>
        <w:t>.</w:t>
      </w:r>
    </w:p>
    <w:p w14:paraId="7EACE6C3" w14:textId="42F3F6E9" w:rsidR="003341D2" w:rsidRPr="00422D9E" w:rsidRDefault="003341D2" w:rsidP="002A30E4">
      <w:pPr>
        <w:pStyle w:val="CETCaption"/>
        <w:spacing w:before="120" w:after="120"/>
        <w:rPr>
          <w:i w:val="0"/>
          <w:iCs/>
          <w:lang w:val="en-US"/>
        </w:rPr>
      </w:pPr>
      <w:r w:rsidRPr="00422D9E">
        <w:rPr>
          <w:i w:val="0"/>
          <w:iCs/>
          <w:lang w:val="en-US"/>
        </w:rPr>
        <w:t>3.</w:t>
      </w:r>
      <w:r w:rsidR="00B10406" w:rsidRPr="00422D9E">
        <w:rPr>
          <w:i w:val="0"/>
          <w:iCs/>
          <w:lang w:val="en-US"/>
        </w:rPr>
        <w:t>3</w:t>
      </w:r>
      <w:r w:rsidRPr="00422D9E">
        <w:rPr>
          <w:i w:val="0"/>
          <w:iCs/>
          <w:lang w:val="en-US"/>
        </w:rPr>
        <w:t>. Nanostructure</w:t>
      </w:r>
    </w:p>
    <w:p w14:paraId="6135FA62" w14:textId="0B293D79" w:rsidR="009C5BFB" w:rsidRPr="003A7A24" w:rsidRDefault="002A30E4" w:rsidP="002A30E4">
      <w:pPr>
        <w:pStyle w:val="CETCaption"/>
        <w:spacing w:before="120" w:after="120"/>
        <w:rPr>
          <w:i w:val="0"/>
          <w:iCs/>
          <w:lang w:val="en-US"/>
        </w:rPr>
      </w:pPr>
      <w:r>
        <w:rPr>
          <w:i w:val="0"/>
          <w:iCs/>
          <w:lang w:val="en-US"/>
        </w:rPr>
        <w:t>From</w:t>
      </w:r>
      <w:r w:rsidR="009C5BFB" w:rsidRPr="003A7A24">
        <w:rPr>
          <w:i w:val="0"/>
          <w:iCs/>
          <w:lang w:val="en-US"/>
        </w:rPr>
        <w:t xml:space="preserve"> high-resolution </w:t>
      </w:r>
      <w:r>
        <w:rPr>
          <w:i w:val="0"/>
          <w:iCs/>
          <w:lang w:val="en-US"/>
        </w:rPr>
        <w:t xml:space="preserve">TEM </w:t>
      </w:r>
      <w:r w:rsidR="009C5BFB" w:rsidRPr="003A7A24">
        <w:rPr>
          <w:i w:val="0"/>
          <w:iCs/>
          <w:lang w:val="en-US"/>
        </w:rPr>
        <w:t>images</w:t>
      </w:r>
      <w:r>
        <w:rPr>
          <w:i w:val="0"/>
          <w:iCs/>
          <w:lang w:val="en-US"/>
        </w:rPr>
        <w:t xml:space="preserve"> (HRTEM),</w:t>
      </w:r>
      <w:r w:rsidR="009C5BFB" w:rsidRPr="003A7A24">
        <w:rPr>
          <w:i w:val="0"/>
          <w:iCs/>
          <w:lang w:val="en-US"/>
        </w:rPr>
        <w:t xml:space="preserve"> </w:t>
      </w:r>
      <w:r w:rsidRPr="003A7A24">
        <w:rPr>
          <w:i w:val="0"/>
          <w:iCs/>
          <w:lang w:val="en-US"/>
        </w:rPr>
        <w:t xml:space="preserve">the pattern of </w:t>
      </w:r>
      <w:r>
        <w:rPr>
          <w:i w:val="0"/>
          <w:iCs/>
          <w:lang w:val="en-US"/>
        </w:rPr>
        <w:t>graphitic-like</w:t>
      </w:r>
      <w:r w:rsidRPr="003A7A24">
        <w:rPr>
          <w:i w:val="0"/>
          <w:iCs/>
          <w:lang w:val="en-US"/>
        </w:rPr>
        <w:t xml:space="preserve"> layers in the nanostructure of the </w:t>
      </w:r>
      <w:r>
        <w:rPr>
          <w:i w:val="0"/>
          <w:iCs/>
          <w:lang w:val="en-US"/>
        </w:rPr>
        <w:t xml:space="preserve">soot </w:t>
      </w:r>
      <w:r w:rsidRPr="003A7A24">
        <w:rPr>
          <w:i w:val="0"/>
          <w:iCs/>
          <w:lang w:val="en-US"/>
        </w:rPr>
        <w:t xml:space="preserve">agglomerates </w:t>
      </w:r>
      <w:r>
        <w:rPr>
          <w:i w:val="0"/>
          <w:iCs/>
          <w:lang w:val="en-US"/>
        </w:rPr>
        <w:t xml:space="preserve">soot can be </w:t>
      </w:r>
      <w:r w:rsidR="00700C16" w:rsidRPr="003A7A24">
        <w:rPr>
          <w:i w:val="0"/>
          <w:iCs/>
          <w:lang w:val="en-US"/>
        </w:rPr>
        <w:t>visualize</w:t>
      </w:r>
      <w:r>
        <w:rPr>
          <w:i w:val="0"/>
          <w:iCs/>
          <w:lang w:val="en-US"/>
        </w:rPr>
        <w:t>d</w:t>
      </w:r>
      <w:r w:rsidR="00700C16" w:rsidRPr="003A7A24">
        <w:rPr>
          <w:i w:val="0"/>
          <w:iCs/>
          <w:lang w:val="en-US"/>
        </w:rPr>
        <w:t xml:space="preserve">. </w:t>
      </w:r>
      <w:r w:rsidR="00BA1CBF">
        <w:rPr>
          <w:i w:val="0"/>
          <w:iCs/>
          <w:lang w:val="en-US"/>
        </w:rPr>
        <w:t>Among other parameters</w:t>
      </w:r>
      <w:r w:rsidR="00700C16" w:rsidRPr="003A7A24">
        <w:rPr>
          <w:i w:val="0"/>
          <w:iCs/>
          <w:lang w:val="en-US"/>
        </w:rPr>
        <w:t xml:space="preserve">, the nanoscale organization of soot </w:t>
      </w:r>
      <w:r w:rsidR="00BA1CBF">
        <w:rPr>
          <w:i w:val="0"/>
          <w:iCs/>
          <w:lang w:val="en-US"/>
        </w:rPr>
        <w:t xml:space="preserve">can be described with the </w:t>
      </w:r>
      <w:r w:rsidR="00700C16" w:rsidRPr="003A7A24">
        <w:rPr>
          <w:i w:val="0"/>
          <w:iCs/>
          <w:lang w:val="en-US"/>
        </w:rPr>
        <w:t>interlaminar distance (</w:t>
      </w:r>
      <w:r w:rsidR="00700C16" w:rsidRPr="003A7A24">
        <w:rPr>
          <w:lang w:val="en-US"/>
        </w:rPr>
        <w:t>d</w:t>
      </w:r>
      <w:r w:rsidR="00700C16" w:rsidRPr="003A7A24">
        <w:rPr>
          <w:i w:val="0"/>
          <w:iCs/>
          <w:vertAlign w:val="subscript"/>
          <w:lang w:val="en-US"/>
        </w:rPr>
        <w:t>002</w:t>
      </w:r>
      <w:r w:rsidR="00700C16" w:rsidRPr="003A7A24">
        <w:rPr>
          <w:i w:val="0"/>
          <w:iCs/>
          <w:lang w:val="en-US"/>
        </w:rPr>
        <w:t>)</w:t>
      </w:r>
      <w:r w:rsidR="00BA1CBF">
        <w:rPr>
          <w:i w:val="0"/>
          <w:iCs/>
          <w:lang w:val="en-US"/>
        </w:rPr>
        <w:t>, from which</w:t>
      </w:r>
      <w:r w:rsidR="00700C16" w:rsidRPr="003A7A24">
        <w:rPr>
          <w:i w:val="0"/>
          <w:iCs/>
          <w:lang w:val="en-US"/>
        </w:rPr>
        <w:t xml:space="preserve"> </w:t>
      </w:r>
      <w:r w:rsidR="00BA1CBF">
        <w:rPr>
          <w:i w:val="0"/>
          <w:iCs/>
          <w:lang w:val="en-US"/>
        </w:rPr>
        <w:t>a</w:t>
      </w:r>
      <w:r w:rsidR="002E024B">
        <w:rPr>
          <w:i w:val="0"/>
          <w:iCs/>
          <w:lang w:val="en-US"/>
        </w:rPr>
        <w:t xml:space="preserve"> </w:t>
      </w:r>
      <w:r w:rsidR="00700C16" w:rsidRPr="003A7A24">
        <w:rPr>
          <w:i w:val="0"/>
          <w:iCs/>
          <w:lang w:val="en-US"/>
        </w:rPr>
        <w:t>degree of graphitization (</w:t>
      </w:r>
      <w:r w:rsidR="00700C16" w:rsidRPr="003A7A24">
        <w:rPr>
          <w:lang w:val="en-US"/>
        </w:rPr>
        <w:t>g</w:t>
      </w:r>
      <w:r w:rsidR="00700C16" w:rsidRPr="003A7A24">
        <w:rPr>
          <w:i w:val="0"/>
          <w:iCs/>
          <w:lang w:val="en-US"/>
        </w:rPr>
        <w:t>) in th</w:t>
      </w:r>
      <w:r w:rsidR="00AA3089">
        <w:rPr>
          <w:i w:val="0"/>
          <w:iCs/>
          <w:lang w:val="en-US"/>
        </w:rPr>
        <w:t>ese</w:t>
      </w:r>
      <w:r w:rsidR="00700C16" w:rsidRPr="003A7A24">
        <w:rPr>
          <w:i w:val="0"/>
          <w:iCs/>
          <w:lang w:val="en-US"/>
        </w:rPr>
        <w:t xml:space="preserve"> arrangements</w:t>
      </w:r>
      <w:r w:rsidR="00BA1CBF">
        <w:rPr>
          <w:i w:val="0"/>
          <w:iCs/>
          <w:lang w:val="en-US"/>
        </w:rPr>
        <w:t xml:space="preserve"> can be quantified</w:t>
      </w:r>
      <w:r w:rsidR="00700C16" w:rsidRPr="003A7A24">
        <w:rPr>
          <w:i w:val="0"/>
          <w:iCs/>
          <w:lang w:val="en-US"/>
        </w:rPr>
        <w:t xml:space="preserve">. </w:t>
      </w:r>
      <w:r w:rsidR="0055090E" w:rsidRPr="003A7A24">
        <w:rPr>
          <w:i w:val="0"/>
          <w:iCs/>
          <w:lang w:val="en-US"/>
        </w:rPr>
        <w:t>An</w:t>
      </w:r>
      <w:r w:rsidR="00700C16" w:rsidRPr="003A7A24">
        <w:rPr>
          <w:i w:val="0"/>
          <w:iCs/>
          <w:lang w:val="en-US"/>
        </w:rPr>
        <w:t xml:space="preserve"> inconvenience of HRTEM analysis is that the images correspond to a 2D projection of a 3D volume. Nevertheless, due to the concentric symmetry of most soot nanoparticles, the geometrical properties measured in 2D images can be easily extrapolated to a 3D volume. </w:t>
      </w:r>
      <w:r w:rsidR="00AA3089">
        <w:rPr>
          <w:i w:val="0"/>
          <w:iCs/>
          <w:lang w:val="en-US"/>
        </w:rPr>
        <w:t>From</w:t>
      </w:r>
      <w:r w:rsidR="009C5BFB" w:rsidRPr="003A7A24">
        <w:rPr>
          <w:i w:val="0"/>
          <w:iCs/>
          <w:lang w:val="en-US"/>
        </w:rPr>
        <w:t xml:space="preserve"> the high-resolution skeletonized micrographs</w:t>
      </w:r>
      <w:r w:rsidR="00BA1CBF">
        <w:rPr>
          <w:i w:val="0"/>
          <w:iCs/>
          <w:lang w:val="en-US"/>
        </w:rPr>
        <w:t>,</w:t>
      </w:r>
      <w:r w:rsidR="009C5BFB" w:rsidRPr="003A7A24">
        <w:rPr>
          <w:i w:val="0"/>
          <w:iCs/>
          <w:lang w:val="en-US"/>
        </w:rPr>
        <w:t xml:space="preserve"> it is possible to </w:t>
      </w:r>
      <w:r w:rsidR="00BA1CBF">
        <w:rPr>
          <w:i w:val="0"/>
          <w:iCs/>
          <w:lang w:val="en-US"/>
        </w:rPr>
        <w:t>obtain</w:t>
      </w:r>
      <w:r w:rsidR="009C5BFB" w:rsidRPr="003A7A24">
        <w:rPr>
          <w:i w:val="0"/>
          <w:iCs/>
          <w:lang w:val="en-US"/>
        </w:rPr>
        <w:t xml:space="preserve"> the interlaminar distance and thus the degree of graphitization of the samples (Figures 8</w:t>
      </w:r>
      <w:r w:rsidR="008C1827" w:rsidRPr="003A7A24">
        <w:rPr>
          <w:i w:val="0"/>
          <w:iCs/>
          <w:lang w:val="en-US"/>
        </w:rPr>
        <w:t>a and 8b</w:t>
      </w:r>
      <w:r w:rsidR="009C5BFB" w:rsidRPr="003A7A24">
        <w:rPr>
          <w:i w:val="0"/>
          <w:iCs/>
          <w:lang w:val="en-US"/>
        </w:rPr>
        <w:t>).</w:t>
      </w:r>
      <w:r w:rsidR="008C1827" w:rsidRPr="003A7A24">
        <w:rPr>
          <w:i w:val="0"/>
          <w:iCs/>
          <w:lang w:val="en-US"/>
        </w:rPr>
        <w:t xml:space="preserve"> </w:t>
      </w:r>
      <w:r w:rsidR="003E05A8" w:rsidRPr="003A7A24">
        <w:rPr>
          <w:i w:val="0"/>
          <w:iCs/>
          <w:lang w:val="en-US"/>
        </w:rPr>
        <w:t xml:space="preserve">The </w:t>
      </w:r>
      <w:r w:rsidR="0055090E" w:rsidRPr="003A7A24">
        <w:rPr>
          <w:i w:val="0"/>
          <w:iCs/>
          <w:lang w:val="en-US"/>
        </w:rPr>
        <w:t>interlaminar distance</w:t>
      </w:r>
      <w:r w:rsidR="0055090E" w:rsidRPr="003A7A24">
        <w:rPr>
          <w:lang w:val="en-US"/>
        </w:rPr>
        <w:t xml:space="preserve"> </w:t>
      </w:r>
      <w:r w:rsidR="003E05A8" w:rsidRPr="003A7A24">
        <w:rPr>
          <w:i w:val="0"/>
          <w:iCs/>
          <w:lang w:val="en-US"/>
        </w:rPr>
        <w:t>presents a maximum of approximately 3.</w:t>
      </w:r>
      <w:r w:rsidR="004578AC">
        <w:rPr>
          <w:i w:val="0"/>
          <w:iCs/>
          <w:lang w:val="en-US"/>
        </w:rPr>
        <w:t>74</w:t>
      </w:r>
      <w:r w:rsidR="003E05A8" w:rsidRPr="003A7A24">
        <w:rPr>
          <w:i w:val="0"/>
          <w:iCs/>
          <w:lang w:val="en-US"/>
        </w:rPr>
        <w:t xml:space="preserve"> for </w:t>
      </w:r>
      <w:r w:rsidR="003E05A8" w:rsidRPr="003A7A24">
        <w:rPr>
          <w:lang w:val="en-US"/>
        </w:rPr>
        <w:t>d</w:t>
      </w:r>
      <w:r w:rsidR="003E05A8" w:rsidRPr="003A7A24">
        <w:rPr>
          <w:vertAlign w:val="subscript"/>
          <w:lang w:val="en-US"/>
        </w:rPr>
        <w:t>em</w:t>
      </w:r>
      <w:r w:rsidR="003E05A8" w:rsidRPr="003A7A24">
        <w:rPr>
          <w:i w:val="0"/>
          <w:iCs/>
          <w:lang w:val="en-US"/>
        </w:rPr>
        <w:t>=</w:t>
      </w:r>
      <w:r w:rsidR="009E7354">
        <w:rPr>
          <w:i w:val="0"/>
          <w:iCs/>
          <w:lang w:val="en-US"/>
        </w:rPr>
        <w:t>214</w:t>
      </w:r>
      <w:r w:rsidR="003E05A8" w:rsidRPr="003A7A24">
        <w:rPr>
          <w:i w:val="0"/>
          <w:iCs/>
          <w:lang w:val="en-US"/>
        </w:rPr>
        <w:t xml:space="preserve"> nm (</w:t>
      </w:r>
      <w:r w:rsidR="00BA1CBF">
        <w:rPr>
          <w:i w:val="0"/>
          <w:iCs/>
          <w:lang w:val="en-US"/>
        </w:rPr>
        <w:t xml:space="preserve">and </w:t>
      </w:r>
      <w:r w:rsidR="003E05A8" w:rsidRPr="003A7A24">
        <w:rPr>
          <w:i w:val="0"/>
          <w:iCs/>
          <w:lang w:val="en-US"/>
        </w:rPr>
        <w:t xml:space="preserve">therefore, a minimum degree of graphitization). </w:t>
      </w:r>
      <w:r w:rsidR="00BA1CBF">
        <w:rPr>
          <w:i w:val="0"/>
          <w:iCs/>
          <w:lang w:val="en-US"/>
        </w:rPr>
        <w:t xml:space="preserve">Consequently, </w:t>
      </w:r>
      <w:r w:rsidR="00BA1CBF" w:rsidRPr="003A7A24">
        <w:rPr>
          <w:i w:val="0"/>
          <w:iCs/>
          <w:lang w:val="en-US"/>
        </w:rPr>
        <w:t xml:space="preserve">the degree of graphitization </w:t>
      </w:r>
      <w:r w:rsidR="00BA1CBF">
        <w:rPr>
          <w:i w:val="0"/>
          <w:iCs/>
          <w:lang w:val="en-US"/>
        </w:rPr>
        <w:t>shows</w:t>
      </w:r>
      <w:r w:rsidR="00BA1CBF" w:rsidRPr="003A7A24">
        <w:rPr>
          <w:i w:val="0"/>
          <w:iCs/>
          <w:lang w:val="en-US"/>
        </w:rPr>
        <w:t xml:space="preserve"> </w:t>
      </w:r>
      <w:r w:rsidR="00BA1CBF">
        <w:rPr>
          <w:i w:val="0"/>
          <w:iCs/>
          <w:lang w:val="en-US"/>
        </w:rPr>
        <w:t>a minimum value</w:t>
      </w:r>
      <w:r w:rsidR="00BA1CBF" w:rsidRPr="003A7A24">
        <w:rPr>
          <w:i w:val="0"/>
          <w:iCs/>
          <w:lang w:val="en-US"/>
        </w:rPr>
        <w:t xml:space="preserve"> </w:t>
      </w:r>
      <w:r w:rsidR="00BA1CBF">
        <w:rPr>
          <w:i w:val="0"/>
          <w:iCs/>
          <w:lang w:val="en-US"/>
        </w:rPr>
        <w:t>i</w:t>
      </w:r>
      <w:r w:rsidR="00BD2187" w:rsidRPr="003A7A24">
        <w:rPr>
          <w:i w:val="0"/>
          <w:iCs/>
          <w:lang w:val="en-US"/>
        </w:rPr>
        <w:t>n this range (</w:t>
      </w:r>
      <w:r w:rsidR="009E7354">
        <w:rPr>
          <w:i w:val="0"/>
          <w:iCs/>
          <w:lang w:val="en-US"/>
        </w:rPr>
        <w:t>medium-size</w:t>
      </w:r>
      <w:r w:rsidR="00BD2187" w:rsidRPr="003A7A24">
        <w:rPr>
          <w:i w:val="0"/>
          <w:iCs/>
          <w:lang w:val="en-US"/>
        </w:rPr>
        <w:t xml:space="preserve"> agglomerates)</w:t>
      </w:r>
      <w:r w:rsidR="00BA1CBF">
        <w:rPr>
          <w:i w:val="0"/>
          <w:iCs/>
          <w:lang w:val="en-US"/>
        </w:rPr>
        <w:t>.</w:t>
      </w:r>
    </w:p>
    <w:p w14:paraId="40288779" w14:textId="590EDACF" w:rsidR="006C7868" w:rsidRPr="0055090E" w:rsidRDefault="00307067" w:rsidP="003A7A24">
      <w:pPr>
        <w:pStyle w:val="CETCaption"/>
        <w:spacing w:before="120" w:after="0"/>
        <w:rPr>
          <w:i w:val="0"/>
          <w:iCs/>
          <w:noProof/>
          <w:lang w:val="en-US"/>
        </w:rPr>
      </w:pPr>
      <w:r w:rsidRPr="004803D5">
        <w:rPr>
          <w:noProof/>
        </w:rPr>
        <w:drawing>
          <wp:inline distT="0" distB="0" distL="0" distR="0" wp14:anchorId="29ED0F8B" wp14:editId="60A3CF54">
            <wp:extent cx="2746375" cy="2239352"/>
            <wp:effectExtent l="0" t="0" r="0" b="8890"/>
            <wp:docPr id="21003976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989" t="9946" r="12051" b="5945"/>
                    <a:stretch/>
                  </pic:blipFill>
                  <pic:spPr bwMode="auto">
                    <a:xfrm>
                      <a:off x="0" y="0"/>
                      <a:ext cx="2755232" cy="2246574"/>
                    </a:xfrm>
                    <a:prstGeom prst="rect">
                      <a:avLst/>
                    </a:prstGeom>
                    <a:noFill/>
                    <a:ln>
                      <a:noFill/>
                    </a:ln>
                    <a:extLst>
                      <a:ext uri="{53640926-AAD7-44D8-BBD7-CCE9431645EC}">
                        <a14:shadowObscured xmlns:a14="http://schemas.microsoft.com/office/drawing/2010/main"/>
                      </a:ext>
                    </a:extLst>
                  </pic:spPr>
                </pic:pic>
              </a:graphicData>
            </a:graphic>
          </wp:inline>
        </w:drawing>
      </w:r>
      <w:r w:rsidR="00EC4731" w:rsidRPr="00502121">
        <w:rPr>
          <w:noProof/>
        </w:rPr>
        <w:drawing>
          <wp:inline distT="0" distB="0" distL="0" distR="0" wp14:anchorId="7B0B3D35" wp14:editId="17CF29FE">
            <wp:extent cx="2705100" cy="2241609"/>
            <wp:effectExtent l="0" t="0" r="0" b="6350"/>
            <wp:docPr id="8169450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17" t="9517" r="12294" b="6091"/>
                    <a:stretch/>
                  </pic:blipFill>
                  <pic:spPr bwMode="auto">
                    <a:xfrm>
                      <a:off x="0" y="0"/>
                      <a:ext cx="2713093" cy="2248232"/>
                    </a:xfrm>
                    <a:prstGeom prst="rect">
                      <a:avLst/>
                    </a:prstGeom>
                    <a:noFill/>
                    <a:ln>
                      <a:noFill/>
                    </a:ln>
                    <a:extLst>
                      <a:ext uri="{53640926-AAD7-44D8-BBD7-CCE9431645EC}">
                        <a14:shadowObscured xmlns:a14="http://schemas.microsoft.com/office/drawing/2010/main"/>
                      </a:ext>
                    </a:extLst>
                  </pic:spPr>
                </pic:pic>
              </a:graphicData>
            </a:graphic>
          </wp:inline>
        </w:drawing>
      </w:r>
    </w:p>
    <w:p w14:paraId="236F8ABA" w14:textId="26D180AA" w:rsidR="008C1827" w:rsidRPr="00AE2542" w:rsidRDefault="008C1827" w:rsidP="005626B0">
      <w:pPr>
        <w:pStyle w:val="CETCaption"/>
        <w:numPr>
          <w:ilvl w:val="0"/>
          <w:numId w:val="27"/>
        </w:numPr>
        <w:spacing w:before="0" w:after="0"/>
        <w:ind w:left="714" w:firstLine="1554"/>
        <w:rPr>
          <w:lang w:val="es-ES"/>
        </w:rPr>
      </w:pPr>
      <w:r w:rsidRPr="0055090E">
        <w:rPr>
          <w:noProof/>
          <w:lang w:val="en-US"/>
        </w:rPr>
        <w:t xml:space="preserve">                                                                            </w:t>
      </w:r>
      <w:r w:rsidRPr="00AE2542">
        <w:rPr>
          <w:noProof/>
          <w:lang w:val="en-US"/>
        </w:rPr>
        <w:t>(b)</w:t>
      </w:r>
    </w:p>
    <w:p w14:paraId="1781AFFF" w14:textId="2BD626D8" w:rsidR="000D5523" w:rsidRDefault="00782BCE" w:rsidP="00782BCE">
      <w:pPr>
        <w:rPr>
          <w:i/>
          <w:iCs/>
          <w:lang w:val="en-US"/>
        </w:rPr>
      </w:pPr>
      <w:r w:rsidRPr="00BE4112">
        <w:rPr>
          <w:i/>
          <w:iCs/>
          <w:lang w:val="en-US"/>
        </w:rPr>
        <w:t xml:space="preserve">Figure </w:t>
      </w:r>
      <w:r>
        <w:rPr>
          <w:i/>
          <w:iCs/>
          <w:lang w:val="en-US"/>
        </w:rPr>
        <w:t>8</w:t>
      </w:r>
      <w:r w:rsidRPr="00BE4112">
        <w:rPr>
          <w:i/>
          <w:iCs/>
          <w:lang w:val="en-US"/>
        </w:rPr>
        <w:t xml:space="preserve">. </w:t>
      </w:r>
      <w:r w:rsidRPr="00E41E26">
        <w:rPr>
          <w:i/>
          <w:iCs/>
          <w:lang w:val="en-US"/>
        </w:rPr>
        <w:t>Relationship between</w:t>
      </w:r>
      <w:r>
        <w:rPr>
          <w:i/>
          <w:iCs/>
          <w:lang w:val="en-US"/>
        </w:rPr>
        <w:t xml:space="preserve"> interlaminar distance</w:t>
      </w:r>
      <w:r w:rsidRPr="00E41E26">
        <w:rPr>
          <w:i/>
          <w:iCs/>
          <w:lang w:val="en-US"/>
        </w:rPr>
        <w:t xml:space="preserve"> </w:t>
      </w:r>
      <w:r w:rsidR="008C1827">
        <w:rPr>
          <w:i/>
          <w:iCs/>
          <w:lang w:val="en-US"/>
        </w:rPr>
        <w:t xml:space="preserve">(a) </w:t>
      </w:r>
      <w:r w:rsidR="00A520D2">
        <w:rPr>
          <w:i/>
          <w:iCs/>
          <w:lang w:val="en-US"/>
        </w:rPr>
        <w:t xml:space="preserve">degree of </w:t>
      </w:r>
      <w:r w:rsidR="008C1827">
        <w:rPr>
          <w:i/>
          <w:iCs/>
          <w:lang w:val="en-US"/>
        </w:rPr>
        <w:t xml:space="preserve">graphitization (b) </w:t>
      </w:r>
      <w:r w:rsidRPr="00E41E26">
        <w:rPr>
          <w:i/>
          <w:iCs/>
          <w:lang w:val="en-US"/>
        </w:rPr>
        <w:t xml:space="preserve">and </w:t>
      </w:r>
      <w:r>
        <w:rPr>
          <w:i/>
          <w:iCs/>
          <w:lang w:val="en-US"/>
        </w:rPr>
        <w:t xml:space="preserve">electrical mobility </w:t>
      </w:r>
      <w:r w:rsidRPr="00E41E26">
        <w:rPr>
          <w:i/>
          <w:iCs/>
          <w:lang w:val="en-US"/>
        </w:rPr>
        <w:t xml:space="preserve">diameter </w:t>
      </w:r>
      <w:r>
        <w:rPr>
          <w:i/>
          <w:iCs/>
          <w:lang w:val="en-US"/>
        </w:rPr>
        <w:t>of agglomerates.</w:t>
      </w:r>
    </w:p>
    <w:p w14:paraId="466132AF" w14:textId="19E248CE" w:rsidR="004578AC" w:rsidRDefault="004578AC" w:rsidP="004578AC">
      <w:pPr>
        <w:jc w:val="center"/>
        <w:rPr>
          <w:i/>
          <w:iCs/>
          <w:lang w:val="en-US"/>
        </w:rPr>
      </w:pPr>
      <w:r w:rsidRPr="004803D5">
        <w:rPr>
          <w:noProof/>
        </w:rPr>
        <w:drawing>
          <wp:inline distT="0" distB="0" distL="0" distR="0" wp14:anchorId="190FC986" wp14:editId="6DCB0292">
            <wp:extent cx="2496077" cy="2054225"/>
            <wp:effectExtent l="0" t="0" r="0" b="3175"/>
            <wp:docPr id="13871812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31" t="10051" r="12537" b="5840"/>
                    <a:stretch/>
                  </pic:blipFill>
                  <pic:spPr bwMode="auto">
                    <a:xfrm>
                      <a:off x="0" y="0"/>
                      <a:ext cx="2534471" cy="2085823"/>
                    </a:xfrm>
                    <a:prstGeom prst="rect">
                      <a:avLst/>
                    </a:prstGeom>
                    <a:noFill/>
                    <a:ln>
                      <a:noFill/>
                    </a:ln>
                    <a:extLst>
                      <a:ext uri="{53640926-AAD7-44D8-BBD7-CCE9431645EC}">
                        <a14:shadowObscured xmlns:a14="http://schemas.microsoft.com/office/drawing/2010/main"/>
                      </a:ext>
                    </a:extLst>
                  </pic:spPr>
                </pic:pic>
              </a:graphicData>
            </a:graphic>
          </wp:inline>
        </w:drawing>
      </w:r>
    </w:p>
    <w:p w14:paraId="36E87D78" w14:textId="5152C887" w:rsidR="002A30E4" w:rsidRDefault="002A30E4" w:rsidP="002A30E4">
      <w:pPr>
        <w:rPr>
          <w:i/>
          <w:iCs/>
          <w:lang w:val="en-US"/>
        </w:rPr>
      </w:pPr>
      <w:r w:rsidRPr="00BE4112">
        <w:rPr>
          <w:i/>
          <w:iCs/>
          <w:lang w:val="en-US"/>
        </w:rPr>
        <w:t xml:space="preserve">Figure </w:t>
      </w:r>
      <w:r>
        <w:rPr>
          <w:i/>
          <w:iCs/>
          <w:lang w:val="en-US"/>
        </w:rPr>
        <w:t>9</w:t>
      </w:r>
      <w:r w:rsidRPr="00BE4112">
        <w:rPr>
          <w:i/>
          <w:iCs/>
          <w:lang w:val="en-US"/>
        </w:rPr>
        <w:t xml:space="preserve">. </w:t>
      </w:r>
      <w:r w:rsidRPr="00E41E26">
        <w:rPr>
          <w:i/>
          <w:iCs/>
          <w:lang w:val="en-US"/>
        </w:rPr>
        <w:t>Relationship between</w:t>
      </w:r>
      <w:r>
        <w:rPr>
          <w:i/>
          <w:iCs/>
          <w:lang w:val="en-US"/>
        </w:rPr>
        <w:t xml:space="preserve"> interlaminar distance</w:t>
      </w:r>
      <w:r w:rsidRPr="00E41E26">
        <w:rPr>
          <w:i/>
          <w:iCs/>
          <w:lang w:val="en-US"/>
        </w:rPr>
        <w:t xml:space="preserve"> </w:t>
      </w:r>
      <w:r w:rsidR="00F916AE">
        <w:rPr>
          <w:i/>
          <w:iCs/>
          <w:lang w:val="en-US"/>
        </w:rPr>
        <w:t>and average diameter of primary particles</w:t>
      </w:r>
      <w:r>
        <w:rPr>
          <w:i/>
          <w:iCs/>
          <w:lang w:val="en-US"/>
        </w:rPr>
        <w:t>.</w:t>
      </w:r>
    </w:p>
    <w:p w14:paraId="62AC2BBF" w14:textId="105181CF" w:rsidR="00EE2397" w:rsidRPr="00EE2397" w:rsidRDefault="00EE2397" w:rsidP="00EE2397">
      <w:pPr>
        <w:spacing w:before="120"/>
        <w:rPr>
          <w:lang w:val="en-US"/>
        </w:rPr>
      </w:pPr>
      <w:r w:rsidRPr="00EE2397">
        <w:rPr>
          <w:lang w:val="en-US"/>
        </w:rPr>
        <w:t>Trying to explain this behavior, the interlaminar distances are represented in front of the diameter of the primary particles in Figure 9. It can be observed that these distances are, in general, larger than those observed in soot agglomerates sampled from the vehicle exhaust tube, consistently with the lower temperatures reached in the boiler</w:t>
      </w:r>
      <w:r w:rsidR="00F916AE">
        <w:rPr>
          <w:lang w:val="en-US"/>
        </w:rPr>
        <w:t xml:space="preserve"> than in the combustion chamber of the vehicle engine</w:t>
      </w:r>
      <w:r w:rsidRPr="00EE2397">
        <w:rPr>
          <w:lang w:val="en-US"/>
        </w:rPr>
        <w:t xml:space="preserve">. However, no clear trend has been found (neither for </w:t>
      </w:r>
      <w:r w:rsidR="00F916AE">
        <w:rPr>
          <w:lang w:val="en-US"/>
        </w:rPr>
        <w:t xml:space="preserve">soot </w:t>
      </w:r>
      <w:r w:rsidRPr="00EE2397">
        <w:rPr>
          <w:lang w:val="en-US"/>
        </w:rPr>
        <w:t xml:space="preserve">sampled from the vehicle nor from the boiler) with the </w:t>
      </w:r>
      <w:r w:rsidR="00F916AE" w:rsidRPr="00EE2397">
        <w:rPr>
          <w:lang w:val="en-US"/>
        </w:rPr>
        <w:t xml:space="preserve">primary particle </w:t>
      </w:r>
      <w:r w:rsidRPr="00EE2397">
        <w:rPr>
          <w:lang w:val="en-US"/>
        </w:rPr>
        <w:t>diameter. Therefore, the expected higher amount of amorphous carbon consistent with the higher torsional strength imposed by the higher curvature of the graphitic layers in small particles (Vander Wal and Tomasek, 2003) could not be confirmed.</w:t>
      </w:r>
    </w:p>
    <w:p w14:paraId="68D26B83" w14:textId="77777777" w:rsidR="00600535" w:rsidRPr="00B57B36" w:rsidRDefault="00600535" w:rsidP="00F916AE">
      <w:pPr>
        <w:pStyle w:val="CETHeading1"/>
        <w:spacing w:before="120"/>
        <w:rPr>
          <w:lang w:val="en-GB"/>
        </w:rPr>
      </w:pPr>
      <w:r w:rsidRPr="00B57B36">
        <w:rPr>
          <w:lang w:val="en-GB"/>
        </w:rPr>
        <w:lastRenderedPageBreak/>
        <w:t>Conclusions</w:t>
      </w:r>
    </w:p>
    <w:p w14:paraId="6B4270A0" w14:textId="7F7D7219" w:rsidR="00463F81" w:rsidRDefault="0057121B" w:rsidP="008C1827">
      <w:pPr>
        <w:pStyle w:val="CETHeadingxx"/>
        <w:rPr>
          <w:bCs w:val="0"/>
        </w:rPr>
      </w:pPr>
      <w:r w:rsidRPr="00840981">
        <w:t>The morphology of the agglomerates collected in the chimney of a biomass boiler shows a different morphological pattern than the agglomerates collected from the exhaust of a</w:t>
      </w:r>
      <w:r w:rsidR="008C3E8E">
        <w:t>n internal combustion vehicle</w:t>
      </w:r>
      <w:r w:rsidRPr="00840981">
        <w:t xml:space="preserve">. The differences between the diameter of gyration and the electrical mobility diameter </w:t>
      </w:r>
      <w:r w:rsidR="00EE2C74">
        <w:t xml:space="preserve">of the </w:t>
      </w:r>
      <w:r w:rsidR="00EE2C74" w:rsidRPr="00840981">
        <w:t xml:space="preserve">agglomerates </w:t>
      </w:r>
      <w:r w:rsidRPr="00840981">
        <w:t>are much larger than in the case of vehicle exhaust.</w:t>
      </w:r>
      <w:r w:rsidR="00840981" w:rsidRPr="00840981">
        <w:t xml:space="preserve"> These discrepancies are due to the </w:t>
      </w:r>
      <w:r w:rsidR="00127CC2">
        <w:t>high</w:t>
      </w:r>
      <w:r w:rsidR="00840981" w:rsidRPr="00840981">
        <w:t>er variability in the composition of these clusters leading to a completely different electrical mobility than that of agglomerates composed exclusively of soot.</w:t>
      </w:r>
      <w:r w:rsidR="008D27E5">
        <w:t xml:space="preserve"> </w:t>
      </w:r>
      <w:r w:rsidR="008D27E5" w:rsidRPr="008D27E5">
        <w:t xml:space="preserve">The degree of graphitization of agglomerates in </w:t>
      </w:r>
      <w:r w:rsidR="005C213B">
        <w:t xml:space="preserve">the </w:t>
      </w:r>
      <w:r w:rsidR="008D27E5" w:rsidRPr="008D27E5">
        <w:t>boiler outlet is low</w:t>
      </w:r>
      <w:r w:rsidR="00A23204">
        <w:t>er</w:t>
      </w:r>
      <w:r w:rsidR="005C213B">
        <w:t xml:space="preserve"> than in the vehicle exhaust</w:t>
      </w:r>
      <w:r w:rsidR="008D27E5" w:rsidRPr="008D27E5">
        <w:t>.</w:t>
      </w:r>
      <w:r w:rsidR="008071AE" w:rsidRPr="008071AE">
        <w:rPr>
          <w:bCs w:val="0"/>
        </w:rPr>
        <w:t xml:space="preserve"> </w:t>
      </w:r>
      <w:r w:rsidR="0055090E" w:rsidRPr="0055090E">
        <w:rPr>
          <w:bCs w:val="0"/>
        </w:rPr>
        <w:t>Despite the relatively limited number of agglomerate data obtained</w:t>
      </w:r>
      <w:r w:rsidR="005C213B" w:rsidRPr="005C213B">
        <w:rPr>
          <w:bCs w:val="0"/>
        </w:rPr>
        <w:t xml:space="preserve"> </w:t>
      </w:r>
      <w:r w:rsidR="005C213B">
        <w:rPr>
          <w:bCs w:val="0"/>
        </w:rPr>
        <w:t xml:space="preserve">from the </w:t>
      </w:r>
      <w:r w:rsidR="005C213B" w:rsidRPr="0055090E">
        <w:rPr>
          <w:bCs w:val="0"/>
        </w:rPr>
        <w:t>boiler</w:t>
      </w:r>
      <w:r w:rsidR="0055090E" w:rsidRPr="0055090E">
        <w:rPr>
          <w:bCs w:val="0"/>
        </w:rPr>
        <w:t>, it can be reasonably anticipated that it will be difficult to find universal fit</w:t>
      </w:r>
      <w:r w:rsidR="005C213B">
        <w:rPr>
          <w:bCs w:val="0"/>
        </w:rPr>
        <w:t>s for soot agglomerates from different sources</w:t>
      </w:r>
      <w:r w:rsidR="0055090E" w:rsidRPr="0055090E">
        <w:rPr>
          <w:bCs w:val="0"/>
        </w:rPr>
        <w:t xml:space="preserve"> (e.g., diesel engines, gas turbines, or heating boilers)</w:t>
      </w:r>
      <w:r w:rsidR="005C213B">
        <w:rPr>
          <w:bCs w:val="0"/>
        </w:rPr>
        <w:t>, since the combustion</w:t>
      </w:r>
      <w:r w:rsidR="0055090E" w:rsidRPr="0055090E">
        <w:rPr>
          <w:bCs w:val="0"/>
        </w:rPr>
        <w:t xml:space="preserve"> conditions </w:t>
      </w:r>
      <w:r w:rsidR="005C213B">
        <w:rPr>
          <w:bCs w:val="0"/>
        </w:rPr>
        <w:t>and the fuels used are very different</w:t>
      </w:r>
      <w:r w:rsidR="0055090E" w:rsidRPr="0055090E">
        <w:rPr>
          <w:bCs w:val="0"/>
        </w:rPr>
        <w:t>. To confirm this, larger data</w:t>
      </w:r>
      <w:r w:rsidR="00773B92">
        <w:rPr>
          <w:bCs w:val="0"/>
        </w:rPr>
        <w:t>sets</w:t>
      </w:r>
      <w:r w:rsidR="0055090E" w:rsidRPr="0055090E">
        <w:rPr>
          <w:bCs w:val="0"/>
        </w:rPr>
        <w:t xml:space="preserve"> need to be obtained.</w:t>
      </w:r>
    </w:p>
    <w:p w14:paraId="71D08373" w14:textId="674FC916" w:rsidR="00280FAF" w:rsidRPr="00F916AE" w:rsidRDefault="00280FAF" w:rsidP="00EE2397">
      <w:pPr>
        <w:pStyle w:val="CETHeadingxx"/>
        <w:spacing w:before="120" w:after="120"/>
        <w:rPr>
          <w:b/>
          <w:bCs w:val="0"/>
        </w:rPr>
      </w:pPr>
      <w:r w:rsidRPr="00F916AE">
        <w:rPr>
          <w:b/>
          <w:bCs w:val="0"/>
        </w:rPr>
        <w:t>Nomenclature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0E2319" w:rsidRPr="007B0C80" w14:paraId="683F94FE" w14:textId="77777777" w:rsidTr="000E2319">
        <w:tc>
          <w:tcPr>
            <w:tcW w:w="4388" w:type="dxa"/>
          </w:tcPr>
          <w:p w14:paraId="779DF3FF" w14:textId="410E477D" w:rsidR="000E2319" w:rsidRPr="007B0C80" w:rsidRDefault="000E2319" w:rsidP="000E2319">
            <w:pPr>
              <w:pStyle w:val="CETBodytext"/>
              <w:jc w:val="left"/>
              <w:rPr>
                <w:rFonts w:eastAsia="SimSun"/>
                <w:i/>
                <w:iCs/>
                <w:sz w:val="16"/>
                <w:szCs w:val="18"/>
              </w:rPr>
            </w:pPr>
            <w:r w:rsidRPr="007B0C80">
              <w:rPr>
                <w:rFonts w:eastAsia="SimSun"/>
                <w:i/>
                <w:iCs/>
                <w:sz w:val="16"/>
                <w:szCs w:val="18"/>
              </w:rPr>
              <w:t>A</w:t>
            </w:r>
            <w:r w:rsidRPr="007B0C80">
              <w:rPr>
                <w:rFonts w:eastAsia="SimSun"/>
                <w:i/>
                <w:iCs/>
                <w:sz w:val="16"/>
                <w:szCs w:val="18"/>
                <w:vertAlign w:val="subscript"/>
              </w:rPr>
              <w:t>p</w:t>
            </w:r>
            <w:r w:rsidR="00CC3F53">
              <w:rPr>
                <w:rFonts w:eastAsia="SimSun"/>
                <w:i/>
                <w:iCs/>
                <w:sz w:val="16"/>
                <w:szCs w:val="18"/>
                <w:vertAlign w:val="subscript"/>
              </w:rPr>
              <w:t xml:space="preserve"> </w:t>
            </w:r>
            <w:r w:rsidRPr="007B0C80">
              <w:rPr>
                <w:rFonts w:eastAsia="SimSun"/>
                <w:i/>
                <w:iCs/>
                <w:sz w:val="16"/>
                <w:szCs w:val="18"/>
              </w:rPr>
              <w:t>-</w:t>
            </w:r>
            <w:r w:rsidR="00CC3F53">
              <w:rPr>
                <w:rFonts w:eastAsia="SimSun"/>
                <w:i/>
                <w:iCs/>
                <w:sz w:val="16"/>
                <w:szCs w:val="18"/>
              </w:rPr>
              <w:t xml:space="preserve"> </w:t>
            </w:r>
            <w:r w:rsidRPr="007B0C80">
              <w:rPr>
                <w:rFonts w:eastAsia="SimSun"/>
                <w:sz w:val="16"/>
                <w:szCs w:val="18"/>
              </w:rPr>
              <w:t>project</w:t>
            </w:r>
            <w:r w:rsidR="003B5F92">
              <w:rPr>
                <w:rFonts w:eastAsia="SimSun"/>
                <w:sz w:val="16"/>
                <w:szCs w:val="18"/>
              </w:rPr>
              <w:t>ed</w:t>
            </w:r>
            <w:r w:rsidRPr="007B0C80">
              <w:rPr>
                <w:rFonts w:eastAsia="SimSun"/>
                <w:sz w:val="16"/>
                <w:szCs w:val="18"/>
              </w:rPr>
              <w:t xml:space="preserve"> area</w:t>
            </w:r>
            <w:r w:rsidRPr="007B0C80">
              <w:rPr>
                <w:rFonts w:eastAsia="SimSun"/>
                <w:i/>
                <w:iCs/>
                <w:sz w:val="16"/>
                <w:szCs w:val="18"/>
              </w:rPr>
              <w:t xml:space="preserve">, </w:t>
            </w:r>
            <w:r w:rsidR="003B5F92">
              <w:rPr>
                <w:rFonts w:eastAsia="SimSun"/>
                <w:sz w:val="16"/>
                <w:szCs w:val="18"/>
              </w:rPr>
              <w:t>n</w:t>
            </w:r>
            <w:r w:rsidRPr="007B0C80">
              <w:rPr>
                <w:rFonts w:eastAsia="SimSun"/>
                <w:sz w:val="16"/>
                <w:szCs w:val="18"/>
              </w:rPr>
              <w:t>m</w:t>
            </w:r>
            <w:r w:rsidRPr="007B0C80">
              <w:rPr>
                <w:rFonts w:eastAsia="SimSun"/>
                <w:sz w:val="16"/>
                <w:szCs w:val="18"/>
                <w:vertAlign w:val="superscript"/>
              </w:rPr>
              <w:t>2</w:t>
            </w:r>
          </w:p>
        </w:tc>
        <w:tc>
          <w:tcPr>
            <w:tcW w:w="4389" w:type="dxa"/>
          </w:tcPr>
          <w:p w14:paraId="01A66A10" w14:textId="12FDFD21" w:rsidR="000E2319" w:rsidRPr="007B0C80" w:rsidRDefault="00E45BE4" w:rsidP="000E2319">
            <w:pPr>
              <w:pStyle w:val="CETBodytext"/>
              <w:jc w:val="left"/>
              <w:rPr>
                <w:rFonts w:eastAsia="SimSun"/>
                <w:sz w:val="16"/>
                <w:szCs w:val="18"/>
              </w:rPr>
            </w:pPr>
            <w:r w:rsidRPr="007B0C80">
              <w:rPr>
                <w:rFonts w:eastAsia="SimSun"/>
                <w:i/>
                <w:iCs/>
                <w:sz w:val="16"/>
                <w:szCs w:val="18"/>
              </w:rPr>
              <w:t>g</w:t>
            </w:r>
            <w:r w:rsidR="00CC3F53">
              <w:rPr>
                <w:rFonts w:eastAsia="SimSun"/>
                <w:i/>
                <w:iCs/>
                <w:sz w:val="16"/>
                <w:szCs w:val="18"/>
              </w:rPr>
              <w:t xml:space="preserve"> </w:t>
            </w:r>
            <w:r w:rsidRPr="007B0C80">
              <w:rPr>
                <w:rFonts w:eastAsia="SimSun"/>
                <w:sz w:val="16"/>
                <w:szCs w:val="18"/>
              </w:rPr>
              <w:t>-</w:t>
            </w:r>
            <w:r w:rsidR="00CC3F53">
              <w:rPr>
                <w:rFonts w:eastAsia="SimSun"/>
                <w:sz w:val="16"/>
                <w:szCs w:val="18"/>
              </w:rPr>
              <w:t xml:space="preserve"> </w:t>
            </w:r>
            <w:r w:rsidRPr="007B0C80">
              <w:rPr>
                <w:rFonts w:eastAsia="SimSun"/>
                <w:sz w:val="16"/>
                <w:szCs w:val="18"/>
              </w:rPr>
              <w:t>degree of graphitization</w:t>
            </w:r>
          </w:p>
        </w:tc>
      </w:tr>
      <w:tr w:rsidR="00E45BE4" w:rsidRPr="007B0C80" w14:paraId="73688F39" w14:textId="77777777" w:rsidTr="000E2319">
        <w:tc>
          <w:tcPr>
            <w:tcW w:w="4388" w:type="dxa"/>
          </w:tcPr>
          <w:p w14:paraId="6A43C26B" w14:textId="5BD951DD" w:rsidR="00E45BE4" w:rsidRPr="007B0C80" w:rsidRDefault="00E45BE4" w:rsidP="00E45BE4">
            <w:pPr>
              <w:pStyle w:val="CETBodytext"/>
              <w:jc w:val="left"/>
              <w:rPr>
                <w:rFonts w:eastAsia="SimSun"/>
                <w:sz w:val="16"/>
                <w:szCs w:val="18"/>
              </w:rPr>
            </w:pPr>
            <w:r w:rsidRPr="007B0C80">
              <w:rPr>
                <w:rFonts w:eastAsia="SimSun"/>
                <w:i/>
                <w:iCs/>
                <w:sz w:val="16"/>
                <w:szCs w:val="18"/>
              </w:rPr>
              <w:t>d</w:t>
            </w:r>
            <w:r w:rsidRPr="007B0C80">
              <w:rPr>
                <w:rFonts w:eastAsia="SimSun"/>
                <w:sz w:val="16"/>
                <w:szCs w:val="18"/>
                <w:vertAlign w:val="subscript"/>
              </w:rPr>
              <w:t>002</w:t>
            </w:r>
            <w:r w:rsidR="00CC3F53">
              <w:rPr>
                <w:rFonts w:eastAsia="SimSun"/>
                <w:sz w:val="16"/>
                <w:szCs w:val="18"/>
                <w:vertAlign w:val="subscript"/>
              </w:rPr>
              <w:t xml:space="preserve"> </w:t>
            </w:r>
            <w:r w:rsidRPr="007B0C80">
              <w:rPr>
                <w:rFonts w:eastAsia="SimSun"/>
                <w:sz w:val="16"/>
                <w:szCs w:val="18"/>
              </w:rPr>
              <w:t>-</w:t>
            </w:r>
            <w:r w:rsidR="00CC3F53">
              <w:rPr>
                <w:rFonts w:eastAsia="SimSun"/>
                <w:sz w:val="16"/>
                <w:szCs w:val="18"/>
              </w:rPr>
              <w:t xml:space="preserve"> </w:t>
            </w:r>
            <w:r w:rsidRPr="007B0C80">
              <w:rPr>
                <w:rFonts w:eastAsia="SimSun"/>
                <w:sz w:val="16"/>
                <w:szCs w:val="18"/>
              </w:rPr>
              <w:t>interlaminar distance</w:t>
            </w:r>
            <w:r w:rsidR="003B5F92">
              <w:rPr>
                <w:rFonts w:eastAsia="SimSun"/>
                <w:sz w:val="16"/>
                <w:szCs w:val="18"/>
              </w:rPr>
              <w:t xml:space="preserve">, </w:t>
            </w:r>
            <w:r w:rsidR="00277B6E">
              <w:rPr>
                <w:rFonts w:eastAsia="SimSun" w:cs="Arial"/>
                <w:sz w:val="16"/>
                <w:szCs w:val="18"/>
              </w:rPr>
              <w:t>Å</w:t>
            </w:r>
          </w:p>
        </w:tc>
        <w:tc>
          <w:tcPr>
            <w:tcW w:w="4389" w:type="dxa"/>
          </w:tcPr>
          <w:p w14:paraId="448668A0" w14:textId="3C8445B3" w:rsidR="00E45BE4" w:rsidRPr="007B0C80" w:rsidRDefault="00E45BE4" w:rsidP="00E45BE4">
            <w:pPr>
              <w:pStyle w:val="CETBodytext"/>
              <w:jc w:val="left"/>
              <w:rPr>
                <w:rFonts w:eastAsia="SimSun"/>
                <w:sz w:val="16"/>
                <w:szCs w:val="18"/>
              </w:rPr>
            </w:pPr>
            <w:proofErr w:type="spellStart"/>
            <w:r w:rsidRPr="007B0C80">
              <w:rPr>
                <w:rFonts w:eastAsia="SimSun"/>
                <w:i/>
                <w:iCs/>
                <w:sz w:val="16"/>
                <w:szCs w:val="18"/>
              </w:rPr>
              <w:t>k</w:t>
            </w:r>
            <w:r w:rsidRPr="007B0C80">
              <w:rPr>
                <w:rFonts w:eastAsia="SimSun"/>
                <w:i/>
                <w:iCs/>
                <w:sz w:val="16"/>
                <w:szCs w:val="18"/>
                <w:vertAlign w:val="subscript"/>
              </w:rPr>
              <w:t>f</w:t>
            </w:r>
            <w:proofErr w:type="spellEnd"/>
            <w:r w:rsidR="00CC3F53">
              <w:rPr>
                <w:rFonts w:eastAsia="SimSun"/>
                <w:i/>
                <w:iCs/>
                <w:sz w:val="16"/>
                <w:szCs w:val="18"/>
                <w:vertAlign w:val="subscript"/>
              </w:rPr>
              <w:t xml:space="preserve"> </w:t>
            </w:r>
            <w:r w:rsidRPr="007B0C80">
              <w:rPr>
                <w:rFonts w:eastAsia="SimSun"/>
                <w:sz w:val="16"/>
                <w:szCs w:val="18"/>
              </w:rPr>
              <w:t>-</w:t>
            </w:r>
            <w:r w:rsidRPr="007B0C80">
              <w:rPr>
                <w:rFonts w:eastAsia="SimSun"/>
                <w:sz w:val="16"/>
                <w:szCs w:val="18"/>
                <w:vertAlign w:val="subscript"/>
              </w:rPr>
              <w:t xml:space="preserve"> </w:t>
            </w:r>
            <w:proofErr w:type="spellStart"/>
            <w:r w:rsidRPr="007B0C80">
              <w:rPr>
                <w:rFonts w:eastAsia="SimSun"/>
                <w:sz w:val="16"/>
                <w:szCs w:val="18"/>
              </w:rPr>
              <w:t>prefactor</w:t>
            </w:r>
            <w:proofErr w:type="spellEnd"/>
          </w:p>
        </w:tc>
      </w:tr>
      <w:tr w:rsidR="00E45BE4" w:rsidRPr="007B0C80" w14:paraId="40F8FCF4" w14:textId="77777777" w:rsidTr="000E2319">
        <w:tc>
          <w:tcPr>
            <w:tcW w:w="4388" w:type="dxa"/>
          </w:tcPr>
          <w:p w14:paraId="0D4B7A64" w14:textId="3B2661C1" w:rsidR="00E45BE4" w:rsidRPr="007B0C80" w:rsidRDefault="00E45BE4" w:rsidP="00E45BE4">
            <w:pPr>
              <w:pStyle w:val="CETBodytext"/>
              <w:jc w:val="left"/>
              <w:rPr>
                <w:rFonts w:eastAsia="SimSun"/>
                <w:sz w:val="16"/>
                <w:szCs w:val="18"/>
              </w:rPr>
            </w:pPr>
            <w:r w:rsidRPr="007B0C80">
              <w:rPr>
                <w:rFonts w:eastAsia="SimSun"/>
                <w:i/>
                <w:iCs/>
                <w:sz w:val="16"/>
                <w:szCs w:val="18"/>
              </w:rPr>
              <w:t>d</w:t>
            </w:r>
            <w:r w:rsidRPr="007B0C80">
              <w:rPr>
                <w:rFonts w:eastAsia="SimSun"/>
                <w:i/>
                <w:iCs/>
                <w:sz w:val="16"/>
                <w:szCs w:val="18"/>
                <w:vertAlign w:val="subscript"/>
              </w:rPr>
              <w:t>em</w:t>
            </w:r>
            <w:r w:rsidR="00CC3F53">
              <w:rPr>
                <w:rFonts w:eastAsia="SimSun"/>
                <w:i/>
                <w:iCs/>
                <w:sz w:val="16"/>
                <w:szCs w:val="18"/>
                <w:vertAlign w:val="subscript"/>
              </w:rPr>
              <w:t xml:space="preserve"> </w:t>
            </w:r>
            <w:r w:rsidRPr="007B0C80">
              <w:rPr>
                <w:rFonts w:eastAsia="SimSun"/>
                <w:sz w:val="16"/>
                <w:szCs w:val="18"/>
              </w:rPr>
              <w:t>-</w:t>
            </w:r>
            <w:r w:rsidR="00CC3F53">
              <w:rPr>
                <w:rFonts w:eastAsia="SimSun"/>
                <w:sz w:val="16"/>
                <w:szCs w:val="18"/>
              </w:rPr>
              <w:t xml:space="preserve"> </w:t>
            </w:r>
            <w:r w:rsidRPr="007B0C80">
              <w:rPr>
                <w:rFonts w:eastAsia="SimSun"/>
                <w:sz w:val="16"/>
                <w:szCs w:val="18"/>
              </w:rPr>
              <w:t>electrical mobility diameter, nm</w:t>
            </w:r>
          </w:p>
        </w:tc>
        <w:tc>
          <w:tcPr>
            <w:tcW w:w="4389" w:type="dxa"/>
          </w:tcPr>
          <w:p w14:paraId="23A30B66" w14:textId="354AD5EF" w:rsidR="00E45BE4" w:rsidRPr="007B0C80" w:rsidRDefault="00E45BE4" w:rsidP="00E45BE4">
            <w:pPr>
              <w:pStyle w:val="CETBodytext"/>
              <w:jc w:val="left"/>
              <w:rPr>
                <w:rFonts w:eastAsia="SimSun"/>
                <w:sz w:val="16"/>
                <w:szCs w:val="18"/>
              </w:rPr>
            </w:pPr>
            <w:r w:rsidRPr="007B0C80">
              <w:rPr>
                <w:bCs/>
                <w:sz w:val="16"/>
                <w:szCs w:val="18"/>
              </w:rPr>
              <w:t>λ</w:t>
            </w:r>
            <w:r w:rsidR="00CC3F53">
              <w:rPr>
                <w:bCs/>
                <w:sz w:val="16"/>
                <w:szCs w:val="18"/>
              </w:rPr>
              <w:t xml:space="preserve"> </w:t>
            </w:r>
            <w:r w:rsidRPr="007B0C80">
              <w:rPr>
                <w:bCs/>
                <w:sz w:val="16"/>
                <w:szCs w:val="18"/>
              </w:rPr>
              <w:t>-</w:t>
            </w:r>
            <w:r w:rsidR="00CC3F53">
              <w:rPr>
                <w:bCs/>
                <w:sz w:val="16"/>
                <w:szCs w:val="18"/>
              </w:rPr>
              <w:t xml:space="preserve"> </w:t>
            </w:r>
            <w:r w:rsidRPr="007B0C80">
              <w:rPr>
                <w:bCs/>
                <w:sz w:val="16"/>
                <w:szCs w:val="18"/>
              </w:rPr>
              <w:t>excess air</w:t>
            </w:r>
          </w:p>
        </w:tc>
      </w:tr>
      <w:tr w:rsidR="00E45BE4" w:rsidRPr="007B0C80" w14:paraId="0F4E591D" w14:textId="77777777" w:rsidTr="000E2319">
        <w:tc>
          <w:tcPr>
            <w:tcW w:w="4388" w:type="dxa"/>
          </w:tcPr>
          <w:p w14:paraId="2B0CFF9F" w14:textId="043ACD3E" w:rsidR="00E45BE4" w:rsidRPr="007B0C80" w:rsidRDefault="00E45BE4" w:rsidP="00E45BE4">
            <w:pPr>
              <w:pStyle w:val="CETBodytext"/>
              <w:jc w:val="left"/>
              <w:rPr>
                <w:rFonts w:eastAsia="SimSun"/>
                <w:sz w:val="16"/>
                <w:szCs w:val="18"/>
              </w:rPr>
            </w:pPr>
            <w:r w:rsidRPr="007B0C80">
              <w:rPr>
                <w:rFonts w:eastAsia="SimSun"/>
                <w:i/>
                <w:iCs/>
                <w:sz w:val="16"/>
                <w:szCs w:val="18"/>
              </w:rPr>
              <w:t>d</w:t>
            </w:r>
            <w:r w:rsidRPr="007B0C80">
              <w:rPr>
                <w:rFonts w:eastAsia="SimSun"/>
                <w:i/>
                <w:iCs/>
                <w:sz w:val="16"/>
                <w:szCs w:val="18"/>
                <w:vertAlign w:val="subscript"/>
              </w:rPr>
              <w:t>g</w:t>
            </w:r>
            <w:r w:rsidRPr="007B0C80">
              <w:rPr>
                <w:rFonts w:eastAsia="SimSun"/>
                <w:sz w:val="16"/>
                <w:szCs w:val="18"/>
              </w:rPr>
              <w:t>-</w:t>
            </w:r>
            <w:r w:rsidR="00CC3F53">
              <w:rPr>
                <w:rFonts w:eastAsia="SimSun"/>
                <w:sz w:val="16"/>
                <w:szCs w:val="18"/>
              </w:rPr>
              <w:t xml:space="preserve"> </w:t>
            </w:r>
            <w:r w:rsidRPr="007B0C80">
              <w:rPr>
                <w:rFonts w:eastAsia="SimSun"/>
                <w:sz w:val="16"/>
                <w:szCs w:val="18"/>
              </w:rPr>
              <w:t>diameter of gyration, nm</w:t>
            </w:r>
          </w:p>
        </w:tc>
        <w:tc>
          <w:tcPr>
            <w:tcW w:w="4389" w:type="dxa"/>
          </w:tcPr>
          <w:p w14:paraId="2CB74E94" w14:textId="1CDDE4C3" w:rsidR="00E45BE4" w:rsidRPr="007B0C80" w:rsidRDefault="00E45BE4" w:rsidP="00E45BE4">
            <w:pPr>
              <w:pStyle w:val="CETBodytext"/>
              <w:jc w:val="left"/>
              <w:rPr>
                <w:rFonts w:eastAsia="SimSun"/>
                <w:sz w:val="16"/>
                <w:szCs w:val="18"/>
              </w:rPr>
            </w:pPr>
            <w:r w:rsidRPr="007B0C80">
              <w:rPr>
                <w:rFonts w:eastAsia="SimSun"/>
                <w:sz w:val="16"/>
                <w:szCs w:val="18"/>
              </w:rPr>
              <w:t>PA</w:t>
            </w:r>
            <w:r w:rsidR="00CC3F53">
              <w:rPr>
                <w:rFonts w:eastAsia="SimSun"/>
                <w:sz w:val="16"/>
                <w:szCs w:val="18"/>
              </w:rPr>
              <w:t xml:space="preserve"> </w:t>
            </w:r>
            <w:r w:rsidRPr="007B0C80">
              <w:rPr>
                <w:rFonts w:eastAsia="SimSun"/>
                <w:sz w:val="16"/>
                <w:szCs w:val="18"/>
              </w:rPr>
              <w:t>-</w:t>
            </w:r>
            <w:r w:rsidRPr="007B0C80">
              <w:rPr>
                <w:bCs/>
                <w:sz w:val="16"/>
                <w:szCs w:val="18"/>
              </w:rPr>
              <w:t xml:space="preserve"> primary air</w:t>
            </w:r>
          </w:p>
        </w:tc>
      </w:tr>
      <w:tr w:rsidR="00E45BE4" w:rsidRPr="007B0C80" w14:paraId="00B45B77" w14:textId="77777777" w:rsidTr="000E2319">
        <w:tc>
          <w:tcPr>
            <w:tcW w:w="4388" w:type="dxa"/>
          </w:tcPr>
          <w:p w14:paraId="4BBD5CBD" w14:textId="4A80F41E" w:rsidR="00E45BE4" w:rsidRPr="007B0C80" w:rsidRDefault="00E45BE4" w:rsidP="00E45BE4">
            <w:pPr>
              <w:pStyle w:val="CETBodytext"/>
              <w:jc w:val="left"/>
              <w:rPr>
                <w:rFonts w:eastAsia="SimSun"/>
                <w:sz w:val="16"/>
                <w:szCs w:val="18"/>
              </w:rPr>
            </w:pPr>
            <w:r w:rsidRPr="007B0C80">
              <w:rPr>
                <w:rFonts w:eastAsia="SimSun"/>
                <w:i/>
                <w:iCs/>
                <w:sz w:val="16"/>
                <w:szCs w:val="18"/>
              </w:rPr>
              <w:t>d</w:t>
            </w:r>
            <w:r w:rsidRPr="007B0C80">
              <w:rPr>
                <w:rFonts w:eastAsia="SimSun"/>
                <w:i/>
                <w:iCs/>
                <w:sz w:val="16"/>
                <w:szCs w:val="18"/>
                <w:vertAlign w:val="subscript"/>
              </w:rPr>
              <w:t>p</w:t>
            </w:r>
            <w:r w:rsidRPr="007B0C80">
              <w:rPr>
                <w:rFonts w:eastAsia="SimSun"/>
                <w:sz w:val="16"/>
                <w:szCs w:val="18"/>
                <w:vertAlign w:val="subscript"/>
              </w:rPr>
              <w:t>0</w:t>
            </w:r>
            <w:r w:rsidR="00CC3F53">
              <w:rPr>
                <w:rFonts w:eastAsia="SimSun"/>
                <w:sz w:val="16"/>
                <w:szCs w:val="18"/>
                <w:vertAlign w:val="subscript"/>
              </w:rPr>
              <w:t xml:space="preserve"> </w:t>
            </w:r>
            <w:r w:rsidRPr="007B0C80">
              <w:rPr>
                <w:rFonts w:eastAsia="SimSun"/>
                <w:sz w:val="16"/>
                <w:szCs w:val="18"/>
              </w:rPr>
              <w:t>-</w:t>
            </w:r>
            <w:r w:rsidR="00CC3F53">
              <w:rPr>
                <w:rFonts w:eastAsia="SimSun"/>
                <w:sz w:val="16"/>
                <w:szCs w:val="18"/>
              </w:rPr>
              <w:t xml:space="preserve"> </w:t>
            </w:r>
            <w:r w:rsidRPr="007B0C80">
              <w:rPr>
                <w:rFonts w:eastAsia="SimSun"/>
                <w:sz w:val="16"/>
                <w:szCs w:val="18"/>
              </w:rPr>
              <w:t>primary particle diameter, nm</w:t>
            </w:r>
          </w:p>
        </w:tc>
        <w:tc>
          <w:tcPr>
            <w:tcW w:w="4389" w:type="dxa"/>
          </w:tcPr>
          <w:p w14:paraId="3A9BA922" w14:textId="4C1DFB9F" w:rsidR="00E45BE4" w:rsidRPr="007B0C80" w:rsidRDefault="00E45BE4" w:rsidP="00E45BE4">
            <w:pPr>
              <w:pStyle w:val="CETBodytext"/>
              <w:jc w:val="left"/>
              <w:rPr>
                <w:rFonts w:eastAsia="SimSun"/>
                <w:sz w:val="16"/>
                <w:szCs w:val="18"/>
              </w:rPr>
            </w:pPr>
            <w:r w:rsidRPr="007B0C80">
              <w:rPr>
                <w:rFonts w:eastAsia="SimSun"/>
                <w:sz w:val="16"/>
                <w:szCs w:val="18"/>
              </w:rPr>
              <w:t>SA</w:t>
            </w:r>
            <w:r w:rsidR="00CC3F53">
              <w:rPr>
                <w:rFonts w:eastAsia="SimSun"/>
                <w:sz w:val="16"/>
                <w:szCs w:val="18"/>
              </w:rPr>
              <w:t xml:space="preserve"> </w:t>
            </w:r>
            <w:r w:rsidRPr="007B0C80">
              <w:rPr>
                <w:rFonts w:eastAsia="SimSun"/>
                <w:sz w:val="16"/>
                <w:szCs w:val="18"/>
              </w:rPr>
              <w:t>-</w:t>
            </w:r>
            <w:r w:rsidR="00CC3F53">
              <w:rPr>
                <w:rFonts w:eastAsia="SimSun"/>
                <w:sz w:val="16"/>
                <w:szCs w:val="18"/>
              </w:rPr>
              <w:t xml:space="preserve"> </w:t>
            </w:r>
            <w:r w:rsidRPr="007B0C80">
              <w:rPr>
                <w:rFonts w:eastAsia="SimSun"/>
                <w:sz w:val="16"/>
                <w:szCs w:val="18"/>
              </w:rPr>
              <w:t>secondary air</w:t>
            </w:r>
          </w:p>
        </w:tc>
      </w:tr>
      <w:tr w:rsidR="00E45BE4" w:rsidRPr="007B0C80" w14:paraId="23321E9E" w14:textId="77777777" w:rsidTr="000E2319">
        <w:tc>
          <w:tcPr>
            <w:tcW w:w="4388" w:type="dxa"/>
          </w:tcPr>
          <w:p w14:paraId="22259D1A" w14:textId="5021F5EB" w:rsidR="00E45BE4" w:rsidRPr="007B0C80" w:rsidRDefault="00E45BE4" w:rsidP="00E45BE4">
            <w:pPr>
              <w:pStyle w:val="CETBodytext"/>
              <w:jc w:val="left"/>
              <w:rPr>
                <w:rFonts w:eastAsia="SimSun"/>
                <w:sz w:val="16"/>
                <w:szCs w:val="18"/>
              </w:rPr>
            </w:pPr>
            <w:proofErr w:type="spellStart"/>
            <w:r w:rsidRPr="007B0C80">
              <w:rPr>
                <w:rFonts w:eastAsia="SimSun"/>
                <w:i/>
                <w:iCs/>
                <w:sz w:val="16"/>
                <w:szCs w:val="18"/>
              </w:rPr>
              <w:t>D</w:t>
            </w:r>
            <w:r w:rsidRPr="007B0C80">
              <w:rPr>
                <w:rFonts w:eastAsia="SimSun"/>
                <w:i/>
                <w:iCs/>
                <w:sz w:val="16"/>
                <w:szCs w:val="18"/>
                <w:vertAlign w:val="subscript"/>
              </w:rPr>
              <w:t>f</w:t>
            </w:r>
            <w:proofErr w:type="spellEnd"/>
            <w:r w:rsidR="00CC3F53">
              <w:rPr>
                <w:rFonts w:eastAsia="SimSun"/>
                <w:i/>
                <w:iCs/>
                <w:sz w:val="16"/>
                <w:szCs w:val="18"/>
                <w:vertAlign w:val="subscript"/>
              </w:rPr>
              <w:t xml:space="preserve"> </w:t>
            </w:r>
            <w:r w:rsidRPr="007B0C80">
              <w:rPr>
                <w:rFonts w:eastAsia="SimSun"/>
                <w:sz w:val="16"/>
                <w:szCs w:val="18"/>
              </w:rPr>
              <w:t>-</w:t>
            </w:r>
            <w:r w:rsidR="00CC3F53">
              <w:rPr>
                <w:rFonts w:eastAsia="SimSun"/>
                <w:sz w:val="16"/>
                <w:szCs w:val="18"/>
              </w:rPr>
              <w:t xml:space="preserve"> </w:t>
            </w:r>
            <w:r w:rsidRPr="007B0C80">
              <w:rPr>
                <w:rFonts w:eastAsia="SimSun"/>
                <w:sz w:val="16"/>
                <w:szCs w:val="18"/>
              </w:rPr>
              <w:t>fractal dimension</w:t>
            </w:r>
          </w:p>
        </w:tc>
        <w:tc>
          <w:tcPr>
            <w:tcW w:w="4389" w:type="dxa"/>
          </w:tcPr>
          <w:p w14:paraId="1808C31E" w14:textId="4261F890" w:rsidR="00E45BE4" w:rsidRPr="007B0C80" w:rsidRDefault="00E45BE4" w:rsidP="00E45BE4">
            <w:pPr>
              <w:pStyle w:val="CETBodytext"/>
              <w:jc w:val="left"/>
              <w:rPr>
                <w:rFonts w:eastAsia="SimSun"/>
                <w:sz w:val="16"/>
                <w:szCs w:val="18"/>
              </w:rPr>
            </w:pPr>
            <w:r w:rsidRPr="007B0C80">
              <w:rPr>
                <w:rFonts w:eastAsia="SimSun"/>
                <w:sz w:val="16"/>
                <w:szCs w:val="18"/>
              </w:rPr>
              <w:t>TEM</w:t>
            </w:r>
            <w:r w:rsidR="00CC3F53">
              <w:rPr>
                <w:rFonts w:eastAsia="SimSun"/>
                <w:sz w:val="16"/>
                <w:szCs w:val="18"/>
              </w:rPr>
              <w:t xml:space="preserve"> </w:t>
            </w:r>
            <w:r w:rsidRPr="007B0C80">
              <w:rPr>
                <w:rFonts w:eastAsia="SimSun"/>
                <w:sz w:val="16"/>
                <w:szCs w:val="18"/>
              </w:rPr>
              <w:t>-</w:t>
            </w:r>
            <w:r w:rsidR="00CC3F53">
              <w:rPr>
                <w:rFonts w:eastAsia="SimSun"/>
                <w:sz w:val="16"/>
                <w:szCs w:val="18"/>
              </w:rPr>
              <w:t xml:space="preserve"> </w:t>
            </w:r>
            <w:r w:rsidRPr="007B0C80">
              <w:rPr>
                <w:rFonts w:eastAsia="SimSun"/>
                <w:sz w:val="16"/>
                <w:szCs w:val="18"/>
              </w:rPr>
              <w:t>Transmission Electric Microscop</w:t>
            </w:r>
            <w:r w:rsidR="00127CC2">
              <w:rPr>
                <w:rFonts w:eastAsia="SimSun"/>
                <w:sz w:val="16"/>
                <w:szCs w:val="18"/>
              </w:rPr>
              <w:t>y</w:t>
            </w:r>
          </w:p>
        </w:tc>
      </w:tr>
      <w:tr w:rsidR="00E45BE4" w:rsidRPr="007B0C80" w14:paraId="3E9D3BFF" w14:textId="77777777" w:rsidTr="000E2319">
        <w:tc>
          <w:tcPr>
            <w:tcW w:w="4388" w:type="dxa"/>
          </w:tcPr>
          <w:p w14:paraId="54CD64E2" w14:textId="41E41C1A" w:rsidR="00E45BE4" w:rsidRPr="007B0C80" w:rsidRDefault="00E45BE4" w:rsidP="00E45BE4">
            <w:pPr>
              <w:pStyle w:val="CETBodytext"/>
              <w:jc w:val="left"/>
              <w:rPr>
                <w:rFonts w:eastAsia="SimSun"/>
                <w:sz w:val="16"/>
                <w:szCs w:val="18"/>
              </w:rPr>
            </w:pPr>
            <w:r w:rsidRPr="007B0C80">
              <w:rPr>
                <w:rFonts w:eastAsia="SimSun"/>
                <w:i/>
                <w:iCs/>
                <w:sz w:val="16"/>
                <w:szCs w:val="18"/>
              </w:rPr>
              <w:t>n</w:t>
            </w:r>
            <w:r w:rsidRPr="007B0C80">
              <w:rPr>
                <w:rFonts w:eastAsia="SimSun"/>
                <w:i/>
                <w:iCs/>
                <w:sz w:val="16"/>
                <w:szCs w:val="18"/>
                <w:vertAlign w:val="subscript"/>
              </w:rPr>
              <w:t>p</w:t>
            </w:r>
            <w:r w:rsidRPr="007B0C80">
              <w:rPr>
                <w:rFonts w:eastAsia="SimSun"/>
                <w:sz w:val="16"/>
                <w:szCs w:val="18"/>
                <w:vertAlign w:val="subscript"/>
              </w:rPr>
              <w:t>0</w:t>
            </w:r>
            <w:r w:rsidR="00CC3F53">
              <w:rPr>
                <w:rFonts w:eastAsia="SimSun"/>
                <w:sz w:val="16"/>
                <w:szCs w:val="18"/>
                <w:vertAlign w:val="subscript"/>
              </w:rPr>
              <w:t xml:space="preserve"> </w:t>
            </w:r>
            <w:r w:rsidRPr="007B0C80">
              <w:rPr>
                <w:rFonts w:eastAsia="SimSun"/>
                <w:sz w:val="16"/>
                <w:szCs w:val="18"/>
              </w:rPr>
              <w:t>-</w:t>
            </w:r>
            <w:r w:rsidR="003B5F92">
              <w:rPr>
                <w:rFonts w:eastAsia="SimSun"/>
                <w:sz w:val="16"/>
                <w:szCs w:val="18"/>
              </w:rPr>
              <w:t xml:space="preserve">number of </w:t>
            </w:r>
            <w:r w:rsidRPr="007B0C80">
              <w:rPr>
                <w:rFonts w:eastAsia="SimSun"/>
                <w:sz w:val="16"/>
                <w:szCs w:val="18"/>
              </w:rPr>
              <w:t>primary particle</w:t>
            </w:r>
            <w:r w:rsidR="003B5F92">
              <w:rPr>
                <w:rFonts w:eastAsia="SimSun"/>
                <w:sz w:val="16"/>
                <w:szCs w:val="18"/>
              </w:rPr>
              <w:t>s</w:t>
            </w:r>
          </w:p>
        </w:tc>
        <w:tc>
          <w:tcPr>
            <w:tcW w:w="4389" w:type="dxa"/>
          </w:tcPr>
          <w:p w14:paraId="66A40D40" w14:textId="43897E95" w:rsidR="00E45BE4" w:rsidRPr="007B0C80" w:rsidRDefault="00E45BE4" w:rsidP="00E45BE4">
            <w:pPr>
              <w:pStyle w:val="CETHeadingxx"/>
              <w:rPr>
                <w:sz w:val="16"/>
                <w:szCs w:val="18"/>
              </w:rPr>
            </w:pPr>
            <w:r w:rsidRPr="007B0C80">
              <w:rPr>
                <w:rFonts w:eastAsia="SimSun"/>
                <w:sz w:val="16"/>
                <w:szCs w:val="18"/>
              </w:rPr>
              <w:t>HRTEM</w:t>
            </w:r>
            <w:r w:rsidR="00CC3F53">
              <w:rPr>
                <w:rFonts w:eastAsia="SimSun"/>
                <w:sz w:val="16"/>
                <w:szCs w:val="18"/>
              </w:rPr>
              <w:t xml:space="preserve"> </w:t>
            </w:r>
            <w:r w:rsidRPr="007B0C80">
              <w:rPr>
                <w:rFonts w:eastAsia="SimSun"/>
                <w:sz w:val="16"/>
                <w:szCs w:val="18"/>
              </w:rPr>
              <w:t>- High Resolution TEM</w:t>
            </w:r>
          </w:p>
        </w:tc>
      </w:tr>
    </w:tbl>
    <w:p w14:paraId="01FFD0F7" w14:textId="77777777" w:rsidR="00CA25EF" w:rsidRDefault="00CA25EF" w:rsidP="00F916AE">
      <w:pPr>
        <w:pStyle w:val="CETReference"/>
        <w:spacing w:before="120"/>
      </w:pPr>
      <w:r>
        <w:t>Acknowledgements</w:t>
      </w:r>
    </w:p>
    <w:p w14:paraId="0D65B7EC" w14:textId="04C6C5A6" w:rsidR="00CA25EF" w:rsidRPr="00CA25EF" w:rsidRDefault="00CA25EF" w:rsidP="00F916AE">
      <w:pPr>
        <w:pStyle w:val="CETReference"/>
        <w:spacing w:before="120"/>
        <w:rPr>
          <w:b w:val="0"/>
          <w:bCs/>
        </w:rPr>
      </w:pPr>
      <w:r w:rsidRPr="00CA25EF">
        <w:rPr>
          <w:b w:val="0"/>
          <w:bCs/>
        </w:rPr>
        <w:t>The Ministry of Science and Innovation from Spain is gratefully acknowledged by funding project RAD-SOOT (ref. PID 2019–109767RB-I00).</w:t>
      </w:r>
    </w:p>
    <w:p w14:paraId="4F1327F8" w14:textId="7DBB16C6" w:rsidR="00600535" w:rsidRPr="00B57B36" w:rsidRDefault="00600535" w:rsidP="00F916AE">
      <w:pPr>
        <w:pStyle w:val="CETReference"/>
        <w:spacing w:before="120"/>
      </w:pPr>
      <w:r w:rsidRPr="00B57B36">
        <w:t>References</w:t>
      </w:r>
    </w:p>
    <w:p w14:paraId="09652178" w14:textId="6C31A3A8" w:rsidR="006E782A" w:rsidRPr="0012405A" w:rsidRDefault="006E782A" w:rsidP="0012405A">
      <w:pPr>
        <w:pStyle w:val="CETReferencetext"/>
        <w:rPr>
          <w:sz w:val="14"/>
          <w:szCs w:val="14"/>
        </w:rPr>
      </w:pPr>
      <w:proofErr w:type="spellStart"/>
      <w:r w:rsidRPr="0012405A">
        <w:rPr>
          <w:sz w:val="14"/>
          <w:szCs w:val="14"/>
        </w:rPr>
        <w:t>Almanzalawy</w:t>
      </w:r>
      <w:proofErr w:type="spellEnd"/>
      <w:r w:rsidRPr="0012405A">
        <w:rPr>
          <w:sz w:val="14"/>
          <w:szCs w:val="14"/>
        </w:rPr>
        <w:t xml:space="preserve">, M.S., Elkady, M.F., Mori, S., </w:t>
      </w:r>
      <w:proofErr w:type="spellStart"/>
      <w:r w:rsidRPr="0012405A">
        <w:rPr>
          <w:sz w:val="14"/>
          <w:szCs w:val="14"/>
        </w:rPr>
        <w:t>Elwardany</w:t>
      </w:r>
      <w:proofErr w:type="spellEnd"/>
      <w:r w:rsidRPr="0012405A">
        <w:rPr>
          <w:sz w:val="14"/>
          <w:szCs w:val="14"/>
        </w:rPr>
        <w:t>, A.E. Quantification of soot nanostructure produced from</w:t>
      </w:r>
      <w:r w:rsidR="0012405A" w:rsidRPr="0012405A">
        <w:rPr>
          <w:sz w:val="14"/>
          <w:szCs w:val="14"/>
        </w:rPr>
        <w:t xml:space="preserve"> </w:t>
      </w:r>
      <w:r w:rsidRPr="0012405A">
        <w:rPr>
          <w:sz w:val="14"/>
          <w:szCs w:val="14"/>
        </w:rPr>
        <w:t xml:space="preserve">a diesel engine </w:t>
      </w:r>
      <w:proofErr w:type="spellStart"/>
      <w:r w:rsidRPr="0012405A">
        <w:rPr>
          <w:sz w:val="14"/>
          <w:szCs w:val="14"/>
        </w:rPr>
        <w:t>fueled</w:t>
      </w:r>
      <w:proofErr w:type="spellEnd"/>
      <w:r w:rsidRPr="0012405A">
        <w:rPr>
          <w:sz w:val="14"/>
          <w:szCs w:val="14"/>
        </w:rPr>
        <w:t xml:space="preserve"> with C3 ketone. Energy, 2781, (Article number 127790), 2023</w:t>
      </w:r>
      <w:r w:rsidR="00661C6E" w:rsidRPr="0012405A">
        <w:rPr>
          <w:sz w:val="14"/>
          <w:szCs w:val="14"/>
        </w:rPr>
        <w:t>.</w:t>
      </w:r>
      <w:r w:rsidR="0012405A" w:rsidRPr="0012405A">
        <w:rPr>
          <w:sz w:val="14"/>
          <w:szCs w:val="14"/>
        </w:rPr>
        <w:t xml:space="preserve"> </w:t>
      </w:r>
      <w:r w:rsidR="00572C65" w:rsidRPr="0012405A">
        <w:rPr>
          <w:sz w:val="14"/>
          <w:szCs w:val="14"/>
        </w:rPr>
        <w:t>https://doi.org/10.1016/j.energy.2023.127790</w:t>
      </w:r>
      <w:r w:rsidRPr="0012405A">
        <w:rPr>
          <w:sz w:val="14"/>
          <w:szCs w:val="14"/>
        </w:rPr>
        <w:t>.</w:t>
      </w:r>
    </w:p>
    <w:p w14:paraId="1961AC15" w14:textId="0651E06E" w:rsidR="00572C65" w:rsidRDefault="00572C65" w:rsidP="00572C65">
      <w:pPr>
        <w:pStyle w:val="CETReferencetext"/>
        <w:rPr>
          <w:sz w:val="14"/>
          <w:szCs w:val="14"/>
        </w:rPr>
      </w:pPr>
      <w:r w:rsidRPr="0012405A">
        <w:rPr>
          <w:sz w:val="14"/>
          <w:szCs w:val="14"/>
        </w:rPr>
        <w:t xml:space="preserve">Arora, P.A., Verma, P., Zare, A., Lodi, F., Jafari, M., Stevanovic, S., </w:t>
      </w:r>
      <w:proofErr w:type="spellStart"/>
      <w:r w:rsidRPr="0012405A">
        <w:rPr>
          <w:sz w:val="14"/>
          <w:szCs w:val="14"/>
        </w:rPr>
        <w:t>Bodisco</w:t>
      </w:r>
      <w:proofErr w:type="spellEnd"/>
      <w:r w:rsidRPr="0012405A">
        <w:rPr>
          <w:sz w:val="14"/>
          <w:szCs w:val="14"/>
        </w:rPr>
        <w:t xml:space="preserve">, T.A., Brown, R.J., Ristovski, Z. </w:t>
      </w:r>
      <w:proofErr w:type="gramStart"/>
      <w:r w:rsidRPr="0012405A">
        <w:rPr>
          <w:sz w:val="14"/>
          <w:szCs w:val="14"/>
        </w:rPr>
        <w:t>Morphology</w:t>
      </w:r>
      <w:proofErr w:type="gramEnd"/>
      <w:r w:rsidRPr="0012405A">
        <w:rPr>
          <w:sz w:val="14"/>
          <w:szCs w:val="14"/>
        </w:rPr>
        <w:t xml:space="preserve"> and nanostructure of soot particles from diesel engine under transient and steady-state operating conditions with a microalgae fuel component, dioctyl phthalate biofuel. Sustainable Energy Technologies and Assessments, 60, (Article number 103504), 2023. </w:t>
      </w:r>
      <w:hyperlink r:id="rId20" w:history="1">
        <w:r w:rsidR="004C34D0" w:rsidRPr="004C34D0">
          <w:rPr>
            <w:rStyle w:val="Collegamentoipertestuale"/>
            <w:color w:val="000000" w:themeColor="text1"/>
            <w:sz w:val="14"/>
            <w:szCs w:val="14"/>
            <w:u w:val="none"/>
          </w:rPr>
          <w:t>https://doi.org/10.1016/j.seta.2023.103504</w:t>
        </w:r>
      </w:hyperlink>
      <w:r w:rsidRPr="0012405A">
        <w:rPr>
          <w:sz w:val="14"/>
          <w:szCs w:val="14"/>
        </w:rPr>
        <w:t>.</w:t>
      </w:r>
    </w:p>
    <w:p w14:paraId="331076B8" w14:textId="4058DF30" w:rsidR="004C34D0" w:rsidRPr="004C34D0" w:rsidRDefault="004C34D0" w:rsidP="004C34D0">
      <w:pPr>
        <w:pStyle w:val="CETReferencetext"/>
        <w:rPr>
          <w:sz w:val="14"/>
          <w:szCs w:val="14"/>
          <w:lang w:val="en-US"/>
        </w:rPr>
      </w:pPr>
      <w:r>
        <w:rPr>
          <w:sz w:val="14"/>
          <w:szCs w:val="14"/>
        </w:rPr>
        <w:t xml:space="preserve">Atria, J.V., Rusinko Jr, F., Schobert, H.H. </w:t>
      </w:r>
      <w:r w:rsidRPr="004C34D0">
        <w:rPr>
          <w:sz w:val="14"/>
          <w:szCs w:val="14"/>
          <w:lang w:val="en-US"/>
        </w:rPr>
        <w:t>Structural ordering of</w:t>
      </w:r>
      <w:r>
        <w:rPr>
          <w:sz w:val="14"/>
          <w:szCs w:val="14"/>
          <w:lang w:val="en-US"/>
        </w:rPr>
        <w:t xml:space="preserve"> </w:t>
      </w:r>
      <w:r w:rsidRPr="004C34D0">
        <w:rPr>
          <w:sz w:val="14"/>
          <w:szCs w:val="14"/>
          <w:lang w:val="en-US"/>
        </w:rPr>
        <w:t>Pennsylvania anthracites on heat treatment to 2000-2900</w:t>
      </w:r>
      <w:r>
        <w:rPr>
          <w:sz w:val="14"/>
          <w:szCs w:val="14"/>
          <w:lang w:val="en-US"/>
        </w:rPr>
        <w:t xml:space="preserve"> ºC. </w:t>
      </w:r>
      <w:r w:rsidRPr="004C34D0">
        <w:rPr>
          <w:sz w:val="14"/>
          <w:szCs w:val="14"/>
          <w:lang w:val="en-US"/>
        </w:rPr>
        <w:t xml:space="preserve">Energy </w:t>
      </w:r>
      <w:r>
        <w:rPr>
          <w:sz w:val="14"/>
          <w:szCs w:val="14"/>
          <w:lang w:val="en-US"/>
        </w:rPr>
        <w:t xml:space="preserve">and </w:t>
      </w:r>
      <w:r w:rsidRPr="004C34D0">
        <w:rPr>
          <w:sz w:val="14"/>
          <w:szCs w:val="14"/>
          <w:lang w:val="en-US"/>
        </w:rPr>
        <w:t>Fuels 16</w:t>
      </w:r>
      <w:r>
        <w:rPr>
          <w:sz w:val="14"/>
          <w:szCs w:val="14"/>
          <w:lang w:val="en-US"/>
        </w:rPr>
        <w:t xml:space="preserve"> (6),</w:t>
      </w:r>
      <w:r w:rsidRPr="004C34D0">
        <w:rPr>
          <w:sz w:val="14"/>
          <w:szCs w:val="14"/>
          <w:lang w:val="en-US"/>
        </w:rPr>
        <w:t xml:space="preserve"> 1343–1347</w:t>
      </w:r>
      <w:r>
        <w:rPr>
          <w:sz w:val="14"/>
          <w:szCs w:val="14"/>
          <w:lang w:val="en-US"/>
        </w:rPr>
        <w:t xml:space="preserve">, 2002. </w:t>
      </w:r>
      <w:r w:rsidRPr="004C34D0">
        <w:rPr>
          <w:sz w:val="14"/>
          <w:szCs w:val="14"/>
          <w:lang w:val="en-US"/>
        </w:rPr>
        <w:t>https://doi.org/</w:t>
      </w:r>
      <w:hyperlink r:id="rId21" w:tgtFrame="_blank" w:history="1">
        <w:r w:rsidRPr="004C34D0">
          <w:rPr>
            <w:rStyle w:val="Collegamentoipertestuale"/>
            <w:color w:val="000000" w:themeColor="text1"/>
            <w:sz w:val="14"/>
            <w:szCs w:val="14"/>
            <w:u w:val="none"/>
          </w:rPr>
          <w:t>10.1021/ef010295h</w:t>
        </w:r>
      </w:hyperlink>
      <w:r>
        <w:rPr>
          <w:color w:val="000000" w:themeColor="text1"/>
          <w:sz w:val="14"/>
          <w:szCs w:val="14"/>
          <w:lang w:val="en-US"/>
        </w:rPr>
        <w:t>.</w:t>
      </w:r>
    </w:p>
    <w:p w14:paraId="71D332EE" w14:textId="2603B873" w:rsidR="00661C6E" w:rsidRPr="0012405A" w:rsidRDefault="006E782A" w:rsidP="006D735A">
      <w:pPr>
        <w:pStyle w:val="CETReferencetext"/>
        <w:rPr>
          <w:sz w:val="14"/>
          <w:szCs w:val="14"/>
        </w:rPr>
      </w:pPr>
      <w:r w:rsidRPr="0012405A">
        <w:rPr>
          <w:sz w:val="14"/>
          <w:szCs w:val="14"/>
        </w:rPr>
        <w:t xml:space="preserve">Chang, D., Li, J., Yang, Y., Gan, Z. Soot Morphology and Nanostructure Differences between Chinese Aviation Kerosene and Algae-Based Aviation Biofuel in Free Jet Laminar Diffusion Flames. ACS Omega, 12, 7 (14), 11560–11569, 2022. </w:t>
      </w:r>
      <w:r w:rsidR="00661C6E" w:rsidRPr="0012405A">
        <w:rPr>
          <w:sz w:val="14"/>
          <w:szCs w:val="14"/>
        </w:rPr>
        <w:t>https://doi.org/10.1021/acsomega.1c05125</w:t>
      </w:r>
      <w:r w:rsidRPr="0012405A">
        <w:rPr>
          <w:sz w:val="14"/>
          <w:szCs w:val="14"/>
        </w:rPr>
        <w:t>.</w:t>
      </w:r>
    </w:p>
    <w:p w14:paraId="20AA97E0" w14:textId="449D6AE5" w:rsidR="00572C65" w:rsidRPr="0012405A" w:rsidRDefault="00572C65" w:rsidP="00572C65">
      <w:pPr>
        <w:pStyle w:val="CETReferencetext"/>
        <w:rPr>
          <w:sz w:val="14"/>
          <w:szCs w:val="14"/>
        </w:rPr>
      </w:pPr>
      <w:r w:rsidRPr="0012405A">
        <w:rPr>
          <w:sz w:val="14"/>
          <w:szCs w:val="14"/>
        </w:rPr>
        <w:t xml:space="preserve">Collado, R., Monedero, E., Casero-Alonso, V.M., Rodríguez-Aragón, L.J., Hernández, J.J. Almond shells and exhausted olive cake as fuels for biomass domestic boilers: optimization, </w:t>
      </w:r>
      <w:proofErr w:type="gramStart"/>
      <w:r w:rsidRPr="0012405A">
        <w:rPr>
          <w:sz w:val="14"/>
          <w:szCs w:val="14"/>
        </w:rPr>
        <w:t>performance</w:t>
      </w:r>
      <w:proofErr w:type="gramEnd"/>
      <w:r w:rsidRPr="0012405A">
        <w:rPr>
          <w:sz w:val="14"/>
          <w:szCs w:val="14"/>
        </w:rPr>
        <w:t xml:space="preserve"> and pollutant emissions. Sustainability, 14, 7271, 2022. https://doi.org/10.3390/su1412727.</w:t>
      </w:r>
    </w:p>
    <w:p w14:paraId="02496291" w14:textId="6B6B85E5" w:rsidR="00572C65" w:rsidRPr="0012405A" w:rsidRDefault="00572C65" w:rsidP="00572C65">
      <w:pPr>
        <w:pStyle w:val="CETReferencetext"/>
        <w:rPr>
          <w:rFonts w:cs="Arial"/>
          <w:color w:val="222222"/>
          <w:sz w:val="14"/>
          <w:szCs w:val="14"/>
          <w:lang w:val="en-US"/>
        </w:rPr>
      </w:pPr>
      <w:r w:rsidRPr="0012405A">
        <w:rPr>
          <w:rStyle w:val="html-italic"/>
          <w:rFonts w:cs="Arial"/>
          <w:color w:val="222222"/>
          <w:sz w:val="14"/>
          <w:szCs w:val="14"/>
          <w:lang w:val="en-US"/>
        </w:rPr>
        <w:t>Directive (EU) 2018/2001 on the Promotion of the Use of Energy from Renewable Sources</w:t>
      </w:r>
      <w:r w:rsidRPr="0012405A">
        <w:rPr>
          <w:rFonts w:cs="Arial"/>
          <w:color w:val="222222"/>
          <w:sz w:val="14"/>
          <w:szCs w:val="14"/>
          <w:lang w:val="en-US"/>
        </w:rPr>
        <w:t>; 2018; pp. 141–144. Consolidated.https://eur-lex.europa.eu/legalcontent/EN/TXT/?uri=CELEX%3A02018L2001 20220607 (accessed on 28 November 2023).</w:t>
      </w:r>
    </w:p>
    <w:p w14:paraId="66A29267" w14:textId="09B96720" w:rsidR="009204AA" w:rsidRPr="0012405A" w:rsidRDefault="009204AA" w:rsidP="00572C65">
      <w:pPr>
        <w:pStyle w:val="CETReferencetext"/>
        <w:rPr>
          <w:rFonts w:cs="Arial"/>
          <w:color w:val="222222"/>
          <w:sz w:val="14"/>
          <w:szCs w:val="14"/>
          <w:lang w:val="en-US"/>
        </w:rPr>
      </w:pPr>
      <w:r w:rsidRPr="0012405A">
        <w:rPr>
          <w:rFonts w:cs="Arial"/>
          <w:color w:val="222222"/>
          <w:sz w:val="14"/>
          <w:szCs w:val="14"/>
          <w:lang w:val="en-US"/>
        </w:rPr>
        <w:t>EUROSTAT, 2021. Final energy consumption by sector. https://ec.europa.eu/eurostat/web/main/data/database (accessed on 11 December 2023)</w:t>
      </w:r>
    </w:p>
    <w:p w14:paraId="327A6E54" w14:textId="543AB4B0" w:rsidR="00572C65" w:rsidRPr="0012405A" w:rsidRDefault="00572C65" w:rsidP="0012405A">
      <w:pPr>
        <w:pStyle w:val="CETReferencetext"/>
        <w:rPr>
          <w:sz w:val="14"/>
          <w:szCs w:val="14"/>
        </w:rPr>
      </w:pPr>
      <w:r w:rsidRPr="0012405A">
        <w:rPr>
          <w:sz w:val="14"/>
          <w:szCs w:val="14"/>
        </w:rPr>
        <w:t>Lapuerta, M., Ballesteros, R., González-Correa, S. Relationships between morphology and optical properties of</w:t>
      </w:r>
      <w:r w:rsidR="0012405A" w:rsidRPr="0012405A">
        <w:rPr>
          <w:sz w:val="14"/>
          <w:szCs w:val="14"/>
        </w:rPr>
        <w:t xml:space="preserve"> </w:t>
      </w:r>
      <w:r w:rsidRPr="0012405A">
        <w:rPr>
          <w:sz w:val="14"/>
          <w:szCs w:val="14"/>
        </w:rPr>
        <w:t>vehicle-emitted soot. Journal of Aerosol Science, 174, (Article number 106261), 2023.</w:t>
      </w:r>
      <w:r w:rsidR="0012405A" w:rsidRPr="0012405A">
        <w:rPr>
          <w:sz w:val="14"/>
          <w:szCs w:val="14"/>
        </w:rPr>
        <w:t xml:space="preserve"> </w:t>
      </w:r>
      <w:r w:rsidRPr="0012405A">
        <w:rPr>
          <w:sz w:val="14"/>
          <w:szCs w:val="14"/>
        </w:rPr>
        <w:t>https://doi.org/10.1016/j.jaerosci.2023.106261.</w:t>
      </w:r>
    </w:p>
    <w:p w14:paraId="2C1814E9" w14:textId="42B1E882" w:rsidR="00572C65" w:rsidRPr="0012405A" w:rsidRDefault="00572C65" w:rsidP="00572C65">
      <w:pPr>
        <w:pStyle w:val="CETReferencetext"/>
        <w:rPr>
          <w:sz w:val="14"/>
          <w:szCs w:val="14"/>
        </w:rPr>
      </w:pPr>
      <w:r w:rsidRPr="0012405A">
        <w:rPr>
          <w:sz w:val="14"/>
          <w:szCs w:val="14"/>
        </w:rPr>
        <w:t>Lapuerta, M., Ballesteros, R., Martos, F.J. A method to determine the fractal dimension of diesel soot agglomerates. Journal of Colloid Interface Science, 303 (1), 149-158, 2006. https://doi.org/10.1016/j.jcis.2006.07.066.</w:t>
      </w:r>
    </w:p>
    <w:p w14:paraId="04F149E5" w14:textId="667B170B" w:rsidR="00572C65" w:rsidRPr="0012405A" w:rsidRDefault="00572C65" w:rsidP="00572C65">
      <w:pPr>
        <w:pStyle w:val="CETReferencetext"/>
        <w:rPr>
          <w:sz w:val="14"/>
          <w:szCs w:val="14"/>
          <w:lang w:val="en-US"/>
        </w:rPr>
      </w:pPr>
      <w:r w:rsidRPr="0012405A">
        <w:rPr>
          <w:sz w:val="14"/>
          <w:szCs w:val="14"/>
          <w:lang w:val="en-US"/>
        </w:rPr>
        <w:t xml:space="preserve">Monedero, E., Portero, H., Lapuerta, M. Combustion of poplar and pine pellet blends in a </w:t>
      </w:r>
      <w:proofErr w:type="gramStart"/>
      <w:r w:rsidRPr="0012405A">
        <w:rPr>
          <w:sz w:val="14"/>
          <w:szCs w:val="14"/>
          <w:lang w:val="en-US"/>
        </w:rPr>
        <w:t>50 kW</w:t>
      </w:r>
      <w:proofErr w:type="gramEnd"/>
      <w:r w:rsidRPr="0012405A">
        <w:rPr>
          <w:sz w:val="14"/>
          <w:szCs w:val="14"/>
          <w:lang w:val="en-US"/>
        </w:rPr>
        <w:t xml:space="preserve"> domestic boiler: Emissions and combustion efficiency. Energies, 11, 1580, 2018.</w:t>
      </w:r>
      <w:r w:rsidR="0012405A" w:rsidRPr="0012405A">
        <w:rPr>
          <w:sz w:val="14"/>
          <w:szCs w:val="14"/>
          <w:lang w:val="en-US"/>
        </w:rPr>
        <w:t xml:space="preserve"> </w:t>
      </w:r>
      <w:hyperlink r:id="rId22" w:history="1">
        <w:r w:rsidR="0012405A" w:rsidRPr="0012405A">
          <w:rPr>
            <w:rStyle w:val="Collegamentoipertestuale"/>
            <w:color w:val="auto"/>
            <w:sz w:val="14"/>
            <w:szCs w:val="14"/>
            <w:u w:val="none"/>
          </w:rPr>
          <w:t>https://doi.org/10.3390/en11061580</w:t>
        </w:r>
      </w:hyperlink>
      <w:r w:rsidR="0012405A" w:rsidRPr="0012405A">
        <w:rPr>
          <w:sz w:val="14"/>
          <w:szCs w:val="14"/>
          <w:lang w:val="en-US"/>
        </w:rPr>
        <w:t>.</w:t>
      </w:r>
    </w:p>
    <w:p w14:paraId="49AC802D" w14:textId="77777777" w:rsidR="00572C65" w:rsidRPr="0012405A" w:rsidRDefault="00572C65" w:rsidP="00572C65">
      <w:pPr>
        <w:pStyle w:val="CETReferencetext"/>
        <w:rPr>
          <w:rFonts w:cs="Arial"/>
          <w:color w:val="222222"/>
          <w:sz w:val="14"/>
          <w:szCs w:val="14"/>
          <w:shd w:val="clear" w:color="auto" w:fill="FFFFFF"/>
        </w:rPr>
      </w:pPr>
      <w:r w:rsidRPr="0012405A">
        <w:rPr>
          <w:rFonts w:cs="Arial"/>
          <w:color w:val="222222"/>
          <w:sz w:val="14"/>
          <w:szCs w:val="14"/>
          <w:shd w:val="clear" w:color="auto" w:fill="FFFFFF"/>
        </w:rPr>
        <w:t>Nussbaumer, T. Overview on technologies for biomass combustion and emission levels of particulate matter, 2010. Swiss Federal Office for the Environment (FOEN), Zürich, Switzerland.</w:t>
      </w:r>
    </w:p>
    <w:p w14:paraId="3A6886AB" w14:textId="77777777" w:rsidR="00572C65" w:rsidRPr="0012405A" w:rsidRDefault="00572C65" w:rsidP="00572C65">
      <w:pPr>
        <w:pStyle w:val="CETReferencetext"/>
        <w:rPr>
          <w:rFonts w:cs="Arial"/>
          <w:color w:val="222222"/>
          <w:sz w:val="14"/>
          <w:szCs w:val="14"/>
          <w:lang w:val="en-US"/>
        </w:rPr>
      </w:pPr>
      <w:r w:rsidRPr="0012405A">
        <w:rPr>
          <w:rFonts w:cs="Arial"/>
          <w:color w:val="222222"/>
          <w:sz w:val="14"/>
          <w:szCs w:val="14"/>
          <w:lang w:val="en-US"/>
        </w:rPr>
        <w:t xml:space="preserve">Nussbaumer, T. Aerosols from biomass combustion. Technical report on behalf of the IEA Bioenergy Task 32. (pp. 32), 2017. </w:t>
      </w:r>
      <w:proofErr w:type="spellStart"/>
      <w:r w:rsidRPr="0012405A">
        <w:rPr>
          <w:rFonts w:cs="Arial"/>
          <w:color w:val="222222"/>
          <w:sz w:val="14"/>
          <w:szCs w:val="14"/>
          <w:lang w:val="en-US"/>
        </w:rPr>
        <w:t>Verenum</w:t>
      </w:r>
      <w:proofErr w:type="spellEnd"/>
      <w:r w:rsidRPr="0012405A">
        <w:rPr>
          <w:rFonts w:cs="Arial"/>
          <w:color w:val="222222"/>
          <w:sz w:val="14"/>
          <w:szCs w:val="14"/>
          <w:lang w:val="en-US"/>
        </w:rPr>
        <w:t xml:space="preserve"> Research, Zurich, and Lucerne University of Applied Sciences and Arts, </w:t>
      </w:r>
      <w:proofErr w:type="spellStart"/>
      <w:r w:rsidRPr="0012405A">
        <w:rPr>
          <w:rFonts w:cs="Arial"/>
          <w:color w:val="222222"/>
          <w:sz w:val="14"/>
          <w:szCs w:val="14"/>
          <w:lang w:val="en-US"/>
        </w:rPr>
        <w:t>Horw</w:t>
      </w:r>
      <w:proofErr w:type="spellEnd"/>
      <w:r w:rsidRPr="0012405A">
        <w:rPr>
          <w:rFonts w:cs="Arial"/>
          <w:color w:val="222222"/>
          <w:sz w:val="14"/>
          <w:szCs w:val="14"/>
          <w:lang w:val="en-US"/>
        </w:rPr>
        <w:t>, Switzerland.</w:t>
      </w:r>
    </w:p>
    <w:p w14:paraId="24D96069" w14:textId="322F5BCC" w:rsidR="00412B47" w:rsidRPr="004C34D0" w:rsidRDefault="00412B47" w:rsidP="00572C65">
      <w:pPr>
        <w:pStyle w:val="CETReferencetext"/>
        <w:rPr>
          <w:rFonts w:cs="Arial"/>
          <w:color w:val="222222"/>
          <w:sz w:val="14"/>
          <w:szCs w:val="14"/>
          <w:lang w:val="en-US"/>
        </w:rPr>
      </w:pPr>
      <w:r w:rsidRPr="0012405A">
        <w:rPr>
          <w:rFonts w:cs="Arial"/>
          <w:color w:val="222222"/>
          <w:sz w:val="14"/>
          <w:szCs w:val="14"/>
          <w:lang w:val="en-US"/>
        </w:rPr>
        <w:t>Olfert, J., Rogak, S.</w:t>
      </w:r>
      <w:r w:rsidRPr="0012405A">
        <w:rPr>
          <w:rFonts w:cs="Arial"/>
          <w:color w:val="222222"/>
          <w:sz w:val="14"/>
          <w:szCs w:val="14"/>
        </w:rPr>
        <w:t xml:space="preserve"> Universal relations between soot effective density and primary particle size for common combustion sources. </w:t>
      </w:r>
      <w:r w:rsidRPr="004C34D0">
        <w:rPr>
          <w:rFonts w:cs="Arial"/>
          <w:color w:val="222222"/>
          <w:sz w:val="14"/>
          <w:szCs w:val="14"/>
          <w:lang w:val="en-US"/>
        </w:rPr>
        <w:t>Aerosol Science and Technology</w:t>
      </w:r>
      <w:r w:rsidRPr="004C34D0">
        <w:rPr>
          <w:rFonts w:cs="Arial"/>
          <w:b/>
          <w:bCs/>
          <w:color w:val="222222"/>
          <w:sz w:val="14"/>
          <w:szCs w:val="14"/>
          <w:lang w:val="en-US"/>
        </w:rPr>
        <w:t>,</w:t>
      </w:r>
      <w:r w:rsidRPr="004C34D0">
        <w:rPr>
          <w:rFonts w:cs="Arial"/>
          <w:color w:val="222222"/>
          <w:sz w:val="14"/>
          <w:szCs w:val="14"/>
          <w:lang w:val="en-US"/>
        </w:rPr>
        <w:t xml:space="preserve"> 485-492,</w:t>
      </w:r>
      <w:r w:rsidRPr="004C34D0">
        <w:rPr>
          <w:rFonts w:ascii="PT Serif" w:hAnsi="PT Serif"/>
          <w:b/>
          <w:bCs/>
          <w:color w:val="333333"/>
          <w:sz w:val="14"/>
          <w:szCs w:val="14"/>
          <w:shd w:val="clear" w:color="auto" w:fill="EEEEEE"/>
          <w:lang w:val="en-US"/>
        </w:rPr>
        <w:t xml:space="preserve"> </w:t>
      </w:r>
      <w:r w:rsidRPr="004C34D0">
        <w:rPr>
          <w:rFonts w:cs="Arial"/>
          <w:color w:val="222222"/>
          <w:sz w:val="14"/>
          <w:szCs w:val="14"/>
          <w:lang w:val="en-US"/>
        </w:rPr>
        <w:t>53, 5, 2019.</w:t>
      </w:r>
      <w:r w:rsidRPr="004C34D0">
        <w:rPr>
          <w:sz w:val="14"/>
          <w:szCs w:val="14"/>
          <w:lang w:val="en-US"/>
        </w:rPr>
        <w:t xml:space="preserve"> </w:t>
      </w:r>
      <w:r w:rsidRPr="004C34D0">
        <w:rPr>
          <w:rFonts w:cs="Arial"/>
          <w:color w:val="222222"/>
          <w:sz w:val="14"/>
          <w:szCs w:val="14"/>
          <w:lang w:val="en-US"/>
        </w:rPr>
        <w:t>https://doi.org/10.1080/02786826.2019.1577949</w:t>
      </w:r>
      <w:r w:rsidR="00756840" w:rsidRPr="004C34D0">
        <w:rPr>
          <w:rFonts w:cs="Arial"/>
          <w:color w:val="222222"/>
          <w:sz w:val="14"/>
          <w:szCs w:val="14"/>
          <w:lang w:val="en-US"/>
        </w:rPr>
        <w:t>.</w:t>
      </w:r>
    </w:p>
    <w:p w14:paraId="3A396A63" w14:textId="4075A040" w:rsidR="00572C65" w:rsidRPr="0012405A" w:rsidRDefault="00572C65" w:rsidP="00572C65">
      <w:pPr>
        <w:pStyle w:val="CETReferencetext"/>
        <w:rPr>
          <w:sz w:val="14"/>
          <w:szCs w:val="14"/>
        </w:rPr>
      </w:pPr>
      <w:r w:rsidRPr="004C34D0">
        <w:rPr>
          <w:sz w:val="14"/>
          <w:szCs w:val="14"/>
          <w:lang w:val="en-US"/>
        </w:rPr>
        <w:t xml:space="preserve">Patiño, D., Pérez-Orozco, R., Porteiro, J., Lapuerta, M.  </w:t>
      </w:r>
      <w:r w:rsidRPr="0012405A">
        <w:rPr>
          <w:sz w:val="14"/>
          <w:szCs w:val="14"/>
        </w:rPr>
        <w:t>Characterization of biomass PM emissions using thermophoretic sampling: Composition and morphological description of the carbonaceous residues. Journal of Aerosol Science, 127, 49-62, 2019. https://doi.org/10.1016/j.jaerosci.2018.10.005.</w:t>
      </w:r>
    </w:p>
    <w:p w14:paraId="3428FE03" w14:textId="4A677AD5" w:rsidR="00687006" w:rsidRPr="0012405A" w:rsidRDefault="00687006" w:rsidP="00572C65">
      <w:pPr>
        <w:pStyle w:val="CETReferencetext"/>
        <w:rPr>
          <w:sz w:val="14"/>
          <w:szCs w:val="14"/>
          <w:lang w:val="es-ES"/>
        </w:rPr>
      </w:pPr>
      <w:r w:rsidRPr="0012405A">
        <w:rPr>
          <w:noProof/>
          <w:sz w:val="14"/>
          <w:szCs w:val="14"/>
        </w:rPr>
        <w:t xml:space="preserve">Portero H (2018) Thesis: Experimental study of pellet production in a pilot plant and biomass combustion in a domestic boiler. </w:t>
      </w:r>
      <w:r w:rsidRPr="0012405A">
        <w:rPr>
          <w:noProof/>
          <w:sz w:val="14"/>
          <w:szCs w:val="14"/>
          <w:lang w:val="es-ES"/>
        </w:rPr>
        <w:t>Universidad de Castilla-La Mancha</w:t>
      </w:r>
      <w:r w:rsidR="0012405A">
        <w:rPr>
          <w:noProof/>
          <w:sz w:val="14"/>
          <w:szCs w:val="14"/>
          <w:lang w:val="es-ES"/>
        </w:rPr>
        <w:t>y.</w:t>
      </w:r>
    </w:p>
    <w:p w14:paraId="19B6EE4F" w14:textId="28228E0E" w:rsidR="00572C65" w:rsidRPr="0012405A" w:rsidRDefault="00572C65" w:rsidP="00572C65">
      <w:pPr>
        <w:pStyle w:val="CETReferencetext"/>
        <w:rPr>
          <w:sz w:val="14"/>
          <w:szCs w:val="14"/>
          <w:lang w:val="en-US"/>
        </w:rPr>
      </w:pPr>
      <w:r w:rsidRPr="0012405A">
        <w:rPr>
          <w:sz w:val="14"/>
          <w:szCs w:val="14"/>
          <w:lang w:val="es-ES"/>
        </w:rPr>
        <w:t xml:space="preserve">Serrano, C., Portero, H., Monedero, E. Pine chips </w:t>
      </w:r>
      <w:proofErr w:type="spellStart"/>
      <w:r w:rsidRPr="0012405A">
        <w:rPr>
          <w:sz w:val="14"/>
          <w:szCs w:val="14"/>
          <w:lang w:val="es-ES"/>
        </w:rPr>
        <w:t>combustion</w:t>
      </w:r>
      <w:proofErr w:type="spellEnd"/>
      <w:r w:rsidRPr="0012405A">
        <w:rPr>
          <w:sz w:val="14"/>
          <w:szCs w:val="14"/>
          <w:lang w:val="es-ES"/>
        </w:rPr>
        <w:t xml:space="preserve"> in a 50 kW </w:t>
      </w:r>
      <w:proofErr w:type="spellStart"/>
      <w:r w:rsidRPr="0012405A">
        <w:rPr>
          <w:sz w:val="14"/>
          <w:szCs w:val="14"/>
          <w:lang w:val="es-ES"/>
        </w:rPr>
        <w:t>domestic</w:t>
      </w:r>
      <w:proofErr w:type="spellEnd"/>
      <w:r w:rsidRPr="0012405A">
        <w:rPr>
          <w:sz w:val="14"/>
          <w:szCs w:val="14"/>
          <w:lang w:val="es-ES"/>
        </w:rPr>
        <w:t xml:space="preserve"> </w:t>
      </w:r>
      <w:proofErr w:type="spellStart"/>
      <w:r w:rsidRPr="0012405A">
        <w:rPr>
          <w:sz w:val="14"/>
          <w:szCs w:val="14"/>
          <w:lang w:val="es-ES"/>
        </w:rPr>
        <w:t>biomass</w:t>
      </w:r>
      <w:proofErr w:type="spellEnd"/>
      <w:r w:rsidRPr="0012405A">
        <w:rPr>
          <w:sz w:val="14"/>
          <w:szCs w:val="14"/>
          <w:lang w:val="es-ES"/>
        </w:rPr>
        <w:t xml:space="preserve"> boiler. </w:t>
      </w:r>
      <w:r w:rsidRPr="0012405A">
        <w:rPr>
          <w:sz w:val="14"/>
          <w:szCs w:val="14"/>
          <w:lang w:val="en-US"/>
        </w:rPr>
        <w:t>Fuel, 111, 564–573, 2013.</w:t>
      </w:r>
      <w:r w:rsidR="0012405A" w:rsidRPr="0012405A">
        <w:rPr>
          <w:sz w:val="14"/>
          <w:szCs w:val="14"/>
          <w:lang w:val="en-US"/>
        </w:rPr>
        <w:t xml:space="preserve"> </w:t>
      </w:r>
      <w:hyperlink r:id="rId23" w:tgtFrame="_blank" w:tooltip="Persistent link using digital object identifier" w:history="1">
        <w:r w:rsidR="0012405A" w:rsidRPr="0012405A">
          <w:rPr>
            <w:rStyle w:val="Collegamentoipertestuale"/>
            <w:color w:val="auto"/>
            <w:sz w:val="14"/>
            <w:szCs w:val="14"/>
            <w:u w:val="none"/>
          </w:rPr>
          <w:t>https://doi.org/10.1016/j.fuel.2013.02.068</w:t>
        </w:r>
      </w:hyperlink>
      <w:r w:rsidR="0012405A" w:rsidRPr="0012405A">
        <w:rPr>
          <w:sz w:val="14"/>
          <w:szCs w:val="14"/>
          <w:lang w:val="en-US"/>
        </w:rPr>
        <w:t>.</w:t>
      </w:r>
    </w:p>
    <w:p w14:paraId="2C9F7874" w14:textId="11BC0BFD" w:rsidR="006E782A" w:rsidRPr="0012405A" w:rsidRDefault="006E782A" w:rsidP="00572C65">
      <w:pPr>
        <w:pStyle w:val="CETReferencetext"/>
        <w:rPr>
          <w:sz w:val="14"/>
          <w:szCs w:val="14"/>
          <w:lang w:val="en-US"/>
        </w:rPr>
      </w:pPr>
      <w:r w:rsidRPr="0012405A">
        <w:rPr>
          <w:sz w:val="14"/>
          <w:szCs w:val="14"/>
        </w:rPr>
        <w:t xml:space="preserve">Trivanovic, U., Pereira Martins, M., Benz, S., Kelesidis, G. A., Pratsinis, S. E. Dynamics of soot surface growth and agglomeration by enclosed spray combustion of jet fuel.  </w:t>
      </w:r>
      <w:r w:rsidRPr="0012405A">
        <w:rPr>
          <w:sz w:val="14"/>
          <w:szCs w:val="14"/>
          <w:lang w:val="en-US"/>
        </w:rPr>
        <w:t xml:space="preserve">Fuel, 34215, (Article number 127864), 2023. </w:t>
      </w:r>
      <w:r w:rsidR="00BD2187" w:rsidRPr="0012405A">
        <w:rPr>
          <w:sz w:val="14"/>
          <w:szCs w:val="14"/>
          <w:lang w:val="en-US"/>
        </w:rPr>
        <w:t>https://doi.org/10.1016/j.fuel.2023.127864</w:t>
      </w:r>
      <w:r w:rsidRPr="0012405A">
        <w:rPr>
          <w:sz w:val="14"/>
          <w:szCs w:val="14"/>
          <w:lang w:val="en-US"/>
        </w:rPr>
        <w:t>.</w:t>
      </w:r>
    </w:p>
    <w:p w14:paraId="1FFAFE4C" w14:textId="7E0C196F" w:rsidR="000E72E2" w:rsidRPr="0012405A" w:rsidRDefault="00BD2187" w:rsidP="006D735A">
      <w:pPr>
        <w:pStyle w:val="CETReferencetext"/>
        <w:rPr>
          <w:rFonts w:cs="Arial"/>
          <w:strike/>
          <w:sz w:val="14"/>
          <w:szCs w:val="14"/>
          <w:lang w:val="en-US"/>
        </w:rPr>
      </w:pPr>
      <w:r w:rsidRPr="0012405A">
        <w:rPr>
          <w:sz w:val="14"/>
          <w:szCs w:val="14"/>
          <w:lang w:val="en-US"/>
        </w:rPr>
        <w:t>Vander Wal, R. L., Tomasek, A. J. Soot oxidation: dependence upon initial nanostructure. Combustion and Flame, 134 (1–2), 1-9, 2003. https://doi.org/10.1016/S0010-2180(03)00084-1.</w:t>
      </w:r>
    </w:p>
    <w:sectPr w:rsidR="000E72E2" w:rsidRPr="0012405A" w:rsidSect="00C22338">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73D73" w14:textId="77777777" w:rsidR="00C22338" w:rsidRDefault="00C22338" w:rsidP="004F5E36">
      <w:r>
        <w:separator/>
      </w:r>
    </w:p>
  </w:endnote>
  <w:endnote w:type="continuationSeparator" w:id="0">
    <w:p w14:paraId="371D8AA6" w14:textId="77777777" w:rsidR="00C22338" w:rsidRDefault="00C2233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PT Serif">
    <w:charset w:val="00"/>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7A945" w14:textId="77777777" w:rsidR="00C22338" w:rsidRDefault="00C22338" w:rsidP="004F5E36">
      <w:r>
        <w:separator/>
      </w:r>
    </w:p>
  </w:footnote>
  <w:footnote w:type="continuationSeparator" w:id="0">
    <w:p w14:paraId="1FFA5597" w14:textId="77777777" w:rsidR="00C22338" w:rsidRDefault="00C2233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39A79C8"/>
    <w:multiLevelType w:val="hybridMultilevel"/>
    <w:tmpl w:val="9FCCC360"/>
    <w:lvl w:ilvl="0" w:tplc="C9F44E7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43134A5"/>
    <w:multiLevelType w:val="hybridMultilevel"/>
    <w:tmpl w:val="B43AAC36"/>
    <w:lvl w:ilvl="0" w:tplc="EE304D9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E2F6C92"/>
    <w:multiLevelType w:val="hybridMultilevel"/>
    <w:tmpl w:val="4C606F32"/>
    <w:lvl w:ilvl="0" w:tplc="E52C7642">
      <w:start w:val="1"/>
      <w:numFmt w:val="lowerLetter"/>
      <w:lvlText w:val="(%1)"/>
      <w:lvlJc w:val="left"/>
      <w:pPr>
        <w:ind w:left="1965" w:hanging="360"/>
      </w:pPr>
      <w:rPr>
        <w:rFonts w:hint="default"/>
      </w:rPr>
    </w:lvl>
    <w:lvl w:ilvl="1" w:tplc="0C0A0019" w:tentative="1">
      <w:start w:val="1"/>
      <w:numFmt w:val="lowerLetter"/>
      <w:lvlText w:val="%2."/>
      <w:lvlJc w:val="left"/>
      <w:pPr>
        <w:ind w:left="2685" w:hanging="360"/>
      </w:pPr>
    </w:lvl>
    <w:lvl w:ilvl="2" w:tplc="0C0A001B" w:tentative="1">
      <w:start w:val="1"/>
      <w:numFmt w:val="lowerRoman"/>
      <w:lvlText w:val="%3."/>
      <w:lvlJc w:val="right"/>
      <w:pPr>
        <w:ind w:left="3405" w:hanging="180"/>
      </w:pPr>
    </w:lvl>
    <w:lvl w:ilvl="3" w:tplc="0C0A000F" w:tentative="1">
      <w:start w:val="1"/>
      <w:numFmt w:val="decimal"/>
      <w:lvlText w:val="%4."/>
      <w:lvlJc w:val="left"/>
      <w:pPr>
        <w:ind w:left="4125" w:hanging="360"/>
      </w:pPr>
    </w:lvl>
    <w:lvl w:ilvl="4" w:tplc="0C0A0019" w:tentative="1">
      <w:start w:val="1"/>
      <w:numFmt w:val="lowerLetter"/>
      <w:lvlText w:val="%5."/>
      <w:lvlJc w:val="left"/>
      <w:pPr>
        <w:ind w:left="4845" w:hanging="360"/>
      </w:pPr>
    </w:lvl>
    <w:lvl w:ilvl="5" w:tplc="0C0A001B" w:tentative="1">
      <w:start w:val="1"/>
      <w:numFmt w:val="lowerRoman"/>
      <w:lvlText w:val="%6."/>
      <w:lvlJc w:val="right"/>
      <w:pPr>
        <w:ind w:left="5565" w:hanging="180"/>
      </w:pPr>
    </w:lvl>
    <w:lvl w:ilvl="6" w:tplc="0C0A000F" w:tentative="1">
      <w:start w:val="1"/>
      <w:numFmt w:val="decimal"/>
      <w:lvlText w:val="%7."/>
      <w:lvlJc w:val="left"/>
      <w:pPr>
        <w:ind w:left="6285" w:hanging="360"/>
      </w:pPr>
    </w:lvl>
    <w:lvl w:ilvl="7" w:tplc="0C0A0019" w:tentative="1">
      <w:start w:val="1"/>
      <w:numFmt w:val="lowerLetter"/>
      <w:lvlText w:val="%8."/>
      <w:lvlJc w:val="left"/>
      <w:pPr>
        <w:ind w:left="7005" w:hanging="360"/>
      </w:pPr>
    </w:lvl>
    <w:lvl w:ilvl="8" w:tplc="0C0A001B" w:tentative="1">
      <w:start w:val="1"/>
      <w:numFmt w:val="lowerRoman"/>
      <w:lvlText w:val="%9."/>
      <w:lvlJc w:val="right"/>
      <w:pPr>
        <w:ind w:left="7725" w:hanging="18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7E04BE1"/>
    <w:multiLevelType w:val="multilevel"/>
    <w:tmpl w:val="76F6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56C7FCB"/>
    <w:multiLevelType w:val="hybridMultilevel"/>
    <w:tmpl w:val="51662BA4"/>
    <w:lvl w:ilvl="0" w:tplc="6038E1C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DBC132C"/>
    <w:multiLevelType w:val="hybridMultilevel"/>
    <w:tmpl w:val="F77284CE"/>
    <w:lvl w:ilvl="0" w:tplc="BF5E052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6143696"/>
    <w:multiLevelType w:val="hybridMultilevel"/>
    <w:tmpl w:val="044899CC"/>
    <w:lvl w:ilvl="0" w:tplc="D12E7D8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2"/>
  </w:num>
  <w:num w:numId="13" w16cid:durableId="695733619">
    <w:abstractNumId w:val="15"/>
  </w:num>
  <w:num w:numId="14" w16cid:durableId="145903400">
    <w:abstractNumId w:val="23"/>
  </w:num>
  <w:num w:numId="15" w16cid:durableId="19162326">
    <w:abstractNumId w:val="25"/>
  </w:num>
  <w:num w:numId="16" w16cid:durableId="1977102699">
    <w:abstractNumId w:val="24"/>
  </w:num>
  <w:num w:numId="17" w16cid:durableId="860774865">
    <w:abstractNumId w:val="14"/>
  </w:num>
  <w:num w:numId="18" w16cid:durableId="313221457">
    <w:abstractNumId w:val="15"/>
    <w:lvlOverride w:ilvl="0">
      <w:startOverride w:val="1"/>
    </w:lvlOverride>
  </w:num>
  <w:num w:numId="19" w16cid:durableId="534971577">
    <w:abstractNumId w:val="21"/>
  </w:num>
  <w:num w:numId="20" w16cid:durableId="1150947773">
    <w:abstractNumId w:val="20"/>
  </w:num>
  <w:num w:numId="21" w16cid:durableId="124660497">
    <w:abstractNumId w:val="18"/>
  </w:num>
  <w:num w:numId="22" w16cid:durableId="2099861471">
    <w:abstractNumId w:val="17"/>
  </w:num>
  <w:num w:numId="23" w16cid:durableId="2047413798">
    <w:abstractNumId w:val="13"/>
  </w:num>
  <w:num w:numId="24" w16cid:durableId="1568683627">
    <w:abstractNumId w:val="27"/>
  </w:num>
  <w:num w:numId="25" w16cid:durableId="1683697974">
    <w:abstractNumId w:val="16"/>
  </w:num>
  <w:num w:numId="26" w16cid:durableId="831288857">
    <w:abstractNumId w:val="26"/>
  </w:num>
  <w:num w:numId="27" w16cid:durableId="1629698616">
    <w:abstractNumId w:val="19"/>
  </w:num>
  <w:num w:numId="28" w16cid:durableId="101345873">
    <w:abstractNumId w:val="11"/>
  </w:num>
  <w:num w:numId="29" w16cid:durableId="860806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3CD"/>
    <w:rsid w:val="000027C0"/>
    <w:rsid w:val="00002F3F"/>
    <w:rsid w:val="000052FB"/>
    <w:rsid w:val="000117CB"/>
    <w:rsid w:val="00015DD1"/>
    <w:rsid w:val="00027939"/>
    <w:rsid w:val="0003148D"/>
    <w:rsid w:val="00031EEC"/>
    <w:rsid w:val="00036DB2"/>
    <w:rsid w:val="000441E1"/>
    <w:rsid w:val="00044C1E"/>
    <w:rsid w:val="00051566"/>
    <w:rsid w:val="000562A9"/>
    <w:rsid w:val="00062A9A"/>
    <w:rsid w:val="00065058"/>
    <w:rsid w:val="00086C39"/>
    <w:rsid w:val="00095044"/>
    <w:rsid w:val="000A03B2"/>
    <w:rsid w:val="000C0F5E"/>
    <w:rsid w:val="000C5E58"/>
    <w:rsid w:val="000D0268"/>
    <w:rsid w:val="000D34BE"/>
    <w:rsid w:val="000D5523"/>
    <w:rsid w:val="000E0207"/>
    <w:rsid w:val="000E08EB"/>
    <w:rsid w:val="000E102F"/>
    <w:rsid w:val="000E2319"/>
    <w:rsid w:val="000E36F1"/>
    <w:rsid w:val="000E3A73"/>
    <w:rsid w:val="000E414A"/>
    <w:rsid w:val="000E72E2"/>
    <w:rsid w:val="000E7719"/>
    <w:rsid w:val="000F093C"/>
    <w:rsid w:val="000F787B"/>
    <w:rsid w:val="000F79E4"/>
    <w:rsid w:val="00104DBC"/>
    <w:rsid w:val="00111F3B"/>
    <w:rsid w:val="0012091F"/>
    <w:rsid w:val="0012405A"/>
    <w:rsid w:val="00126BC2"/>
    <w:rsid w:val="00127CC2"/>
    <w:rsid w:val="001308B6"/>
    <w:rsid w:val="0013121F"/>
    <w:rsid w:val="00131FE6"/>
    <w:rsid w:val="0013263F"/>
    <w:rsid w:val="001331DF"/>
    <w:rsid w:val="00134DE4"/>
    <w:rsid w:val="0014034D"/>
    <w:rsid w:val="00144D16"/>
    <w:rsid w:val="00150CBE"/>
    <w:rsid w:val="00150E59"/>
    <w:rsid w:val="00152DE3"/>
    <w:rsid w:val="00154FBC"/>
    <w:rsid w:val="00155544"/>
    <w:rsid w:val="00156F74"/>
    <w:rsid w:val="00164CD7"/>
    <w:rsid w:val="00164CF9"/>
    <w:rsid w:val="001667A6"/>
    <w:rsid w:val="00180316"/>
    <w:rsid w:val="00181172"/>
    <w:rsid w:val="00184AD6"/>
    <w:rsid w:val="001A3ABE"/>
    <w:rsid w:val="001A4AF7"/>
    <w:rsid w:val="001B0349"/>
    <w:rsid w:val="001B1E93"/>
    <w:rsid w:val="001B65C1"/>
    <w:rsid w:val="001C0538"/>
    <w:rsid w:val="001C684B"/>
    <w:rsid w:val="001D0CFB"/>
    <w:rsid w:val="001D21AF"/>
    <w:rsid w:val="001D2B11"/>
    <w:rsid w:val="001D53FC"/>
    <w:rsid w:val="001F42A5"/>
    <w:rsid w:val="001F7B9D"/>
    <w:rsid w:val="00201C93"/>
    <w:rsid w:val="0020358B"/>
    <w:rsid w:val="00220C79"/>
    <w:rsid w:val="002224B4"/>
    <w:rsid w:val="00241A10"/>
    <w:rsid w:val="002447EF"/>
    <w:rsid w:val="00251550"/>
    <w:rsid w:val="00263B05"/>
    <w:rsid w:val="0027221A"/>
    <w:rsid w:val="002740E1"/>
    <w:rsid w:val="002755AD"/>
    <w:rsid w:val="00275B61"/>
    <w:rsid w:val="00277B6E"/>
    <w:rsid w:val="00280FAF"/>
    <w:rsid w:val="00281CF2"/>
    <w:rsid w:val="00282656"/>
    <w:rsid w:val="00283B73"/>
    <w:rsid w:val="00296B83"/>
    <w:rsid w:val="002A30E4"/>
    <w:rsid w:val="002A3142"/>
    <w:rsid w:val="002B4015"/>
    <w:rsid w:val="002B78CE"/>
    <w:rsid w:val="002C2FB6"/>
    <w:rsid w:val="002D6FBA"/>
    <w:rsid w:val="002E024B"/>
    <w:rsid w:val="002E5FA7"/>
    <w:rsid w:val="002E7096"/>
    <w:rsid w:val="002F3309"/>
    <w:rsid w:val="002F4482"/>
    <w:rsid w:val="003008CE"/>
    <w:rsid w:val="003009B7"/>
    <w:rsid w:val="00300E56"/>
    <w:rsid w:val="0030118B"/>
    <w:rsid w:val="0030152C"/>
    <w:rsid w:val="003031D6"/>
    <w:rsid w:val="00303F1A"/>
    <w:rsid w:val="0030469C"/>
    <w:rsid w:val="00304B20"/>
    <w:rsid w:val="00307067"/>
    <w:rsid w:val="00313654"/>
    <w:rsid w:val="00321CA6"/>
    <w:rsid w:val="00323763"/>
    <w:rsid w:val="00323C5F"/>
    <w:rsid w:val="003341D2"/>
    <w:rsid w:val="00334C09"/>
    <w:rsid w:val="003369CC"/>
    <w:rsid w:val="003463A5"/>
    <w:rsid w:val="003534D3"/>
    <w:rsid w:val="003629F5"/>
    <w:rsid w:val="003723D4"/>
    <w:rsid w:val="00381905"/>
    <w:rsid w:val="00382F00"/>
    <w:rsid w:val="00384CC8"/>
    <w:rsid w:val="003871FD"/>
    <w:rsid w:val="003A1E30"/>
    <w:rsid w:val="003A2829"/>
    <w:rsid w:val="003A2C8C"/>
    <w:rsid w:val="003A6FC6"/>
    <w:rsid w:val="003A7A24"/>
    <w:rsid w:val="003A7D1C"/>
    <w:rsid w:val="003B304B"/>
    <w:rsid w:val="003B3146"/>
    <w:rsid w:val="003B5F92"/>
    <w:rsid w:val="003C7020"/>
    <w:rsid w:val="003E05A8"/>
    <w:rsid w:val="003F015E"/>
    <w:rsid w:val="003F6C26"/>
    <w:rsid w:val="00400414"/>
    <w:rsid w:val="00412B47"/>
    <w:rsid w:val="0041446B"/>
    <w:rsid w:val="004202C5"/>
    <w:rsid w:val="00422D9E"/>
    <w:rsid w:val="0044071E"/>
    <w:rsid w:val="0044329C"/>
    <w:rsid w:val="00453E24"/>
    <w:rsid w:val="00457456"/>
    <w:rsid w:val="004577FE"/>
    <w:rsid w:val="004578AC"/>
    <w:rsid w:val="00457B9C"/>
    <w:rsid w:val="0046164A"/>
    <w:rsid w:val="004628D2"/>
    <w:rsid w:val="00462DCD"/>
    <w:rsid w:val="00463F81"/>
    <w:rsid w:val="004648AD"/>
    <w:rsid w:val="004703A9"/>
    <w:rsid w:val="004760DE"/>
    <w:rsid w:val="004761E9"/>
    <w:rsid w:val="004763D7"/>
    <w:rsid w:val="004945A6"/>
    <w:rsid w:val="00497375"/>
    <w:rsid w:val="004A004E"/>
    <w:rsid w:val="004A24CF"/>
    <w:rsid w:val="004B2313"/>
    <w:rsid w:val="004C34D0"/>
    <w:rsid w:val="004C3D1D"/>
    <w:rsid w:val="004C3D84"/>
    <w:rsid w:val="004C7913"/>
    <w:rsid w:val="004D3794"/>
    <w:rsid w:val="004D37D4"/>
    <w:rsid w:val="004E4DD6"/>
    <w:rsid w:val="004F5655"/>
    <w:rsid w:val="004F5E36"/>
    <w:rsid w:val="00507B47"/>
    <w:rsid w:val="00507BEF"/>
    <w:rsid w:val="00507CC9"/>
    <w:rsid w:val="005119A5"/>
    <w:rsid w:val="00516AAC"/>
    <w:rsid w:val="005278B7"/>
    <w:rsid w:val="00532016"/>
    <w:rsid w:val="005346C8"/>
    <w:rsid w:val="00543E7D"/>
    <w:rsid w:val="00547A68"/>
    <w:rsid w:val="0055090E"/>
    <w:rsid w:val="005531C9"/>
    <w:rsid w:val="00555F4E"/>
    <w:rsid w:val="005626B0"/>
    <w:rsid w:val="00570C43"/>
    <w:rsid w:val="0057121B"/>
    <w:rsid w:val="005723A6"/>
    <w:rsid w:val="00572C65"/>
    <w:rsid w:val="00573361"/>
    <w:rsid w:val="00575E01"/>
    <w:rsid w:val="005B2110"/>
    <w:rsid w:val="005B61E6"/>
    <w:rsid w:val="005C16E1"/>
    <w:rsid w:val="005C213B"/>
    <w:rsid w:val="005C77E1"/>
    <w:rsid w:val="005D2EE8"/>
    <w:rsid w:val="005D668A"/>
    <w:rsid w:val="005D6A2F"/>
    <w:rsid w:val="005E1A82"/>
    <w:rsid w:val="005E794C"/>
    <w:rsid w:val="005F0A28"/>
    <w:rsid w:val="005F0E5E"/>
    <w:rsid w:val="00600535"/>
    <w:rsid w:val="00610CD6"/>
    <w:rsid w:val="00620DEE"/>
    <w:rsid w:val="00621F92"/>
    <w:rsid w:val="0062280A"/>
    <w:rsid w:val="00625639"/>
    <w:rsid w:val="00631B33"/>
    <w:rsid w:val="00636F3A"/>
    <w:rsid w:val="0064184D"/>
    <w:rsid w:val="006422CC"/>
    <w:rsid w:val="0065666C"/>
    <w:rsid w:val="00660E3E"/>
    <w:rsid w:val="00661C6E"/>
    <w:rsid w:val="00662E74"/>
    <w:rsid w:val="00680C23"/>
    <w:rsid w:val="00687006"/>
    <w:rsid w:val="00693766"/>
    <w:rsid w:val="00693BD9"/>
    <w:rsid w:val="006A23E9"/>
    <w:rsid w:val="006A3281"/>
    <w:rsid w:val="006A368C"/>
    <w:rsid w:val="006B238B"/>
    <w:rsid w:val="006B4888"/>
    <w:rsid w:val="006C2E45"/>
    <w:rsid w:val="006C359C"/>
    <w:rsid w:val="006C509C"/>
    <w:rsid w:val="006C5579"/>
    <w:rsid w:val="006C7868"/>
    <w:rsid w:val="006D6E8B"/>
    <w:rsid w:val="006D735A"/>
    <w:rsid w:val="006E737D"/>
    <w:rsid w:val="006E782A"/>
    <w:rsid w:val="00700C16"/>
    <w:rsid w:val="00703CFB"/>
    <w:rsid w:val="00713973"/>
    <w:rsid w:val="00720A24"/>
    <w:rsid w:val="0073196D"/>
    <w:rsid w:val="00732386"/>
    <w:rsid w:val="0073514D"/>
    <w:rsid w:val="007432D6"/>
    <w:rsid w:val="007447F3"/>
    <w:rsid w:val="0075499F"/>
    <w:rsid w:val="00756840"/>
    <w:rsid w:val="00761AE6"/>
    <w:rsid w:val="007661C8"/>
    <w:rsid w:val="007673E7"/>
    <w:rsid w:val="0077098D"/>
    <w:rsid w:val="00773B92"/>
    <w:rsid w:val="00774559"/>
    <w:rsid w:val="00782BCE"/>
    <w:rsid w:val="00790CD5"/>
    <w:rsid w:val="007931FA"/>
    <w:rsid w:val="00793F33"/>
    <w:rsid w:val="00796351"/>
    <w:rsid w:val="00797C5E"/>
    <w:rsid w:val="007A07AF"/>
    <w:rsid w:val="007A1585"/>
    <w:rsid w:val="007A4861"/>
    <w:rsid w:val="007A7BBA"/>
    <w:rsid w:val="007B0C50"/>
    <w:rsid w:val="007B0C80"/>
    <w:rsid w:val="007B18DB"/>
    <w:rsid w:val="007B48F9"/>
    <w:rsid w:val="007C1A43"/>
    <w:rsid w:val="007D0951"/>
    <w:rsid w:val="007F13CE"/>
    <w:rsid w:val="0080013E"/>
    <w:rsid w:val="00801577"/>
    <w:rsid w:val="0080661A"/>
    <w:rsid w:val="008071AE"/>
    <w:rsid w:val="00813288"/>
    <w:rsid w:val="008168FC"/>
    <w:rsid w:val="00817AB6"/>
    <w:rsid w:val="0082109F"/>
    <w:rsid w:val="00830186"/>
    <w:rsid w:val="00830996"/>
    <w:rsid w:val="008345F1"/>
    <w:rsid w:val="00840981"/>
    <w:rsid w:val="00843EAC"/>
    <w:rsid w:val="008450CB"/>
    <w:rsid w:val="008609C7"/>
    <w:rsid w:val="00865B07"/>
    <w:rsid w:val="008667EA"/>
    <w:rsid w:val="0087200E"/>
    <w:rsid w:val="0087637F"/>
    <w:rsid w:val="00892AD5"/>
    <w:rsid w:val="00894DD9"/>
    <w:rsid w:val="008A1512"/>
    <w:rsid w:val="008A1B42"/>
    <w:rsid w:val="008B104B"/>
    <w:rsid w:val="008B7C03"/>
    <w:rsid w:val="008C1827"/>
    <w:rsid w:val="008C3E8E"/>
    <w:rsid w:val="008C7AF4"/>
    <w:rsid w:val="008D07F4"/>
    <w:rsid w:val="008D27E5"/>
    <w:rsid w:val="008D32B9"/>
    <w:rsid w:val="008D433B"/>
    <w:rsid w:val="008D4A16"/>
    <w:rsid w:val="008E566E"/>
    <w:rsid w:val="008E59F3"/>
    <w:rsid w:val="00900E93"/>
    <w:rsid w:val="0090161A"/>
    <w:rsid w:val="00901EB6"/>
    <w:rsid w:val="00902EDA"/>
    <w:rsid w:val="00904C62"/>
    <w:rsid w:val="00907E2F"/>
    <w:rsid w:val="009204AA"/>
    <w:rsid w:val="00922BA8"/>
    <w:rsid w:val="00924DAC"/>
    <w:rsid w:val="00927058"/>
    <w:rsid w:val="0092705E"/>
    <w:rsid w:val="00942750"/>
    <w:rsid w:val="009450CE"/>
    <w:rsid w:val="009459BB"/>
    <w:rsid w:val="00947179"/>
    <w:rsid w:val="0095164B"/>
    <w:rsid w:val="00954090"/>
    <w:rsid w:val="009573E7"/>
    <w:rsid w:val="0096178A"/>
    <w:rsid w:val="00963E05"/>
    <w:rsid w:val="00964A45"/>
    <w:rsid w:val="00965778"/>
    <w:rsid w:val="00967843"/>
    <w:rsid w:val="00967D54"/>
    <w:rsid w:val="00971028"/>
    <w:rsid w:val="00993B84"/>
    <w:rsid w:val="00996483"/>
    <w:rsid w:val="00996F5A"/>
    <w:rsid w:val="009B041A"/>
    <w:rsid w:val="009B42AC"/>
    <w:rsid w:val="009B7C19"/>
    <w:rsid w:val="009C37C3"/>
    <w:rsid w:val="009C5BFB"/>
    <w:rsid w:val="009C7C86"/>
    <w:rsid w:val="009D1542"/>
    <w:rsid w:val="009D2FF7"/>
    <w:rsid w:val="009E39E9"/>
    <w:rsid w:val="009E7354"/>
    <w:rsid w:val="009E7884"/>
    <w:rsid w:val="009E788A"/>
    <w:rsid w:val="009F0E08"/>
    <w:rsid w:val="00A01504"/>
    <w:rsid w:val="00A1763D"/>
    <w:rsid w:val="00A17CEC"/>
    <w:rsid w:val="00A23204"/>
    <w:rsid w:val="00A27EF0"/>
    <w:rsid w:val="00A42361"/>
    <w:rsid w:val="00A50B20"/>
    <w:rsid w:val="00A51390"/>
    <w:rsid w:val="00A520D2"/>
    <w:rsid w:val="00A60D13"/>
    <w:rsid w:val="00A7223D"/>
    <w:rsid w:val="00A72745"/>
    <w:rsid w:val="00A7637C"/>
    <w:rsid w:val="00A76EFC"/>
    <w:rsid w:val="00A83A4B"/>
    <w:rsid w:val="00A87D50"/>
    <w:rsid w:val="00A91010"/>
    <w:rsid w:val="00A97F29"/>
    <w:rsid w:val="00AA1C47"/>
    <w:rsid w:val="00AA3089"/>
    <w:rsid w:val="00AA702E"/>
    <w:rsid w:val="00AA7D26"/>
    <w:rsid w:val="00AB0964"/>
    <w:rsid w:val="00AB5011"/>
    <w:rsid w:val="00AB5C7A"/>
    <w:rsid w:val="00AC7368"/>
    <w:rsid w:val="00AC7407"/>
    <w:rsid w:val="00AD16B9"/>
    <w:rsid w:val="00AE2542"/>
    <w:rsid w:val="00AE31E1"/>
    <w:rsid w:val="00AE377D"/>
    <w:rsid w:val="00AF0EBA"/>
    <w:rsid w:val="00B02C8A"/>
    <w:rsid w:val="00B03D93"/>
    <w:rsid w:val="00B10406"/>
    <w:rsid w:val="00B15EBF"/>
    <w:rsid w:val="00B17316"/>
    <w:rsid w:val="00B17FBD"/>
    <w:rsid w:val="00B315A6"/>
    <w:rsid w:val="00B31813"/>
    <w:rsid w:val="00B32CA4"/>
    <w:rsid w:val="00B33365"/>
    <w:rsid w:val="00B57B36"/>
    <w:rsid w:val="00B57E6F"/>
    <w:rsid w:val="00B8686D"/>
    <w:rsid w:val="00B93F69"/>
    <w:rsid w:val="00B950D3"/>
    <w:rsid w:val="00B965CA"/>
    <w:rsid w:val="00BA1CBF"/>
    <w:rsid w:val="00BB1DDC"/>
    <w:rsid w:val="00BB50B0"/>
    <w:rsid w:val="00BC30C9"/>
    <w:rsid w:val="00BC41A6"/>
    <w:rsid w:val="00BD077D"/>
    <w:rsid w:val="00BD2187"/>
    <w:rsid w:val="00BE3E58"/>
    <w:rsid w:val="00BE4112"/>
    <w:rsid w:val="00BF2CD8"/>
    <w:rsid w:val="00BF42D1"/>
    <w:rsid w:val="00BF727B"/>
    <w:rsid w:val="00C01616"/>
    <w:rsid w:val="00C0162B"/>
    <w:rsid w:val="00C0559C"/>
    <w:rsid w:val="00C068ED"/>
    <w:rsid w:val="00C22338"/>
    <w:rsid w:val="00C22E0C"/>
    <w:rsid w:val="00C25A38"/>
    <w:rsid w:val="00C345B1"/>
    <w:rsid w:val="00C40142"/>
    <w:rsid w:val="00C4165A"/>
    <w:rsid w:val="00C44A1F"/>
    <w:rsid w:val="00C50169"/>
    <w:rsid w:val="00C52C3C"/>
    <w:rsid w:val="00C57182"/>
    <w:rsid w:val="00C57863"/>
    <w:rsid w:val="00C63A86"/>
    <w:rsid w:val="00C640AF"/>
    <w:rsid w:val="00C64E3D"/>
    <w:rsid w:val="00C655FD"/>
    <w:rsid w:val="00C75407"/>
    <w:rsid w:val="00C840DC"/>
    <w:rsid w:val="00C8442C"/>
    <w:rsid w:val="00C870A8"/>
    <w:rsid w:val="00C94434"/>
    <w:rsid w:val="00CA0D4A"/>
    <w:rsid w:val="00CA0D75"/>
    <w:rsid w:val="00CA1C95"/>
    <w:rsid w:val="00CA25EF"/>
    <w:rsid w:val="00CA5A9C"/>
    <w:rsid w:val="00CA6DF9"/>
    <w:rsid w:val="00CB7435"/>
    <w:rsid w:val="00CC3F53"/>
    <w:rsid w:val="00CC4C20"/>
    <w:rsid w:val="00CD3517"/>
    <w:rsid w:val="00CD5FE2"/>
    <w:rsid w:val="00CE0A60"/>
    <w:rsid w:val="00CE7C68"/>
    <w:rsid w:val="00D02B4C"/>
    <w:rsid w:val="00D040C4"/>
    <w:rsid w:val="00D1460C"/>
    <w:rsid w:val="00D20AD1"/>
    <w:rsid w:val="00D46B7E"/>
    <w:rsid w:val="00D47915"/>
    <w:rsid w:val="00D57C84"/>
    <w:rsid w:val="00D6057D"/>
    <w:rsid w:val="00D648EC"/>
    <w:rsid w:val="00D71640"/>
    <w:rsid w:val="00D7724B"/>
    <w:rsid w:val="00D836C5"/>
    <w:rsid w:val="00D84576"/>
    <w:rsid w:val="00DA1399"/>
    <w:rsid w:val="00DA24C6"/>
    <w:rsid w:val="00DA4D7B"/>
    <w:rsid w:val="00DB3233"/>
    <w:rsid w:val="00DD271C"/>
    <w:rsid w:val="00DE264A"/>
    <w:rsid w:val="00DF5072"/>
    <w:rsid w:val="00E02D18"/>
    <w:rsid w:val="00E041E7"/>
    <w:rsid w:val="00E23CA1"/>
    <w:rsid w:val="00E33DD7"/>
    <w:rsid w:val="00E409A8"/>
    <w:rsid w:val="00E41E26"/>
    <w:rsid w:val="00E45BE4"/>
    <w:rsid w:val="00E50C12"/>
    <w:rsid w:val="00E54C0D"/>
    <w:rsid w:val="00E65B91"/>
    <w:rsid w:val="00E7209D"/>
    <w:rsid w:val="00E72EAD"/>
    <w:rsid w:val="00E77223"/>
    <w:rsid w:val="00E8528B"/>
    <w:rsid w:val="00E85B94"/>
    <w:rsid w:val="00E96F8B"/>
    <w:rsid w:val="00E978D0"/>
    <w:rsid w:val="00EA4613"/>
    <w:rsid w:val="00EA7F91"/>
    <w:rsid w:val="00EB1523"/>
    <w:rsid w:val="00EC0E49"/>
    <w:rsid w:val="00EC101F"/>
    <w:rsid w:val="00EC17EC"/>
    <w:rsid w:val="00EC1D9F"/>
    <w:rsid w:val="00EC4731"/>
    <w:rsid w:val="00ED26A4"/>
    <w:rsid w:val="00EE0131"/>
    <w:rsid w:val="00EE17B0"/>
    <w:rsid w:val="00EE2397"/>
    <w:rsid w:val="00EE2C74"/>
    <w:rsid w:val="00EF06D9"/>
    <w:rsid w:val="00F21583"/>
    <w:rsid w:val="00F3049E"/>
    <w:rsid w:val="00F30C64"/>
    <w:rsid w:val="00F32BA2"/>
    <w:rsid w:val="00F32CDB"/>
    <w:rsid w:val="00F34511"/>
    <w:rsid w:val="00F565FE"/>
    <w:rsid w:val="00F63A70"/>
    <w:rsid w:val="00F63D8C"/>
    <w:rsid w:val="00F7534E"/>
    <w:rsid w:val="00F916AE"/>
    <w:rsid w:val="00F93820"/>
    <w:rsid w:val="00F93EDF"/>
    <w:rsid w:val="00FA1802"/>
    <w:rsid w:val="00FA21D0"/>
    <w:rsid w:val="00FA336F"/>
    <w:rsid w:val="00FA5F5F"/>
    <w:rsid w:val="00FB6B5E"/>
    <w:rsid w:val="00FB730C"/>
    <w:rsid w:val="00FB750C"/>
    <w:rsid w:val="00FC2695"/>
    <w:rsid w:val="00FC3E03"/>
    <w:rsid w:val="00FC3FC1"/>
    <w:rsid w:val="00FD35F7"/>
    <w:rsid w:val="00FD517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150CB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8C1827"/>
    <w:pPr>
      <w:keepNext/>
      <w:suppressAutoHyphens/>
      <w:spacing w:after="0" w:line="264" w:lineRule="auto"/>
      <w:jc w:val="both"/>
    </w:pPr>
    <w:rPr>
      <w:rFonts w:ascii="Arial" w:eastAsia="Times New Roman" w:hAnsi="Arial" w:cs="Times New Roman"/>
      <w:bCs/>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8C1827"/>
    <w:rPr>
      <w:rFonts w:ascii="Arial" w:eastAsia="Times New Roman" w:hAnsi="Arial" w:cs="Times New Roman"/>
      <w:bCs/>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val="0"/>
      <w:bCs/>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661C6E"/>
    <w:rPr>
      <w:color w:val="605E5C"/>
      <w:shd w:val="clear" w:color="auto" w:fill="E1DFDD"/>
    </w:rPr>
  </w:style>
  <w:style w:type="paragraph" w:customStyle="1" w:styleId="html-x">
    <w:name w:val="html-x"/>
    <w:basedOn w:val="Normale"/>
    <w:rsid w:val="004945A6"/>
    <w:pPr>
      <w:tabs>
        <w:tab w:val="clear" w:pos="7100"/>
      </w:tabs>
      <w:spacing w:before="100" w:beforeAutospacing="1" w:after="100" w:afterAutospacing="1" w:line="240" w:lineRule="auto"/>
      <w:jc w:val="left"/>
    </w:pPr>
    <w:rPr>
      <w:rFonts w:ascii="Times New Roman" w:hAnsi="Times New Roman"/>
      <w:sz w:val="24"/>
      <w:szCs w:val="24"/>
      <w:lang w:val="es-ES" w:eastAsia="es-ES"/>
    </w:rPr>
  </w:style>
  <w:style w:type="character" w:customStyle="1" w:styleId="html-italic">
    <w:name w:val="html-italic"/>
    <w:basedOn w:val="Carpredefinitoparagrafo"/>
    <w:rsid w:val="004945A6"/>
  </w:style>
  <w:style w:type="character" w:customStyle="1" w:styleId="cf01">
    <w:name w:val="cf01"/>
    <w:basedOn w:val="Carpredefinitoparagrafo"/>
    <w:rsid w:val="00C64E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16225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9882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486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dx.doi.org/10.1021/ef010295h"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doi.org/10.1016/j.seta.2023.1035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doi.org/10.1016/j.fuel.2013.02.068" TargetMode="Externa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oi.org/10.3390/en1106158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3188</Words>
  <Characters>18172</Characters>
  <Application>Microsoft Office Word</Application>
  <DocSecurity>0</DocSecurity>
  <Lines>151</Lines>
  <Paragraphs>42</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cp:lastPrinted>2023-12-01T09:26:00Z</cp:lastPrinted>
  <dcterms:created xsi:type="dcterms:W3CDTF">2024-03-07T08:34:00Z</dcterms:created>
  <dcterms:modified xsi:type="dcterms:W3CDTF">2024-03-07T08:34:00Z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