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41E3D"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D41E3D" w:rsidRDefault="000A03B2" w:rsidP="00DE264A">
            <w:pPr>
              <w:tabs>
                <w:tab w:val="left" w:pos="-108"/>
              </w:tabs>
              <w:ind w:left="-108"/>
              <w:jc w:val="left"/>
              <w:rPr>
                <w:rFonts w:cs="Arial"/>
                <w:b/>
                <w:bCs/>
                <w:i/>
                <w:iCs/>
                <w:color w:val="000066"/>
                <w:sz w:val="12"/>
                <w:szCs w:val="12"/>
                <w:lang w:eastAsia="it-IT"/>
              </w:rPr>
            </w:pPr>
            <w:r w:rsidRPr="00D41E3D">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41E3D">
              <w:rPr>
                <w:rFonts w:ascii="AdvP6960" w:hAnsi="AdvP6960" w:cs="AdvP6960"/>
                <w:color w:val="241F20"/>
                <w:szCs w:val="18"/>
                <w:lang w:eastAsia="it-IT"/>
              </w:rPr>
              <w:t xml:space="preserve"> </w:t>
            </w:r>
            <w:r w:rsidRPr="00D41E3D">
              <w:rPr>
                <w:rFonts w:cs="Arial"/>
                <w:b/>
                <w:bCs/>
                <w:i/>
                <w:iCs/>
                <w:color w:val="000066"/>
                <w:sz w:val="24"/>
                <w:szCs w:val="24"/>
                <w:lang w:eastAsia="it-IT"/>
              </w:rPr>
              <w:t>CHEMICAL ENGINEERING</w:t>
            </w:r>
            <w:r w:rsidRPr="00D41E3D">
              <w:rPr>
                <w:rFonts w:cs="Arial"/>
                <w:b/>
                <w:bCs/>
                <w:i/>
                <w:iCs/>
                <w:color w:val="0033FF"/>
                <w:sz w:val="24"/>
                <w:szCs w:val="24"/>
                <w:lang w:eastAsia="it-IT"/>
              </w:rPr>
              <w:t xml:space="preserve"> </w:t>
            </w:r>
            <w:r w:rsidRPr="00D41E3D">
              <w:rPr>
                <w:rFonts w:cs="Arial"/>
                <w:b/>
                <w:bCs/>
                <w:i/>
                <w:iCs/>
                <w:color w:val="666666"/>
                <w:sz w:val="24"/>
                <w:szCs w:val="24"/>
                <w:lang w:eastAsia="it-IT"/>
              </w:rPr>
              <w:t>TRANSACTIONS</w:t>
            </w:r>
            <w:r w:rsidRPr="00D41E3D">
              <w:rPr>
                <w:color w:val="333333"/>
                <w:sz w:val="24"/>
                <w:szCs w:val="24"/>
                <w:lang w:eastAsia="it-IT"/>
              </w:rPr>
              <w:t xml:space="preserve"> </w:t>
            </w:r>
            <w:r w:rsidRPr="00D41E3D">
              <w:rPr>
                <w:rFonts w:cs="Arial"/>
                <w:b/>
                <w:bCs/>
                <w:i/>
                <w:iCs/>
                <w:color w:val="000066"/>
                <w:sz w:val="27"/>
                <w:szCs w:val="27"/>
                <w:lang w:eastAsia="it-IT"/>
              </w:rPr>
              <w:br/>
            </w:r>
          </w:p>
          <w:p w14:paraId="4B780582" w14:textId="1381D578" w:rsidR="000A03B2" w:rsidRPr="00D41E3D" w:rsidRDefault="00A76EFC" w:rsidP="001D21AF">
            <w:pPr>
              <w:tabs>
                <w:tab w:val="left" w:pos="-108"/>
              </w:tabs>
              <w:ind w:left="-108"/>
              <w:rPr>
                <w:rFonts w:cs="Arial"/>
                <w:b/>
                <w:bCs/>
                <w:i/>
                <w:iCs/>
                <w:color w:val="000066"/>
                <w:sz w:val="22"/>
                <w:szCs w:val="22"/>
                <w:lang w:eastAsia="it-IT"/>
              </w:rPr>
            </w:pPr>
            <w:r w:rsidRPr="00D41E3D">
              <w:rPr>
                <w:rFonts w:cs="Arial"/>
                <w:b/>
                <w:bCs/>
                <w:i/>
                <w:iCs/>
                <w:color w:val="000066"/>
                <w:sz w:val="22"/>
                <w:szCs w:val="22"/>
                <w:lang w:eastAsia="it-IT"/>
              </w:rPr>
              <w:t>VOL.</w:t>
            </w:r>
            <w:r w:rsidR="00843EAC" w:rsidRPr="00D41E3D">
              <w:rPr>
                <w:rFonts w:cs="Arial"/>
                <w:b/>
                <w:bCs/>
                <w:i/>
                <w:iCs/>
                <w:color w:val="000066"/>
                <w:sz w:val="22"/>
                <w:szCs w:val="22"/>
                <w:lang w:eastAsia="it-IT"/>
              </w:rPr>
              <w:t xml:space="preserve">   </w:t>
            </w:r>
            <w:proofErr w:type="gramStart"/>
            <w:r w:rsidR="00843EAC" w:rsidRPr="00D41E3D">
              <w:rPr>
                <w:rFonts w:cs="Arial"/>
                <w:b/>
                <w:bCs/>
                <w:i/>
                <w:iCs/>
                <w:color w:val="000066"/>
                <w:sz w:val="22"/>
                <w:szCs w:val="22"/>
                <w:lang w:eastAsia="it-IT"/>
              </w:rPr>
              <w:t xml:space="preserve"> </w:t>
            </w:r>
            <w:r w:rsidR="004761E9" w:rsidRPr="00D41E3D">
              <w:rPr>
                <w:rFonts w:cs="Arial"/>
                <w:b/>
                <w:bCs/>
                <w:i/>
                <w:iCs/>
                <w:color w:val="000066"/>
                <w:sz w:val="22"/>
                <w:szCs w:val="22"/>
                <w:lang w:eastAsia="it-IT"/>
              </w:rPr>
              <w:t xml:space="preserve"> </w:t>
            </w:r>
            <w:r w:rsidR="007B48F9" w:rsidRPr="00D41E3D">
              <w:rPr>
                <w:rFonts w:cs="Arial"/>
                <w:b/>
                <w:bCs/>
                <w:i/>
                <w:iCs/>
                <w:color w:val="000066"/>
                <w:sz w:val="22"/>
                <w:szCs w:val="22"/>
                <w:lang w:eastAsia="it-IT"/>
              </w:rPr>
              <w:t>,</w:t>
            </w:r>
            <w:proofErr w:type="gramEnd"/>
            <w:r w:rsidR="00FA5F5F" w:rsidRPr="00D41E3D">
              <w:rPr>
                <w:rFonts w:cs="Arial"/>
                <w:b/>
                <w:bCs/>
                <w:i/>
                <w:iCs/>
                <w:color w:val="000066"/>
                <w:sz w:val="22"/>
                <w:szCs w:val="22"/>
                <w:lang w:eastAsia="it-IT"/>
              </w:rPr>
              <w:t xml:space="preserve"> </w:t>
            </w:r>
            <w:r w:rsidR="0030152C" w:rsidRPr="00D41E3D">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D41E3D" w:rsidRDefault="000A03B2" w:rsidP="00CD5FE2">
            <w:pPr>
              <w:spacing w:line="140" w:lineRule="atLeast"/>
              <w:jc w:val="right"/>
              <w:rPr>
                <w:rFonts w:cs="Arial"/>
                <w:sz w:val="14"/>
                <w:szCs w:val="14"/>
              </w:rPr>
            </w:pPr>
            <w:r w:rsidRPr="00D41E3D">
              <w:rPr>
                <w:rFonts w:cs="Arial"/>
                <w:sz w:val="14"/>
                <w:szCs w:val="14"/>
              </w:rPr>
              <w:t>A publication of</w:t>
            </w:r>
          </w:p>
          <w:p w14:paraId="599E5441" w14:textId="77777777" w:rsidR="000A03B2" w:rsidRPr="00D41E3D" w:rsidRDefault="000A03B2" w:rsidP="00CD5FE2">
            <w:pPr>
              <w:jc w:val="right"/>
            </w:pPr>
            <w:r w:rsidRPr="00D41E3D">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41E3D" w14:paraId="380FA3CD" w14:textId="77777777" w:rsidTr="00DE264A">
        <w:trPr>
          <w:trHeight w:val="567"/>
          <w:jc w:val="center"/>
        </w:trPr>
        <w:tc>
          <w:tcPr>
            <w:tcW w:w="6946" w:type="dxa"/>
            <w:vMerge/>
            <w:tcBorders>
              <w:right w:val="single" w:sz="4" w:space="0" w:color="auto"/>
            </w:tcBorders>
          </w:tcPr>
          <w:p w14:paraId="39E5E4C1" w14:textId="77777777" w:rsidR="000A03B2" w:rsidRPr="00D41E3D"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D41E3D" w:rsidRDefault="000A03B2" w:rsidP="00CD5FE2">
            <w:pPr>
              <w:spacing w:line="140" w:lineRule="atLeast"/>
              <w:jc w:val="right"/>
              <w:rPr>
                <w:rFonts w:cs="Arial"/>
                <w:sz w:val="14"/>
                <w:szCs w:val="14"/>
              </w:rPr>
            </w:pPr>
            <w:r w:rsidRPr="00D41E3D">
              <w:rPr>
                <w:rFonts w:cs="Arial"/>
                <w:sz w:val="14"/>
                <w:szCs w:val="14"/>
              </w:rPr>
              <w:t>The Italian Association</w:t>
            </w:r>
          </w:p>
          <w:p w14:paraId="7522B1D2" w14:textId="77777777" w:rsidR="000A03B2" w:rsidRPr="00D41E3D" w:rsidRDefault="000A03B2" w:rsidP="00CD5FE2">
            <w:pPr>
              <w:spacing w:line="140" w:lineRule="atLeast"/>
              <w:jc w:val="right"/>
              <w:rPr>
                <w:rFonts w:cs="Arial"/>
                <w:sz w:val="14"/>
                <w:szCs w:val="14"/>
              </w:rPr>
            </w:pPr>
            <w:r w:rsidRPr="00D41E3D">
              <w:rPr>
                <w:rFonts w:cs="Arial"/>
                <w:sz w:val="14"/>
                <w:szCs w:val="14"/>
              </w:rPr>
              <w:t>of Chemical Engineering</w:t>
            </w:r>
          </w:p>
          <w:p w14:paraId="4F0CC5DE" w14:textId="47FDB2FC" w:rsidR="000A03B2" w:rsidRPr="00D41E3D" w:rsidRDefault="000D0268" w:rsidP="00CD5FE2">
            <w:pPr>
              <w:spacing w:line="140" w:lineRule="atLeast"/>
              <w:jc w:val="right"/>
              <w:rPr>
                <w:rFonts w:cs="Arial"/>
                <w:sz w:val="13"/>
                <w:szCs w:val="13"/>
              </w:rPr>
            </w:pPr>
            <w:r w:rsidRPr="00D41E3D">
              <w:rPr>
                <w:rFonts w:cs="Arial"/>
                <w:sz w:val="13"/>
                <w:szCs w:val="13"/>
              </w:rPr>
              <w:t>Online at www.cetjournal.it</w:t>
            </w:r>
          </w:p>
        </w:tc>
      </w:tr>
      <w:tr w:rsidR="000A03B2" w:rsidRPr="00D41E3D" w14:paraId="2D1B7169" w14:textId="77777777" w:rsidTr="00DE264A">
        <w:trPr>
          <w:trHeight w:val="68"/>
          <w:jc w:val="center"/>
        </w:trPr>
        <w:tc>
          <w:tcPr>
            <w:tcW w:w="8789" w:type="dxa"/>
            <w:gridSpan w:val="2"/>
          </w:tcPr>
          <w:p w14:paraId="1D8DD3C9" w14:textId="475D992A" w:rsidR="00AA7D26" w:rsidRPr="00D41E3D" w:rsidRDefault="00AA7D26" w:rsidP="00AA7D26">
            <w:pPr>
              <w:ind w:left="-107"/>
              <w:outlineLvl w:val="2"/>
              <w:rPr>
                <w:rFonts w:ascii="Tahoma" w:hAnsi="Tahoma" w:cs="Tahoma"/>
                <w:bCs/>
                <w:color w:val="000000"/>
                <w:sz w:val="14"/>
                <w:szCs w:val="14"/>
                <w:lang w:eastAsia="it-IT"/>
              </w:rPr>
            </w:pPr>
            <w:r w:rsidRPr="00D41E3D">
              <w:rPr>
                <w:rFonts w:ascii="Tahoma" w:hAnsi="Tahoma" w:cs="Tahoma"/>
                <w:iCs/>
                <w:color w:val="333333"/>
                <w:sz w:val="14"/>
                <w:szCs w:val="14"/>
                <w:lang w:eastAsia="it-IT"/>
              </w:rPr>
              <w:t>Guest Editors:</w:t>
            </w:r>
            <w:r w:rsidRPr="00D41E3D">
              <w:rPr>
                <w:rFonts w:ascii="Tahoma" w:hAnsi="Tahoma" w:cs="Tahoma"/>
                <w:color w:val="000000"/>
                <w:sz w:val="14"/>
                <w:szCs w:val="14"/>
                <w:shd w:val="clear" w:color="auto" w:fill="FFFFFF"/>
              </w:rPr>
              <w:t xml:space="preserve"> </w:t>
            </w:r>
            <w:r w:rsidR="006A23E9" w:rsidRPr="00D41E3D">
              <w:rPr>
                <w:rFonts w:ascii="Tahoma" w:hAnsi="Tahoma" w:cs="Tahoma"/>
                <w:color w:val="000000"/>
                <w:sz w:val="14"/>
                <w:szCs w:val="14"/>
                <w:shd w:val="clear" w:color="auto" w:fill="FFFFFF"/>
              </w:rPr>
              <w:t xml:space="preserve">Leonardo Tognotti, </w:t>
            </w:r>
            <w:r w:rsidR="006A23E9" w:rsidRPr="00D41E3D">
              <w:rPr>
                <w:rFonts w:ascii="Tahoma" w:hAnsi="Tahoma" w:cs="Tahoma"/>
                <w:color w:val="000000"/>
                <w:sz w:val="14"/>
                <w:szCs w:val="14"/>
              </w:rPr>
              <w:t>Rubens Maciel Filho</w:t>
            </w:r>
            <w:r w:rsidR="006A23E9" w:rsidRPr="00D41E3D">
              <w:rPr>
                <w:rFonts w:ascii="Tahoma" w:hAnsi="Tahoma" w:cs="Tahoma"/>
                <w:color w:val="000000"/>
                <w:sz w:val="14"/>
                <w:szCs w:val="14"/>
                <w:shd w:val="clear" w:color="auto" w:fill="FFFFFF"/>
              </w:rPr>
              <w:t xml:space="preserve">, </w:t>
            </w:r>
            <w:r w:rsidR="006A23E9" w:rsidRPr="00D41E3D">
              <w:rPr>
                <w:rFonts w:ascii="Tahoma" w:hAnsi="Tahoma" w:cs="Tahoma"/>
                <w:color w:val="000000"/>
                <w:sz w:val="14"/>
                <w:szCs w:val="14"/>
              </w:rPr>
              <w:t>Viatcheslav Kafarov</w:t>
            </w:r>
          </w:p>
          <w:p w14:paraId="1B0F1814" w14:textId="78121263" w:rsidR="000A03B2" w:rsidRPr="00D41E3D" w:rsidRDefault="00AA7D26" w:rsidP="00AA7D26">
            <w:pPr>
              <w:tabs>
                <w:tab w:val="left" w:pos="-108"/>
              </w:tabs>
              <w:spacing w:line="140" w:lineRule="atLeast"/>
              <w:ind w:left="-107"/>
              <w:jc w:val="left"/>
            </w:pPr>
            <w:r w:rsidRPr="00D41E3D">
              <w:rPr>
                <w:rFonts w:ascii="Tahoma" w:hAnsi="Tahoma" w:cs="Tahoma"/>
                <w:iCs/>
                <w:color w:val="333333"/>
                <w:sz w:val="14"/>
                <w:szCs w:val="14"/>
                <w:lang w:eastAsia="it-IT"/>
              </w:rPr>
              <w:t>Copyright © 202</w:t>
            </w:r>
            <w:r w:rsidR="00843EAC" w:rsidRPr="00D41E3D">
              <w:rPr>
                <w:rFonts w:ascii="Tahoma" w:hAnsi="Tahoma" w:cs="Tahoma"/>
                <w:iCs/>
                <w:color w:val="333333"/>
                <w:sz w:val="14"/>
                <w:szCs w:val="14"/>
                <w:lang w:eastAsia="it-IT"/>
              </w:rPr>
              <w:t>4</w:t>
            </w:r>
            <w:r w:rsidRPr="00D41E3D">
              <w:rPr>
                <w:rFonts w:ascii="Tahoma" w:hAnsi="Tahoma" w:cs="Tahoma"/>
                <w:iCs/>
                <w:color w:val="333333"/>
                <w:sz w:val="14"/>
                <w:szCs w:val="14"/>
                <w:lang w:eastAsia="it-IT"/>
              </w:rPr>
              <w:t>, AIDIC Servizi S.r.l.</w:t>
            </w:r>
            <w:r w:rsidRPr="00D41E3D">
              <w:rPr>
                <w:rFonts w:ascii="Tahoma" w:hAnsi="Tahoma" w:cs="Tahoma"/>
                <w:iCs/>
                <w:color w:val="333333"/>
                <w:sz w:val="14"/>
                <w:szCs w:val="14"/>
                <w:lang w:eastAsia="it-IT"/>
              </w:rPr>
              <w:br/>
            </w:r>
            <w:r w:rsidRPr="00D41E3D">
              <w:rPr>
                <w:rFonts w:ascii="Tahoma" w:hAnsi="Tahoma" w:cs="Tahoma"/>
                <w:b/>
                <w:iCs/>
                <w:color w:val="000000"/>
                <w:sz w:val="14"/>
                <w:szCs w:val="14"/>
                <w:lang w:eastAsia="it-IT"/>
              </w:rPr>
              <w:t>ISBN</w:t>
            </w:r>
            <w:r w:rsidRPr="00D41E3D">
              <w:rPr>
                <w:rFonts w:ascii="Tahoma" w:hAnsi="Tahoma" w:cs="Tahoma"/>
                <w:iCs/>
                <w:color w:val="000000"/>
                <w:sz w:val="14"/>
                <w:szCs w:val="14"/>
                <w:lang w:eastAsia="it-IT"/>
              </w:rPr>
              <w:t xml:space="preserve"> </w:t>
            </w:r>
            <w:r w:rsidR="008B7C03" w:rsidRPr="00D41E3D">
              <w:rPr>
                <w:rFonts w:ascii="Tahoma" w:hAnsi="Tahoma" w:cs="Tahoma"/>
                <w:sz w:val="14"/>
                <w:szCs w:val="14"/>
              </w:rPr>
              <w:t>979-12-81206</w:t>
            </w:r>
            <w:r w:rsidRPr="00D41E3D">
              <w:rPr>
                <w:rFonts w:ascii="Tahoma" w:hAnsi="Tahoma" w:cs="Tahoma"/>
                <w:sz w:val="14"/>
                <w:szCs w:val="14"/>
              </w:rPr>
              <w:t>-</w:t>
            </w:r>
            <w:r w:rsidR="00902EDA" w:rsidRPr="00D41E3D">
              <w:rPr>
                <w:rFonts w:ascii="Tahoma" w:hAnsi="Tahoma" w:cs="Tahoma"/>
                <w:sz w:val="14"/>
                <w:szCs w:val="14"/>
              </w:rPr>
              <w:t>10</w:t>
            </w:r>
            <w:r w:rsidRPr="00D41E3D">
              <w:rPr>
                <w:rFonts w:ascii="Tahoma" w:hAnsi="Tahoma" w:cs="Tahoma"/>
                <w:sz w:val="14"/>
                <w:szCs w:val="14"/>
              </w:rPr>
              <w:t>-</w:t>
            </w:r>
            <w:r w:rsidR="00902EDA" w:rsidRPr="00D41E3D">
              <w:rPr>
                <w:rFonts w:ascii="Tahoma" w:hAnsi="Tahoma" w:cs="Tahoma"/>
                <w:sz w:val="14"/>
                <w:szCs w:val="14"/>
              </w:rPr>
              <w:t>1</w:t>
            </w:r>
            <w:r w:rsidRPr="00D41E3D">
              <w:rPr>
                <w:rFonts w:ascii="Tahoma" w:hAnsi="Tahoma" w:cs="Tahoma"/>
                <w:iCs/>
                <w:color w:val="333333"/>
                <w:sz w:val="14"/>
                <w:szCs w:val="14"/>
                <w:lang w:eastAsia="it-IT"/>
              </w:rPr>
              <w:t xml:space="preserve">; </w:t>
            </w:r>
            <w:r w:rsidRPr="00D41E3D">
              <w:rPr>
                <w:rFonts w:ascii="Tahoma" w:hAnsi="Tahoma" w:cs="Tahoma"/>
                <w:b/>
                <w:iCs/>
                <w:color w:val="333333"/>
                <w:sz w:val="14"/>
                <w:szCs w:val="14"/>
                <w:lang w:eastAsia="it-IT"/>
              </w:rPr>
              <w:t>ISSN</w:t>
            </w:r>
            <w:r w:rsidRPr="00D41E3D">
              <w:rPr>
                <w:rFonts w:ascii="Tahoma" w:hAnsi="Tahoma" w:cs="Tahoma"/>
                <w:iCs/>
                <w:color w:val="333333"/>
                <w:sz w:val="14"/>
                <w:szCs w:val="14"/>
                <w:lang w:eastAsia="it-IT"/>
              </w:rPr>
              <w:t xml:space="preserve"> 2283-9216</w:t>
            </w:r>
          </w:p>
        </w:tc>
      </w:tr>
    </w:tbl>
    <w:p w14:paraId="2E667253" w14:textId="0582EB13" w:rsidR="00E978D0" w:rsidRPr="00D41E3D" w:rsidRDefault="00951BD0" w:rsidP="00E978D0">
      <w:pPr>
        <w:pStyle w:val="CETTitle"/>
      </w:pPr>
      <w:r w:rsidRPr="00D41E3D">
        <w:t xml:space="preserve">Design and </w:t>
      </w:r>
      <w:r w:rsidR="00380BB2">
        <w:t>P</w:t>
      </w:r>
      <w:r w:rsidRPr="00D41E3D">
        <w:t xml:space="preserve">erformance of a </w:t>
      </w:r>
      <w:r w:rsidR="00380BB2">
        <w:t>B</w:t>
      </w:r>
      <w:r w:rsidRPr="00D41E3D">
        <w:t xml:space="preserve">iomass-based </w:t>
      </w:r>
      <w:r w:rsidR="00380BB2">
        <w:t>P</w:t>
      </w:r>
      <w:r w:rsidRPr="00D41E3D">
        <w:t xml:space="preserve">olygeneration </w:t>
      </w:r>
      <w:r w:rsidR="00380BB2">
        <w:t>S</w:t>
      </w:r>
      <w:r w:rsidRPr="00D41E3D">
        <w:t xml:space="preserve">ystem for </w:t>
      </w:r>
      <w:r w:rsidR="00380BB2">
        <w:t>S</w:t>
      </w:r>
      <w:r w:rsidRPr="00D41E3D">
        <w:t xml:space="preserve">imultaneous DME and </w:t>
      </w:r>
      <w:r w:rsidR="00380BB2">
        <w:t>P</w:t>
      </w:r>
      <w:r w:rsidRPr="00D41E3D">
        <w:t xml:space="preserve">ower </w:t>
      </w:r>
      <w:r w:rsidR="00380BB2">
        <w:t>P</w:t>
      </w:r>
      <w:r w:rsidRPr="00D41E3D">
        <w:t>roduction</w:t>
      </w:r>
    </w:p>
    <w:p w14:paraId="0488FED2" w14:textId="193BBFF6" w:rsidR="00B57E6F" w:rsidRPr="008D611C" w:rsidRDefault="00951BD0" w:rsidP="00B57E6F">
      <w:pPr>
        <w:pStyle w:val="CETAuthors"/>
        <w:rPr>
          <w:lang w:val="it-IT"/>
        </w:rPr>
      </w:pPr>
      <w:r w:rsidRPr="008D611C">
        <w:rPr>
          <w:lang w:val="it-IT"/>
        </w:rPr>
        <w:t>Biagio Ciccone</w:t>
      </w:r>
      <w:r w:rsidR="00B57E6F" w:rsidRPr="008D611C">
        <w:rPr>
          <w:vertAlign w:val="superscript"/>
          <w:lang w:val="it-IT"/>
        </w:rPr>
        <w:t>a</w:t>
      </w:r>
      <w:r w:rsidRPr="008D611C">
        <w:rPr>
          <w:vertAlign w:val="superscript"/>
          <w:lang w:val="it-IT"/>
        </w:rPr>
        <w:t>,b,</w:t>
      </w:r>
      <w:r w:rsidRPr="008D611C">
        <w:rPr>
          <w:lang w:val="it-IT"/>
        </w:rPr>
        <w:t>*</w:t>
      </w:r>
      <w:r w:rsidR="00B57E6F" w:rsidRPr="008D611C">
        <w:rPr>
          <w:lang w:val="it-IT"/>
        </w:rPr>
        <w:t xml:space="preserve">, </w:t>
      </w:r>
      <w:r w:rsidRPr="008D611C">
        <w:rPr>
          <w:lang w:val="it-IT"/>
        </w:rPr>
        <w:t>Stefano Scognamiglio</w:t>
      </w:r>
      <w:r w:rsidRPr="008D611C">
        <w:rPr>
          <w:vertAlign w:val="superscript"/>
          <w:lang w:val="it-IT"/>
        </w:rPr>
        <w:t>a,b</w:t>
      </w:r>
      <w:r w:rsidR="00B57E6F" w:rsidRPr="008D611C">
        <w:rPr>
          <w:lang w:val="it-IT"/>
        </w:rPr>
        <w:t xml:space="preserve">, </w:t>
      </w:r>
      <w:r w:rsidRPr="008D611C">
        <w:rPr>
          <w:lang w:val="it-IT"/>
        </w:rPr>
        <w:t>Gianluca Landi</w:t>
      </w:r>
      <w:r w:rsidRPr="008D611C">
        <w:rPr>
          <w:vertAlign w:val="superscript"/>
          <w:lang w:val="it-IT"/>
        </w:rPr>
        <w:t>b</w:t>
      </w:r>
      <w:r w:rsidRPr="008D611C">
        <w:rPr>
          <w:lang w:val="it-IT"/>
        </w:rPr>
        <w:t>, Giovanna Ruoppolo</w:t>
      </w:r>
      <w:r w:rsidRPr="008D611C">
        <w:rPr>
          <w:vertAlign w:val="superscript"/>
          <w:lang w:val="it-IT"/>
        </w:rPr>
        <w:t>b</w:t>
      </w:r>
    </w:p>
    <w:p w14:paraId="6B2D21B3" w14:textId="4F793538" w:rsidR="00B57E6F" w:rsidRPr="008D611C" w:rsidRDefault="00B57E6F" w:rsidP="00B57E6F">
      <w:pPr>
        <w:pStyle w:val="CETAddress"/>
        <w:rPr>
          <w:lang w:val="it-IT"/>
        </w:rPr>
      </w:pPr>
      <w:r w:rsidRPr="008D611C">
        <w:rPr>
          <w:vertAlign w:val="superscript"/>
          <w:lang w:val="it-IT"/>
        </w:rPr>
        <w:t>a</w:t>
      </w:r>
      <w:r w:rsidR="00951BD0" w:rsidRPr="008D611C">
        <w:rPr>
          <w:lang w:val="it-IT"/>
        </w:rPr>
        <w:t>Dipartimento di Scienza Applicata e Tecnologia (DISAT), Politecnico di Torino, C.so Duca degli Abruzzi 24-10129, Torino, Italia</w:t>
      </w:r>
      <w:r w:rsidRPr="008D611C">
        <w:rPr>
          <w:lang w:val="it-IT"/>
        </w:rPr>
        <w:t xml:space="preserve"> </w:t>
      </w:r>
    </w:p>
    <w:p w14:paraId="3D72B0B0" w14:textId="1BFC240A" w:rsidR="00B57E6F" w:rsidRPr="008D611C" w:rsidRDefault="00B57E6F" w:rsidP="00B57E6F">
      <w:pPr>
        <w:pStyle w:val="CETAddress"/>
        <w:rPr>
          <w:lang w:val="it-IT"/>
        </w:rPr>
      </w:pPr>
      <w:r w:rsidRPr="008D611C">
        <w:rPr>
          <w:vertAlign w:val="superscript"/>
          <w:lang w:val="it-IT"/>
        </w:rPr>
        <w:t>b</w:t>
      </w:r>
      <w:r w:rsidR="00951BD0" w:rsidRPr="008D611C">
        <w:rPr>
          <w:lang w:val="it-IT"/>
        </w:rPr>
        <w:t xml:space="preserve">Istituto di Scienze e Tecnologie per l’Energia e la Mobilità Sostenibili, Consiglio Nazionale delle Ricerche, </w:t>
      </w:r>
      <w:bookmarkStart w:id="0" w:name="_Hlk129167782"/>
      <w:r w:rsidR="00951BD0" w:rsidRPr="008D611C">
        <w:rPr>
          <w:lang w:val="it-IT"/>
        </w:rPr>
        <w:t>P. le V. Tecchio, 80-80125 Napoli, Ital</w:t>
      </w:r>
      <w:bookmarkEnd w:id="0"/>
      <w:r w:rsidR="00951BD0" w:rsidRPr="008D611C">
        <w:rPr>
          <w:lang w:val="it-IT"/>
        </w:rPr>
        <w:t>ia</w:t>
      </w:r>
    </w:p>
    <w:p w14:paraId="73F1267A" w14:textId="181B1BAE" w:rsidR="00B57E6F" w:rsidRPr="00D41E3D" w:rsidRDefault="00951BD0" w:rsidP="00951BD0">
      <w:pPr>
        <w:pStyle w:val="CETAddress"/>
      </w:pPr>
      <w:r w:rsidRPr="00D41E3D">
        <w:t>biagio.ciccone@stems.cnr.it</w:t>
      </w:r>
    </w:p>
    <w:p w14:paraId="46210421" w14:textId="77777777" w:rsidR="00951BD0" w:rsidRPr="00D41E3D" w:rsidRDefault="00951BD0" w:rsidP="00951BD0">
      <w:pPr>
        <w:pStyle w:val="CETAddress"/>
      </w:pPr>
    </w:p>
    <w:p w14:paraId="57E109FD" w14:textId="30029214" w:rsidR="00951BD0" w:rsidRPr="00D41E3D" w:rsidRDefault="00703244" w:rsidP="00703244">
      <w:pPr>
        <w:pStyle w:val="CETBodytext"/>
        <w:rPr>
          <w:lang w:val="en-GB"/>
        </w:rPr>
      </w:pPr>
      <w:r w:rsidRPr="00D41E3D">
        <w:rPr>
          <w:lang w:val="en-GB"/>
        </w:rPr>
        <w:t xml:space="preserve">The present work deals with the </w:t>
      </w:r>
      <w:r w:rsidR="000C058A">
        <w:rPr>
          <w:lang w:val="en-GB"/>
        </w:rPr>
        <w:t xml:space="preserve">preliminary </w:t>
      </w:r>
      <w:r w:rsidRPr="00D41E3D">
        <w:rPr>
          <w:lang w:val="en-GB"/>
        </w:rPr>
        <w:t xml:space="preserve">design, the </w:t>
      </w:r>
      <w:r w:rsidR="00E22EF1" w:rsidRPr="00D41E3D">
        <w:rPr>
          <w:lang w:val="en-GB"/>
        </w:rPr>
        <w:t>simulation,</w:t>
      </w:r>
      <w:r w:rsidRPr="00D41E3D">
        <w:rPr>
          <w:lang w:val="en-GB"/>
        </w:rPr>
        <w:t xml:space="preserve"> and the assessment of the thermodynamic performance of a polygeneration system for the simultaneous production of a range of valuable chemical products (</w:t>
      </w:r>
      <w:r w:rsidR="00100F7B">
        <w:rPr>
          <w:lang w:val="en-GB"/>
        </w:rPr>
        <w:t>namely</w:t>
      </w:r>
      <w:r w:rsidRPr="00D41E3D">
        <w:rPr>
          <w:lang w:val="en-GB"/>
        </w:rPr>
        <w:t>, di-methyl-ether (DME), methanol (MeOH), H</w:t>
      </w:r>
      <w:r w:rsidRPr="00D41E3D">
        <w:rPr>
          <w:vertAlign w:val="subscript"/>
          <w:lang w:val="en-GB"/>
        </w:rPr>
        <w:t>2</w:t>
      </w:r>
      <w:r w:rsidRPr="00D41E3D">
        <w:rPr>
          <w:lang w:val="en-GB"/>
        </w:rPr>
        <w:t>-CH</w:t>
      </w:r>
      <w:r w:rsidRPr="00D41E3D">
        <w:rPr>
          <w:vertAlign w:val="subscript"/>
          <w:lang w:val="en-GB"/>
        </w:rPr>
        <w:t>4</w:t>
      </w:r>
      <w:r w:rsidRPr="00D41E3D">
        <w:rPr>
          <w:lang w:val="en-GB"/>
        </w:rPr>
        <w:t xml:space="preserve"> mixtures</w:t>
      </w:r>
      <w:r w:rsidR="00934D09">
        <w:rPr>
          <w:lang w:val="en-GB"/>
        </w:rPr>
        <w:t xml:space="preserve"> with an H</w:t>
      </w:r>
      <w:r w:rsidR="00934D09" w:rsidRPr="00934D09">
        <w:rPr>
          <w:vertAlign w:val="subscript"/>
          <w:lang w:val="en-GB"/>
        </w:rPr>
        <w:t>2</w:t>
      </w:r>
      <w:r w:rsidR="00934D09">
        <w:rPr>
          <w:lang w:val="en-GB"/>
        </w:rPr>
        <w:t xml:space="preserve"> content up to 30</w:t>
      </w:r>
      <w:r w:rsidR="00AE26EA">
        <w:rPr>
          <w:lang w:val="en-GB"/>
        </w:rPr>
        <w:t xml:space="preserve"> </w:t>
      </w:r>
      <w:r w:rsidR="00934D09">
        <w:rPr>
          <w:lang w:val="en-GB"/>
        </w:rPr>
        <w:t>%</w:t>
      </w:r>
      <w:r w:rsidRPr="00D41E3D">
        <w:rPr>
          <w:lang w:val="en-GB"/>
        </w:rPr>
        <w:t xml:space="preserve"> – usually referred to as “hythane”) alongside the generation of multiple energy carriers such as heating and power. The system included a biomass gasification step, a </w:t>
      </w:r>
      <w:r w:rsidRPr="00125025">
        <w:rPr>
          <w:lang w:val="en-GB"/>
        </w:rPr>
        <w:t>steam cycle for power generation, an oxyfuel combustor, a syngas-to-DME section and a methanation section.</w:t>
      </w:r>
      <w:r w:rsidR="00415BE2" w:rsidRPr="00125025">
        <w:rPr>
          <w:lang w:val="en-GB"/>
        </w:rPr>
        <w:t xml:space="preserve"> A sensitivity study on the gasification section </w:t>
      </w:r>
      <w:r w:rsidR="00D129B6" w:rsidRPr="00125025">
        <w:rPr>
          <w:lang w:val="en-GB"/>
        </w:rPr>
        <w:t>showed that low</w:t>
      </w:r>
      <w:r w:rsidR="00F070DC" w:rsidRPr="00125025">
        <w:rPr>
          <w:lang w:val="en-GB"/>
        </w:rPr>
        <w:t xml:space="preserve"> pressure oxygen/steam gasification at 950°C </w:t>
      </w:r>
      <w:r w:rsidR="00613B4B" w:rsidRPr="00125025">
        <w:rPr>
          <w:lang w:val="en-GB"/>
        </w:rPr>
        <w:t>yields a good quality syngas with an H</w:t>
      </w:r>
      <w:r w:rsidR="00613B4B" w:rsidRPr="00125025">
        <w:rPr>
          <w:vertAlign w:val="subscript"/>
          <w:lang w:val="en-GB"/>
        </w:rPr>
        <w:t>2</w:t>
      </w:r>
      <w:r w:rsidR="00613B4B" w:rsidRPr="00125025">
        <w:rPr>
          <w:lang w:val="en-GB"/>
        </w:rPr>
        <w:t>/</w:t>
      </w:r>
      <w:r w:rsidR="001B18CF" w:rsidRPr="00125025">
        <w:rPr>
          <w:lang w:val="en-GB"/>
        </w:rPr>
        <w:t>(</w:t>
      </w:r>
      <w:r w:rsidR="00613B4B" w:rsidRPr="00125025">
        <w:rPr>
          <w:lang w:val="en-GB"/>
        </w:rPr>
        <w:t>CO</w:t>
      </w:r>
      <w:r w:rsidR="001B18CF" w:rsidRPr="00125025">
        <w:rPr>
          <w:lang w:val="en-GB"/>
        </w:rPr>
        <w:t>+</w:t>
      </w:r>
      <w:r w:rsidR="00613B4B" w:rsidRPr="00125025">
        <w:rPr>
          <w:lang w:val="en-GB"/>
        </w:rPr>
        <w:t>CO</w:t>
      </w:r>
      <w:r w:rsidR="00613B4B" w:rsidRPr="00125025">
        <w:rPr>
          <w:vertAlign w:val="subscript"/>
          <w:lang w:val="en-GB"/>
        </w:rPr>
        <w:t>2</w:t>
      </w:r>
      <w:r w:rsidR="001B18CF" w:rsidRPr="00125025">
        <w:rPr>
          <w:lang w:val="en-GB"/>
        </w:rPr>
        <w:t>)</w:t>
      </w:r>
      <w:r w:rsidR="00613B4B" w:rsidRPr="00125025">
        <w:rPr>
          <w:lang w:val="en-GB"/>
        </w:rPr>
        <w:t xml:space="preserve"> ratio of</w:t>
      </w:r>
      <w:r w:rsidR="001B18CF" w:rsidRPr="00125025">
        <w:rPr>
          <w:lang w:val="en-GB"/>
        </w:rPr>
        <w:t xml:space="preserve"> 0.97</w:t>
      </w:r>
      <w:r w:rsidR="00415BE2" w:rsidRPr="00125025">
        <w:rPr>
          <w:lang w:val="en-GB"/>
        </w:rPr>
        <w:t xml:space="preserve">. </w:t>
      </w:r>
      <w:r w:rsidR="00FB6E44" w:rsidRPr="00125025">
        <w:rPr>
          <w:lang w:val="en-GB"/>
        </w:rPr>
        <w:t>A simple graphical method for fixed-bed reactor dimensioning is also presented.</w:t>
      </w:r>
    </w:p>
    <w:p w14:paraId="476B2F2E" w14:textId="77777777" w:rsidR="00600535" w:rsidRDefault="00600535" w:rsidP="00600535">
      <w:pPr>
        <w:pStyle w:val="CETHeading1"/>
        <w:rPr>
          <w:lang w:val="en-GB"/>
        </w:rPr>
      </w:pPr>
      <w:r w:rsidRPr="00D41E3D">
        <w:rPr>
          <w:lang w:val="en-GB"/>
        </w:rPr>
        <w:t>Introduction</w:t>
      </w:r>
    </w:p>
    <w:p w14:paraId="42348FED" w14:textId="77777777" w:rsidR="00685569" w:rsidRDefault="00263ACE" w:rsidP="00DF53E4">
      <w:pPr>
        <w:pStyle w:val="CETBodytext"/>
        <w:rPr>
          <w:lang w:val="en-GB"/>
        </w:rPr>
      </w:pPr>
      <w:r>
        <w:rPr>
          <w:lang w:val="en-GB"/>
        </w:rPr>
        <w:t xml:space="preserve">Due to the substantial increase in global emissions and harsh environmental consequences caused by the escalated exploitation of fossil </w:t>
      </w:r>
      <w:r w:rsidR="00101D43">
        <w:rPr>
          <w:lang w:val="en-GB"/>
        </w:rPr>
        <w:t>fuels,</w:t>
      </w:r>
      <w:r>
        <w:rPr>
          <w:lang w:val="en-GB"/>
        </w:rPr>
        <w:t xml:space="preserve"> the research has been focusing on sustainable solutions to match industrial growth and protection of the environment. </w:t>
      </w:r>
    </w:p>
    <w:p w14:paraId="21E3CA52" w14:textId="3F050358" w:rsidR="00685569" w:rsidRDefault="00101D43" w:rsidP="00DF53E4">
      <w:pPr>
        <w:pStyle w:val="CETBodytext"/>
        <w:rPr>
          <w:lang w:val="en-GB"/>
        </w:rPr>
      </w:pPr>
      <w:r>
        <w:rPr>
          <w:lang w:val="en-GB"/>
        </w:rPr>
        <w:t xml:space="preserve">In this context, polygeneration systems </w:t>
      </w:r>
      <w:r w:rsidR="00667B77">
        <w:rPr>
          <w:lang w:val="en-GB"/>
        </w:rPr>
        <w:t xml:space="preserve">(PGS) </w:t>
      </w:r>
      <w:r>
        <w:rPr>
          <w:lang w:val="en-GB"/>
        </w:rPr>
        <w:t>hold the potential to simultaneously produce energy carriers and valuable chemicals from renewable biomass sources</w:t>
      </w:r>
      <w:r w:rsidR="00966F6F">
        <w:rPr>
          <w:lang w:val="en-GB"/>
        </w:rPr>
        <w:t xml:space="preserve"> (</w:t>
      </w:r>
      <w:r w:rsidR="00966F6F" w:rsidRPr="00BC011D">
        <w:rPr>
          <w:lang w:val="en-GB"/>
        </w:rPr>
        <w:t>Calise et al., 2018</w:t>
      </w:r>
      <w:r w:rsidR="00966F6F">
        <w:rPr>
          <w:lang w:val="en-GB"/>
        </w:rPr>
        <w:t>)</w:t>
      </w:r>
      <w:r w:rsidR="00667B77">
        <w:rPr>
          <w:lang w:val="en-GB"/>
        </w:rPr>
        <w:t xml:space="preserve">. Biomass-based PGS can thus contribute to enhance energy security while fostering sustainability. The existing body of the literature is rich in papers delved into the subject of polygeneration, mostly focusing on the integration of methanol synthesis, Fischer-Tropsch processes and synthetic natural gas, using coal or biomass as starting material. </w:t>
      </w:r>
    </w:p>
    <w:p w14:paraId="05C5D301" w14:textId="71CFC736" w:rsidR="00DF53E4" w:rsidRDefault="00667B77" w:rsidP="00DF53E4">
      <w:pPr>
        <w:pStyle w:val="CETBodytext"/>
        <w:rPr>
          <w:lang w:val="en-GB"/>
        </w:rPr>
      </w:pPr>
      <w:r>
        <w:rPr>
          <w:lang w:val="en-GB"/>
        </w:rPr>
        <w:t xml:space="preserve">The present work </w:t>
      </w:r>
      <w:r w:rsidR="000E708B">
        <w:rPr>
          <w:lang w:val="en-GB"/>
        </w:rPr>
        <w:t>sets the base of</w:t>
      </w:r>
      <w:r>
        <w:rPr>
          <w:lang w:val="en-GB"/>
        </w:rPr>
        <w:t xml:space="preserve"> a steady-state Aspen Plus model of a biomass-based PGS focused on the simultaneous production of DME, methanol and a combustible H</w:t>
      </w:r>
      <w:r w:rsidRPr="00685569">
        <w:rPr>
          <w:vertAlign w:val="subscript"/>
          <w:lang w:val="en-GB"/>
        </w:rPr>
        <w:t>2</w:t>
      </w:r>
      <w:r>
        <w:rPr>
          <w:lang w:val="en-GB"/>
        </w:rPr>
        <w:t>-CH</w:t>
      </w:r>
      <w:r w:rsidRPr="00685569">
        <w:rPr>
          <w:vertAlign w:val="subscript"/>
          <w:lang w:val="en-GB"/>
        </w:rPr>
        <w:t>4</w:t>
      </w:r>
      <w:r>
        <w:rPr>
          <w:lang w:val="en-GB"/>
        </w:rPr>
        <w:t xml:space="preserve"> mixture, alongside with heat and power. </w:t>
      </w:r>
    </w:p>
    <w:p w14:paraId="6D225760" w14:textId="4418FFF4" w:rsidR="007D775F" w:rsidRPr="00DF53E4" w:rsidRDefault="00685569" w:rsidP="00DF53E4">
      <w:pPr>
        <w:pStyle w:val="CETBodytext"/>
        <w:rPr>
          <w:lang w:val="en-GB"/>
        </w:rPr>
      </w:pPr>
      <w:proofErr w:type="gramStart"/>
      <w:r>
        <w:rPr>
          <w:lang w:val="en-GB"/>
        </w:rPr>
        <w:t>Particular relevance</w:t>
      </w:r>
      <w:proofErr w:type="gramEnd"/>
      <w:r>
        <w:rPr>
          <w:lang w:val="en-GB"/>
        </w:rPr>
        <w:t xml:space="preserve"> was given to the sensitivity study o</w:t>
      </w:r>
      <w:r w:rsidR="000C058A">
        <w:rPr>
          <w:lang w:val="en-GB"/>
        </w:rPr>
        <w:t>n</w:t>
      </w:r>
      <w:r>
        <w:rPr>
          <w:lang w:val="en-GB"/>
        </w:rPr>
        <w:t xml:space="preserve"> the gasification step because it </w:t>
      </w:r>
      <w:r w:rsidR="00934D09">
        <w:rPr>
          <w:lang w:val="en-GB"/>
        </w:rPr>
        <w:t>affects</w:t>
      </w:r>
      <w:r>
        <w:rPr>
          <w:lang w:val="en-GB"/>
        </w:rPr>
        <w:t xml:space="preserve"> all the process</w:t>
      </w:r>
      <w:r w:rsidR="00934D09">
        <w:rPr>
          <w:lang w:val="en-GB"/>
        </w:rPr>
        <w:t>es</w:t>
      </w:r>
      <w:r>
        <w:rPr>
          <w:lang w:val="en-GB"/>
        </w:rPr>
        <w:t xml:space="preserve"> downstream. A graphic</w:t>
      </w:r>
      <w:r w:rsidR="00934D09">
        <w:rPr>
          <w:lang w:val="en-GB"/>
        </w:rPr>
        <w:t>al</w:t>
      </w:r>
      <w:r>
        <w:rPr>
          <w:lang w:val="en-GB"/>
        </w:rPr>
        <w:t xml:space="preserve"> method for the dimensioning of fixed-bed reactors based on theoretical and engineering constraints is also presented in th</w:t>
      </w:r>
      <w:r w:rsidR="00934D09">
        <w:rPr>
          <w:lang w:val="en-GB"/>
        </w:rPr>
        <w:t>is</w:t>
      </w:r>
      <w:r>
        <w:rPr>
          <w:lang w:val="en-GB"/>
        </w:rPr>
        <w:t xml:space="preserve"> </w:t>
      </w:r>
      <w:r w:rsidR="008D2FE1">
        <w:rPr>
          <w:lang w:val="en-GB"/>
        </w:rPr>
        <w:t>work</w:t>
      </w:r>
      <w:r>
        <w:rPr>
          <w:lang w:val="en-GB"/>
        </w:rPr>
        <w:t>.</w:t>
      </w:r>
    </w:p>
    <w:p w14:paraId="5741900F" w14:textId="5A3002AE" w:rsidR="00453E24" w:rsidRPr="00D41E3D" w:rsidRDefault="00B14EA8" w:rsidP="00453E24">
      <w:pPr>
        <w:pStyle w:val="CETHeading1"/>
        <w:rPr>
          <w:lang w:val="en-GB"/>
        </w:rPr>
      </w:pPr>
      <w:r w:rsidRPr="00D41E3D">
        <w:rPr>
          <w:lang w:val="en-GB"/>
        </w:rPr>
        <w:t>Materials and methods</w:t>
      </w:r>
    </w:p>
    <w:p w14:paraId="0DA28AB0" w14:textId="7C30C37E" w:rsidR="000B38A0" w:rsidRDefault="001B615C" w:rsidP="0054008B">
      <w:pPr>
        <w:pStyle w:val="CETBodytext"/>
        <w:rPr>
          <w:lang w:val="en-GB"/>
        </w:rPr>
      </w:pPr>
      <w:r w:rsidRPr="00D41E3D">
        <w:rPr>
          <w:lang w:val="en-GB"/>
        </w:rPr>
        <w:t xml:space="preserve">The Aspen </w:t>
      </w:r>
      <w:r w:rsidR="00875F3F">
        <w:rPr>
          <w:lang w:val="en-GB"/>
        </w:rPr>
        <w:t>P</w:t>
      </w:r>
      <w:r w:rsidRPr="00D41E3D">
        <w:rPr>
          <w:lang w:val="en-GB"/>
        </w:rPr>
        <w:t xml:space="preserve">lus simulation flowsheet for the polygeneration system addressed in this study is shown in Figure </w:t>
      </w:r>
      <w:r>
        <w:rPr>
          <w:lang w:val="en-GB"/>
        </w:rPr>
        <w:t xml:space="preserve">1. </w:t>
      </w:r>
      <w:r w:rsidR="00FE3D72">
        <w:rPr>
          <w:lang w:val="en-GB"/>
        </w:rPr>
        <w:t>The</w:t>
      </w:r>
      <w:r w:rsidR="0054008B" w:rsidRPr="00D41E3D">
        <w:rPr>
          <w:lang w:val="en-GB"/>
        </w:rPr>
        <w:t xml:space="preserve"> gasification process is modelled as a combination of a decomposition reactor (RYield) responsible for converting the feedstock</w:t>
      </w:r>
      <w:r w:rsidR="00875F3F">
        <w:rPr>
          <w:lang w:val="en-GB"/>
        </w:rPr>
        <w:t xml:space="preserve"> (rice straw)</w:t>
      </w:r>
      <w:r w:rsidR="0054008B" w:rsidRPr="00D41E3D">
        <w:rPr>
          <w:lang w:val="en-GB"/>
        </w:rPr>
        <w:t xml:space="preserve"> into its respective components</w:t>
      </w:r>
      <w:r w:rsidR="00054AE8" w:rsidRPr="00D41E3D">
        <w:rPr>
          <w:lang w:val="en-GB"/>
        </w:rPr>
        <w:t xml:space="preserve"> by defining the mass-base yield distribution</w:t>
      </w:r>
      <w:r w:rsidR="0054008B" w:rsidRPr="00D41E3D">
        <w:rPr>
          <w:lang w:val="en-GB"/>
        </w:rPr>
        <w:t>, and an equilibrium reactor (RGibbs) where the syngas is generated.</w:t>
      </w:r>
      <w:r w:rsidR="00E45A37" w:rsidRPr="00D41E3D">
        <w:rPr>
          <w:lang w:val="en-GB"/>
        </w:rPr>
        <w:t xml:space="preserve"> This approach is common in the literature (</w:t>
      </w:r>
      <w:r w:rsidR="00113FAF" w:rsidRPr="00BC011D">
        <w:rPr>
          <w:lang w:val="en-GB"/>
        </w:rPr>
        <w:t xml:space="preserve">Parvez </w:t>
      </w:r>
      <w:r w:rsidR="00A811D3" w:rsidRPr="00BC011D">
        <w:rPr>
          <w:lang w:val="en-GB"/>
        </w:rPr>
        <w:t xml:space="preserve">et al., </w:t>
      </w:r>
      <w:r w:rsidR="00113FAF" w:rsidRPr="00BC011D">
        <w:rPr>
          <w:lang w:val="en-GB"/>
        </w:rPr>
        <w:t>2016</w:t>
      </w:r>
      <w:r w:rsidR="00E45A37" w:rsidRPr="00D41E3D">
        <w:rPr>
          <w:lang w:val="en-GB"/>
        </w:rPr>
        <w:t>).</w:t>
      </w:r>
      <w:r w:rsidR="0054008B" w:rsidRPr="00D41E3D">
        <w:rPr>
          <w:lang w:val="en-GB"/>
        </w:rPr>
        <w:t xml:space="preserve"> </w:t>
      </w:r>
      <w:r w:rsidR="00797E7D" w:rsidRPr="00D41E3D">
        <w:rPr>
          <w:lang w:val="en-GB"/>
        </w:rPr>
        <w:t xml:space="preserve">Rice </w:t>
      </w:r>
      <w:r w:rsidR="00930817" w:rsidRPr="00D41E3D">
        <w:rPr>
          <w:lang w:val="en-GB"/>
        </w:rPr>
        <w:t>straw</w:t>
      </w:r>
      <w:r w:rsidR="0054008B" w:rsidRPr="00D41E3D">
        <w:rPr>
          <w:lang w:val="en-GB"/>
        </w:rPr>
        <w:t>, entering the system at a rate of 1000 kg h</w:t>
      </w:r>
      <w:r w:rsidR="0054008B" w:rsidRPr="00D41E3D">
        <w:rPr>
          <w:vertAlign w:val="superscript"/>
          <w:lang w:val="en-GB"/>
        </w:rPr>
        <w:t>-1</w:t>
      </w:r>
      <w:r w:rsidR="0054008B" w:rsidRPr="00D41E3D">
        <w:rPr>
          <w:lang w:val="en-GB"/>
        </w:rPr>
        <w:t xml:space="preserve">, is fed into the gasification process alongside steam and oxygen produced from a renewable energy-driven electrolysis system. This </w:t>
      </w:r>
      <w:r w:rsidR="00875F3F">
        <w:rPr>
          <w:lang w:val="en-GB"/>
        </w:rPr>
        <w:t xml:space="preserve">autothermal </w:t>
      </w:r>
      <w:r w:rsidR="0054008B" w:rsidRPr="00D41E3D">
        <w:rPr>
          <w:lang w:val="en-GB"/>
        </w:rPr>
        <w:t xml:space="preserve">process yields high-temperature syngas, which subsequently undergoes ash removal (Sep) before being employed as an energy source in </w:t>
      </w:r>
      <w:r w:rsidR="00E45A37" w:rsidRPr="00D41E3D">
        <w:rPr>
          <w:lang w:val="en-GB"/>
        </w:rPr>
        <w:t>a</w:t>
      </w:r>
      <w:r w:rsidR="0054008B" w:rsidRPr="00D41E3D">
        <w:rPr>
          <w:lang w:val="en-GB"/>
        </w:rPr>
        <w:t xml:space="preserve"> Hirn cycle for power generation.</w:t>
      </w:r>
      <w:r w:rsidR="00443A0B" w:rsidRPr="00D41E3D">
        <w:rPr>
          <w:lang w:val="en-GB"/>
        </w:rPr>
        <w:t xml:space="preserve"> </w:t>
      </w:r>
    </w:p>
    <w:p w14:paraId="056833F1" w14:textId="278BE835" w:rsidR="004D6A69" w:rsidRDefault="0054008B" w:rsidP="0054008B">
      <w:pPr>
        <w:pStyle w:val="CETBodytext"/>
        <w:rPr>
          <w:lang w:val="en-GB"/>
        </w:rPr>
      </w:pPr>
      <w:r w:rsidRPr="00D41E3D">
        <w:rPr>
          <w:lang w:val="en-GB"/>
        </w:rPr>
        <w:t xml:space="preserve">The hot syngas is then directed to a cleaning section designed to eliminate </w:t>
      </w:r>
      <w:r w:rsidR="00100F7B" w:rsidRPr="00D41E3D">
        <w:rPr>
          <w:lang w:val="en-GB"/>
        </w:rPr>
        <w:t>sulphur</w:t>
      </w:r>
      <w:r w:rsidRPr="00D41E3D">
        <w:rPr>
          <w:lang w:val="en-GB"/>
        </w:rPr>
        <w:t xml:space="preserve"> compounds, nitrogen compounds, and other impurities, such as chlorine. </w:t>
      </w:r>
      <w:r w:rsidR="008D611C">
        <w:rPr>
          <w:lang w:val="en-GB"/>
        </w:rPr>
        <w:t>Tar</w:t>
      </w:r>
      <w:r w:rsidR="00C2619C">
        <w:rPr>
          <w:lang w:val="en-GB"/>
        </w:rPr>
        <w:t xml:space="preserve"> formation</w:t>
      </w:r>
      <w:r w:rsidR="008D611C">
        <w:rPr>
          <w:lang w:val="en-GB"/>
        </w:rPr>
        <w:t xml:space="preserve"> is not considered in the simulation. </w:t>
      </w:r>
      <w:r w:rsidRPr="00D41E3D">
        <w:rPr>
          <w:lang w:val="en-GB"/>
        </w:rPr>
        <w:t xml:space="preserve">This </w:t>
      </w:r>
      <w:r w:rsidRPr="00D41E3D">
        <w:rPr>
          <w:lang w:val="en-GB"/>
        </w:rPr>
        <w:lastRenderedPageBreak/>
        <w:t xml:space="preserve">cleaning section is represented as a simple separator in the Aspen Plus model. A fraction of the purified syngas is utilized as fuel in the oxy-combustor, while the </w:t>
      </w:r>
      <w:r w:rsidR="00E45A37" w:rsidRPr="00D41E3D">
        <w:rPr>
          <w:lang w:val="en-GB"/>
        </w:rPr>
        <w:t>rest</w:t>
      </w:r>
      <w:r w:rsidRPr="00D41E3D">
        <w:rPr>
          <w:lang w:val="en-GB"/>
        </w:rPr>
        <w:t xml:space="preserve"> is divided and </w:t>
      </w:r>
      <w:r w:rsidR="00100F7B" w:rsidRPr="00D41E3D">
        <w:rPr>
          <w:lang w:val="en-GB"/>
        </w:rPr>
        <w:t>channelled</w:t>
      </w:r>
      <w:r w:rsidRPr="00D41E3D">
        <w:rPr>
          <w:lang w:val="en-GB"/>
        </w:rPr>
        <w:t xml:space="preserve"> into the DME synthesis and methanation stages.</w:t>
      </w:r>
      <w:r w:rsidR="00443A0B" w:rsidRPr="00D41E3D">
        <w:rPr>
          <w:lang w:val="en-GB"/>
        </w:rPr>
        <w:t xml:space="preserve"> </w:t>
      </w:r>
      <w:r w:rsidRPr="00D41E3D">
        <w:rPr>
          <w:lang w:val="en-GB"/>
        </w:rPr>
        <w:t xml:space="preserve">The oxyfuel combustor is simulated using the </w:t>
      </w:r>
      <w:r w:rsidR="00875F3F">
        <w:rPr>
          <w:lang w:val="en-GB"/>
        </w:rPr>
        <w:t>RStoic</w:t>
      </w:r>
      <w:r w:rsidRPr="00D41E3D">
        <w:rPr>
          <w:lang w:val="en-GB"/>
        </w:rPr>
        <w:t xml:space="preserve"> module in Aspen Plus</w:t>
      </w:r>
      <w:r w:rsidR="00875F3F">
        <w:rPr>
          <w:lang w:val="en-GB"/>
        </w:rPr>
        <w:t xml:space="preserve"> with complete conversion of the reactants</w:t>
      </w:r>
      <w:r w:rsidRPr="00D41E3D">
        <w:rPr>
          <w:lang w:val="en-GB"/>
        </w:rPr>
        <w:t xml:space="preserve"> and operates at 1 bar. Pure oxygen, produced via electrolysis, is employed for combustion. </w:t>
      </w:r>
    </w:p>
    <w:p w14:paraId="255A5535" w14:textId="4E607CC1" w:rsidR="008C4697" w:rsidRPr="00D41E3D" w:rsidRDefault="004D6A69" w:rsidP="008C4697">
      <w:pPr>
        <w:pStyle w:val="CETBodytext"/>
        <w:keepNext/>
        <w:jc w:val="left"/>
        <w:rPr>
          <w:lang w:val="en-GB"/>
        </w:rPr>
      </w:pPr>
      <w:r>
        <w:rPr>
          <w:noProof/>
          <w:lang w:val="en-GB"/>
        </w:rPr>
        <w:drawing>
          <wp:inline distT="0" distB="0" distL="0" distR="0" wp14:anchorId="08810CEC" wp14:editId="6E1AA09C">
            <wp:extent cx="5617028" cy="1835406"/>
            <wp:effectExtent l="0" t="0" r="3175" b="0"/>
            <wp:docPr id="10775835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854" cy="1859202"/>
                    </a:xfrm>
                    <a:prstGeom prst="rect">
                      <a:avLst/>
                    </a:prstGeom>
                    <a:noFill/>
                  </pic:spPr>
                </pic:pic>
              </a:graphicData>
            </a:graphic>
          </wp:inline>
        </w:drawing>
      </w:r>
    </w:p>
    <w:p w14:paraId="1583A61A" w14:textId="780C926F" w:rsidR="008C4697" w:rsidRPr="00D41E3D" w:rsidRDefault="008C4697" w:rsidP="008C4697">
      <w:pPr>
        <w:pStyle w:val="CETCaption"/>
      </w:pPr>
      <w:bookmarkStart w:id="1" w:name="_Hlk153370160"/>
      <w:r w:rsidRPr="00125025">
        <w:t xml:space="preserve">Figure </w:t>
      </w:r>
      <w:r w:rsidRPr="00125025">
        <w:fldChar w:fldCharType="begin"/>
      </w:r>
      <w:r w:rsidRPr="00125025">
        <w:instrText xml:space="preserve"> SEQ Figure \* ARABIC </w:instrText>
      </w:r>
      <w:r w:rsidRPr="00125025">
        <w:fldChar w:fldCharType="separate"/>
      </w:r>
      <w:r w:rsidRPr="00125025">
        <w:rPr>
          <w:noProof/>
        </w:rPr>
        <w:t>1</w:t>
      </w:r>
      <w:r w:rsidRPr="00125025">
        <w:fldChar w:fldCharType="end"/>
      </w:r>
      <w:r w:rsidRPr="00125025">
        <w:t>: Simulation flowsheet</w:t>
      </w:r>
      <w:r w:rsidRPr="00D41E3D">
        <w:t xml:space="preserve"> for the biomass-based polygeneration system.</w:t>
      </w:r>
    </w:p>
    <w:bookmarkEnd w:id="1"/>
    <w:p w14:paraId="394F9BD6" w14:textId="042C4B2C" w:rsidR="000B38A0" w:rsidRDefault="0054008B" w:rsidP="0054008B">
      <w:pPr>
        <w:pStyle w:val="CETBodytext"/>
        <w:rPr>
          <w:lang w:val="en-GB"/>
        </w:rPr>
      </w:pPr>
      <w:r w:rsidRPr="00D41E3D">
        <w:rPr>
          <w:lang w:val="en-GB"/>
        </w:rPr>
        <w:t>The resulting flue gas is cooled by a heat-recovery unit, and the condensed water is separated, leaving behind a CO</w:t>
      </w:r>
      <w:r w:rsidRPr="00D41E3D">
        <w:rPr>
          <w:vertAlign w:val="subscript"/>
          <w:lang w:val="en-GB"/>
        </w:rPr>
        <w:t>2</w:t>
      </w:r>
      <w:r w:rsidRPr="00D41E3D">
        <w:rPr>
          <w:lang w:val="en-GB"/>
        </w:rPr>
        <w:t>-rich stream</w:t>
      </w:r>
      <w:r w:rsidR="00B960B4" w:rsidRPr="00D41E3D">
        <w:rPr>
          <w:lang w:val="en-GB"/>
        </w:rPr>
        <w:t xml:space="preserve"> (95</w:t>
      </w:r>
      <w:r w:rsidR="00AE26EA">
        <w:rPr>
          <w:lang w:val="en-GB"/>
        </w:rPr>
        <w:t xml:space="preserve"> </w:t>
      </w:r>
      <w:r w:rsidR="00B960B4" w:rsidRPr="00D41E3D">
        <w:rPr>
          <w:lang w:val="en-GB"/>
        </w:rPr>
        <w:t>% vol.)</w:t>
      </w:r>
      <w:r w:rsidRPr="00D41E3D">
        <w:rPr>
          <w:lang w:val="en-GB"/>
        </w:rPr>
        <w:t>. Part of this CO</w:t>
      </w:r>
      <w:r w:rsidRPr="00D41E3D">
        <w:rPr>
          <w:vertAlign w:val="subscript"/>
          <w:lang w:val="en-GB"/>
        </w:rPr>
        <w:t>2</w:t>
      </w:r>
      <w:r w:rsidRPr="00D41E3D">
        <w:rPr>
          <w:lang w:val="en-GB"/>
        </w:rPr>
        <w:t xml:space="preserve">-rich stream is recycled to the reactor inlet to keep oxygen concentration </w:t>
      </w:r>
      <w:r w:rsidR="00FD5A06">
        <w:rPr>
          <w:lang w:val="en-GB"/>
        </w:rPr>
        <w:t xml:space="preserve">low </w:t>
      </w:r>
      <w:r w:rsidR="00FD5A06" w:rsidRPr="00D41E3D">
        <w:rPr>
          <w:lang w:val="en-GB"/>
        </w:rPr>
        <w:t>for</w:t>
      </w:r>
      <w:r w:rsidRPr="00D41E3D">
        <w:rPr>
          <w:lang w:val="en-GB"/>
        </w:rPr>
        <w:t xml:space="preserve"> safety reasons. The methanation unit </w:t>
      </w:r>
      <w:r w:rsidR="00151577" w:rsidRPr="00D41E3D">
        <w:rPr>
          <w:lang w:val="en-GB"/>
        </w:rPr>
        <w:t>includes</w:t>
      </w:r>
      <w:r w:rsidRPr="00D41E3D">
        <w:rPr>
          <w:lang w:val="en-GB"/>
        </w:rPr>
        <w:t xml:space="preserve"> a recycle adiabatic fixed-bed reactor followed by a condenser for water removal and a second adiabatic reactor to enhance the conversion of CO and CO</w:t>
      </w:r>
      <w:r w:rsidRPr="00D41E3D">
        <w:rPr>
          <w:vertAlign w:val="subscript"/>
          <w:lang w:val="en-GB"/>
        </w:rPr>
        <w:t>2</w:t>
      </w:r>
      <w:r w:rsidRPr="00D41E3D">
        <w:rPr>
          <w:lang w:val="en-GB"/>
        </w:rPr>
        <w:t>. The recycle ratio in the first reactor is set as the control variable to limit the maximum temperature to 550</w:t>
      </w:r>
      <w:r w:rsidR="00AE26EA">
        <w:rPr>
          <w:lang w:val="en-GB"/>
        </w:rPr>
        <w:t xml:space="preserve"> </w:t>
      </w:r>
      <w:r w:rsidRPr="00D41E3D">
        <w:rPr>
          <w:lang w:val="en-GB"/>
        </w:rPr>
        <w:t>°C. Higher temperatures could lead to the deactivation of the Ni-Al</w:t>
      </w:r>
      <w:r w:rsidRPr="00D41E3D">
        <w:rPr>
          <w:vertAlign w:val="subscript"/>
          <w:lang w:val="en-GB"/>
        </w:rPr>
        <w:t>2</w:t>
      </w:r>
      <w:r w:rsidRPr="00D41E3D">
        <w:rPr>
          <w:lang w:val="en-GB"/>
        </w:rPr>
        <w:t>O</w:t>
      </w:r>
      <w:r w:rsidRPr="00D41E3D">
        <w:rPr>
          <w:vertAlign w:val="subscript"/>
          <w:lang w:val="en-GB"/>
        </w:rPr>
        <w:t>3</w:t>
      </w:r>
      <w:r w:rsidRPr="00D41E3D">
        <w:rPr>
          <w:lang w:val="en-GB"/>
        </w:rPr>
        <w:t xml:space="preserve"> methanation catalyst</w:t>
      </w:r>
      <w:r w:rsidR="00E45A37" w:rsidRPr="00D41E3D">
        <w:rPr>
          <w:lang w:val="en-GB"/>
        </w:rPr>
        <w:t xml:space="preserve"> (</w:t>
      </w:r>
      <w:r w:rsidR="00113FAF" w:rsidRPr="00BC011D">
        <w:rPr>
          <w:lang w:val="en-GB"/>
        </w:rPr>
        <w:t>Rönsch</w:t>
      </w:r>
      <w:r w:rsidR="00270981" w:rsidRPr="00BC011D">
        <w:rPr>
          <w:lang w:val="en-GB"/>
        </w:rPr>
        <w:t xml:space="preserve"> et al., 2016</w:t>
      </w:r>
      <w:r w:rsidR="00270981" w:rsidRPr="00D41E3D">
        <w:rPr>
          <w:b/>
          <w:bCs/>
          <w:lang w:val="en-GB"/>
        </w:rPr>
        <w:t>)</w:t>
      </w:r>
      <w:r w:rsidR="00EF6BB4" w:rsidRPr="00D41E3D">
        <w:rPr>
          <w:lang w:val="en-GB"/>
        </w:rPr>
        <w:t>.</w:t>
      </w:r>
      <w:r w:rsidR="00B960B4" w:rsidRPr="00D41E3D">
        <w:rPr>
          <w:lang w:val="en-GB"/>
        </w:rPr>
        <w:t xml:space="preserve"> </w:t>
      </w:r>
      <w:r w:rsidR="00A1782D" w:rsidRPr="00D41E3D">
        <w:rPr>
          <w:lang w:val="en-GB"/>
        </w:rPr>
        <w:t>Methanation c</w:t>
      </w:r>
      <w:r w:rsidR="00B960B4" w:rsidRPr="00D41E3D">
        <w:rPr>
          <w:lang w:val="en-GB"/>
        </w:rPr>
        <w:t xml:space="preserve">atalyst data used in the simulation </w:t>
      </w:r>
      <w:r w:rsidR="00DA166C">
        <w:rPr>
          <w:lang w:val="en-GB"/>
        </w:rPr>
        <w:t>were</w:t>
      </w:r>
      <w:r w:rsidR="00B960B4" w:rsidRPr="00D41E3D">
        <w:rPr>
          <w:lang w:val="en-GB"/>
        </w:rPr>
        <w:t xml:space="preserve"> retrieved from the literature </w:t>
      </w:r>
      <w:r w:rsidR="00866689">
        <w:rPr>
          <w:lang w:val="en-GB"/>
        </w:rPr>
        <w:t xml:space="preserve">and are reported in </w:t>
      </w:r>
      <w:r w:rsidR="00D26361" w:rsidRPr="007C3396">
        <w:rPr>
          <w:lang w:val="en-GB"/>
        </w:rPr>
        <w:t>T</w:t>
      </w:r>
      <w:r w:rsidR="00866689" w:rsidRPr="007C3396">
        <w:rPr>
          <w:lang w:val="en-GB"/>
        </w:rPr>
        <w:t xml:space="preserve">able </w:t>
      </w:r>
      <w:r w:rsidR="00D26361" w:rsidRPr="007C3396">
        <w:rPr>
          <w:lang w:val="en-GB"/>
        </w:rPr>
        <w:t>1</w:t>
      </w:r>
      <w:r w:rsidR="00866689" w:rsidRPr="007C3396">
        <w:rPr>
          <w:lang w:val="en-GB"/>
        </w:rPr>
        <w:t xml:space="preserve"> </w:t>
      </w:r>
      <w:r w:rsidR="00B960B4" w:rsidRPr="007C3396">
        <w:rPr>
          <w:lang w:val="en-GB"/>
        </w:rPr>
        <w:t>(Matthischke et al</w:t>
      </w:r>
      <w:r w:rsidR="00A811D3" w:rsidRPr="007C3396">
        <w:rPr>
          <w:lang w:val="en-GB"/>
        </w:rPr>
        <w:t>., 2018</w:t>
      </w:r>
      <w:r w:rsidR="00B960B4" w:rsidRPr="007C3396">
        <w:rPr>
          <w:lang w:val="en-GB"/>
        </w:rPr>
        <w:t>)</w:t>
      </w:r>
      <w:r w:rsidR="002138EB" w:rsidRPr="007C3396">
        <w:rPr>
          <w:lang w:val="en-GB"/>
        </w:rPr>
        <w:t>.</w:t>
      </w:r>
      <w:r w:rsidR="00EF6BB4" w:rsidRPr="007C3396">
        <w:rPr>
          <w:lang w:val="en-GB"/>
        </w:rPr>
        <w:t xml:space="preserve"> </w:t>
      </w:r>
      <w:r w:rsidR="00EF6BB4" w:rsidRPr="00D41E3D">
        <w:rPr>
          <w:lang w:val="en-GB"/>
        </w:rPr>
        <w:t xml:space="preserve">The goal of this section is the production of easy-to-stock </w:t>
      </w:r>
      <w:r w:rsidR="00E45A37" w:rsidRPr="00D41E3D">
        <w:rPr>
          <w:lang w:val="en-GB"/>
        </w:rPr>
        <w:t>combustible</w:t>
      </w:r>
      <w:r w:rsidR="00EF6BB4" w:rsidRPr="00D41E3D">
        <w:rPr>
          <w:lang w:val="en-GB"/>
        </w:rPr>
        <w:t xml:space="preserve"> H</w:t>
      </w:r>
      <w:r w:rsidR="00EF6BB4" w:rsidRPr="00D41E3D">
        <w:rPr>
          <w:vertAlign w:val="subscript"/>
          <w:lang w:val="en-GB"/>
        </w:rPr>
        <w:t>2</w:t>
      </w:r>
      <w:r w:rsidR="00EF6BB4" w:rsidRPr="00D41E3D">
        <w:rPr>
          <w:lang w:val="en-GB"/>
        </w:rPr>
        <w:t>-CH</w:t>
      </w:r>
      <w:r w:rsidR="00EF6BB4" w:rsidRPr="00D41E3D">
        <w:rPr>
          <w:vertAlign w:val="subscript"/>
          <w:lang w:val="en-GB"/>
        </w:rPr>
        <w:t>4</w:t>
      </w:r>
      <w:r w:rsidR="00EF6BB4" w:rsidRPr="00D41E3D">
        <w:rPr>
          <w:lang w:val="en-GB"/>
        </w:rPr>
        <w:t xml:space="preserve"> mixtures</w:t>
      </w:r>
      <w:r w:rsidRPr="00D41E3D">
        <w:rPr>
          <w:lang w:val="en-GB"/>
        </w:rPr>
        <w:t>.</w:t>
      </w:r>
      <w:r w:rsidR="00443A0B" w:rsidRPr="00D41E3D">
        <w:rPr>
          <w:lang w:val="en-GB"/>
        </w:rPr>
        <w:t xml:space="preserve"> </w:t>
      </w:r>
    </w:p>
    <w:p w14:paraId="42505A65" w14:textId="654D11B7" w:rsidR="00973DB8" w:rsidRDefault="0054008B" w:rsidP="0054008B">
      <w:pPr>
        <w:pStyle w:val="CETBodytext"/>
        <w:rPr>
          <w:lang w:val="en-GB"/>
        </w:rPr>
      </w:pPr>
      <w:r w:rsidRPr="00D41E3D">
        <w:rPr>
          <w:lang w:val="en-GB"/>
        </w:rPr>
        <w:t>For the DME synthesis, the direct synthesis method is applied, which involves the use of a bifunctional catalyst. This catalyst simultaneously facilitates the hydrogenation of carbon oxides to methanol and the subsequent methanol dehydration to dimethyl ether (DME)</w:t>
      </w:r>
      <w:r w:rsidR="00443A0B" w:rsidRPr="00D41E3D">
        <w:rPr>
          <w:lang w:val="en-GB"/>
        </w:rPr>
        <w:t xml:space="preserve"> in a single </w:t>
      </w:r>
      <w:r w:rsidR="00E45A37" w:rsidRPr="00D41E3D">
        <w:rPr>
          <w:lang w:val="en-GB"/>
        </w:rPr>
        <w:t xml:space="preserve">fixed bed catalytic </w:t>
      </w:r>
      <w:r w:rsidR="00443A0B" w:rsidRPr="00D41E3D">
        <w:rPr>
          <w:lang w:val="en-GB"/>
        </w:rPr>
        <w:t>reactor.</w:t>
      </w:r>
      <w:r w:rsidR="00113FAF" w:rsidRPr="00D41E3D">
        <w:rPr>
          <w:rFonts w:ascii="AdvTTR" w:hAnsi="AdvTTR"/>
          <w:color w:val="242021"/>
          <w:szCs w:val="18"/>
          <w:lang w:val="en-GB"/>
        </w:rPr>
        <w:t xml:space="preserve"> </w:t>
      </w:r>
      <w:r w:rsidR="00113FAF" w:rsidRPr="00D41E3D">
        <w:rPr>
          <w:rFonts w:cs="Arial"/>
          <w:color w:val="242021"/>
          <w:szCs w:val="18"/>
          <w:lang w:val="en-GB"/>
        </w:rPr>
        <w:t>This process</w:t>
      </w:r>
      <w:r w:rsidR="00113FAF" w:rsidRPr="00D41E3D">
        <w:rPr>
          <w:rFonts w:ascii="AdvTTR" w:hAnsi="AdvTTR"/>
          <w:color w:val="242021"/>
          <w:szCs w:val="18"/>
          <w:lang w:val="en-GB"/>
        </w:rPr>
        <w:t xml:space="preserve"> </w:t>
      </w:r>
      <w:r w:rsidR="00113FAF" w:rsidRPr="00D41E3D">
        <w:rPr>
          <w:lang w:val="en-GB"/>
        </w:rPr>
        <w:t xml:space="preserve">is thermodynamically and economically more </w:t>
      </w:r>
      <w:r w:rsidR="00100F7B" w:rsidRPr="00D41E3D">
        <w:rPr>
          <w:lang w:val="en-GB"/>
        </w:rPr>
        <w:t>favourable</w:t>
      </w:r>
      <w:r w:rsidR="00113FAF" w:rsidRPr="00D41E3D">
        <w:rPr>
          <w:lang w:val="en-GB"/>
        </w:rPr>
        <w:t xml:space="preserve"> than the two-step </w:t>
      </w:r>
      <w:r w:rsidR="00113FAF" w:rsidRPr="007C3396">
        <w:rPr>
          <w:lang w:val="en-GB"/>
        </w:rPr>
        <w:t>process (Wang</w:t>
      </w:r>
      <w:r w:rsidR="00270981" w:rsidRPr="007C3396">
        <w:rPr>
          <w:lang w:val="en-GB"/>
        </w:rPr>
        <w:t xml:space="preserve"> et al.,</w:t>
      </w:r>
      <w:r w:rsidR="00113FAF" w:rsidRPr="007C3396">
        <w:rPr>
          <w:lang w:val="en-GB"/>
        </w:rPr>
        <w:t xml:space="preserve"> 2011).</w:t>
      </w:r>
      <w:r w:rsidR="00113FAF" w:rsidRPr="00D41E3D">
        <w:rPr>
          <w:lang w:val="en-GB"/>
        </w:rPr>
        <w:t xml:space="preserve"> </w:t>
      </w:r>
      <w:r w:rsidR="008E339D" w:rsidRPr="00D41E3D">
        <w:rPr>
          <w:lang w:val="en-GB"/>
        </w:rPr>
        <w:t xml:space="preserve"> The data for the commercial bifunctional Cu-ZnO/Al</w:t>
      </w:r>
      <w:r w:rsidR="008E339D" w:rsidRPr="00D41E3D">
        <w:rPr>
          <w:vertAlign w:val="subscript"/>
          <w:lang w:val="en-GB"/>
        </w:rPr>
        <w:t>2</w:t>
      </w:r>
      <w:r w:rsidR="008E339D" w:rsidRPr="00D41E3D">
        <w:rPr>
          <w:lang w:val="en-GB"/>
        </w:rPr>
        <w:t>O</w:t>
      </w:r>
      <w:r w:rsidR="008E339D" w:rsidRPr="00D41E3D">
        <w:rPr>
          <w:vertAlign w:val="subscript"/>
          <w:lang w:val="en-GB"/>
        </w:rPr>
        <w:t>3</w:t>
      </w:r>
      <w:r w:rsidR="008E339D" w:rsidRPr="00D41E3D">
        <w:rPr>
          <w:lang w:val="en-GB"/>
        </w:rPr>
        <w:t xml:space="preserve"> catalyst was retrieved </w:t>
      </w:r>
      <w:r w:rsidR="008E339D" w:rsidRPr="007C3396">
        <w:rPr>
          <w:lang w:val="en-GB"/>
        </w:rPr>
        <w:t xml:space="preserve">from </w:t>
      </w:r>
      <w:r w:rsidR="00451EBC" w:rsidRPr="007C3396">
        <w:rPr>
          <w:lang w:val="en-GB"/>
        </w:rPr>
        <w:t>Mevawala et al</w:t>
      </w:r>
      <w:r w:rsidR="00A811D3" w:rsidRPr="007C3396">
        <w:rPr>
          <w:lang w:val="en-GB"/>
        </w:rPr>
        <w:t>.</w:t>
      </w:r>
      <w:r w:rsidR="00451EBC" w:rsidRPr="007C3396">
        <w:rPr>
          <w:lang w:val="en-GB"/>
        </w:rPr>
        <w:t xml:space="preserve"> </w:t>
      </w:r>
      <w:r w:rsidR="007C3396">
        <w:rPr>
          <w:lang w:val="en-GB"/>
        </w:rPr>
        <w:t>(</w:t>
      </w:r>
      <w:r w:rsidR="00451EBC" w:rsidRPr="007C3396">
        <w:rPr>
          <w:lang w:val="en-GB"/>
        </w:rPr>
        <w:t>2017</w:t>
      </w:r>
      <w:r w:rsidR="007C3396">
        <w:rPr>
          <w:lang w:val="en-GB"/>
        </w:rPr>
        <w:t>)</w:t>
      </w:r>
      <w:r w:rsidR="00317CF5">
        <w:rPr>
          <w:lang w:val="en-GB"/>
        </w:rPr>
        <w:t xml:space="preserve"> and it is available in Table </w:t>
      </w:r>
      <w:r w:rsidR="00D26361">
        <w:rPr>
          <w:lang w:val="en-GB"/>
        </w:rPr>
        <w:t>1</w:t>
      </w:r>
      <w:r w:rsidR="003D402B" w:rsidRPr="00D41E3D">
        <w:rPr>
          <w:lang w:val="en-GB"/>
        </w:rPr>
        <w:t xml:space="preserve">, </w:t>
      </w:r>
      <w:r w:rsidR="0061176E">
        <w:rPr>
          <w:lang w:val="en-GB"/>
        </w:rPr>
        <w:t xml:space="preserve">which also </w:t>
      </w:r>
      <w:r w:rsidR="003D402B" w:rsidRPr="00D41E3D">
        <w:rPr>
          <w:lang w:val="en-GB"/>
        </w:rPr>
        <w:t>summarizes the main parameters for the different sections of the polygeneration system.</w:t>
      </w:r>
      <w:r w:rsidR="00FB7F49">
        <w:rPr>
          <w:lang w:val="en-GB"/>
        </w:rPr>
        <w:t xml:space="preserve"> </w:t>
      </w:r>
      <w:r w:rsidR="00F646D8">
        <w:rPr>
          <w:lang w:val="en-GB"/>
        </w:rPr>
        <w:t>Particular attention was devoted to the sizing of the fixed-bed reactors (DME synthesis and methanation), as reported in the Appendix.</w:t>
      </w:r>
    </w:p>
    <w:p w14:paraId="4709E57D" w14:textId="00F69315" w:rsidR="009568AC" w:rsidRPr="00D41E3D" w:rsidRDefault="009568AC" w:rsidP="009568AC">
      <w:pPr>
        <w:pStyle w:val="CETTabletitle"/>
      </w:pPr>
      <w:r w:rsidRPr="00D41E3D">
        <w:t xml:space="preserve">Table </w:t>
      </w:r>
      <w:r w:rsidR="002C0930">
        <w:t>1</w:t>
      </w:r>
      <w:r w:rsidRPr="00D41E3D">
        <w:t xml:space="preserve">: </w:t>
      </w:r>
      <w:r w:rsidRPr="00125025">
        <w:t>Modelling assumptions and operating</w:t>
      </w:r>
      <w:r w:rsidRPr="00D41E3D">
        <w:t xml:space="preserve"> parameters of the biomass-based polygeneration system.</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7"/>
        <w:gridCol w:w="1490"/>
        <w:gridCol w:w="2267"/>
        <w:gridCol w:w="2833"/>
      </w:tblGrid>
      <w:tr w:rsidR="00B073F9" w:rsidRPr="00B073F9" w14:paraId="2DB51157" w14:textId="77777777" w:rsidTr="00B073F9">
        <w:tc>
          <w:tcPr>
            <w:tcW w:w="1250" w:type="pct"/>
            <w:tcBorders>
              <w:top w:val="single" w:sz="12" w:space="0" w:color="008000"/>
              <w:bottom w:val="single" w:sz="6" w:space="0" w:color="008000"/>
            </w:tcBorders>
            <w:shd w:val="clear" w:color="auto" w:fill="FFFFFF"/>
          </w:tcPr>
          <w:p w14:paraId="71B8BD09" w14:textId="77777777" w:rsidR="00B073F9" w:rsidRPr="00B073F9" w:rsidRDefault="00B073F9" w:rsidP="00B073F9">
            <w:pPr>
              <w:pStyle w:val="CETBodytext"/>
            </w:pPr>
            <w:r w:rsidRPr="00B073F9">
              <w:t xml:space="preserve">Key component </w:t>
            </w:r>
          </w:p>
        </w:tc>
        <w:tc>
          <w:tcPr>
            <w:tcW w:w="848" w:type="pct"/>
            <w:tcBorders>
              <w:top w:val="single" w:sz="12" w:space="0" w:color="008000"/>
              <w:bottom w:val="single" w:sz="6" w:space="0" w:color="008000"/>
            </w:tcBorders>
            <w:shd w:val="clear" w:color="auto" w:fill="FFFFFF"/>
          </w:tcPr>
          <w:p w14:paraId="5738FF53" w14:textId="77777777" w:rsidR="00B073F9" w:rsidRPr="00B073F9" w:rsidRDefault="00B073F9" w:rsidP="00B073F9">
            <w:pPr>
              <w:pStyle w:val="CETBodytext"/>
            </w:pPr>
            <w:r w:rsidRPr="00B073F9">
              <w:t>Aspen Unit</w:t>
            </w:r>
          </w:p>
        </w:tc>
        <w:tc>
          <w:tcPr>
            <w:tcW w:w="1290" w:type="pct"/>
            <w:tcBorders>
              <w:top w:val="single" w:sz="12" w:space="0" w:color="008000"/>
              <w:bottom w:val="single" w:sz="6" w:space="0" w:color="008000"/>
            </w:tcBorders>
            <w:shd w:val="clear" w:color="auto" w:fill="FFFFFF"/>
          </w:tcPr>
          <w:p w14:paraId="40A7F323" w14:textId="7CA78E28" w:rsidR="00B073F9" w:rsidRPr="00B073F9" w:rsidRDefault="00A60471" w:rsidP="00147980">
            <w:pPr>
              <w:pStyle w:val="CETBodytext"/>
              <w:ind w:right="143"/>
            </w:pPr>
            <w:r>
              <w:t>Operating conditions</w:t>
            </w:r>
          </w:p>
        </w:tc>
        <w:tc>
          <w:tcPr>
            <w:tcW w:w="1612" w:type="pct"/>
            <w:tcBorders>
              <w:top w:val="single" w:sz="12" w:space="0" w:color="008000"/>
              <w:bottom w:val="single" w:sz="6" w:space="0" w:color="008000"/>
            </w:tcBorders>
            <w:shd w:val="clear" w:color="auto" w:fill="FFFFFF"/>
          </w:tcPr>
          <w:p w14:paraId="06275358" w14:textId="77777777" w:rsidR="00B073F9" w:rsidRPr="00B073F9" w:rsidRDefault="00B073F9" w:rsidP="00B073F9">
            <w:pPr>
              <w:pStyle w:val="CETBodytext"/>
            </w:pPr>
            <w:r w:rsidRPr="00B073F9">
              <w:t>Other parameters</w:t>
            </w:r>
          </w:p>
        </w:tc>
      </w:tr>
      <w:tr w:rsidR="00B073F9" w:rsidRPr="00B073F9" w14:paraId="31DE63F0" w14:textId="77777777" w:rsidTr="00B073F9">
        <w:tc>
          <w:tcPr>
            <w:tcW w:w="1250" w:type="pct"/>
            <w:shd w:val="clear" w:color="auto" w:fill="FFFFFF"/>
          </w:tcPr>
          <w:p w14:paraId="1666FD31" w14:textId="77777777" w:rsidR="00B073F9" w:rsidRPr="00B073F9" w:rsidRDefault="00B073F9" w:rsidP="00B073F9">
            <w:pPr>
              <w:pStyle w:val="CETBodytext"/>
            </w:pPr>
            <w:r w:rsidRPr="00B073F9">
              <w:t>Gasifier</w:t>
            </w:r>
          </w:p>
        </w:tc>
        <w:tc>
          <w:tcPr>
            <w:tcW w:w="848" w:type="pct"/>
            <w:shd w:val="clear" w:color="auto" w:fill="FFFFFF"/>
          </w:tcPr>
          <w:p w14:paraId="080BF854" w14:textId="77777777" w:rsidR="00B073F9" w:rsidRPr="00B073F9" w:rsidRDefault="00B073F9" w:rsidP="00B073F9">
            <w:pPr>
              <w:pStyle w:val="CETBodytext"/>
            </w:pPr>
            <w:r w:rsidRPr="00B073F9">
              <w:t>RYield, RGibbs</w:t>
            </w:r>
          </w:p>
        </w:tc>
        <w:tc>
          <w:tcPr>
            <w:tcW w:w="1290" w:type="pct"/>
            <w:shd w:val="clear" w:color="auto" w:fill="FFFFFF"/>
          </w:tcPr>
          <w:p w14:paraId="4E42527B" w14:textId="77777777" w:rsidR="00B073F9" w:rsidRPr="00B073F9" w:rsidRDefault="00B073F9" w:rsidP="00147980">
            <w:pPr>
              <w:pStyle w:val="CETBodytext"/>
              <w:ind w:right="143"/>
            </w:pPr>
            <w:r w:rsidRPr="00B073F9">
              <w:t>950°C, 1 bar</w:t>
            </w:r>
          </w:p>
        </w:tc>
        <w:tc>
          <w:tcPr>
            <w:tcW w:w="1612" w:type="pct"/>
            <w:shd w:val="clear" w:color="auto" w:fill="FFFFFF"/>
          </w:tcPr>
          <w:p w14:paraId="616319B7" w14:textId="77777777" w:rsidR="00B073F9" w:rsidRPr="00B073F9" w:rsidRDefault="00B073F9" w:rsidP="00B073F9">
            <w:pPr>
              <w:pStyle w:val="CETBodytext"/>
            </w:pPr>
          </w:p>
        </w:tc>
      </w:tr>
      <w:tr w:rsidR="00B073F9" w:rsidRPr="00B073F9" w14:paraId="3CF5A608" w14:textId="77777777" w:rsidTr="00B073F9">
        <w:tc>
          <w:tcPr>
            <w:tcW w:w="1250" w:type="pct"/>
            <w:shd w:val="clear" w:color="auto" w:fill="FFFFFF"/>
          </w:tcPr>
          <w:p w14:paraId="3BACBB97" w14:textId="77777777" w:rsidR="00B073F9" w:rsidRPr="00B073F9" w:rsidRDefault="00B073F9" w:rsidP="00B073F9">
            <w:pPr>
              <w:pStyle w:val="CETBodytext"/>
            </w:pPr>
            <w:r w:rsidRPr="00B073F9">
              <w:t>Electrolyser</w:t>
            </w:r>
          </w:p>
        </w:tc>
        <w:tc>
          <w:tcPr>
            <w:tcW w:w="848" w:type="pct"/>
            <w:shd w:val="clear" w:color="auto" w:fill="FFFFFF"/>
          </w:tcPr>
          <w:p w14:paraId="6CA55BAE" w14:textId="77777777" w:rsidR="00B073F9" w:rsidRPr="00B073F9" w:rsidRDefault="00B073F9" w:rsidP="00B073F9">
            <w:pPr>
              <w:pStyle w:val="CETBodytext"/>
            </w:pPr>
            <w:r w:rsidRPr="00B073F9">
              <w:t>RStoic</w:t>
            </w:r>
          </w:p>
        </w:tc>
        <w:tc>
          <w:tcPr>
            <w:tcW w:w="1290" w:type="pct"/>
            <w:shd w:val="clear" w:color="auto" w:fill="FFFFFF"/>
          </w:tcPr>
          <w:p w14:paraId="1EBB1B86" w14:textId="77777777" w:rsidR="00B073F9" w:rsidRPr="00B073F9" w:rsidRDefault="00B073F9" w:rsidP="00147980">
            <w:pPr>
              <w:pStyle w:val="CETBodytext"/>
              <w:ind w:right="143"/>
            </w:pPr>
            <w:r w:rsidRPr="00B073F9">
              <w:t>40°C, 2.5 bar</w:t>
            </w:r>
          </w:p>
        </w:tc>
        <w:tc>
          <w:tcPr>
            <w:tcW w:w="1612" w:type="pct"/>
            <w:shd w:val="clear" w:color="auto" w:fill="FFFFFF"/>
          </w:tcPr>
          <w:p w14:paraId="0B1B9A28" w14:textId="77777777" w:rsidR="00B073F9" w:rsidRPr="00B073F9" w:rsidRDefault="00B073F9" w:rsidP="00B073F9">
            <w:pPr>
              <w:pStyle w:val="CETBodytext"/>
            </w:pPr>
            <w:r w:rsidRPr="00B073F9">
              <w:t>Fractional conversion of H</w:t>
            </w:r>
            <w:r w:rsidRPr="00B073F9">
              <w:rPr>
                <w:vertAlign w:val="subscript"/>
              </w:rPr>
              <w:t>2</w:t>
            </w:r>
            <w:r w:rsidRPr="00B073F9">
              <w:t>O is 1.</w:t>
            </w:r>
          </w:p>
        </w:tc>
      </w:tr>
      <w:tr w:rsidR="00B073F9" w:rsidRPr="00B073F9" w14:paraId="4F5B5154" w14:textId="77777777" w:rsidTr="00B073F9">
        <w:tc>
          <w:tcPr>
            <w:tcW w:w="1250" w:type="pct"/>
            <w:shd w:val="clear" w:color="auto" w:fill="FFFFFF"/>
          </w:tcPr>
          <w:p w14:paraId="36EF4EE8" w14:textId="77777777" w:rsidR="00B073F9" w:rsidRPr="00B073F9" w:rsidRDefault="00B073F9" w:rsidP="00B073F9">
            <w:pPr>
              <w:pStyle w:val="CETBodytext"/>
            </w:pPr>
            <w:r w:rsidRPr="00B073F9">
              <w:t>Oxyfuel combustor</w:t>
            </w:r>
          </w:p>
        </w:tc>
        <w:tc>
          <w:tcPr>
            <w:tcW w:w="848" w:type="pct"/>
            <w:shd w:val="clear" w:color="auto" w:fill="FFFFFF"/>
          </w:tcPr>
          <w:p w14:paraId="15B2F77F" w14:textId="77777777" w:rsidR="00B073F9" w:rsidRPr="00B073F9" w:rsidRDefault="00B073F9" w:rsidP="00B073F9">
            <w:pPr>
              <w:pStyle w:val="CETBodytext"/>
            </w:pPr>
            <w:r w:rsidRPr="00B073F9">
              <w:t>RStoic</w:t>
            </w:r>
          </w:p>
        </w:tc>
        <w:tc>
          <w:tcPr>
            <w:tcW w:w="1290" w:type="pct"/>
            <w:shd w:val="clear" w:color="auto" w:fill="FFFFFF"/>
          </w:tcPr>
          <w:p w14:paraId="0DCD751E" w14:textId="77777777" w:rsidR="00B073F9" w:rsidRPr="00B073F9" w:rsidRDefault="00B073F9" w:rsidP="00147980">
            <w:pPr>
              <w:pStyle w:val="CETBodytext"/>
              <w:ind w:right="143"/>
            </w:pPr>
            <w:r w:rsidRPr="00B073F9">
              <w:t>Adiabatic, 1 bar</w:t>
            </w:r>
          </w:p>
        </w:tc>
        <w:tc>
          <w:tcPr>
            <w:tcW w:w="1612" w:type="pct"/>
            <w:shd w:val="clear" w:color="auto" w:fill="FFFFFF"/>
          </w:tcPr>
          <w:p w14:paraId="1E12B94C" w14:textId="77777777" w:rsidR="00B073F9" w:rsidRPr="00B073F9" w:rsidRDefault="00B073F9" w:rsidP="00B073F9">
            <w:pPr>
              <w:pStyle w:val="CETBodytext"/>
            </w:pPr>
          </w:p>
        </w:tc>
      </w:tr>
      <w:tr w:rsidR="00B073F9" w:rsidRPr="00B073F9" w14:paraId="67F242B6" w14:textId="77777777" w:rsidTr="00B073F9">
        <w:tc>
          <w:tcPr>
            <w:tcW w:w="1250" w:type="pct"/>
            <w:shd w:val="clear" w:color="auto" w:fill="FFFFFF"/>
          </w:tcPr>
          <w:p w14:paraId="7D4BF09C" w14:textId="77777777" w:rsidR="00B073F9" w:rsidRPr="00B073F9" w:rsidRDefault="00B073F9" w:rsidP="00B073F9">
            <w:pPr>
              <w:pStyle w:val="CETBodytext"/>
            </w:pPr>
            <w:r w:rsidRPr="00B073F9">
              <w:t>Oxyfuel condenser</w:t>
            </w:r>
          </w:p>
        </w:tc>
        <w:tc>
          <w:tcPr>
            <w:tcW w:w="848" w:type="pct"/>
            <w:shd w:val="clear" w:color="auto" w:fill="FFFFFF"/>
          </w:tcPr>
          <w:p w14:paraId="655A7C7E" w14:textId="77777777" w:rsidR="00B073F9" w:rsidRPr="00B073F9" w:rsidRDefault="00B073F9" w:rsidP="00B073F9">
            <w:pPr>
              <w:pStyle w:val="CETBodytext"/>
            </w:pPr>
            <w:r w:rsidRPr="00B073F9">
              <w:t>Flash2</w:t>
            </w:r>
          </w:p>
        </w:tc>
        <w:tc>
          <w:tcPr>
            <w:tcW w:w="1290" w:type="pct"/>
            <w:shd w:val="clear" w:color="auto" w:fill="FFFFFF"/>
          </w:tcPr>
          <w:p w14:paraId="5B66D64C" w14:textId="77777777" w:rsidR="00B073F9" w:rsidRPr="00B073F9" w:rsidRDefault="00B073F9" w:rsidP="00147980">
            <w:pPr>
              <w:pStyle w:val="CETBodytext"/>
              <w:ind w:right="143"/>
            </w:pPr>
            <w:r w:rsidRPr="00B073F9">
              <w:t>20°C, 1 bar</w:t>
            </w:r>
          </w:p>
        </w:tc>
        <w:tc>
          <w:tcPr>
            <w:tcW w:w="1612" w:type="pct"/>
            <w:shd w:val="clear" w:color="auto" w:fill="FFFFFF"/>
          </w:tcPr>
          <w:p w14:paraId="13380A5D" w14:textId="77777777" w:rsidR="00B073F9" w:rsidRPr="00B073F9" w:rsidRDefault="00B073F9" w:rsidP="00B073F9">
            <w:pPr>
              <w:pStyle w:val="CETBodytext"/>
            </w:pPr>
          </w:p>
        </w:tc>
      </w:tr>
      <w:tr w:rsidR="00B073F9" w:rsidRPr="00B073F9" w14:paraId="7C786549" w14:textId="77777777" w:rsidTr="00B073F9">
        <w:tc>
          <w:tcPr>
            <w:tcW w:w="1250" w:type="pct"/>
            <w:shd w:val="clear" w:color="auto" w:fill="FFFFFF"/>
          </w:tcPr>
          <w:p w14:paraId="53F63168" w14:textId="77777777" w:rsidR="00B073F9" w:rsidRPr="00B073F9" w:rsidRDefault="00B073F9" w:rsidP="00B073F9">
            <w:pPr>
              <w:pStyle w:val="CETBodytext"/>
            </w:pPr>
            <w:r w:rsidRPr="00B073F9">
              <w:t>Steam generator (boiler)</w:t>
            </w:r>
          </w:p>
        </w:tc>
        <w:tc>
          <w:tcPr>
            <w:tcW w:w="848" w:type="pct"/>
            <w:shd w:val="clear" w:color="auto" w:fill="FFFFFF"/>
          </w:tcPr>
          <w:p w14:paraId="26D25533" w14:textId="77777777" w:rsidR="00B073F9" w:rsidRPr="00B073F9" w:rsidRDefault="00B073F9" w:rsidP="00B073F9">
            <w:pPr>
              <w:pStyle w:val="CETBodytext"/>
            </w:pPr>
            <w:r w:rsidRPr="00B073F9">
              <w:t>HeatX (design)</w:t>
            </w:r>
          </w:p>
        </w:tc>
        <w:tc>
          <w:tcPr>
            <w:tcW w:w="1290" w:type="pct"/>
            <w:shd w:val="clear" w:color="auto" w:fill="FFFFFF"/>
          </w:tcPr>
          <w:p w14:paraId="6E1B4703" w14:textId="77777777" w:rsidR="00B073F9" w:rsidRPr="00B073F9" w:rsidRDefault="00B073F9" w:rsidP="00147980">
            <w:pPr>
              <w:pStyle w:val="CETBodytext"/>
              <w:ind w:right="143"/>
            </w:pPr>
            <w:r w:rsidRPr="00B073F9">
              <w:t>ΔP≈0</w:t>
            </w:r>
          </w:p>
        </w:tc>
        <w:tc>
          <w:tcPr>
            <w:tcW w:w="1612" w:type="pct"/>
            <w:shd w:val="clear" w:color="auto" w:fill="FFFFFF"/>
          </w:tcPr>
          <w:p w14:paraId="278034DA" w14:textId="77777777" w:rsidR="00B073F9" w:rsidRPr="00B073F9" w:rsidRDefault="00B073F9" w:rsidP="00B073F9">
            <w:pPr>
              <w:pStyle w:val="CETBodytext"/>
            </w:pPr>
            <w:r w:rsidRPr="00B073F9">
              <w:t>Specified cold stream outlet temperature: 410 °C.</w:t>
            </w:r>
          </w:p>
        </w:tc>
      </w:tr>
      <w:tr w:rsidR="00B073F9" w:rsidRPr="00B073F9" w14:paraId="0F227CC2" w14:textId="77777777" w:rsidTr="00B073F9">
        <w:tc>
          <w:tcPr>
            <w:tcW w:w="1250" w:type="pct"/>
            <w:shd w:val="clear" w:color="auto" w:fill="FFFFFF"/>
          </w:tcPr>
          <w:p w14:paraId="31D29669" w14:textId="77777777" w:rsidR="00B073F9" w:rsidRPr="00B073F9" w:rsidRDefault="00B073F9" w:rsidP="00B073F9">
            <w:pPr>
              <w:pStyle w:val="CETBodytext"/>
            </w:pPr>
            <w:r w:rsidRPr="00B073F9">
              <w:t>Steam turbine</w:t>
            </w:r>
          </w:p>
        </w:tc>
        <w:tc>
          <w:tcPr>
            <w:tcW w:w="848" w:type="pct"/>
            <w:shd w:val="clear" w:color="auto" w:fill="FFFFFF"/>
          </w:tcPr>
          <w:p w14:paraId="76E0FB67" w14:textId="77777777" w:rsidR="00B073F9" w:rsidRPr="00B073F9" w:rsidRDefault="00B073F9" w:rsidP="00B073F9">
            <w:pPr>
              <w:pStyle w:val="CETBodytext"/>
            </w:pPr>
            <w:r w:rsidRPr="00B073F9">
              <w:t>Compr</w:t>
            </w:r>
          </w:p>
        </w:tc>
        <w:tc>
          <w:tcPr>
            <w:tcW w:w="1290" w:type="pct"/>
            <w:shd w:val="clear" w:color="auto" w:fill="FFFFFF"/>
          </w:tcPr>
          <w:p w14:paraId="3019A6A4" w14:textId="171CD181" w:rsidR="00B073F9" w:rsidRPr="00B073F9" w:rsidRDefault="0069475E" w:rsidP="00147980">
            <w:pPr>
              <w:pStyle w:val="CETBodytext"/>
              <w:ind w:right="143"/>
            </w:pPr>
            <w:r w:rsidRPr="00B073F9">
              <w:t>Discharge pressure 0.05 bar.</w:t>
            </w:r>
          </w:p>
        </w:tc>
        <w:tc>
          <w:tcPr>
            <w:tcW w:w="1612" w:type="pct"/>
            <w:shd w:val="clear" w:color="auto" w:fill="FFFFFF"/>
          </w:tcPr>
          <w:p w14:paraId="631A9DBE" w14:textId="2F18D5B1" w:rsidR="00B073F9" w:rsidRPr="00B073F9" w:rsidRDefault="00B073F9" w:rsidP="00B073F9">
            <w:pPr>
              <w:pStyle w:val="CETBodytext"/>
            </w:pPr>
            <w:r w:rsidRPr="00B073F9">
              <w:t xml:space="preserve">Isentropic efficiency: 0.85. </w:t>
            </w:r>
          </w:p>
        </w:tc>
      </w:tr>
      <w:tr w:rsidR="00B073F9" w:rsidRPr="00B073F9" w14:paraId="50340887" w14:textId="77777777" w:rsidTr="00B073F9">
        <w:tc>
          <w:tcPr>
            <w:tcW w:w="1250" w:type="pct"/>
            <w:shd w:val="clear" w:color="auto" w:fill="FFFFFF"/>
          </w:tcPr>
          <w:p w14:paraId="3918E62F" w14:textId="77777777" w:rsidR="00B073F9" w:rsidRPr="00B073F9" w:rsidRDefault="00B073F9" w:rsidP="00B073F9">
            <w:pPr>
              <w:pStyle w:val="CETBodytext"/>
            </w:pPr>
            <w:r w:rsidRPr="00B073F9">
              <w:t>Steam condenser</w:t>
            </w:r>
          </w:p>
        </w:tc>
        <w:tc>
          <w:tcPr>
            <w:tcW w:w="848" w:type="pct"/>
            <w:shd w:val="clear" w:color="auto" w:fill="FFFFFF"/>
          </w:tcPr>
          <w:p w14:paraId="0B436C66" w14:textId="77777777" w:rsidR="00B073F9" w:rsidRPr="00B073F9" w:rsidRDefault="00B073F9" w:rsidP="00B073F9">
            <w:pPr>
              <w:pStyle w:val="CETBodytext"/>
            </w:pPr>
            <w:r w:rsidRPr="00B073F9">
              <w:t>Flash2</w:t>
            </w:r>
          </w:p>
        </w:tc>
        <w:tc>
          <w:tcPr>
            <w:tcW w:w="1290" w:type="pct"/>
            <w:shd w:val="clear" w:color="auto" w:fill="FFFFFF"/>
          </w:tcPr>
          <w:p w14:paraId="34A237EF" w14:textId="77777777" w:rsidR="00B073F9" w:rsidRPr="00B073F9" w:rsidRDefault="00B073F9" w:rsidP="00147980">
            <w:pPr>
              <w:pStyle w:val="CETBodytext"/>
              <w:ind w:right="143"/>
            </w:pPr>
            <w:r w:rsidRPr="00B073F9">
              <w:t>0.05 bar</w:t>
            </w:r>
          </w:p>
        </w:tc>
        <w:tc>
          <w:tcPr>
            <w:tcW w:w="1612" w:type="pct"/>
            <w:shd w:val="clear" w:color="auto" w:fill="FFFFFF"/>
          </w:tcPr>
          <w:p w14:paraId="4E488C1D" w14:textId="77777777" w:rsidR="00B073F9" w:rsidRPr="00B073F9" w:rsidRDefault="00B073F9" w:rsidP="00B073F9">
            <w:pPr>
              <w:pStyle w:val="CETBodytext"/>
            </w:pPr>
            <w:r w:rsidRPr="00B073F9">
              <w:t>Vapor fraction: 0</w:t>
            </w:r>
          </w:p>
        </w:tc>
      </w:tr>
      <w:tr w:rsidR="00B073F9" w:rsidRPr="00B073F9" w14:paraId="5C79CB11" w14:textId="77777777" w:rsidTr="00B073F9">
        <w:tc>
          <w:tcPr>
            <w:tcW w:w="1250" w:type="pct"/>
            <w:shd w:val="clear" w:color="auto" w:fill="FFFFFF"/>
          </w:tcPr>
          <w:p w14:paraId="773814A2" w14:textId="77777777" w:rsidR="00B073F9" w:rsidRPr="00B073F9" w:rsidRDefault="00B073F9" w:rsidP="00B073F9">
            <w:pPr>
              <w:pStyle w:val="CETBodytext"/>
            </w:pPr>
            <w:r w:rsidRPr="00B073F9">
              <w:t>Water pump</w:t>
            </w:r>
          </w:p>
        </w:tc>
        <w:tc>
          <w:tcPr>
            <w:tcW w:w="848" w:type="pct"/>
            <w:shd w:val="clear" w:color="auto" w:fill="FFFFFF"/>
          </w:tcPr>
          <w:p w14:paraId="3D7C72C7" w14:textId="77777777" w:rsidR="00B073F9" w:rsidRPr="00B073F9" w:rsidRDefault="00B073F9" w:rsidP="00B073F9">
            <w:pPr>
              <w:pStyle w:val="CETBodytext"/>
            </w:pPr>
            <w:r w:rsidRPr="00B073F9">
              <w:t>Pump</w:t>
            </w:r>
          </w:p>
        </w:tc>
        <w:tc>
          <w:tcPr>
            <w:tcW w:w="1290" w:type="pct"/>
            <w:shd w:val="clear" w:color="auto" w:fill="FFFFFF"/>
          </w:tcPr>
          <w:p w14:paraId="6A4C13BB" w14:textId="74521092" w:rsidR="00B073F9" w:rsidRPr="00B073F9" w:rsidRDefault="0069475E" w:rsidP="00147980">
            <w:pPr>
              <w:pStyle w:val="CETBodytext"/>
              <w:ind w:right="143"/>
            </w:pPr>
            <w:r w:rsidRPr="00B073F9">
              <w:t>Discharge pressure: 20 bar;</w:t>
            </w:r>
          </w:p>
        </w:tc>
        <w:tc>
          <w:tcPr>
            <w:tcW w:w="1612" w:type="pct"/>
            <w:shd w:val="clear" w:color="auto" w:fill="FFFFFF"/>
          </w:tcPr>
          <w:p w14:paraId="039DEC2A" w14:textId="04DED9B1" w:rsidR="00B073F9" w:rsidRPr="00B073F9" w:rsidRDefault="00B073F9" w:rsidP="00B073F9">
            <w:pPr>
              <w:pStyle w:val="CETBodytext"/>
            </w:pPr>
            <w:r w:rsidRPr="00B073F9">
              <w:t>Pump efficiency: 0.85.</w:t>
            </w:r>
          </w:p>
        </w:tc>
      </w:tr>
      <w:tr w:rsidR="00B073F9" w:rsidRPr="00B073F9" w14:paraId="2E0CDEA8" w14:textId="77777777" w:rsidTr="00B073F9">
        <w:tc>
          <w:tcPr>
            <w:tcW w:w="1250" w:type="pct"/>
            <w:shd w:val="clear" w:color="auto" w:fill="FFFFFF"/>
          </w:tcPr>
          <w:p w14:paraId="477033C7" w14:textId="77777777" w:rsidR="00B073F9" w:rsidRPr="00B073F9" w:rsidRDefault="00B073F9" w:rsidP="00B073F9">
            <w:pPr>
              <w:pStyle w:val="CETBodytext"/>
            </w:pPr>
            <w:r w:rsidRPr="00B073F9">
              <w:t>Syngas cleaning</w:t>
            </w:r>
          </w:p>
        </w:tc>
        <w:tc>
          <w:tcPr>
            <w:tcW w:w="848" w:type="pct"/>
            <w:shd w:val="clear" w:color="auto" w:fill="FFFFFF"/>
          </w:tcPr>
          <w:p w14:paraId="367F22A6" w14:textId="77777777" w:rsidR="00B073F9" w:rsidRPr="00B073F9" w:rsidRDefault="00B073F9" w:rsidP="00B073F9">
            <w:pPr>
              <w:pStyle w:val="CETBodytext"/>
            </w:pPr>
            <w:r w:rsidRPr="00B073F9">
              <w:t>Sep</w:t>
            </w:r>
          </w:p>
        </w:tc>
        <w:tc>
          <w:tcPr>
            <w:tcW w:w="1290" w:type="pct"/>
            <w:shd w:val="clear" w:color="auto" w:fill="FFFFFF"/>
          </w:tcPr>
          <w:p w14:paraId="46610D7A" w14:textId="77777777" w:rsidR="00B073F9" w:rsidRPr="00B073F9" w:rsidRDefault="00B073F9" w:rsidP="00147980">
            <w:pPr>
              <w:pStyle w:val="CETBodytext"/>
              <w:ind w:right="143"/>
            </w:pPr>
          </w:p>
        </w:tc>
        <w:tc>
          <w:tcPr>
            <w:tcW w:w="1612" w:type="pct"/>
            <w:shd w:val="clear" w:color="auto" w:fill="FFFFFF"/>
          </w:tcPr>
          <w:p w14:paraId="144ECCA0" w14:textId="77777777" w:rsidR="00B073F9" w:rsidRPr="00B073F9" w:rsidRDefault="00B073F9" w:rsidP="00B073F9">
            <w:pPr>
              <w:pStyle w:val="CETBodytext"/>
            </w:pPr>
            <w:r w:rsidRPr="00B073F9">
              <w:t>Split fraction of waste (C, S, Cl</w:t>
            </w:r>
            <w:r w:rsidRPr="00B073F9">
              <w:rPr>
                <w:vertAlign w:val="subscript"/>
              </w:rPr>
              <w:t>2</w:t>
            </w:r>
            <w:r w:rsidRPr="00B073F9">
              <w:t>) is 1.</w:t>
            </w:r>
          </w:p>
        </w:tc>
      </w:tr>
      <w:tr w:rsidR="00B073F9" w:rsidRPr="00B073F9" w14:paraId="7C2B2148" w14:textId="77777777" w:rsidTr="00B073F9">
        <w:tc>
          <w:tcPr>
            <w:tcW w:w="1250" w:type="pct"/>
            <w:shd w:val="clear" w:color="auto" w:fill="FFFFFF"/>
          </w:tcPr>
          <w:p w14:paraId="3EC6A647" w14:textId="557152C2" w:rsidR="00B073F9" w:rsidRPr="00B073F9" w:rsidRDefault="00B073F9" w:rsidP="003C5095">
            <w:pPr>
              <w:pStyle w:val="CETBodytext"/>
              <w:jc w:val="left"/>
            </w:pPr>
            <w:r w:rsidRPr="00B073F9">
              <w:t>Methanation</w:t>
            </w:r>
            <w:r w:rsidR="003C5095">
              <w:t xml:space="preserve"> </w:t>
            </w:r>
            <w:r w:rsidRPr="00B073F9">
              <w:t>reactor (PFR1)</w:t>
            </w:r>
          </w:p>
        </w:tc>
        <w:tc>
          <w:tcPr>
            <w:tcW w:w="848" w:type="pct"/>
            <w:shd w:val="clear" w:color="auto" w:fill="FFFFFF"/>
          </w:tcPr>
          <w:p w14:paraId="65E5C410" w14:textId="77777777" w:rsidR="00B073F9" w:rsidRPr="00B073F9" w:rsidRDefault="00B073F9" w:rsidP="00B073F9">
            <w:pPr>
              <w:pStyle w:val="CETBodytext"/>
            </w:pPr>
            <w:r w:rsidRPr="00B073F9">
              <w:t xml:space="preserve">RPlug </w:t>
            </w:r>
          </w:p>
        </w:tc>
        <w:tc>
          <w:tcPr>
            <w:tcW w:w="1290" w:type="pct"/>
            <w:shd w:val="clear" w:color="auto" w:fill="FFFFFF"/>
          </w:tcPr>
          <w:p w14:paraId="3A9F8496" w14:textId="77777777" w:rsidR="00B073F9" w:rsidRPr="00B073F9" w:rsidRDefault="00B073F9" w:rsidP="00147980">
            <w:pPr>
              <w:pStyle w:val="CETBodytext"/>
              <w:ind w:right="143"/>
            </w:pPr>
            <w:r w:rsidRPr="00B073F9">
              <w:t>Adiabatic</w:t>
            </w:r>
          </w:p>
        </w:tc>
        <w:tc>
          <w:tcPr>
            <w:tcW w:w="1612" w:type="pct"/>
            <w:shd w:val="clear" w:color="auto" w:fill="FFFFFF"/>
          </w:tcPr>
          <w:p w14:paraId="14AE421D" w14:textId="77777777" w:rsidR="00B073F9" w:rsidRPr="00B073F9" w:rsidRDefault="00B073F9" w:rsidP="00B073F9">
            <w:pPr>
              <w:pStyle w:val="CETBodytext"/>
            </w:pPr>
            <w:r w:rsidRPr="00B073F9">
              <w:t>Length: 0.35 m; Diameter: 0.57 m. Bed void fraction: 0.39, catalyst particle density: 1475 kg/m</w:t>
            </w:r>
            <w:r w:rsidRPr="00B073F9">
              <w:rPr>
                <w:vertAlign w:val="superscript"/>
              </w:rPr>
              <w:t>3</w:t>
            </w:r>
            <w:r w:rsidRPr="00B073F9">
              <w:t>, particle diameter: 3 mm. Mole-</w:t>
            </w:r>
            <w:r w:rsidRPr="00B073F9">
              <w:lastRenderedPageBreak/>
              <w:t>based recycle ratio: 5.6. Catalyst mass: 131.7 kg</w:t>
            </w:r>
          </w:p>
        </w:tc>
      </w:tr>
      <w:tr w:rsidR="00B073F9" w:rsidRPr="00B073F9" w14:paraId="3AAA3BE0" w14:textId="77777777" w:rsidTr="00B073F9">
        <w:tc>
          <w:tcPr>
            <w:tcW w:w="1250" w:type="pct"/>
            <w:shd w:val="clear" w:color="auto" w:fill="FFFFFF"/>
          </w:tcPr>
          <w:p w14:paraId="1DA8C3B1" w14:textId="77777777" w:rsidR="00B073F9" w:rsidRPr="00B073F9" w:rsidRDefault="00B073F9" w:rsidP="003C5095">
            <w:pPr>
              <w:pStyle w:val="CETBodytext"/>
              <w:jc w:val="left"/>
            </w:pPr>
            <w:r w:rsidRPr="00B073F9">
              <w:lastRenderedPageBreak/>
              <w:t>Methanation reactor (PFR2)</w:t>
            </w:r>
          </w:p>
        </w:tc>
        <w:tc>
          <w:tcPr>
            <w:tcW w:w="848" w:type="pct"/>
            <w:shd w:val="clear" w:color="auto" w:fill="FFFFFF"/>
          </w:tcPr>
          <w:p w14:paraId="6E680C94" w14:textId="77777777" w:rsidR="00B073F9" w:rsidRPr="00B073F9" w:rsidRDefault="00B073F9" w:rsidP="00B073F9">
            <w:pPr>
              <w:pStyle w:val="CETBodytext"/>
            </w:pPr>
            <w:r w:rsidRPr="00B073F9">
              <w:t>RPlug</w:t>
            </w:r>
          </w:p>
        </w:tc>
        <w:tc>
          <w:tcPr>
            <w:tcW w:w="1290" w:type="pct"/>
            <w:shd w:val="clear" w:color="auto" w:fill="FFFFFF"/>
          </w:tcPr>
          <w:p w14:paraId="28B77B35" w14:textId="77777777" w:rsidR="00B073F9" w:rsidRPr="00B073F9" w:rsidRDefault="00B073F9" w:rsidP="00DE574B">
            <w:pPr>
              <w:pStyle w:val="CETBodytext"/>
              <w:ind w:right="143"/>
            </w:pPr>
            <w:r w:rsidRPr="00B073F9">
              <w:t>Adiabatic</w:t>
            </w:r>
          </w:p>
        </w:tc>
        <w:tc>
          <w:tcPr>
            <w:tcW w:w="1612" w:type="pct"/>
            <w:shd w:val="clear" w:color="auto" w:fill="FFFFFF"/>
          </w:tcPr>
          <w:p w14:paraId="21FE7A65" w14:textId="77777777" w:rsidR="00B073F9" w:rsidRPr="00B073F9" w:rsidRDefault="00B073F9" w:rsidP="00B073F9">
            <w:pPr>
              <w:pStyle w:val="CETBodytext"/>
            </w:pPr>
            <w:r w:rsidRPr="00B073F9">
              <w:t>Length: 0.37 m; Diameter: 0.18 m. Bed void fraction: 0.39, catalyst particle density 1475 kg/m</w:t>
            </w:r>
            <w:r w:rsidRPr="00B073F9">
              <w:rPr>
                <w:vertAlign w:val="superscript"/>
              </w:rPr>
              <w:t>3</w:t>
            </w:r>
            <w:r w:rsidRPr="00B073F9">
              <w:t>, particle diameter: 3 mm. Catalyst mass: 13.9 kg.</w:t>
            </w:r>
          </w:p>
        </w:tc>
      </w:tr>
      <w:tr w:rsidR="00B073F9" w:rsidRPr="00B073F9" w14:paraId="3BAB755C" w14:textId="77777777" w:rsidTr="00B073F9">
        <w:tc>
          <w:tcPr>
            <w:tcW w:w="1250" w:type="pct"/>
            <w:shd w:val="clear" w:color="auto" w:fill="FFFFFF"/>
          </w:tcPr>
          <w:p w14:paraId="2FC7C948" w14:textId="77777777" w:rsidR="00B073F9" w:rsidRPr="00B073F9" w:rsidRDefault="00B073F9" w:rsidP="003C5095">
            <w:pPr>
              <w:pStyle w:val="CETBodytext"/>
              <w:jc w:val="left"/>
            </w:pPr>
            <w:r w:rsidRPr="00B073F9">
              <w:t>Water condenser (methanation)</w:t>
            </w:r>
          </w:p>
        </w:tc>
        <w:tc>
          <w:tcPr>
            <w:tcW w:w="848" w:type="pct"/>
            <w:shd w:val="clear" w:color="auto" w:fill="FFFFFF"/>
          </w:tcPr>
          <w:p w14:paraId="1E819EE2" w14:textId="77777777" w:rsidR="00B073F9" w:rsidRPr="00B073F9" w:rsidRDefault="00B073F9" w:rsidP="00B073F9">
            <w:pPr>
              <w:pStyle w:val="CETBodytext"/>
            </w:pPr>
            <w:r w:rsidRPr="00B073F9">
              <w:t>Flash2</w:t>
            </w:r>
          </w:p>
        </w:tc>
        <w:tc>
          <w:tcPr>
            <w:tcW w:w="1290" w:type="pct"/>
            <w:shd w:val="clear" w:color="auto" w:fill="FFFFFF"/>
          </w:tcPr>
          <w:p w14:paraId="6DB901C4" w14:textId="77777777" w:rsidR="00B073F9" w:rsidRPr="00B073F9" w:rsidRDefault="00B073F9" w:rsidP="00DE574B">
            <w:pPr>
              <w:pStyle w:val="CETBodytext"/>
              <w:ind w:right="143"/>
            </w:pPr>
            <w:r w:rsidRPr="00B073F9">
              <w:t>90°C, 5 bar</w:t>
            </w:r>
          </w:p>
        </w:tc>
        <w:tc>
          <w:tcPr>
            <w:tcW w:w="1612" w:type="pct"/>
            <w:shd w:val="clear" w:color="auto" w:fill="FFFFFF"/>
          </w:tcPr>
          <w:p w14:paraId="6D85A8D9" w14:textId="77777777" w:rsidR="00B073F9" w:rsidRPr="00B073F9" w:rsidRDefault="00B073F9" w:rsidP="00B073F9">
            <w:pPr>
              <w:pStyle w:val="CETBodytext"/>
            </w:pPr>
          </w:p>
        </w:tc>
      </w:tr>
      <w:tr w:rsidR="00B073F9" w:rsidRPr="00B073F9" w14:paraId="64446345" w14:textId="77777777" w:rsidTr="00B073F9">
        <w:tc>
          <w:tcPr>
            <w:tcW w:w="1250" w:type="pct"/>
            <w:shd w:val="clear" w:color="auto" w:fill="FFFFFF"/>
          </w:tcPr>
          <w:p w14:paraId="3BC20CE2" w14:textId="77777777" w:rsidR="00B073F9" w:rsidRPr="00B073F9" w:rsidRDefault="00B073F9" w:rsidP="00B073F9">
            <w:pPr>
              <w:pStyle w:val="CETBodytext"/>
            </w:pPr>
            <w:r w:rsidRPr="00B073F9">
              <w:t>Syngas compressor (DME)</w:t>
            </w:r>
          </w:p>
        </w:tc>
        <w:tc>
          <w:tcPr>
            <w:tcW w:w="848" w:type="pct"/>
            <w:shd w:val="clear" w:color="auto" w:fill="FFFFFF"/>
          </w:tcPr>
          <w:p w14:paraId="1E75185D" w14:textId="77777777" w:rsidR="00B073F9" w:rsidRPr="00B073F9" w:rsidRDefault="00B073F9" w:rsidP="00B073F9">
            <w:pPr>
              <w:pStyle w:val="CETBodytext"/>
            </w:pPr>
            <w:r w:rsidRPr="00B073F9">
              <w:t>Compr</w:t>
            </w:r>
          </w:p>
        </w:tc>
        <w:tc>
          <w:tcPr>
            <w:tcW w:w="1290" w:type="pct"/>
            <w:shd w:val="clear" w:color="auto" w:fill="FFFFFF"/>
          </w:tcPr>
          <w:p w14:paraId="0D346E99" w14:textId="2DFA6ECE" w:rsidR="00B073F9" w:rsidRPr="00B073F9" w:rsidRDefault="00DE574B" w:rsidP="00DE574B">
            <w:pPr>
              <w:pStyle w:val="CETBodytext"/>
              <w:ind w:right="143"/>
            </w:pPr>
            <w:r w:rsidRPr="00B073F9">
              <w:t>Discharge pressure: 50 bar.</w:t>
            </w:r>
          </w:p>
        </w:tc>
        <w:tc>
          <w:tcPr>
            <w:tcW w:w="1612" w:type="pct"/>
            <w:shd w:val="clear" w:color="auto" w:fill="FFFFFF"/>
          </w:tcPr>
          <w:p w14:paraId="2F8389A6" w14:textId="43018FE7" w:rsidR="00B073F9" w:rsidRPr="00B073F9" w:rsidRDefault="00B073F9" w:rsidP="00B073F9">
            <w:pPr>
              <w:pStyle w:val="CETBodytext"/>
            </w:pPr>
            <w:r w:rsidRPr="00B073F9">
              <w:t>Isentropic efficiency: 0.85.</w:t>
            </w:r>
          </w:p>
        </w:tc>
      </w:tr>
      <w:tr w:rsidR="00B073F9" w:rsidRPr="00B073F9" w14:paraId="19B19D11" w14:textId="77777777" w:rsidTr="00B073F9">
        <w:tc>
          <w:tcPr>
            <w:tcW w:w="1250" w:type="pct"/>
            <w:shd w:val="clear" w:color="auto" w:fill="FFFFFF"/>
          </w:tcPr>
          <w:p w14:paraId="2EA13039" w14:textId="77777777" w:rsidR="00B073F9" w:rsidRPr="00B073F9" w:rsidRDefault="00B073F9" w:rsidP="00B073F9">
            <w:pPr>
              <w:pStyle w:val="CETBodytext"/>
            </w:pPr>
            <w:r w:rsidRPr="00B073F9">
              <w:t>DME synthesis reactor</w:t>
            </w:r>
          </w:p>
        </w:tc>
        <w:tc>
          <w:tcPr>
            <w:tcW w:w="848" w:type="pct"/>
            <w:shd w:val="clear" w:color="auto" w:fill="FFFFFF"/>
          </w:tcPr>
          <w:p w14:paraId="78C3D298" w14:textId="77777777" w:rsidR="00B073F9" w:rsidRPr="00B073F9" w:rsidRDefault="00B073F9" w:rsidP="00B073F9">
            <w:pPr>
              <w:pStyle w:val="CETBodytext"/>
            </w:pPr>
            <w:r w:rsidRPr="00B073F9">
              <w:t>RPlug</w:t>
            </w:r>
          </w:p>
        </w:tc>
        <w:tc>
          <w:tcPr>
            <w:tcW w:w="1290" w:type="pct"/>
            <w:shd w:val="clear" w:color="auto" w:fill="FFFFFF"/>
          </w:tcPr>
          <w:p w14:paraId="420CB3E8" w14:textId="77777777" w:rsidR="003C5095" w:rsidRDefault="00B073F9" w:rsidP="00DE574B">
            <w:pPr>
              <w:pStyle w:val="CETBodytext"/>
              <w:ind w:right="143"/>
            </w:pPr>
            <w:r w:rsidRPr="00B073F9">
              <w:t xml:space="preserve">Isothermal (250°C) </w:t>
            </w:r>
          </w:p>
          <w:p w14:paraId="0B7313E6" w14:textId="200A3129" w:rsidR="00B073F9" w:rsidRPr="00B073F9" w:rsidRDefault="00B073F9" w:rsidP="00DE574B">
            <w:pPr>
              <w:pStyle w:val="CETBodytext"/>
              <w:ind w:right="143"/>
            </w:pPr>
            <w:r w:rsidRPr="00B073F9">
              <w:t>50 bar</w:t>
            </w:r>
          </w:p>
        </w:tc>
        <w:tc>
          <w:tcPr>
            <w:tcW w:w="1612" w:type="pct"/>
            <w:shd w:val="clear" w:color="auto" w:fill="FFFFFF"/>
          </w:tcPr>
          <w:p w14:paraId="58CF09A3" w14:textId="77777777" w:rsidR="00B073F9" w:rsidRPr="00B073F9" w:rsidRDefault="00B073F9" w:rsidP="00B073F9">
            <w:pPr>
              <w:pStyle w:val="CETBodytext"/>
            </w:pPr>
            <w:r w:rsidRPr="00B073F9">
              <w:t>Catalyst weight: 651 kg; Diameter: 0.3 m. Bed void fraction 0.4, catalyst particle density 1982.5 kg/m</w:t>
            </w:r>
            <w:r w:rsidRPr="00B073F9">
              <w:rPr>
                <w:vertAlign w:val="superscript"/>
              </w:rPr>
              <w:t>3</w:t>
            </w:r>
            <w:r w:rsidRPr="00B073F9">
              <w:t>, particle diameter: 2 mm</w:t>
            </w:r>
          </w:p>
        </w:tc>
      </w:tr>
      <w:tr w:rsidR="00B073F9" w:rsidRPr="00B073F9" w14:paraId="7BC639B9" w14:textId="77777777" w:rsidTr="00B073F9">
        <w:tc>
          <w:tcPr>
            <w:tcW w:w="1250" w:type="pct"/>
            <w:shd w:val="clear" w:color="auto" w:fill="FFFFFF"/>
          </w:tcPr>
          <w:p w14:paraId="4DE34966" w14:textId="77777777" w:rsidR="00B073F9" w:rsidRPr="00B073F9" w:rsidRDefault="00B073F9" w:rsidP="00B073F9">
            <w:pPr>
              <w:pStyle w:val="CETBodytext"/>
            </w:pPr>
            <w:r w:rsidRPr="00B073F9">
              <w:t>DME/MeOH distillation</w:t>
            </w:r>
          </w:p>
        </w:tc>
        <w:tc>
          <w:tcPr>
            <w:tcW w:w="848" w:type="pct"/>
            <w:shd w:val="clear" w:color="auto" w:fill="FFFFFF"/>
          </w:tcPr>
          <w:p w14:paraId="2383BF0C" w14:textId="77777777" w:rsidR="00B073F9" w:rsidRPr="00B073F9" w:rsidRDefault="00B073F9" w:rsidP="00B073F9">
            <w:pPr>
              <w:pStyle w:val="CETBodytext"/>
            </w:pPr>
            <w:r w:rsidRPr="00B073F9">
              <w:t>Sep</w:t>
            </w:r>
          </w:p>
        </w:tc>
        <w:tc>
          <w:tcPr>
            <w:tcW w:w="1290" w:type="pct"/>
            <w:shd w:val="clear" w:color="auto" w:fill="FFFFFF"/>
          </w:tcPr>
          <w:p w14:paraId="104505E8" w14:textId="77777777" w:rsidR="00B073F9" w:rsidRPr="00B073F9" w:rsidRDefault="00B073F9" w:rsidP="00DE574B">
            <w:pPr>
              <w:pStyle w:val="CETBodytext"/>
              <w:ind w:right="143"/>
            </w:pPr>
          </w:p>
        </w:tc>
        <w:tc>
          <w:tcPr>
            <w:tcW w:w="1612" w:type="pct"/>
            <w:shd w:val="clear" w:color="auto" w:fill="FFFFFF"/>
          </w:tcPr>
          <w:p w14:paraId="430040E4" w14:textId="77777777" w:rsidR="00B073F9" w:rsidRPr="00B073F9" w:rsidRDefault="00B073F9" w:rsidP="00B073F9">
            <w:pPr>
              <w:pStyle w:val="CETBodytext"/>
            </w:pPr>
            <w:r w:rsidRPr="00B073F9">
              <w:t>Ideal separation.</w:t>
            </w:r>
          </w:p>
        </w:tc>
      </w:tr>
    </w:tbl>
    <w:p w14:paraId="69A9A426" w14:textId="77777777" w:rsidR="00D8120D" w:rsidRDefault="00D8120D" w:rsidP="00B960B4">
      <w:pPr>
        <w:pStyle w:val="CETBodytext"/>
        <w:rPr>
          <w:lang w:val="en-GB"/>
        </w:rPr>
      </w:pPr>
    </w:p>
    <w:p w14:paraId="271C4354" w14:textId="3420CEC8" w:rsidR="00127BF9" w:rsidRPr="00D41E3D" w:rsidRDefault="00B960B4" w:rsidP="00B960B4">
      <w:pPr>
        <w:pStyle w:val="CETBodytext"/>
        <w:rPr>
          <w:lang w:val="en-GB"/>
        </w:rPr>
      </w:pPr>
      <w:r w:rsidRPr="00D41E3D">
        <w:rPr>
          <w:lang w:val="en-GB"/>
        </w:rPr>
        <w:t xml:space="preserve">The proximate and ultimate analysis for the </w:t>
      </w:r>
      <w:r w:rsidR="00797E7D" w:rsidRPr="00D41E3D">
        <w:rPr>
          <w:lang w:val="en-GB"/>
        </w:rPr>
        <w:t xml:space="preserve">rice </w:t>
      </w:r>
      <w:r w:rsidR="00930817" w:rsidRPr="00D41E3D">
        <w:rPr>
          <w:lang w:val="en-GB"/>
        </w:rPr>
        <w:t>straw</w:t>
      </w:r>
      <w:r w:rsidRPr="00D41E3D">
        <w:rPr>
          <w:lang w:val="en-GB"/>
        </w:rPr>
        <w:t xml:space="preserve"> </w:t>
      </w:r>
      <w:r w:rsidR="000D6C46" w:rsidRPr="00D41E3D">
        <w:rPr>
          <w:lang w:val="en-GB"/>
        </w:rPr>
        <w:t>is</w:t>
      </w:r>
      <w:r w:rsidRPr="00D41E3D">
        <w:rPr>
          <w:lang w:val="en-GB"/>
        </w:rPr>
        <w:t xml:space="preserve"> reported in Table </w:t>
      </w:r>
      <w:r w:rsidR="002C0930">
        <w:rPr>
          <w:lang w:val="en-GB"/>
        </w:rPr>
        <w:t>2</w:t>
      </w:r>
      <w:r w:rsidR="00A75CC4" w:rsidRPr="00D41E3D">
        <w:rPr>
          <w:lang w:val="en-GB"/>
        </w:rPr>
        <w:t>.</w:t>
      </w:r>
      <w:r w:rsidR="006525EF" w:rsidRPr="00D41E3D">
        <w:rPr>
          <w:lang w:val="en-GB"/>
        </w:rPr>
        <w:t xml:space="preserve"> </w:t>
      </w:r>
      <w:r w:rsidR="00054AE8" w:rsidRPr="00D41E3D">
        <w:rPr>
          <w:lang w:val="en-GB"/>
        </w:rPr>
        <w:t>The s</w:t>
      </w:r>
      <w:r w:rsidR="006525EF" w:rsidRPr="00D41E3D">
        <w:rPr>
          <w:lang w:val="en-GB"/>
        </w:rPr>
        <w:t xml:space="preserve">tream class was </w:t>
      </w:r>
      <w:r w:rsidR="00054AE8" w:rsidRPr="00D41E3D">
        <w:rPr>
          <w:lang w:val="en-GB"/>
        </w:rPr>
        <w:t>set</w:t>
      </w:r>
      <w:r w:rsidR="006525EF" w:rsidRPr="00D41E3D">
        <w:rPr>
          <w:lang w:val="en-GB"/>
        </w:rPr>
        <w:t xml:space="preserve"> as MIXCINC because both conventional and non-conventional solids are present, but no particle size distribution is considered. </w:t>
      </w:r>
      <w:r w:rsidR="00127BF9" w:rsidRPr="00D41E3D">
        <w:rPr>
          <w:lang w:val="en-GB"/>
        </w:rPr>
        <w:t>The Peng-Robinson equation of state with Boston – Mathias modifications was employed as thermodynamic method of calculation because it is suitable for nonpolar or mildly polar gas mixtures (e.g., syngas) (</w:t>
      </w:r>
      <w:r w:rsidR="00127BF9" w:rsidRPr="001102E5">
        <w:rPr>
          <w:lang w:val="en-GB"/>
        </w:rPr>
        <w:t>Aspen Tech, 2010</w:t>
      </w:r>
      <w:r w:rsidR="00127BF9" w:rsidRPr="00D41E3D">
        <w:rPr>
          <w:lang w:val="en-GB"/>
        </w:rPr>
        <w:t>). The feed stream ‘Biomass’ is defined as non-conventional solid.</w:t>
      </w:r>
    </w:p>
    <w:p w14:paraId="310B7E50" w14:textId="77777777" w:rsidR="00D8120D" w:rsidRDefault="00D8120D" w:rsidP="00D8120D">
      <w:pPr>
        <w:pStyle w:val="CETTabletitle"/>
      </w:pPr>
      <w:r w:rsidRPr="001102E5">
        <w:t>Table 2: Proximate and ultimate analysis of rice straw (Parvez et al., 2016)</w:t>
      </w:r>
    </w:p>
    <w:tbl>
      <w:tblPr>
        <w:tblW w:w="884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11"/>
        <w:gridCol w:w="2211"/>
        <w:gridCol w:w="2211"/>
        <w:gridCol w:w="2211"/>
      </w:tblGrid>
      <w:tr w:rsidR="00D8120D" w:rsidRPr="007D775F" w14:paraId="6657B02F" w14:textId="77777777" w:rsidTr="004607EB">
        <w:trPr>
          <w:trHeight w:val="255"/>
        </w:trPr>
        <w:tc>
          <w:tcPr>
            <w:tcW w:w="2211" w:type="dxa"/>
            <w:tcBorders>
              <w:top w:val="single" w:sz="12" w:space="0" w:color="008000"/>
              <w:bottom w:val="single" w:sz="6" w:space="0" w:color="008000"/>
            </w:tcBorders>
            <w:shd w:val="clear" w:color="auto" w:fill="FFFFFF"/>
          </w:tcPr>
          <w:p w14:paraId="058D03E2" w14:textId="77777777" w:rsidR="00D8120D" w:rsidRPr="007D775F" w:rsidRDefault="00D8120D" w:rsidP="004607EB">
            <w:pPr>
              <w:pStyle w:val="CETBodytext"/>
              <w:rPr>
                <w:lang w:val="en-GB"/>
              </w:rPr>
            </w:pPr>
            <w:r>
              <w:rPr>
                <w:lang w:val="en-GB"/>
              </w:rPr>
              <w:t>Proximate a</w:t>
            </w:r>
            <w:r w:rsidRPr="007D775F">
              <w:rPr>
                <w:lang w:val="en-GB"/>
              </w:rPr>
              <w:t>nalysis</w:t>
            </w:r>
          </w:p>
        </w:tc>
        <w:tc>
          <w:tcPr>
            <w:tcW w:w="2211" w:type="dxa"/>
            <w:tcBorders>
              <w:top w:val="single" w:sz="12" w:space="0" w:color="008000"/>
              <w:bottom w:val="single" w:sz="6" w:space="0" w:color="008000"/>
            </w:tcBorders>
            <w:shd w:val="clear" w:color="auto" w:fill="FFFFFF"/>
          </w:tcPr>
          <w:p w14:paraId="0DDAA057" w14:textId="6B36FE92" w:rsidR="00D8120D" w:rsidRPr="007D775F" w:rsidRDefault="00D8120D" w:rsidP="004607EB">
            <w:pPr>
              <w:pStyle w:val="CETBodytext"/>
              <w:rPr>
                <w:lang w:val="en-GB"/>
              </w:rPr>
            </w:pPr>
            <w:r w:rsidRPr="007D775F">
              <w:rPr>
                <w:lang w:val="en-GB"/>
              </w:rPr>
              <w:t>Content [wt</w:t>
            </w:r>
            <w:r w:rsidRPr="00125025">
              <w:rPr>
                <w:lang w:val="en-GB"/>
              </w:rPr>
              <w:t>% d</w:t>
            </w:r>
            <w:r w:rsidR="00D978FB" w:rsidRPr="00125025">
              <w:rPr>
                <w:lang w:val="en-GB"/>
              </w:rPr>
              <w:t xml:space="preserve">ry </w:t>
            </w:r>
            <w:r w:rsidRPr="00125025">
              <w:rPr>
                <w:lang w:val="en-GB"/>
              </w:rPr>
              <w:t>b</w:t>
            </w:r>
            <w:r w:rsidR="00D978FB" w:rsidRPr="00125025">
              <w:rPr>
                <w:lang w:val="en-GB"/>
              </w:rPr>
              <w:t>asis</w:t>
            </w:r>
            <w:r w:rsidRPr="007D775F">
              <w:rPr>
                <w:lang w:val="en-GB"/>
              </w:rPr>
              <w:t>]</w:t>
            </w:r>
          </w:p>
        </w:tc>
        <w:tc>
          <w:tcPr>
            <w:tcW w:w="2211" w:type="dxa"/>
            <w:tcBorders>
              <w:top w:val="single" w:sz="12" w:space="0" w:color="008000"/>
              <w:bottom w:val="single" w:sz="6" w:space="0" w:color="008000"/>
            </w:tcBorders>
            <w:shd w:val="clear" w:color="auto" w:fill="FFFFFF"/>
          </w:tcPr>
          <w:p w14:paraId="1745D5AB" w14:textId="77777777" w:rsidR="00D8120D" w:rsidRPr="007D775F" w:rsidRDefault="00D8120D" w:rsidP="004607EB">
            <w:pPr>
              <w:pStyle w:val="CETBodytext"/>
              <w:rPr>
                <w:lang w:val="en-GB"/>
              </w:rPr>
            </w:pPr>
            <w:r>
              <w:rPr>
                <w:lang w:val="en-GB"/>
              </w:rPr>
              <w:t>Ultimate a</w:t>
            </w:r>
            <w:r w:rsidRPr="007D775F">
              <w:rPr>
                <w:lang w:val="en-GB"/>
              </w:rPr>
              <w:t>nalysis</w:t>
            </w:r>
          </w:p>
        </w:tc>
        <w:tc>
          <w:tcPr>
            <w:tcW w:w="2211" w:type="dxa"/>
            <w:tcBorders>
              <w:top w:val="single" w:sz="12" w:space="0" w:color="008000"/>
              <w:bottom w:val="single" w:sz="6" w:space="0" w:color="008000"/>
            </w:tcBorders>
            <w:shd w:val="clear" w:color="auto" w:fill="FFFFFF"/>
          </w:tcPr>
          <w:p w14:paraId="6D22AD1A" w14:textId="5039F4D5" w:rsidR="00D8120D" w:rsidRPr="007D775F" w:rsidRDefault="00D8120D" w:rsidP="004607EB">
            <w:pPr>
              <w:pStyle w:val="CETBodytext"/>
              <w:rPr>
                <w:lang w:val="en-GB"/>
              </w:rPr>
            </w:pPr>
            <w:r w:rsidRPr="007D775F">
              <w:rPr>
                <w:lang w:val="en-GB"/>
              </w:rPr>
              <w:t>Content [wt</w:t>
            </w:r>
            <w:r w:rsidR="000F2643" w:rsidRPr="007D775F">
              <w:rPr>
                <w:lang w:val="en-GB"/>
              </w:rPr>
              <w:t>% dry</w:t>
            </w:r>
            <w:r w:rsidR="00D978FB">
              <w:rPr>
                <w:lang w:val="en-GB"/>
              </w:rPr>
              <w:t xml:space="preserve"> </w:t>
            </w:r>
            <w:r w:rsidR="00D978FB" w:rsidRPr="007D775F">
              <w:rPr>
                <w:lang w:val="en-GB"/>
              </w:rPr>
              <w:t>b</w:t>
            </w:r>
            <w:r w:rsidR="00D978FB">
              <w:rPr>
                <w:lang w:val="en-GB"/>
              </w:rPr>
              <w:t>asis</w:t>
            </w:r>
            <w:r w:rsidRPr="007D775F">
              <w:rPr>
                <w:lang w:val="en-GB"/>
              </w:rPr>
              <w:t>]</w:t>
            </w:r>
          </w:p>
        </w:tc>
      </w:tr>
      <w:tr w:rsidR="00D8120D" w:rsidRPr="007D775F" w14:paraId="3F969A7B" w14:textId="77777777" w:rsidTr="004607EB">
        <w:trPr>
          <w:trHeight w:val="247"/>
        </w:trPr>
        <w:tc>
          <w:tcPr>
            <w:tcW w:w="2211" w:type="dxa"/>
            <w:shd w:val="clear" w:color="auto" w:fill="FFFFFF"/>
          </w:tcPr>
          <w:p w14:paraId="4D0EF116" w14:textId="77777777" w:rsidR="00D8120D" w:rsidRPr="007D775F" w:rsidRDefault="00D8120D" w:rsidP="004607EB">
            <w:pPr>
              <w:pStyle w:val="CETBodytext"/>
              <w:rPr>
                <w:lang w:val="en-GB"/>
              </w:rPr>
            </w:pPr>
            <w:r w:rsidRPr="007D775F">
              <w:rPr>
                <w:lang w:val="en-GB"/>
              </w:rPr>
              <w:t xml:space="preserve">Moisture content </w:t>
            </w:r>
          </w:p>
        </w:tc>
        <w:tc>
          <w:tcPr>
            <w:tcW w:w="2211" w:type="dxa"/>
            <w:shd w:val="clear" w:color="auto" w:fill="FFFFFF"/>
          </w:tcPr>
          <w:p w14:paraId="5143B60D" w14:textId="77777777" w:rsidR="00D8120D" w:rsidRPr="007D775F" w:rsidRDefault="00D8120D" w:rsidP="004607EB">
            <w:pPr>
              <w:pStyle w:val="CETBodytext"/>
              <w:rPr>
                <w:lang w:val="en-GB"/>
              </w:rPr>
            </w:pPr>
            <w:r w:rsidRPr="007D775F">
              <w:rPr>
                <w:lang w:val="en-GB"/>
              </w:rPr>
              <w:t>8.9</w:t>
            </w:r>
          </w:p>
        </w:tc>
        <w:tc>
          <w:tcPr>
            <w:tcW w:w="2211" w:type="dxa"/>
            <w:shd w:val="clear" w:color="auto" w:fill="FFFFFF"/>
          </w:tcPr>
          <w:p w14:paraId="2DAC017E" w14:textId="77777777" w:rsidR="00D8120D" w:rsidRPr="007D775F" w:rsidRDefault="00D8120D" w:rsidP="004607EB">
            <w:pPr>
              <w:pStyle w:val="CETBodytext"/>
              <w:rPr>
                <w:lang w:val="en-GB"/>
              </w:rPr>
            </w:pPr>
            <w:r w:rsidRPr="007D775F">
              <w:rPr>
                <w:lang w:val="en-GB"/>
              </w:rPr>
              <w:t>C</w:t>
            </w:r>
          </w:p>
        </w:tc>
        <w:tc>
          <w:tcPr>
            <w:tcW w:w="2211" w:type="dxa"/>
            <w:shd w:val="clear" w:color="auto" w:fill="FFFFFF"/>
          </w:tcPr>
          <w:p w14:paraId="3AC20069" w14:textId="77777777" w:rsidR="00D8120D" w:rsidRPr="007D775F" w:rsidRDefault="00D8120D" w:rsidP="004607EB">
            <w:pPr>
              <w:pStyle w:val="CETBodytext"/>
              <w:rPr>
                <w:lang w:val="en-GB"/>
              </w:rPr>
            </w:pPr>
            <w:r w:rsidRPr="007D775F">
              <w:rPr>
                <w:rFonts w:cs="Arial"/>
                <w:lang w:val="en-GB"/>
              </w:rPr>
              <w:t xml:space="preserve">45.1 </w:t>
            </w:r>
          </w:p>
        </w:tc>
      </w:tr>
      <w:tr w:rsidR="00D8120D" w:rsidRPr="007D775F" w14:paraId="37298DC4" w14:textId="77777777" w:rsidTr="004607EB">
        <w:trPr>
          <w:trHeight w:val="255"/>
        </w:trPr>
        <w:tc>
          <w:tcPr>
            <w:tcW w:w="2211" w:type="dxa"/>
            <w:shd w:val="clear" w:color="auto" w:fill="FFFFFF"/>
          </w:tcPr>
          <w:p w14:paraId="0FB12E76" w14:textId="77777777" w:rsidR="00D8120D" w:rsidRPr="007D775F" w:rsidRDefault="00D8120D" w:rsidP="004607EB">
            <w:pPr>
              <w:pStyle w:val="CETBodytext"/>
              <w:ind w:right="-1"/>
              <w:rPr>
                <w:rFonts w:cs="Arial"/>
                <w:lang w:val="en-GB"/>
              </w:rPr>
            </w:pPr>
            <w:r w:rsidRPr="007D775F">
              <w:rPr>
                <w:lang w:val="en-GB"/>
              </w:rPr>
              <w:t xml:space="preserve">Volatile matter </w:t>
            </w:r>
          </w:p>
        </w:tc>
        <w:tc>
          <w:tcPr>
            <w:tcW w:w="2211" w:type="dxa"/>
            <w:shd w:val="clear" w:color="auto" w:fill="FFFFFF"/>
          </w:tcPr>
          <w:p w14:paraId="1B502D2D" w14:textId="77777777" w:rsidR="00D8120D" w:rsidRPr="007D775F" w:rsidRDefault="00D8120D" w:rsidP="004607EB">
            <w:pPr>
              <w:pStyle w:val="CETBodytext"/>
              <w:ind w:right="-1"/>
              <w:rPr>
                <w:rFonts w:cs="Arial"/>
                <w:lang w:val="en-GB"/>
              </w:rPr>
            </w:pPr>
            <w:r w:rsidRPr="007D775F">
              <w:rPr>
                <w:rFonts w:cs="Arial"/>
                <w:lang w:val="en-GB"/>
              </w:rPr>
              <w:t>76.6</w:t>
            </w:r>
          </w:p>
        </w:tc>
        <w:tc>
          <w:tcPr>
            <w:tcW w:w="2211" w:type="dxa"/>
            <w:shd w:val="clear" w:color="auto" w:fill="FFFFFF"/>
          </w:tcPr>
          <w:p w14:paraId="6DE1D5AF" w14:textId="77777777" w:rsidR="00D8120D" w:rsidRPr="007D775F" w:rsidRDefault="00D8120D" w:rsidP="004607EB">
            <w:pPr>
              <w:pStyle w:val="CETBodytext"/>
              <w:ind w:right="-1"/>
              <w:rPr>
                <w:rFonts w:cs="Arial"/>
                <w:lang w:val="en-GB"/>
              </w:rPr>
            </w:pPr>
            <w:r w:rsidRPr="007D775F">
              <w:rPr>
                <w:rFonts w:cs="Arial"/>
                <w:lang w:val="en-GB"/>
              </w:rPr>
              <w:t>H</w:t>
            </w:r>
          </w:p>
        </w:tc>
        <w:tc>
          <w:tcPr>
            <w:tcW w:w="2211" w:type="dxa"/>
            <w:shd w:val="clear" w:color="auto" w:fill="FFFFFF"/>
          </w:tcPr>
          <w:p w14:paraId="0BCF9F93" w14:textId="77777777" w:rsidR="00D8120D" w:rsidRPr="007D775F" w:rsidRDefault="00D8120D" w:rsidP="004607EB">
            <w:pPr>
              <w:pStyle w:val="CETBodytext"/>
              <w:ind w:right="-1"/>
              <w:rPr>
                <w:rFonts w:cs="Arial"/>
                <w:lang w:val="en-GB"/>
              </w:rPr>
            </w:pPr>
            <w:r w:rsidRPr="007D775F">
              <w:rPr>
                <w:rFonts w:cs="Arial"/>
                <w:lang w:val="en-GB"/>
              </w:rPr>
              <w:t>6.2</w:t>
            </w:r>
          </w:p>
        </w:tc>
      </w:tr>
      <w:tr w:rsidR="00D8120D" w:rsidRPr="007D775F" w14:paraId="0BD42279" w14:textId="77777777" w:rsidTr="004607EB">
        <w:trPr>
          <w:trHeight w:val="255"/>
        </w:trPr>
        <w:tc>
          <w:tcPr>
            <w:tcW w:w="2211" w:type="dxa"/>
            <w:shd w:val="clear" w:color="auto" w:fill="FFFFFF"/>
          </w:tcPr>
          <w:p w14:paraId="503056FE" w14:textId="77777777" w:rsidR="00D8120D" w:rsidRPr="007D775F" w:rsidRDefault="00D8120D" w:rsidP="004607EB">
            <w:pPr>
              <w:pStyle w:val="CETBodytext"/>
              <w:ind w:right="-1"/>
              <w:rPr>
                <w:rFonts w:cs="Arial"/>
                <w:lang w:val="en-GB"/>
              </w:rPr>
            </w:pPr>
            <w:r w:rsidRPr="007D775F">
              <w:rPr>
                <w:rFonts w:cs="Arial"/>
                <w:lang w:val="en-GB"/>
              </w:rPr>
              <w:t xml:space="preserve">Fixed carbon </w:t>
            </w:r>
          </w:p>
        </w:tc>
        <w:tc>
          <w:tcPr>
            <w:tcW w:w="2211" w:type="dxa"/>
            <w:shd w:val="clear" w:color="auto" w:fill="FFFFFF"/>
          </w:tcPr>
          <w:p w14:paraId="6986305A" w14:textId="77777777" w:rsidR="00D8120D" w:rsidRPr="007D775F" w:rsidRDefault="00D8120D" w:rsidP="004607EB">
            <w:pPr>
              <w:pStyle w:val="CETBodytext"/>
              <w:ind w:right="-1"/>
              <w:rPr>
                <w:rFonts w:cs="Arial"/>
                <w:lang w:val="en-GB"/>
              </w:rPr>
            </w:pPr>
            <w:r w:rsidRPr="007D775F">
              <w:rPr>
                <w:rFonts w:cs="Arial"/>
                <w:lang w:val="en-GB"/>
              </w:rPr>
              <w:t>10.4</w:t>
            </w:r>
          </w:p>
        </w:tc>
        <w:tc>
          <w:tcPr>
            <w:tcW w:w="2211" w:type="dxa"/>
            <w:shd w:val="clear" w:color="auto" w:fill="FFFFFF"/>
          </w:tcPr>
          <w:p w14:paraId="5BF9E3FB" w14:textId="77777777" w:rsidR="00D8120D" w:rsidRPr="007D775F" w:rsidRDefault="00D8120D" w:rsidP="004607EB">
            <w:pPr>
              <w:pStyle w:val="CETBodytext"/>
              <w:ind w:right="-1"/>
              <w:rPr>
                <w:rFonts w:cs="Arial"/>
                <w:lang w:val="en-GB"/>
              </w:rPr>
            </w:pPr>
            <w:r w:rsidRPr="007D775F">
              <w:rPr>
                <w:rFonts w:cs="Arial"/>
                <w:lang w:val="en-GB"/>
              </w:rPr>
              <w:t>O (by difference)</w:t>
            </w:r>
          </w:p>
        </w:tc>
        <w:tc>
          <w:tcPr>
            <w:tcW w:w="2211" w:type="dxa"/>
            <w:shd w:val="clear" w:color="auto" w:fill="FFFFFF"/>
          </w:tcPr>
          <w:p w14:paraId="1CABF49E" w14:textId="77777777" w:rsidR="00D8120D" w:rsidRPr="007D775F" w:rsidRDefault="00D8120D" w:rsidP="004607EB">
            <w:pPr>
              <w:pStyle w:val="CETBodytext"/>
              <w:ind w:right="-1"/>
              <w:rPr>
                <w:rFonts w:cs="Arial"/>
                <w:lang w:val="en-GB"/>
              </w:rPr>
            </w:pPr>
            <w:r w:rsidRPr="007D775F">
              <w:rPr>
                <w:rFonts w:cs="Arial"/>
                <w:lang w:val="en-GB"/>
              </w:rPr>
              <w:t>32</w:t>
            </w:r>
          </w:p>
        </w:tc>
      </w:tr>
      <w:tr w:rsidR="00D8120D" w:rsidRPr="007D775F" w14:paraId="6A42346C" w14:textId="77777777" w:rsidTr="004607EB">
        <w:trPr>
          <w:trHeight w:val="255"/>
        </w:trPr>
        <w:tc>
          <w:tcPr>
            <w:tcW w:w="2211" w:type="dxa"/>
            <w:shd w:val="clear" w:color="auto" w:fill="FFFFFF"/>
          </w:tcPr>
          <w:p w14:paraId="643B43F6" w14:textId="77777777" w:rsidR="00D8120D" w:rsidRPr="007D775F" w:rsidRDefault="00D8120D" w:rsidP="004607EB">
            <w:pPr>
              <w:pStyle w:val="CETBodytext"/>
              <w:ind w:right="-1"/>
              <w:rPr>
                <w:rFonts w:cs="Arial"/>
                <w:lang w:val="en-GB"/>
              </w:rPr>
            </w:pPr>
            <w:r w:rsidRPr="007D775F">
              <w:rPr>
                <w:lang w:val="en-GB"/>
              </w:rPr>
              <w:t>Ash</w:t>
            </w:r>
          </w:p>
        </w:tc>
        <w:tc>
          <w:tcPr>
            <w:tcW w:w="2211" w:type="dxa"/>
            <w:shd w:val="clear" w:color="auto" w:fill="FFFFFF"/>
          </w:tcPr>
          <w:p w14:paraId="50AB238F" w14:textId="77777777" w:rsidR="00D8120D" w:rsidRPr="007D775F" w:rsidRDefault="00D8120D" w:rsidP="004607EB">
            <w:pPr>
              <w:pStyle w:val="CETBodytext"/>
              <w:ind w:right="-1"/>
              <w:rPr>
                <w:rFonts w:cs="Arial"/>
                <w:lang w:val="en-GB"/>
              </w:rPr>
            </w:pPr>
            <w:r w:rsidRPr="007D775F">
              <w:rPr>
                <w:rFonts w:cs="Arial"/>
                <w:lang w:val="en-GB"/>
              </w:rPr>
              <w:t>13.0</w:t>
            </w:r>
          </w:p>
        </w:tc>
        <w:tc>
          <w:tcPr>
            <w:tcW w:w="2211" w:type="dxa"/>
            <w:shd w:val="clear" w:color="auto" w:fill="FFFFFF"/>
          </w:tcPr>
          <w:p w14:paraId="50801411" w14:textId="77777777" w:rsidR="00D8120D" w:rsidRPr="007D775F" w:rsidRDefault="00D8120D" w:rsidP="004607EB">
            <w:pPr>
              <w:pStyle w:val="CETBodytext"/>
              <w:ind w:right="-1"/>
              <w:rPr>
                <w:rFonts w:cs="Arial"/>
                <w:lang w:val="en-GB"/>
              </w:rPr>
            </w:pPr>
            <w:r w:rsidRPr="007D775F">
              <w:rPr>
                <w:rFonts w:cs="Arial"/>
                <w:lang w:val="en-GB"/>
              </w:rPr>
              <w:t>N</w:t>
            </w:r>
          </w:p>
        </w:tc>
        <w:tc>
          <w:tcPr>
            <w:tcW w:w="2211" w:type="dxa"/>
            <w:shd w:val="clear" w:color="auto" w:fill="FFFFFF"/>
          </w:tcPr>
          <w:p w14:paraId="5C8EB853" w14:textId="77777777" w:rsidR="00D8120D" w:rsidRPr="007D775F" w:rsidRDefault="00D8120D" w:rsidP="004607EB">
            <w:pPr>
              <w:pStyle w:val="CETBodytext"/>
              <w:ind w:right="-1"/>
              <w:rPr>
                <w:rFonts w:cs="Arial"/>
                <w:lang w:val="en-GB"/>
              </w:rPr>
            </w:pPr>
            <w:r w:rsidRPr="007D775F">
              <w:rPr>
                <w:rFonts w:cs="Arial"/>
                <w:lang w:val="en-GB"/>
              </w:rPr>
              <w:t>3.1</w:t>
            </w:r>
          </w:p>
        </w:tc>
      </w:tr>
      <w:tr w:rsidR="00D8120D" w:rsidRPr="007D775F" w14:paraId="78744022" w14:textId="77777777" w:rsidTr="004607EB">
        <w:trPr>
          <w:trHeight w:val="255"/>
        </w:trPr>
        <w:tc>
          <w:tcPr>
            <w:tcW w:w="2211" w:type="dxa"/>
            <w:shd w:val="clear" w:color="auto" w:fill="FFFFFF"/>
          </w:tcPr>
          <w:p w14:paraId="08E1FF23" w14:textId="77777777" w:rsidR="00D8120D" w:rsidRPr="007D775F" w:rsidRDefault="00D8120D" w:rsidP="004607EB">
            <w:pPr>
              <w:pStyle w:val="CETBodytext"/>
              <w:ind w:right="-1"/>
              <w:rPr>
                <w:rFonts w:cs="Arial"/>
                <w:lang w:val="en-GB"/>
              </w:rPr>
            </w:pPr>
          </w:p>
        </w:tc>
        <w:tc>
          <w:tcPr>
            <w:tcW w:w="2211" w:type="dxa"/>
            <w:shd w:val="clear" w:color="auto" w:fill="FFFFFF"/>
          </w:tcPr>
          <w:p w14:paraId="61058468" w14:textId="77777777" w:rsidR="00D8120D" w:rsidRPr="007D775F" w:rsidRDefault="00D8120D" w:rsidP="004607EB">
            <w:pPr>
              <w:pStyle w:val="CETBodytext"/>
              <w:ind w:right="-1"/>
              <w:rPr>
                <w:rFonts w:cs="Arial"/>
                <w:lang w:val="en-GB"/>
              </w:rPr>
            </w:pPr>
          </w:p>
        </w:tc>
        <w:tc>
          <w:tcPr>
            <w:tcW w:w="2211" w:type="dxa"/>
            <w:shd w:val="clear" w:color="auto" w:fill="FFFFFF"/>
          </w:tcPr>
          <w:p w14:paraId="2BB56771" w14:textId="77777777" w:rsidR="00D8120D" w:rsidRPr="007D775F" w:rsidRDefault="00D8120D" w:rsidP="004607EB">
            <w:pPr>
              <w:pStyle w:val="CETBodytext"/>
              <w:ind w:right="-1"/>
              <w:rPr>
                <w:rFonts w:cs="Arial"/>
                <w:lang w:val="en-GB"/>
              </w:rPr>
            </w:pPr>
            <w:r w:rsidRPr="007D775F">
              <w:rPr>
                <w:rFonts w:cs="Arial"/>
                <w:lang w:val="en-GB"/>
              </w:rPr>
              <w:t>S</w:t>
            </w:r>
          </w:p>
        </w:tc>
        <w:tc>
          <w:tcPr>
            <w:tcW w:w="2211" w:type="dxa"/>
            <w:shd w:val="clear" w:color="auto" w:fill="FFFFFF"/>
          </w:tcPr>
          <w:p w14:paraId="694E35D6" w14:textId="77777777" w:rsidR="00D8120D" w:rsidRPr="007D775F" w:rsidRDefault="00D8120D" w:rsidP="004607EB">
            <w:pPr>
              <w:pStyle w:val="CETBodytext"/>
              <w:ind w:right="-1"/>
              <w:rPr>
                <w:rFonts w:cs="Arial"/>
                <w:lang w:val="en-GB"/>
              </w:rPr>
            </w:pPr>
            <w:r w:rsidRPr="007D775F">
              <w:rPr>
                <w:rFonts w:cs="Arial"/>
                <w:lang w:val="en-GB"/>
              </w:rPr>
              <w:t>0.6</w:t>
            </w:r>
          </w:p>
        </w:tc>
      </w:tr>
    </w:tbl>
    <w:p w14:paraId="0E5107A3" w14:textId="77777777" w:rsidR="00D8120D" w:rsidRPr="00BE208B" w:rsidRDefault="00D8120D" w:rsidP="00453E24">
      <w:pPr>
        <w:pStyle w:val="CETBodytext"/>
        <w:rPr>
          <w:lang w:val="en-GB"/>
        </w:rPr>
      </w:pPr>
    </w:p>
    <w:p w14:paraId="677EBFF0" w14:textId="18FBD4F1" w:rsidR="00600535" w:rsidRPr="00D41E3D" w:rsidRDefault="007640E8" w:rsidP="00600535">
      <w:pPr>
        <w:pStyle w:val="CETHeading1"/>
        <w:tabs>
          <w:tab w:val="clear" w:pos="360"/>
          <w:tab w:val="right" w:pos="7100"/>
        </w:tabs>
        <w:jc w:val="both"/>
        <w:rPr>
          <w:lang w:val="en-GB"/>
        </w:rPr>
      </w:pPr>
      <w:r w:rsidRPr="00D41E3D">
        <w:rPr>
          <w:lang w:val="en-GB"/>
        </w:rPr>
        <w:t>Results and discussion</w:t>
      </w:r>
    </w:p>
    <w:p w14:paraId="79C1BE9E" w14:textId="5ECF1C17" w:rsidR="00DA166C" w:rsidRDefault="00DA166C" w:rsidP="00DA166C">
      <w:pPr>
        <w:pStyle w:val="CETheadingx"/>
        <w:rPr>
          <w:lang w:val="en-GB"/>
        </w:rPr>
      </w:pPr>
      <w:r>
        <w:rPr>
          <w:lang w:val="en-GB"/>
        </w:rPr>
        <w:softHyphen/>
      </w:r>
      <w:r>
        <w:rPr>
          <w:lang w:val="en-GB"/>
        </w:rPr>
        <w:softHyphen/>
      </w:r>
      <w:r w:rsidRPr="00D41E3D">
        <w:rPr>
          <w:lang w:val="en-GB"/>
        </w:rPr>
        <w:t>Sensitivity analysis (gasification)</w:t>
      </w:r>
      <w:r>
        <w:rPr>
          <w:lang w:val="en-GB"/>
        </w:rPr>
        <w:t>.</w:t>
      </w:r>
    </w:p>
    <w:p w14:paraId="5D1B2540" w14:textId="55EDF105" w:rsidR="00516F27" w:rsidRDefault="00516F27" w:rsidP="00516F27">
      <w:pPr>
        <w:pStyle w:val="CETBodytext"/>
        <w:rPr>
          <w:lang w:val="en-GB"/>
        </w:rPr>
      </w:pPr>
      <w:r w:rsidRPr="000A14EC">
        <w:rPr>
          <w:lang w:val="en-GB"/>
        </w:rPr>
        <w:t>A sensitivity analysis was conducted to investigate the impact of operating parameters on the quality of the produced syngas during the gasification step</w:t>
      </w:r>
      <w:r w:rsidRPr="00B33129">
        <w:rPr>
          <w:lang w:val="en-GB"/>
        </w:rPr>
        <w:t xml:space="preserve">. Figure </w:t>
      </w:r>
      <w:r w:rsidR="00BB290A">
        <w:rPr>
          <w:lang w:val="en-GB"/>
        </w:rPr>
        <w:t>2</w:t>
      </w:r>
      <w:r w:rsidRPr="00B33129">
        <w:rPr>
          <w:lang w:val="en-GB"/>
        </w:rPr>
        <w:t xml:space="preserve"> illustrates the influence of the gasification temperature, the steam/ biomass ratio (S/B) and the equivalence ratio (ER) on the H</w:t>
      </w:r>
      <w:r w:rsidRPr="00B33129">
        <w:rPr>
          <w:vertAlign w:val="subscript"/>
          <w:lang w:val="en-GB"/>
        </w:rPr>
        <w:t>2</w:t>
      </w:r>
      <w:r w:rsidRPr="00B33129">
        <w:rPr>
          <w:lang w:val="en-GB"/>
        </w:rPr>
        <w:t>/CO/CO</w:t>
      </w:r>
      <w:r w:rsidRPr="00B33129">
        <w:rPr>
          <w:vertAlign w:val="subscript"/>
          <w:lang w:val="en-GB"/>
        </w:rPr>
        <w:t>2</w:t>
      </w:r>
      <w:r w:rsidRPr="00B33129">
        <w:rPr>
          <w:lang w:val="en-GB"/>
        </w:rPr>
        <w:t xml:space="preserve"> ratios of the resulting</w:t>
      </w:r>
      <w:r w:rsidRPr="000A14EC">
        <w:rPr>
          <w:lang w:val="en-GB"/>
        </w:rPr>
        <w:t xml:space="preserve"> syngas. </w:t>
      </w:r>
    </w:p>
    <w:p w14:paraId="68BF07D8" w14:textId="77777777" w:rsidR="00C90264" w:rsidRDefault="00C90264" w:rsidP="00516F27">
      <w:pPr>
        <w:pStyle w:val="CETBodytext"/>
        <w:rPr>
          <w:lang w:val="en-GB"/>
        </w:rPr>
      </w:pPr>
    </w:p>
    <w:p w14:paraId="396011F2" w14:textId="4E2F94B5" w:rsidR="00CC6EE7" w:rsidRPr="000A14EC" w:rsidRDefault="00C90264" w:rsidP="00C90264">
      <w:pPr>
        <w:pStyle w:val="CETBodytext"/>
        <w:rPr>
          <w:lang w:val="en-GB"/>
        </w:rPr>
      </w:pPr>
      <w:r>
        <w:rPr>
          <w:noProof/>
          <w:lang w:val="en-GB"/>
        </w:rPr>
        <w:drawing>
          <wp:inline distT="0" distB="0" distL="0" distR="0" wp14:anchorId="7B6E2256" wp14:editId="0D32BDEF">
            <wp:extent cx="5579110" cy="1962150"/>
            <wp:effectExtent l="0" t="0" r="2540" b="0"/>
            <wp:docPr id="11908268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26818" name="Immagine 1190826818"/>
                    <pic:cNvPicPr/>
                  </pic:nvPicPr>
                  <pic:blipFill rotWithShape="1">
                    <a:blip r:embed="rId11"/>
                    <a:srcRect t="42257" b="32024"/>
                    <a:stretch/>
                  </pic:blipFill>
                  <pic:spPr bwMode="auto">
                    <a:xfrm>
                      <a:off x="0" y="0"/>
                      <a:ext cx="5579745" cy="1962373"/>
                    </a:xfrm>
                    <a:prstGeom prst="rect">
                      <a:avLst/>
                    </a:prstGeom>
                    <a:ln>
                      <a:noFill/>
                    </a:ln>
                    <a:extLst>
                      <a:ext uri="{53640926-AAD7-44D8-BBD7-CCE9431645EC}">
                        <a14:shadowObscured xmlns:a14="http://schemas.microsoft.com/office/drawing/2010/main"/>
                      </a:ext>
                    </a:extLst>
                  </pic:spPr>
                </pic:pic>
              </a:graphicData>
            </a:graphic>
          </wp:inline>
        </w:drawing>
      </w:r>
    </w:p>
    <w:p w14:paraId="2393DE91" w14:textId="0F999607" w:rsidR="00516F27" w:rsidRDefault="00516F27" w:rsidP="00C35F95">
      <w:pPr>
        <w:pStyle w:val="CETBodytext"/>
        <w:jc w:val="left"/>
        <w:rPr>
          <w:noProof/>
        </w:rPr>
      </w:pPr>
      <w:r w:rsidRPr="00B55616">
        <w:rPr>
          <w:noProof/>
        </w:rPr>
        <w:t xml:space="preserve">Figure </w:t>
      </w:r>
      <w:r w:rsidR="00BB290A" w:rsidRPr="00125025">
        <w:rPr>
          <w:noProof/>
        </w:rPr>
        <w:t>2</w:t>
      </w:r>
      <w:r w:rsidRPr="00125025">
        <w:rPr>
          <w:noProof/>
        </w:rPr>
        <w:t>: Effect of the</w:t>
      </w:r>
      <w:r>
        <w:rPr>
          <w:noProof/>
        </w:rPr>
        <w:t xml:space="preserve"> gasification temperature (a), the steam/biomass ratio (b) and the equivalence ratio (c) on the syngas quality</w:t>
      </w:r>
      <w:r w:rsidRPr="00B55616">
        <w:rPr>
          <w:noProof/>
        </w:rPr>
        <w:t>.</w:t>
      </w:r>
    </w:p>
    <w:p w14:paraId="31E8C9B5" w14:textId="77777777" w:rsidR="00C35F95" w:rsidRPr="00C35F95" w:rsidRDefault="00C35F95" w:rsidP="00C35F95">
      <w:pPr>
        <w:pStyle w:val="CETBodytext"/>
        <w:jc w:val="left"/>
        <w:rPr>
          <w:lang w:val="en-GB"/>
        </w:rPr>
      </w:pPr>
    </w:p>
    <w:p w14:paraId="50CDB7FC" w14:textId="005AAE3F" w:rsidR="00516F27" w:rsidRDefault="00516F27" w:rsidP="00516F27">
      <w:pPr>
        <w:pStyle w:val="CETBodytext"/>
        <w:rPr>
          <w:lang w:val="en-GB"/>
        </w:rPr>
      </w:pPr>
      <w:r w:rsidRPr="000A14EC">
        <w:rPr>
          <w:lang w:val="en-GB"/>
        </w:rPr>
        <w:lastRenderedPageBreak/>
        <w:t>Temperature plays a crucial role in determining the molar composition of the syngas due to its influence on the thermodynamic equilibrium of the system</w:t>
      </w:r>
      <w:r>
        <w:rPr>
          <w:lang w:val="en-GB"/>
        </w:rPr>
        <w:t xml:space="preserve"> (Figure </w:t>
      </w:r>
      <w:r w:rsidR="00BB290A">
        <w:rPr>
          <w:lang w:val="en-GB"/>
        </w:rPr>
        <w:t>2</w:t>
      </w:r>
      <w:r>
        <w:rPr>
          <w:lang w:val="en-GB"/>
        </w:rPr>
        <w:t>a)</w:t>
      </w:r>
      <w:r w:rsidRPr="000A14EC">
        <w:rPr>
          <w:lang w:val="en-GB"/>
        </w:rPr>
        <w:t>. Higher temperatures favor endothermic reactions</w:t>
      </w:r>
      <w:r>
        <w:rPr>
          <w:lang w:val="en-GB"/>
        </w:rPr>
        <w:t xml:space="preserve"> such as the steam reforming of methane and methane cracking</w:t>
      </w:r>
      <w:r w:rsidRPr="000A14EC">
        <w:rPr>
          <w:lang w:val="en-GB"/>
        </w:rPr>
        <w:t>, resulting in a syngas rich in H</w:t>
      </w:r>
      <w:r w:rsidRPr="000A14EC">
        <w:rPr>
          <w:vertAlign w:val="subscript"/>
          <w:lang w:val="en-GB"/>
        </w:rPr>
        <w:t>2</w:t>
      </w:r>
      <w:r w:rsidRPr="000A14EC">
        <w:rPr>
          <w:lang w:val="en-GB"/>
        </w:rPr>
        <w:t xml:space="preserve"> and CO. Conversely, methane content decreases with temperature, as methanation reactions </w:t>
      </w:r>
      <w:r>
        <w:rPr>
          <w:lang w:val="en-GB"/>
        </w:rPr>
        <w:t>(</w:t>
      </w:r>
      <w:r w:rsidRPr="000A14EC">
        <w:rPr>
          <w:lang w:val="en-GB"/>
        </w:rPr>
        <w:t>CO + 3H</w:t>
      </w:r>
      <w:r w:rsidRPr="000A14EC">
        <w:rPr>
          <w:vertAlign w:val="subscript"/>
          <w:lang w:val="en-GB"/>
        </w:rPr>
        <w:t>2</w:t>
      </w:r>
      <w:r w:rsidRPr="000A14EC">
        <w:rPr>
          <w:lang w:val="en-GB"/>
        </w:rPr>
        <w:t>→</w:t>
      </w:r>
      <w:r>
        <w:rPr>
          <w:vertAlign w:val="subscript"/>
          <w:lang w:val="en-GB"/>
        </w:rPr>
        <w:t xml:space="preserve"> </w:t>
      </w:r>
      <w:r w:rsidRPr="000A14EC">
        <w:rPr>
          <w:lang w:val="en-GB"/>
        </w:rPr>
        <w:t>CH</w:t>
      </w:r>
      <w:r w:rsidRPr="000A14EC">
        <w:rPr>
          <w:vertAlign w:val="subscript"/>
          <w:lang w:val="en-GB"/>
        </w:rPr>
        <w:t>4</w:t>
      </w:r>
      <w:r w:rsidRPr="000A14EC">
        <w:rPr>
          <w:lang w:val="en-GB"/>
        </w:rPr>
        <w:t xml:space="preserve"> + H</w:t>
      </w:r>
      <w:r w:rsidRPr="000A14EC">
        <w:rPr>
          <w:vertAlign w:val="subscript"/>
          <w:lang w:val="en-GB"/>
        </w:rPr>
        <w:t>2</w:t>
      </w:r>
      <w:r w:rsidRPr="000A14EC">
        <w:rPr>
          <w:lang w:val="en-GB"/>
        </w:rPr>
        <w:t>O</w:t>
      </w:r>
      <w:r>
        <w:rPr>
          <w:lang w:val="en-GB"/>
        </w:rPr>
        <w:t xml:space="preserve"> and </w:t>
      </w:r>
      <w:r w:rsidRPr="000A14EC">
        <w:rPr>
          <w:lang w:val="en-GB"/>
        </w:rPr>
        <w:t>CO</w:t>
      </w:r>
      <w:r w:rsidRPr="00157E4D">
        <w:rPr>
          <w:vertAlign w:val="subscript"/>
          <w:lang w:val="en-GB"/>
        </w:rPr>
        <w:t>2</w:t>
      </w:r>
      <w:r w:rsidRPr="000A14EC">
        <w:rPr>
          <w:lang w:val="en-GB"/>
        </w:rPr>
        <w:t xml:space="preserve"> + </w:t>
      </w:r>
      <w:r>
        <w:rPr>
          <w:lang w:val="en-GB"/>
        </w:rPr>
        <w:t>4</w:t>
      </w:r>
      <w:r w:rsidRPr="000A14EC">
        <w:rPr>
          <w:lang w:val="en-GB"/>
        </w:rPr>
        <w:t>H</w:t>
      </w:r>
      <w:r w:rsidRPr="000A14EC">
        <w:rPr>
          <w:vertAlign w:val="subscript"/>
          <w:lang w:val="en-GB"/>
        </w:rPr>
        <w:t>2</w:t>
      </w:r>
      <w:r w:rsidRPr="000A14EC">
        <w:rPr>
          <w:lang w:val="en-GB"/>
        </w:rPr>
        <w:t>→</w:t>
      </w:r>
      <w:r>
        <w:rPr>
          <w:vertAlign w:val="subscript"/>
          <w:lang w:val="en-GB"/>
        </w:rPr>
        <w:t xml:space="preserve"> </w:t>
      </w:r>
      <w:r w:rsidRPr="000A14EC">
        <w:rPr>
          <w:lang w:val="en-GB"/>
        </w:rPr>
        <w:t>CH</w:t>
      </w:r>
      <w:r w:rsidRPr="000A14EC">
        <w:rPr>
          <w:vertAlign w:val="subscript"/>
          <w:lang w:val="en-GB"/>
        </w:rPr>
        <w:t>4</w:t>
      </w:r>
      <w:r w:rsidRPr="000A14EC">
        <w:rPr>
          <w:lang w:val="en-GB"/>
        </w:rPr>
        <w:t xml:space="preserve"> + </w:t>
      </w:r>
      <w:r>
        <w:rPr>
          <w:lang w:val="en-GB"/>
        </w:rPr>
        <w:t>2</w:t>
      </w:r>
      <w:r w:rsidRPr="000A14EC">
        <w:rPr>
          <w:lang w:val="en-GB"/>
        </w:rPr>
        <w:t>H</w:t>
      </w:r>
      <w:r w:rsidRPr="000A14EC">
        <w:rPr>
          <w:vertAlign w:val="subscript"/>
          <w:lang w:val="en-GB"/>
        </w:rPr>
        <w:t>2</w:t>
      </w:r>
      <w:r w:rsidRPr="000A14EC">
        <w:rPr>
          <w:lang w:val="en-GB"/>
        </w:rPr>
        <w:t>O</w:t>
      </w:r>
      <w:r>
        <w:rPr>
          <w:lang w:val="en-GB"/>
        </w:rPr>
        <w:t xml:space="preserve">) </w:t>
      </w:r>
      <w:r w:rsidRPr="000A14EC">
        <w:rPr>
          <w:lang w:val="en-GB"/>
        </w:rPr>
        <w:t>are highly exothermic.</w:t>
      </w:r>
      <w:r>
        <w:rPr>
          <w:lang w:val="en-GB"/>
        </w:rPr>
        <w:t xml:space="preserve"> As reported in the literature, higher gasification temperatures lead to lower H</w:t>
      </w:r>
      <w:r w:rsidRPr="00157E4D">
        <w:rPr>
          <w:vertAlign w:val="subscript"/>
          <w:lang w:val="en-GB"/>
        </w:rPr>
        <w:t>2</w:t>
      </w:r>
      <w:r>
        <w:rPr>
          <w:lang w:val="en-GB"/>
        </w:rPr>
        <w:t>/CO ratio (</w:t>
      </w:r>
      <w:r w:rsidR="00CC3163" w:rsidRPr="008C58FD">
        <w:rPr>
          <w:rFonts w:cs="Arial"/>
          <w:szCs w:val="18"/>
          <w:shd w:val="clear" w:color="auto" w:fill="FFFFFF"/>
        </w:rPr>
        <w:t>Gröbl</w:t>
      </w:r>
      <w:r w:rsidRPr="001102E5">
        <w:rPr>
          <w:lang w:val="en-GB"/>
        </w:rPr>
        <w:t xml:space="preserve"> et al., 2012</w:t>
      </w:r>
      <w:r>
        <w:rPr>
          <w:lang w:val="en-GB"/>
        </w:rPr>
        <w:t>).</w:t>
      </w:r>
    </w:p>
    <w:p w14:paraId="7F181217" w14:textId="67B60530" w:rsidR="00516F27" w:rsidRDefault="00516F27" w:rsidP="00516F27">
      <w:pPr>
        <w:pStyle w:val="CETBodytext"/>
        <w:rPr>
          <w:lang w:val="en-GB"/>
        </w:rPr>
      </w:pPr>
      <w:r w:rsidRPr="000A14EC">
        <w:rPr>
          <w:lang w:val="en-GB"/>
        </w:rPr>
        <w:t xml:space="preserve">The steam/biomass ratio (S/B), </w:t>
      </w:r>
      <w:r>
        <w:rPr>
          <w:lang w:val="en-GB"/>
        </w:rPr>
        <w:t xml:space="preserve">here </w:t>
      </w:r>
      <w:r w:rsidRPr="000A14EC">
        <w:rPr>
          <w:lang w:val="en-GB"/>
        </w:rPr>
        <w:t xml:space="preserve">defined as the ratio between </w:t>
      </w:r>
      <w:r>
        <w:rPr>
          <w:lang w:val="en-GB"/>
        </w:rPr>
        <w:t xml:space="preserve">added </w:t>
      </w:r>
      <w:r w:rsidRPr="000A14EC">
        <w:rPr>
          <w:lang w:val="en-GB"/>
        </w:rPr>
        <w:t xml:space="preserve">steam and </w:t>
      </w:r>
      <w:r>
        <w:rPr>
          <w:lang w:val="en-GB"/>
        </w:rPr>
        <w:t xml:space="preserve">the as-received </w:t>
      </w:r>
      <w:r w:rsidRPr="000A14EC">
        <w:rPr>
          <w:lang w:val="en-GB"/>
        </w:rPr>
        <w:t>biomass mass flow, is a pivotal parameter in steam gasification. Higher S/B enriches the system with hydrogen molecules derived from steam, promoting water-gas shift (CO + H</w:t>
      </w:r>
      <w:r w:rsidRPr="000A14EC">
        <w:rPr>
          <w:vertAlign w:val="subscript"/>
          <w:lang w:val="en-GB"/>
        </w:rPr>
        <w:t>2</w:t>
      </w:r>
      <w:r w:rsidRPr="000A14EC">
        <w:rPr>
          <w:lang w:val="en-GB"/>
        </w:rPr>
        <w:t>O → CO</w:t>
      </w:r>
      <w:r w:rsidRPr="000A14EC">
        <w:rPr>
          <w:vertAlign w:val="subscript"/>
          <w:lang w:val="en-GB"/>
        </w:rPr>
        <w:t>2</w:t>
      </w:r>
      <w:r w:rsidRPr="000A14EC">
        <w:rPr>
          <w:lang w:val="en-GB"/>
        </w:rPr>
        <w:t xml:space="preserve"> + H</w:t>
      </w:r>
      <w:r w:rsidRPr="000A14EC">
        <w:rPr>
          <w:vertAlign w:val="subscript"/>
          <w:lang w:val="en-GB"/>
        </w:rPr>
        <w:t>2</w:t>
      </w:r>
      <w:r w:rsidRPr="000A14EC">
        <w:rPr>
          <w:lang w:val="en-GB"/>
        </w:rPr>
        <w:t>) and steam reforming reactions (CH</w:t>
      </w:r>
      <w:r w:rsidRPr="000A14EC">
        <w:rPr>
          <w:vertAlign w:val="subscript"/>
          <w:lang w:val="en-GB"/>
        </w:rPr>
        <w:t>4</w:t>
      </w:r>
      <w:r w:rsidRPr="000A14EC">
        <w:rPr>
          <w:lang w:val="en-GB"/>
        </w:rPr>
        <w:t xml:space="preserve"> + H</w:t>
      </w:r>
      <w:r w:rsidRPr="000A14EC">
        <w:rPr>
          <w:vertAlign w:val="subscript"/>
          <w:lang w:val="en-GB"/>
        </w:rPr>
        <w:t>2</w:t>
      </w:r>
      <w:r w:rsidRPr="000A14EC">
        <w:rPr>
          <w:lang w:val="en-GB"/>
        </w:rPr>
        <w:t>O → CO + 3H</w:t>
      </w:r>
      <w:r w:rsidRPr="000A14EC">
        <w:rPr>
          <w:vertAlign w:val="subscript"/>
          <w:lang w:val="en-GB"/>
        </w:rPr>
        <w:t>2</w:t>
      </w:r>
      <w:r w:rsidRPr="000A14EC">
        <w:rPr>
          <w:lang w:val="en-GB"/>
        </w:rPr>
        <w:t>), leading to increased hydrogen production.</w:t>
      </w:r>
      <w:r>
        <w:rPr>
          <w:lang w:val="en-GB"/>
        </w:rPr>
        <w:t xml:space="preserve"> Therefore, the H</w:t>
      </w:r>
      <w:r w:rsidRPr="003C7E5B">
        <w:rPr>
          <w:vertAlign w:val="subscript"/>
          <w:lang w:val="en-GB"/>
        </w:rPr>
        <w:t>2</w:t>
      </w:r>
      <w:r>
        <w:rPr>
          <w:lang w:val="en-GB"/>
        </w:rPr>
        <w:t xml:space="preserve">/CO ratio increases with S/B, as illustrated in Figure </w:t>
      </w:r>
      <w:r w:rsidR="00BB290A">
        <w:rPr>
          <w:lang w:val="en-GB"/>
        </w:rPr>
        <w:t>2</w:t>
      </w:r>
      <w:r>
        <w:rPr>
          <w:lang w:val="en-GB"/>
        </w:rPr>
        <w:t xml:space="preserve">b. </w:t>
      </w:r>
    </w:p>
    <w:p w14:paraId="597AEA80" w14:textId="7709710A" w:rsidR="00516F27" w:rsidRDefault="00516F27" w:rsidP="00516F27">
      <w:pPr>
        <w:pStyle w:val="CETBodytext"/>
        <w:rPr>
          <w:lang w:val="en-GB"/>
        </w:rPr>
      </w:pPr>
      <w:r>
        <w:rPr>
          <w:lang w:val="en-GB"/>
        </w:rPr>
        <w:t>The equivalence ratio (ER), defined as the ratio between the oxygen content in the oxidant supply and the stoichiometric amount for complete combustion, deeply influences the syngas quality as it tunes the relative importance of partial oxidation over the steam reforming reactions in the O</w:t>
      </w:r>
      <w:r w:rsidRPr="00872DBB">
        <w:rPr>
          <w:vertAlign w:val="subscript"/>
          <w:lang w:val="en-GB"/>
        </w:rPr>
        <w:t>2</w:t>
      </w:r>
      <w:r>
        <w:rPr>
          <w:lang w:val="en-GB"/>
        </w:rPr>
        <w:t>/steam gasifier. The higher the ER, the higher the contribution of partial oxidation in the reaction network, which leads to higher CO</w:t>
      </w:r>
      <w:r w:rsidRPr="00872DBB">
        <w:rPr>
          <w:vertAlign w:val="subscript"/>
          <w:lang w:val="en-GB"/>
        </w:rPr>
        <w:t>2</w:t>
      </w:r>
      <w:r>
        <w:rPr>
          <w:lang w:val="en-GB"/>
        </w:rPr>
        <w:t xml:space="preserve"> production and less H</w:t>
      </w:r>
      <w:r w:rsidRPr="00872DBB">
        <w:rPr>
          <w:vertAlign w:val="subscript"/>
          <w:lang w:val="en-GB"/>
        </w:rPr>
        <w:t>2</w:t>
      </w:r>
      <w:r>
        <w:rPr>
          <w:lang w:val="en-GB"/>
        </w:rPr>
        <w:t xml:space="preserve"> in the produced syngas, as shown in Figure </w:t>
      </w:r>
      <w:r w:rsidR="00BB290A">
        <w:rPr>
          <w:lang w:val="en-GB"/>
        </w:rPr>
        <w:t>2</w:t>
      </w:r>
      <w:r>
        <w:rPr>
          <w:lang w:val="en-GB"/>
        </w:rPr>
        <w:t>c.</w:t>
      </w:r>
    </w:p>
    <w:p w14:paraId="4C583504" w14:textId="4EC33785" w:rsidR="0083696A" w:rsidRDefault="00516F27" w:rsidP="00814F37">
      <w:pPr>
        <w:pStyle w:val="CETBodytext"/>
        <w:rPr>
          <w:lang w:val="en-GB"/>
        </w:rPr>
      </w:pPr>
      <w:r w:rsidRPr="000A14EC">
        <w:rPr>
          <w:lang w:val="en-GB"/>
        </w:rPr>
        <w:t>To achieve a syngas composition suitable for subsequent DME</w:t>
      </w:r>
      <w:r>
        <w:rPr>
          <w:lang w:val="en-GB"/>
        </w:rPr>
        <w:t xml:space="preserve"> and SNG</w:t>
      </w:r>
      <w:r w:rsidRPr="000A14EC">
        <w:rPr>
          <w:lang w:val="en-GB"/>
        </w:rPr>
        <w:t xml:space="preserve"> synthesis</w:t>
      </w:r>
      <w:r>
        <w:rPr>
          <w:lang w:val="en-GB"/>
        </w:rPr>
        <w:t>, namely, high H</w:t>
      </w:r>
      <w:r w:rsidRPr="008140C6">
        <w:rPr>
          <w:vertAlign w:val="subscript"/>
          <w:lang w:val="en-GB"/>
        </w:rPr>
        <w:t>2</w:t>
      </w:r>
      <w:r>
        <w:rPr>
          <w:lang w:val="en-GB"/>
        </w:rPr>
        <w:t xml:space="preserve"> content and low CO</w:t>
      </w:r>
      <w:r w:rsidRPr="008140C6">
        <w:rPr>
          <w:vertAlign w:val="subscript"/>
          <w:lang w:val="en-GB"/>
        </w:rPr>
        <w:t>2</w:t>
      </w:r>
      <w:r>
        <w:rPr>
          <w:lang w:val="en-GB"/>
        </w:rPr>
        <w:t xml:space="preserve"> content</w:t>
      </w:r>
      <w:r w:rsidRPr="000A14EC">
        <w:rPr>
          <w:lang w:val="en-GB"/>
        </w:rPr>
        <w:t>, low pressure and high temperature conditions were selected. The steam/biomass ratio (S/B)</w:t>
      </w:r>
      <w:r>
        <w:rPr>
          <w:lang w:val="en-GB"/>
        </w:rPr>
        <w:t xml:space="preserve"> and the equivalence ratio (ER) were </w:t>
      </w:r>
      <w:r w:rsidRPr="000A14EC">
        <w:rPr>
          <w:lang w:val="en-GB"/>
        </w:rPr>
        <w:t>set to 0.2</w:t>
      </w:r>
      <w:r>
        <w:rPr>
          <w:lang w:val="en-GB"/>
        </w:rPr>
        <w:t>. The optimal syngas composition for the direct DME synthesis (H</w:t>
      </w:r>
      <w:r w:rsidRPr="001222EB">
        <w:rPr>
          <w:vertAlign w:val="subscript"/>
          <w:lang w:val="en-GB"/>
        </w:rPr>
        <w:t>2</w:t>
      </w:r>
      <w:r>
        <w:rPr>
          <w:lang w:val="en-GB"/>
        </w:rPr>
        <w:t>/CO=4 and CO/CO</w:t>
      </w:r>
      <w:r w:rsidRPr="001222EB">
        <w:rPr>
          <w:vertAlign w:val="subscript"/>
          <w:lang w:val="en-GB"/>
        </w:rPr>
        <w:t>2</w:t>
      </w:r>
      <w:r>
        <w:rPr>
          <w:rFonts w:cs="Arial"/>
          <w:lang w:val="en-GB"/>
        </w:rPr>
        <w:t>≈1) and for the methanation step (H</w:t>
      </w:r>
      <w:r w:rsidRPr="00040F7A">
        <w:rPr>
          <w:rFonts w:cs="Arial"/>
          <w:vertAlign w:val="subscript"/>
          <w:lang w:val="en-GB"/>
        </w:rPr>
        <w:t>2</w:t>
      </w:r>
      <w:r>
        <w:rPr>
          <w:rFonts w:cs="Arial"/>
          <w:lang w:val="en-GB"/>
        </w:rPr>
        <w:t>/CO/CO</w:t>
      </w:r>
      <w:r w:rsidRPr="00040F7A">
        <w:rPr>
          <w:rFonts w:cs="Arial"/>
          <w:vertAlign w:val="subscript"/>
          <w:lang w:val="en-GB"/>
        </w:rPr>
        <w:t>2</w:t>
      </w:r>
      <w:r>
        <w:rPr>
          <w:rFonts w:cs="Arial"/>
          <w:lang w:val="en-GB"/>
        </w:rPr>
        <w:t>=7/1/1 and low CO</w:t>
      </w:r>
      <w:r w:rsidRPr="00040F7A">
        <w:rPr>
          <w:rFonts w:cs="Arial"/>
          <w:vertAlign w:val="subscript"/>
          <w:lang w:val="en-GB"/>
        </w:rPr>
        <w:t>2</w:t>
      </w:r>
      <w:r>
        <w:rPr>
          <w:rFonts w:cs="Arial"/>
          <w:lang w:val="en-GB"/>
        </w:rPr>
        <w:t>/CO) are obtained by mixing the syngas with pure hydrogen and CO</w:t>
      </w:r>
      <w:r w:rsidRPr="0008006B">
        <w:rPr>
          <w:rFonts w:cs="Arial"/>
          <w:vertAlign w:val="subscript"/>
          <w:lang w:val="en-GB"/>
        </w:rPr>
        <w:t>2</w:t>
      </w:r>
      <w:r>
        <w:rPr>
          <w:rFonts w:cs="Arial"/>
          <w:lang w:val="en-GB"/>
        </w:rPr>
        <w:t xml:space="preserve"> (95%), as shown in Figure 1.</w:t>
      </w:r>
    </w:p>
    <w:p w14:paraId="2BA15D3F" w14:textId="038E4D18" w:rsidR="007640E8" w:rsidRDefault="00DA166C" w:rsidP="007640E8">
      <w:pPr>
        <w:pStyle w:val="CETheadingx"/>
        <w:rPr>
          <w:lang w:val="en-GB"/>
        </w:rPr>
      </w:pPr>
      <w:r>
        <w:rPr>
          <w:lang w:val="en-GB"/>
        </w:rPr>
        <w:t>Global material balance.</w:t>
      </w:r>
    </w:p>
    <w:p w14:paraId="733DEDAC" w14:textId="14D12329" w:rsidR="00EE3763" w:rsidRDefault="00516F27" w:rsidP="00516F27">
      <w:pPr>
        <w:pStyle w:val="CETBodytext"/>
        <w:rPr>
          <w:lang w:val="en-GB"/>
        </w:rPr>
      </w:pPr>
      <w:r>
        <w:rPr>
          <w:lang w:val="en-GB"/>
        </w:rPr>
        <w:t xml:space="preserve">The results of the material balance for the polygeneration system of Figure 1 are reported in Figure </w:t>
      </w:r>
      <w:r w:rsidR="00BB290A">
        <w:rPr>
          <w:lang w:val="en-GB"/>
        </w:rPr>
        <w:t>3</w:t>
      </w:r>
      <w:r>
        <w:rPr>
          <w:lang w:val="en-GB"/>
        </w:rPr>
        <w:t xml:space="preserve">. As highlighted by the Sankey diagram, the preliminary polygeneration system addressed in this study produces -per kg of dry biomass in the </w:t>
      </w:r>
      <w:r w:rsidRPr="004D4460">
        <w:rPr>
          <w:lang w:val="en-GB"/>
        </w:rPr>
        <w:t>feed - 0.</w:t>
      </w:r>
      <w:r w:rsidR="004D4460" w:rsidRPr="004D4460">
        <w:rPr>
          <w:lang w:val="en-GB"/>
        </w:rPr>
        <w:t>11</w:t>
      </w:r>
      <w:r w:rsidRPr="004D4460">
        <w:rPr>
          <w:lang w:val="en-GB"/>
        </w:rPr>
        <w:t xml:space="preserve"> kg of DME,</w:t>
      </w:r>
      <w:r>
        <w:rPr>
          <w:lang w:val="en-GB"/>
        </w:rPr>
        <w:t xml:space="preserve"> 0.0</w:t>
      </w:r>
      <w:r w:rsidR="004D4460">
        <w:rPr>
          <w:lang w:val="en-GB"/>
        </w:rPr>
        <w:t>26</w:t>
      </w:r>
      <w:r>
        <w:rPr>
          <w:lang w:val="en-GB"/>
        </w:rPr>
        <w:t xml:space="preserve"> kg of MeOH, 0.2</w:t>
      </w:r>
      <w:r w:rsidR="00090D66">
        <w:rPr>
          <w:lang w:val="en-GB"/>
        </w:rPr>
        <w:t>8</w:t>
      </w:r>
      <w:r>
        <w:rPr>
          <w:lang w:val="en-GB"/>
        </w:rPr>
        <w:t xml:space="preserve"> kg of hythane (3</w:t>
      </w:r>
      <w:r w:rsidR="00090D66">
        <w:rPr>
          <w:lang w:val="en-GB"/>
        </w:rPr>
        <w:t>4.3</w:t>
      </w:r>
      <w:r>
        <w:rPr>
          <w:lang w:val="en-GB"/>
        </w:rPr>
        <w:t>% H</w:t>
      </w:r>
      <w:r w:rsidRPr="00FD5A06">
        <w:rPr>
          <w:vertAlign w:val="subscript"/>
          <w:lang w:val="en-GB"/>
        </w:rPr>
        <w:t>2</w:t>
      </w:r>
      <w:r>
        <w:rPr>
          <w:lang w:val="en-GB"/>
        </w:rPr>
        <w:t xml:space="preserve"> and </w:t>
      </w:r>
      <w:r w:rsidR="00090D66">
        <w:rPr>
          <w:lang w:val="en-GB"/>
        </w:rPr>
        <w:t>54.7</w:t>
      </w:r>
      <w:r>
        <w:rPr>
          <w:lang w:val="en-GB"/>
        </w:rPr>
        <w:t>% CH</w:t>
      </w:r>
      <w:r w:rsidRPr="00FD5A06">
        <w:rPr>
          <w:vertAlign w:val="subscript"/>
          <w:lang w:val="en-GB"/>
        </w:rPr>
        <w:t>4</w:t>
      </w:r>
      <w:r w:rsidR="00090D66">
        <w:rPr>
          <w:vertAlign w:val="subscript"/>
          <w:lang w:val="en-GB"/>
        </w:rPr>
        <w:t xml:space="preserve"> </w:t>
      </w:r>
      <w:r w:rsidR="00090D66">
        <w:rPr>
          <w:lang w:val="en-GB"/>
        </w:rPr>
        <w:t>on a dry basis)</w:t>
      </w:r>
      <w:r>
        <w:rPr>
          <w:lang w:val="en-GB"/>
        </w:rPr>
        <w:t>. Moreover, 95% pure CO</w:t>
      </w:r>
      <w:r w:rsidRPr="00FD5A06">
        <w:rPr>
          <w:vertAlign w:val="subscript"/>
          <w:lang w:val="en-GB"/>
        </w:rPr>
        <w:t>2</w:t>
      </w:r>
      <w:r w:rsidR="004D4460">
        <w:rPr>
          <w:lang w:val="en-GB"/>
        </w:rPr>
        <w:t xml:space="preserve">, </w:t>
      </w:r>
      <w:r w:rsidR="002709F2">
        <w:rPr>
          <w:lang w:val="en-GB"/>
        </w:rPr>
        <w:t>water and</w:t>
      </w:r>
      <w:r w:rsidR="004D4460">
        <w:rPr>
          <w:lang w:val="en-GB"/>
        </w:rPr>
        <w:t xml:space="preserve"> a CO</w:t>
      </w:r>
      <w:r w:rsidR="004D4460" w:rsidRPr="002709F2">
        <w:rPr>
          <w:vertAlign w:val="subscript"/>
          <w:lang w:val="en-GB"/>
        </w:rPr>
        <w:t>2</w:t>
      </w:r>
      <w:r w:rsidR="004D4460">
        <w:rPr>
          <w:lang w:val="en-GB"/>
        </w:rPr>
        <w:t>/H</w:t>
      </w:r>
      <w:r w:rsidR="004D4460" w:rsidRPr="002709F2">
        <w:rPr>
          <w:vertAlign w:val="subscript"/>
          <w:lang w:val="en-GB"/>
        </w:rPr>
        <w:t>2</w:t>
      </w:r>
      <w:r w:rsidR="004D4460">
        <w:rPr>
          <w:lang w:val="en-GB"/>
        </w:rPr>
        <w:t xml:space="preserve"> stream </w:t>
      </w:r>
      <w:r>
        <w:rPr>
          <w:lang w:val="en-GB"/>
        </w:rPr>
        <w:t xml:space="preserve">are also side products of the system, which can be used for different applications. </w:t>
      </w:r>
      <w:r w:rsidRPr="00516F27">
        <w:rPr>
          <w:lang w:val="en-GB"/>
        </w:rPr>
        <w:t>In the preliminary phase of the design, major importance was given to the optimization of the single units within the system of Figure 1. A future work will delve into the overall optimization of the system both from a thermodynamic perspective, by evaluating the energy and exergy efficiencies, and from a techno-economic perspective, by studying strategies to reduce wastes and costs.</w:t>
      </w:r>
      <w:r>
        <w:rPr>
          <w:lang w:val="en-GB"/>
        </w:rPr>
        <w:t xml:space="preserve"> Despite this process is still to be optimized, these preliminary results clearly show that a significant production of fuels can be obtained; moreover, a high-purity CO</w:t>
      </w:r>
      <w:r w:rsidRPr="00517C9F">
        <w:rPr>
          <w:vertAlign w:val="subscript"/>
          <w:lang w:val="en-GB"/>
        </w:rPr>
        <w:t>2</w:t>
      </w:r>
      <w:r>
        <w:rPr>
          <w:lang w:val="en-GB"/>
        </w:rPr>
        <w:t xml:space="preserve"> stream</w:t>
      </w:r>
      <w:r w:rsidR="004D4460">
        <w:rPr>
          <w:lang w:val="en-GB"/>
        </w:rPr>
        <w:t xml:space="preserve"> and a CO</w:t>
      </w:r>
      <w:r w:rsidR="004D4460" w:rsidRPr="004D4460">
        <w:rPr>
          <w:vertAlign w:val="subscript"/>
          <w:lang w:val="en-GB"/>
        </w:rPr>
        <w:t>2</w:t>
      </w:r>
      <w:r w:rsidR="004D4460">
        <w:rPr>
          <w:lang w:val="en-GB"/>
        </w:rPr>
        <w:t>/H</w:t>
      </w:r>
      <w:r w:rsidR="004D4460" w:rsidRPr="004D4460">
        <w:rPr>
          <w:vertAlign w:val="subscript"/>
          <w:lang w:val="en-GB"/>
        </w:rPr>
        <w:t>2</w:t>
      </w:r>
      <w:r w:rsidR="004D4460">
        <w:rPr>
          <w:lang w:val="en-GB"/>
        </w:rPr>
        <w:t xml:space="preserve"> stream (68.2% H</w:t>
      </w:r>
      <w:r w:rsidR="004D4460" w:rsidRPr="004D4460">
        <w:rPr>
          <w:vertAlign w:val="subscript"/>
          <w:lang w:val="en-GB"/>
        </w:rPr>
        <w:t>2</w:t>
      </w:r>
      <w:r w:rsidR="004D4460">
        <w:rPr>
          <w:lang w:val="en-GB"/>
        </w:rPr>
        <w:t xml:space="preserve"> 28.4% CO</w:t>
      </w:r>
      <w:r w:rsidR="004D4460" w:rsidRPr="004D4460">
        <w:rPr>
          <w:vertAlign w:val="subscript"/>
          <w:lang w:val="en-GB"/>
        </w:rPr>
        <w:t>2</w:t>
      </w:r>
      <w:r w:rsidR="004D4460">
        <w:rPr>
          <w:lang w:val="en-GB"/>
        </w:rPr>
        <w:t>)</w:t>
      </w:r>
      <w:r>
        <w:rPr>
          <w:lang w:val="en-GB"/>
        </w:rPr>
        <w:t xml:space="preserve"> </w:t>
      </w:r>
      <w:r w:rsidR="004D4460">
        <w:rPr>
          <w:lang w:val="en-GB"/>
        </w:rPr>
        <w:t>are</w:t>
      </w:r>
      <w:r>
        <w:rPr>
          <w:lang w:val="en-GB"/>
        </w:rPr>
        <w:t xml:space="preserve"> produced, that can be further processed and/or stored, thus allowing a neutral and/or negative carbon balance. </w:t>
      </w:r>
    </w:p>
    <w:p w14:paraId="1AC3A577" w14:textId="77777777" w:rsidR="006E1292" w:rsidRDefault="00EE3763" w:rsidP="00EE3763">
      <w:pPr>
        <w:pStyle w:val="CETBodytext"/>
      </w:pPr>
      <w:r>
        <w:rPr>
          <w:noProof/>
          <w:lang w:val="en-GB"/>
        </w:rPr>
        <w:drawing>
          <wp:inline distT="0" distB="0" distL="0" distR="0" wp14:anchorId="6CEF6ADD" wp14:editId="566FFBD9">
            <wp:extent cx="4809506" cy="2057423"/>
            <wp:effectExtent l="0" t="0" r="0" b="0"/>
            <wp:docPr id="600328939"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28939" name="Immagine 1" descr="Immagine che contiene testo, schermata, diagramma, Carattere&#10;&#10;Descrizione generata automaticamente"/>
                    <pic:cNvPicPr/>
                  </pic:nvPicPr>
                  <pic:blipFill rotWithShape="1">
                    <a:blip r:embed="rId12"/>
                    <a:srcRect t="18878" b="20892"/>
                    <a:stretch/>
                  </pic:blipFill>
                  <pic:spPr bwMode="auto">
                    <a:xfrm>
                      <a:off x="0" y="0"/>
                      <a:ext cx="4831101" cy="2066661"/>
                    </a:xfrm>
                    <a:prstGeom prst="rect">
                      <a:avLst/>
                    </a:prstGeom>
                    <a:ln>
                      <a:noFill/>
                    </a:ln>
                    <a:extLst>
                      <a:ext uri="{53640926-AAD7-44D8-BBD7-CCE9431645EC}">
                        <a14:shadowObscured xmlns:a14="http://schemas.microsoft.com/office/drawing/2010/main"/>
                      </a:ext>
                    </a:extLst>
                  </pic:spPr>
                </pic:pic>
              </a:graphicData>
            </a:graphic>
          </wp:inline>
        </w:drawing>
      </w:r>
    </w:p>
    <w:p w14:paraId="199AAF6D" w14:textId="69346997" w:rsidR="00516F27" w:rsidRPr="00EE3763" w:rsidRDefault="00516F27" w:rsidP="00EE3763">
      <w:pPr>
        <w:pStyle w:val="CETBodytext"/>
        <w:rPr>
          <w:lang w:val="en-GB"/>
        </w:rPr>
      </w:pPr>
      <w:r w:rsidRPr="004D4460">
        <w:t xml:space="preserve">Figure </w:t>
      </w:r>
      <w:r w:rsidR="00BB290A" w:rsidRPr="004D4460">
        <w:t>3</w:t>
      </w:r>
      <w:r w:rsidRPr="004D4460">
        <w:t>: Sankey diagram for the biomass-based polygeneration system.</w:t>
      </w:r>
    </w:p>
    <w:p w14:paraId="68D26B83" w14:textId="77777777" w:rsidR="00600535" w:rsidRPr="00D41E3D" w:rsidRDefault="00600535" w:rsidP="00600535">
      <w:pPr>
        <w:pStyle w:val="CETHeading1"/>
        <w:rPr>
          <w:lang w:val="en-GB"/>
        </w:rPr>
      </w:pPr>
      <w:r w:rsidRPr="00D41E3D">
        <w:rPr>
          <w:lang w:val="en-GB"/>
        </w:rPr>
        <w:t>Conclusions</w:t>
      </w:r>
    </w:p>
    <w:p w14:paraId="49D08D50" w14:textId="1ECE7DFA" w:rsidR="006E1292" w:rsidRPr="00461849" w:rsidRDefault="009C039B" w:rsidP="007640E8">
      <w:pPr>
        <w:pStyle w:val="CETBodytext"/>
        <w:rPr>
          <w:lang w:val="en-GB"/>
        </w:rPr>
      </w:pPr>
      <w:r>
        <w:rPr>
          <w:lang w:val="en-GB"/>
        </w:rPr>
        <w:t xml:space="preserve">In this work a </w:t>
      </w:r>
      <w:r w:rsidR="0092158A">
        <w:rPr>
          <w:lang w:val="en-GB"/>
        </w:rPr>
        <w:t xml:space="preserve">preliminary </w:t>
      </w:r>
      <w:r>
        <w:rPr>
          <w:lang w:val="en-GB"/>
        </w:rPr>
        <w:t>steady-state model of a polygeneration system based on the gasification of rice straw is illustrated. An equilibrium approach is used to model the gasification step, and the effect of the most significant operating conditions (namely, temperature, S/B and ER) has been investigated through a sensitivity study. Results show that low pressure oxygen/steam gasification (S/B=0.2, ER=0.2) at 950°C yields a syngas predominantly composed of H</w:t>
      </w:r>
      <w:r w:rsidRPr="001A072A">
        <w:rPr>
          <w:vertAlign w:val="subscript"/>
          <w:lang w:val="en-GB"/>
        </w:rPr>
        <w:t>2</w:t>
      </w:r>
      <w:r>
        <w:rPr>
          <w:lang w:val="en-GB"/>
        </w:rPr>
        <w:t xml:space="preserve"> (41.7%), CO (35.0%), H</w:t>
      </w:r>
      <w:r w:rsidRPr="001A072A">
        <w:rPr>
          <w:vertAlign w:val="subscript"/>
          <w:lang w:val="en-GB"/>
        </w:rPr>
        <w:t>2</w:t>
      </w:r>
      <w:r>
        <w:rPr>
          <w:lang w:val="en-GB"/>
        </w:rPr>
        <w:t>O (13.8%) and CO</w:t>
      </w:r>
      <w:r w:rsidRPr="001A072A">
        <w:rPr>
          <w:vertAlign w:val="subscript"/>
          <w:lang w:val="en-GB"/>
        </w:rPr>
        <w:t>2</w:t>
      </w:r>
      <w:r>
        <w:rPr>
          <w:lang w:val="en-GB"/>
        </w:rPr>
        <w:t xml:space="preserve"> (8.0%). </w:t>
      </w:r>
      <w:r w:rsidR="009E4A9B" w:rsidRPr="009E4A9B">
        <w:rPr>
          <w:lang w:val="en-GB"/>
        </w:rPr>
        <w:t xml:space="preserve">Although the overall system is not optimized, it is the starting point for future techno-economic and thermodynamic analysis. A </w:t>
      </w:r>
      <w:r w:rsidR="00B92A49" w:rsidRPr="009E4A9B">
        <w:rPr>
          <w:lang w:val="en-GB"/>
        </w:rPr>
        <w:t xml:space="preserve">simple </w:t>
      </w:r>
      <w:r w:rsidR="009E4A9B">
        <w:rPr>
          <w:lang w:val="en-GB"/>
        </w:rPr>
        <w:t xml:space="preserve">graphic </w:t>
      </w:r>
      <w:r w:rsidR="00B92A49" w:rsidRPr="009E4A9B">
        <w:rPr>
          <w:lang w:val="en-GB"/>
        </w:rPr>
        <w:t>design method for fixed-bed reactors is</w:t>
      </w:r>
      <w:r w:rsidR="009E4A9B">
        <w:rPr>
          <w:lang w:val="en-GB"/>
        </w:rPr>
        <w:t xml:space="preserve"> also</w:t>
      </w:r>
      <w:r w:rsidR="00B92A49" w:rsidRPr="009E4A9B">
        <w:rPr>
          <w:lang w:val="en-GB"/>
        </w:rPr>
        <w:t xml:space="preserve"> presented</w:t>
      </w:r>
      <w:r w:rsidR="009E4A9B">
        <w:rPr>
          <w:lang w:val="en-GB"/>
        </w:rPr>
        <w:t xml:space="preserve"> in this work</w:t>
      </w:r>
      <w:r w:rsidR="00B92A49" w:rsidRPr="009E4A9B">
        <w:rPr>
          <w:lang w:val="en-GB"/>
        </w:rPr>
        <w:t>.</w:t>
      </w:r>
    </w:p>
    <w:p w14:paraId="58770E68" w14:textId="1C3574DA" w:rsidR="00257222" w:rsidRDefault="00257222" w:rsidP="007640E8">
      <w:pPr>
        <w:pStyle w:val="CETBodytext"/>
        <w:rPr>
          <w:b/>
          <w:bCs/>
          <w:lang w:val="en-GB"/>
        </w:rPr>
      </w:pPr>
      <w:r w:rsidRPr="00257222">
        <w:rPr>
          <w:b/>
          <w:bCs/>
          <w:lang w:val="en-GB"/>
        </w:rPr>
        <w:lastRenderedPageBreak/>
        <w:t>Appendix</w:t>
      </w:r>
    </w:p>
    <w:p w14:paraId="6959B391" w14:textId="77777777" w:rsidR="00BF1BA0" w:rsidRDefault="00BF1BA0" w:rsidP="00257222">
      <w:pPr>
        <w:pStyle w:val="CETBodytext"/>
        <w:rPr>
          <w:b/>
          <w:bCs/>
          <w:lang w:val="en-GB"/>
        </w:rPr>
      </w:pPr>
    </w:p>
    <w:p w14:paraId="65509560" w14:textId="2E1A611B" w:rsidR="00257222" w:rsidRPr="00D03F67" w:rsidRDefault="00E5426A" w:rsidP="00257222">
      <w:pPr>
        <w:pStyle w:val="CETBodytext"/>
        <w:rPr>
          <w:lang w:val="en-GB"/>
        </w:rPr>
      </w:pPr>
      <w:r>
        <w:rPr>
          <w:lang w:val="en-GB"/>
        </w:rPr>
        <w:t>This appendix illustrates the procedure for t</w:t>
      </w:r>
      <w:r w:rsidR="00257222" w:rsidRPr="00D03F67">
        <w:rPr>
          <w:lang w:val="en-GB"/>
        </w:rPr>
        <w:t xml:space="preserve">he choice of the appropriate values of the diameter and the length of the fixed bed reactors </w:t>
      </w:r>
      <w:r>
        <w:rPr>
          <w:lang w:val="en-GB"/>
        </w:rPr>
        <w:t xml:space="preserve">present in the system </w:t>
      </w:r>
      <w:r w:rsidR="00257222" w:rsidRPr="00D03F67">
        <w:rPr>
          <w:lang w:val="en-GB"/>
        </w:rPr>
        <w:t>(both in the methanation section and the DME section)</w:t>
      </w:r>
      <w:r>
        <w:rPr>
          <w:lang w:val="en-GB"/>
        </w:rPr>
        <w:t>. The sizing method</w:t>
      </w:r>
      <w:r w:rsidR="00257222" w:rsidRPr="00D03F67">
        <w:rPr>
          <w:lang w:val="en-GB"/>
        </w:rPr>
        <w:t xml:space="preserve"> considers </w:t>
      </w:r>
      <w:r>
        <w:rPr>
          <w:lang w:val="en-GB"/>
        </w:rPr>
        <w:t>some</w:t>
      </w:r>
      <w:r w:rsidR="00257222" w:rsidRPr="00D03F67">
        <w:rPr>
          <w:lang w:val="en-GB"/>
        </w:rPr>
        <w:t xml:space="preserve"> relevant guidelines for good industrial practice in reactor dimensioning (e.g., </w:t>
      </w:r>
      <w:r w:rsidR="00257222" w:rsidRPr="001102E5">
        <w:rPr>
          <w:lang w:val="en-GB"/>
        </w:rPr>
        <w:t>Woods, 2007</w:t>
      </w:r>
      <w:r w:rsidR="00257222" w:rsidRPr="00D03F67">
        <w:rPr>
          <w:lang w:val="en-GB"/>
        </w:rPr>
        <w:t>)</w:t>
      </w:r>
      <w:r w:rsidR="00257222">
        <w:rPr>
          <w:lang w:val="en-GB"/>
        </w:rPr>
        <w:t xml:space="preserve"> and chemical engineering considerations</w:t>
      </w:r>
      <w:r>
        <w:rPr>
          <w:lang w:val="en-GB"/>
        </w:rPr>
        <w:t>, as reported in</w:t>
      </w:r>
      <w:r w:rsidR="00257222" w:rsidRPr="00D03F67">
        <w:rPr>
          <w:lang w:val="en-GB"/>
        </w:rPr>
        <w:t xml:space="preserve"> Table </w:t>
      </w:r>
      <w:r w:rsidR="00257222">
        <w:rPr>
          <w:lang w:val="en-GB"/>
        </w:rPr>
        <w:t>3</w:t>
      </w:r>
      <w:r w:rsidR="00257222" w:rsidRPr="00D03F67">
        <w:rPr>
          <w:lang w:val="en-GB"/>
        </w:rPr>
        <w:t>:</w:t>
      </w:r>
    </w:p>
    <w:p w14:paraId="5F7F6521" w14:textId="427D89BB" w:rsidR="00257222" w:rsidRPr="00D03F67" w:rsidRDefault="00257222" w:rsidP="00257222">
      <w:pPr>
        <w:pStyle w:val="CETTabletitle"/>
      </w:pPr>
      <w:r w:rsidRPr="00D03F67">
        <w:t xml:space="preserve">Table </w:t>
      </w:r>
      <w:r>
        <w:t>3</w:t>
      </w:r>
      <w:r w:rsidRPr="00D03F67">
        <w:t>: Guidelines for good industrial practice of fixed bed catalytic reactors (</w:t>
      </w:r>
      <w:r w:rsidR="00712F88">
        <w:t>adapted from:</w:t>
      </w:r>
      <w:r w:rsidRPr="00D03F67">
        <w:t xml:space="preserve"> </w:t>
      </w:r>
      <w:r w:rsidRPr="001102E5">
        <w:t>Woods, 2007</w:t>
      </w:r>
      <w:r w:rsidRPr="00D03F67">
        <w:t>).</w:t>
      </w:r>
    </w:p>
    <w:tbl>
      <w:tblPr>
        <w:tblW w:w="884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3911"/>
        <w:gridCol w:w="2948"/>
      </w:tblGrid>
      <w:tr w:rsidR="00257222" w:rsidRPr="00D03F67" w14:paraId="2097BBB5" w14:textId="77777777" w:rsidTr="00A87AF2">
        <w:trPr>
          <w:trHeight w:val="255"/>
        </w:trPr>
        <w:tc>
          <w:tcPr>
            <w:tcW w:w="1985" w:type="dxa"/>
            <w:tcBorders>
              <w:top w:val="single" w:sz="12" w:space="0" w:color="008000"/>
              <w:bottom w:val="single" w:sz="6" w:space="0" w:color="008000"/>
            </w:tcBorders>
            <w:shd w:val="clear" w:color="auto" w:fill="FFFFFF"/>
          </w:tcPr>
          <w:p w14:paraId="35579A5A" w14:textId="77777777" w:rsidR="00257222" w:rsidRPr="00D03F67" w:rsidRDefault="00257222" w:rsidP="00A87AF2">
            <w:pPr>
              <w:pStyle w:val="CETBodytext"/>
              <w:rPr>
                <w:lang w:val="en-GB"/>
              </w:rPr>
            </w:pPr>
            <w:r w:rsidRPr="00D03F67">
              <w:rPr>
                <w:lang w:val="en-GB"/>
              </w:rPr>
              <w:t>Condition n°</w:t>
            </w:r>
          </w:p>
        </w:tc>
        <w:tc>
          <w:tcPr>
            <w:tcW w:w="3911" w:type="dxa"/>
            <w:tcBorders>
              <w:top w:val="single" w:sz="12" w:space="0" w:color="008000"/>
              <w:bottom w:val="single" w:sz="6" w:space="0" w:color="008000"/>
            </w:tcBorders>
            <w:shd w:val="clear" w:color="auto" w:fill="FFFFFF"/>
          </w:tcPr>
          <w:p w14:paraId="7CC92FBB" w14:textId="77777777" w:rsidR="00257222" w:rsidRPr="00D03F67" w:rsidRDefault="00257222" w:rsidP="00A87AF2">
            <w:pPr>
              <w:pStyle w:val="CETBodytext"/>
              <w:rPr>
                <w:lang w:val="en-GB"/>
              </w:rPr>
            </w:pPr>
            <w:r w:rsidRPr="00D03F67">
              <w:rPr>
                <w:lang w:val="en-GB"/>
              </w:rPr>
              <w:t>Factor</w:t>
            </w:r>
          </w:p>
        </w:tc>
        <w:tc>
          <w:tcPr>
            <w:tcW w:w="2948" w:type="dxa"/>
            <w:tcBorders>
              <w:top w:val="single" w:sz="12" w:space="0" w:color="008000"/>
              <w:bottom w:val="single" w:sz="6" w:space="0" w:color="008000"/>
            </w:tcBorders>
            <w:shd w:val="clear" w:color="auto" w:fill="FFFFFF"/>
          </w:tcPr>
          <w:p w14:paraId="4D390C3F" w14:textId="77777777" w:rsidR="00257222" w:rsidRPr="00D03F67" w:rsidRDefault="00257222" w:rsidP="00A87AF2">
            <w:pPr>
              <w:pStyle w:val="CETBodytext"/>
              <w:rPr>
                <w:lang w:val="en-GB"/>
              </w:rPr>
            </w:pPr>
            <w:r w:rsidRPr="00D03F67">
              <w:rPr>
                <w:lang w:val="en-GB"/>
              </w:rPr>
              <w:t>Suggested guidelines</w:t>
            </w:r>
          </w:p>
        </w:tc>
      </w:tr>
      <w:tr w:rsidR="00257222" w:rsidRPr="00D03F67" w14:paraId="2466B1BE" w14:textId="77777777" w:rsidTr="00A87AF2">
        <w:trPr>
          <w:trHeight w:val="247"/>
        </w:trPr>
        <w:tc>
          <w:tcPr>
            <w:tcW w:w="1985" w:type="dxa"/>
            <w:shd w:val="clear" w:color="auto" w:fill="FFFFFF"/>
          </w:tcPr>
          <w:p w14:paraId="7808DB07" w14:textId="77777777" w:rsidR="00257222" w:rsidRPr="00D03F67" w:rsidRDefault="00257222" w:rsidP="00A87AF2">
            <w:pPr>
              <w:pStyle w:val="CETBodytext"/>
              <w:rPr>
                <w:lang w:val="en-GB"/>
              </w:rPr>
            </w:pPr>
            <w:r w:rsidRPr="00D03F67">
              <w:rPr>
                <w:lang w:val="en-GB"/>
              </w:rPr>
              <w:t>1</w:t>
            </w:r>
          </w:p>
        </w:tc>
        <w:tc>
          <w:tcPr>
            <w:tcW w:w="3911" w:type="dxa"/>
            <w:shd w:val="clear" w:color="auto" w:fill="FFFFFF"/>
          </w:tcPr>
          <w:p w14:paraId="06C7984D" w14:textId="77777777" w:rsidR="00257222" w:rsidRPr="00C64185" w:rsidRDefault="00257222" w:rsidP="00A87AF2">
            <w:pPr>
              <w:pStyle w:val="CETBodytext"/>
              <w:rPr>
                <w:lang w:val="en-GB"/>
              </w:rPr>
            </w:pPr>
            <w:r w:rsidRPr="00C64185">
              <w:rPr>
                <w:lang w:val="en-GB"/>
              </w:rPr>
              <w:t>Catalyst pellet diameter, d</w:t>
            </w:r>
            <w:r w:rsidRPr="00C64185">
              <w:rPr>
                <w:vertAlign w:val="subscript"/>
                <w:lang w:val="en-GB"/>
              </w:rPr>
              <w:t>p</w:t>
            </w:r>
          </w:p>
        </w:tc>
        <w:tc>
          <w:tcPr>
            <w:tcW w:w="2948" w:type="dxa"/>
            <w:shd w:val="clear" w:color="auto" w:fill="FFFFFF"/>
          </w:tcPr>
          <w:p w14:paraId="322A8615" w14:textId="77777777" w:rsidR="00257222" w:rsidRPr="00C64185" w:rsidRDefault="00257222" w:rsidP="00A87AF2">
            <w:pPr>
              <w:pStyle w:val="CETBodytext"/>
              <w:rPr>
                <w:lang w:val="en-GB"/>
              </w:rPr>
            </w:pPr>
            <w:r w:rsidRPr="00C64185">
              <w:rPr>
                <w:lang w:val="en-GB"/>
              </w:rPr>
              <w:t>Should be 1-5 mm</w:t>
            </w:r>
          </w:p>
        </w:tc>
      </w:tr>
      <w:tr w:rsidR="00257222" w:rsidRPr="00D03F67" w14:paraId="4CC329B3" w14:textId="77777777" w:rsidTr="00A87AF2">
        <w:trPr>
          <w:trHeight w:val="255"/>
        </w:trPr>
        <w:tc>
          <w:tcPr>
            <w:tcW w:w="1985" w:type="dxa"/>
            <w:shd w:val="clear" w:color="auto" w:fill="FFFFFF"/>
          </w:tcPr>
          <w:p w14:paraId="12BD7EE6" w14:textId="77777777" w:rsidR="00257222" w:rsidRPr="00D03F67" w:rsidRDefault="00257222" w:rsidP="00A87AF2">
            <w:pPr>
              <w:pStyle w:val="CETBodytext"/>
              <w:ind w:right="-1"/>
              <w:rPr>
                <w:lang w:val="en-GB"/>
              </w:rPr>
            </w:pPr>
            <w:r w:rsidRPr="00D03F67">
              <w:rPr>
                <w:lang w:val="en-GB"/>
              </w:rPr>
              <w:t>2</w:t>
            </w:r>
          </w:p>
        </w:tc>
        <w:tc>
          <w:tcPr>
            <w:tcW w:w="3911" w:type="dxa"/>
            <w:shd w:val="clear" w:color="auto" w:fill="FFFFFF"/>
          </w:tcPr>
          <w:p w14:paraId="0AB9EBDD" w14:textId="283311F6" w:rsidR="00257222" w:rsidRPr="00C64185" w:rsidRDefault="00257222" w:rsidP="00A87AF2">
            <w:pPr>
              <w:pStyle w:val="CETBodytext"/>
              <w:ind w:right="-1"/>
              <w:rPr>
                <w:rFonts w:cs="Arial"/>
                <w:szCs w:val="18"/>
                <w:lang w:val="en-GB"/>
              </w:rPr>
            </w:pPr>
            <w:r w:rsidRPr="00C64185">
              <w:rPr>
                <w:lang w:val="en-GB"/>
              </w:rPr>
              <w:t xml:space="preserve">The space-time of the reactor, </w:t>
            </w:r>
            <m:oMath>
              <m:r>
                <m:rPr>
                  <m:sty m:val="p"/>
                </m:rPr>
                <w:rPr>
                  <w:rFonts w:ascii="Cambria Math" w:hAnsi="Cambria Math"/>
                  <w:lang w:val="en-GB"/>
                </w:rPr>
                <m:t>τ=</m:t>
              </m:r>
              <m:f>
                <m:fPr>
                  <m:ctrlPr>
                    <w:rPr>
                      <w:rFonts w:ascii="Cambria Math" w:hAnsi="Cambria Math"/>
                      <w:lang w:val="en-GB"/>
                    </w:rPr>
                  </m:ctrlPr>
                </m:fPr>
                <m:num>
                  <m:r>
                    <m:rPr>
                      <m:sty m:val="p"/>
                    </m:rPr>
                    <w:rPr>
                      <w:rFonts w:ascii="Cambria Math" w:hAnsi="Cambria Math"/>
                      <w:lang w:val="en-GB"/>
                    </w:rPr>
                    <m:t>V</m:t>
                  </m:r>
                </m:num>
                <m:den>
                  <m:r>
                    <m:rPr>
                      <m:sty m:val="p"/>
                    </m:rPr>
                    <w:rPr>
                      <w:rFonts w:ascii="Cambria Math" w:hAnsi="Cambria Math"/>
                      <w:lang w:val="en-GB"/>
                    </w:rPr>
                    <m:t>Q</m:t>
                  </m:r>
                </m:den>
              </m:f>
            </m:oMath>
          </w:p>
        </w:tc>
        <w:tc>
          <w:tcPr>
            <w:tcW w:w="2948" w:type="dxa"/>
            <w:shd w:val="clear" w:color="auto" w:fill="FFFFFF"/>
          </w:tcPr>
          <w:p w14:paraId="199A3A81" w14:textId="77777777" w:rsidR="00257222" w:rsidRPr="00C64185" w:rsidRDefault="00257222" w:rsidP="00A87AF2">
            <w:pPr>
              <w:pStyle w:val="CETBodytext"/>
              <w:ind w:right="-1"/>
              <w:rPr>
                <w:rFonts w:cs="Arial"/>
                <w:szCs w:val="18"/>
                <w:lang w:val="en-GB"/>
              </w:rPr>
            </w:pPr>
            <w:r w:rsidRPr="00C64185">
              <w:rPr>
                <w:rFonts w:cs="Arial"/>
                <w:szCs w:val="18"/>
                <w:lang w:val="en-GB"/>
              </w:rPr>
              <w:t>Should be kept &lt; 1 s</w:t>
            </w:r>
          </w:p>
        </w:tc>
      </w:tr>
      <w:tr w:rsidR="00257222" w:rsidRPr="00D03F67" w14:paraId="3868071D" w14:textId="77777777" w:rsidTr="00A87AF2">
        <w:trPr>
          <w:trHeight w:val="255"/>
        </w:trPr>
        <w:tc>
          <w:tcPr>
            <w:tcW w:w="1985" w:type="dxa"/>
            <w:shd w:val="clear" w:color="auto" w:fill="FFFFFF"/>
          </w:tcPr>
          <w:p w14:paraId="762392C3" w14:textId="77777777" w:rsidR="00257222" w:rsidRPr="00D03F67" w:rsidRDefault="00257222" w:rsidP="00A87AF2">
            <w:pPr>
              <w:pStyle w:val="CETBodytext"/>
              <w:ind w:right="-1"/>
              <w:rPr>
                <w:rFonts w:cs="Arial"/>
                <w:lang w:val="en-GB"/>
              </w:rPr>
            </w:pPr>
            <w:r w:rsidRPr="00D03F67">
              <w:rPr>
                <w:rFonts w:cs="Arial"/>
                <w:lang w:val="en-GB"/>
              </w:rPr>
              <w:t>3</w:t>
            </w:r>
          </w:p>
        </w:tc>
        <w:tc>
          <w:tcPr>
            <w:tcW w:w="3911" w:type="dxa"/>
            <w:shd w:val="clear" w:color="auto" w:fill="FFFFFF"/>
          </w:tcPr>
          <w:p w14:paraId="4DC241C5" w14:textId="75A29EC4" w:rsidR="00257222" w:rsidRPr="00C64185" w:rsidRDefault="00C90264" w:rsidP="00A87AF2">
            <w:pPr>
              <w:pStyle w:val="CETBodytext"/>
              <w:ind w:right="-1"/>
              <w:rPr>
                <w:rFonts w:cs="Arial"/>
                <w:szCs w:val="18"/>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vertAlign w:val="subscript"/>
                        <w:lang w:val="en-GB"/>
                      </w:rPr>
                      <m:t>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vertAlign w:val="subscript"/>
                        <w:lang w:val="en-GB"/>
                      </w:rPr>
                      <m:t>p</m:t>
                    </m:r>
                  </m:sub>
                </m:sSub>
              </m:oMath>
            </m:oMathPara>
          </w:p>
        </w:tc>
        <w:tc>
          <w:tcPr>
            <w:tcW w:w="2948" w:type="dxa"/>
            <w:shd w:val="clear" w:color="auto" w:fill="FFFFFF"/>
          </w:tcPr>
          <w:p w14:paraId="3061F105" w14:textId="77777777" w:rsidR="00257222" w:rsidRPr="00C64185" w:rsidRDefault="00257222" w:rsidP="00A87AF2">
            <w:pPr>
              <w:pStyle w:val="CETBodytext"/>
              <w:ind w:right="-1"/>
              <w:rPr>
                <w:rFonts w:cs="Arial"/>
                <w:szCs w:val="18"/>
                <w:lang w:val="en-GB"/>
              </w:rPr>
            </w:pPr>
            <w:r w:rsidRPr="00C64185">
              <w:rPr>
                <w:rFonts w:cs="Arial"/>
                <w:szCs w:val="18"/>
                <w:lang w:val="en-GB"/>
              </w:rPr>
              <w:t xml:space="preserve">Should be kept &gt; 10 </w:t>
            </w:r>
          </w:p>
        </w:tc>
      </w:tr>
      <w:tr w:rsidR="00257222" w:rsidRPr="00D03F67" w14:paraId="17674782" w14:textId="77777777" w:rsidTr="00A87AF2">
        <w:trPr>
          <w:trHeight w:val="255"/>
        </w:trPr>
        <w:tc>
          <w:tcPr>
            <w:tcW w:w="1985" w:type="dxa"/>
            <w:shd w:val="clear" w:color="auto" w:fill="FFFFFF"/>
          </w:tcPr>
          <w:p w14:paraId="09E5A327" w14:textId="77777777" w:rsidR="00257222" w:rsidRPr="00D03F67" w:rsidRDefault="00257222" w:rsidP="00A87AF2">
            <w:pPr>
              <w:pStyle w:val="CETBodytext"/>
              <w:ind w:right="-1"/>
              <w:rPr>
                <w:lang w:val="en-GB"/>
              </w:rPr>
            </w:pPr>
            <w:r w:rsidRPr="00D03F67">
              <w:rPr>
                <w:lang w:val="en-GB"/>
              </w:rPr>
              <w:t>4</w:t>
            </w:r>
          </w:p>
        </w:tc>
        <w:tc>
          <w:tcPr>
            <w:tcW w:w="3911" w:type="dxa"/>
            <w:shd w:val="clear" w:color="auto" w:fill="FFFFFF"/>
          </w:tcPr>
          <w:p w14:paraId="49B0CAD0" w14:textId="6534EF97" w:rsidR="00257222" w:rsidRPr="00C64185" w:rsidRDefault="00257222" w:rsidP="00A87AF2">
            <w:pPr>
              <w:pStyle w:val="CETBodytext"/>
              <w:ind w:right="-1"/>
              <w:rPr>
                <w:rFonts w:cs="Arial"/>
                <w:szCs w:val="18"/>
                <w:lang w:val="en-GB"/>
              </w:rPr>
            </w:pPr>
            <w:r w:rsidRPr="00C64185">
              <w:rPr>
                <w:lang w:val="en-GB"/>
              </w:rPr>
              <w:t xml:space="preserve">Pressure drops, </w:t>
            </w:r>
            <m:oMath>
              <m:r>
                <m:rPr>
                  <m:sty m:val="p"/>
                </m:rPr>
                <w:rPr>
                  <w:rFonts w:ascii="Cambria Math" w:eastAsiaTheme="minorEastAsia" w:hAnsi="Cambria Math" w:cs="Courier New"/>
                  <w:lang w:val="en-GB"/>
                </w:rPr>
                <m:t>-</m:t>
              </m:r>
              <m:f>
                <m:fPr>
                  <m:ctrlPr>
                    <w:rPr>
                      <w:rFonts w:ascii="Cambria Math" w:eastAsiaTheme="minorEastAsia" w:hAnsi="Cambria Math" w:cs="Courier New"/>
                      <w:lang w:val="en-GB"/>
                    </w:rPr>
                  </m:ctrlPr>
                </m:fPr>
                <m:num>
                  <m:r>
                    <m:rPr>
                      <m:sty m:val="p"/>
                    </m:rPr>
                    <w:rPr>
                      <w:rFonts w:ascii="Cambria Math" w:eastAsiaTheme="minorEastAsia" w:hAnsi="Cambria Math" w:cs="Courier New"/>
                      <w:lang w:val="en-GB"/>
                    </w:rPr>
                    <m:t>∆P</m:t>
                  </m:r>
                </m:num>
                <m:den>
                  <m:r>
                    <m:rPr>
                      <m:sty m:val="p"/>
                    </m:rPr>
                    <w:rPr>
                      <w:rFonts w:ascii="Cambria Math" w:eastAsiaTheme="minorEastAsia" w:hAnsi="Cambria Math" w:cs="Courier New"/>
                      <w:lang w:val="en-GB"/>
                    </w:rPr>
                    <m:t>L</m:t>
                  </m:r>
                </m:den>
              </m:f>
            </m:oMath>
          </w:p>
        </w:tc>
        <w:tc>
          <w:tcPr>
            <w:tcW w:w="2948" w:type="dxa"/>
            <w:shd w:val="clear" w:color="auto" w:fill="FFFFFF"/>
          </w:tcPr>
          <w:p w14:paraId="1E615785" w14:textId="77777777" w:rsidR="00257222" w:rsidRPr="00C64185" w:rsidRDefault="00257222" w:rsidP="00A87AF2">
            <w:pPr>
              <w:pStyle w:val="CETBodytext"/>
              <w:ind w:right="-1"/>
              <w:rPr>
                <w:rFonts w:cs="Arial"/>
                <w:szCs w:val="18"/>
                <w:lang w:val="en-GB"/>
              </w:rPr>
            </w:pPr>
            <w:r w:rsidRPr="00C64185">
              <w:rPr>
                <w:rFonts w:cs="Arial"/>
                <w:szCs w:val="18"/>
                <w:lang w:val="en-GB"/>
              </w:rPr>
              <w:t>Should be kept &lt; 10%</w:t>
            </w:r>
          </w:p>
        </w:tc>
      </w:tr>
      <w:tr w:rsidR="00257222" w:rsidRPr="00D03F67" w14:paraId="7FCAEB31" w14:textId="77777777" w:rsidTr="00A87AF2">
        <w:trPr>
          <w:trHeight w:val="255"/>
        </w:trPr>
        <w:tc>
          <w:tcPr>
            <w:tcW w:w="1985" w:type="dxa"/>
            <w:shd w:val="clear" w:color="auto" w:fill="FFFFFF"/>
          </w:tcPr>
          <w:p w14:paraId="702F16EC" w14:textId="77777777" w:rsidR="00257222" w:rsidRPr="00D03F67" w:rsidRDefault="00257222" w:rsidP="00A87AF2">
            <w:pPr>
              <w:pStyle w:val="CETBodytext"/>
              <w:ind w:right="-1"/>
              <w:rPr>
                <w:lang w:val="en-GB"/>
              </w:rPr>
            </w:pPr>
            <w:r w:rsidRPr="00D03F67">
              <w:rPr>
                <w:lang w:val="en-GB"/>
              </w:rPr>
              <w:t>5</w:t>
            </w:r>
          </w:p>
        </w:tc>
        <w:tc>
          <w:tcPr>
            <w:tcW w:w="3911" w:type="dxa"/>
            <w:shd w:val="clear" w:color="auto" w:fill="FFFFFF"/>
          </w:tcPr>
          <w:p w14:paraId="598F4DA0" w14:textId="77777777" w:rsidR="00257222" w:rsidRPr="00C64185" w:rsidRDefault="00257222" w:rsidP="00A87AF2">
            <w:pPr>
              <w:pStyle w:val="CETBodytext"/>
              <w:ind w:right="-1"/>
              <w:rPr>
                <w:rFonts w:cs="Arial"/>
                <w:szCs w:val="18"/>
                <w:lang w:val="en-GB"/>
              </w:rPr>
            </w:pPr>
            <w:r w:rsidRPr="00C64185">
              <w:rPr>
                <w:lang w:val="en-GB"/>
              </w:rPr>
              <w:t>L/d</w:t>
            </w:r>
            <w:r w:rsidRPr="00C64185">
              <w:rPr>
                <w:vertAlign w:val="subscript"/>
                <w:lang w:val="en-GB"/>
              </w:rPr>
              <w:t>p</w:t>
            </w:r>
          </w:p>
        </w:tc>
        <w:tc>
          <w:tcPr>
            <w:tcW w:w="2948" w:type="dxa"/>
            <w:shd w:val="clear" w:color="auto" w:fill="FFFFFF"/>
          </w:tcPr>
          <w:p w14:paraId="69A1D08F" w14:textId="77777777" w:rsidR="00257222" w:rsidRPr="00C64185" w:rsidRDefault="00257222" w:rsidP="00A87AF2">
            <w:pPr>
              <w:pStyle w:val="CETBodytext"/>
              <w:ind w:right="-1"/>
              <w:rPr>
                <w:rFonts w:cs="Arial"/>
                <w:szCs w:val="18"/>
                <w:lang w:val="en-GB"/>
              </w:rPr>
            </w:pPr>
            <w:r w:rsidRPr="00C64185">
              <w:rPr>
                <w:rFonts w:cs="Arial"/>
                <w:szCs w:val="18"/>
                <w:lang w:val="en-GB"/>
              </w:rPr>
              <w:t xml:space="preserve">Should be kept </w:t>
            </w:r>
            <w:r w:rsidRPr="00C64185">
              <w:rPr>
                <w:rFonts w:cs="Arial"/>
                <w:sz w:val="16"/>
                <w:szCs w:val="16"/>
                <w:lang w:val="en-GB"/>
              </w:rPr>
              <w:t>&gt;</w:t>
            </w:r>
            <w:r w:rsidRPr="00C64185">
              <w:rPr>
                <w:rFonts w:cs="Arial"/>
                <w:szCs w:val="18"/>
                <w:lang w:val="en-GB"/>
              </w:rPr>
              <w:t xml:space="preserve"> 100 </w:t>
            </w:r>
          </w:p>
        </w:tc>
      </w:tr>
      <w:tr w:rsidR="00257222" w:rsidRPr="00D03F67" w14:paraId="03010F14" w14:textId="77777777" w:rsidTr="00A87AF2">
        <w:trPr>
          <w:trHeight w:val="255"/>
        </w:trPr>
        <w:tc>
          <w:tcPr>
            <w:tcW w:w="1985" w:type="dxa"/>
            <w:shd w:val="clear" w:color="auto" w:fill="FFFFFF"/>
          </w:tcPr>
          <w:p w14:paraId="26ADB090" w14:textId="77777777" w:rsidR="00257222" w:rsidRPr="00D03F67" w:rsidRDefault="00257222" w:rsidP="00A87AF2">
            <w:pPr>
              <w:pStyle w:val="CETBodytext"/>
              <w:ind w:right="-1"/>
              <w:rPr>
                <w:rFonts w:cs="Arial"/>
                <w:szCs w:val="18"/>
                <w:lang w:val="en-GB"/>
              </w:rPr>
            </w:pPr>
            <w:r w:rsidRPr="00D03F67">
              <w:rPr>
                <w:rFonts w:cs="Arial"/>
                <w:szCs w:val="18"/>
                <w:lang w:val="en-GB"/>
              </w:rPr>
              <w:t>6</w:t>
            </w:r>
          </w:p>
        </w:tc>
        <w:tc>
          <w:tcPr>
            <w:tcW w:w="3911" w:type="dxa"/>
            <w:shd w:val="clear" w:color="auto" w:fill="FFFFFF"/>
          </w:tcPr>
          <w:p w14:paraId="705B3E3B" w14:textId="77777777" w:rsidR="00257222" w:rsidRPr="00C64185" w:rsidRDefault="00257222" w:rsidP="00A87AF2">
            <w:pPr>
              <w:pStyle w:val="CETBodytext"/>
              <w:ind w:right="-1"/>
              <w:rPr>
                <w:rFonts w:cs="Arial"/>
                <w:szCs w:val="18"/>
                <w:lang w:val="en-GB"/>
              </w:rPr>
            </w:pPr>
            <w:r w:rsidRPr="00C64185">
              <w:rPr>
                <w:rFonts w:cs="Arial"/>
                <w:szCs w:val="18"/>
                <w:lang w:val="en-GB"/>
              </w:rPr>
              <w:t>Effective reactor length, L</w:t>
            </w:r>
          </w:p>
        </w:tc>
        <w:tc>
          <w:tcPr>
            <w:tcW w:w="2948" w:type="dxa"/>
            <w:shd w:val="clear" w:color="auto" w:fill="FFFFFF"/>
          </w:tcPr>
          <w:p w14:paraId="776F46EE" w14:textId="77777777" w:rsidR="00257222" w:rsidRPr="00C64185" w:rsidRDefault="00257222" w:rsidP="00A87AF2">
            <w:pPr>
              <w:pStyle w:val="CETBodytext"/>
              <w:ind w:right="-1"/>
              <w:rPr>
                <w:rFonts w:cs="Arial"/>
                <w:szCs w:val="18"/>
                <w:lang w:val="en-GB"/>
              </w:rPr>
            </w:pPr>
            <w:r w:rsidRPr="00C64185">
              <w:rPr>
                <w:rFonts w:cs="Arial"/>
                <w:szCs w:val="18"/>
                <w:lang w:val="en-GB"/>
              </w:rPr>
              <w:t>Should enable to reach equilibrium (i.e., L=1.1 L</w:t>
            </w:r>
            <w:r w:rsidRPr="00C64185">
              <w:rPr>
                <w:rFonts w:cs="Arial"/>
                <w:szCs w:val="18"/>
                <w:vertAlign w:val="subscript"/>
                <w:lang w:val="en-GB"/>
              </w:rPr>
              <w:t>eq</w:t>
            </w:r>
            <w:r w:rsidRPr="00C64185">
              <w:rPr>
                <w:rFonts w:cs="Arial"/>
                <w:szCs w:val="18"/>
                <w:lang w:val="en-GB"/>
              </w:rPr>
              <w:t>)</w:t>
            </w:r>
          </w:p>
        </w:tc>
      </w:tr>
      <w:tr w:rsidR="00257222" w:rsidRPr="00D03F67" w14:paraId="15B8F0C2" w14:textId="77777777" w:rsidTr="00A87AF2">
        <w:trPr>
          <w:trHeight w:val="255"/>
        </w:trPr>
        <w:tc>
          <w:tcPr>
            <w:tcW w:w="1985" w:type="dxa"/>
            <w:shd w:val="clear" w:color="auto" w:fill="FFFFFF"/>
          </w:tcPr>
          <w:p w14:paraId="5AAC140F" w14:textId="77777777" w:rsidR="00257222" w:rsidRPr="00D03F67" w:rsidRDefault="00257222" w:rsidP="00A87AF2">
            <w:pPr>
              <w:pStyle w:val="CETBodytext"/>
              <w:ind w:right="-1"/>
              <w:rPr>
                <w:rFonts w:cs="Arial"/>
                <w:szCs w:val="18"/>
                <w:lang w:val="en-GB"/>
              </w:rPr>
            </w:pPr>
            <w:r w:rsidRPr="00D03F67">
              <w:rPr>
                <w:rFonts w:cs="Arial"/>
                <w:szCs w:val="18"/>
                <w:lang w:val="en-GB"/>
              </w:rPr>
              <w:t>7</w:t>
            </w:r>
          </w:p>
        </w:tc>
        <w:tc>
          <w:tcPr>
            <w:tcW w:w="3911" w:type="dxa"/>
            <w:shd w:val="clear" w:color="auto" w:fill="FFFFFF"/>
          </w:tcPr>
          <w:p w14:paraId="168A5A39" w14:textId="7608B4E4" w:rsidR="00257222" w:rsidRPr="00C64185" w:rsidRDefault="00257222" w:rsidP="00A87AF2">
            <w:pPr>
              <w:pStyle w:val="CETBodytext"/>
              <w:ind w:right="-1"/>
              <w:rPr>
                <w:rFonts w:cs="Arial"/>
                <w:szCs w:val="18"/>
                <w:lang w:val="en-GB"/>
              </w:rPr>
            </w:pPr>
            <w:r w:rsidRPr="00C64185">
              <w:rPr>
                <w:rFonts w:cs="Arial"/>
                <w:szCs w:val="18"/>
                <w:lang w:val="en-GB"/>
              </w:rPr>
              <w:t xml:space="preserve">Particle Reynolds number, </w:t>
            </w:r>
            <m:oMath>
              <m:r>
                <m:rPr>
                  <m:sty m:val="p"/>
                </m:rPr>
                <w:rPr>
                  <w:rFonts w:ascii="Cambria Math" w:eastAsiaTheme="minorEastAsia" w:hAnsi="Cambria Math" w:cs="Courier New"/>
                  <w:lang w:val="en-GB"/>
                </w:rPr>
                <m:t>R</m:t>
              </m:r>
              <m:sSub>
                <m:sSubPr>
                  <m:ctrlPr>
                    <w:rPr>
                      <w:rFonts w:ascii="Cambria Math" w:eastAsiaTheme="minorEastAsia" w:hAnsi="Cambria Math" w:cs="Courier New"/>
                      <w:lang w:val="en-GB"/>
                    </w:rPr>
                  </m:ctrlPr>
                </m:sSubPr>
                <m:e>
                  <m:r>
                    <m:rPr>
                      <m:sty m:val="p"/>
                    </m:rPr>
                    <w:rPr>
                      <w:rFonts w:ascii="Cambria Math" w:eastAsiaTheme="minorEastAsia" w:hAnsi="Cambria Math" w:cs="Courier New"/>
                      <w:lang w:val="en-GB"/>
                    </w:rPr>
                    <m:t>e</m:t>
                  </m:r>
                </m:e>
                <m:sub>
                  <m:r>
                    <m:rPr>
                      <m:sty m:val="p"/>
                    </m:rPr>
                    <w:rPr>
                      <w:rFonts w:ascii="Cambria Math" w:eastAsiaTheme="minorEastAsia" w:hAnsi="Cambria Math" w:cs="Courier New"/>
                      <w:lang w:val="en-GB"/>
                    </w:rPr>
                    <m:t>p</m:t>
                  </m:r>
                </m:sub>
              </m:sSub>
            </m:oMath>
          </w:p>
        </w:tc>
        <w:tc>
          <w:tcPr>
            <w:tcW w:w="2948" w:type="dxa"/>
            <w:shd w:val="clear" w:color="auto" w:fill="FFFFFF"/>
          </w:tcPr>
          <w:p w14:paraId="54B3EDDC" w14:textId="77777777" w:rsidR="00257222" w:rsidRPr="00C64185" w:rsidRDefault="00257222" w:rsidP="00A87AF2">
            <w:pPr>
              <w:pStyle w:val="CETBodytext"/>
              <w:ind w:right="-1"/>
              <w:rPr>
                <w:rFonts w:cs="Arial"/>
                <w:szCs w:val="18"/>
                <w:lang w:val="en-GB"/>
              </w:rPr>
            </w:pPr>
            <w:r w:rsidRPr="00C64185">
              <w:rPr>
                <w:rFonts w:cs="Arial"/>
                <w:szCs w:val="18"/>
                <w:lang w:val="en-GB"/>
              </w:rPr>
              <w:t>Should be kept &gt; 100 to ensure turbulent regime</w:t>
            </w:r>
          </w:p>
        </w:tc>
      </w:tr>
    </w:tbl>
    <w:p w14:paraId="72F9022A" w14:textId="77777777" w:rsidR="00257222" w:rsidRPr="00D03F67" w:rsidRDefault="00257222" w:rsidP="00257222">
      <w:pPr>
        <w:pStyle w:val="CETBodytext"/>
        <w:rPr>
          <w:lang w:val="en-GB"/>
        </w:rPr>
      </w:pPr>
    </w:p>
    <w:p w14:paraId="4AB5EB6F" w14:textId="4A1840D2" w:rsidR="00962360" w:rsidRPr="009B47D4" w:rsidRDefault="00257222" w:rsidP="00257222">
      <w:pPr>
        <w:pStyle w:val="CETBodytext"/>
        <w:rPr>
          <w:lang w:val="en-GB"/>
        </w:rPr>
      </w:pPr>
      <w:r w:rsidRPr="00D03F67">
        <w:rPr>
          <w:lang w:val="en-GB"/>
        </w:rPr>
        <w:t xml:space="preserve">All the physical properties are evaluated at the mean temperature between the reactor inlet and outlet. The procedure involves the </w:t>
      </w:r>
      <w:r w:rsidR="00E5426A">
        <w:rPr>
          <w:lang w:val="en-GB"/>
        </w:rPr>
        <w:t>graphical representation</w:t>
      </w:r>
      <w:r w:rsidRPr="00D03F67">
        <w:rPr>
          <w:lang w:val="en-GB"/>
        </w:rPr>
        <w:t xml:space="preserve"> of a region of possible designs in the L-D</w:t>
      </w:r>
      <w:r w:rsidRPr="00D03F67">
        <w:rPr>
          <w:vertAlign w:val="subscript"/>
          <w:lang w:val="en-GB"/>
        </w:rPr>
        <w:t>t</w:t>
      </w:r>
      <w:r w:rsidRPr="00D03F67">
        <w:rPr>
          <w:lang w:val="en-GB"/>
        </w:rPr>
        <w:t xml:space="preserve"> plane, where all the conditions in Table </w:t>
      </w:r>
      <w:r>
        <w:rPr>
          <w:lang w:val="en-GB"/>
        </w:rPr>
        <w:t>3</w:t>
      </w:r>
      <w:r w:rsidRPr="00D03F67">
        <w:rPr>
          <w:lang w:val="en-GB"/>
        </w:rPr>
        <w:t xml:space="preserve"> are met. Conditions from Table </w:t>
      </w:r>
      <w:r>
        <w:rPr>
          <w:lang w:val="en-GB"/>
        </w:rPr>
        <w:t>3</w:t>
      </w:r>
      <w:r w:rsidRPr="00D03F67">
        <w:rPr>
          <w:lang w:val="en-GB"/>
        </w:rPr>
        <w:t xml:space="preserve"> are hereafter rearranged for suitable graphical representation.</w:t>
      </w:r>
      <w:r w:rsidR="009B47D4">
        <w:rPr>
          <w:lang w:val="en-GB"/>
        </w:rPr>
        <w:t xml:space="preserve"> </w:t>
      </w:r>
      <w:r w:rsidRPr="00D03F67">
        <w:rPr>
          <w:lang w:val="en-GB"/>
        </w:rPr>
        <w:t xml:space="preserve">While conditions 1-5 and 7 are easily rearranged, condition 6 </w:t>
      </w:r>
      <w:r>
        <w:rPr>
          <w:lang w:val="en-GB"/>
        </w:rPr>
        <w:t>is approached with an iterative process</w:t>
      </w:r>
      <w:r w:rsidRPr="00D03F67">
        <w:rPr>
          <w:lang w:val="en-GB"/>
        </w:rPr>
        <w:t xml:space="preserve">. </w:t>
      </w:r>
      <w:r w:rsidRPr="00D03F67">
        <w:rPr>
          <w:rFonts w:eastAsiaTheme="minorEastAsia"/>
          <w:lang w:val="en-GB"/>
        </w:rPr>
        <w:t>The acceptable range for the reactor diameter is firstly identified by combining the other conditions. Subsequently, utilizing the Aspen software, the product mole fraction profile along the reactor coordinate is calculated for different reactor diameters, and for each profile the derivative</w:t>
      </w:r>
      <w:r w:rsidR="00921168">
        <w:rPr>
          <w:rFonts w:eastAsiaTheme="minorEastAsia"/>
          <w:lang w:val="en-GB"/>
        </w:rPr>
        <w:t xml:space="preserve"> of the product mole fraction with respect to the reactor axial coordinate </w:t>
      </w:r>
      <w:r w:rsidR="00D06003">
        <w:rPr>
          <w:rFonts w:eastAsiaTheme="minorEastAsia"/>
          <w:lang w:val="en-GB"/>
        </w:rPr>
        <w:t>(</w:t>
      </w:r>
      <w:r w:rsidR="00D06003" w:rsidRPr="00D03F67">
        <w:rPr>
          <w:rFonts w:eastAsiaTheme="minorEastAsia"/>
          <w:lang w:val="en-GB"/>
        </w:rPr>
        <w:t>dy</w:t>
      </w:r>
      <w:r w:rsidR="00D06003" w:rsidRPr="00D06003">
        <w:rPr>
          <w:rFonts w:eastAsiaTheme="minorEastAsia"/>
          <w:vertAlign w:val="subscript"/>
          <w:lang w:val="en-GB"/>
        </w:rPr>
        <w:t>P</w:t>
      </w:r>
      <w:r w:rsidRPr="00D03F67">
        <w:rPr>
          <w:rFonts w:eastAsiaTheme="minorEastAsia"/>
          <w:lang w:val="en-GB"/>
        </w:rPr>
        <w:t>/dz</w:t>
      </w:r>
      <w:r w:rsidR="00921168">
        <w:rPr>
          <w:rFonts w:eastAsiaTheme="minorEastAsia"/>
          <w:lang w:val="en-GB"/>
        </w:rPr>
        <w:t>)</w:t>
      </w:r>
      <w:r w:rsidRPr="00D03F67">
        <w:rPr>
          <w:rFonts w:eastAsiaTheme="minorEastAsia"/>
          <w:lang w:val="en-GB"/>
        </w:rPr>
        <w:t xml:space="preserve"> is evaluated. For each diameter, the length (L</w:t>
      </w:r>
      <w:r w:rsidRPr="00D03F67">
        <w:rPr>
          <w:rFonts w:eastAsiaTheme="minorEastAsia"/>
          <w:vertAlign w:val="subscript"/>
          <w:lang w:val="en-GB"/>
        </w:rPr>
        <w:t>eq</w:t>
      </w:r>
      <w:r w:rsidRPr="00D03F67">
        <w:rPr>
          <w:rFonts w:eastAsiaTheme="minorEastAsia"/>
          <w:lang w:val="en-GB"/>
        </w:rPr>
        <w:t>) at which dy</w:t>
      </w:r>
      <w:r w:rsidRPr="00D03F67">
        <w:rPr>
          <w:rFonts w:eastAsiaTheme="minorEastAsia"/>
          <w:vertAlign w:val="subscript"/>
          <w:lang w:val="en-GB"/>
        </w:rPr>
        <w:t>P</w:t>
      </w:r>
      <w:r w:rsidRPr="00D03F67">
        <w:rPr>
          <w:rFonts w:eastAsiaTheme="minorEastAsia"/>
          <w:lang w:val="en-GB"/>
        </w:rPr>
        <w:t xml:space="preserve">/dz falls below a specific equilibrium tolerance (e.g., </w:t>
      </w:r>
      <w:r w:rsidR="004B1616">
        <w:rPr>
          <w:rFonts w:eastAsiaTheme="minorEastAsia"/>
          <w:lang w:val="en-GB"/>
        </w:rPr>
        <w:t>1%</w:t>
      </w:r>
      <w:r w:rsidRPr="00D03F67">
        <w:rPr>
          <w:rFonts w:eastAsiaTheme="minorEastAsia"/>
          <w:lang w:val="en-GB"/>
        </w:rPr>
        <w:t xml:space="preserve"> in this study) is determined and a regression analysis is performed to establish a power relationship between reactor diameter and the equilibrium length </w:t>
      </w:r>
      <w:r>
        <w:rPr>
          <w:rFonts w:eastAsiaTheme="minorEastAsia"/>
          <w:lang w:val="en-GB"/>
        </w:rPr>
        <w:t>as reported in Table 4, condition n°6</w:t>
      </w:r>
      <w:r w:rsidR="00962360">
        <w:rPr>
          <w:rFonts w:eastAsiaTheme="minorEastAsia"/>
          <w:lang w:val="en-GB"/>
        </w:rPr>
        <w:t xml:space="preserve">. </w:t>
      </w:r>
      <w:r w:rsidR="00962360" w:rsidRPr="00D03F67">
        <w:rPr>
          <w:lang w:val="en-GB"/>
        </w:rPr>
        <w:t>Once all the conditions have their analytical form in the L-D</w:t>
      </w:r>
      <w:r w:rsidR="00962360" w:rsidRPr="00D03F67">
        <w:rPr>
          <w:vertAlign w:val="subscript"/>
          <w:lang w:val="en-GB"/>
        </w:rPr>
        <w:t>t</w:t>
      </w:r>
      <w:r w:rsidR="00962360" w:rsidRPr="00D03F67">
        <w:rPr>
          <w:lang w:val="en-GB"/>
        </w:rPr>
        <w:t xml:space="preserve"> variables, it is possible to draw the dimensioning plot, from which it is easy to identify the region of the acceptable (D</w:t>
      </w:r>
      <w:r w:rsidR="00962360" w:rsidRPr="00D03F67">
        <w:rPr>
          <w:vertAlign w:val="subscript"/>
          <w:lang w:val="en-GB"/>
        </w:rPr>
        <w:t>t</w:t>
      </w:r>
      <w:r w:rsidR="00962360" w:rsidRPr="00D03F67">
        <w:rPr>
          <w:lang w:val="en-GB"/>
        </w:rPr>
        <w:t xml:space="preserve">, L) couples for the reactor. </w:t>
      </w:r>
      <w:r w:rsidR="00962360" w:rsidRPr="00BB290A">
        <w:rPr>
          <w:lang w:val="en-GB"/>
        </w:rPr>
        <w:t>For clarity, Table 4 reports the analytical functions derived from the industrial guidelines and the corresponding constants.</w:t>
      </w:r>
    </w:p>
    <w:p w14:paraId="1854D3E3" w14:textId="77777777" w:rsidR="00583885" w:rsidRPr="00D03F67" w:rsidRDefault="00583885" w:rsidP="00583885">
      <w:pPr>
        <w:pStyle w:val="CETTabletitle"/>
      </w:pPr>
      <w:r w:rsidRPr="00D03F67">
        <w:t xml:space="preserve">Table </w:t>
      </w:r>
      <w:r>
        <w:t>4</w:t>
      </w:r>
      <w:r w:rsidRPr="00D03F67">
        <w:t xml:space="preserve">: Functional form of the conditions of Table </w:t>
      </w:r>
      <w:r>
        <w:t>3</w:t>
      </w:r>
      <w:r w:rsidRPr="00D03F67">
        <w:t xml:space="preserve"> and corresponding parameters.</w:t>
      </w:r>
    </w:p>
    <w:tbl>
      <w:tblPr>
        <w:tblW w:w="867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3514"/>
        <w:gridCol w:w="2891"/>
      </w:tblGrid>
      <w:tr w:rsidR="00583885" w:rsidRPr="00D03F67" w14:paraId="4116F778" w14:textId="77777777" w:rsidTr="00DE2B62">
        <w:trPr>
          <w:trHeight w:val="255"/>
        </w:trPr>
        <w:tc>
          <w:tcPr>
            <w:tcW w:w="2268" w:type="dxa"/>
            <w:tcBorders>
              <w:top w:val="single" w:sz="12" w:space="0" w:color="008000"/>
              <w:bottom w:val="single" w:sz="6" w:space="0" w:color="008000"/>
            </w:tcBorders>
            <w:shd w:val="clear" w:color="auto" w:fill="FFFFFF"/>
          </w:tcPr>
          <w:p w14:paraId="09516E28" w14:textId="77777777" w:rsidR="00583885" w:rsidRPr="00D03F67" w:rsidRDefault="00583885" w:rsidP="00DE2B62">
            <w:pPr>
              <w:pStyle w:val="CETBodytext"/>
              <w:rPr>
                <w:lang w:val="en-GB"/>
              </w:rPr>
            </w:pPr>
            <w:r w:rsidRPr="00D03F67">
              <w:rPr>
                <w:lang w:val="en-GB"/>
              </w:rPr>
              <w:t>Condition n°</w:t>
            </w:r>
          </w:p>
        </w:tc>
        <w:tc>
          <w:tcPr>
            <w:tcW w:w="3514" w:type="dxa"/>
            <w:tcBorders>
              <w:top w:val="single" w:sz="12" w:space="0" w:color="008000"/>
              <w:bottom w:val="single" w:sz="6" w:space="0" w:color="008000"/>
            </w:tcBorders>
            <w:shd w:val="clear" w:color="auto" w:fill="FFFFFF"/>
          </w:tcPr>
          <w:p w14:paraId="13FB9AF9" w14:textId="77777777" w:rsidR="00583885" w:rsidRPr="00D03F67" w:rsidRDefault="00583885" w:rsidP="00DE2B62">
            <w:pPr>
              <w:pStyle w:val="CETBodytext"/>
              <w:rPr>
                <w:lang w:val="en-GB"/>
              </w:rPr>
            </w:pPr>
            <w:r w:rsidRPr="00D03F67">
              <w:rPr>
                <w:lang w:val="en-GB"/>
              </w:rPr>
              <w:t>Function</w:t>
            </w:r>
          </w:p>
        </w:tc>
        <w:tc>
          <w:tcPr>
            <w:tcW w:w="2891" w:type="dxa"/>
            <w:tcBorders>
              <w:top w:val="single" w:sz="12" w:space="0" w:color="008000"/>
              <w:bottom w:val="single" w:sz="6" w:space="0" w:color="008000"/>
            </w:tcBorders>
            <w:shd w:val="clear" w:color="auto" w:fill="FFFFFF"/>
          </w:tcPr>
          <w:p w14:paraId="3674FCE7" w14:textId="77777777" w:rsidR="00583885" w:rsidRPr="00D03F67" w:rsidRDefault="00583885" w:rsidP="00DE2B62">
            <w:pPr>
              <w:pStyle w:val="CETBodytext"/>
              <w:rPr>
                <w:lang w:val="en-GB"/>
              </w:rPr>
            </w:pPr>
            <w:r w:rsidRPr="00D03F67">
              <w:rPr>
                <w:lang w:val="en-GB"/>
              </w:rPr>
              <w:t>Parameters</w:t>
            </w:r>
          </w:p>
        </w:tc>
      </w:tr>
      <w:tr w:rsidR="00583885" w:rsidRPr="00D03F67" w14:paraId="50D77591" w14:textId="77777777" w:rsidTr="00DE2B62">
        <w:trPr>
          <w:trHeight w:val="247"/>
        </w:trPr>
        <w:tc>
          <w:tcPr>
            <w:tcW w:w="2268" w:type="dxa"/>
            <w:shd w:val="clear" w:color="auto" w:fill="FFFFFF"/>
          </w:tcPr>
          <w:p w14:paraId="2920905C" w14:textId="77777777" w:rsidR="00583885" w:rsidRPr="00C64185" w:rsidRDefault="00583885" w:rsidP="00DE2B62">
            <w:pPr>
              <w:pStyle w:val="CETBodytext"/>
              <w:rPr>
                <w:rFonts w:cs="Arial"/>
                <w:iCs/>
                <w:lang w:val="en-GB"/>
              </w:rPr>
            </w:pPr>
            <w:r w:rsidRPr="00C64185">
              <w:rPr>
                <w:rFonts w:cs="Arial"/>
                <w:iCs/>
                <w:lang w:val="en-GB"/>
              </w:rPr>
              <w:t>2</w:t>
            </w:r>
          </w:p>
        </w:tc>
        <w:tc>
          <w:tcPr>
            <w:tcW w:w="3514" w:type="dxa"/>
            <w:shd w:val="clear" w:color="auto" w:fill="FFFFFF"/>
          </w:tcPr>
          <w:p w14:paraId="614EE420" w14:textId="1835A6ED" w:rsidR="00583885" w:rsidRPr="00C64185" w:rsidRDefault="00C64185" w:rsidP="00DE2B62">
            <w:pPr>
              <w:pStyle w:val="CETBodytext"/>
              <w:rPr>
                <w:iCs/>
                <w:lang w:val="en-GB"/>
              </w:rPr>
            </w:pPr>
            <m:oMathPara>
              <m:oMathParaPr>
                <m:jc m:val="left"/>
              </m:oMathParaPr>
              <m:oMath>
                <m:r>
                  <m:rPr>
                    <m:sty m:val="p"/>
                  </m:rPr>
                  <w:rPr>
                    <w:rFonts w:ascii="Cambria Math" w:hAnsi="Cambria Math"/>
                    <w:lang w:val="en-GB"/>
                  </w:rPr>
                  <m:t>f</m:t>
                </m:r>
                <m:d>
                  <m:dPr>
                    <m:ctrlPr>
                      <w:rPr>
                        <w:rFonts w:ascii="Cambria Math" w:hAnsi="Cambria Math"/>
                        <w:iCs/>
                        <w:lang w:val="en-GB"/>
                      </w:rPr>
                    </m:ctrlPr>
                  </m:dPr>
                  <m:e>
                    <m:sSub>
                      <m:sSubPr>
                        <m:ctrlPr>
                          <w:rPr>
                            <w:rFonts w:ascii="Cambria Math" w:hAnsi="Cambria Math"/>
                            <w:iCs/>
                            <w:lang w:val="en-GB"/>
                          </w:rPr>
                        </m:ctrlPr>
                      </m:sSubPr>
                      <m:e>
                        <m:r>
                          <m:rPr>
                            <m:sty m:val="p"/>
                          </m:rPr>
                          <w:rPr>
                            <w:rFonts w:ascii="Cambria Math" w:hAnsi="Cambria Math"/>
                            <w:lang w:val="en-GB"/>
                          </w:rPr>
                          <m:t>D</m:t>
                        </m:r>
                      </m:e>
                      <m:sub>
                        <m:r>
                          <m:rPr>
                            <m:sty m:val="p"/>
                          </m:rPr>
                          <w:rPr>
                            <w:rFonts w:ascii="Cambria Math" w:hAnsi="Cambria Math"/>
                            <w:lang w:val="en-GB"/>
                          </w:rPr>
                          <m:t>t</m:t>
                        </m:r>
                      </m:sub>
                    </m:sSub>
                    <m:r>
                      <m:rPr>
                        <m:sty m:val="p"/>
                      </m:rPr>
                      <w:rPr>
                        <w:rFonts w:ascii="Cambria Math" w:hAnsi="Cambria Math"/>
                        <w:lang w:val="en-GB"/>
                      </w:rPr>
                      <m:t>,L</m:t>
                    </m:r>
                  </m:e>
                </m:d>
                <m:r>
                  <m:rPr>
                    <m:sty m:val="p"/>
                  </m:rPr>
                  <w:rPr>
                    <w:rFonts w:ascii="Cambria Math" w:hAnsi="Cambria Math"/>
                    <w:lang w:val="en-GB"/>
                  </w:rPr>
                  <m:t>=</m:t>
                </m:r>
                <m:sSubSup>
                  <m:sSubSupPr>
                    <m:ctrlPr>
                      <w:rPr>
                        <w:rFonts w:ascii="Cambria Math" w:hAnsi="Cambria Math"/>
                        <w:iCs/>
                        <w:lang w:val="en-GB"/>
                      </w:rPr>
                    </m:ctrlPr>
                  </m:sSubSupPr>
                  <m:e>
                    <m:r>
                      <m:rPr>
                        <m:sty m:val="p"/>
                      </m:rPr>
                      <w:rPr>
                        <w:rFonts w:ascii="Cambria Math" w:hAnsi="Cambria Math"/>
                        <w:lang w:val="en-GB"/>
                      </w:rPr>
                      <m:t>D</m:t>
                    </m:r>
                  </m:e>
                  <m:sub>
                    <m:r>
                      <m:rPr>
                        <m:sty m:val="p"/>
                      </m:rPr>
                      <w:rPr>
                        <w:rFonts w:ascii="Cambria Math" w:hAnsi="Cambria Math"/>
                        <w:lang w:val="en-GB"/>
                      </w:rPr>
                      <m:t>t</m:t>
                    </m:r>
                  </m:sub>
                  <m:sup>
                    <m:r>
                      <m:rPr>
                        <m:sty m:val="p"/>
                      </m:rPr>
                      <w:rPr>
                        <w:rFonts w:ascii="Cambria Math" w:hAnsi="Cambria Math"/>
                        <w:lang w:val="en-GB"/>
                      </w:rPr>
                      <m:t>2</m:t>
                    </m:r>
                  </m:sup>
                </m:sSubSup>
                <m:r>
                  <m:rPr>
                    <m:sty m:val="p"/>
                  </m:rPr>
                  <w:rPr>
                    <w:rFonts w:ascii="Cambria Math" w:hAnsi="Cambria Math"/>
                    <w:lang w:val="en-GB"/>
                  </w:rPr>
                  <m:t>L-α&lt;0</m:t>
                </m:r>
              </m:oMath>
            </m:oMathPara>
          </w:p>
        </w:tc>
        <w:tc>
          <w:tcPr>
            <w:tcW w:w="2891" w:type="dxa"/>
            <w:shd w:val="clear" w:color="auto" w:fill="FFFFFF"/>
          </w:tcPr>
          <w:p w14:paraId="2A927D23" w14:textId="12C7CD02" w:rsidR="00583885" w:rsidRPr="00C64185" w:rsidRDefault="00C64185" w:rsidP="00DE2B62">
            <w:pPr>
              <w:pStyle w:val="CETBodytext"/>
              <w:rPr>
                <w:iCs/>
                <w:lang w:val="en-GB"/>
              </w:rPr>
            </w:pPr>
            <m:oMathPara>
              <m:oMathParaPr>
                <m:jc m:val="left"/>
              </m:oMathParaPr>
              <m:oMath>
                <m:r>
                  <m:rPr>
                    <m:sty m:val="p"/>
                  </m:rPr>
                  <w:rPr>
                    <w:rFonts w:ascii="Cambria Math" w:hAnsi="Cambria Math"/>
                    <w:lang w:val="en-GB"/>
                  </w:rPr>
                  <m:t>α=</m:t>
                </m:r>
                <m:f>
                  <m:fPr>
                    <m:ctrlPr>
                      <w:rPr>
                        <w:rFonts w:ascii="Cambria Math" w:hAnsi="Cambria Math"/>
                        <w:iCs/>
                        <w:lang w:val="en-GB"/>
                      </w:rPr>
                    </m:ctrlPr>
                  </m:fPr>
                  <m:num>
                    <m:r>
                      <m:rPr>
                        <m:sty m:val="p"/>
                      </m:rPr>
                      <w:rPr>
                        <w:rFonts w:ascii="Cambria Math" w:hAnsi="Cambria Math"/>
                        <w:lang w:val="en-GB"/>
                      </w:rPr>
                      <m:t>4Q</m:t>
                    </m:r>
                  </m:num>
                  <m:den>
                    <m:r>
                      <m:rPr>
                        <m:sty m:val="p"/>
                      </m:rPr>
                      <w:rPr>
                        <w:rFonts w:ascii="Cambria Math" w:hAnsi="Cambria Math"/>
                        <w:lang w:val="en-GB"/>
                      </w:rPr>
                      <m:t>π</m:t>
                    </m:r>
                  </m:den>
                </m:f>
              </m:oMath>
            </m:oMathPara>
          </w:p>
        </w:tc>
      </w:tr>
      <w:tr w:rsidR="00583885" w:rsidRPr="00D03F67" w14:paraId="79A17A88" w14:textId="77777777" w:rsidTr="00DE2B62">
        <w:trPr>
          <w:trHeight w:val="255"/>
        </w:trPr>
        <w:tc>
          <w:tcPr>
            <w:tcW w:w="2268" w:type="dxa"/>
            <w:shd w:val="clear" w:color="auto" w:fill="FFFFFF"/>
          </w:tcPr>
          <w:p w14:paraId="74C60AF2" w14:textId="77777777" w:rsidR="00583885" w:rsidRPr="00C64185" w:rsidRDefault="00583885" w:rsidP="00DE2B62">
            <w:pPr>
              <w:pStyle w:val="CETBodytext"/>
              <w:ind w:right="-1"/>
              <w:rPr>
                <w:rFonts w:cs="Arial"/>
                <w:iCs/>
                <w:lang w:val="en-GB"/>
              </w:rPr>
            </w:pPr>
            <w:r w:rsidRPr="00C64185">
              <w:rPr>
                <w:rFonts w:cs="Arial"/>
                <w:iCs/>
                <w:lang w:val="en-GB"/>
              </w:rPr>
              <w:t>3</w:t>
            </w:r>
          </w:p>
        </w:tc>
        <w:tc>
          <w:tcPr>
            <w:tcW w:w="3514" w:type="dxa"/>
            <w:shd w:val="clear" w:color="auto" w:fill="FFFFFF"/>
          </w:tcPr>
          <w:p w14:paraId="6C9EECDC" w14:textId="4AC4BA80"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hAnsi="Cambria Math"/>
                    <w:lang w:val="en-GB"/>
                  </w:rPr>
                  <m:t>g</m:t>
                </m:r>
                <m:d>
                  <m:dPr>
                    <m:ctrlPr>
                      <w:rPr>
                        <w:rFonts w:ascii="Cambria Math" w:hAnsi="Cambria Math"/>
                        <w:iCs/>
                        <w:lang w:val="en-GB"/>
                      </w:rPr>
                    </m:ctrlPr>
                  </m:dPr>
                  <m:e>
                    <m:sSub>
                      <m:sSubPr>
                        <m:ctrlPr>
                          <w:rPr>
                            <w:rFonts w:ascii="Cambria Math" w:hAnsi="Cambria Math"/>
                            <w:iCs/>
                            <w:lang w:val="en-GB"/>
                          </w:rPr>
                        </m:ctrlPr>
                      </m:sSubPr>
                      <m:e>
                        <m:r>
                          <m:rPr>
                            <m:sty m:val="p"/>
                          </m:rPr>
                          <w:rPr>
                            <w:rFonts w:ascii="Cambria Math" w:hAnsi="Cambria Math"/>
                            <w:lang w:val="en-GB"/>
                          </w:rPr>
                          <m:t>D</m:t>
                        </m:r>
                      </m:e>
                      <m:sub>
                        <m:r>
                          <m:rPr>
                            <m:sty m:val="p"/>
                          </m:rPr>
                          <w:rPr>
                            <w:rFonts w:ascii="Cambria Math" w:hAnsi="Cambria Math"/>
                            <w:lang w:val="en-GB"/>
                          </w:rPr>
                          <m:t>t</m:t>
                        </m:r>
                      </m:sub>
                    </m:sSub>
                    <m:r>
                      <m:rPr>
                        <m:sty m:val="p"/>
                      </m:rPr>
                      <w:rPr>
                        <w:rFonts w:ascii="Cambria Math" w:hAnsi="Cambria Math"/>
                        <w:lang w:val="en-GB"/>
                      </w:rPr>
                      <m:t>,L</m:t>
                    </m:r>
                  </m:e>
                </m:d>
                <m:r>
                  <m:rPr>
                    <m:sty m:val="p"/>
                  </m:rPr>
                  <w:rPr>
                    <w:rFonts w:ascii="Cambria Math" w:hAnsi="Cambria Math"/>
                    <w:lang w:val="en-GB"/>
                  </w:rPr>
                  <m:t>=</m:t>
                </m:r>
                <m:sSub>
                  <m:sSubPr>
                    <m:ctrlPr>
                      <w:rPr>
                        <w:rFonts w:ascii="Cambria Math" w:hAnsi="Cambria Math"/>
                        <w:iCs/>
                        <w:lang w:val="en-GB"/>
                      </w:rPr>
                    </m:ctrlPr>
                  </m:sSubPr>
                  <m:e>
                    <m:r>
                      <m:rPr>
                        <m:sty m:val="p"/>
                      </m:rPr>
                      <w:rPr>
                        <w:rFonts w:ascii="Cambria Math" w:hAnsi="Cambria Math"/>
                        <w:lang w:val="en-GB"/>
                      </w:rPr>
                      <m:t>D</m:t>
                    </m:r>
                  </m:e>
                  <m:sub>
                    <m:r>
                      <m:rPr>
                        <m:sty m:val="p"/>
                      </m:rPr>
                      <w:rPr>
                        <w:rFonts w:ascii="Cambria Math" w:hAnsi="Cambria Math"/>
                        <w:lang w:val="en-GB"/>
                      </w:rPr>
                      <m:t>t</m:t>
                    </m:r>
                  </m:sub>
                </m:sSub>
                <m:r>
                  <m:rPr>
                    <m:sty m:val="p"/>
                  </m:rPr>
                  <w:rPr>
                    <w:rFonts w:ascii="Cambria Math" w:hAnsi="Cambria Math"/>
                    <w:lang w:val="en-GB"/>
                  </w:rPr>
                  <m:t>-β&lt;0</m:t>
                </m:r>
              </m:oMath>
            </m:oMathPara>
          </w:p>
        </w:tc>
        <w:tc>
          <w:tcPr>
            <w:tcW w:w="2891" w:type="dxa"/>
            <w:shd w:val="clear" w:color="auto" w:fill="FFFFFF"/>
          </w:tcPr>
          <w:p w14:paraId="27F19302" w14:textId="200ACCE6"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eastAsiaTheme="minorEastAsia" w:hAnsi="Cambria Math" w:cs="Arial"/>
                    <w:lang w:val="en-GB"/>
                  </w:rPr>
                  <m:t>β=10</m:t>
                </m:r>
                <m:sSub>
                  <m:sSubPr>
                    <m:ctrlPr>
                      <w:rPr>
                        <w:rFonts w:ascii="Cambria Math" w:eastAsiaTheme="minorEastAsia" w:hAnsi="Cambria Math" w:cs="Arial"/>
                        <w:iCs/>
                        <w:lang w:val="en-GB"/>
                      </w:rPr>
                    </m:ctrlPr>
                  </m:sSubPr>
                  <m:e>
                    <m:r>
                      <m:rPr>
                        <m:sty m:val="p"/>
                      </m:rPr>
                      <w:rPr>
                        <w:rFonts w:ascii="Cambria Math" w:eastAsiaTheme="minorEastAsia" w:hAnsi="Cambria Math" w:cs="Arial"/>
                        <w:lang w:val="en-GB"/>
                      </w:rPr>
                      <m:t>d</m:t>
                    </m:r>
                  </m:e>
                  <m:sub>
                    <m:r>
                      <m:rPr>
                        <m:sty m:val="p"/>
                      </m:rPr>
                      <w:rPr>
                        <w:rFonts w:ascii="Cambria Math" w:eastAsiaTheme="minorEastAsia" w:hAnsi="Cambria Math" w:cs="Arial"/>
                        <w:vertAlign w:val="subscript"/>
                        <w:lang w:val="en-GB"/>
                      </w:rPr>
                      <m:t>p</m:t>
                    </m:r>
                  </m:sub>
                </m:sSub>
              </m:oMath>
            </m:oMathPara>
          </w:p>
        </w:tc>
      </w:tr>
      <w:tr w:rsidR="00583885" w:rsidRPr="00D03F67" w14:paraId="4FFA1E02" w14:textId="77777777" w:rsidTr="00DE2B62">
        <w:trPr>
          <w:trHeight w:val="255"/>
        </w:trPr>
        <w:tc>
          <w:tcPr>
            <w:tcW w:w="2268" w:type="dxa"/>
            <w:shd w:val="clear" w:color="auto" w:fill="FFFFFF"/>
          </w:tcPr>
          <w:p w14:paraId="42E6A632" w14:textId="77777777" w:rsidR="00583885" w:rsidRPr="00C64185" w:rsidRDefault="00583885" w:rsidP="00DE2B62">
            <w:pPr>
              <w:pStyle w:val="CETBodytext"/>
              <w:ind w:right="-1"/>
              <w:jc w:val="left"/>
              <w:rPr>
                <w:rFonts w:cs="Arial"/>
                <w:iCs/>
                <w:lang w:val="en-GB"/>
              </w:rPr>
            </w:pPr>
            <w:r w:rsidRPr="00C64185">
              <w:rPr>
                <w:rFonts w:cs="Arial"/>
                <w:iCs/>
                <w:lang w:val="en-GB"/>
              </w:rPr>
              <w:t>4</w:t>
            </w:r>
          </w:p>
        </w:tc>
        <w:tc>
          <w:tcPr>
            <w:tcW w:w="3514" w:type="dxa"/>
            <w:shd w:val="clear" w:color="auto" w:fill="FFFFFF"/>
          </w:tcPr>
          <w:p w14:paraId="2582B07F" w14:textId="3D2C00DD" w:rsidR="00583885" w:rsidRPr="00C64185" w:rsidRDefault="00C64185" w:rsidP="00DE2B62">
            <w:pPr>
              <w:pStyle w:val="CETBodytext"/>
              <w:ind w:right="-1"/>
              <w:jc w:val="left"/>
              <w:rPr>
                <w:rFonts w:cs="Arial"/>
                <w:iCs/>
                <w:szCs w:val="18"/>
                <w:lang w:val="en-GB"/>
              </w:rPr>
            </w:pPr>
            <m:oMathPara>
              <m:oMathParaPr>
                <m:jc m:val="left"/>
              </m:oMathParaPr>
              <m:oMath>
                <m:r>
                  <m:rPr>
                    <m:sty m:val="p"/>
                  </m:rPr>
                  <w:rPr>
                    <w:rFonts w:ascii="Cambria Math" w:eastAsiaTheme="minorEastAsia" w:hAnsi="Cambria Math" w:cs="Courier New"/>
                    <w:lang w:val="en-GB"/>
                  </w:rPr>
                  <m:t>h</m:t>
                </m:r>
                <m:d>
                  <m:dPr>
                    <m:ctrlPr>
                      <w:rPr>
                        <w:rFonts w:ascii="Cambria Math" w:eastAsiaTheme="minorEastAsia" w:hAnsi="Cambria Math" w:cs="Courier New"/>
                        <w:iCs/>
                        <w:lang w:val="en-GB"/>
                      </w:rPr>
                    </m:ctrlPr>
                  </m:dPr>
                  <m:e>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Sub>
                    <m:r>
                      <m:rPr>
                        <m:sty m:val="p"/>
                      </m:rPr>
                      <w:rPr>
                        <w:rFonts w:ascii="Cambria Math" w:eastAsiaTheme="minorEastAsia" w:hAnsi="Cambria Math" w:cs="Courier New"/>
                        <w:lang w:val="en-GB"/>
                      </w:rPr>
                      <m:t>, L</m:t>
                    </m:r>
                  </m:e>
                </m:d>
                <m:r>
                  <m:rPr>
                    <m:sty m:val="p"/>
                  </m:rPr>
                  <w:rPr>
                    <w:rFonts w:ascii="Cambria Math" w:eastAsiaTheme="minorEastAsia" w:hAnsi="Cambria Math" w:cs="Courier New"/>
                    <w:lang w:val="en-GB"/>
                  </w:rPr>
                  <m:t>=L</m:t>
                </m:r>
                <m:d>
                  <m:dPr>
                    <m:ctrlPr>
                      <w:rPr>
                        <w:rFonts w:ascii="Cambria Math" w:eastAsiaTheme="minorEastAsia" w:hAnsi="Cambria Math" w:cs="Courier New"/>
                        <w:iCs/>
                        <w:lang w:val="en-GB"/>
                      </w:rPr>
                    </m:ctrlPr>
                  </m:dPr>
                  <m:e>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γ</m:t>
                        </m:r>
                      </m:num>
                      <m:den>
                        <m:sSubSup>
                          <m:sSubSupPr>
                            <m:ctrlPr>
                              <w:rPr>
                                <w:rFonts w:ascii="Cambria Math" w:eastAsiaTheme="minorEastAsia" w:hAnsi="Cambria Math" w:cs="Courier New"/>
                                <w:iCs/>
                                <w:lang w:val="en-GB"/>
                              </w:rPr>
                            </m:ctrlPr>
                          </m:sSubSup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up>
                            <m:r>
                              <m:rPr>
                                <m:sty m:val="p"/>
                              </m:rPr>
                              <w:rPr>
                                <w:rFonts w:ascii="Cambria Math" w:eastAsiaTheme="minorEastAsia" w:hAnsi="Cambria Math" w:cs="Courier New"/>
                                <w:lang w:val="en-GB"/>
                              </w:rPr>
                              <m:t>2</m:t>
                            </m:r>
                          </m:sup>
                        </m:sSubSup>
                      </m:den>
                    </m:f>
                    <m:r>
                      <m:rPr>
                        <m:sty m:val="p"/>
                      </m:rPr>
                      <w:rPr>
                        <w:rFonts w:ascii="Cambria Math" w:eastAsiaTheme="minorEastAsia" w:hAnsi="Cambria Math" w:cs="Courier New"/>
                        <w:lang w:val="en-GB"/>
                      </w:rPr>
                      <m:t>+</m:t>
                    </m:r>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δ</m:t>
                        </m:r>
                      </m:num>
                      <m:den>
                        <m:sSubSup>
                          <m:sSubSupPr>
                            <m:ctrlPr>
                              <w:rPr>
                                <w:rFonts w:ascii="Cambria Math" w:eastAsiaTheme="minorEastAsia" w:hAnsi="Cambria Math" w:cs="Courier New"/>
                                <w:iCs/>
                                <w:lang w:val="en-GB"/>
                              </w:rPr>
                            </m:ctrlPr>
                          </m:sSubSup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up>
                            <m:r>
                              <m:rPr>
                                <m:sty m:val="p"/>
                              </m:rPr>
                              <w:rPr>
                                <w:rFonts w:ascii="Cambria Math" w:eastAsiaTheme="minorEastAsia" w:hAnsi="Cambria Math" w:cs="Courier New"/>
                                <w:lang w:val="en-GB"/>
                              </w:rPr>
                              <m:t>4</m:t>
                            </m:r>
                          </m:sup>
                        </m:sSubSup>
                      </m:den>
                    </m:f>
                  </m:e>
                </m:d>
                <m:r>
                  <m:rPr>
                    <m:sty m:val="p"/>
                  </m:rPr>
                  <w:rPr>
                    <w:rFonts w:ascii="Cambria Math" w:eastAsiaTheme="minorEastAsia" w:hAnsi="Cambria Math" w:cs="Courier New"/>
                    <w:lang w:val="en-GB"/>
                  </w:rPr>
                  <m:t>-0.1P&lt;0</m:t>
                </m:r>
              </m:oMath>
            </m:oMathPara>
          </w:p>
        </w:tc>
        <w:tc>
          <w:tcPr>
            <w:tcW w:w="2891" w:type="dxa"/>
            <w:shd w:val="clear" w:color="auto" w:fill="FFFFFF"/>
          </w:tcPr>
          <w:p w14:paraId="21B9B3EF" w14:textId="2C90B834" w:rsidR="00583885" w:rsidRPr="00C64185" w:rsidRDefault="00C64185" w:rsidP="00DE2B62">
            <w:pPr>
              <w:pStyle w:val="CETBodytext"/>
              <w:ind w:right="-1"/>
              <w:rPr>
                <w:rFonts w:cs="Arial"/>
                <w:iCs/>
                <w:lang w:val="en-GB"/>
              </w:rPr>
            </w:pPr>
            <m:oMathPara>
              <m:oMathParaPr>
                <m:jc m:val="left"/>
              </m:oMathParaPr>
              <m:oMath>
                <m:r>
                  <m:rPr>
                    <m:sty m:val="p"/>
                  </m:rPr>
                  <w:rPr>
                    <w:rFonts w:ascii="Cambria Math" w:hAnsi="Cambria Math" w:cs="Arial"/>
                    <w:szCs w:val="18"/>
                    <w:lang w:val="en-GB"/>
                  </w:rPr>
                  <m:t>γ=</m:t>
                </m:r>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150</m:t>
                    </m:r>
                    <m:sSup>
                      <m:sSupPr>
                        <m:ctrlPr>
                          <w:rPr>
                            <w:rFonts w:ascii="Cambria Math" w:eastAsiaTheme="minorEastAsia" w:hAnsi="Cambria Math" w:cs="Courier New"/>
                            <w:iCs/>
                            <w:lang w:val="en-GB"/>
                          </w:rPr>
                        </m:ctrlPr>
                      </m:sSupPr>
                      <m:e>
                        <m:d>
                          <m:dPr>
                            <m:ctrlPr>
                              <w:rPr>
                                <w:rFonts w:ascii="Cambria Math" w:eastAsiaTheme="minorEastAsia" w:hAnsi="Cambria Math" w:cs="Courier New"/>
                                <w:iCs/>
                                <w:lang w:val="en-GB"/>
                              </w:rPr>
                            </m:ctrlPr>
                          </m:dPr>
                          <m:e>
                            <m:r>
                              <m:rPr>
                                <m:sty m:val="p"/>
                              </m:rPr>
                              <w:rPr>
                                <w:rFonts w:ascii="Cambria Math" w:eastAsiaTheme="minorEastAsia" w:hAnsi="Cambria Math" w:cs="Courier New"/>
                                <w:lang w:val="en-GB"/>
                              </w:rPr>
                              <m:t>1-ϵ</m:t>
                            </m:r>
                          </m:e>
                        </m:d>
                      </m:e>
                      <m:sup>
                        <m:r>
                          <m:rPr>
                            <m:sty m:val="p"/>
                          </m:rPr>
                          <w:rPr>
                            <w:rFonts w:ascii="Cambria Math" w:eastAsiaTheme="minorEastAsia" w:hAnsi="Cambria Math" w:cs="Courier New"/>
                            <w:lang w:val="en-GB"/>
                          </w:rPr>
                          <m:t>2</m:t>
                        </m:r>
                      </m:sup>
                    </m:sSup>
                  </m:num>
                  <m:den>
                    <m:sSup>
                      <m:sSupPr>
                        <m:ctrlPr>
                          <w:rPr>
                            <w:rFonts w:ascii="Cambria Math" w:eastAsiaTheme="minorEastAsia" w:hAnsi="Cambria Math" w:cs="Courier New"/>
                            <w:iCs/>
                            <w:lang w:val="en-GB"/>
                          </w:rPr>
                        </m:ctrlPr>
                      </m:sSupPr>
                      <m:e>
                        <m:r>
                          <m:rPr>
                            <m:sty m:val="p"/>
                          </m:rPr>
                          <w:rPr>
                            <w:rFonts w:ascii="Cambria Math" w:eastAsiaTheme="minorEastAsia" w:hAnsi="Cambria Math" w:cs="Courier New"/>
                            <w:lang w:val="en-GB"/>
                          </w:rPr>
                          <m:t>ϵ</m:t>
                        </m:r>
                      </m:e>
                      <m:sup>
                        <m:r>
                          <m:rPr>
                            <m:sty m:val="p"/>
                          </m:rPr>
                          <w:rPr>
                            <w:rFonts w:ascii="Cambria Math" w:eastAsiaTheme="minorEastAsia" w:hAnsi="Cambria Math" w:cs="Courier New"/>
                            <w:lang w:val="en-GB"/>
                          </w:rPr>
                          <m:t>3</m:t>
                        </m:r>
                      </m:sup>
                    </m:sSup>
                    <m:sSup>
                      <m:sSupPr>
                        <m:ctrlPr>
                          <w:rPr>
                            <w:rFonts w:ascii="Cambria Math" w:eastAsiaTheme="minorEastAsia" w:hAnsi="Cambria Math" w:cs="Courier New"/>
                            <w:iCs/>
                            <w:lang w:val="en-GB"/>
                          </w:rPr>
                        </m:ctrlPr>
                      </m:sSupPr>
                      <m:e>
                        <m:r>
                          <m:rPr>
                            <m:sty m:val="p"/>
                          </m:rPr>
                          <w:rPr>
                            <w:rFonts w:ascii="Cambria Math" w:eastAsiaTheme="minorEastAsia" w:hAnsi="Cambria Math" w:cs="Courier New"/>
                            <w:lang w:val="en-GB"/>
                          </w:rPr>
                          <m:t>ϕ</m:t>
                        </m:r>
                      </m:e>
                      <m:sup>
                        <m:r>
                          <m:rPr>
                            <m:sty m:val="p"/>
                          </m:rPr>
                          <w:rPr>
                            <w:rFonts w:ascii="Cambria Math" w:eastAsiaTheme="minorEastAsia" w:hAnsi="Cambria Math" w:cs="Courier New"/>
                            <w:lang w:val="en-GB"/>
                          </w:rPr>
                          <m:t>2</m:t>
                        </m:r>
                      </m:sup>
                    </m:sSup>
                    <m:r>
                      <m:rPr>
                        <m:sty m:val="p"/>
                      </m:rPr>
                      <w:rPr>
                        <w:rFonts w:ascii="Cambria Math" w:eastAsiaTheme="minorEastAsia" w:hAnsi="Cambria Math" w:cs="Courier New"/>
                        <w:lang w:val="en-GB"/>
                      </w:rPr>
                      <m:t>π</m:t>
                    </m:r>
                    <m:sSubSup>
                      <m:sSubSupPr>
                        <m:ctrlPr>
                          <w:rPr>
                            <w:rFonts w:ascii="Cambria Math" w:eastAsiaTheme="minorEastAsia" w:hAnsi="Cambria Math" w:cs="Courier New"/>
                            <w:iCs/>
                            <w:lang w:val="en-GB"/>
                          </w:rPr>
                        </m:ctrlPr>
                      </m:sSubSup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p</m:t>
                        </m:r>
                      </m:sub>
                      <m:sup>
                        <m:r>
                          <m:rPr>
                            <m:sty m:val="p"/>
                          </m:rPr>
                          <w:rPr>
                            <w:rFonts w:ascii="Cambria Math" w:eastAsiaTheme="minorEastAsia" w:hAnsi="Cambria Math" w:cs="Courier New"/>
                            <w:lang w:val="en-GB"/>
                          </w:rPr>
                          <m:t>2</m:t>
                        </m:r>
                      </m:sup>
                    </m:sSubSup>
                  </m:den>
                </m:f>
                <m:r>
                  <m:rPr>
                    <m:sty m:val="p"/>
                  </m:rPr>
                  <w:rPr>
                    <w:rFonts w:ascii="Cambria Math" w:eastAsiaTheme="minorEastAsia" w:hAnsi="Cambria Math" w:cs="Courier New"/>
                    <w:lang w:val="en-GB"/>
                  </w:rPr>
                  <m:t>4μQ</m:t>
                </m:r>
              </m:oMath>
            </m:oMathPara>
          </w:p>
          <w:p w14:paraId="6C388959" w14:textId="304BEBCB"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hAnsi="Cambria Math" w:cs="Arial"/>
                    <w:szCs w:val="18"/>
                    <w:lang w:val="en-GB"/>
                  </w:rPr>
                  <m:t>δ=</m:t>
                </m:r>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1.75</m:t>
                    </m:r>
                    <m:d>
                      <m:dPr>
                        <m:ctrlPr>
                          <w:rPr>
                            <w:rFonts w:ascii="Cambria Math" w:eastAsiaTheme="minorEastAsia" w:hAnsi="Cambria Math" w:cs="Courier New"/>
                            <w:iCs/>
                            <w:lang w:val="en-GB"/>
                          </w:rPr>
                        </m:ctrlPr>
                      </m:dPr>
                      <m:e>
                        <m:r>
                          <m:rPr>
                            <m:sty m:val="p"/>
                          </m:rPr>
                          <w:rPr>
                            <w:rFonts w:ascii="Cambria Math" w:eastAsiaTheme="minorEastAsia" w:hAnsi="Cambria Math" w:cs="Courier New"/>
                            <w:lang w:val="en-GB"/>
                          </w:rPr>
                          <m:t>1-ϵ</m:t>
                        </m:r>
                      </m:e>
                    </m:d>
                  </m:num>
                  <m:den>
                    <m:sSup>
                      <m:sSupPr>
                        <m:ctrlPr>
                          <w:rPr>
                            <w:rFonts w:ascii="Cambria Math" w:eastAsiaTheme="minorEastAsia" w:hAnsi="Cambria Math" w:cs="Courier New"/>
                            <w:iCs/>
                            <w:lang w:val="en-GB"/>
                          </w:rPr>
                        </m:ctrlPr>
                      </m:sSupPr>
                      <m:e>
                        <m:r>
                          <m:rPr>
                            <m:sty m:val="p"/>
                          </m:rPr>
                          <w:rPr>
                            <w:rFonts w:ascii="Cambria Math" w:eastAsiaTheme="minorEastAsia" w:hAnsi="Cambria Math" w:cs="Courier New"/>
                            <w:lang w:val="en-GB"/>
                          </w:rPr>
                          <m:t>ϵ</m:t>
                        </m:r>
                      </m:e>
                      <m:sup>
                        <m:r>
                          <m:rPr>
                            <m:sty m:val="p"/>
                          </m:rPr>
                          <w:rPr>
                            <w:rFonts w:ascii="Cambria Math" w:eastAsiaTheme="minorEastAsia" w:hAnsi="Cambria Math" w:cs="Courier New"/>
                            <w:lang w:val="en-GB"/>
                          </w:rPr>
                          <m:t>3</m:t>
                        </m:r>
                      </m:sup>
                    </m:sSup>
                    <m:r>
                      <m:rPr>
                        <m:sty m:val="p"/>
                      </m:rPr>
                      <w:rPr>
                        <w:rFonts w:ascii="Cambria Math" w:eastAsiaTheme="minorEastAsia" w:hAnsi="Cambria Math" w:cs="Courier New"/>
                        <w:lang w:val="en-GB"/>
                      </w:rPr>
                      <m:t>ϕ</m:t>
                    </m:r>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p</m:t>
                        </m:r>
                      </m:sub>
                    </m:sSub>
                  </m:den>
                </m:f>
                <m:r>
                  <m:rPr>
                    <m:sty m:val="p"/>
                  </m:rPr>
                  <w:rPr>
                    <w:rFonts w:ascii="Cambria Math" w:eastAsiaTheme="minorEastAsia" w:hAnsi="Cambria Math" w:cs="Courier New"/>
                    <w:lang w:val="en-GB"/>
                  </w:rPr>
                  <m:t>ρ</m:t>
                </m:r>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16</m:t>
                    </m:r>
                    <m:sSup>
                      <m:sSupPr>
                        <m:ctrlPr>
                          <w:rPr>
                            <w:rFonts w:ascii="Cambria Math" w:eastAsiaTheme="minorEastAsia" w:hAnsi="Cambria Math" w:cs="Courier New"/>
                            <w:iCs/>
                            <w:lang w:val="en-GB"/>
                          </w:rPr>
                        </m:ctrlPr>
                      </m:sSupPr>
                      <m:e>
                        <m:r>
                          <m:rPr>
                            <m:sty m:val="p"/>
                          </m:rPr>
                          <w:rPr>
                            <w:rFonts w:ascii="Cambria Math" w:eastAsiaTheme="minorEastAsia" w:hAnsi="Cambria Math" w:cs="Courier New"/>
                            <w:lang w:val="en-GB"/>
                          </w:rPr>
                          <m:t>Q</m:t>
                        </m:r>
                      </m:e>
                      <m:sup>
                        <m:r>
                          <m:rPr>
                            <m:sty m:val="p"/>
                          </m:rPr>
                          <w:rPr>
                            <w:rFonts w:ascii="Cambria Math" w:eastAsiaTheme="minorEastAsia" w:hAnsi="Cambria Math" w:cs="Courier New"/>
                            <w:lang w:val="en-GB"/>
                          </w:rPr>
                          <m:t>2</m:t>
                        </m:r>
                      </m:sup>
                    </m:sSup>
                  </m:num>
                  <m:den>
                    <m:sSup>
                      <m:sSupPr>
                        <m:ctrlPr>
                          <w:rPr>
                            <w:rFonts w:ascii="Cambria Math" w:eastAsiaTheme="minorEastAsia" w:hAnsi="Cambria Math" w:cs="Courier New"/>
                            <w:iCs/>
                            <w:lang w:val="en-GB"/>
                          </w:rPr>
                        </m:ctrlPr>
                      </m:sSupPr>
                      <m:e>
                        <m:r>
                          <m:rPr>
                            <m:sty m:val="p"/>
                          </m:rPr>
                          <w:rPr>
                            <w:rFonts w:ascii="Cambria Math" w:eastAsiaTheme="minorEastAsia" w:hAnsi="Cambria Math" w:cs="Courier New"/>
                            <w:lang w:val="en-GB"/>
                          </w:rPr>
                          <m:t>π</m:t>
                        </m:r>
                      </m:e>
                      <m:sup>
                        <m:r>
                          <m:rPr>
                            <m:sty m:val="p"/>
                          </m:rPr>
                          <w:rPr>
                            <w:rFonts w:ascii="Cambria Math" w:eastAsiaTheme="minorEastAsia" w:hAnsi="Cambria Math" w:cs="Courier New"/>
                            <w:lang w:val="en-GB"/>
                          </w:rPr>
                          <m:t>2</m:t>
                        </m:r>
                      </m:sup>
                    </m:sSup>
                  </m:den>
                </m:f>
                <m:r>
                  <m:rPr>
                    <m:sty m:val="p"/>
                  </m:rPr>
                  <w:rPr>
                    <w:rFonts w:ascii="Cambria Math" w:eastAsiaTheme="minorEastAsia" w:hAnsi="Cambria Math" w:cs="Courier New"/>
                    <w:lang w:val="en-GB"/>
                  </w:rPr>
                  <m:t xml:space="preserve">    </m:t>
                </m:r>
              </m:oMath>
            </m:oMathPara>
          </w:p>
        </w:tc>
      </w:tr>
      <w:tr w:rsidR="00583885" w:rsidRPr="00D03F67" w14:paraId="74F4ABB8" w14:textId="77777777" w:rsidTr="00DE2B62">
        <w:trPr>
          <w:trHeight w:val="255"/>
        </w:trPr>
        <w:tc>
          <w:tcPr>
            <w:tcW w:w="2268" w:type="dxa"/>
            <w:shd w:val="clear" w:color="auto" w:fill="FFFFFF"/>
          </w:tcPr>
          <w:p w14:paraId="495E042C" w14:textId="77777777" w:rsidR="00583885" w:rsidRPr="00C64185" w:rsidRDefault="00583885" w:rsidP="00DE2B62">
            <w:pPr>
              <w:pStyle w:val="CETBodytext"/>
              <w:ind w:right="-1"/>
              <w:rPr>
                <w:rFonts w:ascii="Tahoma" w:hAnsi="Tahoma" w:cs="Tahoma"/>
                <w:iCs/>
                <w:lang w:val="en-GB"/>
              </w:rPr>
            </w:pPr>
            <w:r w:rsidRPr="00C64185">
              <w:rPr>
                <w:rFonts w:ascii="Tahoma" w:hAnsi="Tahoma" w:cs="Tahoma"/>
                <w:iCs/>
                <w:lang w:val="en-GB"/>
              </w:rPr>
              <w:t>5</w:t>
            </w:r>
          </w:p>
        </w:tc>
        <w:tc>
          <w:tcPr>
            <w:tcW w:w="3514" w:type="dxa"/>
            <w:shd w:val="clear" w:color="auto" w:fill="FFFFFF"/>
          </w:tcPr>
          <w:p w14:paraId="36D2F6D5" w14:textId="4833A411"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hAnsi="Cambria Math"/>
                    <w:lang w:val="en-GB"/>
                  </w:rPr>
                  <m:t>j</m:t>
                </m:r>
                <m:d>
                  <m:dPr>
                    <m:ctrlPr>
                      <w:rPr>
                        <w:rFonts w:ascii="Cambria Math" w:hAnsi="Cambria Math"/>
                        <w:iCs/>
                        <w:lang w:val="en-GB"/>
                      </w:rPr>
                    </m:ctrlPr>
                  </m:dPr>
                  <m:e>
                    <m:sSub>
                      <m:sSubPr>
                        <m:ctrlPr>
                          <w:rPr>
                            <w:rFonts w:ascii="Cambria Math" w:hAnsi="Cambria Math"/>
                            <w:iCs/>
                            <w:lang w:val="en-GB"/>
                          </w:rPr>
                        </m:ctrlPr>
                      </m:sSubPr>
                      <m:e>
                        <m:r>
                          <m:rPr>
                            <m:sty m:val="p"/>
                          </m:rPr>
                          <w:rPr>
                            <w:rFonts w:ascii="Cambria Math" w:hAnsi="Cambria Math"/>
                            <w:lang w:val="en-GB"/>
                          </w:rPr>
                          <m:t>D</m:t>
                        </m:r>
                      </m:e>
                      <m:sub>
                        <m:r>
                          <m:rPr>
                            <m:sty m:val="p"/>
                          </m:rPr>
                          <w:rPr>
                            <w:rFonts w:ascii="Cambria Math" w:hAnsi="Cambria Math"/>
                            <w:lang w:val="en-GB"/>
                          </w:rPr>
                          <m:t>t</m:t>
                        </m:r>
                      </m:sub>
                    </m:sSub>
                    <m:r>
                      <m:rPr>
                        <m:sty m:val="p"/>
                      </m:rPr>
                      <w:rPr>
                        <w:rFonts w:ascii="Cambria Math" w:hAnsi="Cambria Math"/>
                        <w:lang w:val="en-GB"/>
                      </w:rPr>
                      <m:t>,L</m:t>
                    </m:r>
                  </m:e>
                </m:d>
                <m:r>
                  <m:rPr>
                    <m:sty m:val="p"/>
                  </m:rPr>
                  <w:rPr>
                    <w:rFonts w:ascii="Cambria Math" w:hAnsi="Cambria Math"/>
                    <w:lang w:val="en-GB"/>
                  </w:rPr>
                  <m:t>=L-</m:t>
                </m:r>
                <m:r>
                  <m:rPr>
                    <m:sty m:val="p"/>
                  </m:rPr>
                  <w:rPr>
                    <w:rFonts w:ascii="Cambria Math" w:eastAsiaTheme="minorEastAsia" w:hAnsi="Cambria Math" w:cs="Arial"/>
                    <w:lang w:val="en-GB"/>
                  </w:rPr>
                  <m:t>ζ&gt;</m:t>
                </m:r>
                <m:r>
                  <m:rPr>
                    <m:sty m:val="p"/>
                  </m:rPr>
                  <w:rPr>
                    <w:rFonts w:ascii="Cambria Math" w:hAnsi="Cambria Math"/>
                    <w:lang w:val="en-GB"/>
                  </w:rPr>
                  <m:t>0</m:t>
                </m:r>
              </m:oMath>
            </m:oMathPara>
          </w:p>
        </w:tc>
        <w:tc>
          <w:tcPr>
            <w:tcW w:w="2891" w:type="dxa"/>
            <w:shd w:val="clear" w:color="auto" w:fill="FFFFFF"/>
          </w:tcPr>
          <w:p w14:paraId="565423F7" w14:textId="7963C3B8"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eastAsiaTheme="minorEastAsia" w:hAnsi="Cambria Math" w:cs="Arial"/>
                    <w:lang w:val="en-GB"/>
                  </w:rPr>
                  <m:t>ζ=100</m:t>
                </m:r>
                <m:sSub>
                  <m:sSubPr>
                    <m:ctrlPr>
                      <w:rPr>
                        <w:rFonts w:ascii="Cambria Math" w:eastAsiaTheme="minorEastAsia" w:hAnsi="Cambria Math" w:cs="Arial"/>
                        <w:iCs/>
                        <w:lang w:val="en-GB"/>
                      </w:rPr>
                    </m:ctrlPr>
                  </m:sSubPr>
                  <m:e>
                    <m:r>
                      <m:rPr>
                        <m:sty m:val="p"/>
                      </m:rPr>
                      <w:rPr>
                        <w:rFonts w:ascii="Cambria Math" w:eastAsiaTheme="minorEastAsia" w:hAnsi="Cambria Math" w:cs="Arial"/>
                        <w:lang w:val="en-GB"/>
                      </w:rPr>
                      <m:t>d</m:t>
                    </m:r>
                  </m:e>
                  <m:sub>
                    <m:r>
                      <m:rPr>
                        <m:sty m:val="p"/>
                      </m:rPr>
                      <w:rPr>
                        <w:rFonts w:ascii="Cambria Math" w:eastAsiaTheme="minorEastAsia" w:hAnsi="Cambria Math" w:cs="Arial"/>
                        <w:vertAlign w:val="subscript"/>
                        <w:lang w:val="en-GB"/>
                      </w:rPr>
                      <m:t>p</m:t>
                    </m:r>
                  </m:sub>
                </m:sSub>
              </m:oMath>
            </m:oMathPara>
          </w:p>
        </w:tc>
      </w:tr>
      <w:tr w:rsidR="00583885" w:rsidRPr="00D03F67" w14:paraId="7D72B6CD" w14:textId="77777777" w:rsidTr="00DE2B62">
        <w:trPr>
          <w:trHeight w:val="255"/>
        </w:trPr>
        <w:tc>
          <w:tcPr>
            <w:tcW w:w="2268" w:type="dxa"/>
            <w:shd w:val="clear" w:color="auto" w:fill="FFFFFF"/>
          </w:tcPr>
          <w:p w14:paraId="696CAEBF" w14:textId="77777777" w:rsidR="00583885" w:rsidRPr="00C64185" w:rsidRDefault="00583885" w:rsidP="00DE2B62">
            <w:pPr>
              <w:pStyle w:val="CETBodytext"/>
              <w:ind w:right="-1"/>
              <w:rPr>
                <w:iCs/>
                <w:lang w:val="en-GB"/>
              </w:rPr>
            </w:pPr>
            <w:r w:rsidRPr="00C64185">
              <w:rPr>
                <w:iCs/>
                <w:lang w:val="en-GB"/>
              </w:rPr>
              <w:t>6</w:t>
            </w:r>
          </w:p>
        </w:tc>
        <w:tc>
          <w:tcPr>
            <w:tcW w:w="3514" w:type="dxa"/>
            <w:shd w:val="clear" w:color="auto" w:fill="FFFFFF"/>
          </w:tcPr>
          <w:p w14:paraId="0978CDCD" w14:textId="1047085B"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eastAsiaTheme="minorEastAsia" w:hAnsi="Cambria Math" w:cs="Courier New"/>
                    <w:lang w:val="en-GB"/>
                  </w:rPr>
                  <m:t>m</m:t>
                </m:r>
                <m:d>
                  <m:dPr>
                    <m:ctrlPr>
                      <w:rPr>
                        <w:rFonts w:ascii="Cambria Math" w:eastAsiaTheme="minorEastAsia" w:hAnsi="Cambria Math" w:cs="Courier New"/>
                        <w:iCs/>
                        <w:lang w:val="en-GB"/>
                      </w:rPr>
                    </m:ctrlPr>
                  </m:dPr>
                  <m:e>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Sub>
                    <m:r>
                      <m:rPr>
                        <m:sty m:val="p"/>
                      </m:rPr>
                      <w:rPr>
                        <w:rFonts w:ascii="Cambria Math" w:eastAsiaTheme="minorEastAsia" w:hAnsi="Cambria Math" w:cs="Courier New"/>
                        <w:lang w:val="en-GB"/>
                      </w:rPr>
                      <m:t>,L</m:t>
                    </m:r>
                  </m:e>
                </m:d>
                <m:r>
                  <m:rPr>
                    <m:sty m:val="p"/>
                  </m:rPr>
                  <w:rPr>
                    <w:rFonts w:ascii="Cambria Math" w:eastAsiaTheme="minorEastAsia" w:hAnsi="Cambria Math" w:cs="Courier New"/>
                    <w:lang w:val="en-GB"/>
                  </w:rPr>
                  <m:t>=L-</m:t>
                </m:r>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K</m:t>
                    </m:r>
                  </m:e>
                  <m:sub>
                    <m:r>
                      <m:rPr>
                        <m:sty m:val="p"/>
                      </m:rPr>
                      <w:rPr>
                        <w:rFonts w:ascii="Cambria Math" w:eastAsiaTheme="minorEastAsia" w:hAnsi="Cambria Math" w:cs="Courier New"/>
                        <w:lang w:val="en-GB"/>
                      </w:rPr>
                      <m:t>1</m:t>
                    </m:r>
                  </m:sub>
                </m:sSub>
                <m:sSubSup>
                  <m:sSubSupPr>
                    <m:ctrlPr>
                      <w:rPr>
                        <w:rFonts w:ascii="Cambria Math" w:eastAsiaTheme="minorEastAsia" w:hAnsi="Cambria Math" w:cs="Courier New"/>
                        <w:iCs/>
                        <w:lang w:val="en-GB"/>
                      </w:rPr>
                    </m:ctrlPr>
                  </m:sSubSup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up>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K</m:t>
                        </m:r>
                      </m:e>
                      <m:sub>
                        <m:r>
                          <m:rPr>
                            <m:sty m:val="p"/>
                          </m:rPr>
                          <w:rPr>
                            <w:rFonts w:ascii="Cambria Math" w:eastAsiaTheme="minorEastAsia" w:hAnsi="Cambria Math" w:cs="Courier New"/>
                            <w:lang w:val="en-GB"/>
                          </w:rPr>
                          <m:t>2</m:t>
                        </m:r>
                      </m:sub>
                    </m:sSub>
                  </m:sup>
                </m:sSubSup>
                <m:r>
                  <m:rPr>
                    <m:sty m:val="p"/>
                  </m:rPr>
                  <w:rPr>
                    <w:rFonts w:ascii="Cambria Math" w:eastAsiaTheme="minorEastAsia" w:hAnsi="Cambria Math" w:cs="Courier New"/>
                    <w:lang w:val="en-GB"/>
                  </w:rPr>
                  <m:t>≥0</m:t>
                </m:r>
              </m:oMath>
            </m:oMathPara>
          </w:p>
        </w:tc>
        <w:tc>
          <w:tcPr>
            <w:tcW w:w="2891" w:type="dxa"/>
            <w:shd w:val="clear" w:color="auto" w:fill="FFFFFF"/>
          </w:tcPr>
          <w:p w14:paraId="7A7BE0F9" w14:textId="3DD3D236" w:rsidR="00583885" w:rsidRPr="00C64185" w:rsidRDefault="00C90264" w:rsidP="00DE2B62">
            <w:pPr>
              <w:pStyle w:val="CETBodytext"/>
              <w:ind w:right="-1"/>
              <w:rPr>
                <w:rFonts w:cs="Arial"/>
                <w:iCs/>
                <w:szCs w:val="18"/>
                <w:lang w:val="en-GB"/>
              </w:rPr>
            </w:pPr>
            <m:oMath>
              <m:sSub>
                <m:sSubPr>
                  <m:ctrlPr>
                    <w:rPr>
                      <w:rFonts w:ascii="Cambria Math" w:hAnsi="Cambria Math" w:cs="Arial"/>
                      <w:iCs/>
                      <w:szCs w:val="18"/>
                      <w:lang w:val="en-GB"/>
                    </w:rPr>
                  </m:ctrlPr>
                </m:sSubPr>
                <m:e>
                  <m:r>
                    <m:rPr>
                      <m:sty m:val="p"/>
                    </m:rPr>
                    <w:rPr>
                      <w:rFonts w:ascii="Cambria Math" w:hAnsi="Cambria Math" w:cs="Arial"/>
                      <w:szCs w:val="18"/>
                      <w:lang w:val="en-GB"/>
                    </w:rPr>
                    <m:t>K</m:t>
                  </m:r>
                </m:e>
                <m:sub>
                  <m:r>
                    <m:rPr>
                      <m:sty m:val="p"/>
                    </m:rPr>
                    <w:rPr>
                      <w:rFonts w:ascii="Cambria Math" w:hAnsi="Cambria Math" w:cs="Arial"/>
                      <w:szCs w:val="18"/>
                      <w:lang w:val="en-GB"/>
                    </w:rPr>
                    <m:t>1</m:t>
                  </m:r>
                </m:sub>
              </m:sSub>
              <m:r>
                <m:rPr>
                  <m:sty m:val="p"/>
                </m:rPr>
                <w:rPr>
                  <w:rFonts w:ascii="Cambria Math" w:hAnsi="Cambria Math" w:cs="Arial"/>
                  <w:szCs w:val="18"/>
                  <w:lang w:val="en-GB"/>
                </w:rPr>
                <m:t xml:space="preserve"> and </m:t>
              </m:r>
              <m:sSub>
                <m:sSubPr>
                  <m:ctrlPr>
                    <w:rPr>
                      <w:rFonts w:ascii="Cambria Math" w:hAnsi="Cambria Math" w:cs="Arial"/>
                      <w:iCs/>
                      <w:szCs w:val="18"/>
                      <w:lang w:val="en-GB"/>
                    </w:rPr>
                  </m:ctrlPr>
                </m:sSubPr>
                <m:e>
                  <m:r>
                    <m:rPr>
                      <m:sty m:val="p"/>
                    </m:rPr>
                    <w:rPr>
                      <w:rFonts w:ascii="Cambria Math" w:hAnsi="Cambria Math" w:cs="Arial"/>
                      <w:szCs w:val="18"/>
                      <w:lang w:val="en-GB"/>
                    </w:rPr>
                    <m:t>K</m:t>
                  </m:r>
                </m:e>
                <m:sub>
                  <m:r>
                    <m:rPr>
                      <m:sty m:val="p"/>
                    </m:rPr>
                    <w:rPr>
                      <w:rFonts w:ascii="Cambria Math" w:hAnsi="Cambria Math" w:cs="Arial"/>
                      <w:szCs w:val="18"/>
                      <w:lang w:val="en-GB"/>
                    </w:rPr>
                    <m:t>2</m:t>
                  </m:r>
                </m:sub>
              </m:sSub>
            </m:oMath>
            <w:r w:rsidR="00583885" w:rsidRPr="00C64185">
              <w:rPr>
                <w:rFonts w:cs="Arial"/>
                <w:iCs/>
                <w:szCs w:val="18"/>
                <w:lang w:val="en-GB"/>
              </w:rPr>
              <w:t xml:space="preserve"> from regression analysis </w:t>
            </w:r>
          </w:p>
        </w:tc>
      </w:tr>
      <w:tr w:rsidR="00583885" w:rsidRPr="00D03F67" w14:paraId="02C23E07" w14:textId="77777777" w:rsidTr="00DE2B62">
        <w:trPr>
          <w:trHeight w:val="255"/>
        </w:trPr>
        <w:tc>
          <w:tcPr>
            <w:tcW w:w="2268" w:type="dxa"/>
            <w:shd w:val="clear" w:color="auto" w:fill="FFFFFF"/>
            <w:vAlign w:val="center"/>
          </w:tcPr>
          <w:p w14:paraId="34DBCA8A" w14:textId="77777777" w:rsidR="00583885" w:rsidRPr="00C64185" w:rsidRDefault="00583885" w:rsidP="00DE2B62">
            <w:pPr>
              <w:pStyle w:val="CETBodytext"/>
              <w:ind w:right="-1"/>
              <w:jc w:val="left"/>
              <w:rPr>
                <w:iCs/>
                <w:lang w:val="en-GB"/>
              </w:rPr>
            </w:pPr>
            <w:r w:rsidRPr="00C64185">
              <w:rPr>
                <w:iCs/>
                <w:lang w:val="en-GB"/>
              </w:rPr>
              <w:t>7</w:t>
            </w:r>
          </w:p>
        </w:tc>
        <w:tc>
          <w:tcPr>
            <w:tcW w:w="3514" w:type="dxa"/>
            <w:shd w:val="clear" w:color="auto" w:fill="FFFFFF"/>
          </w:tcPr>
          <w:p w14:paraId="6EF5D18B" w14:textId="2DB9CB2D"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eastAsiaTheme="minorEastAsia" w:hAnsi="Cambria Math" w:cs="Courier New"/>
                    <w:lang w:val="en-GB"/>
                  </w:rPr>
                  <m:t>n</m:t>
                </m:r>
                <m:d>
                  <m:dPr>
                    <m:ctrlPr>
                      <w:rPr>
                        <w:rFonts w:ascii="Cambria Math" w:eastAsiaTheme="minorEastAsia" w:hAnsi="Cambria Math" w:cs="Courier New"/>
                        <w:iCs/>
                        <w:lang w:val="en-GB"/>
                      </w:rPr>
                    </m:ctrlPr>
                  </m:dPr>
                  <m:e>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Sub>
                    <m:r>
                      <m:rPr>
                        <m:sty m:val="p"/>
                      </m:rPr>
                      <w:rPr>
                        <w:rFonts w:ascii="Cambria Math" w:eastAsiaTheme="minorEastAsia" w:hAnsi="Cambria Math" w:cs="Courier New"/>
                        <w:lang w:val="en-GB"/>
                      </w:rPr>
                      <m:t>, L</m:t>
                    </m:r>
                  </m:e>
                </m:d>
                <m:r>
                  <m:rPr>
                    <m:sty m:val="p"/>
                  </m:rPr>
                  <w:rPr>
                    <w:rFonts w:ascii="Cambria Math" w:eastAsiaTheme="minorEastAsia" w:hAnsi="Cambria Math" w:cs="Courier New"/>
                    <w:lang w:val="en-GB"/>
                  </w:rPr>
                  <m:t>=</m:t>
                </m:r>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λ</m:t>
                    </m:r>
                  </m:num>
                  <m:den>
                    <m:sSubSup>
                      <m:sSubSupPr>
                        <m:ctrlPr>
                          <w:rPr>
                            <w:rFonts w:ascii="Cambria Math" w:eastAsiaTheme="minorEastAsia" w:hAnsi="Cambria Math" w:cs="Courier New"/>
                            <w:iCs/>
                            <w:lang w:val="en-GB"/>
                          </w:rPr>
                        </m:ctrlPr>
                      </m:sSubSup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t</m:t>
                        </m:r>
                      </m:sub>
                      <m:sup>
                        <m:r>
                          <m:rPr>
                            <m:sty m:val="p"/>
                          </m:rPr>
                          <w:rPr>
                            <w:rFonts w:ascii="Cambria Math" w:eastAsiaTheme="minorEastAsia" w:hAnsi="Cambria Math" w:cs="Courier New"/>
                            <w:lang w:val="en-GB"/>
                          </w:rPr>
                          <m:t>2</m:t>
                        </m:r>
                      </m:sup>
                    </m:sSubSup>
                  </m:den>
                </m:f>
                <m:r>
                  <m:rPr>
                    <m:sty m:val="p"/>
                  </m:rPr>
                  <w:rPr>
                    <w:rFonts w:ascii="Cambria Math" w:eastAsiaTheme="minorEastAsia" w:hAnsi="Cambria Math" w:cs="Courier New"/>
                    <w:lang w:val="en-GB"/>
                  </w:rPr>
                  <m:t>-100&gt;0</m:t>
                </m:r>
              </m:oMath>
            </m:oMathPara>
          </w:p>
        </w:tc>
        <w:tc>
          <w:tcPr>
            <w:tcW w:w="2891" w:type="dxa"/>
            <w:shd w:val="clear" w:color="auto" w:fill="FFFFFF"/>
          </w:tcPr>
          <w:p w14:paraId="6774B149" w14:textId="667CA569" w:rsidR="00583885" w:rsidRPr="00C64185" w:rsidRDefault="00C64185" w:rsidP="00DE2B62">
            <w:pPr>
              <w:pStyle w:val="CETBodytext"/>
              <w:ind w:right="-1"/>
              <w:rPr>
                <w:rFonts w:cs="Arial"/>
                <w:iCs/>
                <w:szCs w:val="18"/>
                <w:lang w:val="en-GB"/>
              </w:rPr>
            </w:pPr>
            <m:oMathPara>
              <m:oMathParaPr>
                <m:jc m:val="left"/>
              </m:oMathParaPr>
              <m:oMath>
                <m:r>
                  <m:rPr>
                    <m:sty m:val="p"/>
                  </m:rPr>
                  <w:rPr>
                    <w:rFonts w:ascii="Cambria Math" w:eastAsiaTheme="minorEastAsia" w:hAnsi="Cambria Math" w:cs="Courier New"/>
                    <w:lang w:val="en-GB"/>
                  </w:rPr>
                  <m:t>λ=</m:t>
                </m:r>
                <m:f>
                  <m:fPr>
                    <m:ctrlPr>
                      <w:rPr>
                        <w:rFonts w:ascii="Cambria Math" w:eastAsiaTheme="minorEastAsia" w:hAnsi="Cambria Math" w:cs="Courier New"/>
                        <w:iCs/>
                        <w:lang w:val="en-GB"/>
                      </w:rPr>
                    </m:ctrlPr>
                  </m:fPr>
                  <m:num>
                    <m:r>
                      <m:rPr>
                        <m:sty m:val="p"/>
                      </m:rPr>
                      <w:rPr>
                        <w:rFonts w:ascii="Cambria Math" w:eastAsiaTheme="minorEastAsia" w:hAnsi="Cambria Math" w:cs="Courier New"/>
                        <w:lang w:val="en-GB"/>
                      </w:rPr>
                      <m:t>ρ</m:t>
                    </m:r>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d</m:t>
                        </m:r>
                      </m:e>
                      <m:sub>
                        <m:r>
                          <m:rPr>
                            <m:sty m:val="p"/>
                          </m:rPr>
                          <w:rPr>
                            <w:rFonts w:ascii="Cambria Math" w:eastAsiaTheme="minorEastAsia" w:hAnsi="Cambria Math" w:cs="Courier New"/>
                            <w:lang w:val="en-GB"/>
                          </w:rPr>
                          <m:t>p</m:t>
                        </m:r>
                      </m:sub>
                    </m:sSub>
                    <m:r>
                      <m:rPr>
                        <m:sty m:val="p"/>
                      </m:rPr>
                      <w:rPr>
                        <w:rFonts w:ascii="Cambria Math" w:eastAsiaTheme="minorEastAsia" w:hAnsi="Cambria Math" w:cs="Courier New"/>
                        <w:lang w:val="en-GB"/>
                      </w:rPr>
                      <m:t>4</m:t>
                    </m:r>
                    <m:sSub>
                      <m:sSubPr>
                        <m:ctrlPr>
                          <w:rPr>
                            <w:rFonts w:ascii="Cambria Math" w:eastAsiaTheme="minorEastAsia" w:hAnsi="Cambria Math" w:cs="Courier New"/>
                            <w:iCs/>
                            <w:lang w:val="en-GB"/>
                          </w:rPr>
                        </m:ctrlPr>
                      </m:sSubPr>
                      <m:e>
                        <m:r>
                          <m:rPr>
                            <m:sty m:val="p"/>
                          </m:rPr>
                          <w:rPr>
                            <w:rFonts w:ascii="Cambria Math" w:eastAsiaTheme="minorEastAsia" w:hAnsi="Cambria Math" w:cs="Courier New"/>
                            <w:lang w:val="en-GB"/>
                          </w:rPr>
                          <m:t>Q</m:t>
                        </m:r>
                      </m:e>
                      <m:sub>
                        <m:r>
                          <m:rPr>
                            <m:sty m:val="p"/>
                          </m:rPr>
                          <w:rPr>
                            <w:rFonts w:ascii="Cambria Math" w:eastAsiaTheme="minorEastAsia" w:hAnsi="Cambria Math" w:cs="Courier New"/>
                            <w:lang w:val="en-GB"/>
                          </w:rPr>
                          <m:t>m</m:t>
                        </m:r>
                      </m:sub>
                    </m:sSub>
                  </m:num>
                  <m:den>
                    <m:r>
                      <m:rPr>
                        <m:sty m:val="p"/>
                      </m:rPr>
                      <w:rPr>
                        <w:rFonts w:ascii="Cambria Math" w:eastAsiaTheme="minorEastAsia" w:hAnsi="Cambria Math" w:cs="Courier New"/>
                        <w:lang w:val="en-GB"/>
                      </w:rPr>
                      <m:t>π</m:t>
                    </m:r>
                    <m:d>
                      <m:dPr>
                        <m:ctrlPr>
                          <w:rPr>
                            <w:rFonts w:ascii="Cambria Math" w:eastAsiaTheme="minorEastAsia" w:hAnsi="Cambria Math" w:cs="Courier New"/>
                            <w:iCs/>
                            <w:lang w:val="en-GB"/>
                          </w:rPr>
                        </m:ctrlPr>
                      </m:dPr>
                      <m:e>
                        <m:r>
                          <m:rPr>
                            <m:sty m:val="p"/>
                          </m:rPr>
                          <w:rPr>
                            <w:rFonts w:ascii="Cambria Math" w:eastAsiaTheme="minorEastAsia" w:hAnsi="Cambria Math" w:cs="Courier New"/>
                            <w:lang w:val="en-GB"/>
                          </w:rPr>
                          <m:t>1-ϵ</m:t>
                        </m:r>
                      </m:e>
                    </m:d>
                    <m:r>
                      <m:rPr>
                        <m:sty m:val="p"/>
                      </m:rPr>
                      <w:rPr>
                        <w:rFonts w:ascii="Cambria Math" w:eastAsiaTheme="minorEastAsia" w:hAnsi="Cambria Math" w:cs="Courier New"/>
                        <w:lang w:val="en-GB"/>
                      </w:rPr>
                      <m:t>μ</m:t>
                    </m:r>
                  </m:den>
                </m:f>
              </m:oMath>
            </m:oMathPara>
          </w:p>
        </w:tc>
      </w:tr>
    </w:tbl>
    <w:p w14:paraId="0EC14F83" w14:textId="77777777" w:rsidR="00FC1D2B" w:rsidRPr="00D03F67" w:rsidRDefault="00FC1D2B" w:rsidP="00257222">
      <w:pPr>
        <w:pStyle w:val="CETBodytext"/>
        <w:rPr>
          <w:rFonts w:eastAsiaTheme="minorEastAsia"/>
          <w:lang w:val="en-GB"/>
        </w:rPr>
      </w:pPr>
    </w:p>
    <w:p w14:paraId="18BD2AA1" w14:textId="76D7D29D" w:rsidR="00257222" w:rsidRPr="00D03F67" w:rsidRDefault="00257222" w:rsidP="00257222">
      <w:pPr>
        <w:pStyle w:val="CETBodytext"/>
        <w:rPr>
          <w:lang w:val="en-GB"/>
        </w:rPr>
      </w:pPr>
      <w:r w:rsidRPr="00D03F67">
        <w:rPr>
          <w:lang w:val="en-GB"/>
        </w:rPr>
        <w:t xml:space="preserve">As an example, Figure </w:t>
      </w:r>
      <w:r w:rsidR="00D001AC">
        <w:rPr>
          <w:lang w:val="en-GB"/>
        </w:rPr>
        <w:t>4</w:t>
      </w:r>
      <w:r w:rsidRPr="00D03F67">
        <w:rPr>
          <w:lang w:val="en-GB"/>
        </w:rPr>
        <w:t xml:space="preserve"> reports the D</w:t>
      </w:r>
      <w:r w:rsidRPr="00D03F67">
        <w:rPr>
          <w:vertAlign w:val="subscript"/>
          <w:lang w:val="en-GB"/>
        </w:rPr>
        <w:t>t</w:t>
      </w:r>
      <w:r w:rsidRPr="00D03F67">
        <w:rPr>
          <w:lang w:val="en-GB"/>
        </w:rPr>
        <w:t xml:space="preserve">-L plot for the </w:t>
      </w:r>
      <w:r w:rsidR="007A57A6">
        <w:rPr>
          <w:lang w:val="en-GB"/>
        </w:rPr>
        <w:t>methanation recycle reactor</w:t>
      </w:r>
      <w:r w:rsidR="004B1616">
        <w:rPr>
          <w:lang w:val="en-GB"/>
        </w:rPr>
        <w:t xml:space="preserve"> (PFR1)</w:t>
      </w:r>
      <w:r w:rsidRPr="00D03F67">
        <w:rPr>
          <w:lang w:val="en-GB"/>
        </w:rPr>
        <w:t xml:space="preserve"> with a suitable choice for the reactor diameter and length:</w:t>
      </w:r>
    </w:p>
    <w:p w14:paraId="6E4E6100" w14:textId="6C769FB6" w:rsidR="004B1616" w:rsidRPr="003C5095" w:rsidRDefault="004B1616" w:rsidP="003C5095">
      <w:pPr>
        <w:pStyle w:val="CETBodytext"/>
        <w:jc w:val="left"/>
        <w:rPr>
          <w:noProof/>
          <w:color w:val="FF0000"/>
          <w:lang w:val="en-GB"/>
        </w:rPr>
      </w:pPr>
    </w:p>
    <w:p w14:paraId="5A8AD2BE" w14:textId="77777777" w:rsidR="00665148" w:rsidRDefault="004B1616" w:rsidP="00532061">
      <w:pPr>
        <w:pStyle w:val="CETCaption"/>
        <w:jc w:val="left"/>
        <w:rPr>
          <w:noProof/>
        </w:rPr>
      </w:pPr>
      <w:r>
        <w:rPr>
          <w:noProof/>
        </w:rPr>
        <w:lastRenderedPageBreak/>
        <w:drawing>
          <wp:inline distT="0" distB="0" distL="0" distR="0" wp14:anchorId="153B6DB4" wp14:editId="0DC0E578">
            <wp:extent cx="3817916" cy="1986349"/>
            <wp:effectExtent l="0" t="0" r="0" b="0"/>
            <wp:docPr id="185874836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666" t="2376" r="11187" b="2604"/>
                    <a:stretch/>
                  </pic:blipFill>
                  <pic:spPr bwMode="auto">
                    <a:xfrm>
                      <a:off x="0" y="0"/>
                      <a:ext cx="3919319" cy="2039106"/>
                    </a:xfrm>
                    <a:prstGeom prst="rect">
                      <a:avLst/>
                    </a:prstGeom>
                    <a:noFill/>
                    <a:ln>
                      <a:noFill/>
                    </a:ln>
                    <a:extLst>
                      <a:ext uri="{53640926-AAD7-44D8-BBD7-CCE9431645EC}">
                        <a14:shadowObscured xmlns:a14="http://schemas.microsoft.com/office/drawing/2010/main"/>
                      </a:ext>
                    </a:extLst>
                  </pic:spPr>
                </pic:pic>
              </a:graphicData>
            </a:graphic>
          </wp:inline>
        </w:drawing>
      </w:r>
    </w:p>
    <w:p w14:paraId="393C5FD0" w14:textId="6607F690" w:rsidR="00257222" w:rsidRPr="00665148" w:rsidRDefault="00257222" w:rsidP="00532061">
      <w:pPr>
        <w:pStyle w:val="CETCaption"/>
        <w:jc w:val="left"/>
        <w:rPr>
          <w:noProof/>
        </w:rPr>
      </w:pPr>
      <w:r w:rsidRPr="00B55616">
        <w:rPr>
          <w:noProof/>
        </w:rPr>
        <w:t xml:space="preserve">Figure </w:t>
      </w:r>
      <w:r w:rsidR="00D001AC">
        <w:rPr>
          <w:noProof/>
        </w:rPr>
        <w:t>4</w:t>
      </w:r>
      <w:r w:rsidRPr="00B55616">
        <w:rPr>
          <w:noProof/>
        </w:rPr>
        <w:t xml:space="preserve">: </w:t>
      </w:r>
      <w:r w:rsidR="00D001AC">
        <w:rPr>
          <w:noProof/>
        </w:rPr>
        <w:t xml:space="preserve">Dimensioning plot for the </w:t>
      </w:r>
      <w:r w:rsidR="004B1616">
        <w:rPr>
          <w:noProof/>
        </w:rPr>
        <w:t>recycle methanation</w:t>
      </w:r>
      <w:r w:rsidR="00D001AC">
        <w:rPr>
          <w:noProof/>
        </w:rPr>
        <w:t xml:space="preserve"> reactor.</w:t>
      </w:r>
    </w:p>
    <w:p w14:paraId="07A6D20F" w14:textId="0F5455AD" w:rsidR="00280FAF" w:rsidRPr="00D41E3D" w:rsidRDefault="00280FAF" w:rsidP="00280FAF">
      <w:pPr>
        <w:pStyle w:val="CETHeadingxx"/>
        <w:rPr>
          <w:lang w:val="en-GB"/>
        </w:rPr>
        <w:sectPr w:rsidR="00280FAF" w:rsidRPr="00D41E3D" w:rsidSect="0000718A">
          <w:type w:val="continuous"/>
          <w:pgSz w:w="11906" w:h="16838" w:code="9"/>
          <w:pgMar w:top="1701" w:right="1418" w:bottom="1701" w:left="1701" w:header="1701" w:footer="0" w:gutter="0"/>
          <w:cols w:space="708"/>
          <w:formProt w:val="0"/>
          <w:titlePg/>
          <w:docGrid w:linePitch="360"/>
        </w:sectPr>
      </w:pPr>
      <w:r w:rsidRPr="00D41E3D">
        <w:rPr>
          <w:lang w:val="en-GB"/>
        </w:rPr>
        <w:t>Nomenclatur</w:t>
      </w:r>
      <w:r w:rsidR="00AB2AC8">
        <w:rPr>
          <w:lang w:val="en-GB"/>
        </w:rPr>
        <w:t>e</w:t>
      </w:r>
    </w:p>
    <w:tbl>
      <w:tblPr>
        <w:tblW w:w="4025" w:type="dxa"/>
        <w:tblCellMar>
          <w:left w:w="70" w:type="dxa"/>
          <w:right w:w="70" w:type="dxa"/>
        </w:tblCellMar>
        <w:tblLook w:val="04A0" w:firstRow="1" w:lastRow="0" w:firstColumn="1" w:lastColumn="0" w:noHBand="0" w:noVBand="1"/>
      </w:tblPr>
      <w:tblGrid>
        <w:gridCol w:w="4025"/>
      </w:tblGrid>
      <w:tr w:rsidR="009B47D4" w:rsidRPr="00D41E3D" w14:paraId="5AE428D2" w14:textId="77777777" w:rsidTr="009B47D4">
        <w:trPr>
          <w:trHeight w:val="300"/>
        </w:trPr>
        <w:tc>
          <w:tcPr>
            <w:tcW w:w="4025" w:type="dxa"/>
            <w:tcBorders>
              <w:top w:val="nil"/>
              <w:left w:val="nil"/>
              <w:bottom w:val="nil"/>
              <w:right w:val="nil"/>
            </w:tcBorders>
            <w:shd w:val="clear" w:color="auto" w:fill="auto"/>
            <w:noWrap/>
            <w:vAlign w:val="bottom"/>
            <w:hideMark/>
          </w:tcPr>
          <w:p w14:paraId="7A8852FA"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d</w:t>
            </w:r>
            <w:r w:rsidRPr="00D41E3D">
              <w:rPr>
                <w:rFonts w:cs="Arial"/>
                <w:color w:val="000000"/>
                <w:szCs w:val="18"/>
                <w:vertAlign w:val="subscript"/>
                <w:lang w:eastAsia="it-IT"/>
              </w:rPr>
              <w:t xml:space="preserve">p </w:t>
            </w:r>
            <w:r w:rsidRPr="00D41E3D">
              <w:rPr>
                <w:rFonts w:cs="Arial"/>
                <w:color w:val="000000"/>
                <w:szCs w:val="18"/>
                <w:lang w:eastAsia="it-IT"/>
              </w:rPr>
              <w:t>- particle diameter, mm</w:t>
            </w:r>
          </w:p>
        </w:tc>
      </w:tr>
      <w:tr w:rsidR="009B47D4" w:rsidRPr="00D41E3D" w14:paraId="35AF6DE7" w14:textId="77777777" w:rsidTr="009B47D4">
        <w:trPr>
          <w:trHeight w:val="300"/>
        </w:trPr>
        <w:tc>
          <w:tcPr>
            <w:tcW w:w="4025" w:type="dxa"/>
            <w:tcBorders>
              <w:top w:val="nil"/>
              <w:left w:val="nil"/>
              <w:bottom w:val="nil"/>
              <w:right w:val="nil"/>
            </w:tcBorders>
            <w:shd w:val="clear" w:color="auto" w:fill="auto"/>
            <w:noWrap/>
            <w:vAlign w:val="bottom"/>
            <w:hideMark/>
          </w:tcPr>
          <w:p w14:paraId="7DFEDE9F"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D</w:t>
            </w:r>
            <w:r w:rsidRPr="00D41E3D">
              <w:rPr>
                <w:rFonts w:cs="Arial"/>
                <w:color w:val="000000"/>
                <w:szCs w:val="18"/>
                <w:vertAlign w:val="subscript"/>
                <w:lang w:eastAsia="it-IT"/>
              </w:rPr>
              <w:t xml:space="preserve">t </w:t>
            </w:r>
            <w:r w:rsidRPr="00D41E3D">
              <w:rPr>
                <w:rFonts w:cs="Arial"/>
                <w:color w:val="000000"/>
                <w:szCs w:val="18"/>
                <w:lang w:eastAsia="it-IT"/>
              </w:rPr>
              <w:t>- reactor diameter, m</w:t>
            </w:r>
          </w:p>
        </w:tc>
      </w:tr>
      <w:tr w:rsidR="009B47D4" w:rsidRPr="00D41E3D" w14:paraId="3E2B2AC5" w14:textId="77777777" w:rsidTr="009B47D4">
        <w:trPr>
          <w:trHeight w:val="300"/>
        </w:trPr>
        <w:tc>
          <w:tcPr>
            <w:tcW w:w="4025" w:type="dxa"/>
            <w:tcBorders>
              <w:top w:val="nil"/>
              <w:left w:val="nil"/>
              <w:bottom w:val="nil"/>
              <w:right w:val="nil"/>
            </w:tcBorders>
            <w:shd w:val="clear" w:color="auto" w:fill="auto"/>
            <w:noWrap/>
            <w:vAlign w:val="bottom"/>
          </w:tcPr>
          <w:p w14:paraId="4E2D6291" w14:textId="1EFACB36" w:rsidR="00D41E3D" w:rsidRPr="00D41E3D" w:rsidRDefault="00D41E3D"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K</w:t>
            </w:r>
            <w:r w:rsidRPr="00D41E3D">
              <w:rPr>
                <w:rFonts w:cs="Arial"/>
                <w:color w:val="000000"/>
                <w:szCs w:val="18"/>
                <w:vertAlign w:val="subscript"/>
                <w:lang w:eastAsia="it-IT"/>
              </w:rPr>
              <w:t>i</w:t>
            </w:r>
            <w:r w:rsidRPr="00D41E3D">
              <w:rPr>
                <w:rFonts w:cs="Arial"/>
                <w:color w:val="000000"/>
                <w:szCs w:val="18"/>
                <w:lang w:eastAsia="it-IT"/>
              </w:rPr>
              <w:t xml:space="preserve"> – regression analysis constant, -</w:t>
            </w:r>
          </w:p>
        </w:tc>
      </w:tr>
      <w:tr w:rsidR="009B47D4" w:rsidRPr="00D41E3D" w14:paraId="01ACD228" w14:textId="77777777" w:rsidTr="009B47D4">
        <w:trPr>
          <w:trHeight w:val="288"/>
        </w:trPr>
        <w:tc>
          <w:tcPr>
            <w:tcW w:w="4025" w:type="dxa"/>
            <w:tcBorders>
              <w:top w:val="nil"/>
              <w:left w:val="nil"/>
              <w:bottom w:val="nil"/>
              <w:right w:val="nil"/>
            </w:tcBorders>
            <w:shd w:val="clear" w:color="auto" w:fill="auto"/>
            <w:noWrap/>
            <w:vAlign w:val="bottom"/>
            <w:hideMark/>
          </w:tcPr>
          <w:p w14:paraId="2617FF60" w14:textId="6B2CC6A9"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L - reactor length</w:t>
            </w:r>
            <w:r w:rsidR="00774281" w:rsidRPr="00D41E3D">
              <w:rPr>
                <w:rFonts w:cs="Arial"/>
                <w:color w:val="000000"/>
                <w:szCs w:val="18"/>
                <w:lang w:eastAsia="it-IT"/>
              </w:rPr>
              <w:t>, m</w:t>
            </w:r>
          </w:p>
        </w:tc>
      </w:tr>
      <w:tr w:rsidR="009B47D4" w:rsidRPr="00D41E3D" w14:paraId="29708192" w14:textId="77777777" w:rsidTr="009B47D4">
        <w:trPr>
          <w:trHeight w:val="288"/>
        </w:trPr>
        <w:tc>
          <w:tcPr>
            <w:tcW w:w="4025" w:type="dxa"/>
            <w:tcBorders>
              <w:top w:val="nil"/>
              <w:left w:val="nil"/>
              <w:bottom w:val="nil"/>
              <w:right w:val="nil"/>
            </w:tcBorders>
            <w:shd w:val="clear" w:color="auto" w:fill="auto"/>
            <w:noWrap/>
            <w:vAlign w:val="bottom"/>
          </w:tcPr>
          <w:p w14:paraId="30C24F7F" w14:textId="6A19CD3A" w:rsidR="00774281" w:rsidRPr="00D41E3D" w:rsidRDefault="0077428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L</w:t>
            </w:r>
            <w:r w:rsidRPr="00D41E3D">
              <w:rPr>
                <w:rFonts w:cs="Arial"/>
                <w:color w:val="000000"/>
                <w:szCs w:val="18"/>
                <w:vertAlign w:val="subscript"/>
                <w:lang w:eastAsia="it-IT"/>
              </w:rPr>
              <w:t>eq</w:t>
            </w:r>
            <w:r w:rsidRPr="00D41E3D">
              <w:rPr>
                <w:rFonts w:cs="Arial"/>
                <w:color w:val="000000"/>
                <w:szCs w:val="18"/>
                <w:lang w:eastAsia="it-IT"/>
              </w:rPr>
              <w:t xml:space="preserve"> – minimum reactor length to reach equilibrium, m</w:t>
            </w:r>
          </w:p>
        </w:tc>
      </w:tr>
      <w:tr w:rsidR="009B47D4" w:rsidRPr="00D41E3D" w14:paraId="7C53A28E" w14:textId="77777777" w:rsidTr="009B47D4">
        <w:trPr>
          <w:trHeight w:val="288"/>
        </w:trPr>
        <w:tc>
          <w:tcPr>
            <w:tcW w:w="4025" w:type="dxa"/>
            <w:tcBorders>
              <w:top w:val="nil"/>
              <w:left w:val="nil"/>
              <w:bottom w:val="nil"/>
              <w:right w:val="nil"/>
            </w:tcBorders>
            <w:shd w:val="clear" w:color="auto" w:fill="auto"/>
            <w:noWrap/>
            <w:vAlign w:val="bottom"/>
          </w:tcPr>
          <w:p w14:paraId="3F0D4D1A" w14:textId="5965D2EB" w:rsidR="00724C6C" w:rsidRPr="00D41E3D" w:rsidRDefault="00724C6C" w:rsidP="00792291">
            <w:pPr>
              <w:tabs>
                <w:tab w:val="clear" w:pos="7100"/>
              </w:tabs>
              <w:spacing w:line="240" w:lineRule="auto"/>
              <w:jc w:val="left"/>
              <w:rPr>
                <w:rFonts w:cs="Arial"/>
                <w:color w:val="000000"/>
                <w:szCs w:val="18"/>
                <w:lang w:eastAsia="it-IT"/>
              </w:rPr>
            </w:pPr>
            <w:r>
              <w:rPr>
                <w:rFonts w:cs="Arial"/>
                <w:color w:val="000000"/>
                <w:szCs w:val="18"/>
                <w:lang w:eastAsia="it-IT"/>
              </w:rPr>
              <w:t>LHV- lower heating value, MJ/Nm</w:t>
            </w:r>
            <w:r w:rsidRPr="00724C6C">
              <w:rPr>
                <w:rFonts w:cs="Arial"/>
                <w:color w:val="000000"/>
                <w:szCs w:val="18"/>
                <w:vertAlign w:val="superscript"/>
                <w:lang w:eastAsia="it-IT"/>
              </w:rPr>
              <w:t>3</w:t>
            </w:r>
          </w:p>
        </w:tc>
      </w:tr>
      <w:tr w:rsidR="009B47D4" w:rsidRPr="00D41E3D" w14:paraId="5A93C69C" w14:textId="77777777" w:rsidTr="009B47D4">
        <w:trPr>
          <w:trHeight w:val="288"/>
        </w:trPr>
        <w:tc>
          <w:tcPr>
            <w:tcW w:w="4025" w:type="dxa"/>
            <w:tcBorders>
              <w:top w:val="nil"/>
              <w:left w:val="nil"/>
              <w:bottom w:val="nil"/>
              <w:right w:val="nil"/>
            </w:tcBorders>
            <w:shd w:val="clear" w:color="auto" w:fill="auto"/>
            <w:noWrap/>
            <w:vAlign w:val="bottom"/>
            <w:hideMark/>
          </w:tcPr>
          <w:p w14:paraId="1034F47B"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Q - volumetric flow rate, m</w:t>
            </w:r>
            <w:r w:rsidRPr="00D41E3D">
              <w:rPr>
                <w:rFonts w:cs="Arial"/>
                <w:color w:val="000000"/>
                <w:szCs w:val="18"/>
                <w:vertAlign w:val="superscript"/>
                <w:lang w:eastAsia="it-IT"/>
              </w:rPr>
              <w:t>3</w:t>
            </w:r>
            <w:r w:rsidRPr="00D41E3D">
              <w:rPr>
                <w:rFonts w:cs="Arial"/>
                <w:color w:val="000000"/>
                <w:szCs w:val="18"/>
                <w:lang w:eastAsia="it-IT"/>
              </w:rPr>
              <w:t>/s</w:t>
            </w:r>
          </w:p>
        </w:tc>
      </w:tr>
      <w:tr w:rsidR="009B47D4" w:rsidRPr="00D41E3D" w14:paraId="4864E369" w14:textId="77777777" w:rsidTr="009B47D4">
        <w:trPr>
          <w:trHeight w:val="300"/>
        </w:trPr>
        <w:tc>
          <w:tcPr>
            <w:tcW w:w="4025" w:type="dxa"/>
            <w:tcBorders>
              <w:top w:val="nil"/>
              <w:left w:val="nil"/>
              <w:bottom w:val="nil"/>
              <w:right w:val="nil"/>
            </w:tcBorders>
            <w:shd w:val="clear" w:color="auto" w:fill="auto"/>
            <w:noWrap/>
            <w:vAlign w:val="bottom"/>
            <w:hideMark/>
          </w:tcPr>
          <w:p w14:paraId="723723CA"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Q</w:t>
            </w:r>
            <w:r w:rsidRPr="00D41E3D">
              <w:rPr>
                <w:rFonts w:cs="Arial"/>
                <w:color w:val="000000"/>
                <w:szCs w:val="18"/>
                <w:vertAlign w:val="subscript"/>
                <w:lang w:eastAsia="it-IT"/>
              </w:rPr>
              <w:t>m</w:t>
            </w:r>
            <w:r w:rsidRPr="00D41E3D">
              <w:rPr>
                <w:rFonts w:cs="Arial"/>
                <w:color w:val="000000"/>
                <w:szCs w:val="18"/>
                <w:lang w:eastAsia="it-IT"/>
              </w:rPr>
              <w:t xml:space="preserve"> - mass flow rate, kg/s</w:t>
            </w:r>
          </w:p>
        </w:tc>
      </w:tr>
      <w:tr w:rsidR="009B47D4" w:rsidRPr="00D41E3D" w14:paraId="611B8141" w14:textId="77777777" w:rsidTr="009B47D4">
        <w:trPr>
          <w:trHeight w:val="300"/>
        </w:trPr>
        <w:tc>
          <w:tcPr>
            <w:tcW w:w="4025" w:type="dxa"/>
            <w:tcBorders>
              <w:top w:val="nil"/>
              <w:left w:val="nil"/>
              <w:bottom w:val="nil"/>
              <w:right w:val="nil"/>
            </w:tcBorders>
            <w:shd w:val="clear" w:color="auto" w:fill="auto"/>
            <w:noWrap/>
            <w:vAlign w:val="bottom"/>
            <w:hideMark/>
          </w:tcPr>
          <w:p w14:paraId="617503B1"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Re</w:t>
            </w:r>
            <w:r w:rsidRPr="00D41E3D">
              <w:rPr>
                <w:rFonts w:cs="Arial"/>
                <w:color w:val="000000"/>
                <w:szCs w:val="18"/>
                <w:vertAlign w:val="subscript"/>
                <w:lang w:eastAsia="it-IT"/>
              </w:rPr>
              <w:t>p</w:t>
            </w:r>
            <w:r w:rsidRPr="00D41E3D">
              <w:rPr>
                <w:rFonts w:cs="Arial"/>
                <w:color w:val="000000"/>
                <w:szCs w:val="18"/>
                <w:lang w:eastAsia="it-IT"/>
              </w:rPr>
              <w:t xml:space="preserve"> - particle Reynolds number, -</w:t>
            </w:r>
          </w:p>
        </w:tc>
      </w:tr>
      <w:tr w:rsidR="009B47D4" w:rsidRPr="00D41E3D" w14:paraId="4A01A1E7" w14:textId="77777777" w:rsidTr="009B47D4">
        <w:trPr>
          <w:trHeight w:val="300"/>
        </w:trPr>
        <w:tc>
          <w:tcPr>
            <w:tcW w:w="4025" w:type="dxa"/>
            <w:tcBorders>
              <w:top w:val="nil"/>
              <w:left w:val="nil"/>
              <w:bottom w:val="nil"/>
              <w:right w:val="nil"/>
            </w:tcBorders>
            <w:shd w:val="clear" w:color="auto" w:fill="auto"/>
            <w:noWrap/>
            <w:vAlign w:val="bottom"/>
            <w:hideMark/>
          </w:tcPr>
          <w:p w14:paraId="50B4FAAD"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U</w:t>
            </w:r>
            <w:r w:rsidRPr="00D41E3D">
              <w:rPr>
                <w:rFonts w:cs="Arial"/>
                <w:color w:val="000000"/>
                <w:szCs w:val="18"/>
                <w:vertAlign w:val="subscript"/>
                <w:lang w:eastAsia="it-IT"/>
              </w:rPr>
              <w:t>0</w:t>
            </w:r>
            <w:r w:rsidRPr="00D41E3D">
              <w:rPr>
                <w:rFonts w:cs="Arial"/>
                <w:color w:val="000000"/>
                <w:szCs w:val="18"/>
                <w:lang w:eastAsia="it-IT"/>
              </w:rPr>
              <w:t xml:space="preserve"> - superficial velocity, m/s</w:t>
            </w:r>
          </w:p>
        </w:tc>
      </w:tr>
      <w:tr w:rsidR="009B47D4" w:rsidRPr="00D41E3D" w14:paraId="75F43F9C" w14:textId="77777777" w:rsidTr="009B47D4">
        <w:trPr>
          <w:trHeight w:val="288"/>
        </w:trPr>
        <w:tc>
          <w:tcPr>
            <w:tcW w:w="4025" w:type="dxa"/>
            <w:tcBorders>
              <w:top w:val="nil"/>
              <w:left w:val="nil"/>
              <w:bottom w:val="nil"/>
              <w:right w:val="nil"/>
            </w:tcBorders>
            <w:shd w:val="clear" w:color="auto" w:fill="auto"/>
            <w:noWrap/>
            <w:vAlign w:val="bottom"/>
            <w:hideMark/>
          </w:tcPr>
          <w:p w14:paraId="3BACF9B4"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V - reactor volume, m</w:t>
            </w:r>
            <w:r w:rsidRPr="00D41E3D">
              <w:rPr>
                <w:rFonts w:cs="Arial"/>
                <w:color w:val="000000"/>
                <w:szCs w:val="18"/>
                <w:vertAlign w:val="superscript"/>
                <w:lang w:eastAsia="it-IT"/>
              </w:rPr>
              <w:t>3</w:t>
            </w:r>
          </w:p>
        </w:tc>
      </w:tr>
      <w:tr w:rsidR="009B47D4" w:rsidRPr="00D41E3D" w14:paraId="518B1E34" w14:textId="77777777" w:rsidTr="009B47D4">
        <w:trPr>
          <w:trHeight w:val="288"/>
        </w:trPr>
        <w:tc>
          <w:tcPr>
            <w:tcW w:w="4025" w:type="dxa"/>
            <w:tcBorders>
              <w:top w:val="nil"/>
              <w:left w:val="nil"/>
              <w:bottom w:val="nil"/>
              <w:right w:val="nil"/>
            </w:tcBorders>
            <w:shd w:val="clear" w:color="auto" w:fill="auto"/>
            <w:noWrap/>
            <w:vAlign w:val="bottom"/>
          </w:tcPr>
          <w:p w14:paraId="26ACE2F2" w14:textId="465EFC1F" w:rsidR="00E5426A" w:rsidRPr="00E5426A" w:rsidRDefault="00E5426A" w:rsidP="00792291">
            <w:pPr>
              <w:tabs>
                <w:tab w:val="clear" w:pos="7100"/>
              </w:tabs>
              <w:spacing w:line="240" w:lineRule="auto"/>
              <w:jc w:val="left"/>
              <w:rPr>
                <w:rFonts w:cs="Arial"/>
                <w:color w:val="000000"/>
                <w:szCs w:val="18"/>
                <w:lang w:eastAsia="it-IT"/>
              </w:rPr>
            </w:pPr>
            <w:r>
              <w:rPr>
                <w:rFonts w:cs="Arial"/>
                <w:color w:val="000000"/>
                <w:szCs w:val="18"/>
                <w:lang w:eastAsia="it-IT"/>
              </w:rPr>
              <w:t>y</w:t>
            </w:r>
            <w:r w:rsidRPr="00E5426A">
              <w:rPr>
                <w:rFonts w:cs="Arial"/>
                <w:color w:val="000000"/>
                <w:szCs w:val="18"/>
                <w:vertAlign w:val="subscript"/>
                <w:lang w:eastAsia="it-IT"/>
              </w:rPr>
              <w:t>P</w:t>
            </w:r>
            <w:r>
              <w:rPr>
                <w:rFonts w:cs="Arial"/>
                <w:color w:val="000000"/>
                <w:szCs w:val="18"/>
                <w:lang w:eastAsia="it-IT"/>
              </w:rPr>
              <w:t xml:space="preserve"> – product mole fraction, -</w:t>
            </w:r>
          </w:p>
        </w:tc>
      </w:tr>
      <w:tr w:rsidR="009B47D4" w:rsidRPr="00D41E3D" w14:paraId="4D5840D9" w14:textId="77777777" w:rsidTr="009B47D4">
        <w:trPr>
          <w:trHeight w:val="288"/>
        </w:trPr>
        <w:tc>
          <w:tcPr>
            <w:tcW w:w="4025" w:type="dxa"/>
            <w:tcBorders>
              <w:top w:val="nil"/>
              <w:left w:val="nil"/>
              <w:bottom w:val="nil"/>
              <w:right w:val="nil"/>
            </w:tcBorders>
            <w:shd w:val="clear" w:color="auto" w:fill="auto"/>
            <w:noWrap/>
            <w:vAlign w:val="bottom"/>
            <w:hideMark/>
          </w:tcPr>
          <w:p w14:paraId="36393FFB"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ΔP/L - pressure drop, bar/m</w:t>
            </w:r>
          </w:p>
        </w:tc>
      </w:tr>
      <w:tr w:rsidR="009B47D4" w:rsidRPr="00D41E3D" w14:paraId="56B8AE52" w14:textId="77777777" w:rsidTr="009B47D4">
        <w:trPr>
          <w:trHeight w:val="288"/>
        </w:trPr>
        <w:tc>
          <w:tcPr>
            <w:tcW w:w="4025" w:type="dxa"/>
            <w:tcBorders>
              <w:top w:val="nil"/>
              <w:left w:val="nil"/>
              <w:bottom w:val="nil"/>
              <w:right w:val="nil"/>
            </w:tcBorders>
            <w:shd w:val="clear" w:color="auto" w:fill="auto"/>
            <w:noWrap/>
            <w:vAlign w:val="bottom"/>
            <w:hideMark/>
          </w:tcPr>
          <w:p w14:paraId="4DBC954E"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ε - bed void fraction, -</w:t>
            </w:r>
          </w:p>
        </w:tc>
      </w:tr>
      <w:tr w:rsidR="009B47D4" w:rsidRPr="00D41E3D" w14:paraId="72538B9C" w14:textId="77777777" w:rsidTr="009B47D4">
        <w:trPr>
          <w:trHeight w:val="288"/>
        </w:trPr>
        <w:tc>
          <w:tcPr>
            <w:tcW w:w="4025" w:type="dxa"/>
            <w:tcBorders>
              <w:top w:val="nil"/>
              <w:left w:val="nil"/>
              <w:bottom w:val="nil"/>
              <w:right w:val="nil"/>
            </w:tcBorders>
            <w:shd w:val="clear" w:color="auto" w:fill="auto"/>
            <w:noWrap/>
            <w:vAlign w:val="bottom"/>
            <w:hideMark/>
          </w:tcPr>
          <w:p w14:paraId="06046997"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 xml:space="preserve">μ - gas mixture viscosity, Pa s </w:t>
            </w:r>
          </w:p>
        </w:tc>
      </w:tr>
      <w:tr w:rsidR="009B47D4" w:rsidRPr="00D41E3D" w14:paraId="047A7F16" w14:textId="77777777" w:rsidTr="009B47D4">
        <w:trPr>
          <w:trHeight w:val="324"/>
        </w:trPr>
        <w:tc>
          <w:tcPr>
            <w:tcW w:w="4025" w:type="dxa"/>
            <w:tcBorders>
              <w:top w:val="nil"/>
              <w:left w:val="nil"/>
              <w:bottom w:val="nil"/>
              <w:right w:val="nil"/>
            </w:tcBorders>
            <w:shd w:val="clear" w:color="auto" w:fill="auto"/>
            <w:noWrap/>
            <w:vAlign w:val="bottom"/>
            <w:hideMark/>
          </w:tcPr>
          <w:p w14:paraId="0A1FE400"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ρ - gas mixture density, kg/m</w:t>
            </w:r>
            <w:r w:rsidRPr="00D41E3D">
              <w:rPr>
                <w:rFonts w:cs="Arial"/>
                <w:color w:val="000000"/>
                <w:szCs w:val="18"/>
                <w:vertAlign w:val="superscript"/>
                <w:lang w:eastAsia="it-IT"/>
              </w:rPr>
              <w:t>3</w:t>
            </w:r>
          </w:p>
        </w:tc>
      </w:tr>
      <w:tr w:rsidR="009B47D4" w:rsidRPr="00D41E3D" w14:paraId="1713B52E" w14:textId="77777777" w:rsidTr="009B47D4">
        <w:trPr>
          <w:trHeight w:val="324"/>
        </w:trPr>
        <w:tc>
          <w:tcPr>
            <w:tcW w:w="4025" w:type="dxa"/>
            <w:tcBorders>
              <w:top w:val="nil"/>
              <w:left w:val="nil"/>
              <w:bottom w:val="nil"/>
              <w:right w:val="nil"/>
            </w:tcBorders>
            <w:shd w:val="clear" w:color="auto" w:fill="auto"/>
            <w:noWrap/>
            <w:vAlign w:val="bottom"/>
          </w:tcPr>
          <w:p w14:paraId="7906DB30" w14:textId="516BA9DA" w:rsidR="00D41E3D" w:rsidRPr="00D41E3D" w:rsidRDefault="00D41E3D"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τ – reactor space time, s</w:t>
            </w:r>
          </w:p>
        </w:tc>
      </w:tr>
      <w:tr w:rsidR="009B47D4" w:rsidRPr="00D41E3D" w14:paraId="0745A9EA" w14:textId="77777777" w:rsidTr="009B47D4">
        <w:trPr>
          <w:trHeight w:val="288"/>
        </w:trPr>
        <w:tc>
          <w:tcPr>
            <w:tcW w:w="4025" w:type="dxa"/>
            <w:tcBorders>
              <w:top w:val="nil"/>
              <w:left w:val="nil"/>
              <w:bottom w:val="nil"/>
              <w:right w:val="nil"/>
            </w:tcBorders>
            <w:shd w:val="clear" w:color="auto" w:fill="auto"/>
            <w:noWrap/>
            <w:vAlign w:val="bottom"/>
            <w:hideMark/>
          </w:tcPr>
          <w:p w14:paraId="6A6A3379" w14:textId="77777777" w:rsidR="00792291" w:rsidRPr="00D41E3D" w:rsidRDefault="00792291" w:rsidP="00792291">
            <w:pPr>
              <w:tabs>
                <w:tab w:val="clear" w:pos="7100"/>
              </w:tabs>
              <w:spacing w:line="240" w:lineRule="auto"/>
              <w:jc w:val="left"/>
              <w:rPr>
                <w:rFonts w:cs="Arial"/>
                <w:color w:val="000000"/>
                <w:szCs w:val="18"/>
                <w:lang w:eastAsia="it-IT"/>
              </w:rPr>
            </w:pPr>
            <w:r w:rsidRPr="00D41E3D">
              <w:rPr>
                <w:rFonts w:cs="Arial"/>
                <w:color w:val="000000"/>
                <w:szCs w:val="18"/>
                <w:lang w:eastAsia="it-IT"/>
              </w:rPr>
              <w:t>φ - sphericity factor, -</w:t>
            </w:r>
          </w:p>
        </w:tc>
      </w:tr>
    </w:tbl>
    <w:p w14:paraId="38BFE636" w14:textId="38539BAF" w:rsidR="00280FAF" w:rsidRPr="00D41E3D" w:rsidRDefault="00280FAF" w:rsidP="00280FAF">
      <w:pPr>
        <w:pStyle w:val="CETBodytext"/>
        <w:jc w:val="left"/>
        <w:rPr>
          <w:rFonts w:eastAsia="SimSun"/>
          <w:lang w:val="en-GB"/>
        </w:rPr>
        <w:sectPr w:rsidR="00280FAF" w:rsidRPr="00D41E3D" w:rsidSect="0000718A">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D41E3D" w:rsidRDefault="00600535" w:rsidP="00600535">
      <w:pPr>
        <w:pStyle w:val="CETAcknowledgementstitle"/>
      </w:pPr>
      <w:r w:rsidRPr="00D41E3D">
        <w:t>Acknowledgments</w:t>
      </w:r>
    </w:p>
    <w:p w14:paraId="2C1C03ED" w14:textId="61AF847E" w:rsidR="001D143B" w:rsidRPr="00D41E3D" w:rsidRDefault="00AC4527" w:rsidP="00A01B76">
      <w:pPr>
        <w:pStyle w:val="CETBodytext"/>
        <w:rPr>
          <w:b/>
          <w:lang w:val="en-GB"/>
        </w:rPr>
      </w:pPr>
      <w:r w:rsidRPr="00D41E3D">
        <w:rPr>
          <w:lang w:val="en-GB"/>
        </w:rPr>
        <w:t xml:space="preserve">Project funded by the European Union – NextGenerationEU under the National Recovery and Resilience Plan (NRRP), Mission 4 “Education and Research” - Component 2 “From research to business” - Investment 3.1 “Fund for the realization of an integrated system of research and innovation infrastructures” - Call n. 3264 of 28/12/2021 of Italian Ministry of University and Research | Award Decree n. 128 (21/06/2022) - Project code: IR0000027 - CUP: B33C22000710006 - Project title: iENTRANCE@ENL: Infrastructure for Energy TRAnsition aNd Circular Economy @ EuroNanoLab </w:t>
      </w:r>
    </w:p>
    <w:p w14:paraId="03507984" w14:textId="330FC180" w:rsidR="00600535" w:rsidRPr="00D41E3D" w:rsidRDefault="00600535" w:rsidP="009B47D4">
      <w:pPr>
        <w:pStyle w:val="CETReference"/>
      </w:pPr>
      <w:r w:rsidRPr="00D41E3D">
        <w:t>References</w:t>
      </w:r>
    </w:p>
    <w:p w14:paraId="4163EAAF" w14:textId="150C64A9" w:rsidR="006910F4" w:rsidRDefault="00A01B76" w:rsidP="004B705F">
      <w:pPr>
        <w:pStyle w:val="CETReferencetext"/>
      </w:pPr>
      <w:r w:rsidRPr="00D41E3D">
        <w:t>Aspen tech, 2010, Aspen physical property system: physical property methods, Version 7.2. Burlington: USA.</w:t>
      </w:r>
    </w:p>
    <w:p w14:paraId="5DA3AD7D" w14:textId="6CC4C68D" w:rsidR="00834B3C" w:rsidRDefault="00834B3C" w:rsidP="004B705F">
      <w:pPr>
        <w:pStyle w:val="CETReferencetext"/>
      </w:pPr>
      <w:r w:rsidRPr="008D2FE1">
        <w:t>Calise F., di Vastogirardi G., d’Accadia G.D.N., Vicidomini M., 2018, Simulation of polygeneration systems, Energy, 163, 290-337.</w:t>
      </w:r>
    </w:p>
    <w:p w14:paraId="5A01C22A" w14:textId="77777777" w:rsidR="008B001D" w:rsidRPr="008C58FD" w:rsidRDefault="008B001D" w:rsidP="008B001D">
      <w:pPr>
        <w:pStyle w:val="CETReferencetext"/>
        <w:rPr>
          <w:rFonts w:cs="Arial"/>
          <w:szCs w:val="18"/>
          <w:shd w:val="clear" w:color="auto" w:fill="FFFFFF"/>
        </w:rPr>
      </w:pPr>
      <w:r w:rsidRPr="008C58FD">
        <w:rPr>
          <w:rFonts w:cs="Arial"/>
          <w:szCs w:val="18"/>
          <w:shd w:val="clear" w:color="auto" w:fill="FFFFFF"/>
        </w:rPr>
        <w:t>Gröbl T., Walter H.,</w:t>
      </w:r>
      <w:r>
        <w:rPr>
          <w:rFonts w:cs="Arial"/>
          <w:szCs w:val="18"/>
          <w:shd w:val="clear" w:color="auto" w:fill="FFFFFF"/>
        </w:rPr>
        <w:t xml:space="preserve"> </w:t>
      </w:r>
      <w:r w:rsidRPr="008C58FD">
        <w:rPr>
          <w:rFonts w:cs="Arial"/>
          <w:szCs w:val="18"/>
          <w:shd w:val="clear" w:color="auto" w:fill="FFFFFF"/>
        </w:rPr>
        <w:t>Haider M.</w:t>
      </w:r>
      <w:r>
        <w:rPr>
          <w:rFonts w:cs="Arial"/>
          <w:szCs w:val="18"/>
          <w:shd w:val="clear" w:color="auto" w:fill="FFFFFF"/>
        </w:rPr>
        <w:t xml:space="preserve">, </w:t>
      </w:r>
      <w:r w:rsidRPr="008C58FD">
        <w:rPr>
          <w:rFonts w:cs="Arial"/>
          <w:szCs w:val="18"/>
          <w:shd w:val="clear" w:color="auto" w:fill="FFFFFF"/>
        </w:rPr>
        <w:t>2012</w:t>
      </w:r>
      <w:r>
        <w:rPr>
          <w:rFonts w:cs="Arial"/>
          <w:szCs w:val="18"/>
          <w:shd w:val="clear" w:color="auto" w:fill="FFFFFF"/>
        </w:rPr>
        <w:t>,</w:t>
      </w:r>
      <w:r w:rsidRPr="008C58FD">
        <w:rPr>
          <w:rFonts w:cs="Arial"/>
          <w:szCs w:val="18"/>
          <w:shd w:val="clear" w:color="auto" w:fill="FFFFFF"/>
        </w:rPr>
        <w:t xml:space="preserve"> Biomass steam gasification for production of SNG–Process design and sensitivity analysis</w:t>
      </w:r>
      <w:r>
        <w:rPr>
          <w:rFonts w:cs="Arial"/>
          <w:szCs w:val="18"/>
          <w:shd w:val="clear" w:color="auto" w:fill="FFFFFF"/>
        </w:rPr>
        <w:t>,</w:t>
      </w:r>
      <w:r w:rsidRPr="008C58FD">
        <w:rPr>
          <w:rFonts w:cs="Arial"/>
          <w:szCs w:val="18"/>
          <w:shd w:val="clear" w:color="auto" w:fill="FFFFFF"/>
        </w:rPr>
        <w:t> Applied Energy, 97, 451-461.</w:t>
      </w:r>
    </w:p>
    <w:p w14:paraId="0771DE91" w14:textId="77777777" w:rsidR="00A01B76" w:rsidRPr="00D41E3D" w:rsidRDefault="00A01B76" w:rsidP="00A01B76">
      <w:pPr>
        <w:pStyle w:val="CETReferencetext"/>
      </w:pPr>
      <w:r w:rsidRPr="00D41E3D">
        <w:t>Matthischke S., Roensch S., Güttel R., 2018, Start-up time and load range for the methanation of carbon dioxide in a fixed-bed recycle reactor, Industrial &amp; Engineering Chemistry Research, 57.18, 6391-6400.</w:t>
      </w:r>
    </w:p>
    <w:p w14:paraId="36740731" w14:textId="77777777" w:rsidR="00A01B76" w:rsidRDefault="00A01B76" w:rsidP="00A01B76">
      <w:pPr>
        <w:pStyle w:val="CETReferencetext"/>
      </w:pPr>
      <w:r w:rsidRPr="00D41E3D">
        <w:t>Mevawala C., Jiang Y., Bhattacharyya D., 2017, Plant-wide modeling and analysis of the shale gas to dimethyl ether (DME) process via direct and indirect synthesis routes, Applied Energy, 204, 163-180.</w:t>
      </w:r>
    </w:p>
    <w:p w14:paraId="55FEC07D" w14:textId="77777777" w:rsidR="00A91B23" w:rsidRDefault="00A91B23" w:rsidP="00A91B23">
      <w:pPr>
        <w:pStyle w:val="CETReferencetext"/>
      </w:pPr>
      <w:r w:rsidRPr="00D41E3D">
        <w:t>Parvez A. M., Mujtaba I. M., Hall P., Lester E. H., Wu, T., 2016</w:t>
      </w:r>
      <w:r>
        <w:t>a</w:t>
      </w:r>
      <w:r w:rsidRPr="00D41E3D">
        <w:t>, Synthesis of Bio</w:t>
      </w:r>
      <w:r w:rsidRPr="00D41E3D">
        <w:rPr>
          <w:rFonts w:ascii="Cambria Math" w:hAnsi="Cambria Math" w:cs="Cambria Math"/>
        </w:rPr>
        <w:t>‐</w:t>
      </w:r>
      <w:r w:rsidRPr="00D41E3D">
        <w:t>Dimethyl Ether Based on Carbon Dioxide</w:t>
      </w:r>
      <w:r w:rsidRPr="00D41E3D">
        <w:rPr>
          <w:rFonts w:ascii="Cambria Math" w:hAnsi="Cambria Math" w:cs="Cambria Math"/>
        </w:rPr>
        <w:t>‐</w:t>
      </w:r>
      <w:r w:rsidRPr="00D41E3D">
        <w:t>Enhanced Gasification of Biomass: Process Simulation Using Aspen Plus, Energy Technology, 4.4, 526-535.</w:t>
      </w:r>
    </w:p>
    <w:p w14:paraId="1C44A437" w14:textId="77777777" w:rsidR="00A01B76" w:rsidRDefault="00A01B76" w:rsidP="00A01B76">
      <w:pPr>
        <w:pStyle w:val="CETReferencetext"/>
      </w:pPr>
      <w:r w:rsidRPr="00D41E3D">
        <w:t xml:space="preserve">Rönsch S., Schneider J., Matthischke S., Schlüter M., Götz M., Lefebvre J., Prabhakaran P., Bajohr S., 2016, Review on methanation–From fundamentals to current projects, Fuel, 166, 276-296. </w:t>
      </w:r>
    </w:p>
    <w:p w14:paraId="105C9B6A" w14:textId="77777777" w:rsidR="00A01B76" w:rsidRPr="00D41E3D" w:rsidRDefault="00A01B76" w:rsidP="00A01B76">
      <w:pPr>
        <w:pStyle w:val="CETReferencetext"/>
      </w:pPr>
      <w:r w:rsidRPr="00D41E3D">
        <w:t>Wang T., Li Y., Ma L., Wu C., 2011, Biomass to dimethyl ether by gasification/synthesis technology—an alternative biofuel production route, Frontiers in Energy, 5, 330-339.</w:t>
      </w:r>
    </w:p>
    <w:p w14:paraId="2D87FFEE" w14:textId="55721B4F" w:rsidR="009B47D4" w:rsidRPr="00D41E3D" w:rsidRDefault="00A01B76" w:rsidP="009B47D4">
      <w:pPr>
        <w:pStyle w:val="CETReferencetext"/>
      </w:pPr>
      <w:r w:rsidRPr="00D41E3D">
        <w:t>Woods, D.R., 2007, Rules of thumb in engineering practice. John Wiley &amp; Sons, USA.</w:t>
      </w:r>
    </w:p>
    <w:sectPr w:rsidR="009B47D4" w:rsidRPr="00D41E3D" w:rsidSect="0000718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507B" w14:textId="77777777" w:rsidR="0000718A" w:rsidRDefault="0000718A" w:rsidP="004F5E36">
      <w:r>
        <w:separator/>
      </w:r>
    </w:p>
  </w:endnote>
  <w:endnote w:type="continuationSeparator" w:id="0">
    <w:p w14:paraId="6B036FC6" w14:textId="77777777" w:rsidR="0000718A" w:rsidRDefault="0000718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dvTT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CE6F" w14:textId="77777777" w:rsidR="0000718A" w:rsidRDefault="0000718A" w:rsidP="004F5E36">
      <w:r>
        <w:separator/>
      </w:r>
    </w:p>
  </w:footnote>
  <w:footnote w:type="continuationSeparator" w:id="0">
    <w:p w14:paraId="29FA4955" w14:textId="77777777" w:rsidR="0000718A" w:rsidRDefault="0000718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95701A"/>
    <w:multiLevelType w:val="hybridMultilevel"/>
    <w:tmpl w:val="E3ACC6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A01691"/>
    <w:multiLevelType w:val="hybridMultilevel"/>
    <w:tmpl w:val="36966B3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2045858598">
    <w:abstractNumId w:val="10"/>
  </w:num>
  <w:num w:numId="24" w16cid:durableId="13855193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18A"/>
    <w:rsid w:val="000117CB"/>
    <w:rsid w:val="00017822"/>
    <w:rsid w:val="00022865"/>
    <w:rsid w:val="000277D7"/>
    <w:rsid w:val="0003148D"/>
    <w:rsid w:val="00031EAD"/>
    <w:rsid w:val="00031EEC"/>
    <w:rsid w:val="00033765"/>
    <w:rsid w:val="00040F7A"/>
    <w:rsid w:val="00047075"/>
    <w:rsid w:val="00051566"/>
    <w:rsid w:val="000523AC"/>
    <w:rsid w:val="00053250"/>
    <w:rsid w:val="00054AE8"/>
    <w:rsid w:val="000562A9"/>
    <w:rsid w:val="000600E7"/>
    <w:rsid w:val="00062A9A"/>
    <w:rsid w:val="00065058"/>
    <w:rsid w:val="0008006B"/>
    <w:rsid w:val="000838E9"/>
    <w:rsid w:val="00086C39"/>
    <w:rsid w:val="00090D66"/>
    <w:rsid w:val="0009547C"/>
    <w:rsid w:val="00095D1E"/>
    <w:rsid w:val="00096B2A"/>
    <w:rsid w:val="000A03B2"/>
    <w:rsid w:val="000A14EC"/>
    <w:rsid w:val="000B38A0"/>
    <w:rsid w:val="000C058A"/>
    <w:rsid w:val="000D0268"/>
    <w:rsid w:val="000D33EE"/>
    <w:rsid w:val="000D34BE"/>
    <w:rsid w:val="000D6C46"/>
    <w:rsid w:val="000E102F"/>
    <w:rsid w:val="000E36F1"/>
    <w:rsid w:val="000E3A73"/>
    <w:rsid w:val="000E414A"/>
    <w:rsid w:val="000E708B"/>
    <w:rsid w:val="000F093C"/>
    <w:rsid w:val="000F2643"/>
    <w:rsid w:val="000F787B"/>
    <w:rsid w:val="00100F7B"/>
    <w:rsid w:val="00101644"/>
    <w:rsid w:val="001018EC"/>
    <w:rsid w:val="00101D43"/>
    <w:rsid w:val="0010358B"/>
    <w:rsid w:val="001102E5"/>
    <w:rsid w:val="00113FAF"/>
    <w:rsid w:val="001168C9"/>
    <w:rsid w:val="001203C4"/>
    <w:rsid w:val="0012091F"/>
    <w:rsid w:val="001216DF"/>
    <w:rsid w:val="001222EB"/>
    <w:rsid w:val="00125025"/>
    <w:rsid w:val="00126BC2"/>
    <w:rsid w:val="00127BF9"/>
    <w:rsid w:val="001308B6"/>
    <w:rsid w:val="0013121F"/>
    <w:rsid w:val="00131F04"/>
    <w:rsid w:val="00131FE6"/>
    <w:rsid w:val="0013263F"/>
    <w:rsid w:val="001331DF"/>
    <w:rsid w:val="00134DE4"/>
    <w:rsid w:val="00136A03"/>
    <w:rsid w:val="0014034D"/>
    <w:rsid w:val="00144D16"/>
    <w:rsid w:val="00147980"/>
    <w:rsid w:val="00150E59"/>
    <w:rsid w:val="00151577"/>
    <w:rsid w:val="00152024"/>
    <w:rsid w:val="00152B8B"/>
    <w:rsid w:val="00152DE3"/>
    <w:rsid w:val="00156F74"/>
    <w:rsid w:val="00157E4D"/>
    <w:rsid w:val="001635E5"/>
    <w:rsid w:val="00164CF9"/>
    <w:rsid w:val="00165D2E"/>
    <w:rsid w:val="00166697"/>
    <w:rsid w:val="001667A6"/>
    <w:rsid w:val="00184AD6"/>
    <w:rsid w:val="001A4AF7"/>
    <w:rsid w:val="001B0349"/>
    <w:rsid w:val="001B085A"/>
    <w:rsid w:val="001B18CF"/>
    <w:rsid w:val="001B1E93"/>
    <w:rsid w:val="001B615C"/>
    <w:rsid w:val="001B65C1"/>
    <w:rsid w:val="001C2A3B"/>
    <w:rsid w:val="001C684B"/>
    <w:rsid w:val="001D0CFB"/>
    <w:rsid w:val="001D143B"/>
    <w:rsid w:val="001D21AF"/>
    <w:rsid w:val="001D53FC"/>
    <w:rsid w:val="001F13DF"/>
    <w:rsid w:val="001F42A5"/>
    <w:rsid w:val="001F7B9D"/>
    <w:rsid w:val="00201C93"/>
    <w:rsid w:val="002036B1"/>
    <w:rsid w:val="00203B3C"/>
    <w:rsid w:val="00206EAD"/>
    <w:rsid w:val="002138EB"/>
    <w:rsid w:val="002167C2"/>
    <w:rsid w:val="002224B4"/>
    <w:rsid w:val="002340E9"/>
    <w:rsid w:val="002447EF"/>
    <w:rsid w:val="00251550"/>
    <w:rsid w:val="00256C22"/>
    <w:rsid w:val="00256DBF"/>
    <w:rsid w:val="00257222"/>
    <w:rsid w:val="00263ACE"/>
    <w:rsid w:val="00263B05"/>
    <w:rsid w:val="00270981"/>
    <w:rsid w:val="002709F2"/>
    <w:rsid w:val="00270D65"/>
    <w:rsid w:val="0027221A"/>
    <w:rsid w:val="00275B61"/>
    <w:rsid w:val="00280FAF"/>
    <w:rsid w:val="00282656"/>
    <w:rsid w:val="0028472F"/>
    <w:rsid w:val="00290600"/>
    <w:rsid w:val="00291386"/>
    <w:rsid w:val="00296B83"/>
    <w:rsid w:val="002A1107"/>
    <w:rsid w:val="002A177D"/>
    <w:rsid w:val="002B19F1"/>
    <w:rsid w:val="002B3DC7"/>
    <w:rsid w:val="002B4015"/>
    <w:rsid w:val="002B5ABF"/>
    <w:rsid w:val="002B64D3"/>
    <w:rsid w:val="002B78CE"/>
    <w:rsid w:val="002C0930"/>
    <w:rsid w:val="002C2A4A"/>
    <w:rsid w:val="002C2FB6"/>
    <w:rsid w:val="002D25DF"/>
    <w:rsid w:val="002D29C3"/>
    <w:rsid w:val="002E2A00"/>
    <w:rsid w:val="002E5FA7"/>
    <w:rsid w:val="002F3309"/>
    <w:rsid w:val="002F4FDA"/>
    <w:rsid w:val="003008CE"/>
    <w:rsid w:val="003009B7"/>
    <w:rsid w:val="00300E56"/>
    <w:rsid w:val="0030152C"/>
    <w:rsid w:val="0030469C"/>
    <w:rsid w:val="003056AA"/>
    <w:rsid w:val="00317CF5"/>
    <w:rsid w:val="00321CA6"/>
    <w:rsid w:val="00323763"/>
    <w:rsid w:val="00323C5F"/>
    <w:rsid w:val="00334C09"/>
    <w:rsid w:val="003471BA"/>
    <w:rsid w:val="00351046"/>
    <w:rsid w:val="00353336"/>
    <w:rsid w:val="00361571"/>
    <w:rsid w:val="003624A7"/>
    <w:rsid w:val="003723D4"/>
    <w:rsid w:val="00376131"/>
    <w:rsid w:val="00380BB2"/>
    <w:rsid w:val="003810FC"/>
    <w:rsid w:val="00381905"/>
    <w:rsid w:val="00381DC9"/>
    <w:rsid w:val="00384CC8"/>
    <w:rsid w:val="003871FD"/>
    <w:rsid w:val="003A004D"/>
    <w:rsid w:val="003A1E30"/>
    <w:rsid w:val="003A2829"/>
    <w:rsid w:val="003A6FC6"/>
    <w:rsid w:val="003A7D1C"/>
    <w:rsid w:val="003B2A69"/>
    <w:rsid w:val="003B304B"/>
    <w:rsid w:val="003B3146"/>
    <w:rsid w:val="003B399F"/>
    <w:rsid w:val="003C5095"/>
    <w:rsid w:val="003C7E5B"/>
    <w:rsid w:val="003D1C41"/>
    <w:rsid w:val="003D28C4"/>
    <w:rsid w:val="003D402B"/>
    <w:rsid w:val="003D4B0A"/>
    <w:rsid w:val="003D7E22"/>
    <w:rsid w:val="003E34F1"/>
    <w:rsid w:val="003F015E"/>
    <w:rsid w:val="003F6D71"/>
    <w:rsid w:val="003F72CD"/>
    <w:rsid w:val="003F7C7E"/>
    <w:rsid w:val="00400414"/>
    <w:rsid w:val="00406AA2"/>
    <w:rsid w:val="0041446B"/>
    <w:rsid w:val="00415BE2"/>
    <w:rsid w:val="00425EDD"/>
    <w:rsid w:val="0044071E"/>
    <w:rsid w:val="004414FC"/>
    <w:rsid w:val="0044329C"/>
    <w:rsid w:val="00443A0B"/>
    <w:rsid w:val="00443B18"/>
    <w:rsid w:val="004462B4"/>
    <w:rsid w:val="00451EBC"/>
    <w:rsid w:val="00453E24"/>
    <w:rsid w:val="00457456"/>
    <w:rsid w:val="004577FE"/>
    <w:rsid w:val="00457B9C"/>
    <w:rsid w:val="004607EB"/>
    <w:rsid w:val="00461444"/>
    <w:rsid w:val="0046164A"/>
    <w:rsid w:val="00461849"/>
    <w:rsid w:val="004628D2"/>
    <w:rsid w:val="00462DCD"/>
    <w:rsid w:val="004642D9"/>
    <w:rsid w:val="004648AD"/>
    <w:rsid w:val="00464E6E"/>
    <w:rsid w:val="00465577"/>
    <w:rsid w:val="004703A9"/>
    <w:rsid w:val="004760DE"/>
    <w:rsid w:val="004761E9"/>
    <w:rsid w:val="004763D7"/>
    <w:rsid w:val="00477381"/>
    <w:rsid w:val="0049006E"/>
    <w:rsid w:val="00494192"/>
    <w:rsid w:val="004A004E"/>
    <w:rsid w:val="004A1E6B"/>
    <w:rsid w:val="004A24CF"/>
    <w:rsid w:val="004A2AB6"/>
    <w:rsid w:val="004A5151"/>
    <w:rsid w:val="004B1616"/>
    <w:rsid w:val="004B705F"/>
    <w:rsid w:val="004C179F"/>
    <w:rsid w:val="004C3D1D"/>
    <w:rsid w:val="004C3D84"/>
    <w:rsid w:val="004C7913"/>
    <w:rsid w:val="004D4460"/>
    <w:rsid w:val="004D6A69"/>
    <w:rsid w:val="004E4DD6"/>
    <w:rsid w:val="004F1859"/>
    <w:rsid w:val="004F5E36"/>
    <w:rsid w:val="0050336C"/>
    <w:rsid w:val="005051E6"/>
    <w:rsid w:val="00505B5A"/>
    <w:rsid w:val="00507B47"/>
    <w:rsid w:val="00507BEF"/>
    <w:rsid w:val="00507CC9"/>
    <w:rsid w:val="005103A9"/>
    <w:rsid w:val="005119A5"/>
    <w:rsid w:val="00516AAC"/>
    <w:rsid w:val="00516F27"/>
    <w:rsid w:val="005278B7"/>
    <w:rsid w:val="00532016"/>
    <w:rsid w:val="00532061"/>
    <w:rsid w:val="005346C8"/>
    <w:rsid w:val="00535791"/>
    <w:rsid w:val="00535C4C"/>
    <w:rsid w:val="0054008B"/>
    <w:rsid w:val="00543E7D"/>
    <w:rsid w:val="00547A68"/>
    <w:rsid w:val="005531C9"/>
    <w:rsid w:val="00554662"/>
    <w:rsid w:val="00561656"/>
    <w:rsid w:val="00566C62"/>
    <w:rsid w:val="00570C43"/>
    <w:rsid w:val="005801A4"/>
    <w:rsid w:val="00583885"/>
    <w:rsid w:val="0058522E"/>
    <w:rsid w:val="00586251"/>
    <w:rsid w:val="005B2110"/>
    <w:rsid w:val="005B61E6"/>
    <w:rsid w:val="005C536C"/>
    <w:rsid w:val="005C5A93"/>
    <w:rsid w:val="005C77E1"/>
    <w:rsid w:val="005D6515"/>
    <w:rsid w:val="005D668A"/>
    <w:rsid w:val="005D6A2F"/>
    <w:rsid w:val="005E1A82"/>
    <w:rsid w:val="005E2E39"/>
    <w:rsid w:val="005E794C"/>
    <w:rsid w:val="005E7B88"/>
    <w:rsid w:val="005F09D8"/>
    <w:rsid w:val="005F0A28"/>
    <w:rsid w:val="005F0E5E"/>
    <w:rsid w:val="005F5D5C"/>
    <w:rsid w:val="00600535"/>
    <w:rsid w:val="00610CD6"/>
    <w:rsid w:val="0061176E"/>
    <w:rsid w:val="00613B4B"/>
    <w:rsid w:val="00617D54"/>
    <w:rsid w:val="00620DEE"/>
    <w:rsid w:val="00621F92"/>
    <w:rsid w:val="0062280A"/>
    <w:rsid w:val="00625639"/>
    <w:rsid w:val="00626D6C"/>
    <w:rsid w:val="00631B33"/>
    <w:rsid w:val="0064184D"/>
    <w:rsid w:val="006422CC"/>
    <w:rsid w:val="00646E01"/>
    <w:rsid w:val="006525EF"/>
    <w:rsid w:val="00660E3E"/>
    <w:rsid w:val="00662E74"/>
    <w:rsid w:val="00663A32"/>
    <w:rsid w:val="00664901"/>
    <w:rsid w:val="00665148"/>
    <w:rsid w:val="00665243"/>
    <w:rsid w:val="00667B77"/>
    <w:rsid w:val="00680C23"/>
    <w:rsid w:val="00684D11"/>
    <w:rsid w:val="00685569"/>
    <w:rsid w:val="006910F4"/>
    <w:rsid w:val="00693766"/>
    <w:rsid w:val="0069475E"/>
    <w:rsid w:val="006A23E9"/>
    <w:rsid w:val="006A3281"/>
    <w:rsid w:val="006B1E4C"/>
    <w:rsid w:val="006B4687"/>
    <w:rsid w:val="006B4888"/>
    <w:rsid w:val="006C2E45"/>
    <w:rsid w:val="006C359C"/>
    <w:rsid w:val="006C5579"/>
    <w:rsid w:val="006D6E8B"/>
    <w:rsid w:val="006E1292"/>
    <w:rsid w:val="006E52D3"/>
    <w:rsid w:val="006E737D"/>
    <w:rsid w:val="006F145A"/>
    <w:rsid w:val="00703244"/>
    <w:rsid w:val="00712F88"/>
    <w:rsid w:val="00713973"/>
    <w:rsid w:val="007174E8"/>
    <w:rsid w:val="00720255"/>
    <w:rsid w:val="00720671"/>
    <w:rsid w:val="00720A24"/>
    <w:rsid w:val="00724C6C"/>
    <w:rsid w:val="00732386"/>
    <w:rsid w:val="00732821"/>
    <w:rsid w:val="00732D49"/>
    <w:rsid w:val="0073514D"/>
    <w:rsid w:val="00735D67"/>
    <w:rsid w:val="007447F3"/>
    <w:rsid w:val="0075499F"/>
    <w:rsid w:val="00760958"/>
    <w:rsid w:val="007640E8"/>
    <w:rsid w:val="007661C8"/>
    <w:rsid w:val="00767E15"/>
    <w:rsid w:val="007706D8"/>
    <w:rsid w:val="0077098D"/>
    <w:rsid w:val="00774281"/>
    <w:rsid w:val="00783476"/>
    <w:rsid w:val="00785C87"/>
    <w:rsid w:val="00791B6F"/>
    <w:rsid w:val="00792291"/>
    <w:rsid w:val="007931FA"/>
    <w:rsid w:val="00797C5E"/>
    <w:rsid w:val="00797E7D"/>
    <w:rsid w:val="007A4861"/>
    <w:rsid w:val="007A57A6"/>
    <w:rsid w:val="007A7BBA"/>
    <w:rsid w:val="007B049B"/>
    <w:rsid w:val="007B0C50"/>
    <w:rsid w:val="007B48F9"/>
    <w:rsid w:val="007C1A43"/>
    <w:rsid w:val="007C3396"/>
    <w:rsid w:val="007C3662"/>
    <w:rsid w:val="007C3BD2"/>
    <w:rsid w:val="007D0951"/>
    <w:rsid w:val="007D1D93"/>
    <w:rsid w:val="007D2836"/>
    <w:rsid w:val="007D2EF0"/>
    <w:rsid w:val="007D775F"/>
    <w:rsid w:val="007E4170"/>
    <w:rsid w:val="007F4FB5"/>
    <w:rsid w:val="0080013E"/>
    <w:rsid w:val="0080450A"/>
    <w:rsid w:val="008049B0"/>
    <w:rsid w:val="00813288"/>
    <w:rsid w:val="008140C6"/>
    <w:rsid w:val="00814F37"/>
    <w:rsid w:val="008168FC"/>
    <w:rsid w:val="008179AD"/>
    <w:rsid w:val="00825D1D"/>
    <w:rsid w:val="00826BB3"/>
    <w:rsid w:val="00830996"/>
    <w:rsid w:val="00833481"/>
    <w:rsid w:val="008338BB"/>
    <w:rsid w:val="00833B9D"/>
    <w:rsid w:val="0083450C"/>
    <w:rsid w:val="008345F1"/>
    <w:rsid w:val="00834B3C"/>
    <w:rsid w:val="00835F6F"/>
    <w:rsid w:val="0083696A"/>
    <w:rsid w:val="00843EAC"/>
    <w:rsid w:val="00851DBA"/>
    <w:rsid w:val="0085638B"/>
    <w:rsid w:val="00860B54"/>
    <w:rsid w:val="00862829"/>
    <w:rsid w:val="00865B07"/>
    <w:rsid w:val="00866689"/>
    <w:rsid w:val="008667EA"/>
    <w:rsid w:val="00870ED2"/>
    <w:rsid w:val="00872DBB"/>
    <w:rsid w:val="00873B02"/>
    <w:rsid w:val="00875AAF"/>
    <w:rsid w:val="00875F3F"/>
    <w:rsid w:val="0087637F"/>
    <w:rsid w:val="00887AC3"/>
    <w:rsid w:val="00892AD5"/>
    <w:rsid w:val="008A1512"/>
    <w:rsid w:val="008B001D"/>
    <w:rsid w:val="008B7C03"/>
    <w:rsid w:val="008C22EC"/>
    <w:rsid w:val="008C4697"/>
    <w:rsid w:val="008C6D70"/>
    <w:rsid w:val="008D0057"/>
    <w:rsid w:val="008D2FE1"/>
    <w:rsid w:val="008D32B9"/>
    <w:rsid w:val="008D433B"/>
    <w:rsid w:val="008D4A16"/>
    <w:rsid w:val="008D611C"/>
    <w:rsid w:val="008E339D"/>
    <w:rsid w:val="008E566E"/>
    <w:rsid w:val="008F2F42"/>
    <w:rsid w:val="0090161A"/>
    <w:rsid w:val="00901D9A"/>
    <w:rsid w:val="00901EB6"/>
    <w:rsid w:val="00902799"/>
    <w:rsid w:val="00902EDA"/>
    <w:rsid w:val="00904C62"/>
    <w:rsid w:val="00921168"/>
    <w:rsid w:val="0092158A"/>
    <w:rsid w:val="00922BA8"/>
    <w:rsid w:val="00924DAC"/>
    <w:rsid w:val="00927058"/>
    <w:rsid w:val="00930817"/>
    <w:rsid w:val="009310E0"/>
    <w:rsid w:val="00934D09"/>
    <w:rsid w:val="009374FB"/>
    <w:rsid w:val="00942750"/>
    <w:rsid w:val="0094407F"/>
    <w:rsid w:val="009450CE"/>
    <w:rsid w:val="009459BB"/>
    <w:rsid w:val="0094689E"/>
    <w:rsid w:val="00947179"/>
    <w:rsid w:val="0095164B"/>
    <w:rsid w:val="00951BD0"/>
    <w:rsid w:val="00954090"/>
    <w:rsid w:val="009568AC"/>
    <w:rsid w:val="009573E7"/>
    <w:rsid w:val="0096178A"/>
    <w:rsid w:val="00962360"/>
    <w:rsid w:val="00963E05"/>
    <w:rsid w:val="00964A45"/>
    <w:rsid w:val="00966F6F"/>
    <w:rsid w:val="00967843"/>
    <w:rsid w:val="00967D54"/>
    <w:rsid w:val="00971028"/>
    <w:rsid w:val="00973DB8"/>
    <w:rsid w:val="00993B84"/>
    <w:rsid w:val="00994700"/>
    <w:rsid w:val="00996483"/>
    <w:rsid w:val="00996F5A"/>
    <w:rsid w:val="009A02AB"/>
    <w:rsid w:val="009B041A"/>
    <w:rsid w:val="009B47D4"/>
    <w:rsid w:val="009C039B"/>
    <w:rsid w:val="009C37C3"/>
    <w:rsid w:val="009C3EC1"/>
    <w:rsid w:val="009C7C86"/>
    <w:rsid w:val="009D2FF7"/>
    <w:rsid w:val="009E2FDC"/>
    <w:rsid w:val="009E4A9B"/>
    <w:rsid w:val="009E7884"/>
    <w:rsid w:val="009E788A"/>
    <w:rsid w:val="009F0E08"/>
    <w:rsid w:val="009F7B35"/>
    <w:rsid w:val="00A01B76"/>
    <w:rsid w:val="00A1763D"/>
    <w:rsid w:val="00A1782D"/>
    <w:rsid w:val="00A17CEC"/>
    <w:rsid w:val="00A24FAF"/>
    <w:rsid w:val="00A27EF0"/>
    <w:rsid w:val="00A30EF7"/>
    <w:rsid w:val="00A3147A"/>
    <w:rsid w:val="00A42361"/>
    <w:rsid w:val="00A50B20"/>
    <w:rsid w:val="00A51390"/>
    <w:rsid w:val="00A54D37"/>
    <w:rsid w:val="00A60004"/>
    <w:rsid w:val="00A60471"/>
    <w:rsid w:val="00A60ACC"/>
    <w:rsid w:val="00A60D13"/>
    <w:rsid w:val="00A60E8B"/>
    <w:rsid w:val="00A7223D"/>
    <w:rsid w:val="00A722BA"/>
    <w:rsid w:val="00A72745"/>
    <w:rsid w:val="00A75CC4"/>
    <w:rsid w:val="00A76EFC"/>
    <w:rsid w:val="00A80C7C"/>
    <w:rsid w:val="00A80CB9"/>
    <w:rsid w:val="00A811D3"/>
    <w:rsid w:val="00A83743"/>
    <w:rsid w:val="00A84050"/>
    <w:rsid w:val="00A87D50"/>
    <w:rsid w:val="00A91010"/>
    <w:rsid w:val="00A91B23"/>
    <w:rsid w:val="00A96944"/>
    <w:rsid w:val="00A97F29"/>
    <w:rsid w:val="00AA4AE9"/>
    <w:rsid w:val="00AA6B50"/>
    <w:rsid w:val="00AA702E"/>
    <w:rsid w:val="00AA7D26"/>
    <w:rsid w:val="00AB0964"/>
    <w:rsid w:val="00AB2AC8"/>
    <w:rsid w:val="00AB364C"/>
    <w:rsid w:val="00AB5011"/>
    <w:rsid w:val="00AB5631"/>
    <w:rsid w:val="00AB61CE"/>
    <w:rsid w:val="00AB67EC"/>
    <w:rsid w:val="00AC420C"/>
    <w:rsid w:val="00AC4527"/>
    <w:rsid w:val="00AC53B8"/>
    <w:rsid w:val="00AC7368"/>
    <w:rsid w:val="00AD16B9"/>
    <w:rsid w:val="00AD5A25"/>
    <w:rsid w:val="00AE04A1"/>
    <w:rsid w:val="00AE10A7"/>
    <w:rsid w:val="00AE1252"/>
    <w:rsid w:val="00AE26EA"/>
    <w:rsid w:val="00AE377D"/>
    <w:rsid w:val="00AE3802"/>
    <w:rsid w:val="00AF0EBA"/>
    <w:rsid w:val="00AF3D38"/>
    <w:rsid w:val="00AF79FC"/>
    <w:rsid w:val="00B02C8A"/>
    <w:rsid w:val="00B073F9"/>
    <w:rsid w:val="00B10037"/>
    <w:rsid w:val="00B14EA8"/>
    <w:rsid w:val="00B15EBF"/>
    <w:rsid w:val="00B17FBD"/>
    <w:rsid w:val="00B24858"/>
    <w:rsid w:val="00B315A6"/>
    <w:rsid w:val="00B31813"/>
    <w:rsid w:val="00B33365"/>
    <w:rsid w:val="00B3569D"/>
    <w:rsid w:val="00B373EB"/>
    <w:rsid w:val="00B47AEA"/>
    <w:rsid w:val="00B54733"/>
    <w:rsid w:val="00B55616"/>
    <w:rsid w:val="00B55CA8"/>
    <w:rsid w:val="00B57B36"/>
    <w:rsid w:val="00B57E6F"/>
    <w:rsid w:val="00B628B5"/>
    <w:rsid w:val="00B66E01"/>
    <w:rsid w:val="00B67488"/>
    <w:rsid w:val="00B7118A"/>
    <w:rsid w:val="00B81A77"/>
    <w:rsid w:val="00B8544C"/>
    <w:rsid w:val="00B8654B"/>
    <w:rsid w:val="00B8686D"/>
    <w:rsid w:val="00B92A49"/>
    <w:rsid w:val="00B93F69"/>
    <w:rsid w:val="00B95FA0"/>
    <w:rsid w:val="00B960B4"/>
    <w:rsid w:val="00BA3925"/>
    <w:rsid w:val="00BB0748"/>
    <w:rsid w:val="00BB1DDC"/>
    <w:rsid w:val="00BB290A"/>
    <w:rsid w:val="00BC011D"/>
    <w:rsid w:val="00BC214A"/>
    <w:rsid w:val="00BC30C9"/>
    <w:rsid w:val="00BD077D"/>
    <w:rsid w:val="00BE208B"/>
    <w:rsid w:val="00BE3E58"/>
    <w:rsid w:val="00BF1BA0"/>
    <w:rsid w:val="00C00B8C"/>
    <w:rsid w:val="00C01616"/>
    <w:rsid w:val="00C0162B"/>
    <w:rsid w:val="00C068ED"/>
    <w:rsid w:val="00C22E0C"/>
    <w:rsid w:val="00C2619C"/>
    <w:rsid w:val="00C31F65"/>
    <w:rsid w:val="00C345B1"/>
    <w:rsid w:val="00C34F59"/>
    <w:rsid w:val="00C35F95"/>
    <w:rsid w:val="00C40142"/>
    <w:rsid w:val="00C42EED"/>
    <w:rsid w:val="00C45069"/>
    <w:rsid w:val="00C51410"/>
    <w:rsid w:val="00C52C3C"/>
    <w:rsid w:val="00C57182"/>
    <w:rsid w:val="00C57863"/>
    <w:rsid w:val="00C640AF"/>
    <w:rsid w:val="00C64185"/>
    <w:rsid w:val="00C655FD"/>
    <w:rsid w:val="00C741E9"/>
    <w:rsid w:val="00C74CDE"/>
    <w:rsid w:val="00C75407"/>
    <w:rsid w:val="00C802A7"/>
    <w:rsid w:val="00C870A8"/>
    <w:rsid w:val="00C90264"/>
    <w:rsid w:val="00C93DDF"/>
    <w:rsid w:val="00C94434"/>
    <w:rsid w:val="00CA0D4A"/>
    <w:rsid w:val="00CA0D75"/>
    <w:rsid w:val="00CA1390"/>
    <w:rsid w:val="00CA1C95"/>
    <w:rsid w:val="00CA5A9C"/>
    <w:rsid w:val="00CB348F"/>
    <w:rsid w:val="00CB7C27"/>
    <w:rsid w:val="00CC3163"/>
    <w:rsid w:val="00CC3BF1"/>
    <w:rsid w:val="00CC4C20"/>
    <w:rsid w:val="00CC6EE7"/>
    <w:rsid w:val="00CD1AC0"/>
    <w:rsid w:val="00CD3517"/>
    <w:rsid w:val="00CD5FE2"/>
    <w:rsid w:val="00CE55CD"/>
    <w:rsid w:val="00CE7C68"/>
    <w:rsid w:val="00D001AC"/>
    <w:rsid w:val="00D01433"/>
    <w:rsid w:val="00D0271F"/>
    <w:rsid w:val="00D02B4C"/>
    <w:rsid w:val="00D03037"/>
    <w:rsid w:val="00D03F67"/>
    <w:rsid w:val="00D040C4"/>
    <w:rsid w:val="00D05559"/>
    <w:rsid w:val="00D06003"/>
    <w:rsid w:val="00D129B6"/>
    <w:rsid w:val="00D1335A"/>
    <w:rsid w:val="00D20AD1"/>
    <w:rsid w:val="00D234E5"/>
    <w:rsid w:val="00D23BA5"/>
    <w:rsid w:val="00D26361"/>
    <w:rsid w:val="00D30DB5"/>
    <w:rsid w:val="00D316C4"/>
    <w:rsid w:val="00D33E25"/>
    <w:rsid w:val="00D34F19"/>
    <w:rsid w:val="00D41E3D"/>
    <w:rsid w:val="00D428BE"/>
    <w:rsid w:val="00D46B7E"/>
    <w:rsid w:val="00D54480"/>
    <w:rsid w:val="00D54C54"/>
    <w:rsid w:val="00D57C84"/>
    <w:rsid w:val="00D6057D"/>
    <w:rsid w:val="00D62D92"/>
    <w:rsid w:val="00D63994"/>
    <w:rsid w:val="00D64139"/>
    <w:rsid w:val="00D648EC"/>
    <w:rsid w:val="00D65ABD"/>
    <w:rsid w:val="00D65F24"/>
    <w:rsid w:val="00D71640"/>
    <w:rsid w:val="00D770FC"/>
    <w:rsid w:val="00D8120D"/>
    <w:rsid w:val="00D836C5"/>
    <w:rsid w:val="00D84576"/>
    <w:rsid w:val="00D876C8"/>
    <w:rsid w:val="00D978FB"/>
    <w:rsid w:val="00DA1399"/>
    <w:rsid w:val="00DA166C"/>
    <w:rsid w:val="00DA24C6"/>
    <w:rsid w:val="00DA366B"/>
    <w:rsid w:val="00DA4D7B"/>
    <w:rsid w:val="00DB366A"/>
    <w:rsid w:val="00DB6019"/>
    <w:rsid w:val="00DC3062"/>
    <w:rsid w:val="00DD271C"/>
    <w:rsid w:val="00DD432E"/>
    <w:rsid w:val="00DD6CB7"/>
    <w:rsid w:val="00DE0075"/>
    <w:rsid w:val="00DE264A"/>
    <w:rsid w:val="00DE2ED2"/>
    <w:rsid w:val="00DE574B"/>
    <w:rsid w:val="00DF337F"/>
    <w:rsid w:val="00DF5072"/>
    <w:rsid w:val="00DF53E4"/>
    <w:rsid w:val="00DF5D6F"/>
    <w:rsid w:val="00E02D18"/>
    <w:rsid w:val="00E041E7"/>
    <w:rsid w:val="00E06837"/>
    <w:rsid w:val="00E22CF7"/>
    <w:rsid w:val="00E22EF1"/>
    <w:rsid w:val="00E23CA1"/>
    <w:rsid w:val="00E24BDC"/>
    <w:rsid w:val="00E31C49"/>
    <w:rsid w:val="00E33DD7"/>
    <w:rsid w:val="00E409A8"/>
    <w:rsid w:val="00E4144E"/>
    <w:rsid w:val="00E45A37"/>
    <w:rsid w:val="00E50C12"/>
    <w:rsid w:val="00E5426A"/>
    <w:rsid w:val="00E5712D"/>
    <w:rsid w:val="00E651D7"/>
    <w:rsid w:val="00E65B91"/>
    <w:rsid w:val="00E7209D"/>
    <w:rsid w:val="00E72EAD"/>
    <w:rsid w:val="00E77223"/>
    <w:rsid w:val="00E8479C"/>
    <w:rsid w:val="00E8528B"/>
    <w:rsid w:val="00E85B94"/>
    <w:rsid w:val="00E94B06"/>
    <w:rsid w:val="00E978D0"/>
    <w:rsid w:val="00EA4613"/>
    <w:rsid w:val="00EA7F91"/>
    <w:rsid w:val="00EB1523"/>
    <w:rsid w:val="00EB71FF"/>
    <w:rsid w:val="00EC0E49"/>
    <w:rsid w:val="00EC101F"/>
    <w:rsid w:val="00EC1D9F"/>
    <w:rsid w:val="00EC7F04"/>
    <w:rsid w:val="00ED3872"/>
    <w:rsid w:val="00EE0131"/>
    <w:rsid w:val="00EE17B0"/>
    <w:rsid w:val="00EE3763"/>
    <w:rsid w:val="00EF06D9"/>
    <w:rsid w:val="00EF2C0B"/>
    <w:rsid w:val="00EF4BA6"/>
    <w:rsid w:val="00EF6BB4"/>
    <w:rsid w:val="00F02966"/>
    <w:rsid w:val="00F070DC"/>
    <w:rsid w:val="00F22017"/>
    <w:rsid w:val="00F3049E"/>
    <w:rsid w:val="00F30B09"/>
    <w:rsid w:val="00F30C64"/>
    <w:rsid w:val="00F32BA2"/>
    <w:rsid w:val="00F32CDB"/>
    <w:rsid w:val="00F52696"/>
    <w:rsid w:val="00F531FF"/>
    <w:rsid w:val="00F534AD"/>
    <w:rsid w:val="00F53E27"/>
    <w:rsid w:val="00F565FE"/>
    <w:rsid w:val="00F56BCD"/>
    <w:rsid w:val="00F57480"/>
    <w:rsid w:val="00F63A70"/>
    <w:rsid w:val="00F63D8C"/>
    <w:rsid w:val="00F646D8"/>
    <w:rsid w:val="00F6503A"/>
    <w:rsid w:val="00F7221D"/>
    <w:rsid w:val="00F74BD8"/>
    <w:rsid w:val="00F7534E"/>
    <w:rsid w:val="00F754D7"/>
    <w:rsid w:val="00F77C1C"/>
    <w:rsid w:val="00F82A2E"/>
    <w:rsid w:val="00F93EDF"/>
    <w:rsid w:val="00F9400C"/>
    <w:rsid w:val="00FA0CDB"/>
    <w:rsid w:val="00FA1802"/>
    <w:rsid w:val="00FA2093"/>
    <w:rsid w:val="00FA21D0"/>
    <w:rsid w:val="00FA5100"/>
    <w:rsid w:val="00FA5F5F"/>
    <w:rsid w:val="00FB6E44"/>
    <w:rsid w:val="00FB730C"/>
    <w:rsid w:val="00FB7F49"/>
    <w:rsid w:val="00FC1D2B"/>
    <w:rsid w:val="00FC2695"/>
    <w:rsid w:val="00FC3E03"/>
    <w:rsid w:val="00FC3FC1"/>
    <w:rsid w:val="00FD031B"/>
    <w:rsid w:val="00FD0794"/>
    <w:rsid w:val="00FD14BA"/>
    <w:rsid w:val="00FD3326"/>
    <w:rsid w:val="00FD5A06"/>
    <w:rsid w:val="00FE3D7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B55616"/>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951BD0"/>
    <w:rPr>
      <w:color w:val="605E5C"/>
      <w:shd w:val="clear" w:color="auto" w:fill="E1DFDD"/>
    </w:rPr>
  </w:style>
  <w:style w:type="table" w:styleId="Tabellasemplice-1">
    <w:name w:val="Plain Table 1"/>
    <w:basedOn w:val="Tabellanormale"/>
    <w:uiPriority w:val="41"/>
    <w:rsid w:val="008179AD"/>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AE04A1"/>
    <w:rPr>
      <w:color w:val="666666"/>
    </w:rPr>
  </w:style>
  <w:style w:type="paragraph" w:styleId="Nessunaspaziatura">
    <w:name w:val="No Spacing"/>
    <w:uiPriority w:val="1"/>
    <w:qFormat/>
    <w:rsid w:val="00D8120D"/>
    <w:pPr>
      <w:tabs>
        <w:tab w:val="right" w:pos="7100"/>
      </w:tabs>
      <w:spacing w:after="0" w:line="240"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3890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114066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371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2411</TotalTime>
  <Pages>6</Pages>
  <Words>2827</Words>
  <Characters>16116</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Ciccone  Biagio</cp:lastModifiedBy>
  <cp:revision>426</cp:revision>
  <cp:lastPrinted>2015-05-12T18:31:00Z</cp:lastPrinted>
  <dcterms:created xsi:type="dcterms:W3CDTF">2022-09-21T08:52:00Z</dcterms:created>
  <dcterms:modified xsi:type="dcterms:W3CDTF">2024-03-27T15:37:00Z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