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685"/>
        <w:gridCol w:w="1814"/>
      </w:tblGrid>
      <w:tr w:rsidR="008E4CA1" w14:paraId="175210D2" w14:textId="77777777" w:rsidTr="00F04A9A">
        <w:trPr>
          <w:trHeight w:val="852"/>
          <w:jc w:val="center"/>
        </w:trPr>
        <w:tc>
          <w:tcPr>
            <w:tcW w:w="6940" w:type="dxa"/>
            <w:vMerge w:val="restart"/>
            <w:tcBorders>
              <w:top w:val="nil"/>
              <w:left w:val="nil"/>
              <w:bottom w:val="nil"/>
              <w:right w:val="single" w:sz="4" w:space="0" w:color="auto"/>
            </w:tcBorders>
            <w:hideMark/>
          </w:tcPr>
          <w:p w14:paraId="75B2FEAB" w14:textId="77777777" w:rsidR="008E4CA1" w:rsidRDefault="008E4CA1" w:rsidP="00F04A9A">
            <w:pPr>
              <w:pStyle w:val="CETEquation"/>
              <w:rPr>
                <w:sz w:val="12"/>
                <w:szCs w:val="12"/>
                <w:lang w:eastAsia="it-IT"/>
              </w:rPr>
            </w:pPr>
            <w:bookmarkStart w:id="0" w:name="_Hlk156224777"/>
            <w:bookmarkEnd w:id="0"/>
            <w:r>
              <w:rPr>
                <w:rFonts w:ascii="AdvP6960" w:hAnsi="AdvP6960" w:cs="AdvP6960"/>
                <w:noProof/>
                <w:color w:val="241F20"/>
                <w:szCs w:val="18"/>
                <w:lang w:val="pt-BR" w:eastAsia="pt-BR"/>
              </w:rPr>
              <w:drawing>
                <wp:inline distT="0" distB="0" distL="0" distR="0" wp14:anchorId="6D6A2A24" wp14:editId="1CDF8F9B">
                  <wp:extent cx="641350" cy="368300"/>
                  <wp:effectExtent l="0" t="0" r="6350" b="0"/>
                  <wp:docPr id="754860059" name="Imagem 6"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350" cy="368300"/>
                          </a:xfrm>
                          <a:prstGeom prst="rect">
                            <a:avLst/>
                          </a:prstGeom>
                          <a:noFill/>
                          <a:ln>
                            <a:noFill/>
                          </a:ln>
                        </pic:spPr>
                      </pic:pic>
                    </a:graphicData>
                  </a:graphic>
                </wp:inline>
              </w:drawing>
            </w:r>
            <w:r>
              <w:rPr>
                <w:rFonts w:ascii="AdvP6960" w:hAnsi="AdvP6960" w:cs="AdvP6960"/>
                <w:color w:val="241F20"/>
                <w:szCs w:val="18"/>
                <w:lang w:eastAsia="it-IT"/>
              </w:rPr>
              <w:t xml:space="preserve"> </w:t>
            </w:r>
            <w:r>
              <w:rPr>
                <w:lang w:eastAsia="it-IT"/>
              </w:rPr>
              <w:t>CHEMICAL ENGINEERING</w:t>
            </w:r>
            <w:r>
              <w:rPr>
                <w:color w:val="0033FF"/>
                <w:lang w:eastAsia="it-IT"/>
              </w:rPr>
              <w:t xml:space="preserve"> </w:t>
            </w:r>
            <w:r>
              <w:rPr>
                <w:color w:val="666666"/>
                <w:lang w:eastAsia="it-IT"/>
              </w:rPr>
              <w:t>TRANSACTIONS</w:t>
            </w:r>
            <w:r>
              <w:rPr>
                <w:color w:val="333333"/>
                <w:lang w:eastAsia="it-IT"/>
              </w:rPr>
              <w:t xml:space="preserve"> </w:t>
            </w:r>
            <w:r>
              <w:rPr>
                <w:sz w:val="27"/>
                <w:szCs w:val="27"/>
                <w:lang w:eastAsia="it-IT"/>
              </w:rPr>
              <w:br/>
            </w:r>
          </w:p>
          <w:p w14:paraId="6EE0E1D3" w14:textId="1EDC21B3" w:rsidR="008E4CA1" w:rsidRDefault="008E4CA1" w:rsidP="00F04A9A">
            <w:pPr>
              <w:tabs>
                <w:tab w:val="left" w:pos="-108"/>
              </w:tabs>
              <w:ind w:left="-108"/>
              <w:rPr>
                <w:rFonts w:cs="Arial"/>
                <w:b/>
                <w:bCs/>
                <w:i/>
                <w:iCs/>
                <w:color w:val="000066"/>
                <w:sz w:val="22"/>
                <w:szCs w:val="22"/>
                <w:lang w:eastAsia="it-IT"/>
              </w:rPr>
            </w:pPr>
            <w:r>
              <w:rPr>
                <w:rFonts w:cs="Arial"/>
                <w:b/>
                <w:bCs/>
                <w:i/>
                <w:iCs/>
                <w:color w:val="000066"/>
                <w:sz w:val="22"/>
                <w:szCs w:val="22"/>
                <w:lang w:eastAsia="it-IT"/>
              </w:rPr>
              <w:t xml:space="preserve">VOL. </w:t>
            </w:r>
            <w:r w:rsidR="001A6C7F">
              <w:rPr>
                <w:rFonts w:cs="Arial"/>
                <w:b/>
                <w:bCs/>
                <w:i/>
                <w:iCs/>
                <w:color w:val="000066"/>
                <w:sz w:val="22"/>
                <w:szCs w:val="22"/>
                <w:lang w:eastAsia="it-IT"/>
              </w:rPr>
              <w:t>108</w:t>
            </w:r>
            <w:r>
              <w:rPr>
                <w:rFonts w:cs="Arial"/>
                <w:b/>
                <w:bCs/>
                <w:i/>
                <w:iCs/>
                <w:color w:val="000066"/>
                <w:sz w:val="22"/>
                <w:szCs w:val="22"/>
                <w:lang w:eastAsia="it-IT"/>
              </w:rPr>
              <w:t>, 2024</w:t>
            </w:r>
          </w:p>
        </w:tc>
        <w:tc>
          <w:tcPr>
            <w:tcW w:w="1842" w:type="dxa"/>
            <w:tcBorders>
              <w:top w:val="nil"/>
              <w:left w:val="single" w:sz="4" w:space="0" w:color="auto"/>
              <w:bottom w:val="nil"/>
              <w:right w:val="single" w:sz="4" w:space="0" w:color="auto"/>
            </w:tcBorders>
            <w:hideMark/>
          </w:tcPr>
          <w:p w14:paraId="444457A9" w14:textId="77777777" w:rsidR="008E4CA1" w:rsidRDefault="008E4CA1" w:rsidP="00F04A9A">
            <w:pPr>
              <w:spacing w:line="140" w:lineRule="atLeast"/>
              <w:jc w:val="right"/>
              <w:rPr>
                <w:rFonts w:cs="Arial"/>
                <w:sz w:val="14"/>
                <w:szCs w:val="14"/>
              </w:rPr>
            </w:pPr>
            <w:r>
              <w:rPr>
                <w:rFonts w:cs="Arial"/>
                <w:sz w:val="14"/>
                <w:szCs w:val="14"/>
              </w:rPr>
              <w:t>A publication of</w:t>
            </w:r>
          </w:p>
          <w:p w14:paraId="0CE3B98D" w14:textId="77777777" w:rsidR="008E4CA1" w:rsidRDefault="008E4CA1" w:rsidP="00F04A9A">
            <w:pPr>
              <w:jc w:val="right"/>
            </w:pPr>
            <w:r>
              <w:rPr>
                <w:noProof/>
                <w:lang w:val="pt-BR" w:eastAsia="pt-BR"/>
              </w:rPr>
              <w:drawing>
                <wp:inline distT="0" distB="0" distL="0" distR="0" wp14:anchorId="4794EFC5" wp14:editId="37BF36D4">
                  <wp:extent cx="668655" cy="361950"/>
                  <wp:effectExtent l="0" t="0" r="0" b="0"/>
                  <wp:docPr id="448080478" name="Imagem 5"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 cy="361950"/>
                          </a:xfrm>
                          <a:prstGeom prst="rect">
                            <a:avLst/>
                          </a:prstGeom>
                          <a:noFill/>
                          <a:ln>
                            <a:noFill/>
                          </a:ln>
                        </pic:spPr>
                      </pic:pic>
                    </a:graphicData>
                  </a:graphic>
                </wp:inline>
              </w:drawing>
            </w:r>
          </w:p>
        </w:tc>
      </w:tr>
      <w:tr w:rsidR="008E4CA1" w:rsidRPr="00995BAA" w14:paraId="1C0B37FC" w14:textId="77777777" w:rsidTr="00F04A9A">
        <w:trPr>
          <w:trHeight w:val="567"/>
          <w:jc w:val="center"/>
        </w:trPr>
        <w:tc>
          <w:tcPr>
            <w:tcW w:w="0" w:type="auto"/>
            <w:vMerge/>
            <w:tcBorders>
              <w:top w:val="nil"/>
              <w:left w:val="nil"/>
              <w:bottom w:val="nil"/>
              <w:right w:val="single" w:sz="4" w:space="0" w:color="auto"/>
            </w:tcBorders>
            <w:vAlign w:val="center"/>
            <w:hideMark/>
          </w:tcPr>
          <w:p w14:paraId="425BFD6A" w14:textId="77777777" w:rsidR="008E4CA1" w:rsidRDefault="008E4CA1" w:rsidP="00F04A9A">
            <w:pPr>
              <w:tabs>
                <w:tab w:val="clear" w:pos="7100"/>
              </w:tabs>
              <w:spacing w:line="276" w:lineRule="auto"/>
              <w:jc w:val="left"/>
              <w:rPr>
                <w:rFonts w:cs="Arial"/>
                <w:b/>
                <w:bCs/>
                <w:i/>
                <w:iCs/>
                <w:color w:val="000066"/>
                <w:sz w:val="22"/>
                <w:szCs w:val="22"/>
                <w:lang w:eastAsia="it-IT"/>
              </w:rPr>
            </w:pPr>
          </w:p>
        </w:tc>
        <w:tc>
          <w:tcPr>
            <w:tcW w:w="1842" w:type="dxa"/>
            <w:tcBorders>
              <w:top w:val="nil"/>
              <w:left w:val="single" w:sz="4" w:space="0" w:color="auto"/>
              <w:bottom w:val="nil"/>
              <w:right w:val="single" w:sz="4" w:space="0" w:color="auto"/>
            </w:tcBorders>
            <w:hideMark/>
          </w:tcPr>
          <w:p w14:paraId="5E159D07" w14:textId="77777777" w:rsidR="008E4CA1" w:rsidRDefault="008E4CA1" w:rsidP="00F04A9A">
            <w:pPr>
              <w:spacing w:line="140" w:lineRule="atLeast"/>
              <w:jc w:val="right"/>
              <w:rPr>
                <w:rFonts w:cs="Arial"/>
                <w:sz w:val="14"/>
                <w:szCs w:val="14"/>
              </w:rPr>
            </w:pPr>
            <w:r>
              <w:rPr>
                <w:rFonts w:cs="Arial"/>
                <w:sz w:val="14"/>
                <w:szCs w:val="14"/>
              </w:rPr>
              <w:t>The Italian Association</w:t>
            </w:r>
          </w:p>
          <w:p w14:paraId="7E36075B" w14:textId="77777777" w:rsidR="008E4CA1" w:rsidRDefault="008E4CA1" w:rsidP="00F04A9A">
            <w:pPr>
              <w:spacing w:line="140" w:lineRule="atLeast"/>
              <w:jc w:val="right"/>
              <w:rPr>
                <w:rFonts w:cs="Arial"/>
                <w:sz w:val="14"/>
                <w:szCs w:val="14"/>
              </w:rPr>
            </w:pPr>
            <w:r>
              <w:rPr>
                <w:rFonts w:cs="Arial"/>
                <w:sz w:val="14"/>
                <w:szCs w:val="14"/>
              </w:rPr>
              <w:t>of Chemical Engineering</w:t>
            </w:r>
          </w:p>
          <w:p w14:paraId="79C52AE3" w14:textId="77777777" w:rsidR="008E4CA1" w:rsidRDefault="008E4CA1" w:rsidP="00F04A9A">
            <w:pPr>
              <w:spacing w:line="140" w:lineRule="atLeast"/>
              <w:jc w:val="right"/>
              <w:rPr>
                <w:rFonts w:cs="Arial"/>
                <w:sz w:val="13"/>
                <w:szCs w:val="13"/>
              </w:rPr>
            </w:pPr>
            <w:r>
              <w:rPr>
                <w:rFonts w:cs="Arial"/>
                <w:sz w:val="13"/>
                <w:szCs w:val="13"/>
              </w:rPr>
              <w:t>Online at www.cetjournal.it</w:t>
            </w:r>
          </w:p>
        </w:tc>
      </w:tr>
      <w:tr w:rsidR="008E4CA1" w:rsidRPr="00995BAA" w14:paraId="5C65373D" w14:textId="77777777" w:rsidTr="00F04A9A">
        <w:trPr>
          <w:trHeight w:val="68"/>
          <w:jc w:val="center"/>
        </w:trPr>
        <w:tc>
          <w:tcPr>
            <w:tcW w:w="8782" w:type="dxa"/>
            <w:gridSpan w:val="2"/>
            <w:tcBorders>
              <w:top w:val="nil"/>
              <w:left w:val="nil"/>
              <w:bottom w:val="single" w:sz="4" w:space="0" w:color="auto"/>
              <w:right w:val="nil"/>
            </w:tcBorders>
            <w:hideMark/>
          </w:tcPr>
          <w:p w14:paraId="756F7936" w14:textId="77777777" w:rsidR="008E4CA1" w:rsidRDefault="008E4CA1" w:rsidP="00F04A9A">
            <w:pPr>
              <w:ind w:left="-107"/>
              <w:outlineLvl w:val="2"/>
              <w:rPr>
                <w:rFonts w:ascii="Tahoma" w:hAnsi="Tahoma" w:cs="Tahoma"/>
                <w:bCs/>
                <w:color w:val="000000"/>
                <w:sz w:val="14"/>
                <w:szCs w:val="14"/>
                <w:lang w:eastAsia="it-IT"/>
              </w:rPr>
            </w:pPr>
            <w:r>
              <w:rPr>
                <w:rFonts w:ascii="Tahoma" w:hAnsi="Tahoma" w:cs="Tahoma"/>
                <w:iCs/>
                <w:color w:val="333333"/>
                <w:sz w:val="14"/>
                <w:szCs w:val="14"/>
                <w:lang w:eastAsia="it-IT"/>
              </w:rPr>
              <w:t>Guest Editors:</w:t>
            </w:r>
            <w:r>
              <w:rPr>
                <w:rFonts w:ascii="Tahoma" w:hAnsi="Tahoma" w:cs="Tahoma"/>
                <w:color w:val="000000"/>
                <w:sz w:val="14"/>
                <w:szCs w:val="14"/>
                <w:shd w:val="clear" w:color="auto" w:fill="FFFFFF"/>
              </w:rPr>
              <w:t xml:space="preserve"> Leonardo </w:t>
            </w:r>
            <w:proofErr w:type="spellStart"/>
            <w:r>
              <w:rPr>
                <w:rFonts w:ascii="Tahoma" w:hAnsi="Tahoma" w:cs="Tahoma"/>
                <w:color w:val="000000"/>
                <w:sz w:val="14"/>
                <w:szCs w:val="14"/>
                <w:shd w:val="clear" w:color="auto" w:fill="FFFFFF"/>
              </w:rPr>
              <w:t>Tognotti</w:t>
            </w:r>
            <w:proofErr w:type="spellEnd"/>
            <w:r>
              <w:rPr>
                <w:rFonts w:ascii="Tahoma" w:hAnsi="Tahoma" w:cs="Tahoma"/>
                <w:color w:val="000000"/>
                <w:sz w:val="14"/>
                <w:szCs w:val="14"/>
                <w:shd w:val="clear" w:color="auto" w:fill="FFFFFF"/>
              </w:rPr>
              <w:t xml:space="preserve">, </w:t>
            </w:r>
            <w:r>
              <w:rPr>
                <w:rFonts w:ascii="Tahoma" w:hAnsi="Tahoma" w:cs="Tahoma"/>
                <w:color w:val="000000"/>
                <w:sz w:val="14"/>
                <w:szCs w:val="14"/>
              </w:rPr>
              <w:t>Rubens Maciel Filho</w:t>
            </w:r>
            <w:r>
              <w:rPr>
                <w:rFonts w:ascii="Tahoma" w:hAnsi="Tahoma" w:cs="Tahoma"/>
                <w:color w:val="000000"/>
                <w:sz w:val="14"/>
                <w:szCs w:val="14"/>
                <w:shd w:val="clear" w:color="auto" w:fill="FFFFFF"/>
              </w:rPr>
              <w:t xml:space="preserve">, </w:t>
            </w:r>
            <w:r>
              <w:rPr>
                <w:rFonts w:ascii="Tahoma" w:hAnsi="Tahoma" w:cs="Tahoma"/>
                <w:color w:val="000000"/>
                <w:sz w:val="14"/>
                <w:szCs w:val="14"/>
              </w:rPr>
              <w:t xml:space="preserve">Viatcheslav </w:t>
            </w:r>
            <w:proofErr w:type="spellStart"/>
            <w:r>
              <w:rPr>
                <w:rFonts w:ascii="Tahoma" w:hAnsi="Tahoma" w:cs="Tahoma"/>
                <w:color w:val="000000"/>
                <w:sz w:val="14"/>
                <w:szCs w:val="14"/>
              </w:rPr>
              <w:t>Kafarov</w:t>
            </w:r>
            <w:proofErr w:type="spellEnd"/>
          </w:p>
          <w:p w14:paraId="508A1570" w14:textId="77777777" w:rsidR="008E4CA1" w:rsidRDefault="008E4CA1" w:rsidP="00F04A9A">
            <w:pPr>
              <w:tabs>
                <w:tab w:val="left" w:pos="-108"/>
              </w:tabs>
              <w:spacing w:line="140" w:lineRule="atLeast"/>
              <w:ind w:left="-107"/>
              <w:jc w:val="left"/>
            </w:pPr>
            <w:r>
              <w:rPr>
                <w:rFonts w:ascii="Tahoma" w:hAnsi="Tahoma" w:cs="Tahoma"/>
                <w:iCs/>
                <w:color w:val="333333"/>
                <w:sz w:val="14"/>
                <w:szCs w:val="14"/>
                <w:lang w:eastAsia="it-IT"/>
              </w:rPr>
              <w:t xml:space="preserve">Copyright © 2024,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979-12-81206-09-0</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3204F8ED" w14:textId="7FA50C03" w:rsidR="008E4CA1" w:rsidRDefault="008E4CA1" w:rsidP="008E4CA1">
      <w:pPr>
        <w:pStyle w:val="CETTitle"/>
      </w:pPr>
      <w:r>
        <w:t xml:space="preserve">Sewage </w:t>
      </w:r>
      <w:r w:rsidR="001A6C7F">
        <w:t>S</w:t>
      </w:r>
      <w:r>
        <w:t xml:space="preserve">ludge </w:t>
      </w:r>
      <w:r w:rsidR="001A6C7F">
        <w:t>E</w:t>
      </w:r>
      <w:r>
        <w:t xml:space="preserve">nergy </w:t>
      </w:r>
      <w:r w:rsidR="001A6C7F">
        <w:t>P</w:t>
      </w:r>
      <w:r>
        <w:t xml:space="preserve">otential </w:t>
      </w:r>
      <w:r w:rsidR="008C5A4C">
        <w:t>A</w:t>
      </w:r>
      <w:r>
        <w:t xml:space="preserve">ssessment: </w:t>
      </w:r>
      <w:r w:rsidR="001A6C7F">
        <w:t>C</w:t>
      </w:r>
      <w:r>
        <w:t xml:space="preserve">haracterization </w:t>
      </w:r>
      <w:r w:rsidR="008C5A4C">
        <w:t>A</w:t>
      </w:r>
      <w:r>
        <w:t>pproach</w:t>
      </w:r>
    </w:p>
    <w:p w14:paraId="03CE66CE" w14:textId="1A6CF8C6" w:rsidR="008E4CA1" w:rsidRDefault="008E4CA1" w:rsidP="008E4CA1">
      <w:pPr>
        <w:pStyle w:val="CETAuthors"/>
        <w:rPr>
          <w:lang w:val="es-ES_tradnl"/>
        </w:rPr>
      </w:pPr>
      <w:r>
        <w:rPr>
          <w:lang w:val="es-ES_tradnl"/>
        </w:rPr>
        <w:t>Ellen Cristina Abrahão Cezarini</w:t>
      </w:r>
      <w:r>
        <w:rPr>
          <w:vertAlign w:val="superscript"/>
          <w:lang w:val="es-ES_tradnl"/>
        </w:rPr>
        <w:t>a,*</w:t>
      </w:r>
      <w:r>
        <w:rPr>
          <w:lang w:val="es-ES_tradnl"/>
        </w:rPr>
        <w:t>, Zudivan Peterli</w:t>
      </w:r>
      <w:r>
        <w:rPr>
          <w:vertAlign w:val="superscript"/>
          <w:lang w:val="es-ES_tradnl"/>
        </w:rPr>
        <w:t>a</w:t>
      </w:r>
      <w:r w:rsidR="00ED303F">
        <w:rPr>
          <w:vertAlign w:val="superscript"/>
          <w:lang w:val="es-ES_tradnl"/>
        </w:rPr>
        <w:t>, b</w:t>
      </w:r>
      <w:r>
        <w:rPr>
          <w:lang w:val="es-ES_tradnl"/>
        </w:rPr>
        <w:t>, York Castillo Santiago</w:t>
      </w:r>
      <w:r w:rsidR="008C5A4C">
        <w:rPr>
          <w:vertAlign w:val="superscript"/>
          <w:lang w:val="es-ES_tradnl"/>
        </w:rPr>
        <w:t>c</w:t>
      </w:r>
      <w:r w:rsidR="00ED303F">
        <w:rPr>
          <w:vertAlign w:val="superscript"/>
          <w:lang w:val="es-ES_tradnl"/>
        </w:rPr>
        <w:t>, d</w:t>
      </w:r>
      <w:r>
        <w:rPr>
          <w:lang w:val="es-ES_tradnl"/>
        </w:rPr>
        <w:t>, Osvaldo José Venturini</w:t>
      </w:r>
      <w:r>
        <w:rPr>
          <w:vertAlign w:val="superscript"/>
          <w:lang w:val="es-ES_tradnl"/>
        </w:rPr>
        <w:t>a</w:t>
      </w:r>
    </w:p>
    <w:p w14:paraId="204AA3FC" w14:textId="1D722A85" w:rsidR="008E4CA1" w:rsidRPr="004B179E" w:rsidRDefault="008E4CA1" w:rsidP="008E4CA1">
      <w:pPr>
        <w:pStyle w:val="CETAddress"/>
        <w:rPr>
          <w:lang w:val="pt-BR"/>
        </w:rPr>
      </w:pPr>
      <w:r>
        <w:rPr>
          <w:vertAlign w:val="superscript"/>
        </w:rPr>
        <w:t>a</w:t>
      </w:r>
      <w:r w:rsidR="00ED303F">
        <w:rPr>
          <w:vertAlign w:val="superscript"/>
        </w:rPr>
        <w:t xml:space="preserve"> </w:t>
      </w:r>
      <w:r>
        <w:t xml:space="preserve">Excellence Group in Thermal Power and Distributed Generation (NEST), Federal University of Itajubá (UNIFEI), Av. </w:t>
      </w:r>
      <w:r w:rsidRPr="004B179E">
        <w:rPr>
          <w:lang w:val="pt-BR"/>
        </w:rPr>
        <w:t>BPS 1303, Itajubá-MG, 37500-903- Brazil</w:t>
      </w:r>
    </w:p>
    <w:p w14:paraId="3708E716" w14:textId="4B97E67D" w:rsidR="00ED303F" w:rsidRPr="004B179E" w:rsidRDefault="00ED303F" w:rsidP="008E4CA1">
      <w:pPr>
        <w:pStyle w:val="CETAddress"/>
        <w:rPr>
          <w:lang w:val="pt-BR"/>
        </w:rPr>
      </w:pPr>
      <w:r w:rsidRPr="004B179E">
        <w:rPr>
          <w:vertAlign w:val="superscript"/>
          <w:lang w:val="pt-BR"/>
        </w:rPr>
        <w:t>b</w:t>
      </w:r>
      <w:r w:rsidRPr="004B179E">
        <w:rPr>
          <w:lang w:val="pt-BR"/>
        </w:rPr>
        <w:t xml:space="preserve"> Federal University of Espírito Santo (UFES), Campus Goiabeiras, Vitória-ES, 29075-910, Brazil.</w:t>
      </w:r>
    </w:p>
    <w:p w14:paraId="6A81C865" w14:textId="21A370BE" w:rsidR="008E4CA1" w:rsidRDefault="00ED303F" w:rsidP="008E4CA1">
      <w:pPr>
        <w:pStyle w:val="CETAddress"/>
      </w:pPr>
      <w:r>
        <w:rPr>
          <w:vertAlign w:val="superscript"/>
        </w:rPr>
        <w:t xml:space="preserve">c </w:t>
      </w:r>
      <w:r w:rsidR="008E4CA1">
        <w:t>Laboratory of Optimization, Design, and Advanced Control (LOPCA), School of Chemical Engineering, University of Campinas (UNICAMP), Av. Albert Einstein 500, Campinas-SP, 13083-852 – Brazil</w:t>
      </w:r>
    </w:p>
    <w:p w14:paraId="2BA93475" w14:textId="0DE69986" w:rsidR="008C5A4C" w:rsidRDefault="00ED303F" w:rsidP="008E4CA1">
      <w:pPr>
        <w:pStyle w:val="CETAddress"/>
      </w:pPr>
      <w:r>
        <w:rPr>
          <w:vertAlign w:val="superscript"/>
        </w:rPr>
        <w:t xml:space="preserve">d </w:t>
      </w:r>
      <w:r w:rsidR="008C5A4C" w:rsidRPr="008C5A4C">
        <w:t>Brazilian Biorenewables National Laboratory (LNBR), Brazilian Center for Research in Energy and Materials (CNPEM), 13083-970 Campinas, São Paulo, Brazil.</w:t>
      </w:r>
    </w:p>
    <w:p w14:paraId="0FF1C055" w14:textId="77777777" w:rsidR="008E4CA1" w:rsidRDefault="008E4CA1" w:rsidP="008E4CA1">
      <w:pPr>
        <w:pStyle w:val="CETAddress"/>
      </w:pPr>
      <w:r>
        <w:t xml:space="preserve"> ellencezarini@unifei.edu.br</w:t>
      </w:r>
    </w:p>
    <w:p w14:paraId="486C3719" w14:textId="77777777" w:rsidR="008E4CA1" w:rsidRDefault="008E4CA1" w:rsidP="008E4CA1">
      <w:pPr>
        <w:pStyle w:val="CETAddress"/>
      </w:pPr>
    </w:p>
    <w:p w14:paraId="7A8A9916" w14:textId="52D87C3F" w:rsidR="008E4CA1" w:rsidRDefault="008E4CA1" w:rsidP="008E4CA1">
      <w:pPr>
        <w:pStyle w:val="CETBodytext"/>
      </w:pPr>
      <w:r>
        <w:t>The sludge generated in sanitary sewage treatment, mainly during all stages of sewage treatment, is a waste that can be used for energy purposes. The sewage sludge can contain many toxic substances, such as pathogens, metals, and organic contaminants, which can cause severe environmental pollution. Therefore, the adequate treatment and possible energy recovery (generation of electricity and/or heat), in addition to representing a noble destination for sanitary sludge, is aligned with the concept of circular economy</w:t>
      </w:r>
      <w:r w:rsidRPr="00DD0AE7">
        <w:t xml:space="preserve">. </w:t>
      </w:r>
      <w:r w:rsidR="00694BC1">
        <w:t>To</w:t>
      </w:r>
      <w:r w:rsidRPr="00DD0AE7">
        <w:t xml:space="preserve"> assess the potential for using sewage sludge as an energy source</w:t>
      </w:r>
      <w:r>
        <w:t>, various analyses were carried out for its characterization, such as proximate and ultimate analysis, calorific value determination, granulometric analysis, and surface adhesion tension. Among the results obtained, the lower heating value (LHV) stands out, with an average value of about 17 MJ/kg, which is a close result to the LHV of conventional biomass. Furthermore, the tests and sludge characterization results show that the drying method proposed in this study is more interesting than the convective method, given that it produces a smaller particle size in the material, for example.</w:t>
      </w:r>
    </w:p>
    <w:p w14:paraId="321FED7C" w14:textId="77777777" w:rsidR="008E4CA1" w:rsidRDefault="008E4CA1" w:rsidP="008E4CA1">
      <w:pPr>
        <w:pStyle w:val="CETHeading1"/>
        <w:rPr>
          <w:lang w:val="en-GB"/>
        </w:rPr>
      </w:pPr>
      <w:r>
        <w:rPr>
          <w:lang w:val="en-GB"/>
        </w:rPr>
        <w:t>Introduction</w:t>
      </w:r>
    </w:p>
    <w:p w14:paraId="0DE677B4" w14:textId="562368EF" w:rsidR="008E4CA1" w:rsidRPr="00C92D7F" w:rsidRDefault="008E4CA1" w:rsidP="008E4CA1">
      <w:pPr>
        <w:pStyle w:val="CETBodytext"/>
        <w:rPr>
          <w:lang w:val="en-GB"/>
        </w:rPr>
      </w:pPr>
      <w:bookmarkStart w:id="1" w:name="_Hlk147242185"/>
      <w:r>
        <w:t xml:space="preserve">According to </w:t>
      </w:r>
      <w:sdt>
        <w:sdtPr>
          <w:rPr>
            <w:color w:val="000000"/>
          </w:rPr>
          <w:tag w:val="MENDELEY_CITATION_v3_eyJjaXRhdGlvbklEIjoiTUVOREVMRVlfQ0lUQVRJT05fNmFmOWZmMjYtOTExZi00NjhhLTk4M2YtMzM0YWI5YmM3ZmZiIiwicHJvcGVydGllcyI6eyJub3RlSW5kZXgiOjB9LCJpc0VkaXRlZCI6ZmFsc2UsIm1hbnVhbE92ZXJyaWRlIjp7ImlzTWFudWFsbHlPdmVycmlkZGVuIjp0cnVlLCJjaXRlcHJvY1RleHQiOiIoUGVyZWlyYSBKdW5pb3IsIDIwMjApIiwibWFudWFsT3ZlcnJpZGVUZXh0IjoiUGVyZWlyYSBKdW5pb3IgKDIwMjApIn0sImNpdGF0aW9uSXRlbXMiOlt7ImlkIjoiM2JmYmNiYzUtNmRlZS0zNDQ5LWI0YTctNmIwNjQ1ZDUwMTEzIiwiaXRlbURhdGEiOnsidHlwZSI6ImFydGljbGUtam91cm5hbCIsImlkIjoiM2JmYmNiYzUtNmRlZS0zNDQ5LWI0YTctNmIwNjQ1ZDUwMTEzIiwidGl0bGUiOiJBcHJvdmVpdGFtZW50byBlbmVyZ8OpdGljbyBkZSByZXPDrWR1b3M6IHVtIG1lcmNhZG8gcXVlIG7Do28gc2UgcG9kZSBkZXNjYXJ0YXIiLCJhdXRob3IiOlt7ImZhbWlseSI6IlBlcmVpcmEgSnVuaW9yIiwiZ2l2ZW4iOiJBbWFybyBPbMOtbXBpbyIsInBhcnNlLW5hbWVzIjpmYWxzZSwiZHJvcHBpbmctcGFydGljbGUiOiIiLCJub24tZHJvcHBpbmctcGFydGljbGUiOiIifV0sImFjY2Vzc2VkIjp7ImRhdGUtcGFydHMiOltbMjAyMywxMiw3XV19LCJVUkwiOiJodHRwczovL3JlcG9zaXRvcmlvLmlwZWEuZ292LmJyL2JpdHN0cmVhbS8xMTA1OC8xMDY5Ny8xL2JydWFfMjRfb3BpbmljYW8ucGRmIiwiaXNzdWVkIjp7ImRhdGUtcGFydHMiOltbMjAyMF1dfSwicHVibGlzaGVyIjoiSW5zdGl0dXRvIGRlIFBlc3F1aXNhIEVjb27DtG1pY2EgQXBsaWNhZGEgKElwZWEpIiwiY29udGFpbmVyLXRpdGxlLXNob3J0IjoiIn0sImlzVGVtcG9yYXJ5IjpmYWxzZX1dfQ=="/>
          <w:id w:val="-266072955"/>
          <w:placeholder>
            <w:docPart w:val="17F65E78A9954953B30DC02FFF98C8AA"/>
          </w:placeholder>
        </w:sdtPr>
        <w:sdtContent>
          <w:r>
            <w:rPr>
              <w:color w:val="000000"/>
            </w:rPr>
            <w:t>Pereira Junior (2020),</w:t>
          </w:r>
        </w:sdtContent>
      </w:sdt>
      <w:r>
        <w:t xml:space="preserve"> biomass and waste can provide various opportunities in the energy market through waste-to-energy technologies (</w:t>
      </w:r>
      <w:r>
        <w:rPr>
          <w:i/>
          <w:iCs/>
        </w:rPr>
        <w:t>i.e</w:t>
      </w:r>
      <w:r>
        <w:t xml:space="preserve">., technologies for energy recovery from waste) while also providing environmental benefits by aiding in the proper disposal of waste. </w:t>
      </w:r>
      <w:r w:rsidR="00694BC1">
        <w:t>To</w:t>
      </w:r>
      <w:r>
        <w:t xml:space="preserve"> employ a specific biomass as an energy source, it is necessary to consider the available conversion technologies, focusing on those associated with thermochemical or biological processes. Examples of such </w:t>
      </w:r>
      <w:r w:rsidR="008C5A4C" w:rsidRPr="00DD0AE7">
        <w:t>technologies</w:t>
      </w:r>
      <w:r>
        <w:t xml:space="preserve"> include gasification and anaerobic digestion, respectively </w:t>
      </w:r>
      <w:r w:rsidR="00C92D7F" w:rsidRPr="00C92D7F">
        <w:t>(Batlle et al., 2022)</w:t>
      </w:r>
      <w:r w:rsidR="00C92D7F">
        <w:t>.</w:t>
      </w:r>
    </w:p>
    <w:p w14:paraId="5D8AFD12" w14:textId="77777777" w:rsidR="008E4CA1" w:rsidRDefault="008E4CA1" w:rsidP="008E4CA1">
      <w:pPr>
        <w:pStyle w:val="CETBodytext"/>
      </w:pPr>
      <w:r>
        <w:t xml:space="preserve"> Sewage sludge stands out among the waste materials that can be energetically utilized. According to </w:t>
      </w:r>
      <w:sdt>
        <w:sdtPr>
          <w:rPr>
            <w:color w:val="000000"/>
          </w:rPr>
          <w:tag w:val="MENDELEY_CITATION_v3_eyJjaXRhdGlvbklEIjoiTUVOREVMRVlfQ0lUQVRJT05fYjFmZDY4YWYtM2VjMi00Y2VkLWE3YTUtMTkzZmFjYTRlNzkzIiwicHJvcGVydGllcyI6eyJub3RlSW5kZXgiOjB9LCJpc0VkaXRlZCI6ZmFsc2UsIm1hbnVhbE92ZXJyaWRlIjp7ImlzTWFudWFsbHlPdmVycmlkZGVuIjp0cnVlLCJjaXRlcHJvY1RleHQiOiIoTWVuZXplcywgMjAyMikiLCJtYW51YWxPdmVycmlkZVRleHQiOiJNZW5lemVzICgyMDIyKSJ9LCJjaXRhdGlvbkl0ZW1zIjpbeyJpZCI6ImQ0YzFiNTMzLTdhMTItMzIzZC04ODEyLWE1NzM0ODkzYjBiOSIsIml0ZW1EYXRhIjp7InR5cGUiOiJhcnRpY2xlLWpvdXJuYWwiLCJpZCI6ImQ0YzFiNTMzLTdhMTItMzIzZC04ODEyLWE1NzM0ODkzYjBiOSIsInRpdGxlIjoiUHJvcG9zdGEgZGUgZ2VyZW5jaWFtZW50byBkZSBsb2RvcyBkZSBlc2dvdG9zIHBvciBwcm9jZXNzbyB0ZXJtb3F1w61taWNvIiwiYXV0aG9yIjpbeyJmYW1pbHkiOiJNZW5lemVzIiwiZ2l2ZW4iOiJMeXZpYSBOYXJhIEJhcnJvc28iLCJwYXJzZS1uYW1lcyI6ZmFsc2UsImRyb3BwaW5nLXBhcnRpY2xlIjoiIiwibm9uLWRyb3BwaW5nLXBhcnRpY2xlIjoiIn1dLCJhY2Nlc3NlZCI6eyJkYXRlLXBhcnRzIjpbWzIwMjMsOCwxOV1dfSwiVVJMIjoiaHR0cDovL3d3dy5yZWFscC51bmIuYnIvanNwdWkvaGFuZGxlLzEwNDgyLzQ0ODI1IiwiaXNzdWVkIjp7ImRhdGUtcGFydHMiOltbMjAyMl1dfSwiY29udGFpbmVyLXRpdGxlLXNob3J0IjoiIn0sImlzVGVtcG9yYXJ5IjpmYWxzZX1dfQ=="/>
          <w:id w:val="-313952631"/>
          <w:placeholder>
            <w:docPart w:val="6EA84AFAB0884F54891D8EBB9EED3414"/>
          </w:placeholder>
        </w:sdtPr>
        <w:sdtContent>
          <w:r>
            <w:rPr>
              <w:color w:val="000000"/>
            </w:rPr>
            <w:t>Menezes (2022)</w:t>
          </w:r>
        </w:sdtContent>
      </w:sdt>
      <w:r>
        <w:t xml:space="preserve">, sewage sludge is an unavoidably generated residue during various stages of sewage treatment, including the preliminary stage (removal of some solid by-products from sewage), primary stage (removal of </w:t>
      </w:r>
      <w:proofErr w:type="spellStart"/>
      <w:r>
        <w:t>sedimentable</w:t>
      </w:r>
      <w:proofErr w:type="spellEnd"/>
      <w:r>
        <w:t xml:space="preserve"> and floating solids through physical processes), secondary stage (removal of organic matter and some nutrients through biological processes), and tertiary stage (removal of specific contaminants through physicochemical processes).</w:t>
      </w:r>
    </w:p>
    <w:p w14:paraId="381B7CB9" w14:textId="77777777" w:rsidR="008E4CA1" w:rsidRDefault="008E4CA1" w:rsidP="008E4CA1">
      <w:pPr>
        <w:pStyle w:val="CETBodytext"/>
      </w:pPr>
      <w:r>
        <w:t xml:space="preserve">The sludge can contain numerous toxic substances, such as pathogens, metals, and organic contaminants, which, in turn, can cause severe environmental pollution </w:t>
      </w:r>
      <w:sdt>
        <w:sdtPr>
          <w:rPr>
            <w:color w:val="000000"/>
          </w:rPr>
          <w:tag w:val="MENDELEY_CITATION_v3_eyJjaXRhdGlvbklEIjoiTUVOREVMRVlfQ0lUQVRJT05fOTZjMzA4MDgtNTFkNS00OWZjLTkxOTYtZTU4NzM1NTE5NDM2IiwicHJvcGVydGllcyI6eyJub3RlSW5kZXgiOjB9LCJpc0VkaXRlZCI6ZmFsc2UsIm1hbnVhbE92ZXJyaWRlIjp7ImlzTWFudWFsbHlPdmVycmlkZGVuIjpmYWxzZSwiY2l0ZXByb2NUZXh0IjoiKEdvbWVzLCAyMDE5KSIsIm1hbnVhbE92ZXJyaWRlVGV4dCI6IiJ9LCJjaXRhdGlvbkl0ZW1zIjpbeyJpZCI6ImI0ZWM1OThjLWExOGMtMzU0Ni1iZmE3LTI5Y2NmNzVjYjdjYSIsIml0ZW1EYXRhIjp7InR5cGUiOiJhcnRpY2xlLWpvdXJuYWwiLCJpZCI6ImI0ZWM1OThjLWExOGMtMzU0Ni1iZmE3LTI5Y2NmNzVjYjdjYSIsInRpdGxlIjoiQXByb3ZlaXRhbWVudG8gZG8gbG9kbyBnZXJhZG8gZW0gZXN0YcOnw7VlcyBkZSB0cmF0YW1lbnRvIGRlIGVzZ290byBlIGEgcmVsYcOnw6NvIGNvbSBvIG1laW8gYW1iaWVudGUiLCJhdXRob3IiOlt7ImZhbWlseSI6IkdvbWVzIiwiZ2l2ZW4iOiJMw61kaWEiLCJwYXJzZS1uYW1lcyI6ZmFsc2UsImRyb3BwaW5nLXBhcnRpY2xlIjoiIiwibm9uLWRyb3BwaW5nLXBhcnRpY2xlIjoiIn1dLCJhY2Nlc3NlZCI6eyJkYXRlLXBhcnRzIjpbWzIwMjMsOSwxOV1dfSwiVVJMIjoiaHR0cHM6Ly9yZXBvc2l0b3Jpby51Zm1nLmJyL2hhbmRsZS8xODQzLzMyNTk1IiwiaXNzdWVkIjp7ImRhdGUtcGFydHMiOltbMjAxOV1dfSwicHVibGlzaGVyIjoiVW5pdmVyc2lkYWRlIEZlZGVyYWwgZGUgTWluYXMgR2VyYWlzIiwiY29udGFpbmVyLXRpdGxlLXNob3J0IjoiIn0sImlzVGVtcG9yYXJ5IjpmYWxzZX1dfQ=="/>
          <w:id w:val="-584069996"/>
          <w:placeholder>
            <w:docPart w:val="17F65E78A9954953B30DC02FFF98C8AA"/>
          </w:placeholder>
        </w:sdtPr>
        <w:sdtContent>
          <w:r>
            <w:rPr>
              <w:color w:val="000000"/>
            </w:rPr>
            <w:t>(Gomes, 2019)</w:t>
          </w:r>
        </w:sdtContent>
      </w:sdt>
      <w:r>
        <w:t xml:space="preserve">. Proper disposal of these and other residues generated during sewage treatment is crucial, posing a challenge in managing Wastewater Treatment Plants (WWTP), especially in developing countries (Buonocore et al., 2018). Various treatments and procedures are employed for the proper disposal or energy utilization of sludge, including anaerobic digestion, dewatering, thermal drying, incineration, and landfill disposal </w:t>
      </w:r>
      <w:sdt>
        <w:sdtPr>
          <w:rPr>
            <w:color w:val="000000"/>
          </w:rPr>
          <w:tag w:val="MENDELEY_CITATION_v3_eyJjaXRhdGlvbklEIjoiTUVOREVMRVlfQ0lUQVRJT05fZmEyMWY0ZTMtYTA3ZC00NjM3LTk3MTUtNTI0OGE2YjA5ODViIiwicHJvcGVydGllcyI6eyJub3RlSW5kZXgiOjB9LCJpc0VkaXRlZCI6ZmFsc2UsIm1hbnVhbE92ZXJyaWRlIjp7ImlzTWFudWFsbHlPdmVycmlkZGVuIjpmYWxzZSwiY2l0ZXByb2NUZXh0IjoiKERpbmcgZXQgYWwuLCAyMDIxKSIsIm1hbnVhbE92ZXJyaWRlVGV4dCI6IiJ9LCJjaXRhdGlvbkl0ZW1zIjpbeyJpZCI6IjMwMDY2NDY3LTcyYmEtMzAyOS1iMmZmLWY1NDVlNzMxODNiMyIsIml0ZW1EYXRhIjp7InR5cGUiOiJhcnRpY2xlLWpvdXJuYWwiLCJpZCI6IjMwMDY2NDY3LTcyYmEtMzAyOS1iMmZmLWY1NDVlNzMxODNiMyIsInRpdGxlIjoiTGlmZSBjeWNsZSBhc3Nlc3NtZW50IG9mIHNld2FnZSBzbHVkZ2UgdHJlYXRtZW50IGFuZCBkaXNwb3NhbCBiYXNlZCBvbiBudXRyaWVudCBhbmQgZW5lcmd5IHJlY292ZXJ5OiBBIHJldmlldyIsImF1dGhvciI6W3siZmFtaWx5IjoiRGluZyIsImdpdmVuIjoiQW4iLCJwYXJzZS1uYW1lcyI6ZmFsc2UsImRyb3BwaW5nLXBhcnRpY2xlIjoiIiwibm9uLWRyb3BwaW5nLXBhcnRpY2xlIjoiIn0seyJmYW1pbHkiOiJaaGFuZyIsImdpdmVuIjoiUm91cm91IiwicGFyc2UtbmFtZXMiOmZhbHNlLCJkcm9wcGluZy1wYXJ0aWNsZSI6IiIsIm5vbi1kcm9wcGluZy1wYXJ0aWNsZSI6IiJ9LHsiZmFtaWx5IjoiTmdvIiwiZ2l2ZW4iOiJIdXUgSGFvIiwicGFyc2UtbmFtZXMiOmZhbHNlLCJkcm9wcGluZy1wYXJ0aWNsZSI6IiIsIm5vbi1kcm9wcGluZy1wYXJ0aWNsZSI6IiJ9LHsiZmFtaWx5IjoiSGUiLCJnaXZlbiI6Ilh1IiwicGFyc2UtbmFtZXMiOmZhbHNlLCJkcm9wcGluZy1wYXJ0aWNsZSI6IiIsIm5vbi1kcm9wcGluZy1wYXJ0aWNsZSI6IiJ9LHsiZmFtaWx5IjoiTWEiLCJnaXZlbiI6Ikp1biIsInBhcnNlLW5hbWVzIjpmYWxzZSwiZHJvcHBpbmctcGFydGljbGUiOiIiLCJub24tZHJvcHBpbmctcGFydGljbGUiOiIifSx7ImZhbWlseSI6Ik5hbiIsImdpdmVuIjoiSnVuIiwicGFyc2UtbmFtZXMiOmZhbHNlLCJkcm9wcGluZy1wYXJ0aWNsZSI6IiIsIm5vbi1kcm9wcGluZy1wYXJ0aWNsZSI6IiJ9LHsiZmFtaWx5IjoiTGkiLCJnaXZlbiI6Ikd1aWJhaSIsInBhcnNlLW5hbWVzIjpmYWxzZSwiZHJvcHBpbmctcGFydGljbGUiOiIiLCJub24tZHJvcHBpbmctcGFydGljbGUiOiIifV0sImNvbnRhaW5lci10aXRsZSI6IlNjaWVuY2Ugb2YgdGhlIFRvdGFsIEVudmlyb25tZW50IiwiYWNjZXNzZWQiOnsiZGF0ZS1wYXJ0cyI6W1syMDIzLDgsMjFdXX0sIklTU04iOiIwMDQ4LTk2OTciLCJVUkwiOiJodHRwczovL3d3dy5zY2llbmNlZGlyZWN0LmNvbS9zY2llbmNlL2FydGljbGUvcGlpL1MwMDQ4OTY5NzIwMzc5ODIxP2Nhc2FfdG9rZW49bE5fRVJZMThSNHdBQUFBQTpFeFcxZTJHNnNhNFlra2FvSFY0SlVFcEgzOURlYzJyVmdhTXR2cnJpbFFBRVZkVEhSaS1HdFFkQVBVRXlFSTh5TXVaSzZyQ3JfUkk1IiwiaXNzdWVkIjp7ImRhdGUtcGFydHMiOltbMjAyMV1dfSwicGFnZSI6IjE0NDQ1MSIsInB1Ymxpc2hlciI6IkVsc2V2aWVyIiwidm9sdW1lIjoiNzY5IiwiY29udGFpbmVyLXRpdGxlLXNob3J0IjoiIn0sImlzVGVtcG9yYXJ5IjpmYWxzZX1dfQ=="/>
          <w:id w:val="362177030"/>
          <w:placeholder>
            <w:docPart w:val="17F65E78A9954953B30DC02FFF98C8AA"/>
          </w:placeholder>
        </w:sdtPr>
        <w:sdtContent>
          <w:r>
            <w:rPr>
              <w:color w:val="000000"/>
            </w:rPr>
            <w:t>(Ding et al., 2021)</w:t>
          </w:r>
        </w:sdtContent>
      </w:sdt>
      <w:r>
        <w:t xml:space="preserve">. Additionally, other technologies allowing the production of fuels with lower environmental impact, such as pyrolysis and gasification, are considered </w:t>
      </w:r>
      <w:sdt>
        <w:sdtPr>
          <w:rPr>
            <w:color w:val="000000"/>
          </w:rPr>
          <w:tag w:val="MENDELEY_CITATION_v3_eyJjaXRhdGlvbklEIjoiTUVOREVMRVlfQ0lUQVRJT05fNzUzOWQwNzQtODExYi00ZmM5LTg3NmItOGQ4NDM2ZDQwYTljIiwicHJvcGVydGllcyI6eyJub3RlSW5kZXgiOjB9LCJpc0VkaXRlZCI6ZmFsc2UsIm1hbnVhbE92ZXJyaWRlIjp7ImlzTWFudWFsbHlPdmVycmlkZGVuIjpmYWxzZSwiY2l0ZXByb2NUZXh0IjoiKENhcG9kYWdsaW8sIDIwMjMpIiwibWFudWFsT3ZlcnJpZGVUZXh0IjoiIn0sImNpdGF0aW9uSXRlbXMiOlt7ImlkIjoiODc5ZDk0NWMtYWMzNi0zMTUwLWI4ZWYtOTgyZTgzYzY3NjgwIiwiaXRlbURhdGEiOnsidHlwZSI6ImFydGljbGUtam91cm5hbCIsImlkIjoiODc5ZDk0NWMtYWMzNi0zMTUwLWI4ZWYtOTgyZTgzYzY3NjgwIiwidGl0bGUiOiJCaW9yZWZpbmVyeSBvZiBzZXdhZ2Ugc2x1ZGdlOiBvdmVydmlldyBvZiBwb3NzaWJsZSB2YWx1ZS1hZGRlZCBwcm9kdWN0cyBhbmQgYXBwbGljYWJsZSBwcm9jZXNzIHRlY2hub2xvZ2llcyIsImF1dGhvciI6W3siZmFtaWx5IjoiQ2Fwb2RhZ2xpbyIsImdpdmVuIjoiQW5kcmVhIEciLCJwYXJzZS1uYW1lcyI6ZmFsc2UsImRyb3BwaW5nLXBhcnRpY2xlIjoiIiwibm9uLWRyb3BwaW5nLXBhcnRpY2xlIjoiIn1dLCJjb250YWluZXItdGl0bGUiOiJXYXRlciIsImNvbnRhaW5lci10aXRsZS1zaG9ydCI6IldhdGVyIChCYXNlbCkiLCJhY2Nlc3NlZCI6eyJkYXRlLXBhcnRzIjpbWzIwMjMsOSwxXV19LCJJU1NOIjoiMjA3My00NDQxIiwiVVJMIjoiaHR0cHM6Ly93d3cubWRwaS5jb20vMjA3My00NDQxLzE1LzYvMTE5NSIsImlzc3VlZCI6eyJkYXRlLXBhcnRzIjpbWzIwMjNdXX0sInBhZ2UiOiIxMTk1IiwicHVibGlzaGVyIjoiTURQSSIsImlzc3VlIjoiNiIsInZvbHVtZSI6IjE1In0sImlzVGVtcG9yYXJ5IjpmYWxzZX1dfQ=="/>
          <w:id w:val="-1403216865"/>
          <w:placeholder>
            <w:docPart w:val="17F65E78A9954953B30DC02FFF98C8AA"/>
          </w:placeholder>
        </w:sdtPr>
        <w:sdtContent>
          <w:r>
            <w:rPr>
              <w:color w:val="000000"/>
            </w:rPr>
            <w:t>(</w:t>
          </w:r>
          <w:proofErr w:type="spellStart"/>
          <w:r>
            <w:rPr>
              <w:color w:val="000000"/>
            </w:rPr>
            <w:t>Capodaglio</w:t>
          </w:r>
          <w:proofErr w:type="spellEnd"/>
          <w:r>
            <w:rPr>
              <w:color w:val="000000"/>
            </w:rPr>
            <w:t>, 2023)</w:t>
          </w:r>
        </w:sdtContent>
      </w:sdt>
      <w:r>
        <w:rPr>
          <w:color w:val="000000"/>
        </w:rPr>
        <w:t>.</w:t>
      </w:r>
    </w:p>
    <w:p w14:paraId="118C8F3D" w14:textId="25C214CA" w:rsidR="008E4CA1" w:rsidRDefault="008E4CA1" w:rsidP="008E4CA1">
      <w:pPr>
        <w:pStyle w:val="CETBodytext"/>
      </w:pPr>
      <w:r>
        <w:lastRenderedPageBreak/>
        <w:t xml:space="preserve">Furthermore, for fuel thermochemical conversion, in the case of sanitary sludge, drying is an essential </w:t>
      </w:r>
      <w:r w:rsidRPr="00DD0AE7">
        <w:t>pretreatment to</w:t>
      </w:r>
      <w:r>
        <w:t xml:space="preserve"> reduce moisture content; this aims to decrease the energy requirements of the dryer, increase calorific value, and minimize the content and volume </w:t>
      </w:r>
      <w:sdt>
        <w:sdtPr>
          <w:rPr>
            <w:color w:val="000000"/>
          </w:rPr>
          <w:tag w:val="MENDELEY_CITATION_v3_eyJjaXRhdGlvbklEIjoiTUVOREVMRVlfQ0lUQVRJT05fNGYxN2NkYzctODlkZC00NzI0LWFlZGUtZGE5YzM4NWIzMmFiIiwicHJvcGVydGllcyI6eyJub3RlSW5kZXgiOjB9LCJpc0VkaXRlZCI6ZmFsc2UsIm1hbnVhbE92ZXJyaWRlIjp7ImlzTWFudWFsbHlPdmVycmlkZGVuIjpmYWxzZSwiY2l0ZXByb2NUZXh0IjoiKERpIEZyYWlhIGV0IGFsLiwgMjAxOCkiLCJtYW51YWxPdmVycmlkZVRleHQiOiIifSwiY2l0YXRpb25JdGVtcyI6W3siaWQiOiI5MmFhZGJmYS04OGM5LTNlMzgtOTI1Zi0xMmZkYTViYmFhMmMiLCJpdGVtRGF0YSI6eyJ0eXBlIjoiYXJ0aWNsZS1qb3VybmFsIiwiaWQiOiI5MmFhZGJmYS04OGM5LTNlMzgtOTI1Zi0xMmZkYTViYmFhMmMiLCJ0aXRsZSI6IkFuIGludGVncmF0ZWQgc3lzdGVtIGZvciBzZXdhZ2Ugc2x1ZGdlIGRyeWluZyB0aHJvdWdoIHNvbGFyIGVuZXJneSBhbmQgYSBjb21iaW5lZCBoZWF0IGFuZCBwb3dlciB1bml0IGZ1ZWxsZWQgYnkgYmlvZ2FzIiwiYXV0aG9yIjpbeyJmYW1pbHkiOiJGcmFpYSIsImdpdmVuIjoiU2ltb25hIiwicGFyc2UtbmFtZXMiOmZhbHNlLCJkcm9wcGluZy1wYXJ0aWNsZSI6IiIsIm5vbi1kcm9wcGluZy1wYXJ0aWNsZSI6IkRpIn0seyJmYW1pbHkiOiJGaWdhaiIsImdpdmVuIjoiUmFmYWwgRGFtaWFuIiwicGFyc2UtbmFtZXMiOmZhbHNlLCJkcm9wcGluZy1wYXJ0aWNsZSI6IiIsIm5vbi1kcm9wcGluZy1wYXJ0aWNsZSI6IiJ9LHsiZmFtaWx5IjoiTWFzc2Fyb3R0aSIsImdpdmVuIjoiTmljb2xhIiwicGFyc2UtbmFtZXMiOmZhbHNlLCJkcm9wcGluZy1wYXJ0aWNsZSI6IiIsIm5vbi1kcm9wcGluZy1wYXJ0aWNsZSI6IiJ9LHsiZmFtaWx5IjoiVmFub2xpIiwiZ2l2ZW4iOiJMYXVyYSIsInBhcnNlLW5hbWVzIjpmYWxzZSwiZHJvcHBpbmctcGFydGljbGUiOiIiLCJub24tZHJvcHBpbmctcGFydGljbGUiOiIifV0sImNvbnRhaW5lci10aXRsZSI6IkVuZXJneSBDb252ZXJzaW9uIGFuZCBNYW5hZ2VtZW50IiwiY29udGFpbmVyLXRpdGxlLXNob3J0IjoiRW5lcmd5IENvbnZlcnMgTWFuYWciLCJhY2Nlc3NlZCI6eyJkYXRlLXBhcnRzIjpbWzIwMjMsOSwyNV1dfSwiSVNTTiI6IjAxOTYtODkwNCIsIlVSTCI6Imh0dHBzOi8vd3d3LnNjaWVuY2VkaXJlY3QuY29tL3NjaWVuY2UvYXJ0aWNsZS9hYnMvcGlpL1MwMTk2ODkwNDE4MzA2Mjg5IiwiaXNzdWVkIjp7ImRhdGUtcGFydHMiOltbMjAxOF1dfSwicGFnZSI6IjU4Ny02MDMiLCJwdWJsaXNoZXIiOiJFbHNldmllciIsInZvbHVtZSI6IjE3MSJ9LCJpc1RlbXBvcmFyeSI6ZmFsc2V9XX0="/>
          <w:id w:val="2094819727"/>
          <w:placeholder>
            <w:docPart w:val="17F65E78A9954953B30DC02FFF98C8AA"/>
          </w:placeholder>
        </w:sdtPr>
        <w:sdtContent>
          <w:r>
            <w:t xml:space="preserve">pathogen </w:t>
          </w:r>
          <w:r>
            <w:rPr>
              <w:color w:val="000000"/>
            </w:rPr>
            <w:t xml:space="preserve">(Di </w:t>
          </w:r>
          <w:proofErr w:type="spellStart"/>
          <w:r>
            <w:rPr>
              <w:color w:val="000000"/>
            </w:rPr>
            <w:t>Fraia</w:t>
          </w:r>
          <w:proofErr w:type="spellEnd"/>
          <w:r>
            <w:rPr>
              <w:color w:val="000000"/>
            </w:rPr>
            <w:t xml:space="preserve"> et al., 2018)</w:t>
          </w:r>
        </w:sdtContent>
      </w:sdt>
      <w:r>
        <w:t xml:space="preserve">. The thermal drying process involves removing moisture and certain volatile substances from a material, with the reduction of sludge moisture occurring through water loss by evaporation and the removal of microorganisms </w:t>
      </w:r>
      <w:sdt>
        <w:sdtPr>
          <w:rPr>
            <w:color w:val="000000"/>
          </w:rPr>
          <w:tag w:val="MENDELEY_CITATION_v3_eyJjaXRhdGlvbklEIjoiTUVOREVMRVlfQ0lUQVRJT05fNWVhNjJlNzQtZWE3Ny00MjU1LWE0YjktNGRhNzdmMzY2NDM2IiwicHJvcGVydGllcyI6eyJub3RlSW5kZXgiOjB9LCJpc0VkaXRlZCI6ZmFsc2UsIm1hbnVhbE92ZXJyaWRlIjp7ImlzTWFudWFsbHlPdmVycmlkZGVuIjpmYWxzZSwiY2l0ZXByb2NUZXh0IjoiKEFsbWVpZGEgSsO6bmlvciwgMjAxNykiLCJtYW51YWxPdmVycmlkZVRleHQiOiIifSwiY2l0YXRpb25JdGVtcyI6W3siaWQiOiIzNjUwMzA1Ni0xNTViLTMzOGEtODkyNC04MTRkZGY4NTM5MjkiLCJpdGVtRGF0YSI6eyJ0eXBlIjoiYXJ0aWNsZS1qb3VybmFsIiwiaWQiOiIzNjUwMzA1Ni0xNTViLTMzOGEtODkyNC04MTRkZGY4NTM5MjkiLCJ0aXRsZSI6IkF2YWxpYcOnw6NvIGRvIHByb2Nlc3NvIGRlIHNlY2FnZW0gdMOpcm1pY2EgZGUgbG9kbyBkZSBlc2dvdG8gc2FuaXTDoXJpbyIsImF1dGhvciI6W3siZmFtaWx5IjoiQWxtZWlkYSBKw7puaW9yIiwiZ2l2ZW4iOiJBbGV4YW5kcmUiLCJwYXJzZS1uYW1lcyI6ZmFsc2UsImRyb3BwaW5nLXBhcnRpY2xlIjoiIiwibm9uLWRyb3BwaW5nLXBhcnRpY2xlIjoiIn1dLCJhY2Nlc3NlZCI6eyJkYXRlLXBhcnRzIjpbWzIwMjMsOSwxXV19LCJVUkwiOiJodHRwczovL3RlZGUuYmMudWVwYi5lZHUuYnIvanNwdWkvaGFuZGxlL3RlZGUvMzI5MSIsImlzc3VlZCI6eyJkYXRlLXBhcnRzIjpbWzIwMTddXX0sInB1Ymxpc2hlciI6IlVuaXZlcnNpZGFkZSBFc3RhZHVhbCBkYSBQYXJhw61iYSIsImNvbnRhaW5lci10aXRsZS1zaG9ydCI6IiJ9LCJpc1RlbXBvcmFyeSI6ZmFsc2V9XX0="/>
          <w:id w:val="592213424"/>
          <w:placeholder>
            <w:docPart w:val="17F65E78A9954953B30DC02FFF98C8AA"/>
          </w:placeholder>
        </w:sdtPr>
        <w:sdtContent>
          <w:r>
            <w:rPr>
              <w:color w:val="000000"/>
            </w:rPr>
            <w:t>(Almeida Júnior, 2017)</w:t>
          </w:r>
        </w:sdtContent>
      </w:sdt>
      <w:r>
        <w:rPr>
          <w:color w:val="000000"/>
        </w:rPr>
        <w:t>.</w:t>
      </w:r>
      <w:r>
        <w:t xml:space="preserve"> According to </w:t>
      </w:r>
      <w:sdt>
        <w:sdtPr>
          <w:rPr>
            <w:color w:val="000000"/>
          </w:rPr>
          <w:tag w:val="MENDELEY_CITATION_v3_eyJjaXRhdGlvbklEIjoiTUVOREVMRVlfQ0lUQVRJT05fZjFmMDM0MjQtYjY5MC00MDNlLWEwMWQtNjAzNjZiMjVjYmFmIiwicHJvcGVydGllcyI6eyJub3RlSW5kZXgiOjB9LCJpc0VkaXRlZCI6ZmFsc2UsIm1hbnVhbE92ZXJyaWRlIjp7ImlzTWFudWFsbHlPdmVycmlkZGVuIjp0cnVlLCJjaXRlcHJvY1RleHQiOiIoU2NobmVsbCBldCBhbC4sIDIwMjApIiwibWFudWFsT3ZlcnJpZGVUZXh0IjoiU2NobmVsbCBldCBhbC4gKDIwMjApIn0sImNpdGF0aW9uSXRlbXMiOlt7ImlkIjoiMzQ3OGI2OTItZTNhMC0zYWIxLWExNzgtODY2NzExMmFmODY4IiwiaXRlbURhdGEiOnsidHlwZSI6ImFydGljbGUtam91cm5hbCIsImlkIjoiMzQ3OGI2OTItZTNhMC0zYWIxLWExNzgtODY2NzExMmFmODY4IiwidGl0bGUiOiJUaGVybWFsIHRyZWF0bWVudCBvZiBzZXdhZ2Ugc2x1ZGdlIGluIEdlcm1hbnk6IEEgcmV2aWV3IiwiYXV0aG9yIjpbeyJmYW1pbHkiOiJTY2huZWxsIiwiZ2l2ZW4iOiJNYXR0aGlhcyIsInBhcnNlLW5hbWVzIjpmYWxzZSwiZHJvcHBpbmctcGFydGljbGUiOiIiLCJub24tZHJvcHBpbmctcGFydGljbGUiOiIifSx7ImZhbWlseSI6IkhvcnN0IiwiZ2l2ZW4iOiJUaG9tYXMiLCJwYXJzZS1uYW1lcyI6ZmFsc2UsImRyb3BwaW5nLXBhcnRpY2xlIjoiIiwibm9uLWRyb3BwaW5nLXBhcnRpY2xlIjoiIn0seyJmYW1pbHkiOiJRdWlja2VyIiwiZ2l2ZW4iOiJQZXRlciIsInBhcnNlLW5hbWVzIjpmYWxzZSwiZHJvcHBpbmctcGFydGljbGUiOiIiLCJub24tZHJvcHBpbmctcGFydGljbGUiOiIifV0sImNvbnRhaW5lci10aXRsZSI6IkpvdXJuYWwgb2YgZW52aXJvbm1lbnRhbCBtYW5hZ2VtZW50IiwiY29udGFpbmVyLXRpdGxlLXNob3J0IjoiSiBFbnZpcm9uIE1hbmFnZSIsImFjY2Vzc2VkIjp7ImRhdGUtcGFydHMiOltbMjAyMyw5LDddXX0sIklTU04iOiIwMzAxLTQ3OTciLCJVUkwiOiJodHRwczovL3d3dy5zY2llbmNlZGlyZWN0LmNvbS9zY2llbmNlL2FydGljbGUvcGlpL1MwMzAxNDc5NzIwMzAzMDI5P2Nhc2FfdG9rZW49SVVQNnpDeUcyU2tBQUFBQTpFNlNEOXpkbU5hcko1eGdnbGY5NlNmcFdIcmlaRTYwdFBVQnJtNXh4cVdxU3FCdjVVeEoyNkNuQXpxWkoxbzNsLUlHRzBvdGtvWVVEIiwiaXNzdWVkIjp7ImRhdGUtcGFydHMiOltbMjAyMF1dfSwicGFnZSI6IjExMDM2NyIsInB1Ymxpc2hlciI6IkVsc2V2aWVyIiwidm9sdW1lIjoiMjYzIn0sImlzVGVtcG9yYXJ5IjpmYWxzZX1dfQ=="/>
          <w:id w:val="1382907965"/>
          <w:placeholder>
            <w:docPart w:val="17F65E78A9954953B30DC02FFF98C8AA"/>
          </w:placeholder>
        </w:sdtPr>
        <w:sdtContent>
          <w:r>
            <w:rPr>
              <w:color w:val="000000"/>
            </w:rPr>
            <w:t>Schnell et al. (2020),</w:t>
          </w:r>
        </w:sdtContent>
      </w:sdt>
      <w:r>
        <w:t xml:space="preserve"> thermal sludge drying can be categorized into conductive, convective, radiative, and mixed drying.</w:t>
      </w:r>
    </w:p>
    <w:p w14:paraId="585FDC51" w14:textId="277D6FD1" w:rsidR="008E4CA1" w:rsidRDefault="00694BC1" w:rsidP="008E4CA1">
      <w:pPr>
        <w:pStyle w:val="CETBodytext"/>
        <w:rPr>
          <w:color w:val="000000"/>
        </w:rPr>
      </w:pPr>
      <w:r>
        <w:t xml:space="preserve">Conducting a complete characterization of biomass is essential to selecting the most suitable technology for energetically harnessing </w:t>
      </w:r>
      <w:r w:rsidR="008E4CA1">
        <w:t xml:space="preserve">biomass. Among the critical analyses performed on biomass, notable ones, according to </w:t>
      </w:r>
      <w:sdt>
        <w:sdtPr>
          <w:rPr>
            <w:color w:val="000000"/>
            <w:lang w:val="pt-BR"/>
          </w:rPr>
          <w:tag w:val="MENDELEY_CITATION_v3_eyJjaXRhdGlvbklEIjoiTUVOREVMRVlfQ0lUQVRJT05fZjliMDU3MmUtZTM3Yy00NjBjLTljMTAtNTYyMmY4YWZkOTg0IiwicHJvcGVydGllcyI6eyJub3RlSW5kZXgiOjB9LCJpc0VkaXRlZCI6ZmFsc2UsIm1hbnVhbE92ZXJyaWRlIjp7ImlzTWFudWFsbHlPdmVycmlkZGVuIjp0cnVlLCJjaXRlcHJvY1RleHQiOiIoWmluemEgSnVuaW9yLCAyMDIyKSIsIm1hbnVhbE92ZXJyaWRlVGV4dCI6IlppbnphIEp1bmlvciAoMjAyMikifSwiY2l0YXRpb25JdGVtcyI6W3siaWQiOiJkZTEwODg5ZC01ZDNlLTM0YTQtODVmNy1jMWE4ZTkwODg1YjkiLCJpdGVtRGF0YSI6eyJ0eXBlIjoiYXJ0aWNsZS1qb3VybmFsIiwiaWQiOiJkZTEwODg5ZC01ZDNlLTM0YTQtODVmNy1jMWE4ZTkwODg1YjkiLCJ0aXRsZSI6IkNvbXBhcmHDp8OjbyBkYSB1dGlsaXphw6fDo28gZGUgYmlvbWFzc2EgaW4gbmF0dXJhIG5hIGdlcmHDp8OjbyBkZSBlbmVyZ2lhIGVtIHVtYSB0ZXJtZWzDqXRyaWNhIGRlIDY2IE1XIiwiYXV0aG9yIjpbeyJmYW1pbHkiOiJaaW56YSBKdW5pb3IiLCJnaXZlbiI6IkVtYW5vZWwiLCJwYXJzZS1uYW1lcyI6ZmFsc2UsImRyb3BwaW5nLXBhcnRpY2xlIjoiIiwibm9uLWRyb3BwaW5nLXBhcnRpY2xlIjoiIn1dLCJhY2Nlc3NlZCI6eyJkYXRlLXBhcnRzIjpbWzIwMjQsOSw5XV19LCJVUkwiOiJodHRwczovL3JlcG9zaXRvcmlvLnVuZXNwLmJyL2l0ZW1zLzBjMTFkYTU3LTRmOTktNDY2ZS1iNDJhLWEzYTRlY2IzMjEyYyIsImlzc3VlZCI6eyJkYXRlLXBhcnRzIjpbWzIwMjJdXX0sInB1Ymxpc2hlciI6IlVuaXZlcnNpZGFkZSBFc3RhZHVhbCBQYXVsaXN0YSAoVW5lc3ApIiwiY29udGFpbmVyLXRpdGxlLXNob3J0IjoiIn0sImlzVGVtcG9yYXJ5IjpmYWxzZX1dfQ=="/>
          <w:id w:val="-1818096466"/>
          <w:placeholder>
            <w:docPart w:val="413733AA6F5742D09015CD758BB7ABCC"/>
          </w:placeholder>
        </w:sdtPr>
        <w:sdtContent>
          <w:proofErr w:type="spellStart"/>
          <w:r w:rsidR="008E4CA1">
            <w:rPr>
              <w:color w:val="000000"/>
            </w:rPr>
            <w:t>Zinza</w:t>
          </w:r>
          <w:proofErr w:type="spellEnd"/>
          <w:r w:rsidR="008E4CA1">
            <w:rPr>
              <w:color w:val="000000"/>
            </w:rPr>
            <w:t xml:space="preserve"> Junior (2022)</w:t>
          </w:r>
        </w:sdtContent>
      </w:sdt>
      <w:r w:rsidR="008E4CA1">
        <w:t xml:space="preserve">, include determining its elemental chemical composition, immediate chemical composition, and calorific value. In the case of sanitary sludge, characterization should also encompass morphology, surface adhesion tension, residual, and equilibrium moisture, among other factors </w:t>
      </w:r>
      <w:sdt>
        <w:sdtPr>
          <w:rPr>
            <w:color w:val="000000"/>
          </w:rPr>
          <w:tag w:val="MENDELEY_CITATION_v3_eyJjaXRhdGlvbklEIjoiTUVOREVMRVlfQ0lUQVRJT05fZWU3NWM3NjgtNDM1Ni00NmZiLThhZDUtYmE2Nzg4OTc1MjZmIiwicHJvcGVydGllcyI6eyJub3RlSW5kZXgiOjB9LCJpc0VkaXRlZCI6ZmFsc2UsIm1hbnVhbE92ZXJyaWRlIjp7ImlzTWFudWFsbHlPdmVycmlkZGVuIjp0cnVlLCJjaXRlcHJvY1RleHQiOiIoUEVURVJMSSwgMjAxOSkiLCJtYW51YWxPdmVycmlkZVRleHQiOiIoUGV0ZXJsaSwgMjAxOSkifSwiY2l0YXRpb25JdGVtcyI6W3siaWQiOiI1NDlhYWQ4MS0xNGQwLTM4MzctOTRmMS0xOTQzMjUyOTk3MjUiLCJpdGVtRGF0YSI6eyJ0eXBlIjoiYXJ0aWNsZS1qb3VybmFsIiwiaWQiOiI1NDlhYWQ4MS0xNGQwLTM4MzctOTRmMS0xOTQzMjUyOTk3MjUiLCJ0aXRsZSI6IkF2YWxpYcOnw6NvIGVuZXJnw6l0aWNhIGUgZXhwZXJpbWVudGFsIGRhIHNlY2FnZW0gZW0gYmFpeGEgdGVtcGVyYXR1cmEgZGUgbG9kbyBzYW5pdMOhcmlvIGNvbSBvIHVzbyBkZSBlbmVyZ2lhIGhlbGlvdMOpcm1pY2EiLCJhdXRob3IiOlt7ImZhbWlseSI6IlBFVEVSTEkiLCJnaXZlbiI6Ilp1ZGl2YW4iLCJwYXJzZS1uYW1lcyI6ZmFsc2UsImRyb3BwaW5nLXBhcnRpY2xlIjoiIiwibm9uLWRyb3BwaW5nLXBhcnRpY2xlIjoiIn1dLCJhY2Nlc3NlZCI6eyJkYXRlLXBhcnRzIjpbWzIwMjMsNywzMV1dfSwiVVJMIjoiaHR0cHM6Ly9yZXBvc2l0b3Jpby51bmlmZWkuZWR1LmJyL2pzcHVpL2hhbmRsZS8xMjM0NTY3ODkvMzg2NCIsImlzc3VlZCI6eyJkYXRlLXBhcnRzIjpbWzIwMTldXX0sInB1Ymxpc2hlciI6IlVuaXZlcnNpZGFkZSBGZWRlcmFsIGRlIEl0YWp1YsOhIiwiY29udGFpbmVyLXRpdGxlLXNob3J0IjoiIn0sImlzVGVtcG9yYXJ5IjpmYWxzZX1dfQ=="/>
          <w:id w:val="1455444020"/>
          <w:placeholder>
            <w:docPart w:val="17F65E78A9954953B30DC02FFF98C8AA"/>
          </w:placeholder>
        </w:sdtPr>
        <w:sdtContent>
          <w:r w:rsidR="008E4CA1">
            <w:rPr>
              <w:color w:val="000000"/>
            </w:rPr>
            <w:t>(Peterli, 2019)</w:t>
          </w:r>
        </w:sdtContent>
      </w:sdt>
      <w:r w:rsidR="008E4CA1">
        <w:rPr>
          <w:color w:val="000000"/>
        </w:rPr>
        <w:t>.</w:t>
      </w:r>
    </w:p>
    <w:p w14:paraId="7094025D" w14:textId="77777777" w:rsidR="008E4CA1" w:rsidRDefault="008E4CA1" w:rsidP="008E4CA1">
      <w:pPr>
        <w:pStyle w:val="CETBodytext"/>
        <w:rPr>
          <w:color w:val="000000"/>
        </w:rPr>
      </w:pPr>
      <w:r>
        <w:rPr>
          <w:color w:val="000000"/>
        </w:rPr>
        <w:t xml:space="preserve">In this work, a physical-chemical characterization of </w:t>
      </w:r>
      <w:r>
        <w:t>sanitary</w:t>
      </w:r>
      <w:r>
        <w:rPr>
          <w:color w:val="000000"/>
        </w:rPr>
        <w:t xml:space="preserve"> sludge was carried out to determine the energy potential of this waste. For this purpose, the samples were studied through particle size analysis, surface tension, and ultimate and proximate analysis. The results indicated that </w:t>
      </w:r>
      <w:r>
        <w:t>sanitary</w:t>
      </w:r>
      <w:r>
        <w:rPr>
          <w:color w:val="000000"/>
        </w:rPr>
        <w:t xml:space="preserve"> sludge has properties that allow its use as fuel in thermochemical conversion processes. Therefore, adequate characterization and pretreatment allow the sludge to be used, mitigating environmental impacts.</w:t>
      </w:r>
    </w:p>
    <w:p w14:paraId="792B9C0C" w14:textId="77777777" w:rsidR="008E4CA1" w:rsidRDefault="008E4CA1" w:rsidP="008E4CA1">
      <w:pPr>
        <w:pStyle w:val="CETHeading1"/>
      </w:pPr>
      <w:bookmarkStart w:id="2" w:name="_30j0zll"/>
      <w:bookmarkEnd w:id="1"/>
      <w:bookmarkEnd w:id="2"/>
      <w:r>
        <w:t>Materials and methods</w:t>
      </w:r>
    </w:p>
    <w:p w14:paraId="190E78B7" w14:textId="77777777" w:rsidR="008E4CA1" w:rsidRDefault="008E4CA1" w:rsidP="008E4CA1">
      <w:pPr>
        <w:pStyle w:val="CETBodytext"/>
      </w:pPr>
      <w:r>
        <w:t xml:space="preserve">The present study analyzed samples of sanitary sludge from the centrifugation stage of the </w:t>
      </w:r>
      <w:proofErr w:type="spellStart"/>
      <w:r>
        <w:t>Mulembá</w:t>
      </w:r>
      <w:proofErr w:type="spellEnd"/>
      <w:r>
        <w:t xml:space="preserve"> I Wastewater Treatment Plant </w:t>
      </w:r>
      <w:r w:rsidRPr="00421BD7">
        <w:t>(WWTP)</w:t>
      </w:r>
      <w:r>
        <w:t>, located in Vitória, ES, Brazil. Thus, it is possible to characterize the sludge through the preparation and analysis of samples. The process began with the collection of centrifuged sludge, treatment of the collected sludge on a heated plate and in an oven, breaking down the treated sludge on a heated plate, and finally, mixing the crumbled sludge with centrifuged sludge to form mixtures (dry sludge and centrifuged sludge) with varying Total Solids (TS) content ranging from 20 to 90%.</w:t>
      </w:r>
    </w:p>
    <w:p w14:paraId="5B39BDCD" w14:textId="77777777" w:rsidR="008E4CA1" w:rsidRDefault="008E4CA1" w:rsidP="008E4CA1">
      <w:pPr>
        <w:pStyle w:val="CETBodytext"/>
      </w:pPr>
      <w:r>
        <w:t>Subsequently, morphological and property characterization of the sludge was conducted, highlighting the determination of elemental and immediate chemical composition, calorific value, granulometric analysis, and surface adhesion tension (SAT).</w:t>
      </w:r>
    </w:p>
    <w:p w14:paraId="51333996" w14:textId="77777777" w:rsidR="008E4CA1" w:rsidRDefault="008E4CA1" w:rsidP="008E4CA1">
      <w:pPr>
        <w:pStyle w:val="CETBodytext"/>
      </w:pPr>
      <w:r>
        <w:t>All tests for sludge characterization were conducted in laboratories located at UNIFEI and are detailed in the following subsections.</w:t>
      </w:r>
    </w:p>
    <w:p w14:paraId="353520B6" w14:textId="77777777" w:rsidR="008E4CA1" w:rsidRDefault="008E4CA1" w:rsidP="008E4CA1">
      <w:pPr>
        <w:pStyle w:val="CETheadingx"/>
      </w:pPr>
      <w:r>
        <w:t>Chemical composition and calorific value</w:t>
      </w:r>
    </w:p>
    <w:p w14:paraId="5234AB33" w14:textId="77777777" w:rsidR="008E4CA1" w:rsidRDefault="008E4CA1" w:rsidP="008E4CA1">
      <w:pPr>
        <w:pStyle w:val="CETBodytext"/>
      </w:pPr>
      <w:r>
        <w:t xml:space="preserve">The data for centrifuged sludge consists of information collected during technical visits to the </w:t>
      </w:r>
      <w:proofErr w:type="spellStart"/>
      <w:r>
        <w:t>Mulembá</w:t>
      </w:r>
      <w:proofErr w:type="spellEnd"/>
      <w:r>
        <w:t xml:space="preserve"> I WWTP. Based on the data provided by the company, a proximate and elemental analysis of the sludge samples is conducted, followed by the determination of their calorific value.</w:t>
      </w:r>
    </w:p>
    <w:p w14:paraId="4998AF80" w14:textId="77777777" w:rsidR="008E4CA1" w:rsidRDefault="008E4CA1" w:rsidP="008E4CA1">
      <w:pPr>
        <w:pStyle w:val="CETBodytext"/>
      </w:pPr>
      <w:r>
        <w:t>Five replicates were carried out in a PerkinElmer CHNS/O 2400 Series II elementary analyzer for the elemental analysis. Carbon, hydrogen, nitrogen, and sulfur concentrations were determined, while oxygen concentration was calculated by difference. Regarding the proximate analysis, a TGA701 Thermogravimetric Analyzer was used with three different heating ramps (5, 10, and 20 °C/min), while the calorific value was determined through three replicates by using a C2000 Calorimeter.</w:t>
      </w:r>
    </w:p>
    <w:p w14:paraId="01919187" w14:textId="77777777" w:rsidR="008E4CA1" w:rsidRDefault="008E4CA1" w:rsidP="008E4CA1">
      <w:pPr>
        <w:pStyle w:val="CETheadingx"/>
      </w:pPr>
      <w:r>
        <w:t>Granulometric analysis</w:t>
      </w:r>
    </w:p>
    <w:p w14:paraId="48889B38" w14:textId="77777777" w:rsidR="008E4CA1" w:rsidRDefault="008E4CA1" w:rsidP="008E4CA1">
      <w:pPr>
        <w:pStyle w:val="CETBodytext"/>
      </w:pPr>
      <w:r>
        <w:t xml:space="preserve">Particle size distribution analyses are necessary to understand the influence of the mixture of treated and centrifuged sludge, as well as the drying method used on the final particle diameter of the sludge. The test followed the procedure described below, which was based on the Brazilian Standard (NBR) 7217 </w:t>
      </w:r>
      <w:sdt>
        <w:sdtPr>
          <w:rPr>
            <w:color w:val="000000"/>
            <w:lang w:val="pt-BR"/>
          </w:rPr>
          <w:tag w:val="MENDELEY_CITATION_v3_eyJjaXRhdGlvbklEIjoiTUVOREVMRVlfQ0lUQVRJT05fZDc5Y2FhODgtNjYxOS00MGExLTkyNmItNzI0OWQyODE2OTk5IiwicHJvcGVydGllcyI6eyJub3RlSW5kZXgiOjB9LCJpc0VkaXRlZCI6ZmFsc2UsIm1hbnVhbE92ZXJyaWRlIjp7ImlzTWFudWFsbHlPdmVycmlkZGVuIjpmYWxzZSwiY2l0ZXByb2NUZXh0IjoiKEFzc29jaWHDp8OjbyBCcmFzaWxlaXJhIGRlIE5vcm1hcyBUw6ljbmljYXMsIDE5ODcpIiwibWFudWFsT3ZlcnJpZGVUZXh0IjoiIn0sImNpdGF0aW9uSXRlbXMiOlt7ImlkIjoiNjdlYjI4OTYtYmMzNi0zYjk3LTkzYzUtN2ViNWEzYWVlYThkIiwiaXRlbURhdGEiOnsidHlwZSI6ImFydGljbGUtam91cm5hbCIsImlkIjoiNjdlYjI4OTYtYmMzNi0zYjk3LTkzYzUtN2ViNWEzYWVlYThkIiwidGl0bGUiOiJEZXRlcm1pbmHDp8OjbyBkYSBjb21wb3Npw6fDo28gZ3JhbnVsb23DqXRyaWNhLU5CUiA3MjE3IiwiYXV0aG9yIjpbeyJmYW1pbHkiOiJBc3NvY2lhw6fDo28gQnJhc2lsZWlyYSBkZSBOb3JtYXMgVMOpY25pY2FzIiwiZ2l2ZW4iOiIiLCJwYXJzZS1uYW1lcyI6ZmFsc2UsImRyb3BwaW5nLXBhcnRpY2xlIjoiIiwibm9uLWRyb3BwaW5nLXBhcnRpY2xlIjoiIn1dLCJjb250YWluZXItdGl0bGUiOiJBQk5ULUFzc29jLiBCcmFzLiBOb3JtYXMgVGVjIiwiaXNzdWVkIjp7ImRhdGUtcGFydHMiOltbMTk4N11dfSwicGFnZSI6IjMiLCJjb250YWluZXItdGl0bGUtc2hvcnQiOiIifSwiaXNUZW1wb3JhcnkiOmZhbHNlfV19"/>
          <w:id w:val="1429461513"/>
          <w:placeholder>
            <w:docPart w:val="0FAA3DE9A19447B68986A99BADAE81AB"/>
          </w:placeholder>
        </w:sdtPr>
        <w:sdtContent>
          <w:r>
            <w:rPr>
              <w:color w:val="000000"/>
            </w:rPr>
            <w:t>(</w:t>
          </w:r>
          <w:proofErr w:type="spellStart"/>
          <w:r>
            <w:rPr>
              <w:color w:val="000000"/>
            </w:rPr>
            <w:t>Associação</w:t>
          </w:r>
          <w:proofErr w:type="spellEnd"/>
          <w:r>
            <w:rPr>
              <w:color w:val="000000"/>
            </w:rPr>
            <w:t xml:space="preserve"> Brasileira de Normas </w:t>
          </w:r>
          <w:proofErr w:type="spellStart"/>
          <w:r>
            <w:rPr>
              <w:color w:val="000000"/>
            </w:rPr>
            <w:t>Técnicas</w:t>
          </w:r>
          <w:proofErr w:type="spellEnd"/>
          <w:r>
            <w:rPr>
              <w:color w:val="000000"/>
            </w:rPr>
            <w:t>, 1987)</w:t>
          </w:r>
        </w:sdtContent>
      </w:sdt>
      <w:r>
        <w:t xml:space="preserve"> and can be observed in Figure 1:</w:t>
      </w:r>
    </w:p>
    <w:p w14:paraId="3BB78F82" w14:textId="77777777" w:rsidR="008E4CA1" w:rsidRDefault="008E4CA1" w:rsidP="008E4CA1">
      <w:pPr>
        <w:pStyle w:val="CETnumberingbullets"/>
      </w:pPr>
      <w:r>
        <w:t>Sludges with initial TS content ranging from 20% to 90% undergo thermal drying in the experimental dryer (granular bed method);</w:t>
      </w:r>
    </w:p>
    <w:p w14:paraId="0C093D34" w14:textId="77777777" w:rsidR="008E4CA1" w:rsidRDefault="008E4CA1" w:rsidP="008E4CA1">
      <w:pPr>
        <w:pStyle w:val="CETnumberingbullets"/>
        <w:jc w:val="both"/>
        <w:rPr>
          <w:lang w:val="en-US"/>
        </w:rPr>
      </w:pPr>
      <w:r>
        <w:rPr>
          <w:lang w:val="en-US"/>
        </w:rPr>
        <w:t>Centrifuged sludge undergoes thermal drying in the experimental dryer (granular bed method) and an oven (convective method);</w:t>
      </w:r>
    </w:p>
    <w:p w14:paraId="597DB899" w14:textId="77777777" w:rsidR="008E4CA1" w:rsidRDefault="008E4CA1" w:rsidP="008E4CA1">
      <w:pPr>
        <w:pStyle w:val="CETnumberingbullets"/>
      </w:pPr>
      <w:r>
        <w:rPr>
          <w:lang w:val="en-US"/>
        </w:rPr>
        <w:t>Centrifuged sludge (non-</w:t>
      </w:r>
      <w:r>
        <w:t xml:space="preserve">crumbled </w:t>
      </w:r>
      <w:r>
        <w:rPr>
          <w:lang w:val="en-US"/>
        </w:rPr>
        <w:t xml:space="preserve">and </w:t>
      </w:r>
      <w:r>
        <w:t>crumbled</w:t>
      </w:r>
      <w:r>
        <w:rPr>
          <w:lang w:val="en-US"/>
        </w:rPr>
        <w:t>) undergoes drying on a heated plate.</w:t>
      </w:r>
    </w:p>
    <w:p w14:paraId="471FB513" w14:textId="77777777" w:rsidR="008E4CA1" w:rsidRDefault="008E4CA1" w:rsidP="008E4CA1">
      <w:pPr>
        <w:pStyle w:val="CETnumberingbullets"/>
        <w:numPr>
          <w:ilvl w:val="0"/>
          <w:numId w:val="0"/>
        </w:numPr>
        <w:spacing w:line="120" w:lineRule="auto"/>
        <w:ind w:left="340" w:hanging="227"/>
        <w:jc w:val="both"/>
        <w:rPr>
          <w:lang w:val="en-US"/>
        </w:rPr>
      </w:pPr>
    </w:p>
    <w:p w14:paraId="10CADDEB" w14:textId="77777777" w:rsidR="008E4CA1" w:rsidRDefault="008E4CA1" w:rsidP="008E4CA1">
      <w:pPr>
        <w:pStyle w:val="CETnumberingbullets"/>
        <w:numPr>
          <w:ilvl w:val="0"/>
          <w:numId w:val="0"/>
        </w:numPr>
        <w:jc w:val="both"/>
        <w:rPr>
          <w:lang w:val="en-US"/>
        </w:rPr>
      </w:pPr>
    </w:p>
    <w:p w14:paraId="7048F76C" w14:textId="77777777" w:rsidR="008E4CA1" w:rsidRDefault="008E4CA1" w:rsidP="008E4CA1">
      <w:pPr>
        <w:pStyle w:val="CETnumberingbullets"/>
        <w:numPr>
          <w:ilvl w:val="0"/>
          <w:numId w:val="0"/>
        </w:numPr>
        <w:jc w:val="both"/>
        <w:rPr>
          <w:lang w:val="en-US"/>
        </w:rPr>
      </w:pPr>
    </w:p>
    <w:p w14:paraId="26727E88" w14:textId="51B0375E" w:rsidR="008E4CA1" w:rsidRDefault="008E4CA1" w:rsidP="008E4CA1">
      <w:pPr>
        <w:pStyle w:val="CETnumberingbullets"/>
        <w:numPr>
          <w:ilvl w:val="0"/>
          <w:numId w:val="0"/>
        </w:numPr>
        <w:jc w:val="both"/>
        <w:rPr>
          <w:lang w:val="en-US"/>
        </w:rPr>
      </w:pPr>
      <w:r>
        <w:rPr>
          <w:lang w:val="en-US"/>
        </w:rPr>
        <w:lastRenderedPageBreak/>
        <w:t xml:space="preserve"> </w:t>
      </w:r>
      <w:r>
        <w:rPr>
          <w:noProof/>
          <w:lang w:val="pt-BR" w:eastAsia="pt-BR"/>
        </w:rPr>
        <w:drawing>
          <wp:inline distT="0" distB="0" distL="0" distR="0" wp14:anchorId="3DA729D3" wp14:editId="59F06BEB">
            <wp:extent cx="3959749" cy="1337669"/>
            <wp:effectExtent l="0" t="0" r="0" b="0"/>
            <wp:docPr id="18610582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17664" b="2419"/>
                    <a:stretch>
                      <a:fillRect/>
                    </a:stretch>
                  </pic:blipFill>
                  <pic:spPr bwMode="auto">
                    <a:xfrm>
                      <a:off x="0" y="0"/>
                      <a:ext cx="3966432" cy="1339927"/>
                    </a:xfrm>
                    <a:prstGeom prst="rect">
                      <a:avLst/>
                    </a:prstGeom>
                    <a:noFill/>
                    <a:ln>
                      <a:noFill/>
                    </a:ln>
                  </pic:spPr>
                </pic:pic>
              </a:graphicData>
            </a:graphic>
          </wp:inline>
        </w:drawing>
      </w:r>
    </w:p>
    <w:p w14:paraId="116CFF13" w14:textId="039AE485" w:rsidR="008E4CA1" w:rsidRDefault="008E4CA1" w:rsidP="008E4CA1">
      <w:pPr>
        <w:pStyle w:val="CETBodytext"/>
      </w:pPr>
      <w:r>
        <w:rPr>
          <w:rStyle w:val="CETCaptionCarattere"/>
        </w:rPr>
        <w:t>Figure 1: 1) Sludge treated with 40% TS; 2) Centrifuged sludge with drying in an oven (A</w:t>
      </w:r>
      <w:r w:rsidRPr="00DD0AE7">
        <w:rPr>
          <w:rStyle w:val="CETCaptionCarattere"/>
        </w:rPr>
        <w:t>) and an</w:t>
      </w:r>
      <w:r>
        <w:rPr>
          <w:rStyle w:val="CETCaptionCarattere"/>
        </w:rPr>
        <w:t xml:space="preserve"> experimental dryer (B); 3) Sludge centrifuged and dry on a heated plate </w:t>
      </w:r>
    </w:p>
    <w:p w14:paraId="1D824350" w14:textId="77777777" w:rsidR="008E4CA1" w:rsidRDefault="008E4CA1" w:rsidP="008E4CA1">
      <w:pPr>
        <w:pStyle w:val="CETheadingx"/>
      </w:pPr>
      <w:r>
        <w:t>Surface adhesion tension</w:t>
      </w:r>
    </w:p>
    <w:p w14:paraId="295D0B83" w14:textId="77777777" w:rsidR="008E4CA1" w:rsidRPr="00487DD6" w:rsidRDefault="008E4CA1" w:rsidP="008E4CA1">
      <w:pPr>
        <w:pStyle w:val="CETBodytext"/>
      </w:pPr>
      <w:r>
        <w:t xml:space="preserve">In order to characterize the adhesive forces present in the sludge and define the physical boundaries between its fluid, plastic, and solid states, the </w:t>
      </w:r>
      <w:r w:rsidRPr="00731A2B">
        <w:t xml:space="preserve">surface adhesion test </w:t>
      </w:r>
      <w:r>
        <w:t xml:space="preserve">was conducted using the universal testing machine from EMIC, model DL, with a load cell of 50 N. Throughout the test, a force between 0 and 1 N was applied to the sludge surface with a flat plate, followed by the tensile test and recording of the maximum stress. </w:t>
      </w:r>
      <w:r>
        <w:rPr>
          <w:lang w:val="pt-BR"/>
        </w:rPr>
        <w:t xml:space="preserve">The </w:t>
      </w:r>
      <w:r w:rsidRPr="00731A2B">
        <w:t>Surface adhesion tension</w:t>
      </w:r>
      <w:r w:rsidRPr="00731A2B">
        <w:rPr>
          <w:lang w:val="pt-BR"/>
        </w:rPr>
        <w:t xml:space="preserve"> </w:t>
      </w:r>
      <w:r>
        <w:rPr>
          <w:lang w:val="pt-BR"/>
        </w:rPr>
        <w:t xml:space="preserve">(SAT) </w:t>
      </w:r>
      <w:r w:rsidRPr="00487DD6">
        <w:t>was calculated using Equation 1.</w:t>
      </w:r>
    </w:p>
    <w:tbl>
      <w:tblPr>
        <w:tblW w:w="5000" w:type="pct"/>
        <w:tblLook w:val="04A0" w:firstRow="1" w:lastRow="0" w:firstColumn="1" w:lastColumn="0" w:noHBand="0" w:noVBand="1"/>
      </w:tblPr>
      <w:tblGrid>
        <w:gridCol w:w="7718"/>
        <w:gridCol w:w="786"/>
      </w:tblGrid>
      <w:tr w:rsidR="008E4CA1" w14:paraId="306CCC31" w14:textId="77777777" w:rsidTr="00F04A9A">
        <w:tc>
          <w:tcPr>
            <w:tcW w:w="7986" w:type="dxa"/>
            <w:vAlign w:val="center"/>
            <w:hideMark/>
          </w:tcPr>
          <w:p w14:paraId="718F63F3" w14:textId="77777777" w:rsidR="008E4CA1" w:rsidRDefault="008E4CA1" w:rsidP="00F04A9A">
            <w:pPr>
              <w:pStyle w:val="CETEquation"/>
              <w:jc w:val="both"/>
            </w:pPr>
            <w:r>
              <w:rPr>
                <w:noProof/>
                <w:lang w:val="pt-BR" w:eastAsia="pt-BR"/>
              </w:rPr>
              <w:drawing>
                <wp:inline distT="0" distB="0" distL="0" distR="0" wp14:anchorId="7A98F397" wp14:editId="58C5F060">
                  <wp:extent cx="730250" cy="402590"/>
                  <wp:effectExtent l="0" t="0" r="0" b="0"/>
                  <wp:docPr id="152935468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 cstate="print">
                            <a:extLst>
                              <a:ext uri="{28A0092B-C50C-407E-A947-70E740481C1C}">
                                <a14:useLocalDpi xmlns:a14="http://schemas.microsoft.com/office/drawing/2010/main" val="0"/>
                              </a:ext>
                            </a:extLst>
                          </a:blip>
                          <a:srcRect l="43439" r="43398"/>
                          <a:stretch>
                            <a:fillRect/>
                          </a:stretch>
                        </pic:blipFill>
                        <pic:spPr bwMode="auto">
                          <a:xfrm>
                            <a:off x="0" y="0"/>
                            <a:ext cx="730250" cy="402590"/>
                          </a:xfrm>
                          <a:prstGeom prst="rect">
                            <a:avLst/>
                          </a:prstGeom>
                          <a:noFill/>
                          <a:ln>
                            <a:noFill/>
                          </a:ln>
                        </pic:spPr>
                      </pic:pic>
                    </a:graphicData>
                  </a:graphic>
                </wp:inline>
              </w:drawing>
            </w:r>
          </w:p>
        </w:tc>
        <w:tc>
          <w:tcPr>
            <w:tcW w:w="801" w:type="dxa"/>
            <w:vAlign w:val="center"/>
            <w:hideMark/>
          </w:tcPr>
          <w:p w14:paraId="24FA466F" w14:textId="77777777" w:rsidR="008E4CA1" w:rsidRDefault="008E4CA1" w:rsidP="00F04A9A">
            <w:pPr>
              <w:pStyle w:val="CETEquation"/>
              <w:jc w:val="right"/>
            </w:pPr>
            <w:r>
              <w:t>(1)</w:t>
            </w:r>
          </w:p>
        </w:tc>
      </w:tr>
    </w:tbl>
    <w:p w14:paraId="58E252A9" w14:textId="77777777" w:rsidR="008E4CA1" w:rsidRDefault="008E4CA1" w:rsidP="008E4CA1">
      <w:pPr>
        <w:pStyle w:val="CETBodytext"/>
        <w:rPr>
          <w:lang w:val="en-GB"/>
        </w:rPr>
      </w:pPr>
      <w:r>
        <w:rPr>
          <w:lang w:val="en-GB"/>
        </w:rPr>
        <w:t xml:space="preserve">In this test, 14 distinct samples were used, including sludges with TS content ranging from 15% to 90%, as well as samples with 3.5% (thickened sludge) and 7.5% TS (mixture of thickened sludge and treated dry sludge), potable water, and </w:t>
      </w:r>
      <w:r>
        <w:t>crumbled</w:t>
      </w:r>
      <w:r>
        <w:rPr>
          <w:lang w:val="en-GB"/>
        </w:rPr>
        <w:t xml:space="preserve"> sludge.</w:t>
      </w:r>
    </w:p>
    <w:p w14:paraId="7D89F595" w14:textId="77777777" w:rsidR="008E4CA1" w:rsidRDefault="008E4CA1" w:rsidP="008E4CA1">
      <w:pPr>
        <w:pStyle w:val="CETHeading1"/>
        <w:tabs>
          <w:tab w:val="clear" w:pos="360"/>
          <w:tab w:val="right" w:pos="7100"/>
        </w:tabs>
        <w:jc w:val="both"/>
        <w:rPr>
          <w:lang w:val="en-GB"/>
        </w:rPr>
      </w:pPr>
      <w:r>
        <w:rPr>
          <w:lang w:val="en-GB"/>
        </w:rPr>
        <w:t>Results</w:t>
      </w:r>
    </w:p>
    <w:p w14:paraId="309F4D51" w14:textId="7E070DD5" w:rsidR="008E4CA1" w:rsidRDefault="008E4CA1" w:rsidP="008E4CA1">
      <w:pPr>
        <w:pStyle w:val="CETBodytext"/>
        <w:rPr>
          <w:lang w:val="en-GB"/>
        </w:rPr>
      </w:pPr>
      <w:r>
        <w:rPr>
          <w:lang w:val="en-GB"/>
        </w:rPr>
        <w:t xml:space="preserve">This section shows the results of the characterization of sanitary sludge and </w:t>
      </w:r>
      <w:r w:rsidR="005D67E2">
        <w:rPr>
          <w:lang w:val="en-GB"/>
        </w:rPr>
        <w:t>compares the convective drying method with</w:t>
      </w:r>
      <w:r>
        <w:rPr>
          <w:lang w:val="en-GB"/>
        </w:rPr>
        <w:t xml:space="preserve"> the granular bed method.</w:t>
      </w:r>
    </w:p>
    <w:p w14:paraId="6A65DD63" w14:textId="77777777" w:rsidR="008E4CA1" w:rsidRDefault="008E4CA1" w:rsidP="008E4CA1">
      <w:pPr>
        <w:pStyle w:val="CETheadingx"/>
      </w:pPr>
      <w:r>
        <w:t>Chemical composition and calorific value</w:t>
      </w:r>
    </w:p>
    <w:p w14:paraId="0E8CE6FA" w14:textId="77777777" w:rsidR="008E4CA1" w:rsidRDefault="008E4CA1" w:rsidP="008E4CA1">
      <w:pPr>
        <w:pStyle w:val="CETBodytext"/>
      </w:pPr>
      <w:r w:rsidRPr="00E80599">
        <w:t xml:space="preserve">The chemical composition (ultimate and proximate) and the calorific value of the sludge samples collected at the </w:t>
      </w:r>
      <w:proofErr w:type="spellStart"/>
      <w:r w:rsidRPr="00E80599">
        <w:t>Mulembá</w:t>
      </w:r>
      <w:proofErr w:type="spellEnd"/>
      <w:r w:rsidRPr="00E80599">
        <w:t xml:space="preserve"> I WWTP are presented in Table 1. </w:t>
      </w:r>
      <w:r>
        <w:t xml:space="preserve"> </w:t>
      </w:r>
    </w:p>
    <w:p w14:paraId="60EB0B4F" w14:textId="476526C3" w:rsidR="008E4CA1" w:rsidRDefault="008E4CA1" w:rsidP="008E4CA1">
      <w:pPr>
        <w:pStyle w:val="CETTabletitle"/>
      </w:pPr>
      <w:r>
        <w:t>Table 1: Chemical composition of sanitary sludge</w:t>
      </w:r>
    </w:p>
    <w:tbl>
      <w:tblPr>
        <w:tblW w:w="495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94"/>
        <w:gridCol w:w="383"/>
        <w:gridCol w:w="1850"/>
        <w:gridCol w:w="626"/>
      </w:tblGrid>
      <w:tr w:rsidR="008E4CA1" w14:paraId="6A4D017A" w14:textId="77777777" w:rsidTr="00C92D7F">
        <w:trPr>
          <w:trHeight w:val="465"/>
        </w:trPr>
        <w:tc>
          <w:tcPr>
            <w:tcW w:w="2094" w:type="dxa"/>
            <w:tcBorders>
              <w:top w:val="single" w:sz="12" w:space="0" w:color="008000"/>
              <w:left w:val="nil"/>
              <w:bottom w:val="single" w:sz="6" w:space="0" w:color="008000"/>
              <w:right w:val="nil"/>
            </w:tcBorders>
            <w:shd w:val="clear" w:color="auto" w:fill="FFFFFF"/>
            <w:vAlign w:val="center"/>
            <w:hideMark/>
          </w:tcPr>
          <w:p w14:paraId="341DC891" w14:textId="77777777" w:rsidR="008E4CA1" w:rsidRDefault="008E4CA1" w:rsidP="00F04A9A">
            <w:pPr>
              <w:pStyle w:val="CETBodytext"/>
              <w:jc w:val="center"/>
              <w:rPr>
                <w:lang w:val="en-GB"/>
              </w:rPr>
            </w:pPr>
            <w:r>
              <w:rPr>
                <w:lang w:val="en-GB"/>
              </w:rPr>
              <w:t>Ultimate analysis</w:t>
            </w:r>
          </w:p>
        </w:tc>
        <w:tc>
          <w:tcPr>
            <w:tcW w:w="383" w:type="dxa"/>
            <w:tcBorders>
              <w:top w:val="single" w:sz="12" w:space="0" w:color="008000"/>
              <w:left w:val="nil"/>
              <w:bottom w:val="single" w:sz="6" w:space="0" w:color="008000"/>
              <w:right w:val="nil"/>
            </w:tcBorders>
            <w:shd w:val="clear" w:color="auto" w:fill="FFFFFF"/>
            <w:vAlign w:val="center"/>
            <w:hideMark/>
          </w:tcPr>
          <w:p w14:paraId="75A4279B" w14:textId="77777777" w:rsidR="008E4CA1" w:rsidRDefault="008E4CA1" w:rsidP="00F04A9A">
            <w:pPr>
              <w:pStyle w:val="CETBodytext"/>
              <w:jc w:val="center"/>
              <w:rPr>
                <w:lang w:val="en-GB"/>
              </w:rPr>
            </w:pPr>
            <w:r>
              <w:rPr>
                <w:lang w:val="en-GB"/>
              </w:rPr>
              <w:t>%</w:t>
            </w:r>
          </w:p>
        </w:tc>
        <w:tc>
          <w:tcPr>
            <w:tcW w:w="1850" w:type="dxa"/>
            <w:tcBorders>
              <w:top w:val="single" w:sz="12" w:space="0" w:color="008000"/>
              <w:left w:val="nil"/>
              <w:bottom w:val="single" w:sz="6" w:space="0" w:color="008000"/>
              <w:right w:val="nil"/>
            </w:tcBorders>
            <w:shd w:val="clear" w:color="auto" w:fill="FFFFFF"/>
            <w:vAlign w:val="center"/>
            <w:hideMark/>
          </w:tcPr>
          <w:p w14:paraId="359069B5" w14:textId="77777777" w:rsidR="008E4CA1" w:rsidRDefault="008E4CA1" w:rsidP="00F04A9A">
            <w:pPr>
              <w:pStyle w:val="CETBodytext"/>
              <w:jc w:val="center"/>
              <w:rPr>
                <w:lang w:val="en-GB"/>
              </w:rPr>
            </w:pPr>
            <w:r>
              <w:rPr>
                <w:lang w:val="en-GB"/>
              </w:rPr>
              <w:t>Proximate analysis</w:t>
            </w:r>
          </w:p>
        </w:tc>
        <w:tc>
          <w:tcPr>
            <w:tcW w:w="626" w:type="dxa"/>
            <w:tcBorders>
              <w:top w:val="single" w:sz="12" w:space="0" w:color="008000"/>
              <w:left w:val="nil"/>
              <w:bottom w:val="single" w:sz="6" w:space="0" w:color="008000"/>
              <w:right w:val="nil"/>
            </w:tcBorders>
            <w:shd w:val="clear" w:color="auto" w:fill="FFFFFF"/>
            <w:vAlign w:val="center"/>
            <w:hideMark/>
          </w:tcPr>
          <w:p w14:paraId="00341D19" w14:textId="77777777" w:rsidR="008E4CA1" w:rsidRDefault="008E4CA1" w:rsidP="00F04A9A">
            <w:pPr>
              <w:pStyle w:val="CETBodytext"/>
              <w:ind w:right="-1"/>
              <w:jc w:val="center"/>
              <w:rPr>
                <w:rFonts w:cs="Arial"/>
                <w:szCs w:val="18"/>
                <w:lang w:val="en-GB"/>
              </w:rPr>
            </w:pPr>
            <w:r>
              <w:rPr>
                <w:rFonts w:cs="Arial"/>
                <w:szCs w:val="18"/>
                <w:lang w:val="en-GB"/>
              </w:rPr>
              <w:t>%</w:t>
            </w:r>
          </w:p>
        </w:tc>
      </w:tr>
      <w:tr w:rsidR="008E4CA1" w14:paraId="6A5AA8EE" w14:textId="77777777" w:rsidTr="00C92D7F">
        <w:trPr>
          <w:trHeight w:val="247"/>
        </w:trPr>
        <w:tc>
          <w:tcPr>
            <w:tcW w:w="2094" w:type="dxa"/>
            <w:tcBorders>
              <w:top w:val="nil"/>
              <w:left w:val="nil"/>
              <w:bottom w:val="nil"/>
              <w:right w:val="nil"/>
            </w:tcBorders>
            <w:shd w:val="clear" w:color="auto" w:fill="FFFFFF"/>
            <w:vAlign w:val="center"/>
            <w:hideMark/>
          </w:tcPr>
          <w:p w14:paraId="273E8468" w14:textId="77777777" w:rsidR="008E4CA1" w:rsidRDefault="008E4CA1" w:rsidP="00F04A9A">
            <w:pPr>
              <w:pStyle w:val="CETBodytext"/>
              <w:jc w:val="center"/>
              <w:rPr>
                <w:lang w:val="en-GB"/>
              </w:rPr>
            </w:pPr>
            <w:r>
              <w:rPr>
                <w:lang w:val="en-GB"/>
              </w:rPr>
              <w:t>C</w:t>
            </w:r>
          </w:p>
        </w:tc>
        <w:tc>
          <w:tcPr>
            <w:tcW w:w="383" w:type="dxa"/>
            <w:tcBorders>
              <w:top w:val="nil"/>
              <w:left w:val="nil"/>
              <w:bottom w:val="nil"/>
              <w:right w:val="nil"/>
            </w:tcBorders>
            <w:shd w:val="clear" w:color="auto" w:fill="FFFFFF"/>
            <w:vAlign w:val="center"/>
            <w:hideMark/>
          </w:tcPr>
          <w:p w14:paraId="246A5EE7" w14:textId="77777777" w:rsidR="008E4CA1" w:rsidRDefault="008E4CA1" w:rsidP="00F04A9A">
            <w:pPr>
              <w:pStyle w:val="CETBodytext"/>
              <w:jc w:val="center"/>
              <w:rPr>
                <w:lang w:val="en-GB"/>
              </w:rPr>
            </w:pPr>
            <w:r>
              <w:rPr>
                <w:lang w:val="en-GB"/>
              </w:rPr>
              <w:t>40.0</w:t>
            </w:r>
          </w:p>
        </w:tc>
        <w:tc>
          <w:tcPr>
            <w:tcW w:w="1850" w:type="dxa"/>
            <w:tcBorders>
              <w:top w:val="nil"/>
              <w:left w:val="nil"/>
              <w:bottom w:val="nil"/>
              <w:right w:val="nil"/>
            </w:tcBorders>
            <w:shd w:val="clear" w:color="auto" w:fill="FFFFFF"/>
            <w:vAlign w:val="center"/>
            <w:hideMark/>
          </w:tcPr>
          <w:p w14:paraId="1FC78495" w14:textId="77777777" w:rsidR="008E4CA1" w:rsidRDefault="008E4CA1" w:rsidP="00F04A9A">
            <w:pPr>
              <w:pStyle w:val="CETBodytext"/>
              <w:jc w:val="center"/>
              <w:rPr>
                <w:lang w:val="en-GB"/>
              </w:rPr>
            </w:pPr>
            <w:r>
              <w:rPr>
                <w:lang w:val="en-GB"/>
              </w:rPr>
              <w:t>Moisture</w:t>
            </w:r>
          </w:p>
        </w:tc>
        <w:tc>
          <w:tcPr>
            <w:tcW w:w="626" w:type="dxa"/>
            <w:tcBorders>
              <w:top w:val="nil"/>
              <w:left w:val="nil"/>
              <w:bottom w:val="nil"/>
              <w:right w:val="nil"/>
            </w:tcBorders>
            <w:shd w:val="clear" w:color="auto" w:fill="FFFFFF"/>
            <w:vAlign w:val="center"/>
            <w:hideMark/>
          </w:tcPr>
          <w:p w14:paraId="4436189A" w14:textId="77777777" w:rsidR="008E4CA1" w:rsidRDefault="008E4CA1" w:rsidP="00F04A9A">
            <w:pPr>
              <w:pStyle w:val="CETBodytext"/>
              <w:ind w:right="-1"/>
              <w:jc w:val="center"/>
              <w:rPr>
                <w:rFonts w:cs="Arial"/>
                <w:szCs w:val="18"/>
                <w:lang w:val="en-GB"/>
              </w:rPr>
            </w:pPr>
            <w:r>
              <w:rPr>
                <w:rFonts w:cs="Arial"/>
                <w:szCs w:val="18"/>
                <w:lang w:val="en-GB"/>
              </w:rPr>
              <w:t>8.58</w:t>
            </w:r>
          </w:p>
        </w:tc>
      </w:tr>
      <w:tr w:rsidR="008E4CA1" w14:paraId="7D71C5E5" w14:textId="77777777" w:rsidTr="00C92D7F">
        <w:trPr>
          <w:trHeight w:val="232"/>
        </w:trPr>
        <w:tc>
          <w:tcPr>
            <w:tcW w:w="2094" w:type="dxa"/>
            <w:tcBorders>
              <w:top w:val="nil"/>
              <w:left w:val="nil"/>
              <w:bottom w:val="nil"/>
              <w:right w:val="nil"/>
            </w:tcBorders>
            <w:shd w:val="clear" w:color="auto" w:fill="FFFFFF"/>
            <w:vAlign w:val="center"/>
            <w:hideMark/>
          </w:tcPr>
          <w:p w14:paraId="330F9C43" w14:textId="77777777" w:rsidR="008E4CA1" w:rsidRDefault="008E4CA1" w:rsidP="00F04A9A">
            <w:pPr>
              <w:pStyle w:val="CETBodytext"/>
              <w:jc w:val="center"/>
              <w:rPr>
                <w:lang w:val="en-GB"/>
              </w:rPr>
            </w:pPr>
            <w:r>
              <w:rPr>
                <w:lang w:val="en-GB"/>
              </w:rPr>
              <w:t>H</w:t>
            </w:r>
          </w:p>
        </w:tc>
        <w:tc>
          <w:tcPr>
            <w:tcW w:w="383" w:type="dxa"/>
            <w:tcBorders>
              <w:top w:val="nil"/>
              <w:left w:val="nil"/>
              <w:bottom w:val="nil"/>
              <w:right w:val="nil"/>
            </w:tcBorders>
            <w:shd w:val="clear" w:color="auto" w:fill="FFFFFF"/>
            <w:vAlign w:val="center"/>
            <w:hideMark/>
          </w:tcPr>
          <w:p w14:paraId="78EA7C18" w14:textId="77777777" w:rsidR="008E4CA1" w:rsidRDefault="008E4CA1" w:rsidP="00F04A9A">
            <w:pPr>
              <w:pStyle w:val="CETBodytext"/>
              <w:jc w:val="center"/>
              <w:rPr>
                <w:lang w:val="en-GB"/>
              </w:rPr>
            </w:pPr>
            <w:r>
              <w:rPr>
                <w:lang w:val="en-GB"/>
              </w:rPr>
              <w:t>5.8</w:t>
            </w:r>
          </w:p>
        </w:tc>
        <w:tc>
          <w:tcPr>
            <w:tcW w:w="1850" w:type="dxa"/>
            <w:tcBorders>
              <w:top w:val="nil"/>
              <w:left w:val="nil"/>
              <w:bottom w:val="nil"/>
              <w:right w:val="nil"/>
            </w:tcBorders>
            <w:shd w:val="clear" w:color="auto" w:fill="FFFFFF"/>
            <w:vAlign w:val="center"/>
            <w:hideMark/>
          </w:tcPr>
          <w:p w14:paraId="56A7A90B" w14:textId="77777777" w:rsidR="008E4CA1" w:rsidRDefault="008E4CA1" w:rsidP="00F04A9A">
            <w:pPr>
              <w:pStyle w:val="CETBodytext"/>
              <w:jc w:val="center"/>
              <w:rPr>
                <w:lang w:val="en-GB"/>
              </w:rPr>
            </w:pPr>
            <w:r>
              <w:rPr>
                <w:lang w:val="en-GB"/>
              </w:rPr>
              <w:t>Volatile</w:t>
            </w:r>
          </w:p>
        </w:tc>
        <w:tc>
          <w:tcPr>
            <w:tcW w:w="626" w:type="dxa"/>
            <w:tcBorders>
              <w:top w:val="nil"/>
              <w:left w:val="nil"/>
              <w:bottom w:val="nil"/>
              <w:right w:val="nil"/>
            </w:tcBorders>
            <w:shd w:val="clear" w:color="auto" w:fill="FFFFFF"/>
            <w:vAlign w:val="center"/>
            <w:hideMark/>
          </w:tcPr>
          <w:p w14:paraId="790CDC71" w14:textId="77777777" w:rsidR="008E4CA1" w:rsidRDefault="008E4CA1" w:rsidP="00F04A9A">
            <w:pPr>
              <w:pStyle w:val="CETBodytext"/>
              <w:ind w:right="-1"/>
              <w:jc w:val="center"/>
              <w:rPr>
                <w:rFonts w:cs="Arial"/>
                <w:szCs w:val="18"/>
                <w:lang w:val="en-GB"/>
              </w:rPr>
            </w:pPr>
            <w:r>
              <w:rPr>
                <w:rFonts w:cs="Arial"/>
                <w:szCs w:val="18"/>
                <w:lang w:val="en-GB"/>
              </w:rPr>
              <w:t>62.03</w:t>
            </w:r>
          </w:p>
        </w:tc>
      </w:tr>
      <w:tr w:rsidR="008E4CA1" w14:paraId="1AB0EE88" w14:textId="77777777" w:rsidTr="00C92D7F">
        <w:trPr>
          <w:trHeight w:val="232"/>
        </w:trPr>
        <w:tc>
          <w:tcPr>
            <w:tcW w:w="2094" w:type="dxa"/>
            <w:tcBorders>
              <w:top w:val="nil"/>
              <w:left w:val="nil"/>
              <w:bottom w:val="nil"/>
              <w:right w:val="nil"/>
            </w:tcBorders>
            <w:shd w:val="clear" w:color="auto" w:fill="FFFFFF"/>
            <w:vAlign w:val="center"/>
            <w:hideMark/>
          </w:tcPr>
          <w:p w14:paraId="10C1E34C" w14:textId="77777777" w:rsidR="008E4CA1" w:rsidRDefault="008E4CA1" w:rsidP="00F04A9A">
            <w:pPr>
              <w:pStyle w:val="CETBodytext"/>
              <w:ind w:right="-1"/>
              <w:jc w:val="center"/>
              <w:rPr>
                <w:rFonts w:cs="Arial"/>
                <w:szCs w:val="18"/>
                <w:lang w:val="en-GB"/>
              </w:rPr>
            </w:pPr>
            <w:r>
              <w:rPr>
                <w:rFonts w:cs="Arial"/>
                <w:szCs w:val="18"/>
                <w:lang w:val="en-GB"/>
              </w:rPr>
              <w:t>O</w:t>
            </w:r>
          </w:p>
        </w:tc>
        <w:tc>
          <w:tcPr>
            <w:tcW w:w="383" w:type="dxa"/>
            <w:tcBorders>
              <w:top w:val="nil"/>
              <w:left w:val="nil"/>
              <w:bottom w:val="nil"/>
              <w:right w:val="nil"/>
            </w:tcBorders>
            <w:shd w:val="clear" w:color="auto" w:fill="FFFFFF"/>
            <w:vAlign w:val="center"/>
            <w:hideMark/>
          </w:tcPr>
          <w:p w14:paraId="79398CE2" w14:textId="77777777" w:rsidR="008E4CA1" w:rsidRDefault="008E4CA1" w:rsidP="00F04A9A">
            <w:pPr>
              <w:pStyle w:val="CETBodytext"/>
              <w:ind w:right="-1"/>
              <w:jc w:val="center"/>
              <w:rPr>
                <w:rFonts w:cs="Arial"/>
                <w:szCs w:val="18"/>
                <w:lang w:val="en-GB"/>
              </w:rPr>
            </w:pPr>
            <w:r>
              <w:rPr>
                <w:rFonts w:cs="Arial"/>
                <w:szCs w:val="18"/>
                <w:lang w:val="en-GB"/>
              </w:rPr>
              <w:t>NA</w:t>
            </w:r>
          </w:p>
        </w:tc>
        <w:tc>
          <w:tcPr>
            <w:tcW w:w="1850" w:type="dxa"/>
            <w:tcBorders>
              <w:top w:val="nil"/>
              <w:left w:val="nil"/>
              <w:bottom w:val="nil"/>
              <w:right w:val="nil"/>
            </w:tcBorders>
            <w:shd w:val="clear" w:color="auto" w:fill="FFFFFF"/>
            <w:vAlign w:val="center"/>
            <w:hideMark/>
          </w:tcPr>
          <w:p w14:paraId="2FDEB5BC" w14:textId="77777777" w:rsidR="008E4CA1" w:rsidRDefault="008E4CA1" w:rsidP="00F04A9A">
            <w:pPr>
              <w:pStyle w:val="CETBodytext"/>
              <w:ind w:right="-1"/>
              <w:jc w:val="center"/>
              <w:rPr>
                <w:rFonts w:cs="Arial"/>
                <w:szCs w:val="18"/>
                <w:lang w:val="en-GB"/>
              </w:rPr>
            </w:pPr>
            <w:r>
              <w:rPr>
                <w:rFonts w:cs="Arial"/>
                <w:szCs w:val="18"/>
                <w:lang w:val="en-GB"/>
              </w:rPr>
              <w:t>Ash</w:t>
            </w:r>
          </w:p>
        </w:tc>
        <w:tc>
          <w:tcPr>
            <w:tcW w:w="626" w:type="dxa"/>
            <w:tcBorders>
              <w:top w:val="nil"/>
              <w:left w:val="nil"/>
              <w:bottom w:val="nil"/>
              <w:right w:val="nil"/>
            </w:tcBorders>
            <w:shd w:val="clear" w:color="auto" w:fill="FFFFFF"/>
            <w:vAlign w:val="center"/>
            <w:hideMark/>
          </w:tcPr>
          <w:p w14:paraId="0DEEBC0D" w14:textId="77777777" w:rsidR="008E4CA1" w:rsidRDefault="008E4CA1" w:rsidP="00F04A9A">
            <w:pPr>
              <w:pStyle w:val="CETBodytext"/>
              <w:ind w:right="-1"/>
              <w:jc w:val="center"/>
              <w:rPr>
                <w:rFonts w:cs="Arial"/>
                <w:szCs w:val="18"/>
                <w:lang w:val="en-GB"/>
              </w:rPr>
            </w:pPr>
            <w:r>
              <w:rPr>
                <w:rFonts w:cs="Arial"/>
                <w:szCs w:val="18"/>
                <w:lang w:val="en-GB"/>
              </w:rPr>
              <w:t>17.48</w:t>
            </w:r>
          </w:p>
        </w:tc>
      </w:tr>
      <w:tr w:rsidR="008E4CA1" w14:paraId="3B20D3F4" w14:textId="77777777" w:rsidTr="00C92D7F">
        <w:trPr>
          <w:trHeight w:val="232"/>
        </w:trPr>
        <w:tc>
          <w:tcPr>
            <w:tcW w:w="2094" w:type="dxa"/>
            <w:tcBorders>
              <w:top w:val="nil"/>
              <w:left w:val="nil"/>
              <w:bottom w:val="nil"/>
              <w:right w:val="nil"/>
            </w:tcBorders>
            <w:shd w:val="clear" w:color="auto" w:fill="FFFFFF"/>
            <w:vAlign w:val="center"/>
            <w:hideMark/>
          </w:tcPr>
          <w:p w14:paraId="10BB868A" w14:textId="77777777" w:rsidR="008E4CA1" w:rsidRDefault="008E4CA1" w:rsidP="00F04A9A">
            <w:pPr>
              <w:pStyle w:val="CETBodytext"/>
              <w:ind w:right="-1"/>
              <w:jc w:val="center"/>
              <w:rPr>
                <w:rFonts w:cs="Arial"/>
                <w:szCs w:val="18"/>
                <w:lang w:val="en-GB"/>
              </w:rPr>
            </w:pPr>
            <w:r>
              <w:rPr>
                <w:rFonts w:cs="Arial"/>
                <w:szCs w:val="18"/>
                <w:lang w:val="en-GB"/>
              </w:rPr>
              <w:t>N</w:t>
            </w:r>
          </w:p>
        </w:tc>
        <w:tc>
          <w:tcPr>
            <w:tcW w:w="383" w:type="dxa"/>
            <w:tcBorders>
              <w:top w:val="nil"/>
              <w:left w:val="nil"/>
              <w:bottom w:val="nil"/>
              <w:right w:val="nil"/>
            </w:tcBorders>
            <w:shd w:val="clear" w:color="auto" w:fill="FFFFFF"/>
            <w:vAlign w:val="center"/>
            <w:hideMark/>
          </w:tcPr>
          <w:p w14:paraId="05251947" w14:textId="77777777" w:rsidR="008E4CA1" w:rsidRDefault="008E4CA1" w:rsidP="00F04A9A">
            <w:pPr>
              <w:pStyle w:val="CETBodytext"/>
              <w:ind w:right="-1"/>
              <w:jc w:val="center"/>
              <w:rPr>
                <w:rFonts w:cs="Arial"/>
                <w:szCs w:val="18"/>
                <w:lang w:val="en-GB"/>
              </w:rPr>
            </w:pPr>
            <w:r>
              <w:rPr>
                <w:rFonts w:cs="Arial"/>
                <w:szCs w:val="18"/>
                <w:lang w:val="en-GB"/>
              </w:rPr>
              <w:t>7.0</w:t>
            </w:r>
          </w:p>
        </w:tc>
        <w:tc>
          <w:tcPr>
            <w:tcW w:w="1850" w:type="dxa"/>
            <w:vMerge w:val="restart"/>
            <w:tcBorders>
              <w:top w:val="nil"/>
              <w:left w:val="nil"/>
              <w:bottom w:val="single" w:sz="12" w:space="0" w:color="008000"/>
              <w:right w:val="nil"/>
            </w:tcBorders>
            <w:shd w:val="clear" w:color="auto" w:fill="FFFFFF"/>
            <w:vAlign w:val="center"/>
            <w:hideMark/>
          </w:tcPr>
          <w:p w14:paraId="7B4774A8" w14:textId="77777777" w:rsidR="008E4CA1" w:rsidRDefault="008E4CA1" w:rsidP="00F04A9A">
            <w:pPr>
              <w:pStyle w:val="CETBodytext"/>
              <w:ind w:right="-1"/>
              <w:jc w:val="center"/>
              <w:rPr>
                <w:rFonts w:cs="Arial"/>
                <w:szCs w:val="18"/>
                <w:lang w:val="en-GB"/>
              </w:rPr>
            </w:pPr>
            <w:r>
              <w:rPr>
                <w:rFonts w:cs="Arial"/>
                <w:szCs w:val="18"/>
                <w:lang w:val="en-GB"/>
              </w:rPr>
              <w:t>Fixed carbon</w:t>
            </w:r>
          </w:p>
        </w:tc>
        <w:tc>
          <w:tcPr>
            <w:tcW w:w="626" w:type="dxa"/>
            <w:vMerge w:val="restart"/>
            <w:tcBorders>
              <w:top w:val="nil"/>
              <w:left w:val="nil"/>
              <w:bottom w:val="single" w:sz="12" w:space="0" w:color="008000"/>
              <w:right w:val="nil"/>
            </w:tcBorders>
            <w:shd w:val="clear" w:color="auto" w:fill="FFFFFF"/>
            <w:vAlign w:val="center"/>
            <w:hideMark/>
          </w:tcPr>
          <w:p w14:paraId="7F535640" w14:textId="77777777" w:rsidR="008E4CA1" w:rsidRDefault="008E4CA1" w:rsidP="00F04A9A">
            <w:pPr>
              <w:pStyle w:val="CETBodytext"/>
              <w:ind w:right="-1"/>
              <w:jc w:val="center"/>
              <w:rPr>
                <w:rFonts w:cs="Arial"/>
                <w:szCs w:val="18"/>
                <w:lang w:val="en-GB"/>
              </w:rPr>
            </w:pPr>
            <w:r>
              <w:rPr>
                <w:rFonts w:cs="Arial"/>
                <w:szCs w:val="18"/>
                <w:lang w:val="en-GB"/>
              </w:rPr>
              <w:t>11.91</w:t>
            </w:r>
          </w:p>
        </w:tc>
      </w:tr>
      <w:tr w:rsidR="008E4CA1" w14:paraId="7B8B326A" w14:textId="77777777" w:rsidTr="00C92D7F">
        <w:trPr>
          <w:trHeight w:val="232"/>
        </w:trPr>
        <w:tc>
          <w:tcPr>
            <w:tcW w:w="2094" w:type="dxa"/>
            <w:tcBorders>
              <w:top w:val="nil"/>
              <w:left w:val="nil"/>
              <w:bottom w:val="single" w:sz="12" w:space="0" w:color="008000"/>
              <w:right w:val="nil"/>
            </w:tcBorders>
            <w:shd w:val="clear" w:color="auto" w:fill="FFFFFF"/>
            <w:vAlign w:val="center"/>
            <w:hideMark/>
          </w:tcPr>
          <w:p w14:paraId="75701779" w14:textId="77777777" w:rsidR="008E4CA1" w:rsidRDefault="008E4CA1" w:rsidP="00F04A9A">
            <w:pPr>
              <w:pStyle w:val="CETBodytext"/>
              <w:ind w:right="-1"/>
              <w:jc w:val="center"/>
              <w:rPr>
                <w:rFonts w:cs="Arial"/>
                <w:szCs w:val="18"/>
                <w:lang w:val="en-GB"/>
              </w:rPr>
            </w:pPr>
            <w:r>
              <w:rPr>
                <w:rFonts w:cs="Arial"/>
                <w:szCs w:val="18"/>
                <w:lang w:val="en-GB"/>
              </w:rPr>
              <w:t>S</w:t>
            </w:r>
          </w:p>
        </w:tc>
        <w:tc>
          <w:tcPr>
            <w:tcW w:w="383" w:type="dxa"/>
            <w:tcBorders>
              <w:top w:val="nil"/>
              <w:left w:val="nil"/>
              <w:bottom w:val="single" w:sz="12" w:space="0" w:color="008000"/>
              <w:right w:val="nil"/>
            </w:tcBorders>
            <w:shd w:val="clear" w:color="auto" w:fill="FFFFFF"/>
            <w:vAlign w:val="center"/>
            <w:hideMark/>
          </w:tcPr>
          <w:p w14:paraId="68416302" w14:textId="77777777" w:rsidR="008E4CA1" w:rsidRDefault="008E4CA1" w:rsidP="00F04A9A">
            <w:pPr>
              <w:pStyle w:val="CETBodytext"/>
              <w:ind w:right="-1"/>
              <w:jc w:val="center"/>
              <w:rPr>
                <w:rFonts w:cs="Arial"/>
                <w:szCs w:val="18"/>
                <w:lang w:val="en-GB"/>
              </w:rPr>
            </w:pPr>
            <w:r>
              <w:rPr>
                <w:rFonts w:cs="Arial"/>
                <w:szCs w:val="18"/>
                <w:lang w:val="en-GB"/>
              </w:rPr>
              <w:t>NA</w:t>
            </w:r>
          </w:p>
        </w:tc>
        <w:tc>
          <w:tcPr>
            <w:tcW w:w="0" w:type="auto"/>
            <w:vMerge/>
            <w:tcBorders>
              <w:top w:val="nil"/>
              <w:left w:val="nil"/>
              <w:bottom w:val="single" w:sz="12" w:space="0" w:color="008000"/>
              <w:right w:val="nil"/>
            </w:tcBorders>
            <w:shd w:val="clear" w:color="auto" w:fill="FFFFFF"/>
            <w:vAlign w:val="center"/>
            <w:hideMark/>
          </w:tcPr>
          <w:p w14:paraId="2F802CDA" w14:textId="77777777" w:rsidR="008E4CA1" w:rsidRDefault="008E4CA1" w:rsidP="00F04A9A">
            <w:pPr>
              <w:tabs>
                <w:tab w:val="clear" w:pos="7100"/>
              </w:tabs>
              <w:spacing w:line="276" w:lineRule="auto"/>
              <w:jc w:val="left"/>
              <w:rPr>
                <w:rFonts w:cs="Arial"/>
                <w:szCs w:val="18"/>
              </w:rPr>
            </w:pPr>
          </w:p>
        </w:tc>
        <w:tc>
          <w:tcPr>
            <w:tcW w:w="0" w:type="auto"/>
            <w:vMerge/>
            <w:tcBorders>
              <w:top w:val="nil"/>
              <w:left w:val="nil"/>
              <w:bottom w:val="single" w:sz="12" w:space="0" w:color="008000"/>
              <w:right w:val="nil"/>
            </w:tcBorders>
            <w:shd w:val="clear" w:color="auto" w:fill="FFFFFF"/>
            <w:vAlign w:val="center"/>
            <w:hideMark/>
          </w:tcPr>
          <w:p w14:paraId="63457AF7" w14:textId="77777777" w:rsidR="008E4CA1" w:rsidRDefault="008E4CA1" w:rsidP="00F04A9A">
            <w:pPr>
              <w:tabs>
                <w:tab w:val="clear" w:pos="7100"/>
              </w:tabs>
              <w:spacing w:line="276" w:lineRule="auto"/>
              <w:jc w:val="left"/>
              <w:rPr>
                <w:rFonts w:cs="Arial"/>
                <w:szCs w:val="18"/>
              </w:rPr>
            </w:pPr>
          </w:p>
        </w:tc>
      </w:tr>
    </w:tbl>
    <w:p w14:paraId="261A00CC" w14:textId="77777777" w:rsidR="008E4CA1" w:rsidRDefault="008E4CA1" w:rsidP="008E4CA1">
      <w:pPr>
        <w:pStyle w:val="CETBodytext"/>
        <w:spacing w:line="120" w:lineRule="auto"/>
        <w:rPr>
          <w:lang w:val="en-GB"/>
        </w:rPr>
      </w:pPr>
    </w:p>
    <w:p w14:paraId="4E9D685A" w14:textId="39433140" w:rsidR="008E4CA1" w:rsidRDefault="008E4CA1" w:rsidP="008E4CA1">
      <w:pPr>
        <w:pStyle w:val="CETBodytext"/>
      </w:pPr>
      <w:r>
        <w:t xml:space="preserve">The heating value is </w:t>
      </w:r>
      <w:r w:rsidR="005D67E2">
        <w:t xml:space="preserve">crucial </w:t>
      </w:r>
      <w:r>
        <w:t xml:space="preserve">when considering biomass conversion into energy, especially for biomass with a high organic material content </w:t>
      </w:r>
      <w:sdt>
        <w:sdtPr>
          <w:rPr>
            <w:color w:val="000000"/>
            <w:lang w:val="pt-BR"/>
          </w:rPr>
          <w:tag w:val="MENDELEY_CITATION_v3_eyJjaXRhdGlvbklEIjoiTUVOREVMRVlfQ0lUQVRJT05fNDIwNTA3OWMtOTY0OC00YzU5LWE4NjktMDFjMzRlOGJjMTk2IiwicHJvcGVydGllcyI6eyJub3RlSW5kZXgiOjB9LCJpc0VkaXRlZCI6ZmFsc2UsIm1hbnVhbE92ZXJyaWRlIjp7ImlzTWFudWFsbHlPdmVycmlkZGVuIjpmYWxzZSwiY2l0ZXByb2NUZXh0IjoiKE1vdXJhIGV0IGFsLiwgMjAyMCkiLCJtYW51YWxPdmVycmlkZVRleHQiOiIifSwiY2l0YXRpb25JdGVtcyI6W3siaWQiOiJkN2ZlZmY1ZC1iNTY2LTMxMWItOGZiZi1jOTcxYTE5ZDYxN2IiLCJpdGVtRGF0YSI6eyJ0eXBlIjoiYXJ0aWNsZS1qb3VybmFsIiwiaWQiOiJkN2ZlZmY1ZC1iNTY2LTMxMWItOGZiZi1jOTcxYTE5ZDYxN2IiLCJ0aXRsZSI6IlJlYXByb3ZlaXRhbWVudG8gZW5lcmfDqXRpY28gZG8gbG9kbyBkZSBlc3Rhw6fDo28gZGUgdHJhdGFtZW50byBkZSBlc2dvdG/igJN1bWEgcmV2aXPDo28iLCJhdXRob3IiOlt7ImZhbWlseSI6Ik1vdXJhIiwiZ2l2ZW4iOiJBbmEgRmzDoXZpYSBGYWd1bmRlcyIsInBhcnNlLW5hbWVzIjpmYWxzZSwiZHJvcHBpbmctcGFydGljbGUiOiIiLCJub24tZHJvcHBpbmctcGFydGljbGUiOiIifSx7ImZhbWlseSI6Ik9saXZlaXJhIFNpcXVlaXJhIiwiZ2l2ZW4iOiJBbnRvbmlvIE1hcmNvcyIsInBhcnNlLW5hbWVzIjpmYWxzZSwiZHJvcHBpbmctcGFydGljbGUiOiIiLCJub24tZHJvcHBpbmctcGFydGljbGUiOiJkZSJ9LHsiZmFtaWx5IjoiTGVpdGUiLCJnaXZlbiI6IklzYWJlbGxhIENvdGEiLCJwYXJzZS1uYW1lcyI6ZmFsc2UsImRyb3BwaW5nLXBhcnRpY2xlIjoiIiwibm9uLWRyb3BwaW5nLXBhcnRpY2xlIjoiIn0seyJmYW1pbHkiOiJNYXJ0aW5zIiwiZ2l2ZW4iOiJNYXJjZWxhIENvdGEiLCJwYXJzZS1uYW1lcyI6ZmFsc2UsImRyb3BwaW5nLXBhcnRpY2xlIjoiIiwibm9uLWRyb3BwaW5nLXBhcnRpY2xlIjoiIn0seyJmYW1pbHkiOiJDYXN0cm8iLCJnaXZlbiI6IkZyYW5jaW5lIER1YXJ0ZSIsInBhcnNlLW5hbWVzIjpmYWxzZSwiZHJvcHBpbmctcGFydGljbGUiOiIiLCJub24tZHJvcHBpbmctcGFydGljbGUiOiIifSx7ImZhbWlseSI6IlNpbHZhIiwiZ2l2ZW4iOiJKYXF1ZWxpbmUgTGFjZXJkYSIsInBhcnNlLW5hbWVzIjpmYWxzZSwiZHJvcHBpbmctcGFydGljbGUiOiIiLCJub24tZHJvcHBpbmctcGFydGljbGUiOiJkYSJ9XSwiY29udGFpbmVyLXRpdGxlIjoiVGhlIEpvdXJuYWwgb2YgRW5naW5lZXJpbmcgYW5kIEV4YWN0IFNjaWVuY2VzIiwiYWNjZXNzZWQiOnsiZGF0ZS1wYXJ0cyI6W1syMDIzLDgsMjNdXX0sIklTU04iOiIyNTI3LTEwNzUiLCJVUkwiOiJodHRwczovL3BlcmlvZGljb3MudWZ2LmJyL2pjZWMvYXJ0aWNsZS92aWV3LzExNzM0IiwiaXNzdWVkIjp7ImRhdGUtcGFydHMiOltbMjAyMF1dfSwicGFnZSI6Ijc0MC03NDciLCJpc3N1ZSI6IjUiLCJ2b2x1bWUiOiI2IiwiY29udGFpbmVyLXRpdGxlLXNob3J0IjoiIn0sImlzVGVtcG9yYXJ5IjpmYWxzZX1dfQ=="/>
          <w:id w:val="-1839683529"/>
          <w:placeholder>
            <w:docPart w:val="FBE0224A51B34B819AF8427E3FEA51BA"/>
          </w:placeholder>
        </w:sdtPr>
        <w:sdtContent>
          <w:r>
            <w:rPr>
              <w:color w:val="000000"/>
            </w:rPr>
            <w:t>(Moura et al., 2020)</w:t>
          </w:r>
        </w:sdtContent>
      </w:sdt>
      <w:r>
        <w:rPr>
          <w:color w:val="000000"/>
        </w:rPr>
        <w:t>.</w:t>
      </w:r>
      <w:r>
        <w:t xml:space="preserve"> The heating value is classified as either higher or lower. The Higher Heating Value (HHV) does not consider the heat associated with the condensation of water formed in reaction with the hydrogen contained in the biomass. On the other hand, the Lower Heating Value (LHV) is obtained by subtracting from the HHV the heat associated with the condensation of water vapor formed by the reaction of hydrogen in the biomass, meaning it refers to the energy content on a wet basis. </w:t>
      </w:r>
      <w:sdt>
        <w:sdtPr>
          <w:rPr>
            <w:color w:val="000000"/>
          </w:rPr>
          <w:tag w:val="MENDELEY_CITATION_v3_eyJjaXRhdGlvbklEIjoiTUVOREVMRVlfQ0lUQVRJT05fNzAxYTYyMGYtNGIyMC00YzJmLWExMDItN2JkM2IyMTg4YWE4IiwicHJvcGVydGllcyI6eyJub3RlSW5kZXgiOjB9LCJpc0VkaXRlZCI6ZmFsc2UsIm1hbnVhbE92ZXJyaWRlIjp7ImlzTWFudWFsbHlPdmVycmlkZGVuIjp0cnVlLCJjaXRlcHJvY1RleHQiOiIoTkVJVkEsIDIwMTgpIiwibWFudWFsT3ZlcnJpZGVUZXh0IjoiKE5laXZhLCAyMDE4KSJ9LCJjaXRhdGlvbkl0ZW1zIjpbeyJpZCI6ImZhODJkNzJjLTFlMDktM2FiNy05ZDk1LWI0YmI1ZjZkYTg0YSIsIml0ZW1EYXRhIjp7InR5cGUiOiJhcnRpY2xlLWpvdXJuYWwiLCJpZCI6ImZhODJkNzJjLTFlMDktM2FiNy05ZDk1LWI0YmI1ZjZkYTg0YSIsInRpdGxlIjoiQ0FQQUNJREFERSBUw4lSTUlDQSBFIFBPREVSIENBTE9Sw41GSUNPIERFIEJJT01BU1NBIiwiYXV0aG9yIjpbeyJmYW1pbHkiOiJORUlWQSIsImdpdmVuIjoiUEFMT01BIFNJTFZBIiwicGFyc2UtbmFtZXMiOmZhbHNlLCJkcm9wcGluZy1wYXJ0aWNsZSI6IiIsIm5vbi1kcm9wcGluZy1wYXJ0aWNsZSI6IiJ9XSwiYWNjZXNzZWQiOnsiZGF0ZS1wYXJ0cyI6W1syMDIzLDEyLDEyXV19LCJVUkwiOiJodHRwczovL2RzcGFjZS51bml1YmUuYnIvaGFuZGxlLzEyMzQ1Njc4OS8xMDkxIiwiaXNzdWVkIjp7ImRhdGUtcGFydHMiOltbMjAxOF1dfSwiY29udGFpbmVyLXRpdGxlLXNob3J0IjoiIn0sImlzVGVtcG9yYXJ5IjpmYWxzZX1dfQ=="/>
          <w:id w:val="782079053"/>
          <w:placeholder>
            <w:docPart w:val="17F65E78A9954953B30DC02FFF98C8AA"/>
          </w:placeholder>
        </w:sdtPr>
        <w:sdtContent>
          <w:r>
            <w:rPr>
              <w:color w:val="000000"/>
            </w:rPr>
            <w:t>(Neiva, 2018)</w:t>
          </w:r>
        </w:sdtContent>
      </w:sdt>
      <w:r>
        <w:t xml:space="preserve">. </w:t>
      </w:r>
    </w:p>
    <w:p w14:paraId="07B92129" w14:textId="3AE6CAD4" w:rsidR="008E4CA1" w:rsidRDefault="008E4CA1" w:rsidP="008E4CA1">
      <w:pPr>
        <w:pStyle w:val="CETBodytext"/>
      </w:pPr>
      <w:r>
        <w:t xml:space="preserve">According to </w:t>
      </w:r>
      <w:sdt>
        <w:sdtPr>
          <w:rPr>
            <w:color w:val="000000"/>
          </w:rPr>
          <w:tag w:val="MENDELEY_CITATION_v3_eyJjaXRhdGlvbklEIjoiTUVOREVMRVlfQ0lUQVRJT05fM2E2NDUwYjYtMzNlYS00MDM1LTllZmUtYjczOWEwNTE2ZDRmIiwicHJvcGVydGllcyI6eyJub3RlSW5kZXgiOjB9LCJpc0VkaXRlZCI6ZmFsc2UsIm1hbnVhbE92ZXJyaWRlIjp7ImlzTWFudWFsbHlPdmVycmlkZGVuIjp0cnVlLCJjaXRlcHJvY1RleHQiOiIoUmFtb3MgZXQgYWwuLCAyMDE4KSIsIm1hbnVhbE92ZXJyaWRlVGV4dCI6IlJhbW9zIGV0IGFsLiwgMjAxOCkifSwiY2l0YXRpb25JdGVtcyI6W3siaWQiOiIyNzdhYzZjMS00YWMyLTMzZGUtODc4Ni04MjY1NzUzM2Y5ZGQiLCJpdGVtRGF0YSI6eyJ0eXBlIjoiYXJ0aWNsZS1qb3VybmFsIiwiaWQiOiIyNzdhYzZjMS00YWMyLTMzZGUtODc4Ni04MjY1NzUzM2Y5ZGQiLCJ0aXRsZSI6IkNvLWdhc2lmaWNhdGlvbiBhbmQgcmVjZW50IGRldmVsb3BtZW50cyBvbiB3YXN0ZS10by1lbmVyZ3kgY29udmVyc2lvbjogQSByZXZpZXciLCJhdXRob3IiOlt7ImZhbWlseSI6IlJhbW9zIiwiZ2l2ZW4iOiJBbmEiLCJwYXJzZS1uYW1lcyI6ZmFsc2UsImRyb3BwaW5nLXBhcnRpY2xlIjoiIiwibm9uLWRyb3BwaW5nLXBhcnRpY2xlIjoiIn0seyJmYW1pbHkiOiJNb250ZWlybyIsImdpdmVuIjoiRWxpc2V1IiwicGFyc2UtbmFtZXMiOmZhbHNlLCJkcm9wcGluZy1wYXJ0aWNsZSI6IiIsIm5vbi1kcm9wcGluZy1wYXJ0aWNsZSI6IiJ9LHsiZmFtaWx5IjoiU2lsdmEiLCJnaXZlbiI6IlZhbHRlciIsInBhcnNlLW5hbWVzIjpmYWxzZSwiZHJvcHBpbmctcGFydGljbGUiOiIiLCJub24tZHJvcHBpbmctcGFydGljbGUiOiIifSx7ImZhbWlseSI6IlJvdWJvYSIsImdpdmVuIjoiQWJlbCIsInBhcnNlLW5hbWVzIjpmYWxzZSwiZHJvcHBpbmctcGFydGljbGUiOiIiLCJub24tZHJvcHBpbmctcGFydGljbGUiOiIifV0sImNvbnRhaW5lci10aXRsZSI6IlJlbmV3YWJsZSBhbmQgU3VzdGFpbmFibGUgRW5lcmd5IFJldmlld3MiLCJhY2Nlc3NlZCI6eyJkYXRlLXBhcnRzIjpbWzIwMjMsMTIsMTJdXX0sIklTU04iOiIxMzY0LTAzMjEiLCJVUkwiOiJodHRwczovL3d3dy5zY2llbmNlZGlyZWN0LmNvbS9zY2llbmNlL2FydGljbGUvcGlpL1MxMzY0MDMyMTE3MzEwOTM2IiwiaXNzdWVkIjp7ImRhdGUtcGFydHMiOltbMjAxOF1dfSwicGFnZSI6IjM4MC0zOTgiLCJwdWJsaXNoZXIiOiJFbHNldmllciIsInZvbHVtZSI6IjgxIiwiY29udGFpbmVyLXRpdGxlLXNob3J0IjoiIn0sImlzVGVtcG9yYXJ5IjpmYWxzZX1dfQ=="/>
          <w:id w:val="-200472357"/>
          <w:placeholder>
            <w:docPart w:val="FE9566B2E7504B3696777D971878C44B"/>
          </w:placeholder>
        </w:sdtPr>
        <w:sdtContent>
          <w:r>
            <w:rPr>
              <w:color w:val="000000"/>
            </w:rPr>
            <w:t>Ramos et al. (2018)</w:t>
          </w:r>
        </w:sdtContent>
      </w:sdt>
      <w:r>
        <w:t xml:space="preserve">, LHV and HHV are parameters used to describe heat production of a unit quantity of fuel during complete combustion, defining the energy chemically bound in the fuel. </w:t>
      </w:r>
      <w:r w:rsidRPr="007549C4">
        <w:t>The results of the tests carried out using the C2000 calorimeter and the sludge samples collected indicated a</w:t>
      </w:r>
      <w:r>
        <w:t>n</w:t>
      </w:r>
      <w:r w:rsidRPr="007549C4">
        <w:t xml:space="preserve"> HHV and LHV of</w:t>
      </w:r>
      <w:r>
        <w:t xml:space="preserve"> 18.6 MJ/kg and </w:t>
      </w:r>
      <w:r w:rsidR="005D67E2">
        <w:t xml:space="preserve">an </w:t>
      </w:r>
      <w:r>
        <w:t xml:space="preserve">LHV of 17.4 MJ/kg, respectively.  Thus, it is possible to infer sanitary sludge samples exhibit HHV and LHV </w:t>
      </w:r>
      <w:r w:rsidRPr="00DD0AE7">
        <w:t xml:space="preserve">values superior to some biomasses, such as sugarcane bagasse, which has an LHV of approximately 17 MJ/kg </w:t>
      </w:r>
      <w:sdt>
        <w:sdtPr>
          <w:rPr>
            <w:color w:val="000000"/>
            <w:lang w:val="pt-BR"/>
          </w:rPr>
          <w:tag w:val="MENDELEY_CITATION_v3_eyJjaXRhdGlvbklEIjoiTUVOREVMRVlfQ0lUQVRJT05fNDU2MDAzNjUtNjAwNS00MmNiLTg4YTYtNDYyYzNiMGExYTllIiwicHJvcGVydGllcyI6eyJub3RlSW5kZXgiOjB9LCJpc0VkaXRlZCI6ZmFsc2UsIm1hbnVhbE92ZXJyaWRlIjp7ImlzTWFudWFsbHlPdmVycmlkZGVuIjp0cnVlLCJjaXRlcHJvY1RleHQiOiIoQ29ycmVpYSBldCBhbC4sIDIwMjApIiwibWFudWFsT3ZlcnJpZGVUZXh0IjoiQ29ycmVpYSBldCBhbC4gKDIwMjApIn0sImNpdGF0aW9uSXRlbXMiOlt7ImlkIjoiMTNlODFjOGMtMjJiZS0zNjAwLTlkNzUtN2NhNTBlZWI5OGU1IiwiaXRlbURhdGEiOnsidHlwZSI6ImFydGljbGUtam91cm5hbCIsImlkIjoiMTNlODFjOGMtMjJiZS0zNjAwLTlkNzUtN2NhNTBlZWI5OGU1IiwidGl0bGUiOiJDYXJhY3RlcsOtc3RpY2FzIGUgcG90ZW5jaWFsIGVuZXJnw6l0aWNvIGRvIGJhZ2HDp28gZGEgY2FuYS1kZS1hw6fDumNhciBhcm1hemVuYWRvIHNlbSBjb2JlcnR1cmEgcG9yIHVtIHBlcsOtb2RvIHByb2xvbmdhZG8iLCJhdXRob3IiOlt7ImZhbWlseSI6IkNvcnJlaWEiLCJnaXZlbiI6Ik1hdGV1cyBBemV2ZWRvIENoYXZlcyIsInBhcnNlLW5hbWVzIjpmYWxzZSwiZHJvcHBpbmctcGFydGljbGUiOiIiLCJub24tZHJvcHBpbmctcGFydGljbGUiOiIifSx7ImZhbWlseSI6IlNleWUiLCJnaXZlbiI6Ik9tYXIiLCJwYXJzZS1uYW1lcyI6ZmFsc2UsImRyb3BwaW5nLXBhcnRpY2xlIjoiIiwibm9uLWRyb3BwaW5nLXBhcnRpY2xlIjoiIn0seyJmYW1pbHkiOiJTaWx2YSIsImdpdmVuIjoiQWxldMOpaWEgTWFyY2VsbGUgUHJpbcOjbyIsInBhcnNlLW5hbWVzIjpmYWxzZSwiZHJvcHBpbmctcGFydGljbGUiOiIiLCJub24tZHJvcHBpbmctcGFydGljbGUiOiJkYSJ9LHsiZmFtaWx5IjoiU2lsdmEiLCJnaXZlbiI6IlJvYnNvbiBMZWFsIiwicGFyc2UtbmFtZXMiOmZhbHNlLCJkcm9wcGluZy1wYXJ0aWNsZSI6IiIsIm5vbi1kcm9wcGluZy1wYXJ0aWNsZSI6ImRhIn1dLCJjb250YWluZXItdGl0bGUiOiJSZXZpc3RhIGVtIEFncm9uZWfDs2NpbyBlIE1laW8gQW1iaWVudGUiLCJhY2Nlc3NlZCI6eyJkYXRlLXBhcnRzIjpbWzIwMjQsOSwxMl1dfSwiSVNTTiI6IjE5ODEtOTk1MSIsIlVSTCI6Imh0dHBzOi8vd3d3LnJlc2VhcmNoZ2F0ZS5uZXQvcHJvZmlsZS9SLVNpbHZhLTIvcHVibGljYXRpb24vMzM5ODYzNzM4X0NhcmFjdGVyaXN0aWNhc19lX3BvdGVuY2lhbF9lbmVyZ2V0aWNvX2RvX2JhZ2Fjb19kYV9jYW5hLWRlLWFjdWNhcl9hcm1hemVuYWRvX3NlbV9jb2JlcnR1cmFfcG9yX3VtX3BlcmlvZG9fcHJvbG9uZ2Fkby9saW5rcy81ZTg4ZmNhMWE2ZmRjY2E3ODlmNDkxNjYvQ2FyYWN0ZXJpc3RpY2FzLWUtcG90ZW5jaWFsLWVuZXJnZXRpY28tZG8tYmFnYWNvLWRhLWNhbmEtZGUtYWN1Y2FyLWFybWF6ZW5hZG8tc2VtLWNvYmVydHVyYS1wb3ItdW0tcGVyaW9kby1wcm9sb25nYWRvLnBkZj9fc2clNUIwJTVEPXN0YXJ0ZWRfZXhwZXJpbWVudF9taWxlc3RvbmUmb3JpZ2luPWpvdXJuYWxEZXRhaWwiLCJpc3N1ZWQiOnsiZGF0ZS1wYXJ0cyI6W1syMDIwXV19LCJwYWdlIjoiMTczLTE4NyIsInB1Ymxpc2hlciI6IkNlbnRybyBVbml2ZXJzaXTDoXJpbyBkZSBNYXJpbmfDoS1VbmljZXN1bWFyLCBOw7pjbGVvIGRlIEVkaXRvcmHDp8OjbyBlIFBlc3F1aXNhIiwiaXNzdWUiOiIxIiwidm9sdW1lIjoiMTMiLCJjb250YWluZXItdGl0bGUtc2hvcnQiOiIifSwiaXNUZW1wb3JhcnkiOmZhbHNlfV19"/>
          <w:id w:val="-651518669"/>
          <w:placeholder>
            <w:docPart w:val="24F7CBD308A54905A310E113806DC62B"/>
          </w:placeholder>
        </w:sdtPr>
        <w:sdtContent>
          <w:r w:rsidRPr="00DD0AE7">
            <w:rPr>
              <w:color w:val="000000"/>
            </w:rPr>
            <w:t>(Correia et al. 2020)</w:t>
          </w:r>
        </w:sdtContent>
      </w:sdt>
      <w:r w:rsidRPr="00DD0AE7">
        <w:rPr>
          <w:color w:val="000000"/>
        </w:rPr>
        <w:t>.</w:t>
      </w:r>
      <w:r w:rsidRPr="00DD0AE7">
        <w:t xml:space="preserve"> Therefore, sludge is a viable </w:t>
      </w:r>
      <w:r w:rsidR="008C5A4C" w:rsidRPr="00DD0AE7">
        <w:t>feedstock</w:t>
      </w:r>
      <w:r w:rsidRPr="00DD0AE7">
        <w:t xml:space="preserve"> for </w:t>
      </w:r>
      <w:r w:rsidR="008C5A4C" w:rsidRPr="00DD0AE7">
        <w:t>fuel use and can be us</w:t>
      </w:r>
      <w:r w:rsidRPr="00DD0AE7">
        <w:t>ed in power generation.</w:t>
      </w:r>
    </w:p>
    <w:p w14:paraId="6439DAEA" w14:textId="77777777" w:rsidR="008E4CA1" w:rsidRDefault="008E4CA1" w:rsidP="008E4CA1">
      <w:pPr>
        <w:pStyle w:val="CETheadingx"/>
      </w:pPr>
      <w:r>
        <w:lastRenderedPageBreak/>
        <w:t>Granulometric analysis</w:t>
      </w:r>
    </w:p>
    <w:p w14:paraId="1A90259E" w14:textId="77777777" w:rsidR="008E4CA1" w:rsidRDefault="008E4CA1" w:rsidP="008E4CA1">
      <w:pPr>
        <w:pStyle w:val="CETBodytext"/>
      </w:pPr>
      <w:r>
        <w:t xml:space="preserve">In order to perform the granulometric characterization of the centrifuged sludge, it was necessary to process the samples using convective drying methods (with sludge treated in an oven on a heated plate, both non-crumbled and crumbled) and the granular bed method (sludge treated in the experimental dryer). </w:t>
      </w:r>
    </w:p>
    <w:p w14:paraId="26FFD360" w14:textId="77777777" w:rsidR="008E4CA1" w:rsidRDefault="008E4CA1" w:rsidP="008E4CA1">
      <w:pPr>
        <w:pStyle w:val="CETBodytext"/>
      </w:pPr>
      <w:r>
        <w:t>Therefore, to determine the granulometric difference in the sludge treated by the two different thermal drying methods, data from the particle size distribution of the centrifuged sludge treated with varying TS content at 80°C were used, as shown in Figure 2.</w:t>
      </w:r>
    </w:p>
    <w:p w14:paraId="3F5CCD76" w14:textId="77777777" w:rsidR="008E4CA1" w:rsidRDefault="008E4CA1" w:rsidP="008E4CA1">
      <w:pPr>
        <w:pStyle w:val="CETBodytext"/>
        <w:spacing w:line="120" w:lineRule="auto"/>
      </w:pPr>
    </w:p>
    <w:p w14:paraId="6642FB8F" w14:textId="77777777" w:rsidR="008E4CA1" w:rsidRDefault="008E4CA1" w:rsidP="008E4CA1">
      <w:pPr>
        <w:pStyle w:val="CETBodytext"/>
        <w:rPr>
          <w:lang w:val="pt-BR"/>
        </w:rPr>
      </w:pPr>
      <w:r>
        <w:rPr>
          <w:noProof/>
          <w:lang w:val="pt-BR"/>
        </w:rPr>
        <w:drawing>
          <wp:inline distT="0" distB="0" distL="0" distR="0" wp14:anchorId="3CA36AEB" wp14:editId="271133DA">
            <wp:extent cx="4572000" cy="2311459"/>
            <wp:effectExtent l="0" t="0" r="0" b="0"/>
            <wp:docPr id="60778876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9841" cy="2315423"/>
                    </a:xfrm>
                    <a:prstGeom prst="rect">
                      <a:avLst/>
                    </a:prstGeom>
                    <a:noFill/>
                    <a:ln>
                      <a:noFill/>
                    </a:ln>
                  </pic:spPr>
                </pic:pic>
              </a:graphicData>
            </a:graphic>
          </wp:inline>
        </w:drawing>
      </w:r>
    </w:p>
    <w:p w14:paraId="32B99908" w14:textId="77777777" w:rsidR="008E4CA1" w:rsidRDefault="008E4CA1" w:rsidP="008E4CA1">
      <w:pPr>
        <w:pStyle w:val="CETBodytext"/>
      </w:pPr>
      <w:r>
        <w:rPr>
          <w:rStyle w:val="CETCaptionCarattere"/>
        </w:rPr>
        <w:t>Figure 2: Particle size distribution of sanitary sludge samples</w:t>
      </w:r>
    </w:p>
    <w:p w14:paraId="153099F5" w14:textId="77777777" w:rsidR="008E4CA1" w:rsidRDefault="008E4CA1" w:rsidP="008E4CA1">
      <w:pPr>
        <w:pStyle w:val="CETBodytext"/>
        <w:spacing w:line="120" w:lineRule="auto"/>
      </w:pPr>
    </w:p>
    <w:p w14:paraId="048EFB83" w14:textId="2B80243A" w:rsidR="008E4CA1" w:rsidRPr="00DD0AE7" w:rsidRDefault="008E4CA1" w:rsidP="008E4CA1">
      <w:pPr>
        <w:pStyle w:val="CETBodytext"/>
      </w:pPr>
      <w:r>
        <w:t xml:space="preserve">It is observed that the difference between the sludge treated in the oven and the one treated in the experimental dryer is because the former was processed through the convective drying method, where air surrounds the bulk mass </w:t>
      </w:r>
      <w:r w:rsidRPr="00DD0AE7">
        <w:t xml:space="preserve">of </w:t>
      </w:r>
      <w:r w:rsidR="008C5A4C" w:rsidRPr="00DD0AE7">
        <w:t xml:space="preserve">the </w:t>
      </w:r>
      <w:r w:rsidRPr="00DD0AE7">
        <w:t>sludge. In contrast, the latter, determined by the granular bed method, involves air flowing through the sludge bed</w:t>
      </w:r>
      <w:r w:rsidR="008C5A4C" w:rsidRPr="00DD0AE7">
        <w:t>,</w:t>
      </w:r>
      <w:r w:rsidRPr="00DD0AE7">
        <w:t xml:space="preserve"> passing through the pores formed by the material's particles (granules) </w:t>
      </w:r>
      <w:sdt>
        <w:sdtPr>
          <w:rPr>
            <w:color w:val="000000"/>
            <w:lang w:val="pt-BR"/>
          </w:rPr>
          <w:tag w:val="MENDELEY_CITATION_v3_eyJjaXRhdGlvbklEIjoiTUVOREVMRVlfQ0lUQVRJT05fMWRiNjdlMWUtYjc3OS00ZGQ5LWJhYzgtODQyMmNhZjVlYTY0IiwicHJvcGVydGllcyI6eyJub3RlSW5kZXgiOjB9LCJpc0VkaXRlZCI6ZmFsc2UsIm1hbnVhbE92ZXJyaWRlIjp7ImlzTWFudWFsbHlPdmVycmlkZGVuIjpmYWxzZSwiY2l0ZXByb2NUZXh0IjoiKExpbmcgZXQgYWwuLCAyMDIyKSIsIm1hbnVhbE92ZXJyaWRlVGV4dCI6IiJ9LCJjaXRhdGlvbkl0ZW1zIjpbeyJpZCI6ImNmMDc5MGIxLWZlMDktMzRjZi1iNTZjLThkMDExM2RhOGE1ZiIsIml0ZW1EYXRhIjp7InR5cGUiOiJhcnRpY2xlLWpvdXJuYWwiLCJpZCI6ImNmMDc5MGIxLWZlMDktMzRjZi1iNTZjLThkMDExM2RhOGE1ZiIsInRpdGxlIjoiTWV0aG9kcywgbWVjaGFuaXNtcywgbW9kZWxzIGFuZCB0YWlsIGdhcyBlbWlzc2lvbnMgb2YgY29udmVjdGl2ZSBkcnlpbmcgaW4gc2x1ZGdlOiBBIHJldmlldyIsImF1dGhvciI6W3siZmFtaWx5IjoiTGluZyIsImdpdmVuIjoiV2VpIiwicGFyc2UtbmFtZXMiOmZhbHNlLCJkcm9wcGluZy1wYXJ0aWNsZSI6IiIsIm5vbi1kcm9wcGluZy1wYXJ0aWNsZSI6IiJ9LHsiZmFtaWx5IjoiWGluZyIsImdpdmVuIjoiWWkiLCJwYXJzZS1uYW1lcyI6ZmFsc2UsImRyb3BwaW5nLXBhcnRpY2xlIjoiIiwibm9uLWRyb3BwaW5nLXBhcnRpY2xlIjoiIn0seyJmYW1pbHkiOiJIb25nIiwiZ2l2ZW4iOiJDaGVuIiwicGFyc2UtbmFtZXMiOmZhbHNlLCJkcm9wcGluZy1wYXJ0aWNsZSI6IiIsIm5vbi1kcm9wcGluZy1wYXJ0aWNsZSI6IiJ9LHsiZmFtaWx5IjoiWmhhbmciLCJnaXZlbiI6IkJvIiwicGFyc2UtbmFtZXMiOmZhbHNlLCJkcm9wcGluZy1wYXJ0aWNsZSI6IiIsIm5vbi1kcm9wcGluZy1wYXJ0aWNsZSI6IiJ9LHsiZmFtaWx5IjoiSHUiLCJnaXZlbiI6IkppYXNodW8iLCJwYXJzZS1uYW1lcyI6ZmFsc2UsImRyb3BwaW5nLXBhcnRpY2xlIjoiIiwibm9uLWRyb3BwaW5nLXBhcnRpY2xlIjoiIn0seyJmYW1pbHkiOiJaaGFvIiwiZ2l2ZW4iOiJDaGVuZ3dhbmciLCJwYXJzZS1uYW1lcyI6ZmFsc2UsImRyb3BwaW5nLXBhcnRpY2xlIjoiIiwibm9uLWRyb3BwaW5nLXBhcnRpY2xlIjoiIn0seyJmYW1pbHkiOiJXYW5nIiwiZ2l2ZW4iOiJZaWppZSIsInBhcnNlLW5hbWVzIjpmYWxzZSwiZHJvcHBpbmctcGFydGljbGUiOiIiLCJub24tZHJvcHBpbmctcGFydGljbGUiOiIifSx7ImZhbWlseSI6IkZlbmciLCJnaXZlbiI6IkxpaHVpIiwicGFyc2UtbmFtZXMiOmZhbHNlLCJkcm9wcGluZy1wYXJ0aWNsZSI6IiIsIm5vbi1kcm9wcGluZy1wYXJ0aWNsZSI6IiJ9XSwiY29udGFpbmVyLXRpdGxlIjoiU2NpZW5jZSBvZiB0aGUgVG90YWwgRW52aXJvbm1lbnQiLCJhY2Nlc3NlZCI6eyJkYXRlLXBhcnRzIjpbWzIwMjMsMTIsNl1dfSwiSVNTTiI6IjAwNDgtOTY5NyIsIlVSTCI6Imh0dHBzOi8vd3d3LnNjaWVuY2VkaXJlY3QuY29tL3NjaWVuY2UvYXJ0aWNsZS9waWkvUzAwNDg5Njk3MjIwNDQ3NDYiLCJpc3N1ZWQiOnsiZGF0ZS1wYXJ0cyI6W1syMDIyXV19LCJwYWdlIjoiMTU3Mzc2IiwicHVibGlzaGVyIjoiRWxzZXZpZXIiLCJ2b2x1bWUiOiI4NDUiLCJjb250YWluZXItdGl0bGUtc2hvcnQiOiIifSwiaXNUZW1wb3JhcnkiOmZhbHNlfV19"/>
          <w:id w:val="1855002597"/>
          <w:placeholder>
            <w:docPart w:val="C18A9F36735F4FFFA7AB67863B07995E"/>
          </w:placeholder>
        </w:sdtPr>
        <w:sdtContent>
          <w:r w:rsidRPr="00DD0AE7">
            <w:rPr>
              <w:color w:val="000000"/>
            </w:rPr>
            <w:t>(Ling et al., 2022)</w:t>
          </w:r>
        </w:sdtContent>
      </w:sdt>
      <w:r w:rsidRPr="00DD0AE7">
        <w:rPr>
          <w:color w:val="000000"/>
        </w:rPr>
        <w:t>.</w:t>
      </w:r>
    </w:p>
    <w:p w14:paraId="7C538A35" w14:textId="3E9D7C4B" w:rsidR="008E4CA1" w:rsidRDefault="008E4CA1" w:rsidP="008E4CA1">
      <w:pPr>
        <w:pStyle w:val="CETBodytext"/>
      </w:pPr>
      <w:r w:rsidRPr="00DD0AE7">
        <w:t xml:space="preserve">The treatment </w:t>
      </w:r>
      <w:r w:rsidR="008C5A4C" w:rsidRPr="00DD0AE7">
        <w:t>using</w:t>
      </w:r>
      <w:r w:rsidRPr="00DD0AE7">
        <w:t xml:space="preserve"> the granular bed method </w:t>
      </w:r>
      <w:r w:rsidR="008C5A4C" w:rsidRPr="00DD0AE7">
        <w:t>is</w:t>
      </w:r>
      <w:r w:rsidRPr="00DD0AE7">
        <w:t xml:space="preserve"> more favorable than the convective method, </w:t>
      </w:r>
      <w:r w:rsidR="008C5A4C" w:rsidRPr="00DD0AE7">
        <w:t>resulting</w:t>
      </w:r>
      <w:r w:rsidRPr="00DD0AE7">
        <w:t xml:space="preserve"> in smaller particle sizes. In the first method, the average diameter</w:t>
      </w:r>
      <w:r>
        <w:t xml:space="preserve"> is around 19 mm, while </w:t>
      </w:r>
      <w:r w:rsidRPr="00146E3D">
        <w:t>exciding</w:t>
      </w:r>
      <w:r>
        <w:t xml:space="preserve"> 25 mm in the second method. Additionally, the results show a tendency for sludges with high and low TS contents to form grains with larger diameters. In contrast, sludges treated with 50 to 70% TS generate particles with smaller diameters (12 mm).</w:t>
      </w:r>
    </w:p>
    <w:p w14:paraId="2BEA073F" w14:textId="27DEBEC1" w:rsidR="008E4CA1" w:rsidRDefault="008E4CA1" w:rsidP="008E4CA1">
      <w:pPr>
        <w:pStyle w:val="CETBodytext"/>
      </w:pPr>
      <w:r>
        <w:t xml:space="preserve">It is emphasized that obtaining particles with smaller diameters is interesting, depending on their use. For example, in quality pellet production, one of the criteria is the geometry and dimensions of the particles </w:t>
      </w:r>
      <w:sdt>
        <w:sdtPr>
          <w:rPr>
            <w:color w:val="000000"/>
            <w:lang w:val="pt-BR"/>
          </w:rPr>
          <w:tag w:val="MENDELEY_CITATION_v3_eyJjaXRhdGlvbklEIjoiTUVOREVMRVlfQ0lUQVRJT05fYjQyNTRjYmUtNjVlZS00ZDgyLWJkZGYtMjgyNTNlMGUxMDdhIiwicHJvcGVydGllcyI6eyJub3RlSW5kZXgiOjB9LCJpc0VkaXRlZCI6ZmFsc2UsIm1hbnVhbE92ZXJyaWRlIjp7ImlzTWFudWFsbHlPdmVycmlkZGVuIjpmYWxzZSwiY2l0ZXByb2NUZXh0IjoiKFJvZHJpZ3VlcywgMjAyMSkiLCJtYW51YWxPdmVycmlkZVRleHQiOiIifSwiY2l0YXRpb25JdGVtcyI6W3siaWQiOiIyMjdlYzhjMi0xOWNmLTNkZGUtYTI3YS04OTE2NWUyMDAzODUiLCJpdGVtRGF0YSI6eyJ0eXBlIjoiYXJ0aWNsZS1qb3VybmFsIiwiaWQiOiIyMjdlYzhjMi0xOWNmLTNkZGUtYTI3YS04OTE2NWUyMDAzODUiLCJ0aXRsZSI6IlByb2R1w6fDo28gZGUgcGVsbGV0cyB1dGlsaXphbmRvIGxvZG8gcHJpbcOhcmlvIGdlcmFkbyBuYSBpbmTDunN0cmlhIGRlIGNlbHVsb3NlIGtyYWZ0IiwiYXV0aG9yIjpbeyJmYW1pbHkiOiJSb2RyaWd1ZXMiLCJnaXZlbiI6IkJydW5hIFZpcmfDrW5pYSBDdW5oYSIsInBhcnNlLW5hbWVzIjpmYWxzZSwiZHJvcHBpbmctcGFydGljbGUiOiIiLCJub24tZHJvcHBpbmctcGFydGljbGUiOiIifV0sImFjY2Vzc2VkIjp7ImRhdGUtcGFydHMiOltbMjAyMywxMSwyNV1dfSwiVVJMIjoiaHR0cHM6Ly93d3cubG9jdXMudWZ2LmJyL2hhbmRsZS8xMjM0NTY3ODkvMjg2NTIiLCJpc3N1ZWQiOnsiZGF0ZS1wYXJ0cyI6W1syMDIxXV19LCJwdWJsaXNoZXIiOiJVbml2ZXJzaWRhZGUgRmVkZXJhbCBkZSBWacOnb3NhIiwiY29udGFpbmVyLXRpdGxlLXNob3J0IjoiIn0sImlzVGVtcG9yYXJ5IjpmYWxzZX1dfQ=="/>
          <w:id w:val="-1662390447"/>
          <w:placeholder>
            <w:docPart w:val="7B3CFA349B874819B1EC0B0E90295458"/>
          </w:placeholder>
        </w:sdtPr>
        <w:sdtContent>
          <w:r>
            <w:rPr>
              <w:color w:val="000000"/>
            </w:rPr>
            <w:t>(Rodrigues, 2021)</w:t>
          </w:r>
        </w:sdtContent>
      </w:sdt>
      <w:r>
        <w:rPr>
          <w:color w:val="000000"/>
        </w:rPr>
        <w:t>.</w:t>
      </w:r>
      <w:r>
        <w:t xml:space="preserve"> Moreover, increasing the particle diameter in fluidized gasification tends to increase the minimum fluidization velocity; however, granular particles reduce the risk of bed blockage </w:t>
      </w:r>
      <w:sdt>
        <w:sdtPr>
          <w:rPr>
            <w:color w:val="000000"/>
            <w:lang w:val="pt-BR"/>
          </w:rPr>
          <w:tag w:val="MENDELEY_CITATION_v3_eyJjaXRhdGlvbklEIjoiTUVOREVMRVlfQ0lUQVRJT05fZTY2MGNkMjctZTAxZi00NTVjLWI3OGEtZjgxZDg3YjYxODNiIiwicHJvcGVydGllcyI6eyJub3RlSW5kZXgiOjB9LCJpc0VkaXRlZCI6ZmFsc2UsIm1hbnVhbE92ZXJyaWRlIjp7ImlzTWFudWFsbHlPdmVycmlkZGVuIjpmYWxzZSwiY2l0ZXByb2NUZXh0IjoiKE1pY2hlbG90dG8sIDIwMTgpIiwibWFudWFsT3ZlcnJpZGVUZXh0IjoiIn0sImNpdGF0aW9uSXRlbXMiOlt7ImlkIjoiZjg4YjhiMzYtZGZjMy0zNDZmLTk5NGYtODE0MjNjNzA1M2Q1IiwiaXRlbURhdGEiOnsidHlwZSI6ImFydGljbGUtam91cm5hbCIsImlkIjoiZjg4YjhiMzYtZGZjMy0zNDZmLTk5NGYtODE0MjNjNzA1M2Q1IiwidGl0bGUiOiJBbsOhbGlzZSBmbHVpZG9kaW7Dom1pY2EgZGEgdmFyaWHDp8OjbyBkYSByYXrDo28gZGUgYXNwZWN0byBkZSBwYXJ0w61jdWxhcyBjaWzDrW5kcmljYXMgZW0gbGVpdG8gZmx1aWRpemFkbyIsImF1dGhvciI6W3siZmFtaWx5IjoiTWljaGVsb3R0byIsImdpdmVuIjoiRGlvbmlzc29uIGRlIEFuZHJhZGUiLCJwYXJzZS1uYW1lcyI6ZmFsc2UsImRyb3BwaW5nLXBhcnRpY2xlIjoiIiwibm9uLWRyb3BwaW5nLXBhcnRpY2xlIjoiIn1dLCJhY2Nlc3NlZCI6eyJkYXRlLXBhcnRzIjpbWzIwMjMsMTAsMjVdXX0sIlVSTCI6Imh0dHA6Ly9yZXBvc2l0b3Jpby5qZXN1aXRhLm9yZy5ici9oYW5kbGUvVU5JU0lOT1MvNzY0NyIsImlzc3VlZCI6eyJkYXRlLXBhcnRzIjpbWzIwMThdXX0sInB1Ymxpc2hlciI6IlVuaXZlcnNpZGFkZSBkbyBWYWxlIGRvIFJpbyBkb3MgU2lub3MiLCJjb250YWluZXItdGl0bGUtc2hvcnQiOiIifSwiaXNUZW1wb3JhcnkiOmZhbHNlfV19"/>
          <w:id w:val="1701284300"/>
          <w:placeholder>
            <w:docPart w:val="EF70EDE3163640E2AE827D4D7EFF8972"/>
          </w:placeholder>
        </w:sdtPr>
        <w:sdtContent>
          <w:r>
            <w:rPr>
              <w:color w:val="000000"/>
            </w:rPr>
            <w:t>(Michelotto, 2018)</w:t>
          </w:r>
        </w:sdtContent>
      </w:sdt>
      <w:r w:rsidR="00302399">
        <w:rPr>
          <w:color w:val="000000"/>
        </w:rPr>
        <w:t xml:space="preserve">. </w:t>
      </w:r>
      <w:r w:rsidR="00302399" w:rsidRPr="001A6C7F">
        <w:rPr>
          <w:color w:val="000000"/>
          <w:highlight w:val="yellow"/>
        </w:rPr>
        <w:t xml:space="preserve">Another characteristic is that granular sludge is distinguished by its rapid sedimentation rate and methane generation capacity, enabling it to function as an essential element in </w:t>
      </w:r>
      <w:r w:rsidR="008C5A4C">
        <w:rPr>
          <w:color w:val="000000"/>
          <w:highlight w:val="yellow"/>
        </w:rPr>
        <w:t>degrading</w:t>
      </w:r>
      <w:r w:rsidR="00302399" w:rsidRPr="001A6C7F">
        <w:rPr>
          <w:color w:val="000000"/>
          <w:highlight w:val="yellow"/>
        </w:rPr>
        <w:t xml:space="preserve"> organic pollutants in wastewater</w:t>
      </w:r>
      <w:r w:rsidR="00405644" w:rsidRPr="001A6C7F">
        <w:rPr>
          <w:color w:val="000000"/>
          <w:highlight w:val="yellow"/>
        </w:rPr>
        <w:t xml:space="preserve"> (Zainudin et al., 2023)</w:t>
      </w:r>
      <w:r w:rsidR="00302399" w:rsidRPr="001A6C7F">
        <w:rPr>
          <w:color w:val="000000"/>
          <w:highlight w:val="yellow"/>
        </w:rPr>
        <w:t>.</w:t>
      </w:r>
    </w:p>
    <w:p w14:paraId="4C24B641" w14:textId="77777777" w:rsidR="008E4CA1" w:rsidRDefault="008E4CA1" w:rsidP="008E4CA1">
      <w:pPr>
        <w:pStyle w:val="CETheadingx"/>
        <w:rPr>
          <w:lang w:val="pt-BR"/>
        </w:rPr>
      </w:pPr>
      <w:r>
        <w:t>Surface adhesion tension</w:t>
      </w:r>
    </w:p>
    <w:p w14:paraId="3770C88F" w14:textId="3B54788A" w:rsidR="008E4CA1" w:rsidRDefault="008E4CA1" w:rsidP="008E4CA1">
      <w:pPr>
        <w:pStyle w:val="CETBodytext"/>
      </w:pPr>
      <w:r>
        <w:t xml:space="preserve">In this test, 14 distinct samples </w:t>
      </w:r>
      <w:r w:rsidR="005D67E2">
        <w:t>were prepared and analyzed. T</w:t>
      </w:r>
      <w:r>
        <w:t>he results are presented in Figure 3, along with the identification of their physical states.</w:t>
      </w:r>
    </w:p>
    <w:p w14:paraId="7CCAF3D5" w14:textId="77777777" w:rsidR="008E4CA1" w:rsidRDefault="008E4CA1" w:rsidP="008E4CA1">
      <w:pPr>
        <w:pStyle w:val="CETBodytext"/>
        <w:spacing w:line="120" w:lineRule="auto"/>
      </w:pPr>
    </w:p>
    <w:p w14:paraId="10F92313" w14:textId="77777777" w:rsidR="008E4CA1" w:rsidRDefault="008E4CA1" w:rsidP="008E4CA1">
      <w:pPr>
        <w:pStyle w:val="CETBodytext"/>
      </w:pPr>
      <w:r>
        <w:t xml:space="preserve"> </w:t>
      </w:r>
      <w:r>
        <w:rPr>
          <w:noProof/>
          <w:lang w:val="pt-BR"/>
        </w:rPr>
        <w:drawing>
          <wp:inline distT="0" distB="0" distL="0" distR="0" wp14:anchorId="7257162E" wp14:editId="6E56CCBE">
            <wp:extent cx="4516340" cy="1913648"/>
            <wp:effectExtent l="0" t="0" r="635" b="3175"/>
            <wp:docPr id="10806097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6340" cy="1913648"/>
                    </a:xfrm>
                    <a:prstGeom prst="rect">
                      <a:avLst/>
                    </a:prstGeom>
                    <a:noFill/>
                    <a:ln>
                      <a:noFill/>
                    </a:ln>
                  </pic:spPr>
                </pic:pic>
              </a:graphicData>
            </a:graphic>
          </wp:inline>
        </w:drawing>
      </w:r>
    </w:p>
    <w:p w14:paraId="40C34A92" w14:textId="77777777" w:rsidR="008E4CA1" w:rsidRPr="00153DCB" w:rsidRDefault="008E4CA1" w:rsidP="008E4CA1">
      <w:pPr>
        <w:pStyle w:val="CETBodytext"/>
        <w:rPr>
          <w:i/>
          <w:lang w:val="en-GB"/>
        </w:rPr>
      </w:pPr>
      <w:r>
        <w:rPr>
          <w:rStyle w:val="CETCaptionCarattere"/>
        </w:rPr>
        <w:t>Figure 3: Surface Adhesion Tension results</w:t>
      </w:r>
    </w:p>
    <w:p w14:paraId="29BD5B41" w14:textId="77777777" w:rsidR="008C5A4C" w:rsidRDefault="008C5A4C" w:rsidP="008E4CA1">
      <w:pPr>
        <w:pStyle w:val="CETBodytext"/>
      </w:pPr>
    </w:p>
    <w:p w14:paraId="1F10A57F" w14:textId="2748AA63" w:rsidR="008E4CA1" w:rsidRDefault="008E4CA1" w:rsidP="008E4CA1">
      <w:pPr>
        <w:pStyle w:val="CETBodytext"/>
      </w:pPr>
      <w:r>
        <w:t xml:space="preserve">It is observed that the highest values of sludge adhesion tension are obtained with 10% (liquid sludge) and 30% (plastic sludge) TS content, which are approximately 51 Pa and 71 Pa, respectively. Thus, it is understood that the range between 7.5-40% TS should be avoided for thermal drying processes, as it may lead to operational issues such as passage blockages, jamming of moving parts, and undesired fouling </w:t>
      </w:r>
      <w:sdt>
        <w:sdtPr>
          <w:rPr>
            <w:color w:val="000000"/>
          </w:rPr>
          <w:tag w:val="MENDELEY_CITATION_v3_eyJjaXRhdGlvbklEIjoiTUVOREVMRVlfQ0lUQVRJT05fNzkzZjAyNDQtYzcyNy00MTY5LWIzZWItYjVjODBlOTQyNDk5IiwicHJvcGVydGllcyI6eyJub3RlSW5kZXgiOjB9LCJpc0VkaXRlZCI6ZmFsc2UsIm1hbnVhbE92ZXJyaWRlIjp7ImlzTWFudWFsbHlPdmVycmlkZGVuIjpmYWxzZSwiY2l0ZXByb2NUZXh0IjoiKERlbmcgZXQgYWwuLCAyMDE3KSIsIm1hbnVhbE92ZXJyaWRlVGV4dCI6IiJ9LCJjaXRhdGlvbkl0ZW1zIjpbeyJpZCI6IjJmMWU4OThjLTFlNGMtMzgwMy1iMDAzLTVmYTkzOTQxODg3ZSIsIml0ZW1EYXRhIjp7InR5cGUiOiJhcnRpY2xlLWpvdXJuYWwiLCJpZCI6IjJmMWU4OThjLTFlNGMtMzgwMy1iMDAzLTVmYTkzOTQxODg3ZSIsInRpdGxlIjoiRWZmZWN0IG9mIGNhbGNpdW0gb3hpZGUgKENhTykgYW5kIHNhd2R1c3Qgb24gYWRoZXNpb24gYW5kIGNvaGVzaW9uIGNoYXJhY3RlcmlzdGljcyBvZiBzZXdhZ2Ugc2x1ZGdlIHVuZGVyIGFnaXRhdGVkIGFuZCBub24tYWdpdGF0ZWQgZHJ5aW5nIGNvbmRpdGlvbnMiLCJhdXRob3IiOlt7ImZhbWlseSI6IkRlbmciLCJnaXZlbiI6Ildlbi1ZaSIsInBhcnNlLW5hbWVzIjpmYWxzZSwiZHJvcHBpbmctcGFydGljbGUiOiIiLCJub24tZHJvcHBpbmctcGFydGljbGUiOiIifSx7ImZhbWlseSI6Ill1YW4iLCJnaXZlbiI6Ik1pbi1IYW8iLCJwYXJzZS1uYW1lcyI6ZmFsc2UsImRyb3BwaW5nLXBhcnRpY2xlIjoiIiwibm9uLWRyb3BwaW5nLXBhcnRpY2xlIjoiIn0seyJmYW1pbHkiOiJNZWkiLCJnaXZlbiI6IkppbmciLCJwYXJzZS1uYW1lcyI6ZmFsc2UsImRyb3BwaW5nLXBhcnRpY2xlIjoiIiwibm9uLWRyb3BwaW5nLXBhcnRpY2xlIjoiIn0seyJmYW1pbHkiOiJMaXUiLCJnaXZlbiI6IllhLUp1biIsInBhcnNlLW5hbWVzIjpmYWxzZSwiZHJvcHBpbmctcGFydGljbGUiOiIiLCJub24tZHJvcHBpbmctcGFydGljbGUiOiIifSx7ImZhbWlseSI6IlN1IiwiZ2l2ZW4iOiJZYS1YaW4iLCJwYXJzZS1uYW1lcyI6ZmFsc2UsImRyb3BwaW5nLXBhcnRpY2xlIjoiIiwibm9uLWRyb3BwaW5nLXBhcnRpY2xlIjoiIn1dLCJjb250YWluZXItdGl0bGUiOiJXYXRlciByZXNlYXJjaCIsImNvbnRhaW5lci10aXRsZS1zaG9ydCI6IldhdGVyIFJlcyIsImFjY2Vzc2VkIjp7ImRhdGUtcGFydHMiOltbMjAyNCwxMiw5XV19LCJJU1NOIjoiMDA0My0xMzU0IiwiVVJMIjoiaHR0cHM6Ly93d3cuc2NpZW5jZWRpcmVjdC5jb20vc2NpZW5jZS9hcnRpY2xlL3BpaS9TMDA0MzEzNTQxNjMwOTMyMCIsImlzc3VlZCI6eyJkYXRlLXBhcnRzIjpbWzIwMTddXX0sInBhZ2UiOiIxNTAtMTYwIiwicHVibGlzaGVyIjoiRWxzZXZpZXIiLCJ2b2x1bWUiOiIxMTAifSwiaXNUZW1wb3JhcnkiOmZhbHNlfV19"/>
          <w:id w:val="715010943"/>
          <w:placeholder>
            <w:docPart w:val="17F65E78A9954953B30DC02FFF98C8AA"/>
          </w:placeholder>
        </w:sdtPr>
        <w:sdtContent>
          <w:r>
            <w:rPr>
              <w:color w:val="000000"/>
            </w:rPr>
            <w:t>(Deng et al., 2017)</w:t>
          </w:r>
        </w:sdtContent>
      </w:sdt>
      <w:r>
        <w:rPr>
          <w:color w:val="000000"/>
        </w:rPr>
        <w:t>.</w:t>
      </w:r>
      <w:r>
        <w:t xml:space="preserve"> Furthermore, a higher percentage of solids requires a smaller area for the drying bed </w:t>
      </w:r>
      <w:sdt>
        <w:sdtPr>
          <w:rPr>
            <w:color w:val="000000"/>
          </w:rPr>
          <w:tag w:val="MENDELEY_CITATION_v3_eyJjaXRhdGlvbklEIjoiTUVOREVMRVlfQ0lUQVRJT05fNjVjMjY3YjQtNDIzNy00MGFlLWJmZTQtODQzYWY4NTZlMjBkIiwicHJvcGVydGllcyI6eyJub3RlSW5kZXgiOjB9LCJpc0VkaXRlZCI6ZmFsc2UsIm1hbnVhbE92ZXJyaWRlIjp7ImlzTWFudWFsbHlPdmVycmlkZGVuIjpmYWxzZSwiY2l0ZXByb2NUZXh0IjoiKFNhbnRvcyBldCBhbC4sIDIwMTYpIiwibWFudWFsT3ZlcnJpZGVUZXh0IjoiIn0sImNpdGF0aW9uSXRlbXMiOlt7ImlkIjoiMGU3ZTI4MmQtNWM2YS0zMDc0LTlmMzgtOWJjMzgxMDJhNThjIiwiaXRlbURhdGEiOnsidHlwZSI6ImFydGljbGUtam91cm5hbCIsImlkIjoiMGU3ZTI4MmQtNWM2YS0zMDc0LTlmMzgtOWJjMzgxMDJhNThjIiwidGl0bGUiOiJFZmVpdG8gZGEgc2VjYWdlbSBlbSBsZWl0byBuYXMgY2FyYWN0ZXLDrXN0aWNhcyBmw61zaWNvLXF1w61taWNhcyBlIG1pY3JvYmlvbMOzZ2ljYXMgZGUgbG9kbyBkZSByZWF0b3IgYW5hZXLDs2JpbyBkZSBmbHV4byBhc2NlbmRlbnRlIHVzYWRvIG5vIHRyYXRhbWVudG8gZGUgZXNnb3RvIHNhbml0w6FyaW8iLCJhdXRob3IiOlt7ImZhbWlseSI6IlNhbnRvcyIsImdpdmVuIjoiRGFsaWxhIFNvdXphIiwicGFyc2UtbmFtZXMiOmZhbHNlLCJkcm9wcGluZy1wYXJ0aWNsZSI6IiIsIm5vbi1kcm9wcGluZy1wYXJ0aWNsZSI6IiJ9LHsiZmFtaWx5IjoiVGVzaGltYSIsImdpdmVuIjoiRWxpc2EiLCJwYXJzZS1uYW1lcyI6ZmFsc2UsImRyb3BwaW5nLXBhcnRpY2xlIjoiIiwibm9uLWRyb3BwaW5nLXBhcnRpY2xlIjoiIn0seyJmYW1pbHkiOiJEaWFzIiwiZ2l2ZW4iOiJTYW5kcmEgTWFyaWEgRnVyaWFtIiwicGFyc2UtbmFtZXMiOmZhbHNlLCJkcm9wcGluZy1wYXJ0aWNsZSI6IiIsIm5vbi1kcm9wcGluZy1wYXJ0aWNsZSI6IiJ9LHsiZmFtaWx5IjoiQXJhw7pqbyIsImdpdmVuIjoiUm9xdWUgQW5nZWxpY28iLCJwYXJzZS1uYW1lcyI6ZmFsc2UsImRyb3BwaW5nLXBhcnRpY2xlIjoiIiwibm9uLWRyb3BwaW5nLXBhcnRpY2xlIjoiIn0seyJmYW1pbHkiOiJTaWx2YSIsImdpdmVuIjoiQ3Jpc3RpbmEgTWFyaWEgUm9kcmlndWVzIiwicGFyc2UtbmFtZXMiOmZhbHNlLCJkcm9wcGluZy1wYXJ0aWNsZSI6ImRhIiwibm9uLWRyb3BwaW5nLXBhcnRpY2xlIjoiIn1dLCJjb250YWluZXItdGl0bGUiOiJFbmdlbmhhcmlhIFNhbml0YXJpYSBlIEFtYmllbnRhbCIsImFjY2Vzc2VkIjp7ImRhdGUtcGFydHMiOltbMjAyNCwxMiw5XV19LCJJU1NOIjoiMTQxMy00MTUyIiwiVVJMIjoiaHR0cHM6Ly93d3cuc2NpZWxvLmJyL2ovZXNhL2EvaFJNckdiUWN5Y21XTFZoV0RKWlRjWG4vIiwiaXNzdWVkIjp7ImRhdGUtcGFydHMiOltbMjAxNl1dfSwicGFnZSI6IjM0MS0zNDkiLCJwdWJsaXNoZXIiOiJTY2lFTE8gQnJhc2lsIiwidm9sdW1lIjoiMjIiLCJjb250YWluZXItdGl0bGUtc2hvcnQiOiIifSwiaXNUZW1wb3JhcnkiOmZhbHNlfV19"/>
          <w:id w:val="183182011"/>
          <w:placeholder>
            <w:docPart w:val="17F65E78A9954953B30DC02FFF98C8AA"/>
          </w:placeholder>
        </w:sdtPr>
        <w:sdtContent>
          <w:r>
            <w:rPr>
              <w:color w:val="000000"/>
            </w:rPr>
            <w:t>(Santos et al., 2016)</w:t>
          </w:r>
        </w:sdtContent>
      </w:sdt>
      <w:r>
        <w:rPr>
          <w:color w:val="000000"/>
        </w:rPr>
        <w:t>.</w:t>
      </w:r>
    </w:p>
    <w:p w14:paraId="5CA9C689" w14:textId="6062846F" w:rsidR="008E4CA1" w:rsidRDefault="008E4CA1" w:rsidP="008E4CA1">
      <w:pPr>
        <w:pStyle w:val="CETBodytext"/>
      </w:pPr>
      <w:r>
        <w:t xml:space="preserve">Therefore, the results presented in this section indicate that wet sludge with 50% TS content is the most suitable for the thermal drying process defended in </w:t>
      </w:r>
      <w:r w:rsidRPr="00DD0AE7">
        <w:t>this study since</w:t>
      </w:r>
      <w:r>
        <w:t xml:space="preserve"> it exhibits low plasticity and falls outside the range of high adhesion for sludges in the solid state.</w:t>
      </w:r>
    </w:p>
    <w:p w14:paraId="783267F5" w14:textId="77777777" w:rsidR="008E4CA1" w:rsidRDefault="008E4CA1" w:rsidP="008E4CA1">
      <w:pPr>
        <w:pStyle w:val="CETHeading1"/>
        <w:rPr>
          <w:lang w:val="en-GB"/>
        </w:rPr>
      </w:pPr>
      <w:r>
        <w:rPr>
          <w:lang w:val="en-GB"/>
        </w:rPr>
        <w:t>Conclusions</w:t>
      </w:r>
    </w:p>
    <w:p w14:paraId="40CB1B50" w14:textId="77777777" w:rsidR="008E4CA1" w:rsidRDefault="008E4CA1" w:rsidP="008E4CA1">
      <w:pPr>
        <w:pStyle w:val="CETBodytext"/>
      </w:pPr>
      <w:r>
        <w:t>From the obtained results, it is observed that the mixture of treated sludge with centrifuged sludge can modify the morphological and rheological characteristics of the sludge, proving to be an essential technique for controlling properties derived from these characteristics. Therefore, it is concluded that this mixture reduces the final particle size of the thermally treated sludge, making it less coarse than the drying of centrifuged sludge alone. Furthermore, sanitary sludge is a waste product characterized by a high organic material content and a lower heating value of 17.4 MJ/kg, rendering its utilization in energy generation feasible.</w:t>
      </w:r>
    </w:p>
    <w:p w14:paraId="4AE3A8E6" w14:textId="77777777" w:rsidR="008E4CA1" w:rsidRDefault="008E4CA1" w:rsidP="008E4CA1">
      <w:pPr>
        <w:pStyle w:val="CETBodytext"/>
      </w:pPr>
      <w:r>
        <w:t>Another aspect observed throughout this study is that the granular bed method has an advantage over the convective method in producing treated sludge with a particle size classification with a smaller diameter. Regarding the choice of low-temperature drying, it was observed that this condition did not hinder the process from achieving high TS content at the end of drying, indicating that it is possible to produce a dry, granular biosolid, possibly sanitized and suitable for use in various productive processes.</w:t>
      </w:r>
    </w:p>
    <w:p w14:paraId="56C73065" w14:textId="77777777" w:rsidR="008E4CA1" w:rsidRDefault="008E4CA1" w:rsidP="008E4CA1">
      <w:pPr>
        <w:pStyle w:val="CETHeadingxx"/>
      </w:pPr>
      <w:r>
        <w:t>Nomenclature</w:t>
      </w:r>
    </w:p>
    <w:p w14:paraId="2E9ECE7B" w14:textId="77777777" w:rsidR="008E4CA1" w:rsidRDefault="008E4CA1" w:rsidP="008E4CA1">
      <w:pPr>
        <w:pStyle w:val="CETBodytext"/>
        <w:jc w:val="left"/>
        <w:rPr>
          <w:rFonts w:eastAsia="SimSun"/>
        </w:rPr>
      </w:pPr>
      <w:r>
        <w:rPr>
          <w:rFonts w:eastAsia="SimSun"/>
        </w:rPr>
        <w:t>SAT – surface adhesion test, Pa</w:t>
      </w:r>
    </w:p>
    <w:p w14:paraId="1D641F33" w14:textId="77777777" w:rsidR="008E4CA1" w:rsidRDefault="008E4CA1" w:rsidP="008E4CA1">
      <w:pPr>
        <w:pStyle w:val="CETBodytext"/>
        <w:jc w:val="left"/>
        <w:rPr>
          <w:rFonts w:eastAsia="SimSun"/>
        </w:rPr>
      </w:pPr>
      <w:proofErr w:type="spellStart"/>
      <w:r>
        <w:rPr>
          <w:rFonts w:eastAsia="SimSun"/>
        </w:rPr>
        <w:t>T</w:t>
      </w:r>
      <w:r>
        <w:rPr>
          <w:rFonts w:eastAsia="SimSun"/>
          <w:vertAlign w:val="subscript"/>
        </w:rPr>
        <w:t>max</w:t>
      </w:r>
      <w:proofErr w:type="spellEnd"/>
      <w:r>
        <w:rPr>
          <w:rFonts w:eastAsia="SimSun"/>
        </w:rPr>
        <w:t xml:space="preserve"> – maximum tension registered, N</w:t>
      </w:r>
    </w:p>
    <w:p w14:paraId="250DAB31" w14:textId="77777777" w:rsidR="008E4CA1" w:rsidRDefault="008E4CA1" w:rsidP="008E4CA1">
      <w:pPr>
        <w:pStyle w:val="CETBodytext"/>
        <w:jc w:val="left"/>
        <w:rPr>
          <w:rFonts w:eastAsia="SimSun"/>
        </w:rPr>
      </w:pPr>
      <w:r>
        <w:rPr>
          <w:rFonts w:eastAsia="SimSun"/>
        </w:rPr>
        <w:t>A – surface area of the flat plate, m²</w:t>
      </w:r>
    </w:p>
    <w:p w14:paraId="186D2B1A" w14:textId="77777777" w:rsidR="008E4CA1" w:rsidRDefault="008E4CA1" w:rsidP="008E4CA1">
      <w:pPr>
        <w:pStyle w:val="CETAcknowledgementstitle"/>
      </w:pPr>
      <w:r>
        <w:t>Acknowledgments</w:t>
      </w:r>
    </w:p>
    <w:p w14:paraId="2F1B560B" w14:textId="321A1EF2" w:rsidR="008E4CA1" w:rsidRDefault="008E4CA1" w:rsidP="008E4CA1">
      <w:pPr>
        <w:pStyle w:val="CETBodytext"/>
        <w:rPr>
          <w:lang w:val="en-GB"/>
        </w:rPr>
      </w:pPr>
      <w:r>
        <w:rPr>
          <w:lang w:val="en-GB"/>
        </w:rPr>
        <w:t xml:space="preserve">The authors wish to express </w:t>
      </w:r>
      <w:proofErr w:type="gramStart"/>
      <w:r>
        <w:rPr>
          <w:lang w:val="en-GB"/>
        </w:rPr>
        <w:t>their</w:t>
      </w:r>
      <w:proofErr w:type="gramEnd"/>
      <w:r>
        <w:rPr>
          <w:lang w:val="en-GB"/>
        </w:rPr>
        <w:t xml:space="preserve"> thanks to the Research Support Foundation of the state of Minas Gerais </w:t>
      </w:r>
      <w:r w:rsidR="005D67E2">
        <w:rPr>
          <w:lang w:val="en-GB"/>
        </w:rPr>
        <w:t xml:space="preserve">- </w:t>
      </w:r>
      <w:r>
        <w:rPr>
          <w:lang w:val="en-GB"/>
        </w:rPr>
        <w:t>FAPEMIG</w:t>
      </w:r>
      <w:r w:rsidR="005D67E2">
        <w:rPr>
          <w:lang w:val="en-GB"/>
        </w:rPr>
        <w:t xml:space="preserve"> (grant </w:t>
      </w:r>
      <w:r w:rsidR="005D67E2" w:rsidRPr="005D67E2">
        <w:rPr>
          <w:lang w:val="en-GB"/>
        </w:rPr>
        <w:t>APQ-02413-17</w:t>
      </w:r>
      <w:r>
        <w:rPr>
          <w:lang w:val="en-GB"/>
        </w:rPr>
        <w:t xml:space="preserve">, the National Council for Scientific and Technological Development </w:t>
      </w:r>
      <w:r w:rsidR="004E1F29">
        <w:rPr>
          <w:lang w:val="en-GB"/>
        </w:rPr>
        <w:t xml:space="preserve">- </w:t>
      </w:r>
      <w:proofErr w:type="spellStart"/>
      <w:r>
        <w:rPr>
          <w:lang w:val="en-GB"/>
        </w:rPr>
        <w:t>CNPq</w:t>
      </w:r>
      <w:proofErr w:type="spellEnd"/>
      <w:r w:rsidR="004E1F29">
        <w:rPr>
          <w:lang w:val="en-GB"/>
        </w:rPr>
        <w:t xml:space="preserve"> (</w:t>
      </w:r>
      <w:r w:rsidR="0076660C">
        <w:rPr>
          <w:lang w:val="en-GB"/>
        </w:rPr>
        <w:t xml:space="preserve">grant </w:t>
      </w:r>
      <w:r w:rsidR="0076660C" w:rsidRPr="004B179E">
        <w:rPr>
          <w:rFonts w:ascii="DejaVuSansMono" w:eastAsiaTheme="minorHAnsi" w:hAnsi="DejaVuSansMono" w:cs="DejaVuSansMono"/>
          <w:szCs w:val="18"/>
          <w14:ligatures w14:val="standardContextual"/>
        </w:rPr>
        <w:t>317527/2021-5</w:t>
      </w:r>
      <w:r>
        <w:rPr>
          <w:lang w:val="en-GB"/>
        </w:rPr>
        <w:t xml:space="preserve">), </w:t>
      </w:r>
      <w:r w:rsidR="0076660C">
        <w:rPr>
          <w:lang w:val="en-GB"/>
        </w:rPr>
        <w:t xml:space="preserve">and </w:t>
      </w:r>
      <w:r>
        <w:rPr>
          <w:lang w:val="en-GB"/>
        </w:rPr>
        <w:t xml:space="preserve">the Coordination for the Improvement of Higher Level Personnel </w:t>
      </w:r>
      <w:r w:rsidR="004E1F29">
        <w:rPr>
          <w:lang w:val="en-GB"/>
        </w:rPr>
        <w:t xml:space="preserve">- </w:t>
      </w:r>
      <w:r>
        <w:rPr>
          <w:lang w:val="en-GB"/>
        </w:rPr>
        <w:t>CAPES</w:t>
      </w:r>
      <w:r w:rsidR="004E1F29">
        <w:rPr>
          <w:lang w:val="en-GB"/>
        </w:rPr>
        <w:t>.</w:t>
      </w:r>
    </w:p>
    <w:p w14:paraId="46C0B66B" w14:textId="77777777" w:rsidR="008E4CA1" w:rsidRDefault="008E4CA1" w:rsidP="008E4CA1">
      <w:pPr>
        <w:pStyle w:val="CETReference"/>
        <w:rPr>
          <w:lang w:val="en-US"/>
        </w:rPr>
      </w:pPr>
      <w:r>
        <w:rPr>
          <w:lang w:val="en-US"/>
        </w:rPr>
        <w:t>References</w:t>
      </w:r>
    </w:p>
    <w:sdt>
      <w:sdtPr>
        <w:tag w:val="MENDELEY_BIBLIOGRAPHY"/>
        <w:id w:val="-884874092"/>
        <w:placeholder>
          <w:docPart w:val="CD81C75A617A4C2F8B8DD1C3AF8EA0A1"/>
        </w:placeholder>
      </w:sdtPr>
      <w:sdtContent>
        <w:p w14:paraId="3E87D584" w14:textId="77777777" w:rsidR="008E4CA1" w:rsidRDefault="008E4CA1" w:rsidP="008E4CA1">
          <w:pPr>
            <w:pStyle w:val="CETReferencetext"/>
            <w:rPr>
              <w:sz w:val="24"/>
              <w:szCs w:val="24"/>
              <w:lang w:val="pt-BR"/>
            </w:rPr>
          </w:pPr>
          <w:r>
            <w:rPr>
              <w:lang w:val="en-US"/>
            </w:rPr>
            <w:t xml:space="preserve">Almeida Júnior, A. (2017). </w:t>
          </w:r>
          <w:r>
            <w:rPr>
              <w:i/>
              <w:iCs/>
              <w:lang w:val="en-US"/>
            </w:rPr>
            <w:t>Evaluation of the thermal drying process of sewage sludge</w:t>
          </w:r>
          <w:r>
            <w:rPr>
              <w:lang w:val="en-US"/>
            </w:rPr>
            <w:t xml:space="preserve">. </w:t>
          </w:r>
          <w:r>
            <w:rPr>
              <w:lang w:val="pt-BR"/>
            </w:rPr>
            <w:t>&lt;tede.bc.uepb.edu.br/</w:t>
          </w:r>
          <w:proofErr w:type="spellStart"/>
          <w:r>
            <w:rPr>
              <w:lang w:val="pt-BR"/>
            </w:rPr>
            <w:t>jspui</w:t>
          </w:r>
          <w:proofErr w:type="spellEnd"/>
          <w:r>
            <w:rPr>
              <w:lang w:val="pt-BR"/>
            </w:rPr>
            <w:t>/</w:t>
          </w:r>
          <w:proofErr w:type="spellStart"/>
          <w:r>
            <w:rPr>
              <w:lang w:val="pt-BR"/>
            </w:rPr>
            <w:t>handle</w:t>
          </w:r>
          <w:proofErr w:type="spellEnd"/>
          <w:r>
            <w:rPr>
              <w:lang w:val="pt-BR"/>
            </w:rPr>
            <w:t>/</w:t>
          </w:r>
          <w:proofErr w:type="spellStart"/>
          <w:r>
            <w:rPr>
              <w:lang w:val="pt-BR"/>
            </w:rPr>
            <w:t>tede</w:t>
          </w:r>
          <w:proofErr w:type="spellEnd"/>
          <w:r>
            <w:rPr>
              <w:lang w:val="pt-BR"/>
            </w:rPr>
            <w:t xml:space="preserve">/3291&gt; </w:t>
          </w:r>
          <w:proofErr w:type="spellStart"/>
          <w:r>
            <w:rPr>
              <w:lang w:val="pt-BR"/>
            </w:rPr>
            <w:t>accessed</w:t>
          </w:r>
          <w:proofErr w:type="spellEnd"/>
          <w:r>
            <w:rPr>
              <w:lang w:val="pt-BR"/>
            </w:rPr>
            <w:t xml:space="preserve"> 24.08.2023.</w:t>
          </w:r>
        </w:p>
        <w:p w14:paraId="7C1709FB" w14:textId="4C46F457" w:rsidR="008E4CA1" w:rsidRPr="004B179E" w:rsidRDefault="008E4CA1" w:rsidP="008E4CA1">
          <w:pPr>
            <w:pStyle w:val="CETReferencetext"/>
            <w:rPr>
              <w:lang w:val="pt-BR"/>
            </w:rPr>
          </w:pPr>
          <w:r>
            <w:rPr>
              <w:lang w:val="pt-BR"/>
            </w:rPr>
            <w:t xml:space="preserve">Associação Brasileira de Normas Técnicas. </w:t>
          </w:r>
          <w:r>
            <w:rPr>
              <w:lang w:val="en-US"/>
            </w:rPr>
            <w:t xml:space="preserve">(1987). Determining the particle size composition -NBR 7217. </w:t>
          </w:r>
          <w:r>
            <w:rPr>
              <w:i/>
              <w:iCs/>
              <w:lang w:val="pt-BR"/>
            </w:rPr>
            <w:t>ABNT-Assoc. Bras. Normas Tec</w:t>
          </w:r>
          <w:r>
            <w:rPr>
              <w:lang w:val="pt-BR"/>
            </w:rPr>
            <w:t>, 3.</w:t>
          </w:r>
          <w:r w:rsidR="00C92D7F">
            <w:rPr>
              <w:lang w:val="pt-BR"/>
            </w:rPr>
            <w:t xml:space="preserve"> </w:t>
          </w:r>
        </w:p>
        <w:p w14:paraId="15C4BA79" w14:textId="7580D747" w:rsidR="00C92D7F" w:rsidRPr="00C92D7F" w:rsidRDefault="00C92D7F" w:rsidP="00C92D7F">
          <w:pPr>
            <w:pStyle w:val="CETReferencetext"/>
            <w:jc w:val="left"/>
            <w:rPr>
              <w:lang w:val="en-US"/>
            </w:rPr>
          </w:pPr>
          <w:proofErr w:type="spellStart"/>
          <w:r w:rsidRPr="00C92D7F">
            <w:rPr>
              <w:lang w:val="pt-BR"/>
            </w:rPr>
            <w:t>Batlle</w:t>
          </w:r>
          <w:proofErr w:type="spellEnd"/>
          <w:r w:rsidRPr="00C92D7F">
            <w:rPr>
              <w:lang w:val="pt-BR"/>
            </w:rPr>
            <w:t xml:space="preserve">, E. A. O., </w:t>
          </w:r>
          <w:proofErr w:type="spellStart"/>
          <w:r w:rsidRPr="00C92D7F">
            <w:rPr>
              <w:lang w:val="pt-BR"/>
            </w:rPr>
            <w:t>Julio</w:t>
          </w:r>
          <w:proofErr w:type="spellEnd"/>
          <w:r w:rsidRPr="00C92D7F">
            <w:rPr>
              <w:lang w:val="pt-BR"/>
            </w:rPr>
            <w:t xml:space="preserve">, A. A. V., Santiago, Y. C., Palácio, J. C. E., </w:t>
          </w:r>
          <w:proofErr w:type="spellStart"/>
          <w:r w:rsidRPr="00C92D7F">
            <w:rPr>
              <w:lang w:val="pt-BR"/>
            </w:rPr>
            <w:t>Bortoni</w:t>
          </w:r>
          <w:proofErr w:type="spellEnd"/>
          <w:r w:rsidRPr="00C92D7F">
            <w:rPr>
              <w:lang w:val="pt-BR"/>
            </w:rPr>
            <w:t>, E. D. C., Nogueira, L. A. H., Dias, M. V. X., &amp; González, A. M</w:t>
          </w:r>
          <w:r>
            <w:rPr>
              <w:lang w:val="pt-BR"/>
            </w:rPr>
            <w:t xml:space="preserve"> </w:t>
          </w:r>
          <w:r w:rsidRPr="00C92D7F">
            <w:rPr>
              <w:lang w:val="pt-BR"/>
            </w:rPr>
            <w:t xml:space="preserve">(2022). </w:t>
          </w:r>
          <w:r w:rsidRPr="00C92D7F">
            <w:rPr>
              <w:lang w:val="en-US"/>
            </w:rPr>
            <w:t xml:space="preserve">Brazilian integrated </w:t>
          </w:r>
          <w:proofErr w:type="spellStart"/>
          <w:r w:rsidRPr="00C92D7F">
            <w:rPr>
              <w:lang w:val="en-US"/>
            </w:rPr>
            <w:t>oilpalm</w:t>
          </w:r>
          <w:proofErr w:type="spellEnd"/>
          <w:r w:rsidRPr="00C92D7F">
            <w:rPr>
              <w:lang w:val="en-US"/>
            </w:rPr>
            <w:t xml:space="preserve">-sugarcane biorefinery: An energetic, exergetic, economic, and environmental (4E) assessment. </w:t>
          </w:r>
          <w:r w:rsidRPr="00C92D7F">
            <w:rPr>
              <w:i/>
              <w:iCs/>
              <w:lang w:val="en-US"/>
            </w:rPr>
            <w:t>Energy Conversion and Management</w:t>
          </w:r>
          <w:r w:rsidRPr="00C92D7F">
            <w:rPr>
              <w:lang w:val="en-US"/>
            </w:rPr>
            <w:t xml:space="preserve">, </w:t>
          </w:r>
          <w:r w:rsidRPr="00C92D7F">
            <w:rPr>
              <w:i/>
              <w:iCs/>
              <w:lang w:val="en-US"/>
            </w:rPr>
            <w:t>268</w:t>
          </w:r>
          <w:r w:rsidRPr="00C92D7F">
            <w:rPr>
              <w:lang w:val="en-US"/>
            </w:rPr>
            <w:t xml:space="preserve">. &lt;https://www.sciencedirect.com/science/article/pii/S0196890422008536?via%3Dihub&gt; </w:t>
          </w:r>
          <w:r>
            <w:rPr>
              <w:lang w:val="en-US"/>
            </w:rPr>
            <w:t xml:space="preserve">accessed </w:t>
          </w:r>
          <w:r w:rsidRPr="00C92D7F">
            <w:rPr>
              <w:lang w:val="en-US"/>
            </w:rPr>
            <w:t>08.08.2023</w:t>
          </w:r>
        </w:p>
        <w:p w14:paraId="1AE6EB01" w14:textId="77777777" w:rsidR="008E4CA1" w:rsidRDefault="008E4CA1" w:rsidP="008E4CA1">
          <w:pPr>
            <w:pStyle w:val="CETReferencetext"/>
          </w:pPr>
          <w:proofErr w:type="spellStart"/>
          <w:r>
            <w:rPr>
              <w:lang w:val="pt-BR"/>
            </w:rPr>
            <w:t>Buonocore</w:t>
          </w:r>
          <w:proofErr w:type="spellEnd"/>
          <w:r>
            <w:rPr>
              <w:lang w:val="pt-BR"/>
            </w:rPr>
            <w:t xml:space="preserve">, E., </w:t>
          </w:r>
          <w:proofErr w:type="spellStart"/>
          <w:r>
            <w:rPr>
              <w:lang w:val="pt-BR"/>
            </w:rPr>
            <w:t>Mellino</w:t>
          </w:r>
          <w:proofErr w:type="spellEnd"/>
          <w:r>
            <w:rPr>
              <w:lang w:val="pt-BR"/>
            </w:rPr>
            <w:t xml:space="preserve">, S., De Angelis, G., Liu, G., &amp; </w:t>
          </w:r>
          <w:proofErr w:type="spellStart"/>
          <w:r>
            <w:rPr>
              <w:lang w:val="pt-BR"/>
            </w:rPr>
            <w:t>Ulgiati</w:t>
          </w:r>
          <w:proofErr w:type="spellEnd"/>
          <w:r>
            <w:rPr>
              <w:lang w:val="pt-BR"/>
            </w:rPr>
            <w:t xml:space="preserve">, S. (2018). </w:t>
          </w:r>
          <w:r>
            <w:t xml:space="preserve">Life cycle assessment indicators of urban wastewater and sewage sludge treatment. </w:t>
          </w:r>
          <w:r>
            <w:rPr>
              <w:i/>
              <w:iCs/>
            </w:rPr>
            <w:t>Ecological Indicators</w:t>
          </w:r>
          <w:r>
            <w:t xml:space="preserve">, </w:t>
          </w:r>
          <w:r>
            <w:rPr>
              <w:i/>
              <w:iCs/>
            </w:rPr>
            <w:t>94</w:t>
          </w:r>
          <w:r>
            <w:t xml:space="preserve">, 13–23. &lt;doi.org/10.1016/j.ecolind.2016.04.047&gt; </w:t>
          </w:r>
          <w:r>
            <w:rPr>
              <w:lang w:val="en-US"/>
            </w:rPr>
            <w:t>accessed 10.09.2023.</w:t>
          </w:r>
        </w:p>
        <w:p w14:paraId="27D252EA" w14:textId="77777777" w:rsidR="008E4CA1" w:rsidRDefault="008E4CA1" w:rsidP="008E4CA1">
          <w:pPr>
            <w:pStyle w:val="CETReferencetext"/>
            <w:rPr>
              <w:lang w:val="pt-BR"/>
            </w:rPr>
          </w:pPr>
          <w:proofErr w:type="spellStart"/>
          <w:r>
            <w:t>Capodaglio</w:t>
          </w:r>
          <w:proofErr w:type="spellEnd"/>
          <w:r>
            <w:t xml:space="preserve">, A. G. (2023). Biorefinery of sewage sludge: overview of possible value-added products and applicable process technologies. </w:t>
          </w:r>
          <w:proofErr w:type="spellStart"/>
          <w:r>
            <w:rPr>
              <w:i/>
              <w:iCs/>
              <w:lang w:val="pt-BR"/>
            </w:rPr>
            <w:t>Water</w:t>
          </w:r>
          <w:proofErr w:type="spellEnd"/>
          <w:r>
            <w:rPr>
              <w:lang w:val="pt-BR"/>
            </w:rPr>
            <w:t xml:space="preserve">, </w:t>
          </w:r>
          <w:r>
            <w:rPr>
              <w:i/>
              <w:iCs/>
              <w:lang w:val="pt-BR"/>
            </w:rPr>
            <w:t>15</w:t>
          </w:r>
          <w:r>
            <w:rPr>
              <w:lang w:val="pt-BR"/>
            </w:rPr>
            <w:t xml:space="preserve">(6), 1195. &lt;www.mdpi.com/2073-4441/15/6/1195&gt; </w:t>
          </w:r>
          <w:proofErr w:type="spellStart"/>
          <w:r>
            <w:rPr>
              <w:lang w:val="pt-BR"/>
            </w:rPr>
            <w:t>accessed</w:t>
          </w:r>
          <w:proofErr w:type="spellEnd"/>
          <w:r>
            <w:rPr>
              <w:lang w:val="pt-BR"/>
            </w:rPr>
            <w:t xml:space="preserve"> 04.08.2023.</w:t>
          </w:r>
        </w:p>
        <w:p w14:paraId="4AC3B4C6" w14:textId="77777777" w:rsidR="008E4CA1" w:rsidRDefault="008E4CA1" w:rsidP="008E4CA1">
          <w:pPr>
            <w:pStyle w:val="CETReferencetext"/>
            <w:rPr>
              <w:lang w:val="pt-BR"/>
            </w:rPr>
          </w:pPr>
          <w:r>
            <w:rPr>
              <w:lang w:val="pt-BR"/>
            </w:rPr>
            <w:t xml:space="preserve">Correia, M. A. C., </w:t>
          </w:r>
          <w:proofErr w:type="spellStart"/>
          <w:r>
            <w:rPr>
              <w:lang w:val="pt-BR"/>
            </w:rPr>
            <w:t>Seye</w:t>
          </w:r>
          <w:proofErr w:type="spellEnd"/>
          <w:r>
            <w:rPr>
              <w:lang w:val="pt-BR"/>
            </w:rPr>
            <w:t xml:space="preserve">, O., da Silva, A. M. P., &amp; da Silva, R. L. (2020). </w:t>
          </w:r>
          <w:r>
            <w:rPr>
              <w:lang w:val="en-US"/>
            </w:rPr>
            <w:t xml:space="preserve">Characteristics and energy potential of sugarcane bagasse stored uncovered for a prolonged period of time. </w:t>
          </w:r>
          <w:r>
            <w:rPr>
              <w:i/>
              <w:iCs/>
              <w:lang w:val="pt-BR"/>
            </w:rPr>
            <w:t>Revista Em Agronegócio e Meio Ambiente</w:t>
          </w:r>
          <w:r>
            <w:rPr>
              <w:lang w:val="pt-BR"/>
            </w:rPr>
            <w:t xml:space="preserve">, </w:t>
          </w:r>
          <w:r>
            <w:rPr>
              <w:i/>
              <w:iCs/>
              <w:lang w:val="pt-BR"/>
            </w:rPr>
            <w:t>13</w:t>
          </w:r>
          <w:r>
            <w:rPr>
              <w:lang w:val="pt-BR"/>
            </w:rPr>
            <w:t xml:space="preserve">(1), 173–187. </w:t>
          </w:r>
        </w:p>
        <w:p w14:paraId="50FADAA2" w14:textId="77777777" w:rsidR="008E4CA1" w:rsidRDefault="008E4CA1" w:rsidP="008E4CA1">
          <w:pPr>
            <w:pStyle w:val="CETReferencetext"/>
          </w:pPr>
          <w:r>
            <w:rPr>
              <w:lang w:val="pt-BR"/>
            </w:rPr>
            <w:t xml:space="preserve">Deng, W.-Y., Yuan, M.-H., </w:t>
          </w:r>
          <w:proofErr w:type="spellStart"/>
          <w:r>
            <w:rPr>
              <w:lang w:val="pt-BR"/>
            </w:rPr>
            <w:t>Mei</w:t>
          </w:r>
          <w:proofErr w:type="spellEnd"/>
          <w:r>
            <w:rPr>
              <w:lang w:val="pt-BR"/>
            </w:rPr>
            <w:t xml:space="preserve">, J., Liu, Y.-J., &amp; </w:t>
          </w:r>
          <w:proofErr w:type="spellStart"/>
          <w:r>
            <w:rPr>
              <w:lang w:val="pt-BR"/>
            </w:rPr>
            <w:t>Su</w:t>
          </w:r>
          <w:proofErr w:type="spellEnd"/>
          <w:r>
            <w:rPr>
              <w:lang w:val="pt-BR"/>
            </w:rPr>
            <w:t xml:space="preserve">, Y.-X. (2017). </w:t>
          </w:r>
          <w:r>
            <w:t>Effect of calcium oxide (</w:t>
          </w:r>
          <w:proofErr w:type="spellStart"/>
          <w:r>
            <w:t>CaO</w:t>
          </w:r>
          <w:proofErr w:type="spellEnd"/>
          <w:r>
            <w:t xml:space="preserve">) and sawdust on adhesion and cohesion characteristics of sewage sludge under agitated and non-agitated drying conditions. </w:t>
          </w:r>
          <w:r>
            <w:rPr>
              <w:i/>
              <w:iCs/>
            </w:rPr>
            <w:t>Water Research</w:t>
          </w:r>
          <w:r>
            <w:t xml:space="preserve">, </w:t>
          </w:r>
          <w:r>
            <w:rPr>
              <w:i/>
              <w:iCs/>
            </w:rPr>
            <w:t>110</w:t>
          </w:r>
          <w:r>
            <w:t xml:space="preserve">, 150–160. &lt;www.sciencedirect.com/science/article/pii/S0043135416309320&gt; </w:t>
          </w:r>
          <w:r>
            <w:rPr>
              <w:lang w:val="en-US"/>
            </w:rPr>
            <w:t>accessed 30.08.2023.</w:t>
          </w:r>
        </w:p>
        <w:p w14:paraId="42A2565D" w14:textId="77777777" w:rsidR="008E4CA1" w:rsidRDefault="008E4CA1" w:rsidP="008E4CA1">
          <w:pPr>
            <w:pStyle w:val="CETReferencetext"/>
            <w:rPr>
              <w:lang w:val="en-US"/>
            </w:rPr>
          </w:pPr>
          <w:r>
            <w:rPr>
              <w:lang w:val="pt-BR"/>
            </w:rPr>
            <w:t xml:space="preserve">Di </w:t>
          </w:r>
          <w:proofErr w:type="spellStart"/>
          <w:r>
            <w:rPr>
              <w:lang w:val="pt-BR"/>
            </w:rPr>
            <w:t>Fraia</w:t>
          </w:r>
          <w:proofErr w:type="spellEnd"/>
          <w:r>
            <w:rPr>
              <w:lang w:val="pt-BR"/>
            </w:rPr>
            <w:t xml:space="preserve">, S., </w:t>
          </w:r>
          <w:proofErr w:type="spellStart"/>
          <w:r>
            <w:rPr>
              <w:lang w:val="pt-BR"/>
            </w:rPr>
            <w:t>Figaj</w:t>
          </w:r>
          <w:proofErr w:type="spellEnd"/>
          <w:r>
            <w:rPr>
              <w:lang w:val="pt-BR"/>
            </w:rPr>
            <w:t xml:space="preserve">, R. D., </w:t>
          </w:r>
          <w:proofErr w:type="spellStart"/>
          <w:r>
            <w:rPr>
              <w:lang w:val="pt-BR"/>
            </w:rPr>
            <w:t>Massarotti</w:t>
          </w:r>
          <w:proofErr w:type="spellEnd"/>
          <w:r>
            <w:rPr>
              <w:lang w:val="pt-BR"/>
            </w:rPr>
            <w:t xml:space="preserve">, N., &amp; </w:t>
          </w:r>
          <w:proofErr w:type="spellStart"/>
          <w:r>
            <w:rPr>
              <w:lang w:val="pt-BR"/>
            </w:rPr>
            <w:t>Vanoli</w:t>
          </w:r>
          <w:proofErr w:type="spellEnd"/>
          <w:r>
            <w:rPr>
              <w:lang w:val="pt-BR"/>
            </w:rPr>
            <w:t xml:space="preserve">, L. (2018). </w:t>
          </w:r>
          <w:r>
            <w:t xml:space="preserve">An integrated system for sewage sludge drying through solar energy and a combined heat and power unit fuelled by biogas. </w:t>
          </w:r>
          <w:r>
            <w:rPr>
              <w:i/>
              <w:iCs/>
            </w:rPr>
            <w:t xml:space="preserve">Energy Conversion and </w:t>
          </w:r>
          <w:r>
            <w:rPr>
              <w:i/>
              <w:iCs/>
            </w:rPr>
            <w:lastRenderedPageBreak/>
            <w:t>Management</w:t>
          </w:r>
          <w:r>
            <w:t xml:space="preserve">, </w:t>
          </w:r>
          <w:r>
            <w:rPr>
              <w:i/>
              <w:iCs/>
            </w:rPr>
            <w:t>171</w:t>
          </w:r>
          <w:r>
            <w:t xml:space="preserve">, 587–603. &lt;www.sciencedirect.com/science/article/abs/pii/S0196890418306289&gt; </w:t>
          </w:r>
          <w:r>
            <w:rPr>
              <w:lang w:val="en-US"/>
            </w:rPr>
            <w:t>accessed 05.09.2023.</w:t>
          </w:r>
        </w:p>
        <w:p w14:paraId="68D7FBA2" w14:textId="77777777" w:rsidR="008E4CA1" w:rsidRDefault="008E4CA1" w:rsidP="008E4CA1">
          <w:pPr>
            <w:pStyle w:val="CETReferencetext"/>
            <w:rPr>
              <w:lang w:val="en-US"/>
            </w:rPr>
          </w:pPr>
          <w:r>
            <w:t xml:space="preserve">Ding, A., Zhang, R., Ngo, H. H., He, X., Ma, J., Nan, J., &amp; Li, G. (2021). Life cycle assessment of sewage sludge treatment and disposal based on nutrient and energy recovery: A review. </w:t>
          </w:r>
          <w:r>
            <w:rPr>
              <w:i/>
              <w:iCs/>
            </w:rPr>
            <w:t>Science of the Total Environment</w:t>
          </w:r>
          <w:r>
            <w:t xml:space="preserve">, </w:t>
          </w:r>
          <w:r>
            <w:rPr>
              <w:i/>
              <w:iCs/>
            </w:rPr>
            <w:t>769</w:t>
          </w:r>
          <w:r>
            <w:t xml:space="preserve">, 144451. &lt;www.sciencedirect.com/science/article/pii/S0048969720379821?casa_token=lN_ERY18R4wAAAAA:ExW1e2G6sa4YkkaoHV4JUEpH39Dec2rVgaMtvrrilQAEVdTHRi-GtQdAPUEyEI8yMuZK6rCr_RI5&gt; </w:t>
          </w:r>
          <w:r>
            <w:rPr>
              <w:lang w:val="en-US"/>
            </w:rPr>
            <w:t>accessed 24.08.2023.</w:t>
          </w:r>
        </w:p>
        <w:p w14:paraId="09717AFF" w14:textId="77777777" w:rsidR="008E4CA1" w:rsidRDefault="008E4CA1" w:rsidP="008E4CA1">
          <w:pPr>
            <w:pStyle w:val="CETReferencetext"/>
            <w:rPr>
              <w:lang w:val="en-US"/>
            </w:rPr>
          </w:pPr>
          <w:r>
            <w:rPr>
              <w:lang w:val="en-US"/>
            </w:rPr>
            <w:t xml:space="preserve">Gomes, L. (2019). </w:t>
          </w:r>
          <w:r>
            <w:rPr>
              <w:i/>
              <w:iCs/>
              <w:lang w:val="en-US"/>
            </w:rPr>
            <w:t>Making use of the sludge generated in sewage treatment plants and its relationship with the environment</w:t>
          </w:r>
          <w:r>
            <w:rPr>
              <w:lang w:val="en-US"/>
            </w:rPr>
            <w:t>. &lt;repositorio.ufmg.br/handle/1843/32595&gt; accessed 11.12.2023.</w:t>
          </w:r>
        </w:p>
        <w:p w14:paraId="61884148" w14:textId="77777777" w:rsidR="008E4CA1" w:rsidRDefault="008E4CA1" w:rsidP="008E4CA1">
          <w:pPr>
            <w:pStyle w:val="CETReferencetext"/>
          </w:pPr>
          <w:r>
            <w:t xml:space="preserve">Ling, W., Xing, Y., Hong, C., Zhang, B., Hu, J., Zhao, C., Wang, Y., &amp; Feng, L. (2022). Methods, mechanisms, models and tail gas emissions of convective drying in sludge: A review. </w:t>
          </w:r>
          <w:r>
            <w:rPr>
              <w:i/>
              <w:iCs/>
            </w:rPr>
            <w:t>Science of the Total Environment</w:t>
          </w:r>
          <w:r>
            <w:t xml:space="preserve">, </w:t>
          </w:r>
          <w:r>
            <w:rPr>
              <w:i/>
              <w:iCs/>
            </w:rPr>
            <w:t>845</w:t>
          </w:r>
          <w:r>
            <w:t xml:space="preserve">, 157376. &lt;www.sciencedirect.com/science/article/pii/S0048969722044746&gt; </w:t>
          </w:r>
          <w:r>
            <w:rPr>
              <w:lang w:val="en-US"/>
            </w:rPr>
            <w:t>accessed 30.08.2023.</w:t>
          </w:r>
        </w:p>
        <w:p w14:paraId="433D4D49" w14:textId="77777777" w:rsidR="008E4CA1" w:rsidRDefault="008E4CA1" w:rsidP="008E4CA1">
          <w:pPr>
            <w:pStyle w:val="CETReferencetext"/>
            <w:rPr>
              <w:lang w:val="en-US"/>
            </w:rPr>
          </w:pPr>
          <w:r>
            <w:rPr>
              <w:lang w:val="en-US"/>
            </w:rPr>
            <w:t xml:space="preserve">Menezes, L. N. B. (2022). </w:t>
          </w:r>
          <w:r>
            <w:rPr>
              <w:i/>
              <w:iCs/>
              <w:lang w:val="en-US"/>
            </w:rPr>
            <w:t>Proposal for managing sewage sludge using a thermochemical process</w:t>
          </w:r>
          <w:r>
            <w:rPr>
              <w:lang w:val="en-US"/>
            </w:rPr>
            <w:t>. &lt;www.realp.unb.br/jspui/handle/10482/44825&gt; accessed 11.12.2023.</w:t>
          </w:r>
        </w:p>
        <w:p w14:paraId="21CAB31A" w14:textId="77777777" w:rsidR="008E4CA1" w:rsidRDefault="008E4CA1" w:rsidP="008E4CA1">
          <w:pPr>
            <w:pStyle w:val="CETReferencetext"/>
            <w:rPr>
              <w:lang w:val="pt-BR"/>
            </w:rPr>
          </w:pPr>
          <w:r>
            <w:rPr>
              <w:lang w:val="en-US"/>
            </w:rPr>
            <w:t xml:space="preserve">Michelotto, D. de A. (2018). </w:t>
          </w:r>
          <w:r>
            <w:rPr>
              <w:i/>
              <w:iCs/>
              <w:lang w:val="en-US"/>
            </w:rPr>
            <w:t>Fluid dynamic analysis of the variation in aspect ratio of cylindrical particles in a fluidized bed</w:t>
          </w:r>
          <w:r>
            <w:rPr>
              <w:lang w:val="en-US"/>
            </w:rPr>
            <w:t xml:space="preserve">. </w:t>
          </w:r>
          <w:r>
            <w:rPr>
              <w:lang w:val="pt-BR"/>
            </w:rPr>
            <w:t>&lt;repositorio.jesuita.org.br/</w:t>
          </w:r>
          <w:proofErr w:type="spellStart"/>
          <w:r>
            <w:rPr>
              <w:lang w:val="pt-BR"/>
            </w:rPr>
            <w:t>handle</w:t>
          </w:r>
          <w:proofErr w:type="spellEnd"/>
          <w:r>
            <w:rPr>
              <w:lang w:val="pt-BR"/>
            </w:rPr>
            <w:t xml:space="preserve">/UNISINOS/7647&gt; </w:t>
          </w:r>
          <w:proofErr w:type="spellStart"/>
          <w:r>
            <w:rPr>
              <w:lang w:val="pt-BR"/>
            </w:rPr>
            <w:t>accessed</w:t>
          </w:r>
          <w:proofErr w:type="spellEnd"/>
          <w:r>
            <w:rPr>
              <w:lang w:val="pt-BR"/>
            </w:rPr>
            <w:t xml:space="preserve"> 23.12.2023.</w:t>
          </w:r>
        </w:p>
        <w:p w14:paraId="7845AE28" w14:textId="77777777" w:rsidR="008E4CA1" w:rsidRDefault="008E4CA1" w:rsidP="008E4CA1">
          <w:pPr>
            <w:pStyle w:val="CETReferencetext"/>
          </w:pPr>
          <w:r>
            <w:rPr>
              <w:lang w:val="pt-BR"/>
            </w:rPr>
            <w:t xml:space="preserve">Moura, A. F. F., de Oliveira Siqueira, A. M., Leite, I. C., Martins, M. C., Castro, F. D., &amp; da Silva, J. L. (2020). </w:t>
          </w:r>
          <w:r>
            <w:rPr>
              <w:lang w:val="en-US"/>
            </w:rPr>
            <w:t xml:space="preserve">Energy reuse of sewage treatment plant sludge - a review. </w:t>
          </w:r>
          <w:r>
            <w:rPr>
              <w:i/>
              <w:iCs/>
            </w:rPr>
            <w:t>The Journal of Engineering and Exact Sciences</w:t>
          </w:r>
          <w:r>
            <w:t xml:space="preserve">, </w:t>
          </w:r>
          <w:r>
            <w:rPr>
              <w:i/>
              <w:iCs/>
            </w:rPr>
            <w:t>6</w:t>
          </w:r>
          <w:r>
            <w:t>(5), 740–747. &lt;periodicos.ufv.br/</w:t>
          </w:r>
          <w:proofErr w:type="spellStart"/>
          <w:r>
            <w:t>jcec</w:t>
          </w:r>
          <w:proofErr w:type="spellEnd"/>
          <w:r>
            <w:t xml:space="preserve">/article/view/11734&gt; </w:t>
          </w:r>
          <w:r>
            <w:rPr>
              <w:lang w:val="en-US"/>
            </w:rPr>
            <w:t>accessed 11.08.2023.</w:t>
          </w:r>
        </w:p>
        <w:p w14:paraId="243719D6" w14:textId="77777777" w:rsidR="008E4CA1" w:rsidRDefault="008E4CA1" w:rsidP="008E4CA1">
          <w:pPr>
            <w:pStyle w:val="CETReferencetext"/>
            <w:rPr>
              <w:lang w:val="en-US"/>
            </w:rPr>
          </w:pPr>
          <w:r>
            <w:rPr>
              <w:lang w:val="en-US"/>
            </w:rPr>
            <w:t xml:space="preserve">NEIVA, P. S. (2018). </w:t>
          </w:r>
          <w:r>
            <w:rPr>
              <w:i/>
              <w:iCs/>
              <w:lang w:val="en-US"/>
            </w:rPr>
            <w:t>Thermal capacity and calorific value of biomass</w:t>
          </w:r>
          <w:r>
            <w:rPr>
              <w:lang w:val="en-US"/>
            </w:rPr>
            <w:t>. &lt;dspace.uniube.br/handle/123456789/1091&gt; accessed 12.01.2024.</w:t>
          </w:r>
        </w:p>
        <w:p w14:paraId="70E6F065" w14:textId="77777777" w:rsidR="008E4CA1" w:rsidRDefault="008E4CA1" w:rsidP="008E4CA1">
          <w:pPr>
            <w:pStyle w:val="CETReferencetext"/>
            <w:rPr>
              <w:lang w:val="en-US"/>
            </w:rPr>
          </w:pPr>
          <w:r>
            <w:rPr>
              <w:lang w:val="en-US"/>
            </w:rPr>
            <w:t xml:space="preserve">Pereira Junior, A. O. (2020). </w:t>
          </w:r>
          <w:r>
            <w:rPr>
              <w:i/>
              <w:iCs/>
              <w:lang w:val="en-US"/>
            </w:rPr>
            <w:t>Energy recovery from waste: a market that can't be ignored</w:t>
          </w:r>
          <w:r>
            <w:rPr>
              <w:lang w:val="en-US"/>
            </w:rPr>
            <w:t>. &lt;repositorio.ipea.gov.br/bitstream/11058/10697/1/brua_24_opinicao.pdf&gt; accessed 05.11.2023.</w:t>
          </w:r>
        </w:p>
        <w:p w14:paraId="66A141BC" w14:textId="77777777" w:rsidR="008E4CA1" w:rsidRDefault="008E4CA1" w:rsidP="008E4CA1">
          <w:pPr>
            <w:pStyle w:val="CETReferencetext"/>
            <w:rPr>
              <w:lang w:val="pt-BR"/>
            </w:rPr>
          </w:pPr>
          <w:r>
            <w:rPr>
              <w:lang w:val="en-US"/>
            </w:rPr>
            <w:t xml:space="preserve">PETERLI, Z. (2019). </w:t>
          </w:r>
          <w:r>
            <w:rPr>
              <w:i/>
              <w:iCs/>
              <w:lang w:val="en-US"/>
            </w:rPr>
            <w:t xml:space="preserve">Energetic and experimental evaluation of low-temperature drying of sanitary sludge using </w:t>
          </w:r>
          <w:proofErr w:type="spellStart"/>
          <w:r>
            <w:rPr>
              <w:i/>
              <w:iCs/>
              <w:lang w:val="en-US"/>
            </w:rPr>
            <w:t>heliothermal</w:t>
          </w:r>
          <w:proofErr w:type="spellEnd"/>
          <w:r>
            <w:rPr>
              <w:i/>
              <w:iCs/>
              <w:lang w:val="en-US"/>
            </w:rPr>
            <w:t xml:space="preserve"> energy</w:t>
          </w:r>
          <w:r>
            <w:rPr>
              <w:lang w:val="en-US"/>
            </w:rPr>
            <w:t xml:space="preserve">. </w:t>
          </w:r>
          <w:r>
            <w:rPr>
              <w:lang w:val="pt-BR"/>
            </w:rPr>
            <w:t>&lt;repositorio.unifei.edu.br/</w:t>
          </w:r>
          <w:proofErr w:type="spellStart"/>
          <w:r>
            <w:rPr>
              <w:lang w:val="pt-BR"/>
            </w:rPr>
            <w:t>jspui</w:t>
          </w:r>
          <w:proofErr w:type="spellEnd"/>
          <w:r>
            <w:rPr>
              <w:lang w:val="pt-BR"/>
            </w:rPr>
            <w:t>/</w:t>
          </w:r>
          <w:proofErr w:type="spellStart"/>
          <w:r>
            <w:rPr>
              <w:lang w:val="pt-BR"/>
            </w:rPr>
            <w:t>handle</w:t>
          </w:r>
          <w:proofErr w:type="spellEnd"/>
          <w:r>
            <w:rPr>
              <w:lang w:val="pt-BR"/>
            </w:rPr>
            <w:t xml:space="preserve">/123456789/3864&gt; </w:t>
          </w:r>
          <w:proofErr w:type="spellStart"/>
          <w:r>
            <w:rPr>
              <w:lang w:val="pt-BR"/>
            </w:rPr>
            <w:t>accessed</w:t>
          </w:r>
          <w:proofErr w:type="spellEnd"/>
          <w:r>
            <w:rPr>
              <w:lang w:val="pt-BR"/>
            </w:rPr>
            <w:t xml:space="preserve"> 24.07.2023.</w:t>
          </w:r>
        </w:p>
        <w:p w14:paraId="5363AAA1" w14:textId="77777777" w:rsidR="008E4CA1" w:rsidRDefault="008E4CA1" w:rsidP="008E4CA1">
          <w:pPr>
            <w:pStyle w:val="CETReferencetext"/>
          </w:pPr>
          <w:r>
            <w:rPr>
              <w:lang w:val="pt-BR"/>
            </w:rPr>
            <w:t xml:space="preserve">Ramos, A., Monteiro, E., Silva, V., &amp; </w:t>
          </w:r>
          <w:proofErr w:type="spellStart"/>
          <w:r>
            <w:rPr>
              <w:lang w:val="pt-BR"/>
            </w:rPr>
            <w:t>Rouboa</w:t>
          </w:r>
          <w:proofErr w:type="spellEnd"/>
          <w:r>
            <w:rPr>
              <w:lang w:val="pt-BR"/>
            </w:rPr>
            <w:t xml:space="preserve">, A. (2018). </w:t>
          </w:r>
          <w:r>
            <w:t xml:space="preserve">Co-gasification and recent developments on waste-to-energy conversion: A review. </w:t>
          </w:r>
          <w:r>
            <w:rPr>
              <w:i/>
              <w:iCs/>
            </w:rPr>
            <w:t>Renewable and Sustainable Energy Reviews</w:t>
          </w:r>
          <w:r>
            <w:t xml:space="preserve">, </w:t>
          </w:r>
          <w:r>
            <w:rPr>
              <w:i/>
              <w:iCs/>
            </w:rPr>
            <w:t>81</w:t>
          </w:r>
          <w:r>
            <w:t xml:space="preserve">, 380–398. &lt;www.sciencedirect.com/science/article/pii/S1364032117310936&gt; </w:t>
          </w:r>
          <w:r>
            <w:rPr>
              <w:lang w:val="en-US"/>
            </w:rPr>
            <w:t>accessed 30.07.2023.</w:t>
          </w:r>
        </w:p>
        <w:p w14:paraId="3195BA75" w14:textId="77777777" w:rsidR="008E4CA1" w:rsidRDefault="008E4CA1" w:rsidP="008E4CA1">
          <w:pPr>
            <w:pStyle w:val="CETReferencetext"/>
            <w:rPr>
              <w:lang w:val="pt-BR"/>
            </w:rPr>
          </w:pPr>
          <w:r>
            <w:rPr>
              <w:lang w:val="en-US"/>
            </w:rPr>
            <w:t xml:space="preserve">Rodrigues, B. V. C. (2021). </w:t>
          </w:r>
          <w:r>
            <w:rPr>
              <w:i/>
              <w:iCs/>
              <w:lang w:val="en-US"/>
            </w:rPr>
            <w:t>Production of pellets using primary sludge generated in the kraft pulp industry.</w:t>
          </w:r>
          <w:r>
            <w:rPr>
              <w:lang w:val="en-US"/>
            </w:rPr>
            <w:t xml:space="preserve"> </w:t>
          </w:r>
          <w:r>
            <w:rPr>
              <w:lang w:val="pt-BR"/>
            </w:rPr>
            <w:t>&lt;www.locus.ufv.br/</w:t>
          </w:r>
          <w:proofErr w:type="spellStart"/>
          <w:r>
            <w:rPr>
              <w:lang w:val="pt-BR"/>
            </w:rPr>
            <w:t>handle</w:t>
          </w:r>
          <w:proofErr w:type="spellEnd"/>
          <w:r>
            <w:rPr>
              <w:lang w:val="pt-BR"/>
            </w:rPr>
            <w:t xml:space="preserve">/123456789/28652&gt; </w:t>
          </w:r>
          <w:proofErr w:type="spellStart"/>
          <w:r>
            <w:rPr>
              <w:lang w:val="pt-BR"/>
            </w:rPr>
            <w:t>accessed</w:t>
          </w:r>
          <w:proofErr w:type="spellEnd"/>
          <w:r>
            <w:rPr>
              <w:lang w:val="pt-BR"/>
            </w:rPr>
            <w:t xml:space="preserve"> 11.10.2023.</w:t>
          </w:r>
        </w:p>
        <w:p w14:paraId="581ED76B" w14:textId="77777777" w:rsidR="008E4CA1" w:rsidRDefault="008E4CA1" w:rsidP="008E4CA1">
          <w:pPr>
            <w:pStyle w:val="CETReferencetext"/>
            <w:rPr>
              <w:lang w:val="pt-BR"/>
            </w:rPr>
          </w:pPr>
          <w:r>
            <w:rPr>
              <w:lang w:val="pt-BR"/>
            </w:rPr>
            <w:t xml:space="preserve">Santos, D. S., </w:t>
          </w:r>
          <w:proofErr w:type="spellStart"/>
          <w:r>
            <w:rPr>
              <w:lang w:val="pt-BR"/>
            </w:rPr>
            <w:t>Teshima</w:t>
          </w:r>
          <w:proofErr w:type="spellEnd"/>
          <w:r>
            <w:rPr>
              <w:lang w:val="pt-BR"/>
            </w:rPr>
            <w:t xml:space="preserve">, E., Dias, S. M. F., Araújo, R. A., &amp; Silva, C. M. R. da. </w:t>
          </w:r>
          <w:r>
            <w:rPr>
              <w:lang w:val="en-US"/>
            </w:rPr>
            <w:t xml:space="preserve">(2016). Effect of bed drying on the physicochemical and microbiological characteristics of </w:t>
          </w:r>
          <w:proofErr w:type="spellStart"/>
          <w:r>
            <w:rPr>
              <w:lang w:val="en-US"/>
            </w:rPr>
            <w:t>upflow</w:t>
          </w:r>
          <w:proofErr w:type="spellEnd"/>
          <w:r>
            <w:rPr>
              <w:lang w:val="en-US"/>
            </w:rPr>
            <w:t xml:space="preserve"> anaerobic reactor sludge used in sewage treatment. </w:t>
          </w:r>
          <w:r>
            <w:rPr>
              <w:i/>
              <w:iCs/>
              <w:lang w:val="pt-BR"/>
            </w:rPr>
            <w:t xml:space="preserve">Engenharia </w:t>
          </w:r>
          <w:proofErr w:type="spellStart"/>
          <w:r>
            <w:rPr>
              <w:i/>
              <w:iCs/>
              <w:lang w:val="pt-BR"/>
            </w:rPr>
            <w:t>Sanitaria</w:t>
          </w:r>
          <w:proofErr w:type="spellEnd"/>
          <w:r>
            <w:rPr>
              <w:i/>
              <w:iCs/>
              <w:lang w:val="pt-BR"/>
            </w:rPr>
            <w:t xml:space="preserve"> e Ambiental</w:t>
          </w:r>
          <w:r>
            <w:rPr>
              <w:lang w:val="pt-BR"/>
            </w:rPr>
            <w:t xml:space="preserve">, </w:t>
          </w:r>
          <w:r>
            <w:rPr>
              <w:i/>
              <w:iCs/>
              <w:lang w:val="pt-BR"/>
            </w:rPr>
            <w:t>22</w:t>
          </w:r>
          <w:r>
            <w:rPr>
              <w:lang w:val="pt-BR"/>
            </w:rPr>
            <w:t>, 341–349. &lt;www.scielo.br/j/</w:t>
          </w:r>
          <w:proofErr w:type="spellStart"/>
          <w:r>
            <w:rPr>
              <w:lang w:val="pt-BR"/>
            </w:rPr>
            <w:t>esa</w:t>
          </w:r>
          <w:proofErr w:type="spellEnd"/>
          <w:r>
            <w:rPr>
              <w:lang w:val="pt-BR"/>
            </w:rPr>
            <w:t>/a/</w:t>
          </w:r>
          <w:proofErr w:type="spellStart"/>
          <w:r>
            <w:rPr>
              <w:lang w:val="pt-BR"/>
            </w:rPr>
            <w:t>hRMrGbQcycmWLVhWDJZTcXn</w:t>
          </w:r>
          <w:proofErr w:type="spellEnd"/>
          <w:r>
            <w:rPr>
              <w:lang w:val="pt-BR"/>
            </w:rPr>
            <w:t xml:space="preserve">/&gt; </w:t>
          </w:r>
          <w:proofErr w:type="spellStart"/>
          <w:r>
            <w:rPr>
              <w:lang w:val="pt-BR"/>
            </w:rPr>
            <w:t>accessed</w:t>
          </w:r>
          <w:proofErr w:type="spellEnd"/>
          <w:r>
            <w:rPr>
              <w:lang w:val="pt-BR"/>
            </w:rPr>
            <w:t xml:space="preserve"> 23.12.2023.</w:t>
          </w:r>
        </w:p>
        <w:p w14:paraId="323B1790" w14:textId="77777777" w:rsidR="008E4CA1" w:rsidRDefault="008E4CA1" w:rsidP="008E4CA1">
          <w:pPr>
            <w:pStyle w:val="CETReferencetext"/>
            <w:rPr>
              <w:lang w:val="en-US"/>
            </w:rPr>
          </w:pPr>
          <w:r>
            <w:t xml:space="preserve">Schnell, M., Horst, T., &amp; Quicker, P. (2020). Thermal treatment of sewage sludge in Germany: A review. </w:t>
          </w:r>
          <w:r>
            <w:rPr>
              <w:i/>
              <w:iCs/>
            </w:rPr>
            <w:t>Journal of Environmental Management</w:t>
          </w:r>
          <w:r>
            <w:t xml:space="preserve">, </w:t>
          </w:r>
          <w:r>
            <w:rPr>
              <w:i/>
              <w:iCs/>
            </w:rPr>
            <w:t>263</w:t>
          </w:r>
          <w:r>
            <w:t xml:space="preserve">, 110367. &lt;www.sciencedirect.com/science/article/pii/S0301479720303029?casa_token=IUP6zCyG2SkAAAAA:E6SD9zdmNarJ5xgglf96SfpWHriZE60tPUBrm5xxqWqSqBv5UxJ26CnAzqZJ1o3l-IGG0otkoYUD&gt; </w:t>
          </w:r>
          <w:r>
            <w:rPr>
              <w:lang w:val="en-US"/>
            </w:rPr>
            <w:t>accessed 01.08.2023.</w:t>
          </w:r>
        </w:p>
        <w:p w14:paraId="3E7754EA" w14:textId="34DC544D" w:rsidR="00F76918" w:rsidRPr="00F07C19" w:rsidRDefault="00F76918" w:rsidP="008E4CA1">
          <w:pPr>
            <w:pStyle w:val="CETReferencetext"/>
            <w:rPr>
              <w:lang w:val="en-US"/>
            </w:rPr>
          </w:pPr>
          <w:r w:rsidRPr="001A6C7F">
            <w:rPr>
              <w:highlight w:val="yellow"/>
              <w:lang w:val="en-US"/>
            </w:rPr>
            <w:t xml:space="preserve">Zainudin, S. F., Anuar, A. N., </w:t>
          </w:r>
          <w:proofErr w:type="spellStart"/>
          <w:r w:rsidRPr="001A6C7F">
            <w:rPr>
              <w:highlight w:val="yellow"/>
              <w:lang w:val="en-US"/>
            </w:rPr>
            <w:t>Yuzir</w:t>
          </w:r>
          <w:proofErr w:type="spellEnd"/>
          <w:r w:rsidRPr="001A6C7F">
            <w:rPr>
              <w:highlight w:val="yellow"/>
              <w:lang w:val="en-US"/>
            </w:rPr>
            <w:t xml:space="preserve">, A. M., Sharani, N. A., Aris, A. M., &amp; Khor, B. C. (2023). The Granular Sludge Properties and Performance Evaluation of </w:t>
          </w:r>
          <w:proofErr w:type="spellStart"/>
          <w:r w:rsidRPr="001A6C7F">
            <w:rPr>
              <w:highlight w:val="yellow"/>
              <w:lang w:val="en-US"/>
            </w:rPr>
            <w:t>Upflow</w:t>
          </w:r>
          <w:proofErr w:type="spellEnd"/>
          <w:r w:rsidRPr="001A6C7F">
            <w:rPr>
              <w:highlight w:val="yellow"/>
              <w:lang w:val="en-US"/>
            </w:rPr>
            <w:t xml:space="preserve"> Anaerobic Sludge Blanket Reactor as a Pre</w:t>
          </w:r>
          <w:r w:rsidR="008C5A4C">
            <w:rPr>
              <w:highlight w:val="yellow"/>
              <w:lang w:val="en-US"/>
            </w:rPr>
            <w:t>t</w:t>
          </w:r>
          <w:r w:rsidRPr="001A6C7F">
            <w:rPr>
              <w:highlight w:val="yellow"/>
              <w:lang w:val="en-US"/>
            </w:rPr>
            <w:t>reatment for Domestic Wastewater. Chemical Engineering Transactions, 106, 1189–1194. &lt;https://www.cetjournal.it/index.php/cet/article/view/CET23106199&gt; acessed 21.03.2024</w:t>
          </w:r>
        </w:p>
        <w:p w14:paraId="2003B42D" w14:textId="77777777" w:rsidR="008E4CA1" w:rsidRDefault="008E4CA1" w:rsidP="008E4CA1">
          <w:pPr>
            <w:pStyle w:val="CETReferencetext"/>
            <w:rPr>
              <w:lang w:val="pt-BR"/>
            </w:rPr>
          </w:pPr>
          <w:r w:rsidRPr="00F07C19">
            <w:rPr>
              <w:lang w:val="en-US"/>
            </w:rPr>
            <w:t xml:space="preserve">Zinza Junior, E. (2022). </w:t>
          </w:r>
          <w:r>
            <w:rPr>
              <w:i/>
              <w:iCs/>
              <w:lang w:val="en-US"/>
            </w:rPr>
            <w:t>Comparison of the use of raw biomass to generate energy in a 66 MW thermoelectric plant</w:t>
          </w:r>
          <w:r>
            <w:rPr>
              <w:lang w:val="en-US"/>
            </w:rPr>
            <w:t xml:space="preserve">. </w:t>
          </w:r>
          <w:r>
            <w:rPr>
              <w:lang w:val="pt-BR"/>
            </w:rPr>
            <w:t xml:space="preserve">&lt;repositorio.unesp.br/items/0c11da57-4f99-466e-b42a-a3a4ecb3212c&gt; </w:t>
          </w:r>
          <w:proofErr w:type="spellStart"/>
          <w:r>
            <w:rPr>
              <w:lang w:val="pt-BR"/>
            </w:rPr>
            <w:t>accessed</w:t>
          </w:r>
          <w:proofErr w:type="spellEnd"/>
          <w:r>
            <w:rPr>
              <w:lang w:val="pt-BR"/>
            </w:rPr>
            <w:t xml:space="preserve"> 24.08.2023.</w:t>
          </w:r>
        </w:p>
        <w:p w14:paraId="6F703400" w14:textId="4A11A078" w:rsidR="008E4CA1" w:rsidRPr="00F07C19" w:rsidRDefault="00000000" w:rsidP="00F07C19"/>
      </w:sdtContent>
    </w:sdt>
    <w:sectPr w:rsidR="008E4CA1" w:rsidRPr="00F07C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E4180" w14:textId="77777777" w:rsidR="00BE52DF" w:rsidRDefault="00BE52DF" w:rsidP="008E4CA1">
      <w:pPr>
        <w:spacing w:line="240" w:lineRule="auto"/>
      </w:pPr>
      <w:r>
        <w:separator/>
      </w:r>
    </w:p>
  </w:endnote>
  <w:endnote w:type="continuationSeparator" w:id="0">
    <w:p w14:paraId="776EFBEC" w14:textId="77777777" w:rsidR="00BE52DF" w:rsidRDefault="00BE52DF" w:rsidP="008E4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jaVuSansMono">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7CF73" w14:textId="77777777" w:rsidR="00BE52DF" w:rsidRDefault="00BE52DF" w:rsidP="008E4CA1">
      <w:pPr>
        <w:spacing w:line="240" w:lineRule="auto"/>
      </w:pPr>
      <w:r>
        <w:separator/>
      </w:r>
    </w:p>
  </w:footnote>
  <w:footnote w:type="continuationSeparator" w:id="0">
    <w:p w14:paraId="4FF2A954" w14:textId="77777777" w:rsidR="00BE52DF" w:rsidRDefault="00BE52DF" w:rsidP="008E4C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217E"/>
    <w:multiLevelType w:val="multilevel"/>
    <w:tmpl w:val="83363D76"/>
    <w:lvl w:ilvl="0">
      <w:start w:val="1"/>
      <w:numFmt w:val="decimal"/>
      <w:suff w:val="space"/>
      <w:lvlText w:val="Chapter %1"/>
      <w:lvlJc w:val="left"/>
      <w:pPr>
        <w:ind w:left="0" w:firstLine="0"/>
      </w:pPr>
    </w:lvl>
    <w:lvl w:ilvl="1">
      <w:start w:val="1"/>
      <w:numFmt w:val="decimal"/>
      <w:pStyle w:val="CETHeading1"/>
      <w:suff w:val="space"/>
      <w:lvlText w:val="%2."/>
      <w:lvlJc w:val="left"/>
      <w:pPr>
        <w:ind w:left="0" w:firstLine="0"/>
      </w:pPr>
    </w:lvl>
    <w:lvl w:ilvl="2">
      <w:start w:val="1"/>
      <w:numFmt w:val="decimal"/>
      <w:pStyle w:val="CETheadingx"/>
      <w:suff w:val="space"/>
      <w:lvlText w:val="%2.%3"/>
      <w:lvlJc w:val="left"/>
      <w:pPr>
        <w:ind w:left="0" w:firstLine="0"/>
      </w:pPr>
    </w:lvl>
    <w:lvl w:ilvl="3">
      <w:start w:val="1"/>
      <w:numFmt w:val="decimal"/>
      <w:pStyle w:val="TabelaSimples-1"/>
      <w:suff w:val="space"/>
      <w:lvlText w:val="%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6731395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9508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zM7A0MTI1MTE2M7BQ0lEKTi0uzszPAykwrAUA2h5/xywAAAA="/>
  </w:docVars>
  <w:rsids>
    <w:rsidRoot w:val="008E4CA1"/>
    <w:rsid w:val="0002736A"/>
    <w:rsid w:val="00091DB3"/>
    <w:rsid w:val="001A6C7F"/>
    <w:rsid w:val="002E51F7"/>
    <w:rsid w:val="002F4F3C"/>
    <w:rsid w:val="00302399"/>
    <w:rsid w:val="00405644"/>
    <w:rsid w:val="004A31BA"/>
    <w:rsid w:val="004B179E"/>
    <w:rsid w:val="004E1F29"/>
    <w:rsid w:val="0059648D"/>
    <w:rsid w:val="005D67E2"/>
    <w:rsid w:val="00694BC1"/>
    <w:rsid w:val="0076660C"/>
    <w:rsid w:val="00842664"/>
    <w:rsid w:val="008C5A4C"/>
    <w:rsid w:val="008E4CA1"/>
    <w:rsid w:val="00BE52DF"/>
    <w:rsid w:val="00C12EA8"/>
    <w:rsid w:val="00C92D7F"/>
    <w:rsid w:val="00D5696B"/>
    <w:rsid w:val="00DD0AE7"/>
    <w:rsid w:val="00ED303F"/>
    <w:rsid w:val="00F07C19"/>
    <w:rsid w:val="00F769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311529"/>
  <w15:chartTrackingRefBased/>
  <w15:docId w15:val="{1029F07D-A61B-420F-A515-A06F9A62B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qFormat/>
    <w:rsid w:val="008E4CA1"/>
    <w:pPr>
      <w:tabs>
        <w:tab w:val="right" w:pos="7100"/>
      </w:tabs>
      <w:spacing w:after="0" w:line="264" w:lineRule="auto"/>
      <w:jc w:val="both"/>
    </w:pPr>
    <w:rPr>
      <w:rFonts w:ascii="Arial" w:eastAsia="Times New Roman" w:hAnsi="Arial" w:cs="Times New Roman"/>
      <w:kern w:val="0"/>
      <w:sz w:val="18"/>
      <w:szCs w:val="20"/>
      <w:lang w:val="en-GB"/>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ETTitleCarattere">
    <w:name w:val="CET Title Carattere"/>
    <w:link w:val="CETTitle"/>
    <w:locked/>
    <w:rsid w:val="008E4CA1"/>
    <w:rPr>
      <w:rFonts w:ascii="Arial" w:eastAsia="Times New Roman" w:hAnsi="Arial" w:cs="Times New Roman"/>
      <w:sz w:val="32"/>
      <w:szCs w:val="20"/>
      <w:lang w:val="en-GB"/>
    </w:rPr>
  </w:style>
  <w:style w:type="paragraph" w:customStyle="1" w:styleId="CETAuthors">
    <w:name w:val="CET Authors"/>
    <w:basedOn w:val="CETBodytext"/>
    <w:link w:val="CETAuthorsCarattere"/>
    <w:qFormat/>
    <w:rsid w:val="008E4CA1"/>
    <w:pPr>
      <w:keepNext/>
      <w:suppressAutoHyphens/>
      <w:spacing w:after="120"/>
    </w:pPr>
    <w:rPr>
      <w:noProof/>
      <w:sz w:val="24"/>
      <w:lang w:val="en-GB"/>
    </w:rPr>
  </w:style>
  <w:style w:type="paragraph" w:customStyle="1" w:styleId="CETTitle">
    <w:name w:val="CET Title"/>
    <w:next w:val="CETAuthors"/>
    <w:link w:val="CETTitleCarattere"/>
    <w:rsid w:val="008E4CA1"/>
    <w:pPr>
      <w:suppressAutoHyphens/>
      <w:spacing w:before="480" w:after="120" w:line="264" w:lineRule="auto"/>
      <w:jc w:val="center"/>
      <w:outlineLvl w:val="0"/>
    </w:pPr>
    <w:rPr>
      <w:rFonts w:ascii="Arial" w:eastAsia="Times New Roman" w:hAnsi="Arial" w:cs="Times New Roman"/>
      <w:sz w:val="32"/>
      <w:szCs w:val="20"/>
      <w:lang w:val="en-GB"/>
    </w:rPr>
  </w:style>
  <w:style w:type="paragraph" w:customStyle="1" w:styleId="CETBodytext">
    <w:name w:val="CET Body text"/>
    <w:link w:val="CETBodytextCarattere"/>
    <w:qFormat/>
    <w:rsid w:val="008E4CA1"/>
    <w:pPr>
      <w:tabs>
        <w:tab w:val="right" w:pos="7100"/>
      </w:tabs>
      <w:spacing w:after="0" w:line="264" w:lineRule="auto"/>
      <w:jc w:val="both"/>
    </w:pPr>
    <w:rPr>
      <w:rFonts w:ascii="Arial" w:eastAsia="Times New Roman" w:hAnsi="Arial" w:cs="Times New Roman"/>
      <w:kern w:val="0"/>
      <w:sz w:val="18"/>
      <w:szCs w:val="20"/>
      <w:lang w:val="en-US"/>
      <w14:ligatures w14:val="none"/>
    </w:rPr>
  </w:style>
  <w:style w:type="paragraph" w:customStyle="1" w:styleId="CETHeading1">
    <w:name w:val="CET Heading1"/>
    <w:next w:val="CETBodytext"/>
    <w:qFormat/>
    <w:rsid w:val="008E4CA1"/>
    <w:pPr>
      <w:keepNext/>
      <w:numPr>
        <w:ilvl w:val="1"/>
        <w:numId w:val="1"/>
      </w:numPr>
      <w:tabs>
        <w:tab w:val="num" w:pos="360"/>
      </w:tabs>
      <w:suppressAutoHyphens/>
      <w:spacing w:before="240" w:after="120" w:line="240" w:lineRule="auto"/>
    </w:pPr>
    <w:rPr>
      <w:rFonts w:ascii="Arial" w:eastAsia="Times New Roman" w:hAnsi="Arial" w:cs="Times New Roman"/>
      <w:b/>
      <w:kern w:val="0"/>
      <w:sz w:val="20"/>
      <w:szCs w:val="20"/>
      <w:lang w:val="en-US"/>
      <w14:ligatures w14:val="none"/>
    </w:rPr>
  </w:style>
  <w:style w:type="character" w:customStyle="1" w:styleId="CETBodytextCarattere">
    <w:name w:val="CET Body text Carattere"/>
    <w:link w:val="CETBodytext"/>
    <w:locked/>
    <w:rsid w:val="008E4CA1"/>
    <w:rPr>
      <w:rFonts w:ascii="Arial" w:eastAsia="Times New Roman" w:hAnsi="Arial" w:cs="Times New Roman"/>
      <w:kern w:val="0"/>
      <w:sz w:val="18"/>
      <w:szCs w:val="20"/>
      <w:lang w:val="en-US"/>
      <w14:ligatures w14:val="none"/>
    </w:rPr>
  </w:style>
  <w:style w:type="character" w:customStyle="1" w:styleId="CETheadingxCarattere">
    <w:name w:val="CET headingx Carattere"/>
    <w:link w:val="CETheadingx"/>
    <w:locked/>
    <w:rsid w:val="008E4CA1"/>
    <w:rPr>
      <w:rFonts w:ascii="Arial" w:eastAsia="Times New Roman" w:hAnsi="Arial" w:cs="Times New Roman"/>
      <w:b/>
      <w:sz w:val="18"/>
      <w:szCs w:val="20"/>
      <w:lang w:val="en-US"/>
    </w:rPr>
  </w:style>
  <w:style w:type="paragraph" w:customStyle="1" w:styleId="CETheadingx">
    <w:name w:val="CET headingx"/>
    <w:next w:val="CETBodytext"/>
    <w:link w:val="CETheadingxCarattere"/>
    <w:autoRedefine/>
    <w:qFormat/>
    <w:rsid w:val="008E4CA1"/>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character" w:customStyle="1" w:styleId="CETAddressCarattere">
    <w:name w:val="CET Address Carattere"/>
    <w:basedOn w:val="Fontepargpadro"/>
    <w:link w:val="CETAddress"/>
    <w:locked/>
    <w:rsid w:val="008E4CA1"/>
    <w:rPr>
      <w:rFonts w:ascii="Arial" w:eastAsia="Times New Roman" w:hAnsi="Arial" w:cs="Times New Roman"/>
      <w:noProof/>
      <w:sz w:val="16"/>
      <w:szCs w:val="20"/>
      <w:lang w:val="en-GB"/>
    </w:rPr>
  </w:style>
  <w:style w:type="paragraph" w:customStyle="1" w:styleId="CETAddress">
    <w:name w:val="CET Address"/>
    <w:link w:val="CETAddressCarattere"/>
    <w:qFormat/>
    <w:rsid w:val="008E4CA1"/>
    <w:pPr>
      <w:keepNext/>
      <w:suppressAutoHyphens/>
      <w:spacing w:after="0" w:line="276" w:lineRule="auto"/>
      <w:contextualSpacing/>
    </w:pPr>
    <w:rPr>
      <w:rFonts w:ascii="Arial" w:eastAsia="Times New Roman" w:hAnsi="Arial" w:cs="Times New Roman"/>
      <w:noProof/>
      <w:sz w:val="16"/>
      <w:szCs w:val="20"/>
      <w:lang w:val="en-GB"/>
    </w:rPr>
  </w:style>
  <w:style w:type="paragraph" w:customStyle="1" w:styleId="CETReference">
    <w:name w:val="CET Reference"/>
    <w:qFormat/>
    <w:rsid w:val="008E4CA1"/>
    <w:pPr>
      <w:spacing w:before="200" w:after="120" w:line="240" w:lineRule="auto"/>
    </w:pPr>
    <w:rPr>
      <w:rFonts w:ascii="Arial" w:eastAsia="Times New Roman" w:hAnsi="Arial" w:cs="Times New Roman"/>
      <w:b/>
      <w:kern w:val="0"/>
      <w:sz w:val="18"/>
      <w:szCs w:val="20"/>
      <w:lang w:val="en-GB"/>
      <w14:ligatures w14:val="none"/>
    </w:rPr>
  </w:style>
  <w:style w:type="character" w:customStyle="1" w:styleId="CETCaptionCarattere">
    <w:name w:val="CET Caption Carattere"/>
    <w:link w:val="CETCaption"/>
    <w:locked/>
    <w:rsid w:val="008E4CA1"/>
    <w:rPr>
      <w:rFonts w:ascii="Arial" w:eastAsia="Times New Roman" w:hAnsi="Arial" w:cs="Times New Roman"/>
      <w:i/>
      <w:sz w:val="18"/>
      <w:szCs w:val="20"/>
      <w:lang w:val="en-GB"/>
    </w:rPr>
  </w:style>
  <w:style w:type="paragraph" w:customStyle="1" w:styleId="CETCaption">
    <w:name w:val="CET Caption"/>
    <w:link w:val="CETCaptionCarattere"/>
    <w:qFormat/>
    <w:rsid w:val="008E4CA1"/>
    <w:pPr>
      <w:spacing w:before="240" w:after="240" w:line="264" w:lineRule="auto"/>
      <w:jc w:val="both"/>
    </w:pPr>
    <w:rPr>
      <w:rFonts w:ascii="Arial" w:eastAsia="Times New Roman" w:hAnsi="Arial" w:cs="Times New Roman"/>
      <w:i/>
      <w:sz w:val="18"/>
      <w:szCs w:val="20"/>
      <w:lang w:val="en-GB"/>
    </w:rPr>
  </w:style>
  <w:style w:type="paragraph" w:customStyle="1" w:styleId="CETnumberingbullets">
    <w:name w:val="CET numbering (bullets)"/>
    <w:rsid w:val="008E4CA1"/>
    <w:pPr>
      <w:numPr>
        <w:numId w:val="2"/>
      </w:numPr>
      <w:spacing w:after="0" w:line="264" w:lineRule="auto"/>
    </w:pPr>
    <w:rPr>
      <w:rFonts w:ascii="Arial" w:eastAsia="Times New Roman" w:hAnsi="Arial" w:cs="Times New Roman"/>
      <w:kern w:val="0"/>
      <w:sz w:val="18"/>
      <w:szCs w:val="20"/>
      <w:lang w:val="en-GB"/>
      <w14:ligatures w14:val="none"/>
    </w:rPr>
  </w:style>
  <w:style w:type="paragraph" w:customStyle="1" w:styleId="CETReferencetext">
    <w:name w:val="CET Reference text"/>
    <w:qFormat/>
    <w:rsid w:val="008E4CA1"/>
    <w:pPr>
      <w:spacing w:after="0" w:line="264" w:lineRule="auto"/>
      <w:ind w:left="284" w:hanging="284"/>
      <w:jc w:val="both"/>
    </w:pPr>
    <w:rPr>
      <w:rFonts w:ascii="Arial" w:eastAsia="Times New Roman" w:hAnsi="Arial" w:cs="Times New Roman"/>
      <w:kern w:val="0"/>
      <w:sz w:val="18"/>
      <w:szCs w:val="20"/>
      <w:lang w:val="en-GB"/>
      <w14:ligatures w14:val="none"/>
    </w:rPr>
  </w:style>
  <w:style w:type="paragraph" w:customStyle="1" w:styleId="CETTabletitle">
    <w:name w:val="CET Table title"/>
    <w:qFormat/>
    <w:rsid w:val="008E4CA1"/>
    <w:pPr>
      <w:keepNext/>
      <w:spacing w:before="240" w:after="80" w:line="240" w:lineRule="exact"/>
    </w:pPr>
    <w:rPr>
      <w:rFonts w:ascii="Arial" w:eastAsia="Times New Roman" w:hAnsi="Arial" w:cs="Times New Roman"/>
      <w:i/>
      <w:kern w:val="0"/>
      <w:sz w:val="18"/>
      <w:szCs w:val="20"/>
      <w:lang w:val="en-GB"/>
      <w14:ligatures w14:val="none"/>
    </w:rPr>
  </w:style>
  <w:style w:type="paragraph" w:customStyle="1" w:styleId="CETAcknowledgementstitle">
    <w:name w:val="CET Acknowledgements title"/>
    <w:next w:val="CETBodytext"/>
    <w:qFormat/>
    <w:rsid w:val="008E4CA1"/>
    <w:pPr>
      <w:spacing w:before="200" w:after="120" w:line="276" w:lineRule="auto"/>
    </w:pPr>
    <w:rPr>
      <w:rFonts w:ascii="Arial" w:eastAsia="Times New Roman" w:hAnsi="Arial" w:cs="Times New Roman"/>
      <w:b/>
      <w:kern w:val="0"/>
      <w:sz w:val="18"/>
      <w:szCs w:val="20"/>
      <w:lang w:val="en-GB"/>
      <w14:ligatures w14:val="none"/>
    </w:rPr>
  </w:style>
  <w:style w:type="paragraph" w:customStyle="1" w:styleId="CETEquation">
    <w:name w:val="CET Equation"/>
    <w:basedOn w:val="CETBodytext"/>
    <w:next w:val="CETBodytext"/>
    <w:qFormat/>
    <w:rsid w:val="008E4CA1"/>
    <w:pPr>
      <w:spacing w:before="120" w:after="120"/>
      <w:jc w:val="left"/>
    </w:pPr>
    <w:rPr>
      <w:lang w:val="en-GB"/>
    </w:rPr>
  </w:style>
  <w:style w:type="character" w:customStyle="1" w:styleId="CETHeadingxxChar">
    <w:name w:val="CET Headingxx Char"/>
    <w:basedOn w:val="CETheadingxCarattere"/>
    <w:link w:val="CETHeadingxx"/>
    <w:locked/>
    <w:rsid w:val="008E4CA1"/>
    <w:rPr>
      <w:rFonts w:ascii="Arial" w:eastAsia="Times New Roman" w:hAnsi="Arial" w:cs="Times New Roman"/>
      <w:b/>
      <w:sz w:val="18"/>
      <w:szCs w:val="20"/>
      <w:lang w:val="en-US"/>
    </w:rPr>
  </w:style>
  <w:style w:type="paragraph" w:customStyle="1" w:styleId="CETHeadingxx">
    <w:name w:val="CET Headingxx"/>
    <w:basedOn w:val="CETheadingx"/>
    <w:link w:val="CETHeadingxxChar"/>
    <w:qFormat/>
    <w:rsid w:val="008E4CA1"/>
    <w:pPr>
      <w:numPr>
        <w:ilvl w:val="0"/>
        <w:numId w:val="0"/>
      </w:numPr>
    </w:pPr>
  </w:style>
  <w:style w:type="character" w:customStyle="1" w:styleId="CETAuthorsCarattere">
    <w:name w:val="CET Authors Carattere"/>
    <w:link w:val="CETAuthors"/>
    <w:locked/>
    <w:rsid w:val="008E4CA1"/>
    <w:rPr>
      <w:rFonts w:ascii="Arial" w:eastAsia="Times New Roman" w:hAnsi="Arial" w:cs="Times New Roman"/>
      <w:noProof/>
      <w:kern w:val="0"/>
      <w:sz w:val="24"/>
      <w:szCs w:val="20"/>
      <w:lang w:val="en-GB"/>
      <w14:ligatures w14:val="none"/>
    </w:rPr>
  </w:style>
  <w:style w:type="table" w:styleId="TabelaSimples-1">
    <w:name w:val="Table Simple 1"/>
    <w:basedOn w:val="Tabelanormal"/>
    <w:semiHidden/>
    <w:unhideWhenUsed/>
    <w:rsid w:val="008E4CA1"/>
    <w:pPr>
      <w:numPr>
        <w:ilvl w:val="3"/>
        <w:numId w:val="1"/>
      </w:numPr>
      <w:spacing w:after="0" w:line="264" w:lineRule="auto"/>
      <w:jc w:val="both"/>
    </w:pPr>
    <w:rPr>
      <w:rFonts w:ascii="Times New Roman" w:eastAsia="Times New Roman" w:hAnsi="Times New Roman" w:cs="Times New Roman"/>
      <w:kern w:val="0"/>
      <w:sz w:val="20"/>
      <w:szCs w:val="20"/>
      <w:lang w:val="it-IT" w:eastAsia="it-IT"/>
      <w14:ligatures w14:val="none"/>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Cabealho">
    <w:name w:val="header"/>
    <w:basedOn w:val="Normal"/>
    <w:link w:val="CabealhoChar"/>
    <w:uiPriority w:val="99"/>
    <w:unhideWhenUsed/>
    <w:rsid w:val="008E4CA1"/>
    <w:pPr>
      <w:tabs>
        <w:tab w:val="clear" w:pos="7100"/>
        <w:tab w:val="center" w:pos="4252"/>
        <w:tab w:val="right" w:pos="8504"/>
      </w:tabs>
      <w:spacing w:line="240" w:lineRule="auto"/>
    </w:pPr>
  </w:style>
  <w:style w:type="character" w:customStyle="1" w:styleId="CabealhoChar">
    <w:name w:val="Cabeçalho Char"/>
    <w:basedOn w:val="Fontepargpadro"/>
    <w:link w:val="Cabealho"/>
    <w:uiPriority w:val="99"/>
    <w:rsid w:val="008E4CA1"/>
    <w:rPr>
      <w:rFonts w:ascii="Arial" w:eastAsia="Times New Roman" w:hAnsi="Arial" w:cs="Times New Roman"/>
      <w:kern w:val="0"/>
      <w:sz w:val="18"/>
      <w:szCs w:val="20"/>
      <w:lang w:val="en-GB"/>
      <w14:ligatures w14:val="none"/>
    </w:rPr>
  </w:style>
  <w:style w:type="paragraph" w:styleId="Rodap">
    <w:name w:val="footer"/>
    <w:basedOn w:val="Normal"/>
    <w:link w:val="RodapChar"/>
    <w:uiPriority w:val="99"/>
    <w:unhideWhenUsed/>
    <w:rsid w:val="008E4CA1"/>
    <w:pPr>
      <w:tabs>
        <w:tab w:val="clear" w:pos="7100"/>
        <w:tab w:val="center" w:pos="4252"/>
        <w:tab w:val="right" w:pos="8504"/>
      </w:tabs>
      <w:spacing w:line="240" w:lineRule="auto"/>
    </w:pPr>
  </w:style>
  <w:style w:type="character" w:customStyle="1" w:styleId="RodapChar">
    <w:name w:val="Rodapé Char"/>
    <w:basedOn w:val="Fontepargpadro"/>
    <w:link w:val="Rodap"/>
    <w:uiPriority w:val="99"/>
    <w:rsid w:val="008E4CA1"/>
    <w:rPr>
      <w:rFonts w:ascii="Arial" w:eastAsia="Times New Roman" w:hAnsi="Arial" w:cs="Times New Roman"/>
      <w:kern w:val="0"/>
      <w:sz w:val="18"/>
      <w:szCs w:val="20"/>
      <w:lang w:val="en-GB"/>
      <w14:ligatures w14:val="none"/>
    </w:rPr>
  </w:style>
  <w:style w:type="character" w:styleId="Hyperlink">
    <w:name w:val="Hyperlink"/>
    <w:basedOn w:val="Fontepargpadro"/>
    <w:uiPriority w:val="99"/>
    <w:unhideWhenUsed/>
    <w:rsid w:val="00F76918"/>
    <w:rPr>
      <w:color w:val="0563C1" w:themeColor="hyperlink"/>
      <w:u w:val="single"/>
    </w:rPr>
  </w:style>
  <w:style w:type="character" w:styleId="MenoPendente">
    <w:name w:val="Unresolved Mention"/>
    <w:basedOn w:val="Fontepargpadro"/>
    <w:uiPriority w:val="99"/>
    <w:semiHidden/>
    <w:unhideWhenUsed/>
    <w:rsid w:val="00F76918"/>
    <w:rPr>
      <w:color w:val="605E5C"/>
      <w:shd w:val="clear" w:color="auto" w:fill="E1DFDD"/>
    </w:rPr>
  </w:style>
  <w:style w:type="paragraph" w:styleId="Reviso">
    <w:name w:val="Revision"/>
    <w:hidden/>
    <w:uiPriority w:val="99"/>
    <w:semiHidden/>
    <w:rsid w:val="004B179E"/>
    <w:pPr>
      <w:spacing w:after="0" w:line="240" w:lineRule="auto"/>
    </w:pPr>
    <w:rPr>
      <w:rFonts w:ascii="Arial" w:eastAsia="Times New Roman" w:hAnsi="Arial" w:cs="Times New Roman"/>
      <w:kern w:val="0"/>
      <w:sz w:val="18"/>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F65E78A9954953B30DC02FFF98C8AA"/>
        <w:category>
          <w:name w:val="Geral"/>
          <w:gallery w:val="placeholder"/>
        </w:category>
        <w:types>
          <w:type w:val="bbPlcHdr"/>
        </w:types>
        <w:behaviors>
          <w:behavior w:val="content"/>
        </w:behaviors>
        <w:guid w:val="{252D6D2B-017F-4B53-8EEF-A67A62F333A4}"/>
      </w:docPartPr>
      <w:docPartBody>
        <w:p w:rsidR="006A0B6F" w:rsidRDefault="00B479D7" w:rsidP="00B479D7">
          <w:pPr>
            <w:pStyle w:val="17F65E78A9954953B30DC02FFF98C8AA"/>
          </w:pPr>
          <w:r>
            <w:rPr>
              <w:rStyle w:val="TextodoEspaoReservado"/>
            </w:rPr>
            <w:t>Clique ou toque aqui para inserir o texto.</w:t>
          </w:r>
        </w:p>
      </w:docPartBody>
    </w:docPart>
    <w:docPart>
      <w:docPartPr>
        <w:name w:val="6EA84AFAB0884F54891D8EBB9EED3414"/>
        <w:category>
          <w:name w:val="Geral"/>
          <w:gallery w:val="placeholder"/>
        </w:category>
        <w:types>
          <w:type w:val="bbPlcHdr"/>
        </w:types>
        <w:behaviors>
          <w:behavior w:val="content"/>
        </w:behaviors>
        <w:guid w:val="{037BBDA8-3124-4853-981C-22EFA36D6E25}"/>
      </w:docPartPr>
      <w:docPartBody>
        <w:p w:rsidR="006A0B6F" w:rsidRDefault="00B479D7" w:rsidP="00B479D7">
          <w:pPr>
            <w:pStyle w:val="6EA84AFAB0884F54891D8EBB9EED3414"/>
          </w:pPr>
          <w:r>
            <w:rPr>
              <w:rStyle w:val="TextodoEspaoReservado"/>
            </w:rPr>
            <w:t>Clique ou toque aqui para inserir o texto.</w:t>
          </w:r>
        </w:p>
      </w:docPartBody>
    </w:docPart>
    <w:docPart>
      <w:docPartPr>
        <w:name w:val="413733AA6F5742D09015CD758BB7ABCC"/>
        <w:category>
          <w:name w:val="Geral"/>
          <w:gallery w:val="placeholder"/>
        </w:category>
        <w:types>
          <w:type w:val="bbPlcHdr"/>
        </w:types>
        <w:behaviors>
          <w:behavior w:val="content"/>
        </w:behaviors>
        <w:guid w:val="{85ACA14D-A968-4CC0-B91F-94330ABAA77B}"/>
      </w:docPartPr>
      <w:docPartBody>
        <w:p w:rsidR="006A0B6F" w:rsidRDefault="00B479D7" w:rsidP="00B479D7">
          <w:pPr>
            <w:pStyle w:val="413733AA6F5742D09015CD758BB7ABCC"/>
          </w:pPr>
          <w:r>
            <w:rPr>
              <w:rStyle w:val="TextodoEspaoReservado"/>
            </w:rPr>
            <w:t>Clique ou toque aqui para inserir o texto.</w:t>
          </w:r>
        </w:p>
      </w:docPartBody>
    </w:docPart>
    <w:docPart>
      <w:docPartPr>
        <w:name w:val="0FAA3DE9A19447B68986A99BADAE81AB"/>
        <w:category>
          <w:name w:val="Geral"/>
          <w:gallery w:val="placeholder"/>
        </w:category>
        <w:types>
          <w:type w:val="bbPlcHdr"/>
        </w:types>
        <w:behaviors>
          <w:behavior w:val="content"/>
        </w:behaviors>
        <w:guid w:val="{F689E735-E0BB-4689-B8AC-A3092C5B006D}"/>
      </w:docPartPr>
      <w:docPartBody>
        <w:p w:rsidR="006A0B6F" w:rsidRDefault="00B479D7" w:rsidP="00B479D7">
          <w:pPr>
            <w:pStyle w:val="0FAA3DE9A19447B68986A99BADAE81AB"/>
          </w:pPr>
          <w:r>
            <w:rPr>
              <w:rStyle w:val="TextodoEspaoReservado"/>
            </w:rPr>
            <w:t>Clique ou toque aqui para inserir o texto.</w:t>
          </w:r>
        </w:p>
      </w:docPartBody>
    </w:docPart>
    <w:docPart>
      <w:docPartPr>
        <w:name w:val="FBE0224A51B34B819AF8427E3FEA51BA"/>
        <w:category>
          <w:name w:val="Geral"/>
          <w:gallery w:val="placeholder"/>
        </w:category>
        <w:types>
          <w:type w:val="bbPlcHdr"/>
        </w:types>
        <w:behaviors>
          <w:behavior w:val="content"/>
        </w:behaviors>
        <w:guid w:val="{7EB77B64-D613-4B44-A536-8DF04A24557E}"/>
      </w:docPartPr>
      <w:docPartBody>
        <w:p w:rsidR="006A0B6F" w:rsidRDefault="00B479D7" w:rsidP="00B479D7">
          <w:pPr>
            <w:pStyle w:val="FBE0224A51B34B819AF8427E3FEA51BA"/>
          </w:pPr>
          <w:r>
            <w:rPr>
              <w:rStyle w:val="TextodoEspaoReservado"/>
            </w:rPr>
            <w:t>Clique ou toque aqui para inserir o texto.</w:t>
          </w:r>
        </w:p>
      </w:docPartBody>
    </w:docPart>
    <w:docPart>
      <w:docPartPr>
        <w:name w:val="FE9566B2E7504B3696777D971878C44B"/>
        <w:category>
          <w:name w:val="Geral"/>
          <w:gallery w:val="placeholder"/>
        </w:category>
        <w:types>
          <w:type w:val="bbPlcHdr"/>
        </w:types>
        <w:behaviors>
          <w:behavior w:val="content"/>
        </w:behaviors>
        <w:guid w:val="{6B6BF15A-484D-4D2A-B969-A4E9C0235760}"/>
      </w:docPartPr>
      <w:docPartBody>
        <w:p w:rsidR="006A0B6F" w:rsidRDefault="00B479D7" w:rsidP="00B479D7">
          <w:pPr>
            <w:pStyle w:val="FE9566B2E7504B3696777D971878C44B"/>
          </w:pPr>
          <w:r>
            <w:rPr>
              <w:rStyle w:val="TextodoEspaoReservado"/>
            </w:rPr>
            <w:t>Clique ou toque aqui para inserir o texto.</w:t>
          </w:r>
        </w:p>
      </w:docPartBody>
    </w:docPart>
    <w:docPart>
      <w:docPartPr>
        <w:name w:val="24F7CBD308A54905A310E113806DC62B"/>
        <w:category>
          <w:name w:val="Geral"/>
          <w:gallery w:val="placeholder"/>
        </w:category>
        <w:types>
          <w:type w:val="bbPlcHdr"/>
        </w:types>
        <w:behaviors>
          <w:behavior w:val="content"/>
        </w:behaviors>
        <w:guid w:val="{285E800E-2D4F-44A2-BF13-BD22D6404332}"/>
      </w:docPartPr>
      <w:docPartBody>
        <w:p w:rsidR="006A0B6F" w:rsidRDefault="00B479D7" w:rsidP="00B479D7">
          <w:pPr>
            <w:pStyle w:val="24F7CBD308A54905A310E113806DC62B"/>
          </w:pPr>
          <w:r>
            <w:rPr>
              <w:rStyle w:val="TextodoEspaoReservado"/>
            </w:rPr>
            <w:t>Clique ou toque aqui para inserir o texto.</w:t>
          </w:r>
        </w:p>
      </w:docPartBody>
    </w:docPart>
    <w:docPart>
      <w:docPartPr>
        <w:name w:val="C18A9F36735F4FFFA7AB67863B07995E"/>
        <w:category>
          <w:name w:val="Geral"/>
          <w:gallery w:val="placeholder"/>
        </w:category>
        <w:types>
          <w:type w:val="bbPlcHdr"/>
        </w:types>
        <w:behaviors>
          <w:behavior w:val="content"/>
        </w:behaviors>
        <w:guid w:val="{20CC2052-3E85-45AF-B2AD-0322AABBF512}"/>
      </w:docPartPr>
      <w:docPartBody>
        <w:p w:rsidR="006A0B6F" w:rsidRDefault="00B479D7" w:rsidP="00B479D7">
          <w:pPr>
            <w:pStyle w:val="C18A9F36735F4FFFA7AB67863B07995E"/>
          </w:pPr>
          <w:r>
            <w:rPr>
              <w:rStyle w:val="TextodoEspaoReservado"/>
            </w:rPr>
            <w:t>Clique ou toque aqui para inserir o texto.</w:t>
          </w:r>
        </w:p>
      </w:docPartBody>
    </w:docPart>
    <w:docPart>
      <w:docPartPr>
        <w:name w:val="7B3CFA349B874819B1EC0B0E90295458"/>
        <w:category>
          <w:name w:val="Geral"/>
          <w:gallery w:val="placeholder"/>
        </w:category>
        <w:types>
          <w:type w:val="bbPlcHdr"/>
        </w:types>
        <w:behaviors>
          <w:behavior w:val="content"/>
        </w:behaviors>
        <w:guid w:val="{E3635799-3A61-43AC-87FB-4BAB8E0D4BBC}"/>
      </w:docPartPr>
      <w:docPartBody>
        <w:p w:rsidR="006A0B6F" w:rsidRDefault="00B479D7" w:rsidP="00B479D7">
          <w:pPr>
            <w:pStyle w:val="7B3CFA349B874819B1EC0B0E90295458"/>
          </w:pPr>
          <w:r>
            <w:rPr>
              <w:rStyle w:val="TextodoEspaoReservado"/>
            </w:rPr>
            <w:t>Clique ou toque aqui para inserir o texto.</w:t>
          </w:r>
        </w:p>
      </w:docPartBody>
    </w:docPart>
    <w:docPart>
      <w:docPartPr>
        <w:name w:val="EF70EDE3163640E2AE827D4D7EFF8972"/>
        <w:category>
          <w:name w:val="Geral"/>
          <w:gallery w:val="placeholder"/>
        </w:category>
        <w:types>
          <w:type w:val="bbPlcHdr"/>
        </w:types>
        <w:behaviors>
          <w:behavior w:val="content"/>
        </w:behaviors>
        <w:guid w:val="{E02DAD1B-9B6A-434C-8728-D683D816682C}"/>
      </w:docPartPr>
      <w:docPartBody>
        <w:p w:rsidR="006A0B6F" w:rsidRDefault="00B479D7" w:rsidP="00B479D7">
          <w:pPr>
            <w:pStyle w:val="EF70EDE3163640E2AE827D4D7EFF8972"/>
          </w:pPr>
          <w:r>
            <w:rPr>
              <w:rStyle w:val="TextodoEspaoReservado"/>
            </w:rPr>
            <w:t>Clique ou toque aqui para inserir o texto.</w:t>
          </w:r>
        </w:p>
      </w:docPartBody>
    </w:docPart>
    <w:docPart>
      <w:docPartPr>
        <w:name w:val="CD81C75A617A4C2F8B8DD1C3AF8EA0A1"/>
        <w:category>
          <w:name w:val="Geral"/>
          <w:gallery w:val="placeholder"/>
        </w:category>
        <w:types>
          <w:type w:val="bbPlcHdr"/>
        </w:types>
        <w:behaviors>
          <w:behavior w:val="content"/>
        </w:behaviors>
        <w:guid w:val="{FA3592AE-39B9-4B5A-8969-08CFCC796F92}"/>
      </w:docPartPr>
      <w:docPartBody>
        <w:p w:rsidR="006A0B6F" w:rsidRDefault="00B479D7" w:rsidP="00B479D7">
          <w:pPr>
            <w:pStyle w:val="CD81C75A617A4C2F8B8DD1C3AF8EA0A1"/>
          </w:pPr>
          <w:r>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jaVuSansMono">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9D7"/>
    <w:rsid w:val="004031CA"/>
    <w:rsid w:val="00431D70"/>
    <w:rsid w:val="006A0B6F"/>
    <w:rsid w:val="006B1E37"/>
    <w:rsid w:val="006D7B20"/>
    <w:rsid w:val="00745F88"/>
    <w:rsid w:val="00B479D7"/>
    <w:rsid w:val="00BE5A54"/>
    <w:rsid w:val="00D562CF"/>
    <w:rsid w:val="00E72B1C"/>
    <w:rsid w:val="00EE10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31D70"/>
    <w:rPr>
      <w:color w:val="666666"/>
    </w:rPr>
  </w:style>
  <w:style w:type="paragraph" w:customStyle="1" w:styleId="17F65E78A9954953B30DC02FFF98C8AA">
    <w:name w:val="17F65E78A9954953B30DC02FFF98C8AA"/>
    <w:rsid w:val="00B479D7"/>
  </w:style>
  <w:style w:type="paragraph" w:customStyle="1" w:styleId="6EA84AFAB0884F54891D8EBB9EED3414">
    <w:name w:val="6EA84AFAB0884F54891D8EBB9EED3414"/>
    <w:rsid w:val="00B479D7"/>
  </w:style>
  <w:style w:type="paragraph" w:customStyle="1" w:styleId="413733AA6F5742D09015CD758BB7ABCC">
    <w:name w:val="413733AA6F5742D09015CD758BB7ABCC"/>
    <w:rsid w:val="00B479D7"/>
  </w:style>
  <w:style w:type="paragraph" w:customStyle="1" w:styleId="0FAA3DE9A19447B68986A99BADAE81AB">
    <w:name w:val="0FAA3DE9A19447B68986A99BADAE81AB"/>
    <w:rsid w:val="00B479D7"/>
  </w:style>
  <w:style w:type="paragraph" w:customStyle="1" w:styleId="FBE0224A51B34B819AF8427E3FEA51BA">
    <w:name w:val="FBE0224A51B34B819AF8427E3FEA51BA"/>
    <w:rsid w:val="00B479D7"/>
  </w:style>
  <w:style w:type="paragraph" w:customStyle="1" w:styleId="FE9566B2E7504B3696777D971878C44B">
    <w:name w:val="FE9566B2E7504B3696777D971878C44B"/>
    <w:rsid w:val="00B479D7"/>
  </w:style>
  <w:style w:type="paragraph" w:customStyle="1" w:styleId="24F7CBD308A54905A310E113806DC62B">
    <w:name w:val="24F7CBD308A54905A310E113806DC62B"/>
    <w:rsid w:val="00B479D7"/>
  </w:style>
  <w:style w:type="paragraph" w:customStyle="1" w:styleId="C18A9F36735F4FFFA7AB67863B07995E">
    <w:name w:val="C18A9F36735F4FFFA7AB67863B07995E"/>
    <w:rsid w:val="00B479D7"/>
  </w:style>
  <w:style w:type="paragraph" w:customStyle="1" w:styleId="7B3CFA349B874819B1EC0B0E90295458">
    <w:name w:val="7B3CFA349B874819B1EC0B0E90295458"/>
    <w:rsid w:val="00B479D7"/>
  </w:style>
  <w:style w:type="paragraph" w:customStyle="1" w:styleId="EF70EDE3163640E2AE827D4D7EFF8972">
    <w:name w:val="EF70EDE3163640E2AE827D4D7EFF8972"/>
    <w:rsid w:val="00B479D7"/>
  </w:style>
  <w:style w:type="paragraph" w:customStyle="1" w:styleId="CD81C75A617A4C2F8B8DD1C3AF8EA0A1">
    <w:name w:val="CD81C75A617A4C2F8B8DD1C3AF8EA0A1"/>
    <w:rsid w:val="00B479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6</Pages>
  <Words>3468</Words>
  <Characters>18732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Cezarini</dc:creator>
  <cp:keywords/>
  <dc:description/>
  <cp:lastModifiedBy>Ellen Cezarini</cp:lastModifiedBy>
  <cp:revision>13</cp:revision>
  <dcterms:created xsi:type="dcterms:W3CDTF">2024-01-15T22:50:00Z</dcterms:created>
  <dcterms:modified xsi:type="dcterms:W3CDTF">2024-03-27T10:22:00Z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4f2050120c34b1e5f4bd0e7ae114cb36a02ebd1e3e93f3720f701e119a18a1c6</vt:lpwstr>
  </property>
</Properties>
</file>