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0" w:type="auto"/>
        <w:jc w:val="center"/>
        <w:tblBorders>
          <w:bottom w:val="single" w:sz="4" w:space="0" w:color="auto"/>
        </w:tblBorders>
        <w:tblLook w:val="01E0" w:firstRow="1" w:lastRow="1" w:firstColumn="1" w:lastColumn="1" w:noHBand="0" w:noVBand="0"/>
      </w:tblPr>
      <w:tblGrid>
        <w:gridCol w:w="6940"/>
        <w:gridCol w:w="1842"/>
      </w:tblGrid>
      <w:tr w:rsidR="000A03B2" w:rsidRPr="00B57B36" w14:paraId="2A131A54" w14:textId="77777777" w:rsidTr="009E0568">
        <w:trPr>
          <w:trHeight w:val="852"/>
          <w:jc w:val="center"/>
        </w:trPr>
        <w:tc>
          <w:tcPr>
            <w:tcW w:w="6940" w:type="dxa"/>
            <w:vMerge w:val="restart"/>
            <w:tcBorders>
              <w:right w:val="single" w:sz="4" w:space="0" w:color="auto"/>
            </w:tcBorders>
          </w:tcPr>
          <w:p w14:paraId="38C3D2BA" w14:textId="77777777" w:rsidR="000A03B2" w:rsidRPr="00B57B36" w:rsidRDefault="000A03B2" w:rsidP="00DE264A">
            <w:pPr>
              <w:tabs>
                <w:tab w:val="left" w:pos="-108"/>
              </w:tabs>
              <w:ind w:left="-108"/>
              <w:jc w:val="left"/>
              <w:rPr>
                <w:rFonts w:cs="Arial"/>
                <w:b/>
                <w:bCs/>
                <w:i/>
                <w:iCs/>
                <w:color w:val="000066"/>
                <w:sz w:val="12"/>
                <w:szCs w:val="12"/>
                <w:lang w:eastAsia="it-IT"/>
              </w:rPr>
            </w:pPr>
            <w:r w:rsidRPr="00B57B36">
              <w:rPr>
                <w:rFonts w:ascii="AdvP6960" w:hAnsi="AdvP6960" w:cs="AdvP6960"/>
                <w:noProof/>
                <w:color w:val="241F20"/>
                <w:szCs w:val="18"/>
                <w:lang w:val="it-IT" w:eastAsia="it-IT"/>
              </w:rPr>
              <w:drawing>
                <wp:inline distT="0" distB="0" distL="0" distR="0" wp14:anchorId="02B7C3D3" wp14:editId="5EE03112">
                  <wp:extent cx="640080" cy="373380"/>
                  <wp:effectExtent l="0" t="0" r="7620" b="7620"/>
                  <wp:docPr id="5" name="Immagine 5" descr="cet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et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 cy="373380"/>
                          </a:xfrm>
                          <a:prstGeom prst="rect">
                            <a:avLst/>
                          </a:prstGeom>
                          <a:noFill/>
                          <a:ln>
                            <a:noFill/>
                          </a:ln>
                        </pic:spPr>
                      </pic:pic>
                    </a:graphicData>
                  </a:graphic>
                </wp:inline>
              </w:drawing>
            </w:r>
            <w:r w:rsidRPr="00B57B36">
              <w:rPr>
                <w:rFonts w:ascii="AdvP6960" w:hAnsi="AdvP6960" w:cs="AdvP6960"/>
                <w:color w:val="241F20"/>
                <w:szCs w:val="18"/>
                <w:lang w:eastAsia="it-IT"/>
              </w:rPr>
              <w:t xml:space="preserve"> </w:t>
            </w:r>
            <w:r w:rsidRPr="00B57B36">
              <w:rPr>
                <w:rFonts w:cs="Arial"/>
                <w:b/>
                <w:bCs/>
                <w:i/>
                <w:iCs/>
                <w:color w:val="000066"/>
                <w:sz w:val="24"/>
                <w:szCs w:val="24"/>
                <w:lang w:eastAsia="it-IT"/>
              </w:rPr>
              <w:t>CHEMICAL ENGINEERING</w:t>
            </w:r>
            <w:r w:rsidRPr="00B57B36">
              <w:rPr>
                <w:rFonts w:cs="Arial"/>
                <w:b/>
                <w:bCs/>
                <w:i/>
                <w:iCs/>
                <w:color w:val="0033FF"/>
                <w:sz w:val="24"/>
                <w:szCs w:val="24"/>
                <w:lang w:eastAsia="it-IT"/>
              </w:rPr>
              <w:t xml:space="preserve"> </w:t>
            </w:r>
            <w:r w:rsidRPr="00B57B36">
              <w:rPr>
                <w:rFonts w:cs="Arial"/>
                <w:b/>
                <w:bCs/>
                <w:i/>
                <w:iCs/>
                <w:color w:val="666666"/>
                <w:sz w:val="24"/>
                <w:szCs w:val="24"/>
                <w:lang w:eastAsia="it-IT"/>
              </w:rPr>
              <w:t>TRANSACTIONS</w:t>
            </w:r>
            <w:r w:rsidRPr="00B57B36">
              <w:rPr>
                <w:color w:val="333333"/>
                <w:sz w:val="24"/>
                <w:szCs w:val="24"/>
                <w:lang w:eastAsia="it-IT"/>
              </w:rPr>
              <w:t xml:space="preserve"> </w:t>
            </w:r>
            <w:r w:rsidRPr="00B57B36">
              <w:rPr>
                <w:rFonts w:cs="Arial"/>
                <w:b/>
                <w:bCs/>
                <w:i/>
                <w:iCs/>
                <w:color w:val="000066"/>
                <w:sz w:val="27"/>
                <w:szCs w:val="27"/>
                <w:lang w:eastAsia="it-IT"/>
              </w:rPr>
              <w:br/>
            </w:r>
          </w:p>
          <w:p w14:paraId="4B780582" w14:textId="67F2434E" w:rsidR="000A03B2" w:rsidRPr="00B57B36" w:rsidRDefault="00A76EFC" w:rsidP="001D21AF">
            <w:pPr>
              <w:tabs>
                <w:tab w:val="left" w:pos="-108"/>
              </w:tabs>
              <w:ind w:left="-108"/>
              <w:rPr>
                <w:rFonts w:cs="Arial"/>
                <w:b/>
                <w:bCs/>
                <w:i/>
                <w:iCs/>
                <w:color w:val="000066"/>
                <w:sz w:val="22"/>
                <w:szCs w:val="22"/>
                <w:lang w:eastAsia="it-IT"/>
              </w:rPr>
            </w:pPr>
            <w:r w:rsidRPr="00B57B36">
              <w:rPr>
                <w:rFonts w:cs="Arial"/>
                <w:b/>
                <w:bCs/>
                <w:i/>
                <w:iCs/>
                <w:color w:val="000066"/>
                <w:sz w:val="22"/>
                <w:szCs w:val="22"/>
                <w:lang w:eastAsia="it-IT"/>
              </w:rPr>
              <w:t xml:space="preserve">VOL. </w:t>
            </w:r>
            <w:r w:rsidR="0030152C">
              <w:rPr>
                <w:rFonts w:cs="Arial"/>
                <w:b/>
                <w:bCs/>
                <w:i/>
                <w:iCs/>
                <w:color w:val="000066"/>
                <w:sz w:val="22"/>
                <w:szCs w:val="22"/>
                <w:lang w:eastAsia="it-IT"/>
              </w:rPr>
              <w:t xml:space="preserve"> </w:t>
            </w:r>
            <w:proofErr w:type="gramStart"/>
            <w:r w:rsidR="0030152C">
              <w:rPr>
                <w:rFonts w:cs="Arial"/>
                <w:b/>
                <w:bCs/>
                <w:i/>
                <w:iCs/>
                <w:color w:val="000066"/>
                <w:sz w:val="22"/>
                <w:szCs w:val="22"/>
                <w:lang w:eastAsia="it-IT"/>
              </w:rPr>
              <w:t xml:space="preserve">  </w:t>
            </w:r>
            <w:r w:rsidR="007B48F9">
              <w:rPr>
                <w:rFonts w:cs="Arial"/>
                <w:b/>
                <w:bCs/>
                <w:i/>
                <w:iCs/>
                <w:color w:val="000066"/>
                <w:sz w:val="22"/>
                <w:szCs w:val="22"/>
                <w:lang w:eastAsia="it-IT"/>
              </w:rPr>
              <w:t>,</w:t>
            </w:r>
            <w:proofErr w:type="gramEnd"/>
            <w:r w:rsidR="00FA5F5F">
              <w:rPr>
                <w:rFonts w:cs="Arial"/>
                <w:b/>
                <w:bCs/>
                <w:i/>
                <w:iCs/>
                <w:color w:val="000066"/>
                <w:sz w:val="22"/>
                <w:szCs w:val="22"/>
                <w:lang w:eastAsia="it-IT"/>
              </w:rPr>
              <w:t xml:space="preserve"> </w:t>
            </w:r>
            <w:r w:rsidR="0030152C">
              <w:rPr>
                <w:rFonts w:cs="Arial"/>
                <w:b/>
                <w:bCs/>
                <w:i/>
                <w:iCs/>
                <w:color w:val="000066"/>
                <w:sz w:val="22"/>
                <w:szCs w:val="22"/>
                <w:lang w:eastAsia="it-IT"/>
              </w:rPr>
              <w:t>202</w:t>
            </w:r>
            <w:r w:rsidR="00925785">
              <w:rPr>
                <w:rFonts w:cs="Arial"/>
                <w:b/>
                <w:bCs/>
                <w:i/>
                <w:iCs/>
                <w:color w:val="000066"/>
                <w:sz w:val="22"/>
                <w:szCs w:val="22"/>
                <w:lang w:eastAsia="it-IT"/>
              </w:rPr>
              <w:t>4</w:t>
            </w:r>
          </w:p>
        </w:tc>
        <w:tc>
          <w:tcPr>
            <w:tcW w:w="1842" w:type="dxa"/>
            <w:tcBorders>
              <w:left w:val="single" w:sz="4" w:space="0" w:color="auto"/>
              <w:bottom w:val="nil"/>
              <w:right w:val="single" w:sz="4" w:space="0" w:color="auto"/>
            </w:tcBorders>
          </w:tcPr>
          <w:p w14:paraId="56782132" w14:textId="77777777" w:rsidR="000A03B2" w:rsidRPr="00B57B36" w:rsidRDefault="000A03B2" w:rsidP="00CD5FE2">
            <w:pPr>
              <w:spacing w:line="140" w:lineRule="atLeast"/>
              <w:jc w:val="right"/>
              <w:rPr>
                <w:rFonts w:cs="Arial"/>
                <w:sz w:val="14"/>
                <w:szCs w:val="14"/>
              </w:rPr>
            </w:pPr>
            <w:r w:rsidRPr="00B57B36">
              <w:rPr>
                <w:rFonts w:cs="Arial"/>
                <w:sz w:val="14"/>
                <w:szCs w:val="14"/>
              </w:rPr>
              <w:t>A publication of</w:t>
            </w:r>
          </w:p>
          <w:p w14:paraId="599E5441" w14:textId="77777777" w:rsidR="000A03B2" w:rsidRPr="00B57B36" w:rsidRDefault="000A03B2" w:rsidP="00CD5FE2">
            <w:pPr>
              <w:jc w:val="right"/>
            </w:pPr>
            <w:r w:rsidRPr="00B57B36">
              <w:rPr>
                <w:noProof/>
                <w:lang w:val="it-IT" w:eastAsia="it-IT"/>
              </w:rPr>
              <w:drawing>
                <wp:inline distT="0" distB="0" distL="0" distR="0" wp14:anchorId="59C75AF4" wp14:editId="4FF92432">
                  <wp:extent cx="670560" cy="358140"/>
                  <wp:effectExtent l="0" t="0" r="0" b="3810"/>
                  <wp:docPr id="6" name="Immagine 6" descr="aidiclogo_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idiclogo_gran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70560" cy="358140"/>
                          </a:xfrm>
                          <a:prstGeom prst="rect">
                            <a:avLst/>
                          </a:prstGeom>
                          <a:noFill/>
                          <a:ln>
                            <a:noFill/>
                          </a:ln>
                        </pic:spPr>
                      </pic:pic>
                    </a:graphicData>
                  </a:graphic>
                </wp:inline>
              </w:drawing>
            </w:r>
          </w:p>
        </w:tc>
      </w:tr>
      <w:tr w:rsidR="000A03B2" w:rsidRPr="00B57B36" w14:paraId="380FA3CD" w14:textId="77777777" w:rsidTr="009E0568">
        <w:trPr>
          <w:trHeight w:val="567"/>
          <w:jc w:val="center"/>
        </w:trPr>
        <w:tc>
          <w:tcPr>
            <w:tcW w:w="6940" w:type="dxa"/>
            <w:vMerge/>
            <w:tcBorders>
              <w:right w:val="single" w:sz="4" w:space="0" w:color="auto"/>
            </w:tcBorders>
          </w:tcPr>
          <w:p w14:paraId="39E5E4C1" w14:textId="77777777" w:rsidR="000A03B2" w:rsidRPr="00B57B36" w:rsidRDefault="000A03B2" w:rsidP="00CD5FE2">
            <w:pPr>
              <w:tabs>
                <w:tab w:val="left" w:pos="-108"/>
              </w:tabs>
            </w:pPr>
          </w:p>
        </w:tc>
        <w:tc>
          <w:tcPr>
            <w:tcW w:w="1842" w:type="dxa"/>
            <w:tcBorders>
              <w:left w:val="single" w:sz="4" w:space="0" w:color="auto"/>
              <w:bottom w:val="nil"/>
              <w:right w:val="single" w:sz="4" w:space="0" w:color="auto"/>
            </w:tcBorders>
          </w:tcPr>
          <w:p w14:paraId="43858A98" w14:textId="77777777" w:rsidR="000A03B2" w:rsidRPr="00B57B36" w:rsidRDefault="000A03B2" w:rsidP="00CD5FE2">
            <w:pPr>
              <w:spacing w:line="140" w:lineRule="atLeast"/>
              <w:jc w:val="right"/>
              <w:rPr>
                <w:rFonts w:cs="Arial"/>
                <w:sz w:val="14"/>
                <w:szCs w:val="14"/>
              </w:rPr>
            </w:pPr>
            <w:r w:rsidRPr="00B57B36">
              <w:rPr>
                <w:rFonts w:cs="Arial"/>
                <w:sz w:val="14"/>
                <w:szCs w:val="14"/>
              </w:rPr>
              <w:t>The Italian Association</w:t>
            </w:r>
          </w:p>
          <w:p w14:paraId="7522B1D2" w14:textId="77777777" w:rsidR="000A03B2" w:rsidRPr="00B57B36" w:rsidRDefault="000A03B2" w:rsidP="00CD5FE2">
            <w:pPr>
              <w:spacing w:line="140" w:lineRule="atLeast"/>
              <w:jc w:val="right"/>
              <w:rPr>
                <w:rFonts w:cs="Arial"/>
                <w:sz w:val="14"/>
                <w:szCs w:val="14"/>
              </w:rPr>
            </w:pPr>
            <w:r w:rsidRPr="00B57B36">
              <w:rPr>
                <w:rFonts w:cs="Arial"/>
                <w:sz w:val="14"/>
                <w:szCs w:val="14"/>
              </w:rPr>
              <w:t>of Chemical Engineering</w:t>
            </w:r>
          </w:p>
          <w:p w14:paraId="4F0CC5DE" w14:textId="47FDB2FC" w:rsidR="000A03B2" w:rsidRPr="000D0268" w:rsidRDefault="000D0268" w:rsidP="00CD5FE2">
            <w:pPr>
              <w:spacing w:line="140" w:lineRule="atLeast"/>
              <w:jc w:val="right"/>
              <w:rPr>
                <w:rFonts w:cs="Arial"/>
                <w:sz w:val="13"/>
                <w:szCs w:val="13"/>
              </w:rPr>
            </w:pPr>
            <w:r w:rsidRPr="000D0268">
              <w:rPr>
                <w:rFonts w:cs="Arial"/>
                <w:sz w:val="13"/>
                <w:szCs w:val="13"/>
              </w:rPr>
              <w:t>Online at www.cetjournal.it</w:t>
            </w:r>
          </w:p>
        </w:tc>
      </w:tr>
      <w:tr w:rsidR="000A03B2" w:rsidRPr="00B57B36" w14:paraId="2D1B7169" w14:textId="77777777" w:rsidTr="009E0568">
        <w:trPr>
          <w:trHeight w:val="68"/>
          <w:jc w:val="center"/>
        </w:trPr>
        <w:tc>
          <w:tcPr>
            <w:tcW w:w="8782" w:type="dxa"/>
            <w:gridSpan w:val="2"/>
          </w:tcPr>
          <w:p w14:paraId="1D8DD3C9" w14:textId="78BE341E" w:rsidR="00AA7D26" w:rsidRPr="00F93EDF" w:rsidRDefault="00AA7D26" w:rsidP="00AA7D26">
            <w:pPr>
              <w:ind w:left="-107"/>
              <w:outlineLvl w:val="2"/>
              <w:rPr>
                <w:rFonts w:ascii="Tahoma" w:hAnsi="Tahoma" w:cs="Tahoma"/>
                <w:bCs/>
                <w:color w:val="000000"/>
                <w:sz w:val="14"/>
                <w:szCs w:val="14"/>
                <w:lang w:eastAsia="it-IT"/>
              </w:rPr>
            </w:pPr>
            <w:r w:rsidRPr="00F93EDF">
              <w:rPr>
                <w:rFonts w:ascii="Tahoma" w:hAnsi="Tahoma" w:cs="Tahoma"/>
                <w:iCs/>
                <w:color w:val="333333"/>
                <w:sz w:val="14"/>
                <w:szCs w:val="14"/>
                <w:lang w:eastAsia="it-IT"/>
              </w:rPr>
              <w:t>Guest Editors:</w:t>
            </w:r>
            <w:r w:rsidRPr="00F93EDF">
              <w:rPr>
                <w:rFonts w:ascii="Tahoma" w:hAnsi="Tahoma" w:cs="Tahoma"/>
                <w:color w:val="000000"/>
                <w:sz w:val="14"/>
                <w:szCs w:val="14"/>
                <w:shd w:val="clear" w:color="auto" w:fill="FFFFFF"/>
              </w:rPr>
              <w:t xml:space="preserve"> </w:t>
            </w:r>
            <w:r w:rsidR="00925785" w:rsidRPr="00946B70">
              <w:rPr>
                <w:rFonts w:ascii="Tahoma" w:hAnsi="Tahoma" w:cs="Tahoma"/>
                <w:color w:val="000000"/>
                <w:sz w:val="14"/>
                <w:szCs w:val="14"/>
                <w:shd w:val="clear" w:color="auto" w:fill="FFFFFF"/>
              </w:rPr>
              <w:t xml:space="preserve">Leonardo </w:t>
            </w:r>
            <w:proofErr w:type="spellStart"/>
            <w:r w:rsidR="00925785" w:rsidRPr="00946B70">
              <w:rPr>
                <w:rFonts w:ascii="Tahoma" w:hAnsi="Tahoma" w:cs="Tahoma"/>
                <w:color w:val="000000"/>
                <w:sz w:val="14"/>
                <w:szCs w:val="14"/>
                <w:shd w:val="clear" w:color="auto" w:fill="FFFFFF"/>
              </w:rPr>
              <w:t>Tognotti</w:t>
            </w:r>
            <w:proofErr w:type="spellEnd"/>
            <w:r w:rsidR="00925785" w:rsidRPr="00946B70">
              <w:rPr>
                <w:rFonts w:ascii="Tahoma" w:hAnsi="Tahoma" w:cs="Tahoma"/>
                <w:color w:val="000000"/>
                <w:sz w:val="14"/>
                <w:szCs w:val="14"/>
                <w:shd w:val="clear" w:color="auto" w:fill="FFFFFF"/>
              </w:rPr>
              <w:t xml:space="preserve">, </w:t>
            </w:r>
            <w:r w:rsidR="00925785" w:rsidRPr="00946B70">
              <w:rPr>
                <w:rFonts w:ascii="Tahoma" w:hAnsi="Tahoma" w:cs="Tahoma"/>
                <w:color w:val="000000"/>
                <w:sz w:val="14"/>
                <w:szCs w:val="14"/>
              </w:rPr>
              <w:t xml:space="preserve">Rubens </w:t>
            </w:r>
            <w:proofErr w:type="spellStart"/>
            <w:r w:rsidR="00925785" w:rsidRPr="00946B70">
              <w:rPr>
                <w:rFonts w:ascii="Tahoma" w:hAnsi="Tahoma" w:cs="Tahoma"/>
                <w:color w:val="000000"/>
                <w:sz w:val="14"/>
                <w:szCs w:val="14"/>
              </w:rPr>
              <w:t>Maciel</w:t>
            </w:r>
            <w:proofErr w:type="spellEnd"/>
            <w:r w:rsidR="00925785" w:rsidRPr="00946B70">
              <w:rPr>
                <w:rFonts w:ascii="Tahoma" w:hAnsi="Tahoma" w:cs="Tahoma"/>
                <w:color w:val="000000"/>
                <w:sz w:val="14"/>
                <w:szCs w:val="14"/>
              </w:rPr>
              <w:t xml:space="preserve"> Filho</w:t>
            </w:r>
            <w:r w:rsidR="00925785" w:rsidRPr="00946B70">
              <w:rPr>
                <w:rFonts w:ascii="Tahoma" w:hAnsi="Tahoma" w:cs="Tahoma"/>
                <w:color w:val="000000"/>
                <w:sz w:val="14"/>
                <w:szCs w:val="14"/>
                <w:shd w:val="clear" w:color="auto" w:fill="FFFFFF"/>
              </w:rPr>
              <w:t xml:space="preserve">, </w:t>
            </w:r>
            <w:proofErr w:type="spellStart"/>
            <w:r w:rsidR="00925785" w:rsidRPr="00946B70">
              <w:rPr>
                <w:rFonts w:ascii="Tahoma" w:hAnsi="Tahoma" w:cs="Tahoma"/>
                <w:color w:val="000000"/>
                <w:sz w:val="14"/>
                <w:szCs w:val="14"/>
              </w:rPr>
              <w:t>Viatcheslav</w:t>
            </w:r>
            <w:proofErr w:type="spellEnd"/>
            <w:r w:rsidR="00925785" w:rsidRPr="00946B70">
              <w:rPr>
                <w:rFonts w:ascii="Tahoma" w:hAnsi="Tahoma" w:cs="Tahoma"/>
                <w:color w:val="000000"/>
                <w:sz w:val="14"/>
                <w:szCs w:val="14"/>
              </w:rPr>
              <w:t xml:space="preserve"> </w:t>
            </w:r>
            <w:proofErr w:type="spellStart"/>
            <w:r w:rsidR="00925785" w:rsidRPr="00946B70">
              <w:rPr>
                <w:rFonts w:ascii="Tahoma" w:hAnsi="Tahoma" w:cs="Tahoma"/>
                <w:color w:val="000000"/>
                <w:sz w:val="14"/>
                <w:szCs w:val="14"/>
              </w:rPr>
              <w:t>Kafarov</w:t>
            </w:r>
            <w:proofErr w:type="spellEnd"/>
          </w:p>
          <w:p w14:paraId="1B0F1814" w14:textId="2E987CCB" w:rsidR="000A03B2" w:rsidRPr="00B57B36" w:rsidRDefault="00AA7D26" w:rsidP="00AA7D26">
            <w:pPr>
              <w:tabs>
                <w:tab w:val="left" w:pos="-108"/>
              </w:tabs>
              <w:spacing w:line="140" w:lineRule="atLeast"/>
              <w:ind w:left="-107"/>
              <w:jc w:val="left"/>
            </w:pPr>
            <w:r>
              <w:rPr>
                <w:rFonts w:ascii="Tahoma" w:hAnsi="Tahoma" w:cs="Tahoma"/>
                <w:iCs/>
                <w:color w:val="333333"/>
                <w:sz w:val="14"/>
                <w:szCs w:val="14"/>
                <w:lang w:eastAsia="it-IT"/>
              </w:rPr>
              <w:t>Copyright © 202</w:t>
            </w:r>
            <w:r w:rsidR="00925785">
              <w:rPr>
                <w:rFonts w:ascii="Tahoma" w:hAnsi="Tahoma" w:cs="Tahoma"/>
                <w:iCs/>
                <w:color w:val="333333"/>
                <w:sz w:val="14"/>
                <w:szCs w:val="14"/>
                <w:lang w:eastAsia="it-IT"/>
              </w:rPr>
              <w:t>4</w:t>
            </w:r>
            <w:r w:rsidRPr="00B57B36">
              <w:rPr>
                <w:rFonts w:ascii="Tahoma" w:hAnsi="Tahoma" w:cs="Tahoma"/>
                <w:iCs/>
                <w:color w:val="333333"/>
                <w:sz w:val="14"/>
                <w:szCs w:val="14"/>
                <w:lang w:eastAsia="it-IT"/>
              </w:rPr>
              <w:t xml:space="preserve">, AIDIC </w:t>
            </w:r>
            <w:proofErr w:type="spellStart"/>
            <w:r w:rsidRPr="00B57B36">
              <w:rPr>
                <w:rFonts w:ascii="Tahoma" w:hAnsi="Tahoma" w:cs="Tahoma"/>
                <w:iCs/>
                <w:color w:val="333333"/>
                <w:sz w:val="14"/>
                <w:szCs w:val="14"/>
                <w:lang w:eastAsia="it-IT"/>
              </w:rPr>
              <w:t>Servizi</w:t>
            </w:r>
            <w:proofErr w:type="spellEnd"/>
            <w:r w:rsidRPr="00B57B36">
              <w:rPr>
                <w:rFonts w:ascii="Tahoma" w:hAnsi="Tahoma" w:cs="Tahoma"/>
                <w:iCs/>
                <w:color w:val="333333"/>
                <w:sz w:val="14"/>
                <w:szCs w:val="14"/>
                <w:lang w:eastAsia="it-IT"/>
              </w:rPr>
              <w:t xml:space="preserve"> </w:t>
            </w:r>
            <w:proofErr w:type="spellStart"/>
            <w:r w:rsidRPr="00B57B36">
              <w:rPr>
                <w:rFonts w:ascii="Tahoma" w:hAnsi="Tahoma" w:cs="Tahoma"/>
                <w:iCs/>
                <w:color w:val="333333"/>
                <w:sz w:val="14"/>
                <w:szCs w:val="14"/>
                <w:lang w:eastAsia="it-IT"/>
              </w:rPr>
              <w:t>S.r.l</w:t>
            </w:r>
            <w:proofErr w:type="spellEnd"/>
            <w:r w:rsidRPr="00B57B36">
              <w:rPr>
                <w:rFonts w:ascii="Tahoma" w:hAnsi="Tahoma" w:cs="Tahoma"/>
                <w:iCs/>
                <w:color w:val="333333"/>
                <w:sz w:val="14"/>
                <w:szCs w:val="14"/>
                <w:lang w:eastAsia="it-IT"/>
              </w:rPr>
              <w:t>.</w:t>
            </w:r>
            <w:r w:rsidRPr="00B57B36">
              <w:rPr>
                <w:rFonts w:ascii="Tahoma" w:hAnsi="Tahoma" w:cs="Tahoma"/>
                <w:iCs/>
                <w:color w:val="333333"/>
                <w:sz w:val="14"/>
                <w:szCs w:val="14"/>
                <w:lang w:eastAsia="it-IT"/>
              </w:rPr>
              <w:br/>
            </w:r>
            <w:r w:rsidRPr="00B57B36">
              <w:rPr>
                <w:rFonts w:ascii="Tahoma" w:hAnsi="Tahoma" w:cs="Tahoma"/>
                <w:b/>
                <w:iCs/>
                <w:color w:val="000000"/>
                <w:sz w:val="14"/>
                <w:szCs w:val="14"/>
                <w:lang w:eastAsia="it-IT"/>
              </w:rPr>
              <w:t>ISBN</w:t>
            </w:r>
            <w:r w:rsidRPr="00B57B36">
              <w:rPr>
                <w:rFonts w:ascii="Tahoma" w:hAnsi="Tahoma" w:cs="Tahoma"/>
                <w:iCs/>
                <w:color w:val="000000"/>
                <w:sz w:val="14"/>
                <w:szCs w:val="14"/>
                <w:lang w:eastAsia="it-IT"/>
              </w:rPr>
              <w:t xml:space="preserve"> </w:t>
            </w:r>
            <w:r w:rsidR="00D2582C" w:rsidRPr="000562A9">
              <w:rPr>
                <w:rFonts w:ascii="Tahoma" w:hAnsi="Tahoma" w:cs="Tahoma"/>
                <w:sz w:val="14"/>
                <w:szCs w:val="14"/>
              </w:rPr>
              <w:t>97</w:t>
            </w:r>
            <w:r w:rsidR="00D2582C">
              <w:rPr>
                <w:rFonts w:ascii="Tahoma" w:hAnsi="Tahoma" w:cs="Tahoma"/>
                <w:sz w:val="14"/>
                <w:szCs w:val="14"/>
              </w:rPr>
              <w:t>9</w:t>
            </w:r>
            <w:r w:rsidR="00D2582C" w:rsidRPr="000562A9">
              <w:rPr>
                <w:rFonts w:ascii="Tahoma" w:hAnsi="Tahoma" w:cs="Tahoma"/>
                <w:sz w:val="14"/>
                <w:szCs w:val="14"/>
              </w:rPr>
              <w:t>-</w:t>
            </w:r>
            <w:r w:rsidR="00D2582C">
              <w:rPr>
                <w:rFonts w:ascii="Tahoma" w:hAnsi="Tahoma" w:cs="Tahoma"/>
                <w:sz w:val="14"/>
                <w:szCs w:val="14"/>
              </w:rPr>
              <w:t>12</w:t>
            </w:r>
            <w:r w:rsidR="00D2582C" w:rsidRPr="000562A9">
              <w:rPr>
                <w:rFonts w:ascii="Tahoma" w:hAnsi="Tahoma" w:cs="Tahoma"/>
                <w:sz w:val="14"/>
                <w:szCs w:val="14"/>
              </w:rPr>
              <w:t>-</w:t>
            </w:r>
            <w:r w:rsidR="00D2582C">
              <w:rPr>
                <w:rFonts w:ascii="Tahoma" w:hAnsi="Tahoma" w:cs="Tahoma"/>
                <w:sz w:val="14"/>
                <w:szCs w:val="14"/>
              </w:rPr>
              <w:t>81206-</w:t>
            </w:r>
            <w:r w:rsidR="00925785">
              <w:rPr>
                <w:rFonts w:ascii="Tahoma" w:hAnsi="Tahoma" w:cs="Tahoma"/>
                <w:sz w:val="14"/>
                <w:szCs w:val="14"/>
              </w:rPr>
              <w:t>09</w:t>
            </w:r>
            <w:r w:rsidR="00D2582C">
              <w:rPr>
                <w:rFonts w:ascii="Tahoma" w:hAnsi="Tahoma" w:cs="Tahoma"/>
                <w:sz w:val="14"/>
                <w:szCs w:val="14"/>
              </w:rPr>
              <w:t>-</w:t>
            </w:r>
            <w:r w:rsidR="00925785">
              <w:rPr>
                <w:rFonts w:ascii="Tahoma" w:hAnsi="Tahoma" w:cs="Tahoma"/>
                <w:sz w:val="14"/>
                <w:szCs w:val="14"/>
              </w:rPr>
              <w:t>0</w:t>
            </w:r>
            <w:r w:rsidRPr="00EF06D9">
              <w:rPr>
                <w:rFonts w:ascii="Tahoma" w:hAnsi="Tahoma" w:cs="Tahoma"/>
                <w:iCs/>
                <w:color w:val="333333"/>
                <w:sz w:val="14"/>
                <w:szCs w:val="14"/>
                <w:lang w:eastAsia="it-IT"/>
              </w:rPr>
              <w:t>;</w:t>
            </w:r>
            <w:r w:rsidRPr="00B57B36">
              <w:rPr>
                <w:rFonts w:ascii="Tahoma" w:hAnsi="Tahoma" w:cs="Tahoma"/>
                <w:iCs/>
                <w:color w:val="333333"/>
                <w:sz w:val="14"/>
                <w:szCs w:val="14"/>
                <w:lang w:eastAsia="it-IT"/>
              </w:rPr>
              <w:t xml:space="preserve"> </w:t>
            </w:r>
            <w:r w:rsidRPr="00B57B36">
              <w:rPr>
                <w:rFonts w:ascii="Tahoma" w:hAnsi="Tahoma" w:cs="Tahoma"/>
                <w:b/>
                <w:iCs/>
                <w:color w:val="333333"/>
                <w:sz w:val="14"/>
                <w:szCs w:val="14"/>
                <w:lang w:eastAsia="it-IT"/>
              </w:rPr>
              <w:t>ISSN</w:t>
            </w:r>
            <w:r w:rsidRPr="00B57B36">
              <w:rPr>
                <w:rFonts w:ascii="Tahoma" w:hAnsi="Tahoma" w:cs="Tahoma"/>
                <w:iCs/>
                <w:color w:val="333333"/>
                <w:sz w:val="14"/>
                <w:szCs w:val="14"/>
                <w:lang w:eastAsia="it-IT"/>
              </w:rPr>
              <w:t xml:space="preserve"> 2283-9216</w:t>
            </w:r>
          </w:p>
        </w:tc>
      </w:tr>
    </w:tbl>
    <w:p w14:paraId="2E667253" w14:textId="180BD996" w:rsidR="00E978D0" w:rsidRPr="00B57B36" w:rsidRDefault="00591A2B" w:rsidP="00E978D0">
      <w:pPr>
        <w:pStyle w:val="CETTitle"/>
      </w:pPr>
      <w:r>
        <w:t>Exploring t</w:t>
      </w:r>
      <w:bookmarkStart w:id="0" w:name="_GoBack"/>
      <w:bookmarkEnd w:id="0"/>
      <w:r>
        <w:t xml:space="preserve">he </w:t>
      </w:r>
      <w:r w:rsidRPr="00591A2B">
        <w:t xml:space="preserve">base-free </w:t>
      </w:r>
      <w:r w:rsidRPr="00591A2B">
        <w:t>production</w:t>
      </w:r>
      <w:r>
        <w:t xml:space="preserve"> of</w:t>
      </w:r>
      <w:r w:rsidRPr="00591A2B">
        <w:t xml:space="preserve"> </w:t>
      </w:r>
      <w:r w:rsidRPr="00591A2B">
        <w:t>5-methoxymethylfurfural via nucleophilic substitution of 5-chloromethylfurfural in methanol</w:t>
      </w:r>
      <w:r>
        <w:t>: a kinetic modelling approach</w:t>
      </w:r>
    </w:p>
    <w:p w14:paraId="0488FED2" w14:textId="5930EC30" w:rsidR="00B57E6F" w:rsidRPr="00591A2B" w:rsidRDefault="009E0568" w:rsidP="00B57E6F">
      <w:pPr>
        <w:pStyle w:val="CETAuthors"/>
        <w:rPr>
          <w:lang w:val="it-IT"/>
        </w:rPr>
      </w:pPr>
      <w:r w:rsidRPr="00591A2B">
        <w:rPr>
          <w:lang w:val="it-IT"/>
        </w:rPr>
        <w:t>Gianfranco Giorgianni</w:t>
      </w:r>
      <w:r w:rsidRPr="00591A2B">
        <w:rPr>
          <w:vertAlign w:val="superscript"/>
          <w:lang w:val="it-IT"/>
        </w:rPr>
        <w:t>a,*</w:t>
      </w:r>
      <w:r w:rsidRPr="00591A2B">
        <w:rPr>
          <w:lang w:val="it-IT"/>
        </w:rPr>
        <w:t>, Rober-Jan van Putten</w:t>
      </w:r>
      <w:r w:rsidRPr="00591A2B">
        <w:rPr>
          <w:vertAlign w:val="superscript"/>
          <w:lang w:val="it-IT"/>
        </w:rPr>
        <w:t>b</w:t>
      </w:r>
      <w:r w:rsidRPr="00591A2B">
        <w:rPr>
          <w:lang w:val="it-IT"/>
        </w:rPr>
        <w:t>, Jan C. Van der Waal</w:t>
      </w:r>
      <w:r w:rsidRPr="00591A2B">
        <w:rPr>
          <w:vertAlign w:val="superscript"/>
          <w:lang w:val="it-IT"/>
        </w:rPr>
        <w:t>c</w:t>
      </w:r>
      <w:r w:rsidRPr="00591A2B">
        <w:rPr>
          <w:lang w:val="it-IT"/>
        </w:rPr>
        <w:t>, Siglinda Perathoner</w:t>
      </w:r>
      <w:r w:rsidRPr="00591A2B">
        <w:rPr>
          <w:vertAlign w:val="superscript"/>
          <w:lang w:val="it-IT"/>
        </w:rPr>
        <w:t>a</w:t>
      </w:r>
      <w:r w:rsidRPr="00591A2B">
        <w:rPr>
          <w:lang w:val="it-IT"/>
        </w:rPr>
        <w:t>, Gabriele Centi</w:t>
      </w:r>
      <w:r w:rsidRPr="00591A2B">
        <w:rPr>
          <w:vertAlign w:val="superscript"/>
          <w:lang w:val="it-IT"/>
        </w:rPr>
        <w:t>a</w:t>
      </w:r>
      <w:r w:rsidRPr="00591A2B">
        <w:rPr>
          <w:lang w:val="it-IT"/>
        </w:rPr>
        <w:t>, Salvatore Abate</w:t>
      </w:r>
      <w:r w:rsidRPr="00591A2B">
        <w:rPr>
          <w:vertAlign w:val="superscript"/>
          <w:lang w:val="it-IT"/>
        </w:rPr>
        <w:t>a</w:t>
      </w:r>
    </w:p>
    <w:p w14:paraId="12707926" w14:textId="77777777" w:rsidR="009E0568" w:rsidRDefault="00B57E6F" w:rsidP="00B57E6F">
      <w:pPr>
        <w:pStyle w:val="CETAddress"/>
      </w:pPr>
      <w:r w:rsidRPr="00B57B36">
        <w:rPr>
          <w:vertAlign w:val="superscript"/>
        </w:rPr>
        <w:t>a</w:t>
      </w:r>
      <w:r w:rsidR="009E0568" w:rsidRPr="009E0568">
        <w:t xml:space="preserve"> Dept. ChiBioFarAm - Chimica Industriale, University of Messina and ERIC Aisbl, Viale F. Stagno D'Alcontres 31, Messina 98166, Italy </w:t>
      </w:r>
    </w:p>
    <w:p w14:paraId="3D72B0B0" w14:textId="05EAAF71" w:rsidR="00B57E6F" w:rsidRDefault="00B57E6F" w:rsidP="00B57E6F">
      <w:pPr>
        <w:pStyle w:val="CETAddress"/>
      </w:pPr>
      <w:r w:rsidRPr="00B57B36">
        <w:rPr>
          <w:vertAlign w:val="superscript"/>
        </w:rPr>
        <w:t>b</w:t>
      </w:r>
      <w:r w:rsidR="009E0568">
        <w:t xml:space="preserve"> Av</w:t>
      </w:r>
      <w:r w:rsidR="009E0568" w:rsidRPr="009E0568">
        <w:t>antium, Zekeringstraat 29, 1014 BV Amsterdam, The Netherlands</w:t>
      </w:r>
      <w:r w:rsidRPr="00B57B36">
        <w:t xml:space="preserve"> </w:t>
      </w:r>
    </w:p>
    <w:p w14:paraId="1759426B" w14:textId="3DB13144" w:rsidR="009E0568" w:rsidRPr="00B57B36" w:rsidRDefault="009E0568" w:rsidP="00B57E6F">
      <w:pPr>
        <w:pStyle w:val="CETAddress"/>
      </w:pPr>
      <w:r w:rsidRPr="009E0568">
        <w:rPr>
          <w:vertAlign w:val="superscript"/>
        </w:rPr>
        <w:t>c</w:t>
      </w:r>
      <w:r>
        <w:t xml:space="preserve"> </w:t>
      </w:r>
      <w:r w:rsidRPr="009E0568">
        <w:t>TNO Netherlands Organization of Applied Scientific Research, Leeghwaterstraat 44, 2628 CA, Delft, the Netherlands</w:t>
      </w:r>
    </w:p>
    <w:p w14:paraId="73F1267A" w14:textId="44E1E3AD" w:rsidR="00B57E6F" w:rsidRPr="00B57B36" w:rsidRDefault="00B57E6F" w:rsidP="00B57E6F">
      <w:pPr>
        <w:pStyle w:val="CETemail"/>
      </w:pPr>
      <w:r>
        <w:t xml:space="preserve"> </w:t>
      </w:r>
      <w:r w:rsidR="009E0568">
        <w:t xml:space="preserve">* </w:t>
      </w:r>
      <w:r w:rsidR="009E0568" w:rsidRPr="009E0568">
        <w:t>gianfranco.giorgiorgianni@unical.it</w:t>
      </w:r>
      <w:r w:rsidRPr="00B57B36">
        <w:t xml:space="preserve"> </w:t>
      </w:r>
    </w:p>
    <w:p w14:paraId="37A61FCE" w14:textId="528AE6CC" w:rsidR="00DA24C6" w:rsidRDefault="00505255" w:rsidP="00566724">
      <w:pPr>
        <w:pStyle w:val="CETBodytext"/>
      </w:pPr>
      <w:r>
        <w:rPr>
          <w:lang w:val="en-GB"/>
        </w:rPr>
        <w:t xml:space="preserve">The nucleophilic substitution of chlorine into the </w:t>
      </w:r>
      <w:r w:rsidRPr="00505255">
        <w:rPr>
          <w:lang w:val="en-GB"/>
        </w:rPr>
        <w:t>5-chloromethylfurfural</w:t>
      </w:r>
      <w:r>
        <w:rPr>
          <w:lang w:val="en-GB"/>
        </w:rPr>
        <w:t xml:space="preserve"> (CMF) by methanol is </w:t>
      </w:r>
      <w:r w:rsidR="000A5281">
        <w:rPr>
          <w:lang w:val="en-GB"/>
        </w:rPr>
        <w:t xml:space="preserve">a </w:t>
      </w:r>
      <w:r>
        <w:rPr>
          <w:lang w:val="en-GB"/>
        </w:rPr>
        <w:t xml:space="preserve">high potential route for the production of </w:t>
      </w:r>
      <w:r w:rsidRPr="00505255">
        <w:rPr>
          <w:lang w:val="en-GB"/>
        </w:rPr>
        <w:t>5-methoxymethylfurfural</w:t>
      </w:r>
      <w:r>
        <w:rPr>
          <w:lang w:val="en-GB"/>
        </w:rPr>
        <w:t xml:space="preserve"> (MMF), allowing the production of </w:t>
      </w:r>
      <w:r w:rsidRPr="00566724">
        <w:rPr>
          <w:lang w:val="en-GB"/>
        </w:rPr>
        <w:t>2,5-furandicarboxylic acid</w:t>
      </w:r>
      <w:r>
        <w:rPr>
          <w:lang w:val="en-GB"/>
        </w:rPr>
        <w:t xml:space="preserve">, an important intermediate for polyester synthesis with larger yield and selectivity than </w:t>
      </w:r>
      <w:r w:rsidRPr="00566724">
        <w:rPr>
          <w:lang w:val="en-GB"/>
        </w:rPr>
        <w:t>5-hydroxymethylfurfural</w:t>
      </w:r>
      <w:r>
        <w:rPr>
          <w:lang w:val="en-GB"/>
        </w:rPr>
        <w:t xml:space="preserve">. However, HCl, produced during the nucleophilic substitution, leads to the formation of by-products like </w:t>
      </w:r>
      <w:proofErr w:type="spellStart"/>
      <w:r>
        <w:rPr>
          <w:lang w:val="en-GB"/>
        </w:rPr>
        <w:t>humins</w:t>
      </w:r>
      <w:proofErr w:type="spellEnd"/>
      <w:r>
        <w:rPr>
          <w:lang w:val="en-GB"/>
        </w:rPr>
        <w:t xml:space="preserve"> or methyl levulinate, and it is faced by adding bases to the reaction with the side effect of producing large amounts of waste as salts. On the contrary, optimizing the MMF yields in the absence of any base could allow </w:t>
      </w:r>
      <w:r w:rsidR="000A5281">
        <w:rPr>
          <w:lang w:val="en-GB"/>
        </w:rPr>
        <w:t xml:space="preserve">the </w:t>
      </w:r>
      <w:r>
        <w:rPr>
          <w:lang w:val="en-GB"/>
        </w:rPr>
        <w:t xml:space="preserve">recycling </w:t>
      </w:r>
      <w:r w:rsidR="000A5281">
        <w:rPr>
          <w:lang w:val="en-GB"/>
        </w:rPr>
        <w:t xml:space="preserve">of </w:t>
      </w:r>
      <w:r>
        <w:rPr>
          <w:lang w:val="en-GB"/>
        </w:rPr>
        <w:t xml:space="preserve">the produced HCl into the </w:t>
      </w:r>
      <w:r w:rsidR="000A5281">
        <w:rPr>
          <w:lang w:val="en-GB"/>
        </w:rPr>
        <w:t xml:space="preserve">CMF </w:t>
      </w:r>
      <w:r>
        <w:rPr>
          <w:lang w:val="en-GB"/>
        </w:rPr>
        <w:t>pro</w:t>
      </w:r>
      <w:r w:rsidR="000A5281">
        <w:rPr>
          <w:lang w:val="en-GB"/>
        </w:rPr>
        <w:t>duction process, with benefits for</w:t>
      </w:r>
      <w:r>
        <w:rPr>
          <w:lang w:val="en-GB"/>
        </w:rPr>
        <w:t xml:space="preserve"> the whole </w:t>
      </w:r>
      <w:r w:rsidR="000A5281">
        <w:rPr>
          <w:lang w:val="en-GB"/>
        </w:rPr>
        <w:t>route</w:t>
      </w:r>
      <w:r>
        <w:rPr>
          <w:lang w:val="en-GB"/>
        </w:rPr>
        <w:t xml:space="preserve">. </w:t>
      </w:r>
      <w:r w:rsidR="000A5281">
        <w:rPr>
          <w:lang w:val="en-GB"/>
        </w:rPr>
        <w:t>To optimize</w:t>
      </w:r>
      <w:r>
        <w:rPr>
          <w:lang w:val="en-GB"/>
        </w:rPr>
        <w:t xml:space="preserve"> the reaction, CMF was reacted with methanol at low concentration, using a multi-reactor in batch mode, </w:t>
      </w:r>
      <w:r w:rsidR="000A5281">
        <w:rPr>
          <w:lang w:val="en-GB"/>
        </w:rPr>
        <w:t>to maximize</w:t>
      </w:r>
      <w:r>
        <w:rPr>
          <w:lang w:val="en-GB"/>
        </w:rPr>
        <w:t xml:space="preserve"> the MMF yield at 10, 20, 40</w:t>
      </w:r>
      <w:r w:rsidR="000A5281">
        <w:rPr>
          <w:lang w:val="en-GB"/>
        </w:rPr>
        <w:t>,</w:t>
      </w:r>
      <w:r>
        <w:rPr>
          <w:lang w:val="en-GB"/>
        </w:rPr>
        <w:t xml:space="preserve"> and 50 °C. Finally, a lumped kinetic model was employed </w:t>
      </w:r>
      <w:r w:rsidR="000A5281">
        <w:rPr>
          <w:lang w:val="en-GB"/>
        </w:rPr>
        <w:t xml:space="preserve">to </w:t>
      </w:r>
      <w:r w:rsidR="00157F74">
        <w:rPr>
          <w:lang w:val="en-GB"/>
        </w:rPr>
        <w:t>analyse</w:t>
      </w:r>
      <w:r w:rsidR="000A5281">
        <w:rPr>
          <w:lang w:val="en-GB"/>
        </w:rPr>
        <w:t xml:space="preserve"> the reaction further</w:t>
      </w:r>
      <w:r>
        <w:rPr>
          <w:lang w:val="en-GB"/>
        </w:rPr>
        <w:t xml:space="preserve">. The </w:t>
      </w:r>
      <w:r w:rsidR="000A5281">
        <w:rPr>
          <w:lang w:val="en-GB"/>
        </w:rPr>
        <w:t xml:space="preserve">yield of MMF and its corresponding acetal </w:t>
      </w:r>
      <w:r w:rsidR="0029358F">
        <w:rPr>
          <w:lang w:val="en-GB"/>
        </w:rPr>
        <w:t xml:space="preserve">increase </w:t>
      </w:r>
      <w:r w:rsidR="000A5281">
        <w:rPr>
          <w:lang w:val="en-GB"/>
        </w:rPr>
        <w:t>with a reaction time and temperature of</w:t>
      </w:r>
      <w:r>
        <w:rPr>
          <w:lang w:val="en-GB"/>
        </w:rPr>
        <w:t xml:space="preserve"> up to 60 %</w:t>
      </w:r>
      <w:r w:rsidR="000A5281">
        <w:rPr>
          <w:lang w:val="en-GB"/>
        </w:rPr>
        <w:t xml:space="preserve"> </w:t>
      </w:r>
      <w:r>
        <w:rPr>
          <w:lang w:val="en-GB"/>
        </w:rPr>
        <w:t>in 1.5 h.</w:t>
      </w:r>
    </w:p>
    <w:p w14:paraId="476B2F2E" w14:textId="16E35799" w:rsidR="00600535" w:rsidRDefault="00600535" w:rsidP="00600535">
      <w:pPr>
        <w:pStyle w:val="CETHeading1"/>
        <w:rPr>
          <w:lang w:val="en-GB"/>
        </w:rPr>
      </w:pPr>
      <w:r w:rsidRPr="00B57B36">
        <w:rPr>
          <w:lang w:val="en-GB"/>
        </w:rPr>
        <w:t>Introduction</w:t>
      </w:r>
    </w:p>
    <w:p w14:paraId="22AAB559" w14:textId="718C1B91" w:rsidR="009B0F5A" w:rsidRPr="00566724" w:rsidRDefault="009B0F5A" w:rsidP="00566724">
      <w:pPr>
        <w:pStyle w:val="CETBodytext"/>
      </w:pPr>
      <w:r w:rsidRPr="00566724">
        <w:t xml:space="preserve">The drive for a more sustainable society has led to a boost in </w:t>
      </w:r>
      <w:r w:rsidR="006E273B" w:rsidRPr="00566724">
        <w:t>bio</w:t>
      </w:r>
      <w:r w:rsidR="006E273B">
        <w:t>-</w:t>
      </w:r>
      <w:r w:rsidR="006E273B" w:rsidRPr="00566724">
        <w:t>based</w:t>
      </w:r>
      <w:r w:rsidRPr="00566724">
        <w:t xml:space="preserve"> chemistry research. Research has </w:t>
      </w:r>
      <w:r w:rsidR="000A5281">
        <w:t xml:space="preserve">recently shifted </w:t>
      </w:r>
      <w:r w:rsidRPr="00566724">
        <w:t>from mono</w:t>
      </w:r>
      <w:r w:rsidR="008E2660">
        <w:t xml:space="preserve">, </w:t>
      </w:r>
      <w:r w:rsidRPr="00566724">
        <w:t>disaccharide (glucose, fructose, sucrose)</w:t>
      </w:r>
      <w:r w:rsidR="000A5281">
        <w:t>,</w:t>
      </w:r>
      <w:r w:rsidRPr="00566724">
        <w:t xml:space="preserve"> and pure polysaccharides (starch, cellulose) </w:t>
      </w:r>
      <w:r w:rsidR="008E2660" w:rsidRPr="00566724">
        <w:t>feedstock</w:t>
      </w:r>
      <w:r w:rsidR="008E2660">
        <w:t>s</w:t>
      </w:r>
      <w:r w:rsidR="008E2660" w:rsidRPr="00566724">
        <w:t xml:space="preserve"> </w:t>
      </w:r>
      <w:r w:rsidRPr="00566724">
        <w:t xml:space="preserve">to the cruder lignocellulosic biomass. </w:t>
      </w:r>
      <w:r w:rsidR="000A5281">
        <w:t>From an economic point of view, it is of interest to efficiently convert crude feedstock in as few steps as possible</w:t>
      </w:r>
      <w:r w:rsidRPr="00566724">
        <w:t xml:space="preserve"> to products that can be readily purified, especially in the case of potential bulk chemicals.</w:t>
      </w:r>
      <w:r w:rsidR="000A5281">
        <w:t xml:space="preserve"> </w:t>
      </w:r>
      <w:r w:rsidR="000A5281">
        <w:rPr>
          <w:lang w:val="en-GB"/>
        </w:rPr>
        <w:t>Therefore,</w:t>
      </w:r>
      <w:r w:rsidR="00CA1261" w:rsidRPr="00566724">
        <w:rPr>
          <w:lang w:val="en-GB"/>
        </w:rPr>
        <w:t xml:space="preserve"> a wealth of research has been </w:t>
      </w:r>
      <w:r w:rsidR="00D30DB4">
        <w:rPr>
          <w:lang w:val="en-GB"/>
        </w:rPr>
        <w:t>dedicated</w:t>
      </w:r>
      <w:r w:rsidR="00CA1261" w:rsidRPr="00566724">
        <w:rPr>
          <w:lang w:val="en-GB"/>
        </w:rPr>
        <w:t xml:space="preserve"> </w:t>
      </w:r>
      <w:r w:rsidR="00D30DB4">
        <w:rPr>
          <w:lang w:val="en-GB"/>
        </w:rPr>
        <w:t>to</w:t>
      </w:r>
      <w:r w:rsidR="00CA1261" w:rsidRPr="00566724">
        <w:rPr>
          <w:lang w:val="en-GB"/>
        </w:rPr>
        <w:t xml:space="preserve"> the conversion of carbohydrates to </w:t>
      </w:r>
      <w:proofErr w:type="spellStart"/>
      <w:r w:rsidR="00CA1261" w:rsidRPr="00566724">
        <w:rPr>
          <w:lang w:val="en-GB"/>
        </w:rPr>
        <w:t>furanics</w:t>
      </w:r>
      <w:proofErr w:type="spellEnd"/>
      <w:r w:rsidR="00CA1261" w:rsidRPr="00566724">
        <w:rPr>
          <w:lang w:val="en-GB"/>
        </w:rPr>
        <w:t xml:space="preserve">, </w:t>
      </w:r>
      <w:r w:rsidR="00D30DB4">
        <w:rPr>
          <w:lang w:val="en-GB"/>
        </w:rPr>
        <w:t>like</w:t>
      </w:r>
      <w:r w:rsidR="004635DB">
        <w:rPr>
          <w:lang w:val="en-GB"/>
        </w:rPr>
        <w:t xml:space="preserve"> furfural, </w:t>
      </w:r>
      <w:r w:rsidR="00D30DB4">
        <w:rPr>
          <w:lang w:val="en-GB"/>
        </w:rPr>
        <w:t xml:space="preserve">2-methylfuran </w:t>
      </w:r>
      <w:r w:rsidR="00D30DB4">
        <w:rPr>
          <w:lang w:val="en-GB"/>
        </w:rPr>
        <w:fldChar w:fldCharType="begin" w:fldLock="1"/>
      </w:r>
      <w:r w:rsidR="00D30DB4">
        <w:rPr>
          <w:lang w:val="en-GB"/>
        </w:rPr>
        <w:instrText>ADDIN CSL_CITATION {"citationItems":[{"id":"ITEM-1","itemData":{"DOI":"10.1016/j.cherd.2023.08.010","ISSN":"02638762","author":[{"dropping-particle":"","family":"Giorgianni","given":"Gianfranco","non-dropping-particle":"","parse-names":false,"suffix":""},{"dropping-particle":"","family":"Perathoner","given":"Siglinda","non-dropping-particle":"","parse-names":false,"suffix":""},{"dropping-particle":"","family":"Centi","given":"Gabriele","non-dropping-particle":"","parse-names":false,"suffix":""},{"dropping-particle":"","family":"Soo-Tang","given":"Siu-Ha","non-dropping-particle":"","parse-names":false,"suffix":""},{"dropping-particle":"","family":"Jong","given":"Ed","non-dropping-particle":"de","parse-names":false,"suffix":""},{"dropping-particle":"","family":"Waal","given":"Jan C.","non-dropping-particle":"van der","parse-names":false,"suffix":""},{"dropping-particle":"","family":"Abate","given":"Salvatore","non-dropping-particle":"","parse-names":false,"suffix":""}],"container-title":"Chemical Engineering Research and Design","id":"ITEM-1","issued":{"date-parts":[["2023","9"]]},"page":"968-983","title":"Exploring the hydrogenation of furfural in the liquid phase by high-throughput screening of commercial catalysts: Effects of temperature, solvents, and promoters on the production of 2-methylfuran","type":"article-journal","volume":"197"},"uris":["http://www.mendeley.com/documents/?uuid=9beb8165-05a3-4e22-a45e-9c03cacceeb9"]}],"mendeley":{"formattedCitation":"(Giorgianni et al., 2023)","plainTextFormattedCitation":"(Giorgianni et al., 2023)","previouslyFormattedCitation":"(Giorgianni et al., 2023)"},"properties":{"noteIndex":0},"schema":"https://github.com/citation-style-language/schema/raw/master/csl-citation.json"}</w:instrText>
      </w:r>
      <w:r w:rsidR="00D30DB4">
        <w:rPr>
          <w:lang w:val="en-GB"/>
        </w:rPr>
        <w:fldChar w:fldCharType="separate"/>
      </w:r>
      <w:r w:rsidR="00D30DB4" w:rsidRPr="00D30DB4">
        <w:rPr>
          <w:noProof/>
          <w:lang w:val="en-GB"/>
        </w:rPr>
        <w:t>(Giorgianni et al., 2023)</w:t>
      </w:r>
      <w:r w:rsidR="00D30DB4">
        <w:rPr>
          <w:lang w:val="en-GB"/>
        </w:rPr>
        <w:fldChar w:fldCharType="end"/>
      </w:r>
      <w:r w:rsidR="00D30DB4">
        <w:rPr>
          <w:lang w:val="en-GB"/>
        </w:rPr>
        <w:t xml:space="preserve">, and </w:t>
      </w:r>
      <w:r w:rsidR="00CA1261" w:rsidRPr="00566724">
        <w:rPr>
          <w:lang w:val="en-GB"/>
        </w:rPr>
        <w:t>especially 5-hydroxymethylfurfural (HMF</w:t>
      </w:r>
      <w:r w:rsidR="00585C0D">
        <w:rPr>
          <w:lang w:val="en-GB"/>
        </w:rPr>
        <w:t xml:space="preserve">, </w:t>
      </w:r>
      <w:r w:rsidR="00585C0D">
        <w:rPr>
          <w:lang w:val="en-GB"/>
        </w:rPr>
        <w:fldChar w:fldCharType="begin"/>
      </w:r>
      <w:r w:rsidR="00585C0D">
        <w:rPr>
          <w:lang w:val="en-GB"/>
        </w:rPr>
        <w:instrText xml:space="preserve"> REF _Ref154850675 \h </w:instrText>
      </w:r>
      <w:r w:rsidR="00585C0D">
        <w:rPr>
          <w:lang w:val="en-GB"/>
        </w:rPr>
      </w:r>
      <w:r w:rsidR="00585C0D">
        <w:rPr>
          <w:lang w:val="en-GB"/>
        </w:rPr>
        <w:fldChar w:fldCharType="separate"/>
      </w:r>
      <w:r w:rsidR="00585C0D">
        <w:t xml:space="preserve">Scheme </w:t>
      </w:r>
      <w:r w:rsidR="00585C0D">
        <w:rPr>
          <w:noProof/>
        </w:rPr>
        <w:t>1</w:t>
      </w:r>
      <w:r w:rsidR="00585C0D">
        <w:rPr>
          <w:lang w:val="en-GB"/>
        </w:rPr>
        <w:fldChar w:fldCharType="end"/>
      </w:r>
      <w:r w:rsidR="00585C0D">
        <w:rPr>
          <w:lang w:val="en-GB"/>
        </w:rPr>
        <w:t>a</w:t>
      </w:r>
      <w:r w:rsidR="00CA1261" w:rsidRPr="00566724">
        <w:rPr>
          <w:lang w:val="en-GB"/>
        </w:rPr>
        <w:t>)</w:t>
      </w:r>
      <w:r w:rsidR="00CA1261" w:rsidRPr="00566724">
        <w:t xml:space="preserve"> </w:t>
      </w:r>
      <w:r w:rsidR="00CA1261" w:rsidRPr="00566724">
        <w:fldChar w:fldCharType="begin" w:fldLock="1"/>
      </w:r>
      <w:r w:rsidR="00D30DB4">
        <w:instrText>ADDIN CSL_CITATION {"citationItems":[{"id":"ITEM-1","itemData":{"DOI":"10.1021/cr300182k","ISBN":"0009-2665","ISSN":"0009-2665","PMID":"23394139","abstract":"A review. Relevance of hydroxymethylfurfural as platform chem. and nutritional and toxicol. aspects of hydroxymethylfurfural and its derivs. are discussed. [on SciFinder(R)]","author":[{"dropping-particle":"","family":"Putten","given":"Robert-Jan","non-dropping-particle":"van","parse-names":false,"suffix":""},{"dropping-particle":"","family":"Waal","given":"Jan C.","non-dropping-particle":"van der","parse-names":false,"suffix":""},{"dropping-particle":"","family":"Jong","given":"Ed","non-dropping-particle":"de","parse-names":false,"suffix":""},{"dropping-particle":"","family":"Rasrendra","given":"Carolus B.","non-dropping-particle":"","parse-names":false,"suffix":""},{"dropping-particle":"","family":"Heeres","given":"Hero J.","non-dropping-particle":"","parse-names":false,"suffix":""},{"dropping-particle":"","family":"Vries","given":"Johannes G.","non-dropping-particle":"de","parse-names":false,"suffix":""}],"container-title":"Chemical Reviews","id":"ITEM-1","issue":"3","issued":{"date-parts":[["2013","3","13"]]},"page":"1499-1597","title":"Hydroxymethylfurfural, A Versatile Platform Chemical Made from Renewable Resources","type":"article-journal","volume":"113"},"uris":["http://www.mendeley.com/documents/?uuid=21d7db80-bd64-4d73-ba4b-bc918bc51fd6"]}],"mendeley":{"formattedCitation":"(van Putten et al., 2013)","plainTextFormattedCitation":"(van Putten et al., 2013)","previouslyFormattedCitation":"(van Putten et al., 2013)"},"properties":{"noteIndex":0},"schema":"https://github.com/citation-style-language/schema/raw/master/csl-citation.json"}</w:instrText>
      </w:r>
      <w:r w:rsidR="00CA1261" w:rsidRPr="00566724">
        <w:fldChar w:fldCharType="separate"/>
      </w:r>
      <w:r w:rsidR="00D30DB4" w:rsidRPr="00D30DB4">
        <w:rPr>
          <w:noProof/>
        </w:rPr>
        <w:t>(van Putten et al., 2013)</w:t>
      </w:r>
      <w:r w:rsidR="00CA1261" w:rsidRPr="00566724">
        <w:fldChar w:fldCharType="end"/>
      </w:r>
      <w:r w:rsidR="00CA1261" w:rsidRPr="00566724">
        <w:t>.</w:t>
      </w:r>
    </w:p>
    <w:p w14:paraId="58ECAFAC" w14:textId="5287D2A8" w:rsidR="00CA1261" w:rsidRPr="00566724" w:rsidRDefault="00CA1261" w:rsidP="00566724">
      <w:pPr>
        <w:pStyle w:val="CETBodytext"/>
      </w:pPr>
      <w:r w:rsidRPr="00566724">
        <w:t>HMF is a high-potential bio</w:t>
      </w:r>
      <w:r w:rsidR="006E273B">
        <w:t>-</w:t>
      </w:r>
      <w:r w:rsidRPr="00566724">
        <w:t xml:space="preserve">based building block </w:t>
      </w:r>
      <w:r w:rsidRPr="00566724">
        <w:rPr>
          <w:lang w:val="it-IT" w:eastAsia="it-IT"/>
        </w:rPr>
        <w:fldChar w:fldCharType="begin" w:fldLock="1"/>
      </w:r>
      <w:r w:rsidR="00D30DB4">
        <w:rPr>
          <w:lang w:eastAsia="it-IT"/>
        </w:rPr>
        <w:instrText>ADDIN CSL_CITATION {"citationItems":[{"id":"ITEM-1","itemData":{"abstract":"The application describes a method for the preparation of 2.5-furandicarboxyylic acid (FDCA) and/or an alkyl ester of FDCA comprising the step of contacting a feed comprising a starting material selected from 5-alkoxymethylfurfural, 2,5-di(alkoxymethyl)furan and a mixture thereof with an oxidant in the presence of an oxidation catalys. The feed also comprise 5-hydroxymethylfurfural as a further starting material.","author":[{"dropping-particle":"","family":"Munoz De Diego","given":"Cesar","non-dropping-particle":"","parse-names":false,"suffix":""},{"dropping-particle":"","family":"Schammel","given":"Wayne","non-dropping-particle":"","parse-names":false,"suffix":""},{"dropping-particle":"","family":"Dam","given":"Matheus Adrianus","non-dropping-particle":"","parse-names":false,"suffix":""},{"dropping-particle":"","family":"Gruter","given":"Gerardus Johannes Maria","non-dropping-particle":"","parse-names":false,"suffix":""}],"id":"ITEM-1","issue":"12","issued":{"date-parts":[["2011"]]},"number":"PCT/NL2010/050653, WO2011043660","page":"20","publisher-place":"International","title":"Method for the preparation of 2,5-furandicarboxylic acid and esters thereof","type":"patent","volume":"2"},"uris":["http://www.mendeley.com/documents/?uuid=b613f5ba-b46f-49a9-bcd5-5a946238f3a6"]},{"id":"ITEM-2","itemData":{"DOI":"10.2172/15008859","author":[{"dropping-particle":"","family":"Werpy","given":"T","non-dropping-particle":"","parse-names":false,"suffix":""},{"dropping-particle":"","family":"Petersen","given":"G","non-dropping-particle":"","parse-names":false,"suffix":""}],"id":"ITEM-2","issued":{"date-parts":[["2004","8","1"]]},"publisher-place":"Golden, CO (United States)","title":"Top Value Added Chemicals from Biomass: Volume I -- Results of Screening for Potential Candidates from Sugars and Synthesis Gas","type":"report"},"uris":["http://www.mendeley.com/documents/?uuid=02356d60-15c7-404b-b5bd-98ea5543da98"]}],"mendeley":{"formattedCitation":"(Munoz De Diego et al., 2011; Werpy &amp; Petersen, 2004)","plainTextFormattedCitation":"(Munoz De Diego et al., 2011; Werpy &amp; Petersen, 2004)","previouslyFormattedCitation":"(Munoz De Diego et al., 2011; Werpy &amp; Petersen, 2004)"},"properties":{"noteIndex":0},"schema":"https://github.com/citation-style-language/schema/raw/master/csl-citation.json"}</w:instrText>
      </w:r>
      <w:r w:rsidRPr="00566724">
        <w:rPr>
          <w:lang w:val="it-IT" w:eastAsia="it-IT"/>
        </w:rPr>
        <w:fldChar w:fldCharType="separate"/>
      </w:r>
      <w:r w:rsidR="00D30DB4" w:rsidRPr="00D30DB4">
        <w:rPr>
          <w:noProof/>
          <w:lang w:eastAsia="it-IT"/>
        </w:rPr>
        <w:t>(Munoz De Diego et al., 2011; Werpy &amp; Petersen, 2004)</w:t>
      </w:r>
      <w:r w:rsidRPr="00566724">
        <w:rPr>
          <w:lang w:val="it-IT" w:eastAsia="it-IT"/>
        </w:rPr>
        <w:fldChar w:fldCharType="end"/>
      </w:r>
      <w:r w:rsidRPr="00566724">
        <w:rPr>
          <w:lang w:val="en-GB" w:eastAsia="it-IT"/>
        </w:rPr>
        <w:t xml:space="preserve">. </w:t>
      </w:r>
      <w:r w:rsidRPr="00566724">
        <w:rPr>
          <w:lang w:val="en-GB"/>
        </w:rPr>
        <w:t xml:space="preserve">It can </w:t>
      </w:r>
      <w:r w:rsidR="000A5281">
        <w:rPr>
          <w:lang w:val="en-GB"/>
        </w:rPr>
        <w:t>readily oxidize to 2,5-furandicarboxylic acid (FDCA, Scheme 1.1b), a key polyester and polyamide production monomer</w:t>
      </w:r>
      <w:r w:rsidR="00D30DB4">
        <w:rPr>
          <w:lang w:val="en-GB"/>
        </w:rPr>
        <w:t>.</w:t>
      </w:r>
      <w:r w:rsidR="00D30DB4" w:rsidRPr="00D30DB4">
        <w:t xml:space="preserve"> </w:t>
      </w:r>
      <w:r w:rsidR="00D30DB4" w:rsidRPr="00D30DB4">
        <w:rPr>
          <w:lang w:val="en-GB"/>
        </w:rPr>
        <w:t xml:space="preserve">However, efficiently yielding HMF from sugars </w:t>
      </w:r>
      <w:r w:rsidR="00D30DB4">
        <w:rPr>
          <w:lang w:val="en-GB"/>
        </w:rPr>
        <w:t xml:space="preserve">or other crude feedstocks </w:t>
      </w:r>
      <w:r w:rsidR="00D30DB4" w:rsidRPr="00D30DB4">
        <w:rPr>
          <w:lang w:val="en-GB"/>
        </w:rPr>
        <w:t xml:space="preserve">remains challenging, often requiring complex solvent systems </w:t>
      </w:r>
      <w:r w:rsidRPr="00566724">
        <w:rPr>
          <w:lang w:val="en-GB"/>
        </w:rPr>
        <w:t xml:space="preserve">(ionic liquids, aprotic polar solvents) </w:t>
      </w:r>
      <w:r w:rsidRPr="00566724">
        <w:fldChar w:fldCharType="begin" w:fldLock="1"/>
      </w:r>
      <w:r w:rsidR="00D30DB4">
        <w:instrText>ADDIN CSL_CITATION {"citationItems":[{"id":"ITEM-1","itemData":{"DOI":"10.1021/cr300182k","ISBN":"0009-2665","ISSN":"0009-2665","PMID":"23394139","abstract":"A review. Relevance of hydroxymethylfurfural as platform chem. and nutritional and toxicol. aspects of hydroxymethylfurfural and its derivs. are discussed. [on SciFinder(R)]","author":[{"dropping-particle":"","family":"Putten","given":"Robert-Jan","non-dropping-particle":"van","parse-names":false,"suffix":""},{"dropping-particle":"","family":"Waal","given":"Jan C.","non-dropping-particle":"van der","parse-names":false,"suffix":""},{"dropping-particle":"","family":"Jong","given":"Ed","non-dropping-particle":"de","parse-names":false,"suffix":""},{"dropping-particle":"","family":"Rasrendra","given":"Carolus B.","non-dropping-particle":"","parse-names":false,"suffix":""},{"dropping-particle":"","family":"Heeres","given":"Hero J.","non-dropping-particle":"","parse-names":false,"suffix":""},{"dropping-particle":"","family":"Vries","given":"Johannes G.","non-dropping-particle":"de","parse-names":false,"suffix":""}],"container-title":"Chemical Reviews","id":"ITEM-1","issue":"3","issued":{"date-parts":[["2013","3","13"]]},"page":"1499-1597","title":"Hydroxymethylfurfural, A Versatile Platform Chemical Made from Renewable Resources","type":"article-journal","volume":"113"},"uris":["http://www.mendeley.com/documents/?uuid=21d7db80-bd64-4d73-ba4b-bc918bc51fd6"]}],"mendeley":{"formattedCitation":"(van Putten et al., 2013)","plainTextFormattedCitation":"(van Putten et al., 2013)","previouslyFormattedCitation":"(van Putten et al., 2013)"},"properties":{"noteIndex":0},"schema":"https://github.com/citation-style-language/schema/raw/master/csl-citation.json"}</w:instrText>
      </w:r>
      <w:r w:rsidRPr="00566724">
        <w:fldChar w:fldCharType="separate"/>
      </w:r>
      <w:r w:rsidR="00D30DB4" w:rsidRPr="00D30DB4">
        <w:rPr>
          <w:noProof/>
        </w:rPr>
        <w:t>(van Putten et al., 2013)</w:t>
      </w:r>
      <w:r w:rsidRPr="00566724">
        <w:fldChar w:fldCharType="end"/>
      </w:r>
      <w:r w:rsidRPr="00566724">
        <w:t>.</w:t>
      </w:r>
      <w:r w:rsidRPr="00566724">
        <w:rPr>
          <w:lang w:val="en-GB"/>
        </w:rPr>
        <w:t xml:space="preserve"> </w:t>
      </w:r>
      <w:r w:rsidR="00D30DB4" w:rsidRPr="00D30DB4">
        <w:t xml:space="preserve">A novel approach involves using 5-chloromethylfurfural (CMF) </w:t>
      </w:r>
      <w:r w:rsidR="00D30DB4">
        <w:t>as an intermediate (</w:t>
      </w:r>
      <w:r w:rsidR="00D30DB4">
        <w:rPr>
          <w:lang w:val="en-GB"/>
        </w:rPr>
        <w:fldChar w:fldCharType="begin"/>
      </w:r>
      <w:r w:rsidR="00D30DB4">
        <w:rPr>
          <w:lang w:val="en-GB"/>
        </w:rPr>
        <w:instrText xml:space="preserve"> REF _Ref154850675 \h </w:instrText>
      </w:r>
      <w:r w:rsidR="00D30DB4">
        <w:rPr>
          <w:lang w:val="en-GB"/>
        </w:rPr>
      </w:r>
      <w:r w:rsidR="00D30DB4">
        <w:rPr>
          <w:lang w:val="en-GB"/>
        </w:rPr>
        <w:fldChar w:fldCharType="separate"/>
      </w:r>
      <w:r w:rsidR="00D30DB4">
        <w:t xml:space="preserve">Scheme </w:t>
      </w:r>
      <w:r w:rsidR="00D30DB4">
        <w:rPr>
          <w:noProof/>
        </w:rPr>
        <w:t>1</w:t>
      </w:r>
      <w:r w:rsidR="00D30DB4">
        <w:rPr>
          <w:lang w:val="en-GB"/>
        </w:rPr>
        <w:fldChar w:fldCharType="end"/>
      </w:r>
      <w:r w:rsidR="00D30DB4">
        <w:rPr>
          <w:lang w:val="en-GB"/>
        </w:rPr>
        <w:t>.1e-f)</w:t>
      </w:r>
      <w:r w:rsidR="00D30DB4" w:rsidRPr="00D30DB4">
        <w:t xml:space="preserve">, a hydrophobic HMF analog, more amenable to isolation and obtainable from cellulosic biomass using a hydrochloric acid biphasic system </w:t>
      </w:r>
      <w:r w:rsidR="00D30DB4">
        <w:t>(</w:t>
      </w:r>
      <w:r w:rsidR="00D30DB4">
        <w:rPr>
          <w:lang w:val="en-GB"/>
        </w:rPr>
        <w:fldChar w:fldCharType="begin"/>
      </w:r>
      <w:r w:rsidR="00D30DB4">
        <w:rPr>
          <w:lang w:val="en-GB"/>
        </w:rPr>
        <w:instrText xml:space="preserve"> REF _Ref154850675 \h </w:instrText>
      </w:r>
      <w:r w:rsidR="00D30DB4">
        <w:rPr>
          <w:lang w:val="en-GB"/>
        </w:rPr>
      </w:r>
      <w:r w:rsidR="00D30DB4">
        <w:rPr>
          <w:lang w:val="en-GB"/>
        </w:rPr>
        <w:fldChar w:fldCharType="separate"/>
      </w:r>
      <w:r w:rsidR="00D30DB4">
        <w:t xml:space="preserve">Scheme </w:t>
      </w:r>
      <w:r w:rsidR="00D30DB4">
        <w:rPr>
          <w:noProof/>
        </w:rPr>
        <w:t>1</w:t>
      </w:r>
      <w:r w:rsidR="00D30DB4">
        <w:rPr>
          <w:lang w:val="en-GB"/>
        </w:rPr>
        <w:fldChar w:fldCharType="end"/>
      </w:r>
      <w:r w:rsidR="00D30DB4">
        <w:rPr>
          <w:lang w:val="en-GB"/>
        </w:rPr>
        <w:t>.1c)</w:t>
      </w:r>
      <w:r w:rsidR="00D30DB4">
        <w:t xml:space="preserve"> </w:t>
      </w:r>
      <w:r w:rsidR="00D30DB4">
        <w:fldChar w:fldCharType="begin" w:fldLock="1"/>
      </w:r>
      <w:r w:rsidR="00D30DB4">
        <w:instrText>ADDIN CSL_CITATION {"citationItems":[{"id":"ITEM-1","itemData":{"DOI":"10.1039/C2GC36290B","ISSN":"1463-9262","abstract":"EPA's Green Chemistry Program; including definition of green chemistry and description of the program's mission and activities","author":[{"dropping-particle":"","family":"Breeden","given":"S. W.","non-dropping-particle":"","parse-names":false,"suffix":""},{"dropping-particle":"","family":"Clark","given":"J. H.","non-dropping-particle":"","parse-names":false,"suffix":""},{"dropping-particle":"","family":"Farmer","given":"T. J.","non-dropping-particle":"","parse-names":false,"suffix":""},{"dropping-particle":"","family":"Macquarrie","given":"D. J.","non-dropping-particle":"","parse-names":false,"suffix":""},{"dropping-particle":"","family":"Meimoun","given":"J. S.","non-dropping-particle":"","parse-names":false,"suffix":""},{"dropping-particle":"","family":"Nonne","given":"Y.","non-dropping-particle":"","parse-names":false,"suffix":""},{"dropping-particle":"","family":"Reid","given":"J. E. S. J.","non-dropping-particle":"","parse-names":false,"suffix":""}],"container-title":"Green Chem.","id":"ITEM-1","issue":"1","issued":{"date-parts":[["2013"]]},"page":"72-75","title":"Microwave heating for rapid conversion of sugars and polysaccharides to 5-chloromethyl furfural","type":"article-journal","volume":"15"},"uris":["http://www.mendeley.com/documents/?uuid=b28abc01-38d3-4d2f-9c02-7bd6eccec876"]},{"id":"ITEM-2","itemData":{"DOI":"10.1002/cssc.200900136","ISBN":"1864-564X","ISSN":"18645631","PMID":"19725092","abstract":"Process upgrades are described for conversion of saccharides into chem. feedstock and biofuel precursor 5-(chloromethyl)furfural (CMF), which attain an order of magnitude acceleration of the reaction rate and &gt;20-fold redn. in extn. solvent usage. The original process is based on conversion using a biphasic reactor and aq. HCl as hydrolysis reagent. The product extn. protocol was identified as a key variable for optimization. The process improvements also include elimination of the use of LiCl as cellulose swelling agent ; increased substrate loading of up to 10 %; improvement of CMF yield from sugars, cellulose, and corn stover to &gt;80% by exclusion of side products. The method was extended to chitin as feedstock. [on SciFinder(R)]","author":[{"dropping-particle":"","family":"Mascal","given":"Mark","non-dropping-particle":"","parse-names":false,"suffix":""},{"dropping-particle":"","family":"Nikitin","given":"Edward B.","non-dropping-particle":"","parse-names":false,"suffix":""}],"container-title":"ChemSusChem","id":"ITEM-2","issue":"9","issued":{"date-parts":[["2009"]]},"page":"859-861","title":"Dramatic advancements in the saccharide to 5-(chloromethyl)furfural conversion reaction","type":"article-journal","volume":"2"},"uris":["http://www.mendeley.com/documents/?uuid=586b12e9-9ef1-4607-81ed-b59de84afb83"]}],"mendeley":{"formattedCitation":"(Breeden et al., 2013; Mascal &amp; Nikitin, 2009)","plainTextFormattedCitation":"(Breeden et al., 2013; Mascal &amp; Nikitin, 2009)"},"properties":{"noteIndex":0},"schema":"https://github.com/citation-style-language/schema/raw/master/csl-citation.json"}</w:instrText>
      </w:r>
      <w:r w:rsidR="00D30DB4">
        <w:fldChar w:fldCharType="separate"/>
      </w:r>
      <w:r w:rsidR="00D30DB4" w:rsidRPr="00D30DB4">
        <w:rPr>
          <w:noProof/>
        </w:rPr>
        <w:t>(Breeden et al., 2013; Mascal &amp; Nikitin, 2009)</w:t>
      </w:r>
      <w:r w:rsidR="00D30DB4">
        <w:fldChar w:fldCharType="end"/>
      </w:r>
      <w:r w:rsidR="00D30DB4">
        <w:t>.</w:t>
      </w:r>
      <w:r w:rsidRPr="00566724">
        <w:t xml:space="preserve"> </w:t>
      </w:r>
    </w:p>
    <w:p w14:paraId="031731D7" w14:textId="19296196" w:rsidR="00373F10" w:rsidRDefault="00D57AB4" w:rsidP="00373F10">
      <w:pPr>
        <w:pStyle w:val="CETBodytext"/>
      </w:pPr>
      <w:r w:rsidRPr="00D57AB4">
        <w:rPr>
          <w:lang w:val="en-GB"/>
        </w:rPr>
        <w:t>CMF's</w:t>
      </w:r>
      <w:r w:rsidR="0016757A">
        <w:rPr>
          <w:lang w:val="en-GB"/>
        </w:rPr>
        <w:t xml:space="preserve"> susceptibility </w:t>
      </w:r>
      <w:r w:rsidRPr="00D57AB4">
        <w:rPr>
          <w:lang w:val="en-GB"/>
        </w:rPr>
        <w:t>to</w:t>
      </w:r>
      <w:r w:rsidR="0016757A">
        <w:rPr>
          <w:lang w:val="en-GB"/>
        </w:rPr>
        <w:t xml:space="preserve">ward </w:t>
      </w:r>
      <w:r w:rsidRPr="00D57AB4">
        <w:rPr>
          <w:lang w:val="en-GB"/>
        </w:rPr>
        <w:t>nucleophilic substitution reactions</w:t>
      </w:r>
      <w:r w:rsidR="0016757A" w:rsidRPr="00D57AB4">
        <w:rPr>
          <w:lang w:val="en-GB"/>
        </w:rPr>
        <w:t xml:space="preserve"> in</w:t>
      </w:r>
      <w:r w:rsidR="0016757A">
        <w:rPr>
          <w:lang w:val="en-GB"/>
        </w:rPr>
        <w:t xml:space="preserve"> water or</w:t>
      </w:r>
      <w:r w:rsidR="0016757A" w:rsidRPr="00D57AB4">
        <w:rPr>
          <w:lang w:val="en-GB"/>
        </w:rPr>
        <w:t xml:space="preserve"> alcohol</w:t>
      </w:r>
      <w:r w:rsidRPr="00D57AB4">
        <w:rPr>
          <w:lang w:val="en-GB"/>
        </w:rPr>
        <w:t xml:space="preserve"> prompts its conversion to various compounds, including </w:t>
      </w:r>
      <w:r w:rsidR="0016757A">
        <w:rPr>
          <w:lang w:val="en-GB"/>
        </w:rPr>
        <w:t xml:space="preserve">HMF and </w:t>
      </w:r>
      <w:r w:rsidRPr="00D57AB4">
        <w:rPr>
          <w:lang w:val="en-GB"/>
        </w:rPr>
        <w:t>5-alkoxymethylfurfurals</w:t>
      </w:r>
      <w:r>
        <w:rPr>
          <w:lang w:val="en-GB"/>
        </w:rPr>
        <w:t xml:space="preserve"> </w:t>
      </w:r>
      <w:r>
        <w:t>(</w:t>
      </w:r>
      <w:r>
        <w:rPr>
          <w:lang w:val="en-GB"/>
        </w:rPr>
        <w:fldChar w:fldCharType="begin"/>
      </w:r>
      <w:r>
        <w:rPr>
          <w:lang w:val="en-GB"/>
        </w:rPr>
        <w:instrText xml:space="preserve"> REF _Ref154850675 \h </w:instrText>
      </w:r>
      <w:r>
        <w:rPr>
          <w:lang w:val="en-GB"/>
        </w:rPr>
      </w:r>
      <w:r>
        <w:rPr>
          <w:lang w:val="en-GB"/>
        </w:rPr>
        <w:fldChar w:fldCharType="separate"/>
      </w:r>
      <w:r>
        <w:t xml:space="preserve">Scheme </w:t>
      </w:r>
      <w:r>
        <w:rPr>
          <w:noProof/>
        </w:rPr>
        <w:t>1</w:t>
      </w:r>
      <w:r>
        <w:rPr>
          <w:lang w:val="en-GB"/>
        </w:rPr>
        <w:fldChar w:fldCharType="end"/>
      </w:r>
      <w:r>
        <w:rPr>
          <w:lang w:val="en-GB"/>
        </w:rPr>
        <w:t xml:space="preserve">.1d-e) </w:t>
      </w:r>
      <w:r w:rsidR="00566724" w:rsidRPr="00566724">
        <w:fldChar w:fldCharType="begin" w:fldLock="1"/>
      </w:r>
      <w:r w:rsidR="00D30DB4">
        <w:instrText>ADDIN CSL_CITATION {"citationItems":[{"id":"ITEM-1","itemData":{"DOI":"10.1002/anie.200801594","ISBN":"1521-3773","ISSN":"14337851","PMID":"18671312","abstract":"(Chemical Equation Presented) Fueling up with furans: Cellulose can be converted into furanic biofuels in unprecedented yields using an inexpensive, simple process involving concurrent hydrolysis, dehydration, and chlorine substitution reactions coupled with continuous extraction into an organic phase (see scheme). Furanic ethers, such as those that can be derived from the products above, are known diesel additives. © 2008 Wiley-VCH Verlag GmbH &amp; Co. KGaA.","author":[{"dropping-particle":"","family":"Mascal","given":"Mark","non-dropping-particle":"","parse-names":false,"suffix":""},{"dropping-particle":"","family":"Nikitin","given":"Edward B.","non-dropping-particle":"","parse-names":false,"suffix":""}],"container-title":"Angewandte Chemie - International Edition","id":"ITEM-1","issue":"41","issued":{"date-parts":[["2008"]]},"page":"7924-7926","title":"Direct, high-yield conversion of cellulose into biofuel","type":"article-journal","volume":"47"},"uris":["http://www.mendeley.com/documents/?uuid=5dacc267-e629-4db1-b55a-22b38dbd8b34"]}],"mendeley":{"formattedCitation":"(Mascal &amp; Nikitin, 2008)","plainTextFormattedCitation":"(Mascal &amp; Nikitin, 2008)","previouslyFormattedCitation":"(Mascal &amp; Nikitin, 2008)"},"properties":{"noteIndex":0},"schema":"https://github.com/citation-style-language/schema/raw/master/csl-citation.json"}</w:instrText>
      </w:r>
      <w:r w:rsidR="00566724" w:rsidRPr="00566724">
        <w:fldChar w:fldCharType="separate"/>
      </w:r>
      <w:r w:rsidR="00D30DB4" w:rsidRPr="00D30DB4">
        <w:rPr>
          <w:noProof/>
        </w:rPr>
        <w:t>(Mascal &amp; Nikitin, 2008)</w:t>
      </w:r>
      <w:r w:rsidR="00566724" w:rsidRPr="00566724">
        <w:fldChar w:fldCharType="end"/>
      </w:r>
      <w:r w:rsidR="00566724" w:rsidRPr="00566724">
        <w:t>.</w:t>
      </w:r>
      <w:r>
        <w:t xml:space="preserve"> </w:t>
      </w:r>
      <w:r w:rsidR="00B37E2F" w:rsidRPr="00B37E2F">
        <w:rPr>
          <w:lang w:val="en-GB"/>
        </w:rPr>
        <w:t xml:space="preserve">These reactions release hydrochloric acid, </w:t>
      </w:r>
      <w:r w:rsidR="0016757A">
        <w:rPr>
          <w:lang w:val="en-GB"/>
        </w:rPr>
        <w:t xml:space="preserve">which in water </w:t>
      </w:r>
      <w:r w:rsidR="00B37E2F" w:rsidRPr="00B37E2F">
        <w:rPr>
          <w:lang w:val="en-GB"/>
        </w:rPr>
        <w:t>lead</w:t>
      </w:r>
      <w:r w:rsidR="0016757A">
        <w:rPr>
          <w:lang w:val="en-GB"/>
        </w:rPr>
        <w:t>s</w:t>
      </w:r>
      <w:r w:rsidR="00B37E2F" w:rsidRPr="00B37E2F">
        <w:rPr>
          <w:lang w:val="en-GB"/>
        </w:rPr>
        <w:t xml:space="preserve"> to </w:t>
      </w:r>
      <w:r w:rsidR="00B37E2F">
        <w:rPr>
          <w:lang w:val="en-GB"/>
        </w:rPr>
        <w:t>by-</w:t>
      </w:r>
      <w:r w:rsidR="00B37E2F" w:rsidRPr="00B37E2F">
        <w:rPr>
          <w:lang w:val="en-GB"/>
        </w:rPr>
        <w:t xml:space="preserve">products like levulinic acid (LA) and formic acid (FA) </w:t>
      </w:r>
      <w:r w:rsidR="00373F10">
        <w:t>(</w:t>
      </w:r>
      <w:r w:rsidR="00373F10">
        <w:rPr>
          <w:lang w:val="en-GB"/>
        </w:rPr>
        <w:fldChar w:fldCharType="begin"/>
      </w:r>
      <w:r w:rsidR="00373F10">
        <w:rPr>
          <w:lang w:val="en-GB"/>
        </w:rPr>
        <w:instrText xml:space="preserve"> REF _Ref154850675 \h </w:instrText>
      </w:r>
      <w:r w:rsidR="00373F10">
        <w:rPr>
          <w:lang w:val="en-GB"/>
        </w:rPr>
      </w:r>
      <w:r w:rsidR="00373F10">
        <w:rPr>
          <w:lang w:val="en-GB"/>
        </w:rPr>
        <w:fldChar w:fldCharType="separate"/>
      </w:r>
      <w:r w:rsidR="00373F10">
        <w:t xml:space="preserve">Scheme </w:t>
      </w:r>
      <w:r w:rsidR="00373F10">
        <w:rPr>
          <w:noProof/>
        </w:rPr>
        <w:t>1</w:t>
      </w:r>
      <w:r w:rsidR="00373F10">
        <w:rPr>
          <w:lang w:val="en-GB"/>
        </w:rPr>
        <w:fldChar w:fldCharType="end"/>
      </w:r>
      <w:r w:rsidR="00373F10">
        <w:rPr>
          <w:lang w:val="en-GB"/>
        </w:rPr>
        <w:t>.1d)</w:t>
      </w:r>
      <w:r w:rsidR="00373F10" w:rsidRPr="00566724">
        <w:t xml:space="preserve"> </w:t>
      </w:r>
      <w:r w:rsidR="00566724" w:rsidRPr="00566724">
        <w:fldChar w:fldCharType="begin" w:fldLock="1"/>
      </w:r>
      <w:r w:rsidR="00D30DB4">
        <w:instrText>ADDIN CSL_CITATION {"citationItems":[{"id":"ITEM-1","itemData":{"DOI":"10.1039/b518176c","ISBN":"1463-9262","ISSN":"1463-9262","abstract":"Levulinic acid (LA), accessible by the acid catalyzed degradation of biomass, is potentially a very versatile green intermediate chemical for the synthesis of various (bulk) chemicals for applications like fuel additives, polymers, and resin precursors. We report here a kinetic study on one of the key steps in the conversion of biomass to levulinic acid, i.e. the reaction of 5-hydroxymethylfurfural (HMF) to levulinic acid. The kinetic experiments were performed in a temperature window of 98–181 uC, acid concentrations between 0.05–1 M, and initial HMF concentrations between 0.1 and 1 M. The highest LA yield was 94% (mol/mol), obtained at an initial HMF concentration of 0.1 M and a sulfuric acid concentration of 1 M. The yield at full HMF conversion is independent of the temperature. An empirical rate expression for the main reaction as well as the side reaction to undesired humins was developed using the power law approach. Agreement between experimental and model data is good. The rate expressions were applied to gain insights into optimum process conditions for batch processing.","author":[{"dropping-particle":"","family":"Girisuta","given":"B.","non-dropping-particle":"","parse-names":false,"suffix":""},{"dropping-particle":"","family":"Janssen","given":"L. P. B. M.","non-dropping-particle":"","parse-names":false,"suffix":""},{"dropping-particle":"","family":"Heeres","given":"H. J.","non-dropping-particle":"","parse-names":false,"suffix":""}],"container-title":"Green Chemistry","id":"ITEM-1","issue":"8","issued":{"date-parts":[["2006"]]},"page":"701","title":"A kinetic study on the decomposition of 5-hydroxymethylfurfural into levulinic acid","type":"article-journal","volume":"8"},"uris":["http://www.mendeley.com/documents/?uuid=a90eab45-14e7-427e-91ad-a3ac6c89fd43"]}],"mendeley":{"formattedCitation":"(Girisuta et al., 2006)","plainTextFormattedCitation":"(Girisuta et al., 2006)","previouslyFormattedCitation":"(Girisuta et al., 2006)"},"properties":{"noteIndex":0},"schema":"https://github.com/citation-style-language/schema/raw/master/csl-citation.json"}</w:instrText>
      </w:r>
      <w:r w:rsidR="00566724" w:rsidRPr="00566724">
        <w:fldChar w:fldCharType="separate"/>
      </w:r>
      <w:r w:rsidR="00D30DB4" w:rsidRPr="00D30DB4">
        <w:rPr>
          <w:noProof/>
        </w:rPr>
        <w:t>(Girisuta et al., 2006)</w:t>
      </w:r>
      <w:r w:rsidR="00566724" w:rsidRPr="00566724">
        <w:fldChar w:fldCharType="end"/>
      </w:r>
      <w:r w:rsidR="00CA1261" w:rsidRPr="00566724">
        <w:rPr>
          <w:lang w:val="en-GB"/>
        </w:rPr>
        <w:t xml:space="preserve">. </w:t>
      </w:r>
      <w:r w:rsidR="00071879">
        <w:rPr>
          <w:lang w:val="en-GB"/>
        </w:rPr>
        <w:t xml:space="preserve">However, performing the CMF </w:t>
      </w:r>
      <w:r w:rsidR="00071879" w:rsidRPr="00566724">
        <w:rPr>
          <w:lang w:val="en-GB"/>
        </w:rPr>
        <w:t xml:space="preserve">nucleophilic substitution </w:t>
      </w:r>
      <w:r w:rsidR="00071879">
        <w:rPr>
          <w:lang w:val="en-GB"/>
        </w:rPr>
        <w:t>in the presence of alcohol</w:t>
      </w:r>
      <w:r w:rsidR="00373F10">
        <w:rPr>
          <w:lang w:val="en-GB"/>
        </w:rPr>
        <w:t xml:space="preserve"> (</w:t>
      </w:r>
      <w:r w:rsidR="00373F10">
        <w:rPr>
          <w:lang w:val="en-GB"/>
        </w:rPr>
        <w:fldChar w:fldCharType="begin"/>
      </w:r>
      <w:r w:rsidR="00373F10">
        <w:rPr>
          <w:lang w:val="en-GB"/>
        </w:rPr>
        <w:instrText xml:space="preserve"> REF _Ref154850675 \h </w:instrText>
      </w:r>
      <w:r w:rsidR="00373F10">
        <w:rPr>
          <w:lang w:val="en-GB"/>
        </w:rPr>
      </w:r>
      <w:r w:rsidR="00373F10">
        <w:rPr>
          <w:lang w:val="en-GB"/>
        </w:rPr>
        <w:fldChar w:fldCharType="separate"/>
      </w:r>
      <w:r w:rsidR="00373F10">
        <w:t xml:space="preserve">Scheme </w:t>
      </w:r>
      <w:r w:rsidR="00373F10">
        <w:rPr>
          <w:noProof/>
        </w:rPr>
        <w:t>1</w:t>
      </w:r>
      <w:r w:rsidR="00373F10">
        <w:rPr>
          <w:lang w:val="en-GB"/>
        </w:rPr>
        <w:fldChar w:fldCharType="end"/>
      </w:r>
      <w:r w:rsidR="00373F10">
        <w:rPr>
          <w:lang w:val="en-GB"/>
        </w:rPr>
        <w:t>.1e)</w:t>
      </w:r>
      <w:r w:rsidR="00071879">
        <w:rPr>
          <w:lang w:val="en-GB"/>
        </w:rPr>
        <w:t>, and low amounts of water could minimize th</w:t>
      </w:r>
      <w:r w:rsidR="00CA1261" w:rsidRPr="00566724">
        <w:rPr>
          <w:lang w:val="en-GB"/>
        </w:rPr>
        <w:t xml:space="preserve">e formation of </w:t>
      </w:r>
      <w:proofErr w:type="spellStart"/>
      <w:r w:rsidR="00071879">
        <w:rPr>
          <w:lang w:val="en-GB"/>
        </w:rPr>
        <w:t>levulinics</w:t>
      </w:r>
      <w:proofErr w:type="spellEnd"/>
      <w:r w:rsidR="00CA1261" w:rsidRPr="00566724">
        <w:rPr>
          <w:lang w:val="en-GB"/>
        </w:rPr>
        <w:t>. Additionally, etherification leads to increased stability and, especially for methanol</w:t>
      </w:r>
      <w:r w:rsidR="00373F10">
        <w:rPr>
          <w:lang w:val="en-GB"/>
        </w:rPr>
        <w:t xml:space="preserve"> (MeOH)</w:t>
      </w:r>
      <w:r w:rsidR="00CA1261" w:rsidRPr="00566724">
        <w:rPr>
          <w:lang w:val="en-GB"/>
        </w:rPr>
        <w:t xml:space="preserve"> and ethanol, a lower </w:t>
      </w:r>
      <w:r w:rsidR="00CA1261" w:rsidRPr="00566724">
        <w:rPr>
          <w:lang w:val="en-GB"/>
        </w:rPr>
        <w:lastRenderedPageBreak/>
        <w:t>boiling point than for HMF</w:t>
      </w:r>
      <w:r w:rsidR="00071879">
        <w:rPr>
          <w:lang w:val="en-GB"/>
        </w:rPr>
        <w:t xml:space="preserve">, </w:t>
      </w:r>
      <w:r w:rsidR="0016757A">
        <w:rPr>
          <w:lang w:val="en-GB"/>
        </w:rPr>
        <w:t>favouring</w:t>
      </w:r>
      <w:r w:rsidR="00CA1261" w:rsidRPr="00566724">
        <w:rPr>
          <w:lang w:val="en-GB"/>
        </w:rPr>
        <w:t xml:space="preserve"> storage and work-up/purification of RMF</w:t>
      </w:r>
      <w:r w:rsidR="00071879">
        <w:rPr>
          <w:lang w:val="en-GB"/>
        </w:rPr>
        <w:t>s</w:t>
      </w:r>
      <w:r w:rsidR="00CA1261" w:rsidRPr="00566724">
        <w:rPr>
          <w:lang w:val="en-GB"/>
        </w:rPr>
        <w:t xml:space="preserve">. </w:t>
      </w:r>
      <w:r w:rsidR="00373F10">
        <w:t>The conversion of CMF in MeOH</w:t>
      </w:r>
      <w:r w:rsidR="000A5281">
        <w:rPr>
          <w:lang w:val="en-GB"/>
        </w:rPr>
        <w:t>, used</w:t>
      </w:r>
      <w:r w:rsidR="00373F10">
        <w:rPr>
          <w:lang w:val="en-GB"/>
        </w:rPr>
        <w:t xml:space="preserve"> as a reactant and solvent,</w:t>
      </w:r>
      <w:r w:rsidR="00373F10">
        <w:t xml:space="preserve"> proceed</w:t>
      </w:r>
      <w:r w:rsidR="000A5281">
        <w:t>s</w:t>
      </w:r>
      <w:r w:rsidR="00373F10">
        <w:t xml:space="preserve"> through the series of reactions represented in </w:t>
      </w:r>
      <w:bookmarkStart w:id="1" w:name="_Hlk155094713"/>
      <w:r w:rsidR="00373F10">
        <w:fldChar w:fldCharType="begin"/>
      </w:r>
      <w:r w:rsidR="00373F10">
        <w:instrText xml:space="preserve"> REF _Ref154850675 \h </w:instrText>
      </w:r>
      <w:r w:rsidR="00373F10">
        <w:fldChar w:fldCharType="separate"/>
      </w:r>
      <w:r w:rsidR="00373F10">
        <w:t xml:space="preserve">Scheme </w:t>
      </w:r>
      <w:r w:rsidR="00373F10">
        <w:rPr>
          <w:noProof/>
        </w:rPr>
        <w:t>1</w:t>
      </w:r>
      <w:r w:rsidR="00373F10">
        <w:fldChar w:fldCharType="end"/>
      </w:r>
      <w:r w:rsidR="00373F10">
        <w:t>.2</w:t>
      </w:r>
      <w:bookmarkEnd w:id="1"/>
      <w:r w:rsidR="00373F10">
        <w:fldChar w:fldCharType="begin"/>
      </w:r>
      <w:r w:rsidR="00373F10">
        <w:instrText xml:space="preserve"> REF _Ref154677453 \h </w:instrText>
      </w:r>
      <w:r w:rsidR="00373F10">
        <w:fldChar w:fldCharType="end"/>
      </w:r>
      <w:r w:rsidR="00373F10">
        <w:t>.</w:t>
      </w:r>
      <w:r w:rsidR="00373F10" w:rsidRPr="00AF6651">
        <w:t xml:space="preserve"> Apart from the expected nucleophilic substitution on the chloromethyl group</w:t>
      </w:r>
      <w:r w:rsidR="00373F10">
        <w:t>, leading to MMF (</w:t>
      </w:r>
      <w:r w:rsidR="00373F10">
        <w:fldChar w:fldCharType="begin"/>
      </w:r>
      <w:r w:rsidR="00373F10">
        <w:instrText xml:space="preserve"> REF _Ref154850675 \h </w:instrText>
      </w:r>
      <w:r w:rsidR="00373F10">
        <w:fldChar w:fldCharType="separate"/>
      </w:r>
      <w:r w:rsidR="00373F10">
        <w:t xml:space="preserve">Scheme </w:t>
      </w:r>
      <w:r w:rsidR="00373F10">
        <w:rPr>
          <w:noProof/>
        </w:rPr>
        <w:t>1</w:t>
      </w:r>
      <w:r w:rsidR="00373F10">
        <w:fldChar w:fldCharType="end"/>
      </w:r>
      <w:r w:rsidR="00373F10">
        <w:t xml:space="preserve">.2a), with subsequent elimination of HCl, both the presence of MeOH and HCl leads to the formation of acetals of </w:t>
      </w:r>
      <w:r w:rsidR="00373F10" w:rsidRPr="00AF6651">
        <w:t>CMF</w:t>
      </w:r>
      <w:r w:rsidR="00373F10">
        <w:t xml:space="preserve"> (CMFA, </w:t>
      </w:r>
      <w:r w:rsidR="00373F10">
        <w:fldChar w:fldCharType="begin"/>
      </w:r>
      <w:r w:rsidR="00373F10">
        <w:instrText xml:space="preserve"> REF _Ref154850675 \h </w:instrText>
      </w:r>
      <w:r w:rsidR="00373F10">
        <w:fldChar w:fldCharType="separate"/>
      </w:r>
      <w:r w:rsidR="00373F10">
        <w:t xml:space="preserve">Scheme </w:t>
      </w:r>
      <w:r w:rsidR="00373F10">
        <w:rPr>
          <w:noProof/>
        </w:rPr>
        <w:t>1</w:t>
      </w:r>
      <w:r w:rsidR="00373F10">
        <w:fldChar w:fldCharType="end"/>
      </w:r>
      <w:r w:rsidR="00373F10">
        <w:t>.2d )</w:t>
      </w:r>
      <w:r w:rsidR="00373F10" w:rsidRPr="00AF6651">
        <w:t xml:space="preserve"> and MMF</w:t>
      </w:r>
      <w:r w:rsidR="00373F10">
        <w:t xml:space="preserve"> (MMFA </w:t>
      </w:r>
      <w:r w:rsidR="00373F10">
        <w:fldChar w:fldCharType="begin"/>
      </w:r>
      <w:r w:rsidR="00373F10">
        <w:instrText xml:space="preserve"> REF _Ref154850675 \h </w:instrText>
      </w:r>
      <w:r w:rsidR="00373F10">
        <w:fldChar w:fldCharType="separate"/>
      </w:r>
      <w:r w:rsidR="00373F10">
        <w:t xml:space="preserve">Scheme </w:t>
      </w:r>
      <w:r w:rsidR="00373F10">
        <w:rPr>
          <w:noProof/>
        </w:rPr>
        <w:t>1</w:t>
      </w:r>
      <w:r w:rsidR="00373F10">
        <w:fldChar w:fldCharType="end"/>
      </w:r>
      <w:r w:rsidR="00373F10">
        <w:t>.2b-c)</w:t>
      </w:r>
      <w:r w:rsidR="004A3474">
        <w:t xml:space="preserve"> due to the presence of the aldehydic group </w:t>
      </w:r>
      <w:r w:rsidR="004A3474">
        <w:fldChar w:fldCharType="begin" w:fldLock="1"/>
      </w:r>
      <w:r w:rsidR="00D30DB4">
        <w:instrText>ADDIN CSL_CITATION {"citationItems":[{"id":"ITEM-1","itemData":{"DOI":"10.1016/j.cattod.2018.11.071","ISSN":"09205861","abstract":"In this work, the ultraviolet spectroscopy was used as a tool to monitor the kinetics of acetalization reaction of furfural with alkyl alcohols. Among the Bronsted acids evaluated, Keggin heteropolyacids (e.g., H3PW12O40 and H3PMo12O40) were the more active and selective in the acetalization of furfural in reactions carried out at room temperature. The ultraviolet spectroscopy, a simple and inexpensive analytic technique was used to quantify the furfural and acetals during the reaction progress. The influence of main reaction parameters such as temperature, time, and catalyst load were assessed. The reaction scope was extended to the other alcohols. The activation energy of heteropolyacid-catalyzed reactions was determined.","author":[{"dropping-particle":"","family":"Teixeira","given":"Milena Galdino","non-dropping-particle":"","parse-names":false,"suffix":""},{"dropping-particle":"","family":"Natalino","given":"Ricardo","non-dropping-particle":"","parse-names":false,"suffix":""},{"dropping-particle":"","family":"Silva","given":"Márcio José","non-dropping-particle":"da","parse-names":false,"suffix":""}],"container-title":"Catalysis Today","id":"ITEM-1","issue":"November 2018","issued":{"date-parts":[["2020"]]},"page":"143-149","publisher":"Elsevier","title":"A kinetic study of heteropolyacid-catalyzed furfural acetalization with methanol at room temperature via ultraviolet spectroscopy","type":"article-journal","volume":"344"},"uris":["http://www.mendeley.com/documents/?uuid=5c4c0474-5b33-4839-b42f-d1dd12cffdff"]}],"mendeley":{"formattedCitation":"(Teixeira et al., 2020)","plainTextFormattedCitation":"(Teixeira et al., 2020)","previouslyFormattedCitation":"(Teixeira et al., 2020)"},"properties":{"noteIndex":0},"schema":"https://github.com/citation-style-language/schema/raw/master/csl-citation.json"}</w:instrText>
      </w:r>
      <w:r w:rsidR="004A3474">
        <w:fldChar w:fldCharType="separate"/>
      </w:r>
      <w:r w:rsidR="00D30DB4" w:rsidRPr="00D30DB4">
        <w:rPr>
          <w:noProof/>
        </w:rPr>
        <w:t>(Teixeira et al., 2020)</w:t>
      </w:r>
      <w:r w:rsidR="004A3474">
        <w:fldChar w:fldCharType="end"/>
      </w:r>
      <w:r w:rsidR="00373F10" w:rsidRPr="00AF6651">
        <w:t>.</w:t>
      </w:r>
      <w:r w:rsidR="00373F10" w:rsidRPr="006659D3">
        <w:rPr>
          <w:lang w:val="en-GB"/>
        </w:rPr>
        <w:t xml:space="preserve"> </w:t>
      </w:r>
      <w:r w:rsidR="00373F10">
        <w:rPr>
          <w:lang w:val="en-GB"/>
        </w:rPr>
        <w:t xml:space="preserve">In addition, in the presence of HCl, CMF and other intermediates can also be converted into </w:t>
      </w:r>
      <w:r w:rsidR="006E273B">
        <w:rPr>
          <w:lang w:val="en-GB"/>
        </w:rPr>
        <w:t>methyl levulinate (LM)</w:t>
      </w:r>
      <w:r w:rsidR="004A3474">
        <w:rPr>
          <w:lang w:val="en-GB"/>
        </w:rPr>
        <w:t xml:space="preserve"> and methyl </w:t>
      </w:r>
      <w:proofErr w:type="spellStart"/>
      <w:r w:rsidR="004A3474">
        <w:rPr>
          <w:lang w:val="en-GB"/>
        </w:rPr>
        <w:t>formate</w:t>
      </w:r>
      <w:proofErr w:type="spellEnd"/>
      <w:r w:rsidR="004A3474">
        <w:rPr>
          <w:lang w:val="en-GB"/>
        </w:rPr>
        <w:t xml:space="preserve"> (FM)</w:t>
      </w:r>
      <w:r w:rsidR="00373F10">
        <w:rPr>
          <w:lang w:val="en-GB"/>
        </w:rPr>
        <w:t xml:space="preserve"> (</w:t>
      </w:r>
      <w:r w:rsidR="00373F10">
        <w:fldChar w:fldCharType="begin"/>
      </w:r>
      <w:r w:rsidR="00373F10">
        <w:instrText xml:space="preserve"> REF _Ref154850675 \h </w:instrText>
      </w:r>
      <w:r w:rsidR="00373F10">
        <w:fldChar w:fldCharType="separate"/>
      </w:r>
      <w:r w:rsidR="00373F10">
        <w:t xml:space="preserve">Scheme </w:t>
      </w:r>
      <w:r w:rsidR="00373F10">
        <w:rPr>
          <w:noProof/>
        </w:rPr>
        <w:t>1</w:t>
      </w:r>
      <w:r w:rsidR="00373F10">
        <w:fldChar w:fldCharType="end"/>
      </w:r>
      <w:r w:rsidR="00373F10">
        <w:t>.2e</w:t>
      </w:r>
      <w:r w:rsidR="00373F10">
        <w:rPr>
          <w:lang w:val="en-GB"/>
        </w:rPr>
        <w:t>)</w:t>
      </w:r>
      <w:r w:rsidR="004A3474">
        <w:rPr>
          <w:lang w:val="en-GB"/>
        </w:rPr>
        <w:t xml:space="preserve"> </w:t>
      </w:r>
      <w:r w:rsidR="004A3474">
        <w:rPr>
          <w:lang w:val="en-GB"/>
        </w:rPr>
        <w:fldChar w:fldCharType="begin" w:fldLock="1"/>
      </w:r>
      <w:r w:rsidR="00D30DB4">
        <w:rPr>
          <w:lang w:val="en-GB"/>
        </w:rPr>
        <w:instrText>ADDIN CSL_CITATION {"citationItems":[{"id":"ITEM-1","itemData":{"DOI":"10.1002/slct.201900279","ISSN":"2365-6549","abstract":"A series of 5</w:instrText>
      </w:r>
      <w:r w:rsidR="00D30DB4">
        <w:rPr>
          <w:rFonts w:ascii="Cambria Math" w:hAnsi="Cambria Math" w:cs="Cambria Math"/>
          <w:lang w:val="en-GB"/>
        </w:rPr>
        <w:instrText>‐</w:instrText>
      </w:r>
      <w:r w:rsidR="00D30DB4">
        <w:rPr>
          <w:lang w:val="en-GB"/>
        </w:rPr>
        <w:instrText>(alkoxymethyl)furfurals (AMFs) have been synthesized in excellent isolated yields (&gt;90%) by reacting biomass</w:instrText>
      </w:r>
      <w:r w:rsidR="00D30DB4">
        <w:rPr>
          <w:rFonts w:ascii="Cambria Math" w:hAnsi="Cambria Math" w:cs="Cambria Math"/>
          <w:lang w:val="en-GB"/>
        </w:rPr>
        <w:instrText>‐</w:instrText>
      </w:r>
      <w:r w:rsidR="00D30DB4">
        <w:rPr>
          <w:lang w:val="en-GB"/>
        </w:rPr>
        <w:instrText>derived 5</w:instrText>
      </w:r>
      <w:r w:rsidR="00D30DB4">
        <w:rPr>
          <w:rFonts w:ascii="Cambria Math" w:hAnsi="Cambria Math" w:cs="Cambria Math"/>
          <w:lang w:val="en-GB"/>
        </w:rPr>
        <w:instrText>‐</w:instrText>
      </w:r>
      <w:r w:rsidR="00D30DB4">
        <w:rPr>
          <w:lang w:val="en-GB"/>
        </w:rPr>
        <w:instrText>(chloromethyl)furfural (CMF) or 5</w:instrText>
      </w:r>
      <w:r w:rsidR="00D30DB4">
        <w:rPr>
          <w:rFonts w:ascii="Cambria Math" w:hAnsi="Cambria Math" w:cs="Cambria Math"/>
          <w:lang w:val="en-GB"/>
        </w:rPr>
        <w:instrText>‐</w:instrText>
      </w:r>
      <w:r w:rsidR="00D30DB4">
        <w:rPr>
          <w:lang w:val="en-GB"/>
        </w:rPr>
        <w:instrText>(bromomethyl)furfural (BMF) with monohydric alkyl alcohols (methanol to 1</w:instrText>
      </w:r>
      <w:r w:rsidR="00D30DB4">
        <w:rPr>
          <w:rFonts w:ascii="Cambria Math" w:hAnsi="Cambria Math" w:cs="Cambria Math"/>
          <w:lang w:val="en-GB"/>
        </w:rPr>
        <w:instrText>‐</w:instrText>
      </w:r>
      <w:r w:rsidR="00D30DB4">
        <w:rPr>
          <w:lang w:val="en-GB"/>
        </w:rPr>
        <w:instrText>butanol) at slightly elevated temperatures (RT</w:instrText>
      </w:r>
      <w:r w:rsidR="00D30DB4">
        <w:rPr>
          <w:rFonts w:ascii="Cambria Math" w:hAnsi="Cambria Math" w:cs="Cambria Math"/>
          <w:lang w:val="en-GB"/>
        </w:rPr>
        <w:instrText>‐</w:instrText>
      </w:r>
      <w:r w:rsidR="00D30DB4">
        <w:rPr>
          <w:lang w:val="en-GB"/>
        </w:rPr>
        <w:instrText xml:space="preserve">50 </w:instrText>
      </w:r>
      <w:r w:rsidR="00D30DB4">
        <w:rPr>
          <w:rFonts w:cs="Arial"/>
          <w:lang w:val="en-GB"/>
        </w:rPr>
        <w:instrText>°</w:instrText>
      </w:r>
      <w:r w:rsidR="00D30DB4">
        <w:rPr>
          <w:lang w:val="en-GB"/>
        </w:rPr>
        <w:instrText>C) and short reaction time (3 h). The modified work</w:instrText>
      </w:r>
      <w:r w:rsidR="00D30DB4">
        <w:rPr>
          <w:rFonts w:ascii="Cambria Math" w:hAnsi="Cambria Math" w:cs="Cambria Math"/>
          <w:lang w:val="en-GB"/>
        </w:rPr>
        <w:instrText>‐</w:instrText>
      </w:r>
      <w:r w:rsidR="00D30DB4">
        <w:rPr>
          <w:lang w:val="en-GB"/>
        </w:rPr>
        <w:instrText>up procedure minimizes side reactions while simplifying the isolation and purification of AMFs. Although higher primary alcohols like 1</w:instrText>
      </w:r>
      <w:r w:rsidR="00D30DB4">
        <w:rPr>
          <w:rFonts w:ascii="Cambria Math" w:hAnsi="Cambria Math" w:cs="Cambria Math"/>
          <w:lang w:val="en-GB"/>
        </w:rPr>
        <w:instrText>‐</w:instrText>
      </w:r>
      <w:r w:rsidR="00D30DB4">
        <w:rPr>
          <w:lang w:val="en-GB"/>
        </w:rPr>
        <w:instrText>pentanol and 1</w:instrText>
      </w:r>
      <w:r w:rsidR="00D30DB4">
        <w:rPr>
          <w:rFonts w:ascii="Cambria Math" w:hAnsi="Cambria Math" w:cs="Cambria Math"/>
          <w:lang w:val="en-GB"/>
        </w:rPr>
        <w:instrText>‐</w:instrText>
      </w:r>
      <w:r w:rsidR="00D30DB4">
        <w:rPr>
          <w:lang w:val="en-GB"/>
        </w:rPr>
        <w:instrText>hexanol and secondary alcohol like 2</w:instrText>
      </w:r>
      <w:r w:rsidR="00D30DB4">
        <w:rPr>
          <w:rFonts w:ascii="Cambria Math" w:hAnsi="Cambria Math" w:cs="Cambria Math"/>
          <w:lang w:val="en-GB"/>
        </w:rPr>
        <w:instrText>‐</w:instrText>
      </w:r>
      <w:r w:rsidR="00D30DB4">
        <w:rPr>
          <w:lang w:val="en-GB"/>
        </w:rPr>
        <w:instrText>propanol were found to be less reactive, use of N,N</w:instrText>
      </w:r>
      <w:r w:rsidR="00D30DB4">
        <w:rPr>
          <w:rFonts w:ascii="Cambria Math" w:hAnsi="Cambria Math" w:cs="Cambria Math"/>
          <w:lang w:val="en-GB"/>
        </w:rPr>
        <w:instrText>‐</w:instrText>
      </w:r>
      <w:r w:rsidR="00D30DB4">
        <w:rPr>
          <w:lang w:val="en-GB"/>
        </w:rPr>
        <w:instrText xml:space="preserve">diisopropylethylamine (DIPEA) as a base additive afforded AMFs in excellent yields within 6 h at 65 </w:instrText>
      </w:r>
      <w:r w:rsidR="00D30DB4">
        <w:rPr>
          <w:rFonts w:cs="Arial"/>
          <w:lang w:val="en-GB"/>
        </w:rPr>
        <w:instrText>°</w:instrText>
      </w:r>
      <w:r w:rsidR="00D30DB4">
        <w:rPr>
          <w:lang w:val="en-GB"/>
        </w:rPr>
        <w:instrText>C using only slight excess of the alcohol (1.2 eq.) reagent.","author":[{"dropping-particle":"","family":"Onkarappa","given":"Sharath Bandibairanahalli","non-dropping-particle":"","parse-names":false,"suffix":""},{"dropping-particle":"","family":"Dutta","given":"Saikat","non-dropping-particle":"","parse-names":false,"suffix":""}],"container-title":"ChemistrySelect","id":"ITEM-1","issue":"19","issued":{"date-parts":[["2019","5","24"]]},"page":"5540-5543","title":"High</w:instrText>
      </w:r>
      <w:r w:rsidR="00D30DB4">
        <w:rPr>
          <w:rFonts w:ascii="Cambria Math" w:hAnsi="Cambria Math" w:cs="Cambria Math"/>
          <w:lang w:val="en-GB"/>
        </w:rPr>
        <w:instrText>‐</w:instrText>
      </w:r>
      <w:r w:rsidR="00D30DB4">
        <w:rPr>
          <w:lang w:val="en-GB"/>
        </w:rPr>
        <w:instrText>Yielding Synthesis of 5</w:instrText>
      </w:r>
      <w:r w:rsidR="00D30DB4">
        <w:rPr>
          <w:rFonts w:ascii="Cambria Math" w:hAnsi="Cambria Math" w:cs="Cambria Math"/>
          <w:lang w:val="en-GB"/>
        </w:rPr>
        <w:instrText>‐</w:instrText>
      </w:r>
      <w:r w:rsidR="00D30DB4">
        <w:rPr>
          <w:lang w:val="en-GB"/>
        </w:rPr>
        <w:instrText>(alkoxymethyl)furfurals from Biomass</w:instrText>
      </w:r>
      <w:r w:rsidR="00D30DB4">
        <w:rPr>
          <w:rFonts w:ascii="Cambria Math" w:hAnsi="Cambria Math" w:cs="Cambria Math"/>
          <w:lang w:val="en-GB"/>
        </w:rPr>
        <w:instrText>‐</w:instrText>
      </w:r>
      <w:r w:rsidR="00D30DB4">
        <w:rPr>
          <w:lang w:val="en-GB"/>
        </w:rPr>
        <w:instrText>Derived 5</w:instrText>
      </w:r>
      <w:r w:rsidR="00D30DB4">
        <w:rPr>
          <w:rFonts w:ascii="Cambria Math" w:hAnsi="Cambria Math" w:cs="Cambria Math"/>
          <w:lang w:val="en-GB"/>
        </w:rPr>
        <w:instrText>‐</w:instrText>
      </w:r>
      <w:r w:rsidR="00D30DB4">
        <w:rPr>
          <w:lang w:val="en-GB"/>
        </w:rPr>
        <w:instrText>(halomethyl)furfural (X=Cl, Br)","type":"article-journal","volume":"4"},"uris":["http://www.mendeley.com/documents/?uuid=7c5bd92d-4141-44e0-bc31-429ab7a69117"]}],"mendeley":{"formattedCitation":"(Onkarappa &amp; Dutta, 2019)","plainTextFormattedCitation":"(Onkarappa &amp; Dutta, 2019)","previouslyFormattedCitation":"(Onkarappa &amp; Dutta, 2019)"},"properties":{"noteIndex":0},"schema":"https://github.com/citation-style-language/schema/raw/master/csl-citation.json"}</w:instrText>
      </w:r>
      <w:r w:rsidR="004A3474">
        <w:rPr>
          <w:lang w:val="en-GB"/>
        </w:rPr>
        <w:fldChar w:fldCharType="separate"/>
      </w:r>
      <w:r w:rsidR="00D30DB4" w:rsidRPr="00D30DB4">
        <w:rPr>
          <w:noProof/>
          <w:lang w:val="en-GB"/>
        </w:rPr>
        <w:t>(Onkarappa &amp; Dutta, 2019)</w:t>
      </w:r>
      <w:r w:rsidR="004A3474">
        <w:rPr>
          <w:lang w:val="en-GB"/>
        </w:rPr>
        <w:fldChar w:fldCharType="end"/>
      </w:r>
      <w:r w:rsidR="00373F10">
        <w:rPr>
          <w:lang w:val="en-GB"/>
        </w:rPr>
        <w:t xml:space="preserve"> and other by-products, such as </w:t>
      </w:r>
      <w:proofErr w:type="spellStart"/>
      <w:r w:rsidR="00373F10">
        <w:rPr>
          <w:lang w:val="en-GB"/>
        </w:rPr>
        <w:t>humins</w:t>
      </w:r>
      <w:proofErr w:type="spellEnd"/>
      <w:r w:rsidR="00373F10">
        <w:rPr>
          <w:lang w:val="en-GB"/>
        </w:rPr>
        <w:t xml:space="preserve"> by condensation reactions of furfural derivatives (</w:t>
      </w:r>
      <w:r w:rsidR="00373F10">
        <w:fldChar w:fldCharType="begin"/>
      </w:r>
      <w:r w:rsidR="00373F10">
        <w:instrText xml:space="preserve"> REF _Ref154850675 \h </w:instrText>
      </w:r>
      <w:r w:rsidR="00373F10">
        <w:fldChar w:fldCharType="separate"/>
      </w:r>
      <w:r w:rsidR="00373F10">
        <w:t xml:space="preserve">Scheme </w:t>
      </w:r>
      <w:r w:rsidR="00373F10">
        <w:rPr>
          <w:noProof/>
        </w:rPr>
        <w:t>1</w:t>
      </w:r>
      <w:r w:rsidR="00373F10">
        <w:fldChar w:fldCharType="end"/>
      </w:r>
      <w:r w:rsidR="00373F10">
        <w:t>.2f)</w:t>
      </w:r>
      <w:r w:rsidR="00373F10">
        <w:rPr>
          <w:lang w:val="en-GB"/>
        </w:rPr>
        <w:t>.</w:t>
      </w:r>
      <w:r w:rsidR="00FD78D0">
        <w:rPr>
          <w:lang w:val="en-GB"/>
        </w:rPr>
        <w:t xml:space="preserve"> Although by-product formation can be limited by using organic or inorganic bases, it </w:t>
      </w:r>
      <w:r w:rsidR="000A5281">
        <w:rPr>
          <w:lang w:val="en-GB"/>
        </w:rPr>
        <w:t>also produces</w:t>
      </w:r>
      <w:r w:rsidR="00FD78D0">
        <w:rPr>
          <w:lang w:val="en-GB"/>
        </w:rPr>
        <w:t xml:space="preserve"> salts, while recycling the produced HCl back into the CMF synthesis step could be</w:t>
      </w:r>
      <w:r w:rsidR="000A5281">
        <w:rPr>
          <w:lang w:val="en-GB"/>
        </w:rPr>
        <w:t>nefit the process'</w:t>
      </w:r>
      <w:r w:rsidR="00FD78D0">
        <w:rPr>
          <w:lang w:val="en-GB"/>
        </w:rPr>
        <w:t>s sustainability and pro</w:t>
      </w:r>
      <w:r w:rsidR="000A5281">
        <w:rPr>
          <w:lang w:val="en-GB"/>
        </w:rPr>
        <w:t>f</w:t>
      </w:r>
      <w:r w:rsidR="00FD78D0">
        <w:rPr>
          <w:lang w:val="en-GB"/>
        </w:rPr>
        <w:t>itability.</w:t>
      </w:r>
    </w:p>
    <w:p w14:paraId="73BB4536" w14:textId="7C38CB43" w:rsidR="00585C0D" w:rsidRDefault="009471B4" w:rsidP="00B55EDB">
      <w:pPr>
        <w:pStyle w:val="CETBodytext"/>
        <w:jc w:val="center"/>
        <w:rPr>
          <w:lang w:val="en-GB"/>
        </w:rPr>
      </w:pPr>
      <w:r>
        <w:rPr>
          <w:noProof/>
          <w:lang w:val="en-GB"/>
        </w:rPr>
        <w:drawing>
          <wp:inline distT="0" distB="0" distL="0" distR="0" wp14:anchorId="77C4807A" wp14:editId="3F2FF2A2">
            <wp:extent cx="5129683" cy="1969265"/>
            <wp:effectExtent l="0" t="0" r="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t="3200" b="627"/>
                    <a:stretch/>
                  </pic:blipFill>
                  <pic:spPr bwMode="auto">
                    <a:xfrm>
                      <a:off x="0" y="0"/>
                      <a:ext cx="5168925" cy="1984330"/>
                    </a:xfrm>
                    <a:prstGeom prst="rect">
                      <a:avLst/>
                    </a:prstGeom>
                    <a:noFill/>
                    <a:ln>
                      <a:noFill/>
                    </a:ln>
                    <a:extLst>
                      <a:ext uri="{53640926-AAD7-44D8-BBD7-CCE9431645EC}">
                        <a14:shadowObscured xmlns:a14="http://schemas.microsoft.com/office/drawing/2010/main"/>
                      </a:ext>
                    </a:extLst>
                  </pic:spPr>
                </pic:pic>
              </a:graphicData>
            </a:graphic>
          </wp:inline>
        </w:drawing>
      </w:r>
    </w:p>
    <w:p w14:paraId="7DB1CF19" w14:textId="15C65920" w:rsidR="00585C0D" w:rsidRPr="00566724" w:rsidRDefault="00585C0D" w:rsidP="00BF451E">
      <w:pPr>
        <w:pStyle w:val="CETCaption"/>
      </w:pPr>
      <w:bookmarkStart w:id="2" w:name="_Ref154850675"/>
      <w:r>
        <w:t xml:space="preserve">Scheme </w:t>
      </w:r>
      <w:r>
        <w:fldChar w:fldCharType="begin"/>
      </w:r>
      <w:r>
        <w:instrText xml:space="preserve"> SEQ Scheme \* ARABIC </w:instrText>
      </w:r>
      <w:r>
        <w:fldChar w:fldCharType="separate"/>
      </w:r>
      <w:r w:rsidR="00154968">
        <w:rPr>
          <w:noProof/>
        </w:rPr>
        <w:t>1</w:t>
      </w:r>
      <w:r>
        <w:fldChar w:fldCharType="end"/>
      </w:r>
      <w:bookmarkEnd w:id="2"/>
      <w:r>
        <w:t xml:space="preserve"> – </w:t>
      </w:r>
      <w:r w:rsidR="00F114E0">
        <w:t xml:space="preserve">(1) </w:t>
      </w:r>
      <w:r>
        <w:t>Routes to FDCA</w:t>
      </w:r>
      <w:r w:rsidR="00F114E0">
        <w:t xml:space="preserve"> thorough HMF and CMF, and (2) simplified CMF conversion pathways in MeOH</w:t>
      </w:r>
    </w:p>
    <w:p w14:paraId="55356065" w14:textId="34FE5B64" w:rsidR="00CA1261" w:rsidRPr="000B6B1F" w:rsidRDefault="00FD78D0" w:rsidP="000B6B1F">
      <w:pPr>
        <w:pStyle w:val="CETBodytext"/>
        <w:rPr>
          <w:lang w:val="en-GB"/>
        </w:rPr>
      </w:pPr>
      <w:r>
        <w:rPr>
          <w:lang w:val="en-GB"/>
        </w:rPr>
        <w:t>Therefore, here</w:t>
      </w:r>
      <w:r w:rsidR="000A5281">
        <w:rPr>
          <w:lang w:val="en-GB"/>
        </w:rPr>
        <w:t>,</w:t>
      </w:r>
      <w:r w:rsidR="00CA1261" w:rsidRPr="00566724">
        <w:rPr>
          <w:lang w:val="en-GB"/>
        </w:rPr>
        <w:t xml:space="preserve"> the reaction of CMF in </w:t>
      </w:r>
      <w:r w:rsidR="000A5281">
        <w:rPr>
          <w:lang w:val="en-GB"/>
        </w:rPr>
        <w:t xml:space="preserve">anhydrous </w:t>
      </w:r>
      <w:r w:rsidR="00373F10">
        <w:rPr>
          <w:lang w:val="en-GB"/>
        </w:rPr>
        <w:t>MeOH</w:t>
      </w:r>
      <w:r w:rsidR="00CA1261" w:rsidRPr="00566724">
        <w:rPr>
          <w:lang w:val="en-GB"/>
        </w:rPr>
        <w:t xml:space="preserve"> will be studied at different temperatures</w:t>
      </w:r>
      <w:r>
        <w:rPr>
          <w:lang w:val="en-GB"/>
        </w:rPr>
        <w:t xml:space="preserve"> and </w:t>
      </w:r>
      <w:r w:rsidR="000A5281">
        <w:rPr>
          <w:lang w:val="en-GB"/>
        </w:rPr>
        <w:t>without</w:t>
      </w:r>
      <w:r>
        <w:rPr>
          <w:lang w:val="en-GB"/>
        </w:rPr>
        <w:t xml:space="preserve"> a base</w:t>
      </w:r>
      <w:r w:rsidR="00CA1261" w:rsidRPr="00566724">
        <w:rPr>
          <w:lang w:val="en-GB"/>
        </w:rPr>
        <w:t xml:space="preserve"> </w:t>
      </w:r>
      <w:r w:rsidR="000A5281">
        <w:rPr>
          <w:lang w:val="en-GB"/>
        </w:rPr>
        <w:t>to maximize</w:t>
      </w:r>
      <w:r w:rsidR="004A3474">
        <w:rPr>
          <w:lang w:val="en-GB"/>
        </w:rPr>
        <w:t xml:space="preserve"> the MMF yields</w:t>
      </w:r>
      <w:r w:rsidR="00CA1261" w:rsidRPr="00566724">
        <w:rPr>
          <w:lang w:val="en-GB"/>
        </w:rPr>
        <w:t xml:space="preserve">. This should lead to a better understanding of the conversion of CMF into RMF and </w:t>
      </w:r>
      <w:r w:rsidR="00B6402A">
        <w:rPr>
          <w:lang w:val="en-GB"/>
        </w:rPr>
        <w:t>a better understanding of</w:t>
      </w:r>
      <w:r w:rsidR="00CA1261" w:rsidRPr="00566724">
        <w:rPr>
          <w:lang w:val="en-GB"/>
        </w:rPr>
        <w:t xml:space="preserve"> </w:t>
      </w:r>
      <w:r w:rsidR="004A3474">
        <w:rPr>
          <w:lang w:val="en-GB"/>
        </w:rPr>
        <w:t>its</w:t>
      </w:r>
      <w:r w:rsidR="00CA1261" w:rsidRPr="00566724">
        <w:rPr>
          <w:lang w:val="en-GB"/>
        </w:rPr>
        <w:t xml:space="preserve"> industrial application.</w:t>
      </w:r>
      <w:r w:rsidR="00CA1261">
        <w:rPr>
          <w:lang w:val="en-GB"/>
        </w:rPr>
        <w:t xml:space="preserve"> </w:t>
      </w:r>
      <w:r w:rsidR="00B6402A">
        <w:rPr>
          <w:lang w:val="en-GB"/>
        </w:rPr>
        <w:t>Potentially attractive operating conditions in the absence of any promoters where interesting MMF yields (&gt; 0.6) can be achieved were highlighted for the first time using a simplified kinetic approach.</w:t>
      </w:r>
    </w:p>
    <w:p w14:paraId="61A9B77A" w14:textId="6A3C33B3" w:rsidR="00600535" w:rsidRDefault="00911486" w:rsidP="00156317">
      <w:pPr>
        <w:pStyle w:val="CETHeading1"/>
      </w:pPr>
      <w:r>
        <w:t>Methods</w:t>
      </w:r>
    </w:p>
    <w:p w14:paraId="068E7079" w14:textId="4AE70995" w:rsidR="009B0F5A" w:rsidRPr="009B0F5A" w:rsidRDefault="009B0F5A" w:rsidP="00156317">
      <w:pPr>
        <w:pStyle w:val="CETheadingx"/>
      </w:pPr>
      <w:r w:rsidRPr="009B0F5A">
        <w:t>Chemicals and Materials</w:t>
      </w:r>
    </w:p>
    <w:p w14:paraId="46F0AD7E" w14:textId="090C0A01" w:rsidR="00600535" w:rsidRDefault="00100C0C" w:rsidP="00600535">
      <w:pPr>
        <w:pStyle w:val="CETBodytext"/>
        <w:rPr>
          <w:lang w:val="en-GB"/>
        </w:rPr>
      </w:pPr>
      <w:r>
        <w:rPr>
          <w:lang w:val="en-GB"/>
        </w:rPr>
        <w:t xml:space="preserve">Purified </w:t>
      </w:r>
      <w:r w:rsidRPr="00100C0C">
        <w:rPr>
          <w:lang w:val="en-GB"/>
        </w:rPr>
        <w:t>5-(</w:t>
      </w:r>
      <w:proofErr w:type="gramStart"/>
      <w:r w:rsidRPr="00100C0C">
        <w:rPr>
          <w:lang w:val="en-GB"/>
        </w:rPr>
        <w:t>chloromethyl)furfural</w:t>
      </w:r>
      <w:proofErr w:type="gramEnd"/>
      <w:r>
        <w:rPr>
          <w:lang w:val="en-GB"/>
        </w:rPr>
        <w:t xml:space="preserve"> (CMF), the reaction substrate, </w:t>
      </w:r>
      <w:r w:rsidRPr="009B0F5A">
        <w:rPr>
          <w:lang w:val="en-GB"/>
        </w:rPr>
        <w:t xml:space="preserve">was generously provided by </w:t>
      </w:r>
      <w:proofErr w:type="spellStart"/>
      <w:r w:rsidRPr="009B0F5A">
        <w:rPr>
          <w:lang w:val="en-GB"/>
        </w:rPr>
        <w:t>Micromidas</w:t>
      </w:r>
      <w:proofErr w:type="spellEnd"/>
      <w:r>
        <w:rPr>
          <w:lang w:val="en-GB"/>
        </w:rPr>
        <w:t xml:space="preserve"> Inc</w:t>
      </w:r>
      <w:r w:rsidR="005B54DA">
        <w:rPr>
          <w:lang w:val="en-GB"/>
        </w:rPr>
        <w:t>.</w:t>
      </w:r>
      <w:r>
        <w:rPr>
          <w:lang w:val="en-GB"/>
        </w:rPr>
        <w:t xml:space="preserve"> </w:t>
      </w:r>
      <w:r w:rsidR="005B54DA">
        <w:rPr>
          <w:lang w:val="en-GB"/>
        </w:rPr>
        <w:t>A</w:t>
      </w:r>
      <w:r w:rsidR="005B54DA" w:rsidRPr="009B0F5A">
        <w:rPr>
          <w:lang w:val="en-GB"/>
        </w:rPr>
        <w:t>nalytical grade</w:t>
      </w:r>
      <w:r w:rsidR="005B54DA" w:rsidRPr="00663B60">
        <w:rPr>
          <w:lang w:val="en-GB"/>
        </w:rPr>
        <w:t xml:space="preserve"> 2-(chloromethyl)-5-(</w:t>
      </w:r>
      <w:proofErr w:type="spellStart"/>
      <w:r w:rsidR="005B54DA" w:rsidRPr="00663B60">
        <w:rPr>
          <w:lang w:val="en-GB"/>
        </w:rPr>
        <w:t>dimethoxymethyl</w:t>
      </w:r>
      <w:proofErr w:type="spellEnd"/>
      <w:r w:rsidR="005B54DA" w:rsidRPr="00663B60">
        <w:rPr>
          <w:lang w:val="en-GB"/>
        </w:rPr>
        <w:t xml:space="preserve">)furan (CMFA), </w:t>
      </w:r>
      <w:proofErr w:type="spellStart"/>
      <w:r w:rsidR="005B54DA" w:rsidRPr="00663B60">
        <w:rPr>
          <w:lang w:val="en-GB"/>
        </w:rPr>
        <w:t>levulinic</w:t>
      </w:r>
      <w:proofErr w:type="spellEnd"/>
      <w:r w:rsidR="005B54DA" w:rsidRPr="00663B60">
        <w:rPr>
          <w:lang w:val="en-GB"/>
        </w:rPr>
        <w:t xml:space="preserve"> acid (LA), methyl levulinate (LM)</w:t>
      </w:r>
      <w:r w:rsidR="005B54DA">
        <w:rPr>
          <w:lang w:val="en-GB"/>
        </w:rPr>
        <w:t xml:space="preserve">, </w:t>
      </w:r>
      <w:r w:rsidR="005B54DA" w:rsidRPr="00D8560D">
        <w:rPr>
          <w:lang w:val="en-GB"/>
        </w:rPr>
        <w:t>5-methoxymethylfurfural</w:t>
      </w:r>
      <w:r w:rsidR="005B54DA">
        <w:rPr>
          <w:lang w:val="en-GB"/>
        </w:rPr>
        <w:t xml:space="preserve"> (MMF), </w:t>
      </w:r>
      <w:r w:rsidR="005B54DA" w:rsidRPr="00D8560D">
        <w:rPr>
          <w:lang w:val="en-GB"/>
        </w:rPr>
        <w:t>2-(</w:t>
      </w:r>
      <w:proofErr w:type="spellStart"/>
      <w:r w:rsidR="005B54DA" w:rsidRPr="00D8560D">
        <w:rPr>
          <w:lang w:val="en-GB"/>
        </w:rPr>
        <w:t>Dimethoxymethyl</w:t>
      </w:r>
      <w:proofErr w:type="spellEnd"/>
      <w:r w:rsidR="005B54DA" w:rsidRPr="00D8560D">
        <w:rPr>
          <w:lang w:val="en-GB"/>
        </w:rPr>
        <w:t>)-5-(methoxymethyl)furan</w:t>
      </w:r>
      <w:r w:rsidR="005B54DA">
        <w:rPr>
          <w:lang w:val="en-GB"/>
        </w:rPr>
        <w:t xml:space="preserve"> (MMFA), </w:t>
      </w:r>
      <w:r w:rsidR="005B54DA" w:rsidRPr="005B54DA">
        <w:rPr>
          <w:lang w:val="en-GB"/>
        </w:rPr>
        <w:t>1,4-dioxane</w:t>
      </w:r>
      <w:r w:rsidR="005B54DA">
        <w:rPr>
          <w:lang w:val="en-GB"/>
        </w:rPr>
        <w:t xml:space="preserve">, </w:t>
      </w:r>
      <w:r w:rsidR="005B54DA" w:rsidRPr="005B54DA">
        <w:rPr>
          <w:lang w:val="en-GB"/>
        </w:rPr>
        <w:t>acetonitrile</w:t>
      </w:r>
      <w:r w:rsidR="005B54DA">
        <w:rPr>
          <w:lang w:val="en-GB"/>
        </w:rPr>
        <w:t>, s</w:t>
      </w:r>
      <w:r w:rsidR="005B54DA" w:rsidRPr="005B54DA">
        <w:rPr>
          <w:lang w:val="en-GB"/>
        </w:rPr>
        <w:t>accharine</w:t>
      </w:r>
      <w:r w:rsidR="00853D47">
        <w:rPr>
          <w:lang w:val="en-GB"/>
        </w:rPr>
        <w:t xml:space="preserve">, anhydrous </w:t>
      </w:r>
      <w:r w:rsidR="00853D47" w:rsidRPr="000D2D00">
        <w:rPr>
          <w:lang w:val="en-GB"/>
        </w:rPr>
        <w:t>methanol</w:t>
      </w:r>
      <w:r w:rsidR="00853D47">
        <w:rPr>
          <w:lang w:val="en-GB"/>
        </w:rPr>
        <w:t xml:space="preserve"> (MeOH), </w:t>
      </w:r>
      <w:r w:rsidR="005B54DA" w:rsidRPr="005B54DA">
        <w:rPr>
          <w:lang w:val="en-GB"/>
        </w:rPr>
        <w:t xml:space="preserve"> and ultrapure water</w:t>
      </w:r>
      <w:r w:rsidR="009B0F5A" w:rsidRPr="009B0F5A">
        <w:rPr>
          <w:lang w:val="en-GB"/>
        </w:rPr>
        <w:t xml:space="preserve"> were purchased from Sigma Aldrich</w:t>
      </w:r>
      <w:r>
        <w:rPr>
          <w:lang w:val="en-GB"/>
        </w:rPr>
        <w:t xml:space="preserve"> (Merck)</w:t>
      </w:r>
      <w:r w:rsidR="009B0F5A" w:rsidRPr="009B0F5A">
        <w:rPr>
          <w:lang w:val="en-GB"/>
        </w:rPr>
        <w:t xml:space="preserve"> and used without further purification.</w:t>
      </w:r>
    </w:p>
    <w:p w14:paraId="7809F308" w14:textId="016BA9D8" w:rsidR="009B0F5A" w:rsidRDefault="009B0F5A" w:rsidP="00156317">
      <w:pPr>
        <w:pStyle w:val="CETheadingx"/>
      </w:pPr>
      <w:r w:rsidRPr="009B0F5A">
        <w:t xml:space="preserve">Kinetic </w:t>
      </w:r>
      <w:r w:rsidR="00A2783A">
        <w:t>E</w:t>
      </w:r>
      <w:r w:rsidRPr="009B0F5A">
        <w:t>xperiments</w:t>
      </w:r>
    </w:p>
    <w:p w14:paraId="08F9DDD0" w14:textId="04BF79C5" w:rsidR="009B0F5A" w:rsidRPr="009B0F5A" w:rsidRDefault="00911486" w:rsidP="009B0F5A">
      <w:pPr>
        <w:pStyle w:val="CETBodytext"/>
      </w:pPr>
      <w:r>
        <w:t>All t</w:t>
      </w:r>
      <w:r w:rsidR="009B0F5A" w:rsidRPr="009B0F5A">
        <w:t xml:space="preserve">he </w:t>
      </w:r>
      <w:r>
        <w:t xml:space="preserve">kinetic </w:t>
      </w:r>
      <w:r w:rsidR="009B0F5A" w:rsidRPr="009B0F5A">
        <w:t>experiments were performed by using a Crystal16 multi-reactor</w:t>
      </w:r>
      <w:r w:rsidR="00A2783A">
        <w:t xml:space="preserve"> (</w:t>
      </w:r>
      <w:proofErr w:type="spellStart"/>
      <w:r w:rsidR="00A2783A" w:rsidRPr="00A2783A">
        <w:t>Technobis</w:t>
      </w:r>
      <w:proofErr w:type="spellEnd"/>
      <w:r w:rsidR="00A2783A" w:rsidRPr="00A2783A">
        <w:t xml:space="preserve"> Crystallization Systems</w:t>
      </w:r>
      <w:r w:rsidR="00A2783A">
        <w:t xml:space="preserve">, previously known as Avantium </w:t>
      </w:r>
      <w:r w:rsidR="00A2783A" w:rsidRPr="00A2783A">
        <w:t>Crystallization Systems</w:t>
      </w:r>
      <w:r w:rsidR="00A2783A">
        <w:t>)</w:t>
      </w:r>
      <w:r w:rsidR="009B0F5A" w:rsidRPr="009B0F5A">
        <w:t xml:space="preserve">, equipped with 16 glass vial batch reactors of 1 mL each, separately into four </w:t>
      </w:r>
      <w:r w:rsidR="00A2783A">
        <w:t xml:space="preserve">parallel </w:t>
      </w:r>
      <w:r w:rsidR="009B0F5A" w:rsidRPr="009B0F5A">
        <w:t xml:space="preserve">temperature blocks, capable </w:t>
      </w:r>
      <w:r w:rsidR="000A5281">
        <w:t>of working</w:t>
      </w:r>
      <w:r w:rsidR="009B0F5A" w:rsidRPr="009B0F5A">
        <w:t xml:space="preserve"> between -20 and 1</w:t>
      </w:r>
      <w:r w:rsidR="00A2783A">
        <w:t>4</w:t>
      </w:r>
      <w:r w:rsidR="009B0F5A" w:rsidRPr="009B0F5A">
        <w:t xml:space="preserve">0 °C. </w:t>
      </w:r>
    </w:p>
    <w:p w14:paraId="16ED4539" w14:textId="2E907DB4" w:rsidR="009B0F5A" w:rsidRDefault="009B0F5A" w:rsidP="009B0F5A">
      <w:pPr>
        <w:pStyle w:val="CETBodytext"/>
        <w:rPr>
          <w:lang w:val="en-GB"/>
        </w:rPr>
      </w:pPr>
      <w:r w:rsidRPr="009B0F5A">
        <w:rPr>
          <w:lang w:val="en-GB"/>
        </w:rPr>
        <w:t>In our experiments, each vial reactor was (1) filled with 0.5</w:t>
      </w:r>
      <w:r w:rsidR="00A2783A">
        <w:rPr>
          <w:lang w:val="en-GB"/>
        </w:rPr>
        <w:t>00</w:t>
      </w:r>
      <w:r w:rsidRPr="009B0F5A">
        <w:rPr>
          <w:lang w:val="en-GB"/>
        </w:rPr>
        <w:t xml:space="preserve"> </w:t>
      </w:r>
      <w:r w:rsidR="00914A83">
        <w:rPr>
          <w:rFonts w:cs="Arial"/>
          <w:lang w:val="en-GB"/>
        </w:rPr>
        <w:t>±</w:t>
      </w:r>
      <w:r w:rsidR="00914A83">
        <w:rPr>
          <w:lang w:val="en-GB"/>
        </w:rPr>
        <w:t xml:space="preserve"> 0.05 </w:t>
      </w:r>
      <w:r w:rsidRPr="009B0F5A">
        <w:rPr>
          <w:lang w:val="en-GB"/>
        </w:rPr>
        <w:t xml:space="preserve">mL, </w:t>
      </w:r>
      <w:r w:rsidR="00A2783A">
        <w:rPr>
          <w:lang w:val="en-GB"/>
        </w:rPr>
        <w:t xml:space="preserve">closed </w:t>
      </w:r>
      <w:r w:rsidRPr="009B0F5A">
        <w:rPr>
          <w:lang w:val="en-GB"/>
        </w:rPr>
        <w:t>and (2) placed within each reactor block</w:t>
      </w:r>
      <w:r w:rsidR="00911486">
        <w:rPr>
          <w:lang w:val="en-GB"/>
        </w:rPr>
        <w:t xml:space="preserve">, </w:t>
      </w:r>
      <w:r w:rsidR="00911486" w:rsidRPr="009B0F5A">
        <w:rPr>
          <w:lang w:val="en-GB"/>
        </w:rPr>
        <w:t xml:space="preserve">precooled </w:t>
      </w:r>
      <w:r w:rsidR="00911486">
        <w:rPr>
          <w:lang w:val="en-GB"/>
        </w:rPr>
        <w:t>or</w:t>
      </w:r>
      <w:r w:rsidR="00911486" w:rsidRPr="009B0F5A">
        <w:rPr>
          <w:lang w:val="en-GB"/>
        </w:rPr>
        <w:t xml:space="preserve"> preheated</w:t>
      </w:r>
      <w:r w:rsidR="00911486">
        <w:rPr>
          <w:lang w:val="en-GB"/>
        </w:rPr>
        <w:t xml:space="preserve"> at </w:t>
      </w:r>
      <w:r w:rsidR="00911486" w:rsidRPr="009B0F5A">
        <w:rPr>
          <w:lang w:val="en-GB"/>
        </w:rPr>
        <w:t>10, 20, 30</w:t>
      </w:r>
      <w:r w:rsidR="000A5281">
        <w:rPr>
          <w:lang w:val="en-GB"/>
        </w:rPr>
        <w:t>,</w:t>
      </w:r>
      <w:r w:rsidR="00911486" w:rsidRPr="009B0F5A">
        <w:rPr>
          <w:lang w:val="en-GB"/>
        </w:rPr>
        <w:t xml:space="preserve"> and 50°C</w:t>
      </w:r>
      <w:r w:rsidR="00911486">
        <w:rPr>
          <w:lang w:val="en-GB"/>
        </w:rPr>
        <w:t>, and stirred at 700 rpm</w:t>
      </w:r>
      <w:r w:rsidRPr="009B0F5A">
        <w:rPr>
          <w:lang w:val="en-GB"/>
        </w:rPr>
        <w:t xml:space="preserve">. Then, (3) </w:t>
      </w:r>
      <w:r w:rsidR="00911486">
        <w:rPr>
          <w:lang w:val="en-GB"/>
        </w:rPr>
        <w:t xml:space="preserve">the reaction was started by adding a weighted amount of </w:t>
      </w:r>
      <w:r w:rsidRPr="009B0F5A">
        <w:rPr>
          <w:lang w:val="en-GB"/>
        </w:rPr>
        <w:t xml:space="preserve">CMF </w:t>
      </w:r>
      <w:r w:rsidR="00911486">
        <w:rPr>
          <w:lang w:val="en-GB"/>
        </w:rPr>
        <w:t>into each</w:t>
      </w:r>
      <w:r w:rsidRPr="009B0F5A">
        <w:rPr>
          <w:lang w:val="en-GB"/>
        </w:rPr>
        <w:t xml:space="preserve"> </w:t>
      </w:r>
      <w:r w:rsidR="00911486">
        <w:rPr>
          <w:lang w:val="en-GB"/>
        </w:rPr>
        <w:t>reactor vial</w:t>
      </w:r>
      <w:r w:rsidR="00914A83">
        <w:rPr>
          <w:lang w:val="en-GB"/>
        </w:rPr>
        <w:t xml:space="preserve"> (2.350 – 3.100</w:t>
      </w:r>
      <w:r w:rsidR="00914A83">
        <w:rPr>
          <w:rFonts w:cs="Arial"/>
          <w:lang w:val="en-GB"/>
        </w:rPr>
        <w:t>ꞏ</w:t>
      </w:r>
      <w:r w:rsidR="00914A83">
        <w:rPr>
          <w:lang w:val="en-GB"/>
        </w:rPr>
        <w:t>10</w:t>
      </w:r>
      <w:r w:rsidR="00914A83" w:rsidRPr="00914A83">
        <w:rPr>
          <w:vertAlign w:val="superscript"/>
          <w:lang w:val="en-GB"/>
        </w:rPr>
        <w:t>-3</w:t>
      </w:r>
      <w:r w:rsidR="00914A83">
        <w:rPr>
          <w:lang w:val="en-GB"/>
        </w:rPr>
        <w:t xml:space="preserve"> g)</w:t>
      </w:r>
      <w:r w:rsidR="00911486">
        <w:rPr>
          <w:lang w:val="en-GB"/>
        </w:rPr>
        <w:t xml:space="preserve">, to reach an initial concentration of </w:t>
      </w:r>
      <w:r w:rsidR="002C5F40" w:rsidRPr="002C5F40">
        <w:rPr>
          <w:lang w:val="en-GB"/>
        </w:rPr>
        <w:t>0.03</w:t>
      </w:r>
      <w:r w:rsidR="002C5F40">
        <w:rPr>
          <w:lang w:val="en-GB"/>
        </w:rPr>
        <w:t>5</w:t>
      </w:r>
      <w:r w:rsidR="00663B60">
        <w:rPr>
          <w:lang w:val="en-GB"/>
        </w:rPr>
        <w:t>5</w:t>
      </w:r>
      <w:r w:rsidR="002C5F40">
        <w:rPr>
          <w:lang w:val="en-GB"/>
        </w:rPr>
        <w:t xml:space="preserve"> mol/L</w:t>
      </w:r>
      <w:r w:rsidR="00663B60">
        <w:rPr>
          <w:lang w:val="en-GB"/>
        </w:rPr>
        <w:t xml:space="preserve"> (CMF</w:t>
      </w:r>
      <w:r w:rsidR="00663B60" w:rsidRPr="00663B60">
        <w:rPr>
          <w:vertAlign w:val="subscript"/>
          <w:lang w:val="en-GB"/>
        </w:rPr>
        <w:t>0</w:t>
      </w:r>
      <w:r w:rsidR="00663B60">
        <w:rPr>
          <w:lang w:val="en-GB"/>
        </w:rPr>
        <w:t>)</w:t>
      </w:r>
      <w:r w:rsidRPr="009B0F5A">
        <w:rPr>
          <w:lang w:val="en-GB"/>
        </w:rPr>
        <w:t xml:space="preserve">. The batch reaction time </w:t>
      </w:r>
      <w:r w:rsidR="000A5281">
        <w:rPr>
          <w:lang w:val="en-GB"/>
        </w:rPr>
        <w:t>varied between 0.25 and 4 h. (4) T</w:t>
      </w:r>
      <w:r w:rsidR="00911486">
        <w:rPr>
          <w:lang w:val="en-GB"/>
        </w:rPr>
        <w:t xml:space="preserve">he reaction </w:t>
      </w:r>
      <w:r w:rsidR="00663B60">
        <w:rPr>
          <w:lang w:val="en-GB"/>
        </w:rPr>
        <w:t>was ended</w:t>
      </w:r>
      <w:r w:rsidR="00911486">
        <w:rPr>
          <w:lang w:val="en-GB"/>
        </w:rPr>
        <w:t xml:space="preserve"> </w:t>
      </w:r>
      <w:r w:rsidRPr="009B0F5A">
        <w:rPr>
          <w:lang w:val="en-GB"/>
        </w:rPr>
        <w:t xml:space="preserve">by quenching the reactor vials into an ice bath. </w:t>
      </w:r>
      <w:r w:rsidR="00911486">
        <w:rPr>
          <w:lang w:val="en-GB"/>
        </w:rPr>
        <w:t>Finally</w:t>
      </w:r>
      <w:r w:rsidRPr="009B0F5A">
        <w:rPr>
          <w:lang w:val="en-GB"/>
        </w:rPr>
        <w:t>, (</w:t>
      </w:r>
      <w:r w:rsidR="00911486">
        <w:rPr>
          <w:lang w:val="en-GB"/>
        </w:rPr>
        <w:t>5</w:t>
      </w:r>
      <w:r w:rsidRPr="009B0F5A">
        <w:rPr>
          <w:lang w:val="en-GB"/>
        </w:rPr>
        <w:t xml:space="preserve">) </w:t>
      </w:r>
      <w:r w:rsidR="00663B60">
        <w:rPr>
          <w:lang w:val="en-GB"/>
        </w:rPr>
        <w:t>the resulting solutions were</w:t>
      </w:r>
      <w:r w:rsidR="00E05C8F">
        <w:rPr>
          <w:lang w:val="en-GB"/>
        </w:rPr>
        <w:t xml:space="preserve"> quickly</w:t>
      </w:r>
      <w:r w:rsidR="00663B60">
        <w:rPr>
          <w:lang w:val="en-GB"/>
        </w:rPr>
        <w:t xml:space="preserve"> filtered, diluted with the analysis solvents (including external standards), </w:t>
      </w:r>
      <w:r w:rsidR="00A2783A">
        <w:rPr>
          <w:lang w:val="en-GB"/>
        </w:rPr>
        <w:t xml:space="preserve">and </w:t>
      </w:r>
      <w:proofErr w:type="spellStart"/>
      <w:r w:rsidR="00A2783A">
        <w:rPr>
          <w:lang w:val="en-GB"/>
        </w:rPr>
        <w:t>analy</w:t>
      </w:r>
      <w:r w:rsidR="000A5281">
        <w:rPr>
          <w:lang w:val="en-GB"/>
        </w:rPr>
        <w:t>z</w:t>
      </w:r>
      <w:r w:rsidR="00A2783A">
        <w:rPr>
          <w:lang w:val="en-GB"/>
        </w:rPr>
        <w:t>ed</w:t>
      </w:r>
      <w:proofErr w:type="spellEnd"/>
      <w:r w:rsidR="00A2783A">
        <w:rPr>
          <w:lang w:val="en-GB"/>
        </w:rPr>
        <w:t xml:space="preserve"> by gas chromatography (</w:t>
      </w:r>
      <w:r w:rsidRPr="009B0F5A">
        <w:rPr>
          <w:lang w:val="en-GB"/>
        </w:rPr>
        <w:t>GC</w:t>
      </w:r>
      <w:r w:rsidR="00A2783A">
        <w:rPr>
          <w:lang w:val="en-GB"/>
        </w:rPr>
        <w:t>)</w:t>
      </w:r>
      <w:r w:rsidRPr="009B0F5A">
        <w:rPr>
          <w:lang w:val="en-GB"/>
        </w:rPr>
        <w:t xml:space="preserve"> and </w:t>
      </w:r>
      <w:r w:rsidR="00A2783A" w:rsidRPr="00A2783A">
        <w:rPr>
          <w:lang w:val="en-GB"/>
        </w:rPr>
        <w:t xml:space="preserve">Ultra-performance liquid chromatography </w:t>
      </w:r>
      <w:r w:rsidR="00A2783A">
        <w:rPr>
          <w:lang w:val="en-GB"/>
        </w:rPr>
        <w:t>(</w:t>
      </w:r>
      <w:r w:rsidRPr="009B0F5A">
        <w:rPr>
          <w:lang w:val="en-GB"/>
        </w:rPr>
        <w:t>UPLC</w:t>
      </w:r>
      <w:r w:rsidR="00A2783A">
        <w:rPr>
          <w:lang w:val="en-GB"/>
        </w:rPr>
        <w:t>)</w:t>
      </w:r>
      <w:r w:rsidR="00663B60">
        <w:rPr>
          <w:lang w:val="en-GB"/>
        </w:rPr>
        <w:t>.</w:t>
      </w:r>
    </w:p>
    <w:p w14:paraId="3D8EF059" w14:textId="1595247C" w:rsidR="00566724" w:rsidRDefault="00566724" w:rsidP="00156317">
      <w:pPr>
        <w:pStyle w:val="CETheadingx"/>
      </w:pPr>
      <w:r>
        <w:t>Analytic</w:t>
      </w:r>
      <w:r w:rsidR="00100FA9">
        <w:t>al Methods</w:t>
      </w:r>
    </w:p>
    <w:p w14:paraId="042D6DDC" w14:textId="337D9398" w:rsidR="00B37E2F" w:rsidRDefault="00663B60" w:rsidP="00566724">
      <w:pPr>
        <w:pStyle w:val="CETBodytext"/>
        <w:rPr>
          <w:lang w:val="en-GB"/>
        </w:rPr>
      </w:pPr>
      <w:r w:rsidRPr="00663B60">
        <w:rPr>
          <w:lang w:val="en-GB"/>
        </w:rPr>
        <w:t xml:space="preserve">CMF, CMFA, LA, and LM were </w:t>
      </w:r>
      <w:r w:rsidR="00157F74" w:rsidRPr="00663B60">
        <w:rPr>
          <w:lang w:val="en-GB"/>
        </w:rPr>
        <w:t>analysed</w:t>
      </w:r>
      <w:r w:rsidRPr="00663B60">
        <w:rPr>
          <w:lang w:val="en-GB"/>
        </w:rPr>
        <w:t xml:space="preserve"> using a Trace 1310 GC (Thermo Scientific) equipped with </w:t>
      </w:r>
      <w:r w:rsidR="001340A8" w:rsidRPr="00663B60">
        <w:rPr>
          <w:lang w:val="en-GB"/>
        </w:rPr>
        <w:t>an</w:t>
      </w:r>
      <w:r w:rsidRPr="00663B60">
        <w:rPr>
          <w:lang w:val="en-GB"/>
        </w:rPr>
        <w:t xml:space="preserve"> FID detector and an HP DB-624 column (30 m x 0.25 m x 1.4 µm, J&amp;W Agilent)</w:t>
      </w:r>
      <w:r w:rsidR="001340A8">
        <w:rPr>
          <w:lang w:val="en-GB"/>
        </w:rPr>
        <w:t xml:space="preserve">, using </w:t>
      </w:r>
      <w:bookmarkStart w:id="3" w:name="_Hlk154846398"/>
      <w:r w:rsidRPr="00663B60">
        <w:rPr>
          <w:lang w:val="en-GB"/>
        </w:rPr>
        <w:t>1,4-dioxane</w:t>
      </w:r>
      <w:r>
        <w:rPr>
          <w:lang w:val="en-GB"/>
        </w:rPr>
        <w:t xml:space="preserve"> and acetonitrile </w:t>
      </w:r>
      <w:bookmarkEnd w:id="3"/>
      <w:r>
        <w:rPr>
          <w:lang w:val="en-GB"/>
        </w:rPr>
        <w:t>as external standard and analysis solvent</w:t>
      </w:r>
      <w:r w:rsidR="001340A8">
        <w:rPr>
          <w:lang w:val="en-GB"/>
        </w:rPr>
        <w:t>, respectively</w:t>
      </w:r>
      <w:r>
        <w:rPr>
          <w:lang w:val="en-GB"/>
        </w:rPr>
        <w:t xml:space="preserve">. </w:t>
      </w:r>
      <w:r w:rsidR="001340A8">
        <w:rPr>
          <w:lang w:val="en-GB"/>
        </w:rPr>
        <w:t xml:space="preserve">The GC was operated at 250°C, with a </w:t>
      </w:r>
      <w:r w:rsidR="001340A8" w:rsidRPr="00566724">
        <w:rPr>
          <w:lang w:val="en-GB"/>
        </w:rPr>
        <w:t>2.5 mL/min</w:t>
      </w:r>
      <w:r w:rsidR="001340A8">
        <w:rPr>
          <w:lang w:val="en-GB"/>
        </w:rPr>
        <w:t xml:space="preserve"> </w:t>
      </w:r>
      <w:r w:rsidR="00147C61">
        <w:rPr>
          <w:lang w:val="en-GB"/>
        </w:rPr>
        <w:t>He flow</w:t>
      </w:r>
      <w:r w:rsidR="00566724" w:rsidRPr="00566724">
        <w:rPr>
          <w:lang w:val="en-GB"/>
        </w:rPr>
        <w:t xml:space="preserve">. </w:t>
      </w:r>
    </w:p>
    <w:p w14:paraId="196A762B" w14:textId="6DCC3A7E" w:rsidR="00147C61" w:rsidRDefault="00A2783A" w:rsidP="00566724">
      <w:pPr>
        <w:pStyle w:val="CETBodytext"/>
        <w:rPr>
          <w:lang w:val="en-GB"/>
        </w:rPr>
      </w:pPr>
      <w:r>
        <w:rPr>
          <w:lang w:val="en-GB"/>
        </w:rPr>
        <w:lastRenderedPageBreak/>
        <w:t xml:space="preserve">MMF </w:t>
      </w:r>
      <w:r w:rsidR="001340A8">
        <w:rPr>
          <w:lang w:val="en-GB"/>
        </w:rPr>
        <w:t>and</w:t>
      </w:r>
      <w:r>
        <w:rPr>
          <w:lang w:val="en-GB"/>
        </w:rPr>
        <w:t xml:space="preserve"> </w:t>
      </w:r>
      <w:r w:rsidR="005B54DA">
        <w:rPr>
          <w:lang w:val="en-GB"/>
        </w:rPr>
        <w:t xml:space="preserve">MMFA </w:t>
      </w:r>
      <w:r>
        <w:rPr>
          <w:lang w:val="en-GB"/>
        </w:rPr>
        <w:t>were</w:t>
      </w:r>
      <w:r w:rsidR="00566724" w:rsidRPr="00566724">
        <w:rPr>
          <w:lang w:val="en-GB"/>
        </w:rPr>
        <w:t xml:space="preserve"> measured </w:t>
      </w:r>
      <w:r w:rsidR="001340A8">
        <w:rPr>
          <w:lang w:val="en-GB"/>
        </w:rPr>
        <w:t>by</w:t>
      </w:r>
      <w:r w:rsidR="00566724" w:rsidRPr="00566724">
        <w:rPr>
          <w:lang w:val="en-GB"/>
        </w:rPr>
        <w:t xml:space="preserve"> </w:t>
      </w:r>
      <w:r w:rsidR="001340A8" w:rsidRPr="00566724">
        <w:rPr>
          <w:lang w:val="en-GB"/>
        </w:rPr>
        <w:t>an</w:t>
      </w:r>
      <w:r w:rsidR="00566724" w:rsidRPr="00566724">
        <w:rPr>
          <w:lang w:val="en-GB"/>
        </w:rPr>
        <w:t xml:space="preserve"> </w:t>
      </w:r>
      <w:proofErr w:type="spellStart"/>
      <w:r w:rsidR="00566724" w:rsidRPr="00566724">
        <w:rPr>
          <w:lang w:val="en-GB"/>
        </w:rPr>
        <w:t>Acquity</w:t>
      </w:r>
      <w:proofErr w:type="spellEnd"/>
      <w:r w:rsidR="00566724" w:rsidRPr="00566724">
        <w:rPr>
          <w:lang w:val="en-GB"/>
        </w:rPr>
        <w:t xml:space="preserve"> UPLC </w:t>
      </w:r>
      <w:r w:rsidR="00147C61">
        <w:rPr>
          <w:lang w:val="en-GB"/>
        </w:rPr>
        <w:t>(</w:t>
      </w:r>
      <w:r w:rsidR="00147C61" w:rsidRPr="00566724">
        <w:rPr>
          <w:lang w:val="en-GB"/>
        </w:rPr>
        <w:t>Waters</w:t>
      </w:r>
      <w:r w:rsidR="00147C61">
        <w:rPr>
          <w:lang w:val="en-GB"/>
        </w:rPr>
        <w:t>)</w:t>
      </w:r>
      <w:r w:rsidR="001340A8">
        <w:rPr>
          <w:lang w:val="en-GB"/>
        </w:rPr>
        <w:t>,</w:t>
      </w:r>
      <w:r w:rsidR="00147C61" w:rsidRPr="00566724">
        <w:rPr>
          <w:lang w:val="en-GB"/>
        </w:rPr>
        <w:t xml:space="preserve"> </w:t>
      </w:r>
      <w:r w:rsidR="00566724" w:rsidRPr="00566724">
        <w:rPr>
          <w:lang w:val="en-GB"/>
        </w:rPr>
        <w:t xml:space="preserve">equipped with an </w:t>
      </w:r>
      <w:proofErr w:type="spellStart"/>
      <w:r w:rsidR="00566724" w:rsidRPr="00566724">
        <w:rPr>
          <w:lang w:val="en-GB"/>
        </w:rPr>
        <w:t>Acquity</w:t>
      </w:r>
      <w:proofErr w:type="spellEnd"/>
      <w:r w:rsidR="00566724" w:rsidRPr="00566724">
        <w:rPr>
          <w:lang w:val="en-GB"/>
        </w:rPr>
        <w:t xml:space="preserve"> ULPC BEH C18 </w:t>
      </w:r>
      <w:r w:rsidR="00147C61">
        <w:rPr>
          <w:lang w:val="en-GB"/>
        </w:rPr>
        <w:t>(</w:t>
      </w:r>
      <w:r w:rsidR="00566724" w:rsidRPr="00566724">
        <w:rPr>
          <w:lang w:val="en-GB"/>
        </w:rPr>
        <w:t>2.1x5.0 mm, 1.7 µm</w:t>
      </w:r>
      <w:r w:rsidR="00147C61">
        <w:rPr>
          <w:lang w:val="en-GB"/>
        </w:rPr>
        <w:t>, Waters)</w:t>
      </w:r>
      <w:r w:rsidR="00566724" w:rsidRPr="00566724">
        <w:rPr>
          <w:lang w:val="en-GB"/>
        </w:rPr>
        <w:t xml:space="preserve"> column</w:t>
      </w:r>
      <w:r w:rsidR="001340A8">
        <w:rPr>
          <w:lang w:val="en-GB"/>
        </w:rPr>
        <w:t>, and employing</w:t>
      </w:r>
      <w:bookmarkStart w:id="4" w:name="_Hlk154846459"/>
      <w:r w:rsidR="001340A8">
        <w:rPr>
          <w:lang w:val="en-GB"/>
        </w:rPr>
        <w:t xml:space="preserve"> s</w:t>
      </w:r>
      <w:r w:rsidR="00663B60" w:rsidRPr="00566724">
        <w:rPr>
          <w:lang w:val="en-GB"/>
        </w:rPr>
        <w:t>accharine</w:t>
      </w:r>
      <w:r w:rsidR="00663B60">
        <w:rPr>
          <w:lang w:val="en-GB"/>
        </w:rPr>
        <w:t xml:space="preserve"> and ultrapure water </w:t>
      </w:r>
      <w:bookmarkEnd w:id="4"/>
      <w:r w:rsidR="00663B60" w:rsidRPr="00566724">
        <w:rPr>
          <w:lang w:val="en-GB"/>
        </w:rPr>
        <w:t>as external standard</w:t>
      </w:r>
      <w:r w:rsidR="00566724" w:rsidRPr="00566724">
        <w:rPr>
          <w:lang w:val="en-GB"/>
        </w:rPr>
        <w:t xml:space="preserve"> </w:t>
      </w:r>
      <w:r w:rsidR="00663B60">
        <w:rPr>
          <w:lang w:val="en-GB"/>
        </w:rPr>
        <w:t xml:space="preserve">and analysis solvent, respectively. </w:t>
      </w:r>
      <w:r w:rsidR="00147C61">
        <w:rPr>
          <w:lang w:val="en-GB"/>
        </w:rPr>
        <w:t>The</w:t>
      </w:r>
      <w:r w:rsidR="00076253">
        <w:rPr>
          <w:lang w:val="en-GB"/>
        </w:rPr>
        <w:t xml:space="preserve"> employed </w:t>
      </w:r>
      <w:r w:rsidR="00566724" w:rsidRPr="00566724">
        <w:rPr>
          <w:lang w:val="en-GB"/>
        </w:rPr>
        <w:t>mobile phase (0.6 mL/min)</w:t>
      </w:r>
      <w:r w:rsidR="00147C61">
        <w:rPr>
          <w:lang w:val="en-GB"/>
        </w:rPr>
        <w:t xml:space="preserve">, </w:t>
      </w:r>
      <w:r w:rsidR="00076253">
        <w:rPr>
          <w:lang w:val="en-GB"/>
        </w:rPr>
        <w:t>consist</w:t>
      </w:r>
      <w:r w:rsidR="000A5281">
        <w:rPr>
          <w:lang w:val="en-GB"/>
        </w:rPr>
        <w:t>ing</w:t>
      </w:r>
      <w:r w:rsidR="00147C61">
        <w:rPr>
          <w:lang w:val="en-GB"/>
        </w:rPr>
        <w:t xml:space="preserve"> of</w:t>
      </w:r>
      <w:r w:rsidR="00566724" w:rsidRPr="00566724">
        <w:rPr>
          <w:lang w:val="en-GB"/>
        </w:rPr>
        <w:t xml:space="preserve"> acetonitrile/methanol (1:1, A) and water (0.2 </w:t>
      </w:r>
      <w:proofErr w:type="spellStart"/>
      <w:r w:rsidR="00566724" w:rsidRPr="00566724">
        <w:rPr>
          <w:lang w:val="en-GB"/>
        </w:rPr>
        <w:t>wt</w:t>
      </w:r>
      <w:proofErr w:type="spellEnd"/>
      <w:r w:rsidR="00566724" w:rsidRPr="00566724">
        <w:rPr>
          <w:lang w:val="en-GB"/>
        </w:rPr>
        <w:t>% TFA, B)</w:t>
      </w:r>
      <w:r w:rsidR="00B55EDB">
        <w:rPr>
          <w:lang w:val="en-GB"/>
        </w:rPr>
        <w:t>,</w:t>
      </w:r>
      <w:r w:rsidR="00566724" w:rsidRPr="00566724">
        <w:rPr>
          <w:lang w:val="en-GB"/>
        </w:rPr>
        <w:t xml:space="preserve"> was </w:t>
      </w:r>
      <w:r w:rsidR="00076253">
        <w:rPr>
          <w:lang w:val="en-GB"/>
        </w:rPr>
        <w:t>delivered</w:t>
      </w:r>
      <w:r w:rsidR="00566724" w:rsidRPr="00566724">
        <w:rPr>
          <w:lang w:val="en-GB"/>
        </w:rPr>
        <w:t xml:space="preserve"> with a gradient</w:t>
      </w:r>
      <w:r w:rsidR="00076253">
        <w:rPr>
          <w:lang w:val="en-GB"/>
        </w:rPr>
        <w:t xml:space="preserve"> starting</w:t>
      </w:r>
      <w:r w:rsidR="00566724" w:rsidRPr="00566724">
        <w:rPr>
          <w:lang w:val="en-GB"/>
        </w:rPr>
        <w:t xml:space="preserve"> from 98% A </w:t>
      </w:r>
      <w:r w:rsidR="00147C61">
        <w:rPr>
          <w:lang w:val="en-GB"/>
        </w:rPr>
        <w:t>(</w:t>
      </w:r>
      <w:r w:rsidR="00566724" w:rsidRPr="00566724">
        <w:rPr>
          <w:lang w:val="en-GB"/>
        </w:rPr>
        <w:t>2% B</w:t>
      </w:r>
      <w:r w:rsidR="00147C61">
        <w:rPr>
          <w:lang w:val="en-GB"/>
        </w:rPr>
        <w:t>)</w:t>
      </w:r>
      <w:r w:rsidR="00566724" w:rsidRPr="00566724">
        <w:rPr>
          <w:lang w:val="en-GB"/>
        </w:rPr>
        <w:t xml:space="preserve"> up to 2% A </w:t>
      </w:r>
      <w:r w:rsidR="00147C61">
        <w:rPr>
          <w:lang w:val="en-GB"/>
        </w:rPr>
        <w:t>(</w:t>
      </w:r>
      <w:r w:rsidR="00566724" w:rsidRPr="00566724">
        <w:rPr>
          <w:lang w:val="en-GB"/>
        </w:rPr>
        <w:t>98% B</w:t>
      </w:r>
      <w:r w:rsidR="00147C61">
        <w:rPr>
          <w:lang w:val="en-GB"/>
        </w:rPr>
        <w:t>)</w:t>
      </w:r>
      <w:r w:rsidR="00566724" w:rsidRPr="00566724">
        <w:rPr>
          <w:lang w:val="en-GB"/>
        </w:rPr>
        <w:t xml:space="preserve">. MMF </w:t>
      </w:r>
      <w:r w:rsidR="00147C61">
        <w:rPr>
          <w:lang w:val="en-GB"/>
        </w:rPr>
        <w:t>and s</w:t>
      </w:r>
      <w:r w:rsidR="00147C61" w:rsidRPr="00566724">
        <w:rPr>
          <w:lang w:val="en-GB"/>
        </w:rPr>
        <w:t xml:space="preserve">accharine </w:t>
      </w:r>
      <w:r w:rsidR="00147C61">
        <w:rPr>
          <w:lang w:val="en-GB"/>
        </w:rPr>
        <w:t>were</w:t>
      </w:r>
      <w:r w:rsidR="00076253">
        <w:rPr>
          <w:lang w:val="en-GB"/>
        </w:rPr>
        <w:t xml:space="preserve"> </w:t>
      </w:r>
      <w:r w:rsidR="00566724" w:rsidRPr="00566724">
        <w:rPr>
          <w:lang w:val="en-GB"/>
        </w:rPr>
        <w:t xml:space="preserve">detected on a PDA </w:t>
      </w:r>
      <w:r w:rsidR="00076253">
        <w:rPr>
          <w:lang w:val="en-GB"/>
        </w:rPr>
        <w:t xml:space="preserve">detector </w:t>
      </w:r>
      <w:r w:rsidR="00566724" w:rsidRPr="00566724">
        <w:rPr>
          <w:lang w:val="en-GB"/>
        </w:rPr>
        <w:t xml:space="preserve">at 230 </w:t>
      </w:r>
      <w:r w:rsidR="00147C61">
        <w:rPr>
          <w:lang w:val="en-GB"/>
        </w:rPr>
        <w:t xml:space="preserve">and </w:t>
      </w:r>
      <w:r w:rsidR="00566724" w:rsidRPr="00566724">
        <w:rPr>
          <w:lang w:val="en-GB"/>
        </w:rPr>
        <w:t>250 nm</w:t>
      </w:r>
      <w:r w:rsidR="00147C61">
        <w:rPr>
          <w:lang w:val="en-GB"/>
        </w:rPr>
        <w:t>, respectively</w:t>
      </w:r>
      <w:r w:rsidR="00566724" w:rsidRPr="00566724">
        <w:rPr>
          <w:lang w:val="en-GB"/>
        </w:rPr>
        <w:t>.</w:t>
      </w:r>
      <w:r w:rsidR="00147C61" w:rsidRPr="00147C61">
        <w:rPr>
          <w:lang w:val="en-GB"/>
        </w:rPr>
        <w:t xml:space="preserve"> </w:t>
      </w:r>
    </w:p>
    <w:p w14:paraId="4B4EF389" w14:textId="10810821" w:rsidR="00623C7C" w:rsidRDefault="00623C7C" w:rsidP="00156317">
      <w:pPr>
        <w:pStyle w:val="CETheadingx"/>
      </w:pPr>
      <w:r>
        <w:t>Reaction Performance Evaluation</w:t>
      </w:r>
    </w:p>
    <w:p w14:paraId="490816D2" w14:textId="786ADC65" w:rsidR="00566724" w:rsidRDefault="00A950F6" w:rsidP="00566724">
      <w:pPr>
        <w:pStyle w:val="CETBodytext"/>
        <w:rPr>
          <w:lang w:val="en-GB"/>
        </w:rPr>
      </w:pPr>
      <w:proofErr w:type="spellStart"/>
      <w:r>
        <w:rPr>
          <w:lang w:val="en-GB"/>
        </w:rPr>
        <w:t>Humins</w:t>
      </w:r>
      <w:proofErr w:type="spellEnd"/>
      <w:r>
        <w:rPr>
          <w:lang w:val="en-GB"/>
        </w:rPr>
        <w:t xml:space="preserve"> are </w:t>
      </w:r>
      <w:r w:rsidR="000A5281">
        <w:rPr>
          <w:lang w:val="en-GB"/>
        </w:rPr>
        <w:t>challenging</w:t>
      </w:r>
      <w:r>
        <w:rPr>
          <w:lang w:val="en-GB"/>
        </w:rPr>
        <w:t xml:space="preserve"> to measure due to their insolubility in most solvents</w:t>
      </w:r>
      <w:r w:rsidR="000A5281">
        <w:rPr>
          <w:lang w:val="en-GB"/>
        </w:rPr>
        <w:t>. T</w:t>
      </w:r>
      <w:r>
        <w:rPr>
          <w:lang w:val="en-GB"/>
        </w:rPr>
        <w:t xml:space="preserve">herefore, these species and other </w:t>
      </w:r>
      <w:r w:rsidR="001F096C">
        <w:rPr>
          <w:lang w:val="en-GB"/>
        </w:rPr>
        <w:t xml:space="preserve">unmeasured </w:t>
      </w:r>
      <w:r>
        <w:rPr>
          <w:lang w:val="en-GB"/>
        </w:rPr>
        <w:t xml:space="preserve">by-products were </w:t>
      </w:r>
      <w:r w:rsidR="001F096C">
        <w:rPr>
          <w:lang w:val="en-GB"/>
        </w:rPr>
        <w:t xml:space="preserve">considered in the same lump (UM) and </w:t>
      </w:r>
      <w:r>
        <w:rPr>
          <w:lang w:val="en-GB"/>
        </w:rPr>
        <w:t xml:space="preserve">calculated by </w:t>
      </w:r>
      <w:proofErr w:type="spellStart"/>
      <w:proofErr w:type="gramStart"/>
      <w:r>
        <w:rPr>
          <w:lang w:val="en-GB"/>
        </w:rPr>
        <w:t>Eq</w:t>
      </w:r>
      <w:proofErr w:type="spellEnd"/>
      <w:r>
        <w:rPr>
          <w:lang w:val="en-GB"/>
        </w:rPr>
        <w:t>(</w:t>
      </w:r>
      <w:proofErr w:type="gramEnd"/>
      <w:r>
        <w:rPr>
          <w:lang w:val="en-GB"/>
        </w:rPr>
        <w:t xml:space="preserve">1). </w:t>
      </w:r>
      <w:r w:rsidR="001F096C">
        <w:rPr>
          <w:lang w:val="en-GB"/>
        </w:rPr>
        <w:t xml:space="preserve">CMF </w:t>
      </w:r>
      <w:r>
        <w:rPr>
          <w:lang w:val="en-GB"/>
        </w:rPr>
        <w:t xml:space="preserve">conversion and product yields </w:t>
      </w:r>
      <w:r w:rsidR="001F096C">
        <w:rPr>
          <w:lang w:val="en-GB"/>
        </w:rPr>
        <w:t>(</w:t>
      </w:r>
      <m:oMath>
        <m:sSub>
          <m:sSubPr>
            <m:ctrlPr>
              <w:rPr>
                <w:rFonts w:ascii="Cambria Math" w:hAnsi="Cambria Math"/>
              </w:rPr>
            </m:ctrlPr>
          </m:sSubPr>
          <m:e>
            <m:r>
              <w:rPr>
                <w:rFonts w:ascii="Cambria Math" w:hAnsi="Cambria Math"/>
              </w:rPr>
              <m:t>Y</m:t>
            </m:r>
          </m:e>
          <m:sub>
            <m:r>
              <w:rPr>
                <w:rFonts w:ascii="Cambria Math" w:hAnsi="Cambria Math"/>
              </w:rPr>
              <m:t>i</m:t>
            </m:r>
          </m:sub>
        </m:sSub>
      </m:oMath>
      <w:r w:rsidR="001F096C">
        <w:t xml:space="preserve">) </w:t>
      </w:r>
      <w:r>
        <w:rPr>
          <w:lang w:val="en-GB"/>
        </w:rPr>
        <w:t xml:space="preserve">were </w:t>
      </w:r>
      <w:r w:rsidR="000A5281">
        <w:rPr>
          <w:lang w:val="en-GB"/>
        </w:rPr>
        <w:t>estim</w:t>
      </w:r>
      <w:r>
        <w:rPr>
          <w:lang w:val="en-GB"/>
        </w:rPr>
        <w:t xml:space="preserve">ated through </w:t>
      </w:r>
      <w:proofErr w:type="spellStart"/>
      <w:proofErr w:type="gramStart"/>
      <w:r>
        <w:rPr>
          <w:lang w:val="en-GB"/>
        </w:rPr>
        <w:t>Eq</w:t>
      </w:r>
      <w:proofErr w:type="spellEnd"/>
      <w:r>
        <w:rPr>
          <w:lang w:val="en-GB"/>
        </w:rPr>
        <w:t>(</w:t>
      </w:r>
      <w:proofErr w:type="gramEnd"/>
      <w:r>
        <w:rPr>
          <w:lang w:val="en-GB"/>
        </w:rPr>
        <w:t>2-3).</w:t>
      </w:r>
      <w:r w:rsidR="00FB366E" w:rsidRPr="00FB366E">
        <w:rPr>
          <w:lang w:val="en-GB"/>
        </w:rPr>
        <w:t xml:space="preserve"> </w:t>
      </w:r>
    </w:p>
    <w:tbl>
      <w:tblPr>
        <w:tblW w:w="5000" w:type="pct"/>
        <w:tblLook w:val="04A0" w:firstRow="1" w:lastRow="0" w:firstColumn="1" w:lastColumn="0" w:noHBand="0" w:noVBand="1"/>
      </w:tblPr>
      <w:tblGrid>
        <w:gridCol w:w="7981"/>
        <w:gridCol w:w="806"/>
      </w:tblGrid>
      <w:tr w:rsidR="00EC11E7" w:rsidRPr="00B57B36" w14:paraId="5CC2BADB" w14:textId="77777777" w:rsidTr="001F096C">
        <w:tc>
          <w:tcPr>
            <w:tcW w:w="7981" w:type="dxa"/>
            <w:shd w:val="clear" w:color="auto" w:fill="auto"/>
            <w:vAlign w:val="center"/>
          </w:tcPr>
          <w:p w14:paraId="74D86081" w14:textId="7BBF8F96" w:rsidR="00EC11E7" w:rsidRPr="00EC11E7" w:rsidRDefault="000B7C10" w:rsidP="002208A7">
            <w:pPr>
              <w:pStyle w:val="CETEquation"/>
            </w:pPr>
            <m:oMathPara>
              <m:oMathParaPr>
                <m:jc m:val="left"/>
              </m:oMathParaPr>
              <m:oMath>
                <m:sSub>
                  <m:sSubPr>
                    <m:ctrlPr>
                      <w:rPr>
                        <w:rFonts w:ascii="Cambria Math" w:hAnsi="Cambria Math"/>
                        <w:i/>
                        <w:iCs/>
                      </w:rPr>
                    </m:ctrlPr>
                  </m:sSubPr>
                  <m:e>
                    <m:r>
                      <w:rPr>
                        <w:rFonts w:ascii="Cambria Math" w:hAnsi="Cambria Math"/>
                      </w:rPr>
                      <m:t>c</m:t>
                    </m:r>
                  </m:e>
                  <m:sub>
                    <m:r>
                      <w:rPr>
                        <w:rFonts w:ascii="Cambria Math" w:hAnsi="Cambria Math"/>
                      </w:rPr>
                      <m:t>UM</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w:rPr>
                        <w:rFonts w:ascii="Cambria Math" w:hAnsi="Cambria Math"/>
                      </w:rPr>
                      <m:t>CM</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w:rPr>
                        <w:rFonts w:ascii="Cambria Math" w:hAnsi="Cambria Math"/>
                      </w:rPr>
                      <m:t>CMF</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r>
                      <w:rPr>
                        <w:rFonts w:ascii="Cambria Math" w:hAnsi="Cambria Math"/>
                      </w:rPr>
                      <m:t>CMFA</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MMF</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MMFA</m:t>
                    </m:r>
                  </m:sub>
                </m:sSub>
                <m:r>
                  <m:rPr>
                    <m:sty m:val="p"/>
                  </m:rPr>
                  <w:rPr>
                    <w:rFonts w:ascii="Cambria Math" w:hAnsi="Cambria Math"/>
                  </w:rPr>
                  <m:t>)</m:t>
                </m:r>
              </m:oMath>
            </m:oMathPara>
          </w:p>
        </w:tc>
        <w:tc>
          <w:tcPr>
            <w:tcW w:w="806" w:type="dxa"/>
            <w:shd w:val="clear" w:color="auto" w:fill="auto"/>
            <w:vAlign w:val="center"/>
          </w:tcPr>
          <w:p w14:paraId="2BFB24E2" w14:textId="0DF9398E" w:rsidR="00EC11E7" w:rsidRPr="00B57B36" w:rsidRDefault="00EC11E7" w:rsidP="00EC11E7">
            <w:pPr>
              <w:pStyle w:val="CETEquation"/>
              <w:jc w:val="right"/>
            </w:pPr>
            <w:r w:rsidRPr="00B57B36">
              <w:t>(</w:t>
            </w:r>
            <w:r w:rsidR="00FB366E">
              <w:t>1</w:t>
            </w:r>
            <w:r w:rsidRPr="00B57B36">
              <w:t>)</w:t>
            </w:r>
          </w:p>
        </w:tc>
      </w:tr>
      <w:tr w:rsidR="00A950F6" w:rsidRPr="00B57B36" w14:paraId="4F70DAE8" w14:textId="77777777" w:rsidTr="001F096C">
        <w:tc>
          <w:tcPr>
            <w:tcW w:w="7981" w:type="dxa"/>
            <w:shd w:val="clear" w:color="auto" w:fill="auto"/>
            <w:vAlign w:val="center"/>
          </w:tcPr>
          <w:p w14:paraId="3211D530" w14:textId="4B127873" w:rsidR="00A950F6" w:rsidRPr="00A950F6" w:rsidRDefault="000B7C10" w:rsidP="002208A7">
            <w:pPr>
              <w:pStyle w:val="CETEquation"/>
            </w:pPr>
            <m:oMathPara>
              <m:oMathParaPr>
                <m:jc m:val="left"/>
              </m:oMathParaPr>
              <m:oMath>
                <m:sSub>
                  <m:sSubPr>
                    <m:ctrlPr>
                      <w:rPr>
                        <w:rFonts w:ascii="Cambria Math" w:hAnsi="Cambria Math"/>
                      </w:rPr>
                    </m:ctrlPr>
                  </m:sSubPr>
                  <m:e>
                    <m:r>
                      <w:rPr>
                        <w:rFonts w:ascii="Cambria Math" w:hAnsi="Cambria Math"/>
                      </w:rPr>
                      <m:t>ε</m:t>
                    </m:r>
                  </m:e>
                  <m:sub>
                    <m:r>
                      <w:rPr>
                        <w:rFonts w:ascii="Cambria Math" w:hAnsi="Cambria Math"/>
                      </w:rPr>
                      <m:t>CMF</m:t>
                    </m:r>
                  </m:sub>
                </m:sSub>
                <m:r>
                  <m:rPr>
                    <m:sty m:val="p"/>
                  </m:rPr>
                  <w:rPr>
                    <w:rFonts w:ascii="Cambria Math" w:hAnsi="Cambria Math"/>
                  </w:rPr>
                  <m:t>=</m:t>
                </m:r>
                <m:f>
                  <m:fPr>
                    <m:ctrlPr>
                      <w:rPr>
                        <w:rFonts w:ascii="Cambria Math" w:hAnsi="Cambria Math"/>
                      </w:rPr>
                    </m:ctrlPr>
                  </m:fPr>
                  <m:num>
                    <m:sSub>
                      <m:sSubPr>
                        <m:ctrlPr>
                          <w:rPr>
                            <w:rFonts w:ascii="Cambria Math" w:hAnsi="Cambria Math"/>
                            <w:i/>
                            <w:iCs/>
                          </w:rPr>
                        </m:ctrlPr>
                      </m:sSubPr>
                      <m:e>
                        <m:r>
                          <w:rPr>
                            <w:rFonts w:ascii="Cambria Math" w:hAnsi="Cambria Math"/>
                          </w:rPr>
                          <m:t>c</m:t>
                        </m:r>
                      </m:e>
                      <m:sub>
                        <m:r>
                          <w:rPr>
                            <w:rFonts w:ascii="Cambria Math" w:hAnsi="Cambria Math"/>
                          </w:rPr>
                          <m:t>CMF</m:t>
                        </m:r>
                      </m:sub>
                    </m:sSub>
                    <m:r>
                      <m:rPr>
                        <m:sty m:val="p"/>
                      </m:rPr>
                      <w:rPr>
                        <w:rFonts w:ascii="Cambria Math" w:hAnsi="Cambria Math"/>
                      </w:rPr>
                      <m:t>-</m:t>
                    </m:r>
                    <m:sSub>
                      <m:sSubPr>
                        <m:ctrlPr>
                          <w:rPr>
                            <w:rFonts w:ascii="Cambria Math" w:hAnsi="Cambria Math"/>
                          </w:rPr>
                        </m:ctrlPr>
                      </m:sSubPr>
                      <m:e>
                        <m:r>
                          <w:rPr>
                            <w:rFonts w:ascii="Cambria Math" w:hAnsi="Cambria Math"/>
                          </w:rPr>
                          <m:t>c</m:t>
                        </m:r>
                      </m:e>
                      <m:sub>
                        <m:r>
                          <w:rPr>
                            <w:rFonts w:ascii="Cambria Math" w:hAnsi="Cambria Math"/>
                          </w:rPr>
                          <m:t>CM</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sub>
                    </m:sSub>
                  </m:num>
                  <m:den>
                    <m:sSub>
                      <m:sSubPr>
                        <m:ctrlPr>
                          <w:rPr>
                            <w:rFonts w:ascii="Cambria Math" w:hAnsi="Cambria Math"/>
                            <w:i/>
                            <w:iCs/>
                          </w:rPr>
                        </m:ctrlPr>
                      </m:sSubPr>
                      <m:e>
                        <m:r>
                          <w:rPr>
                            <w:rFonts w:ascii="Cambria Math" w:hAnsi="Cambria Math"/>
                          </w:rPr>
                          <m:t>c</m:t>
                        </m:r>
                      </m:e>
                      <m:sub>
                        <m:r>
                          <w:rPr>
                            <w:rFonts w:ascii="Cambria Math" w:hAnsi="Cambria Math"/>
                          </w:rPr>
                          <m:t>CM</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sub>
                    </m:sSub>
                  </m:den>
                </m:f>
              </m:oMath>
            </m:oMathPara>
          </w:p>
        </w:tc>
        <w:tc>
          <w:tcPr>
            <w:tcW w:w="806" w:type="dxa"/>
            <w:shd w:val="clear" w:color="auto" w:fill="auto"/>
            <w:vAlign w:val="center"/>
          </w:tcPr>
          <w:p w14:paraId="712C66CE" w14:textId="4F527B72" w:rsidR="00A950F6" w:rsidRDefault="00A950F6" w:rsidP="00EC11E7">
            <w:pPr>
              <w:pStyle w:val="CETEquation"/>
              <w:jc w:val="right"/>
            </w:pPr>
            <w:r>
              <w:t>(2)</w:t>
            </w:r>
          </w:p>
        </w:tc>
      </w:tr>
      <w:tr w:rsidR="00A950F6" w:rsidRPr="00B57B36" w14:paraId="13BC5747" w14:textId="77777777" w:rsidTr="001F096C">
        <w:tc>
          <w:tcPr>
            <w:tcW w:w="7981" w:type="dxa"/>
            <w:shd w:val="clear" w:color="auto" w:fill="auto"/>
            <w:vAlign w:val="center"/>
          </w:tcPr>
          <w:p w14:paraId="43F2459E" w14:textId="00F77945" w:rsidR="00A950F6" w:rsidRPr="00A950F6" w:rsidRDefault="000B7C10" w:rsidP="00A950F6">
            <w:pPr>
              <w:pStyle w:val="CETEquation"/>
            </w:pPr>
            <m:oMathPara>
              <m:oMathParaPr>
                <m:jc m:val="left"/>
              </m:oMathParaPr>
              <m:oMath>
                <m:sSub>
                  <m:sSubPr>
                    <m:ctrlPr>
                      <w:rPr>
                        <w:rFonts w:ascii="Cambria Math" w:hAnsi="Cambria Math"/>
                      </w:rPr>
                    </m:ctrlPr>
                  </m:sSubPr>
                  <m:e>
                    <m:r>
                      <w:rPr>
                        <w:rFonts w:ascii="Cambria Math" w:hAnsi="Cambria Math"/>
                      </w:rPr>
                      <m:t>Y</m:t>
                    </m:r>
                  </m:e>
                  <m:sub>
                    <m:r>
                      <w:rPr>
                        <w:rFonts w:ascii="Cambria Math" w:hAnsi="Cambria Math"/>
                      </w:rPr>
                      <m:t>i</m:t>
                    </m:r>
                  </m:sub>
                </m:sSub>
                <m:r>
                  <m:rPr>
                    <m:sty m:val="p"/>
                  </m:rPr>
                  <w:rPr>
                    <w:rFonts w:ascii="Cambria Math" w:hAnsi="Cambria Math"/>
                  </w:rPr>
                  <m:t>=</m:t>
                </m:r>
                <m:f>
                  <m:fPr>
                    <m:ctrlPr>
                      <w:rPr>
                        <w:rFonts w:ascii="Cambria Math" w:hAnsi="Cambria Math"/>
                      </w:rPr>
                    </m:ctrlPr>
                  </m:fPr>
                  <m:num>
                    <m:sSub>
                      <m:sSubPr>
                        <m:ctrlPr>
                          <w:rPr>
                            <w:rFonts w:ascii="Cambria Math" w:hAnsi="Cambria Math"/>
                            <w:i/>
                            <w:iCs/>
                          </w:rPr>
                        </m:ctrlPr>
                      </m:sSubPr>
                      <m:e>
                        <m:r>
                          <w:rPr>
                            <w:rFonts w:ascii="Cambria Math" w:hAnsi="Cambria Math"/>
                          </w:rPr>
                          <m:t>c</m:t>
                        </m:r>
                      </m:e>
                      <m:sub>
                        <m:r>
                          <w:rPr>
                            <w:rFonts w:ascii="Cambria Math" w:hAnsi="Cambria Math"/>
                          </w:rPr>
                          <m:t>i</m:t>
                        </m:r>
                      </m:sub>
                    </m:sSub>
                  </m:num>
                  <m:den>
                    <m:sSub>
                      <m:sSubPr>
                        <m:ctrlPr>
                          <w:rPr>
                            <w:rFonts w:ascii="Cambria Math" w:hAnsi="Cambria Math"/>
                            <w:i/>
                            <w:iCs/>
                          </w:rPr>
                        </m:ctrlPr>
                      </m:sSubPr>
                      <m:e>
                        <m:r>
                          <w:rPr>
                            <w:rFonts w:ascii="Cambria Math" w:hAnsi="Cambria Math"/>
                          </w:rPr>
                          <m:t>c</m:t>
                        </m:r>
                      </m:e>
                      <m:sub>
                        <m:r>
                          <w:rPr>
                            <w:rFonts w:ascii="Cambria Math" w:hAnsi="Cambria Math"/>
                          </w:rPr>
                          <m:t>CM</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sub>
                    </m:sSub>
                  </m:den>
                </m:f>
              </m:oMath>
            </m:oMathPara>
          </w:p>
        </w:tc>
        <w:tc>
          <w:tcPr>
            <w:tcW w:w="806" w:type="dxa"/>
            <w:shd w:val="clear" w:color="auto" w:fill="auto"/>
            <w:vAlign w:val="center"/>
          </w:tcPr>
          <w:p w14:paraId="406592C5" w14:textId="0F8AC195" w:rsidR="00A950F6" w:rsidRDefault="00A950F6" w:rsidP="00A950F6">
            <w:pPr>
              <w:pStyle w:val="CETEquation"/>
              <w:jc w:val="right"/>
            </w:pPr>
            <w:r>
              <w:t>(3)</w:t>
            </w:r>
          </w:p>
        </w:tc>
      </w:tr>
    </w:tbl>
    <w:p w14:paraId="43FC452E" w14:textId="7766C922" w:rsidR="001F096C" w:rsidRDefault="000B7C10" w:rsidP="00B55EDB">
      <w:pPr>
        <w:pStyle w:val="CETBodytext"/>
      </w:pPr>
      <m:oMath>
        <m:sSub>
          <m:sSubPr>
            <m:ctrlPr>
              <w:rPr>
                <w:rFonts w:ascii="Cambria Math" w:hAnsi="Cambria Math"/>
              </w:rPr>
            </m:ctrlPr>
          </m:sSubPr>
          <m:e>
            <m:r>
              <m:rPr>
                <m:sty m:val="p"/>
              </m:rPr>
              <w:rPr>
                <w:rFonts w:ascii="Cambria Math" w:hAnsi="Cambria Math"/>
              </w:rPr>
              <m:t>c</m:t>
            </m:r>
          </m:e>
          <m:sub>
            <m:r>
              <w:rPr>
                <w:rFonts w:ascii="Cambria Math" w:hAnsi="Cambria Math"/>
              </w:rPr>
              <m:t>CM</m:t>
            </m:r>
            <m:sSub>
              <m:sSubPr>
                <m:ctrlPr>
                  <w:rPr>
                    <w:rFonts w:ascii="Cambria Math" w:hAnsi="Cambria Math"/>
                  </w:rPr>
                </m:ctrlPr>
              </m:sSubPr>
              <m:e>
                <m:r>
                  <w:rPr>
                    <w:rFonts w:ascii="Cambria Math" w:hAnsi="Cambria Math"/>
                  </w:rPr>
                  <m:t>F</m:t>
                </m:r>
              </m:e>
              <m:sub>
                <m:r>
                  <m:rPr>
                    <m:sty m:val="p"/>
                  </m:rPr>
                  <w:rPr>
                    <w:rFonts w:ascii="Cambria Math" w:hAnsi="Cambria Math"/>
                  </w:rPr>
                  <m:t>0</m:t>
                </m:r>
              </m:sub>
            </m:sSub>
          </m:sub>
        </m:sSub>
        <m:r>
          <w:rPr>
            <w:rFonts w:ascii="Cambria Math" w:hAnsi="Cambria Math"/>
          </w:rPr>
          <m:t xml:space="preserve"> </m:t>
        </m:r>
      </m:oMath>
      <w:r w:rsidR="001F096C">
        <w:t xml:space="preserve">and </w:t>
      </w:r>
      <m:oMath>
        <m:sSub>
          <m:sSubPr>
            <m:ctrlPr>
              <w:rPr>
                <w:rFonts w:ascii="Cambria Math" w:hAnsi="Cambria Math"/>
                <w:i/>
                <w:iCs/>
              </w:rPr>
            </m:ctrlPr>
          </m:sSubPr>
          <m:e>
            <m:r>
              <w:rPr>
                <w:rFonts w:ascii="Cambria Math" w:hAnsi="Cambria Math"/>
              </w:rPr>
              <m:t>c</m:t>
            </m:r>
          </m:e>
          <m:sub>
            <m:r>
              <w:rPr>
                <w:rFonts w:ascii="Cambria Math" w:hAnsi="Cambria Math"/>
              </w:rPr>
              <m:t>i</m:t>
            </m:r>
          </m:sub>
        </m:sSub>
      </m:oMath>
      <w:r w:rsidR="001F096C">
        <w:t xml:space="preserve"> [mol/L] are the concentrations of CMF and product</w:t>
      </w:r>
      <w:r w:rsidR="002C2ECD">
        <w:t>s</w:t>
      </w:r>
      <w:r w:rsidR="001F096C">
        <w:t xml:space="preserve"> </w:t>
      </w:r>
      <m:oMath>
        <m:r>
          <w:rPr>
            <w:rFonts w:ascii="Cambria Math" w:hAnsi="Cambria Math"/>
          </w:rPr>
          <m:t>i</m:t>
        </m:r>
      </m:oMath>
      <w:r w:rsidR="001F096C">
        <w:t xml:space="preserve"> at </w:t>
      </w:r>
      <w:r w:rsidR="00906BCE">
        <w:t>time zero</w:t>
      </w:r>
      <w:r w:rsidR="001F096C">
        <w:t xml:space="preserve"> and at time t, respectively.</w:t>
      </w:r>
    </w:p>
    <w:p w14:paraId="48BA45F4" w14:textId="59BAD4C0" w:rsidR="00566724" w:rsidRDefault="00566724" w:rsidP="00156317">
      <w:pPr>
        <w:pStyle w:val="CETheadingx"/>
      </w:pPr>
      <w:r>
        <w:t xml:space="preserve">Kinetic </w:t>
      </w:r>
      <w:r w:rsidR="00A2783A">
        <w:t>M</w:t>
      </w:r>
      <w:r>
        <w:t>odelling</w:t>
      </w:r>
    </w:p>
    <w:p w14:paraId="5D3DDAE3" w14:textId="700E5588" w:rsidR="00A950F6" w:rsidRDefault="003041B8" w:rsidP="005D1E4A">
      <w:r>
        <w:t>The synthesis of MMF from CMF in MeOH present</w:t>
      </w:r>
      <w:r w:rsidR="000A5281">
        <w:t>s</w:t>
      </w:r>
      <w:r>
        <w:t xml:space="preserve"> a complex </w:t>
      </w:r>
      <w:r w:rsidR="000A5281">
        <w:t xml:space="preserve">kinetic network </w:t>
      </w:r>
      <w:r>
        <w:t>involving, apart from nucleophilic substitutions, a</w:t>
      </w:r>
      <w:r w:rsidR="000A5281">
        <w:t xml:space="preserve">cetalization reactions, </w:t>
      </w:r>
      <w:r w:rsidR="0016757A">
        <w:t xml:space="preserve">and </w:t>
      </w:r>
      <w:r w:rsidR="000A5281">
        <w:t>ring</w:t>
      </w:r>
      <w:r w:rsidR="00B55EDB">
        <w:t>-</w:t>
      </w:r>
      <w:r w:rsidR="000A5281">
        <w:t>opening reactions</w:t>
      </w:r>
      <w:r w:rsidR="0016757A">
        <w:t>,</w:t>
      </w:r>
      <w:r w:rsidR="000A5281">
        <w:t xml:space="preserve"> involving several</w:t>
      </w:r>
      <w:r>
        <w:t xml:space="preserve"> intermediates</w:t>
      </w:r>
      <w:r w:rsidR="00ED62A7">
        <w:t xml:space="preserve"> (</w:t>
      </w:r>
      <w:r w:rsidR="00ED62A7">
        <w:fldChar w:fldCharType="begin"/>
      </w:r>
      <w:r w:rsidR="00ED62A7">
        <w:instrText xml:space="preserve"> REF _Ref154850675 \h </w:instrText>
      </w:r>
      <w:r w:rsidR="00ED62A7">
        <w:fldChar w:fldCharType="separate"/>
      </w:r>
      <w:r w:rsidR="00ED62A7">
        <w:t xml:space="preserve">Scheme </w:t>
      </w:r>
      <w:r w:rsidR="00ED62A7">
        <w:rPr>
          <w:noProof/>
        </w:rPr>
        <w:t>1</w:t>
      </w:r>
      <w:r w:rsidR="00ED62A7">
        <w:fldChar w:fldCharType="end"/>
      </w:r>
      <w:r w:rsidR="00ED62A7">
        <w:t>.2)</w:t>
      </w:r>
      <w:r>
        <w:t xml:space="preserve">. Therefore, a rigorous mechanistic approach would require a very extensive set of results. Here, with the </w:t>
      </w:r>
      <w:r w:rsidR="000A5281">
        <w:t>primary</w:t>
      </w:r>
      <w:r>
        <w:t xml:space="preserve"> purpose of describing the nucleophilic substitution of CMF</w:t>
      </w:r>
      <w:r w:rsidR="00A950F6">
        <w:t>. Th</w:t>
      </w:r>
      <w:r w:rsidR="000A5281">
        <w:t>us</w:t>
      </w:r>
      <w:r w:rsidR="00A950F6">
        <w:t>, to achieve this purpose, acetalization reactions were excluded from the model, assuming the same kinetics in the nucleophilic substitution of CMF and CMFA, leading to</w:t>
      </w:r>
      <w:r w:rsidR="000A5281">
        <w:t xml:space="preserve"> MMF and MMFA, respectively</w:t>
      </w:r>
      <w:r w:rsidR="00A950F6">
        <w:t xml:space="preserve">. </w:t>
      </w:r>
      <w:r w:rsidR="00157F74">
        <w:t>Therefore, a</w:t>
      </w:r>
      <w:r>
        <w:t xml:space="preserve"> simplified lumped kinetic model was developed for describing the reactions (see</w:t>
      </w:r>
      <w:r w:rsidR="005D1E4A">
        <w:t xml:space="preserve"> </w:t>
      </w:r>
      <w:r w:rsidR="005D1E4A">
        <w:fldChar w:fldCharType="begin"/>
      </w:r>
      <w:r w:rsidR="005D1E4A">
        <w:instrText xml:space="preserve"> REF _Ref155101644 \h </w:instrText>
      </w:r>
      <w:r w:rsidR="005D1E4A">
        <w:fldChar w:fldCharType="separate"/>
      </w:r>
      <w:r w:rsidR="005D1E4A">
        <w:t xml:space="preserve">Scheme </w:t>
      </w:r>
      <w:r w:rsidR="005D1E4A">
        <w:rPr>
          <w:noProof/>
        </w:rPr>
        <w:t>2</w:t>
      </w:r>
      <w:r w:rsidR="005D1E4A">
        <w:fldChar w:fldCharType="end"/>
      </w:r>
      <w:r>
        <w:t>)</w:t>
      </w:r>
      <w:r w:rsidR="005D1E4A">
        <w:t xml:space="preserve">, with CMF and MMF and their respective acetals considered </w:t>
      </w:r>
      <w:r w:rsidR="004B24B2">
        <w:t>in the CMF</w:t>
      </w:r>
      <w:r w:rsidR="004B24B2" w:rsidRPr="004B24B2">
        <w:rPr>
          <w:vertAlign w:val="subscript"/>
        </w:rPr>
        <w:t>s</w:t>
      </w:r>
      <w:r w:rsidR="004B24B2">
        <w:t xml:space="preserve"> and MMF</w:t>
      </w:r>
      <w:r w:rsidR="004B24B2" w:rsidRPr="004B24B2">
        <w:rPr>
          <w:vertAlign w:val="subscript"/>
        </w:rPr>
        <w:t>s</w:t>
      </w:r>
      <w:r w:rsidR="005D1E4A">
        <w:t xml:space="preserve"> lumps</w:t>
      </w:r>
      <w:r w:rsidR="004B24B2">
        <w:t>, respectively</w:t>
      </w:r>
      <w:r w:rsidR="00A950F6">
        <w:t xml:space="preserve">, as in </w:t>
      </w:r>
      <w:proofErr w:type="spellStart"/>
      <w:proofErr w:type="gramStart"/>
      <w:r w:rsidR="00A950F6">
        <w:t>Eq</w:t>
      </w:r>
      <w:proofErr w:type="spellEnd"/>
      <w:r w:rsidR="00A950F6">
        <w:t>(</w:t>
      </w:r>
      <w:proofErr w:type="gramEnd"/>
      <w:r w:rsidR="00A950F6">
        <w:t>4-5)</w:t>
      </w:r>
      <w:r w:rsidR="005D1E4A">
        <w:t xml:space="preserve">. </w:t>
      </w:r>
      <w:r w:rsidR="0016757A">
        <w:t xml:space="preserve">This assumption is also justified </w:t>
      </w:r>
      <w:r w:rsidR="006B2337">
        <w:t>because</w:t>
      </w:r>
      <w:r w:rsidR="0016757A">
        <w:t xml:space="preserve"> acetalization reactions can be easily reversed. Therefore, i</w:t>
      </w:r>
      <w:r w:rsidR="006B2337">
        <w:t xml:space="preserve">t is possible to consider the sum of MMF and MMFA as a key </w:t>
      </w:r>
      <w:r w:rsidR="00B6402A">
        <w:t xml:space="preserve">lumped </w:t>
      </w:r>
      <w:r w:rsidR="006B2337">
        <w:t>product</w:t>
      </w:r>
      <w:r w:rsidR="0016757A">
        <w:t>.</w:t>
      </w:r>
    </w:p>
    <w:tbl>
      <w:tblPr>
        <w:tblW w:w="5000" w:type="pct"/>
        <w:tblLook w:val="04A0" w:firstRow="1" w:lastRow="0" w:firstColumn="1" w:lastColumn="0" w:noHBand="0" w:noVBand="1"/>
      </w:tblPr>
      <w:tblGrid>
        <w:gridCol w:w="7981"/>
        <w:gridCol w:w="806"/>
      </w:tblGrid>
      <w:tr w:rsidR="00A950F6" w14:paraId="25330928" w14:textId="77777777" w:rsidTr="00BA34CE">
        <w:tc>
          <w:tcPr>
            <w:tcW w:w="7972" w:type="dxa"/>
            <w:shd w:val="clear" w:color="auto" w:fill="auto"/>
            <w:vAlign w:val="center"/>
          </w:tcPr>
          <w:p w14:paraId="5B0AC511" w14:textId="77777777" w:rsidR="00A950F6" w:rsidRPr="00A950F6" w:rsidRDefault="000B7C10" w:rsidP="00367CCA">
            <w:pPr>
              <w:pStyle w:val="CETEquation"/>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CM</m:t>
                    </m:r>
                    <m:sSub>
                      <m:sSubPr>
                        <m:ctrlPr>
                          <w:rPr>
                            <w:rFonts w:ascii="Cambria Math" w:hAnsi="Cambria Math"/>
                            <w:i/>
                            <w:iCs/>
                          </w:rPr>
                        </m:ctrlPr>
                      </m:sSubPr>
                      <m:e>
                        <m:r>
                          <w:rPr>
                            <w:rFonts w:ascii="Cambria Math" w:hAnsi="Cambria Math"/>
                          </w:rPr>
                          <m:t>F</m:t>
                        </m:r>
                      </m:e>
                      <m:sub>
                        <m:r>
                          <w:rPr>
                            <w:rFonts w:ascii="Cambria Math" w:hAnsi="Cambria Math"/>
                          </w:rPr>
                          <m:t>s</m:t>
                        </m:r>
                      </m:sub>
                    </m:sSub>
                  </m:sub>
                </m:sSub>
                <m:r>
                  <m:rPr>
                    <m:sty m:val="p"/>
                  </m:rP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CMF</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CMFA</m:t>
                    </m:r>
                  </m:sub>
                </m:sSub>
              </m:oMath>
            </m:oMathPara>
          </w:p>
        </w:tc>
        <w:tc>
          <w:tcPr>
            <w:tcW w:w="805" w:type="dxa"/>
            <w:shd w:val="clear" w:color="auto" w:fill="auto"/>
            <w:vAlign w:val="center"/>
          </w:tcPr>
          <w:p w14:paraId="473707CC" w14:textId="77777777" w:rsidR="00A950F6" w:rsidRDefault="00A950F6" w:rsidP="00367CCA">
            <w:pPr>
              <w:pStyle w:val="CETEquation"/>
              <w:jc w:val="right"/>
            </w:pPr>
            <w:r>
              <w:t>(4)</w:t>
            </w:r>
          </w:p>
        </w:tc>
      </w:tr>
      <w:tr w:rsidR="00A950F6" w:rsidRPr="00B57B36" w14:paraId="70D3079E" w14:textId="77777777" w:rsidTr="00BA34CE">
        <w:tc>
          <w:tcPr>
            <w:tcW w:w="7972" w:type="dxa"/>
            <w:shd w:val="clear" w:color="auto" w:fill="auto"/>
            <w:vAlign w:val="center"/>
          </w:tcPr>
          <w:p w14:paraId="31F31A86" w14:textId="77777777" w:rsidR="00A950F6" w:rsidRPr="00EC11E7" w:rsidRDefault="000B7C10" w:rsidP="00367CCA">
            <w:pPr>
              <w:pStyle w:val="CETEquation"/>
            </w:pPr>
            <m:oMathPara>
              <m:oMathParaPr>
                <m:jc m:val="left"/>
              </m:oMathParaPr>
              <m:oMath>
                <m:sSub>
                  <m:sSubPr>
                    <m:ctrlPr>
                      <w:rPr>
                        <w:rFonts w:ascii="Cambria Math" w:hAnsi="Cambria Math"/>
                      </w:rPr>
                    </m:ctrlPr>
                  </m:sSubPr>
                  <m:e>
                    <m:r>
                      <w:rPr>
                        <w:rFonts w:ascii="Cambria Math" w:hAnsi="Cambria Math"/>
                      </w:rPr>
                      <m:t>c</m:t>
                    </m:r>
                  </m:e>
                  <m:sub>
                    <m:r>
                      <w:rPr>
                        <w:rFonts w:ascii="Cambria Math" w:hAnsi="Cambria Math"/>
                      </w:rPr>
                      <m:t>MM</m:t>
                    </m:r>
                    <m:sSub>
                      <m:sSubPr>
                        <m:ctrlPr>
                          <w:rPr>
                            <w:rFonts w:ascii="Cambria Math" w:hAnsi="Cambria Math"/>
                            <w:i/>
                            <w:iCs/>
                          </w:rPr>
                        </m:ctrlPr>
                      </m:sSubPr>
                      <m:e>
                        <m:r>
                          <w:rPr>
                            <w:rFonts w:ascii="Cambria Math" w:hAnsi="Cambria Math"/>
                          </w:rPr>
                          <m:t>F</m:t>
                        </m:r>
                      </m:e>
                      <m:sub>
                        <m:r>
                          <w:rPr>
                            <w:rFonts w:ascii="Cambria Math" w:hAnsi="Cambria Math"/>
                          </w:rPr>
                          <m:t>s</m:t>
                        </m:r>
                      </m:sub>
                    </m:sSub>
                  </m:sub>
                </m:sSub>
                <m:r>
                  <m:rPr>
                    <m:sty m:val="p"/>
                  </m:rP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MMF</m:t>
                    </m:r>
                  </m:sub>
                </m:sSub>
                <m:r>
                  <w:rPr>
                    <w:rFonts w:ascii="Cambria Math" w:hAnsi="Cambria Math"/>
                  </w:rPr>
                  <m:t>+</m:t>
                </m:r>
                <m:sSub>
                  <m:sSubPr>
                    <m:ctrlPr>
                      <w:rPr>
                        <w:rFonts w:ascii="Cambria Math" w:hAnsi="Cambria Math"/>
                      </w:rPr>
                    </m:ctrlPr>
                  </m:sSubPr>
                  <m:e>
                    <m:r>
                      <m:rPr>
                        <m:sty m:val="p"/>
                      </m:rPr>
                      <w:rPr>
                        <w:rFonts w:ascii="Cambria Math" w:hAnsi="Cambria Math"/>
                      </w:rPr>
                      <m:t>c</m:t>
                    </m:r>
                  </m:e>
                  <m:sub>
                    <m:r>
                      <m:rPr>
                        <m:sty m:val="p"/>
                      </m:rPr>
                      <w:rPr>
                        <w:rFonts w:ascii="Cambria Math" w:hAnsi="Cambria Math"/>
                      </w:rPr>
                      <m:t>MMFA</m:t>
                    </m:r>
                  </m:sub>
                </m:sSub>
              </m:oMath>
            </m:oMathPara>
          </w:p>
        </w:tc>
        <w:tc>
          <w:tcPr>
            <w:tcW w:w="805" w:type="dxa"/>
            <w:shd w:val="clear" w:color="auto" w:fill="auto"/>
            <w:vAlign w:val="center"/>
          </w:tcPr>
          <w:p w14:paraId="564D5C19" w14:textId="77777777" w:rsidR="00A950F6" w:rsidRPr="00B57B36" w:rsidRDefault="00A950F6" w:rsidP="00367CCA">
            <w:pPr>
              <w:pStyle w:val="CETEquation"/>
              <w:jc w:val="right"/>
            </w:pPr>
            <w:r>
              <w:t>(5)</w:t>
            </w:r>
          </w:p>
        </w:tc>
      </w:tr>
    </w:tbl>
    <w:p w14:paraId="245DE6E2" w14:textId="688299AB" w:rsidR="005D1E4A" w:rsidRDefault="005D1E4A" w:rsidP="005D1E4A">
      <w:r>
        <w:t xml:space="preserve">ML and MF </w:t>
      </w:r>
      <w:r w:rsidR="0016757A">
        <w:t>were</w:t>
      </w:r>
      <w:r>
        <w:t xml:space="preserve"> supposed to be formed exclusively by acid</w:t>
      </w:r>
      <w:r w:rsidR="000A5281">
        <w:t>-</w:t>
      </w:r>
      <w:proofErr w:type="spellStart"/>
      <w:r>
        <w:t>cataly</w:t>
      </w:r>
      <w:r w:rsidR="000A5281">
        <w:t>z</w:t>
      </w:r>
      <w:r>
        <w:t>ed</w:t>
      </w:r>
      <w:proofErr w:type="spellEnd"/>
      <w:r>
        <w:t xml:space="preserve"> decomposition of CFM</w:t>
      </w:r>
      <w:r w:rsidRPr="00FA4632">
        <w:rPr>
          <w:vertAlign w:val="subscript"/>
        </w:rPr>
        <w:t>s</w:t>
      </w:r>
      <w:r>
        <w:t xml:space="preserve"> as this lump presents the higher concentration at the beginning of the reaction</w:t>
      </w:r>
      <w:r w:rsidR="00824677">
        <w:t>, assuming for simplicity a first</w:t>
      </w:r>
      <w:r w:rsidR="000A5281">
        <w:t>-</w:t>
      </w:r>
      <w:r w:rsidR="00824677">
        <w:t>order kinetics on the concentration of CMF</w:t>
      </w:r>
      <w:r w:rsidR="00824677" w:rsidRPr="002738C8">
        <w:rPr>
          <w:vertAlign w:val="subscript"/>
        </w:rPr>
        <w:t>s</w:t>
      </w:r>
      <w:r w:rsidR="00824677">
        <w:t xml:space="preserve"> and H</w:t>
      </w:r>
      <w:r w:rsidR="00824677" w:rsidRPr="00824677">
        <w:rPr>
          <w:vertAlign w:val="superscript"/>
        </w:rPr>
        <w:t>+</w:t>
      </w:r>
      <w:r w:rsidR="002738C8">
        <w:t xml:space="preserve">, similar to what has been observed for HMF in water </w:t>
      </w:r>
      <w:r w:rsidR="00824677">
        <w:fldChar w:fldCharType="begin" w:fldLock="1"/>
      </w:r>
      <w:r w:rsidR="00D30DB4">
        <w:instrText>ADDIN CSL_CITATION {"citationItems":[{"id":"ITEM-1","itemData":{"DOI":"10.1039/b518176c","ISBN":"1463-9262","ISSN":"1463-9262","abstract":"Levulinic acid (LA), accessible by the acid catalyzed degradation of biomass, is potentially a very versatile green intermediate chemical for the synthesis of various (bulk) chemicals for applications like fuel additives, polymers, and resin precursors. We report here a kinetic study on one of the key steps in the conversion of biomass to levulinic acid, i.e. the reaction of 5-hydroxymethylfurfural (HMF) to levulinic acid. The kinetic experiments were performed in a temperature window of 98–181 uC, acid concentrations between 0.05–1 M, and initial HMF concentrations between 0.1 and 1 M. The highest LA yield was 94% (mol/mol), obtained at an initial HMF concentration of 0.1 M and a sulfuric acid concentration of 1 M. The yield at full HMF conversion is independent of the temperature. An empirical rate expression for the main reaction as well as the side reaction to undesired humins was developed using the power law approach. Agreement between experimental and model data is good. The rate expressions were applied to gain insights into optimum process conditions for batch processing.","author":[{"dropping-particle":"","family":"Girisuta","given":"B.","non-dropping-particle":"","parse-names":false,"suffix":""},{"dropping-particle":"","family":"Janssen","given":"L. P. B. M.","non-dropping-particle":"","parse-names":false,"suffix":""},{"dropping-particle":"","family":"Heeres","given":"H. J.","non-dropping-particle":"","parse-names":false,"suffix":""}],"container-title":"Green Chemistry","id":"ITEM-1","issue":"8","issued":{"date-parts":[["2006"]]},"page":"701","title":"A kinetic study on the decomposition of 5-hydroxymethylfurfural into levulinic acid","type":"article-journal","volume":"8"},"uris":["http://www.mendeley.com/documents/?uuid=a90eab45-14e7-427e-91ad-a3ac6c89fd43"]}],"mendeley":{"formattedCitation":"(Girisuta et al., 2006)","plainTextFormattedCitation":"(Girisuta et al., 2006)","previouslyFormattedCitation":"(Girisuta et al., 2006)"},"properties":{"noteIndex":0},"schema":"https://github.com/citation-style-language/schema/raw/master/csl-citation.json"}</w:instrText>
      </w:r>
      <w:r w:rsidR="00824677">
        <w:fldChar w:fldCharType="separate"/>
      </w:r>
      <w:r w:rsidR="00D30DB4" w:rsidRPr="00D30DB4">
        <w:rPr>
          <w:noProof/>
        </w:rPr>
        <w:t>(Girisuta et al., 2006)</w:t>
      </w:r>
      <w:r w:rsidR="00824677">
        <w:fldChar w:fldCharType="end"/>
      </w:r>
      <w:r>
        <w:t xml:space="preserve">. </w:t>
      </w:r>
      <w:r w:rsidR="002738C8">
        <w:t>The u</w:t>
      </w:r>
      <w:r w:rsidR="003041B8">
        <w:t>nmeasured products</w:t>
      </w:r>
      <w:r w:rsidR="002738C8">
        <w:t xml:space="preserve"> </w:t>
      </w:r>
      <w:r w:rsidR="00C14133">
        <w:t xml:space="preserve">(UM) </w:t>
      </w:r>
      <w:r w:rsidR="002738C8">
        <w:t>were considered in the same l</w:t>
      </w:r>
      <w:r w:rsidR="0016757A">
        <w:t>u</w:t>
      </w:r>
      <w:r w:rsidR="002738C8">
        <w:t>mp and assumed</w:t>
      </w:r>
      <w:r w:rsidR="003041B8">
        <w:t xml:space="preserve"> </w:t>
      </w:r>
      <w:r w:rsidR="000A5281">
        <w:t>to consist</w:t>
      </w:r>
      <w:r w:rsidR="003041B8">
        <w:t xml:space="preserve"> of </w:t>
      </w:r>
      <w:proofErr w:type="spellStart"/>
      <w:r>
        <w:t>Humins</w:t>
      </w:r>
      <w:proofErr w:type="spellEnd"/>
      <w:r w:rsidR="002738C8">
        <w:t xml:space="preserve"> </w:t>
      </w:r>
      <w:r w:rsidR="002738C8">
        <w:fldChar w:fldCharType="begin" w:fldLock="1"/>
      </w:r>
      <w:r w:rsidR="00D30DB4">
        <w:instrText>ADDIN CSL_CITATION {"citationItems":[{"id":"ITEM-1","itemData":{"DOI":"10.1002/slct.201900279","ISSN":"2365-6549","abstract":"A series of 5</w:instrText>
      </w:r>
      <w:r w:rsidR="00D30DB4">
        <w:rPr>
          <w:rFonts w:ascii="Cambria Math" w:hAnsi="Cambria Math" w:cs="Cambria Math"/>
        </w:rPr>
        <w:instrText>‐</w:instrText>
      </w:r>
      <w:r w:rsidR="00D30DB4">
        <w:instrText>(alkoxymethyl)furfurals (AMFs) have been synthesized in excellent isolated yields (&gt;90%) by reacting biomass</w:instrText>
      </w:r>
      <w:r w:rsidR="00D30DB4">
        <w:rPr>
          <w:rFonts w:ascii="Cambria Math" w:hAnsi="Cambria Math" w:cs="Cambria Math"/>
        </w:rPr>
        <w:instrText>‐</w:instrText>
      </w:r>
      <w:r w:rsidR="00D30DB4">
        <w:instrText>derived 5</w:instrText>
      </w:r>
      <w:r w:rsidR="00D30DB4">
        <w:rPr>
          <w:rFonts w:ascii="Cambria Math" w:hAnsi="Cambria Math" w:cs="Cambria Math"/>
        </w:rPr>
        <w:instrText>‐</w:instrText>
      </w:r>
      <w:r w:rsidR="00D30DB4">
        <w:instrText>(chloromethyl)furfural (CMF) or 5</w:instrText>
      </w:r>
      <w:r w:rsidR="00D30DB4">
        <w:rPr>
          <w:rFonts w:ascii="Cambria Math" w:hAnsi="Cambria Math" w:cs="Cambria Math"/>
        </w:rPr>
        <w:instrText>‐</w:instrText>
      </w:r>
      <w:r w:rsidR="00D30DB4">
        <w:instrText>(bromomethyl)furfural (BMF) with monohydric alkyl alcohols (methanol to 1</w:instrText>
      </w:r>
      <w:r w:rsidR="00D30DB4">
        <w:rPr>
          <w:rFonts w:ascii="Cambria Math" w:hAnsi="Cambria Math" w:cs="Cambria Math"/>
        </w:rPr>
        <w:instrText>‐</w:instrText>
      </w:r>
      <w:r w:rsidR="00D30DB4">
        <w:instrText>butanol) at slightly elevated temperatures (RT</w:instrText>
      </w:r>
      <w:r w:rsidR="00D30DB4">
        <w:rPr>
          <w:rFonts w:ascii="Cambria Math" w:hAnsi="Cambria Math" w:cs="Cambria Math"/>
        </w:rPr>
        <w:instrText>‐</w:instrText>
      </w:r>
      <w:r w:rsidR="00D30DB4">
        <w:instrText xml:space="preserve">50 </w:instrText>
      </w:r>
      <w:r w:rsidR="00D30DB4">
        <w:rPr>
          <w:rFonts w:cs="Arial"/>
        </w:rPr>
        <w:instrText>°</w:instrText>
      </w:r>
      <w:r w:rsidR="00D30DB4">
        <w:instrText>C) and short reaction time (3 h). The modified work</w:instrText>
      </w:r>
      <w:r w:rsidR="00D30DB4">
        <w:rPr>
          <w:rFonts w:ascii="Cambria Math" w:hAnsi="Cambria Math" w:cs="Cambria Math"/>
        </w:rPr>
        <w:instrText>‐</w:instrText>
      </w:r>
      <w:r w:rsidR="00D30DB4">
        <w:instrText>up procedure minimizes side reactions while simplifying the isolation and purification of AMFs. Although higher primary alcohols like 1</w:instrText>
      </w:r>
      <w:r w:rsidR="00D30DB4">
        <w:rPr>
          <w:rFonts w:ascii="Cambria Math" w:hAnsi="Cambria Math" w:cs="Cambria Math"/>
        </w:rPr>
        <w:instrText>‐</w:instrText>
      </w:r>
      <w:r w:rsidR="00D30DB4">
        <w:instrText>pentanol and 1</w:instrText>
      </w:r>
      <w:r w:rsidR="00D30DB4">
        <w:rPr>
          <w:rFonts w:ascii="Cambria Math" w:hAnsi="Cambria Math" w:cs="Cambria Math"/>
        </w:rPr>
        <w:instrText>‐</w:instrText>
      </w:r>
      <w:r w:rsidR="00D30DB4">
        <w:instrText>hexanol and secondary alcohol like 2</w:instrText>
      </w:r>
      <w:r w:rsidR="00D30DB4">
        <w:rPr>
          <w:rFonts w:ascii="Cambria Math" w:hAnsi="Cambria Math" w:cs="Cambria Math"/>
        </w:rPr>
        <w:instrText>‐</w:instrText>
      </w:r>
      <w:r w:rsidR="00D30DB4">
        <w:instrText>propanol were found to be less reactive, use of N,N</w:instrText>
      </w:r>
      <w:r w:rsidR="00D30DB4">
        <w:rPr>
          <w:rFonts w:ascii="Cambria Math" w:hAnsi="Cambria Math" w:cs="Cambria Math"/>
        </w:rPr>
        <w:instrText>‐</w:instrText>
      </w:r>
      <w:r w:rsidR="00D30DB4">
        <w:instrText>diisopropylethylamine (DIPEA) as a base additive afforded AMFs in excellent yields within 6 h at 65 °C using only slight excess of the alcohol (1.2 eq.) reagent.","author":[{"dropping-particle":"","family":"Onkarappa","given":"Sharath Bandibairanahalli","non-dropping-particle":"","parse-names":false,"suffix":""},{"dropping-particle":"","family":"Dutta","given":"Saikat","non-dropping-particle":"","parse-names":false,"suffix":""}],"container-title":"ChemistrySelect","id":"ITEM-1","issue":"19","issued":{"date-parts":[["2019","5","24"]]},"page":"5540-5543","title":"High</w:instrText>
      </w:r>
      <w:r w:rsidR="00D30DB4">
        <w:rPr>
          <w:rFonts w:ascii="Cambria Math" w:hAnsi="Cambria Math" w:cs="Cambria Math"/>
        </w:rPr>
        <w:instrText>‐</w:instrText>
      </w:r>
      <w:r w:rsidR="00D30DB4">
        <w:instrText>Yielding Synthesis of 5</w:instrText>
      </w:r>
      <w:r w:rsidR="00D30DB4">
        <w:rPr>
          <w:rFonts w:ascii="Cambria Math" w:hAnsi="Cambria Math" w:cs="Cambria Math"/>
        </w:rPr>
        <w:instrText>‐</w:instrText>
      </w:r>
      <w:r w:rsidR="00D30DB4">
        <w:instrText>(alkoxymethyl)furfurals from Biomass</w:instrText>
      </w:r>
      <w:r w:rsidR="00D30DB4">
        <w:rPr>
          <w:rFonts w:ascii="Cambria Math" w:hAnsi="Cambria Math" w:cs="Cambria Math"/>
        </w:rPr>
        <w:instrText>‐</w:instrText>
      </w:r>
      <w:r w:rsidR="00D30DB4">
        <w:instrText>Derived 5</w:instrText>
      </w:r>
      <w:r w:rsidR="00D30DB4">
        <w:rPr>
          <w:rFonts w:ascii="Cambria Math" w:hAnsi="Cambria Math" w:cs="Cambria Math"/>
        </w:rPr>
        <w:instrText>‐</w:instrText>
      </w:r>
      <w:r w:rsidR="00D30DB4">
        <w:instrText>(halomethyl)furfural (X=Cl, Br)","type":"article-journal","volume":"4"},"uris":["http://www.mendeley.com/documents/?uuid=7c5bd92d-4141-44e0-bc31-429ab7a69117"]}],"mendeley":{"formattedCitation":"(Onkarappa &amp; Dutta, 2019)","plainTextFormattedCitation":"(Onkarappa &amp; Dutta, 2019)","previouslyFormattedCitation":"(Onkarappa &amp; Dutta, 2019)"},"properties":{"noteIndex":0},"schema":"https://github.com/citation-style-language/schema/raw/master/csl-citation.json"}</w:instrText>
      </w:r>
      <w:r w:rsidR="002738C8">
        <w:fldChar w:fldCharType="separate"/>
      </w:r>
      <w:r w:rsidR="00D30DB4" w:rsidRPr="00D30DB4">
        <w:rPr>
          <w:noProof/>
        </w:rPr>
        <w:t>(Onkarappa &amp; Dutta, 2019)</w:t>
      </w:r>
      <w:r w:rsidR="002738C8">
        <w:fldChar w:fldCharType="end"/>
      </w:r>
      <w:r w:rsidR="002738C8">
        <w:t>, which, for simplicity</w:t>
      </w:r>
      <w:r w:rsidR="000A5281">
        <w:t>,</w:t>
      </w:r>
      <w:r w:rsidR="002738C8">
        <w:t xml:space="preserve"> were assumed as</w:t>
      </w:r>
      <w:r>
        <w:t xml:space="preserve"> derived from the condensation of CMF</w:t>
      </w:r>
      <w:r w:rsidRPr="00A950F6">
        <w:rPr>
          <w:vertAlign w:val="subscript"/>
        </w:rPr>
        <w:t>s</w:t>
      </w:r>
      <w:r w:rsidR="002738C8">
        <w:t>, which is the most reactive substrate</w:t>
      </w:r>
      <w:r w:rsidR="00A950F6">
        <w:t>, considering a first</w:t>
      </w:r>
      <w:r w:rsidR="000A5281">
        <w:t>-</w:t>
      </w:r>
      <w:r w:rsidR="00A950F6">
        <w:t>order reaction with respect to CMF</w:t>
      </w:r>
      <w:r w:rsidR="00A950F6" w:rsidRPr="00A950F6">
        <w:rPr>
          <w:vertAlign w:val="subscript"/>
        </w:rPr>
        <w:t>s</w:t>
      </w:r>
      <w:r>
        <w:t>.</w:t>
      </w:r>
      <w:r w:rsidR="00A950F6">
        <w:t xml:space="preserve"> </w:t>
      </w:r>
      <w:r w:rsidR="004623D3">
        <w:t>Also,</w:t>
      </w:r>
      <w:r w:rsidR="00A950F6">
        <w:t xml:space="preserve"> a kinetic model considering the effect of H</w:t>
      </w:r>
      <w:r w:rsidR="00A950F6" w:rsidRPr="00A950F6">
        <w:rPr>
          <w:vertAlign w:val="superscript"/>
        </w:rPr>
        <w:t>+</w:t>
      </w:r>
      <w:r w:rsidR="00A950F6">
        <w:t xml:space="preserve"> was considered, resulting in a slightly less good fitting (not reported).</w:t>
      </w:r>
      <w:r>
        <w:t xml:space="preserve"> The kinetic equations describing the model are reported in </w:t>
      </w:r>
      <w:proofErr w:type="spellStart"/>
      <w:proofErr w:type="gramStart"/>
      <w:r>
        <w:t>Eq</w:t>
      </w:r>
      <w:proofErr w:type="spellEnd"/>
      <w:r>
        <w:t>(</w:t>
      </w:r>
      <w:proofErr w:type="gramEnd"/>
      <w:r>
        <w:t xml:space="preserve">5-11) along with their respective initial conditions. </w:t>
      </w:r>
      <w:r w:rsidR="000A5281">
        <w:t>The Arrhenius expressions</w:t>
      </w:r>
      <w:r>
        <w:t xml:space="preserve"> for k</w:t>
      </w:r>
      <w:r w:rsidRPr="005217C5">
        <w:rPr>
          <w:vertAlign w:val="subscript"/>
        </w:rPr>
        <w:t>1</w:t>
      </w:r>
      <w:r>
        <w:t>, k</w:t>
      </w:r>
      <w:r w:rsidRPr="005217C5">
        <w:rPr>
          <w:vertAlign w:val="subscript"/>
        </w:rPr>
        <w:t>2</w:t>
      </w:r>
      <w:r w:rsidR="000A5281">
        <w:rPr>
          <w:vertAlign w:val="subscript"/>
        </w:rPr>
        <w:t>,</w:t>
      </w:r>
      <w:r>
        <w:t xml:space="preserve"> an</w:t>
      </w:r>
      <w:r w:rsidR="000A5281">
        <w:t>d</w:t>
      </w:r>
      <w:r>
        <w:t xml:space="preserve"> k</w:t>
      </w:r>
      <w:r w:rsidRPr="005217C5">
        <w:rPr>
          <w:vertAlign w:val="subscript"/>
        </w:rPr>
        <w:t>3</w:t>
      </w:r>
      <w:r>
        <w:t xml:space="preserve"> were re-parameterized by </w:t>
      </w:r>
      <w:proofErr w:type="spellStart"/>
      <w:proofErr w:type="gramStart"/>
      <w:r>
        <w:t>Eq</w:t>
      </w:r>
      <w:proofErr w:type="spellEnd"/>
      <w:r>
        <w:t>(</w:t>
      </w:r>
      <w:proofErr w:type="gramEnd"/>
      <w:r>
        <w:t>12-14) at 30°C (</w:t>
      </w:r>
      <w:proofErr w:type="spellStart"/>
      <w:r>
        <w:t>T</w:t>
      </w:r>
      <w:r w:rsidRPr="00D4030F">
        <w:rPr>
          <w:vertAlign w:val="subscript"/>
        </w:rPr>
        <w:t>ave</w:t>
      </w:r>
      <w:proofErr w:type="spellEnd"/>
      <w:r>
        <w:t>).</w:t>
      </w:r>
    </w:p>
    <w:p w14:paraId="117975F5" w14:textId="11EF615E" w:rsidR="00AF6651" w:rsidRDefault="003C5570" w:rsidP="00AF6651">
      <w:pPr>
        <w:pStyle w:val="CETBodytext"/>
      </w:pPr>
      <w:r>
        <w:rPr>
          <w:noProof/>
        </w:rPr>
        <w:drawing>
          <wp:inline distT="0" distB="0" distL="0" distR="0" wp14:anchorId="3AA783C9" wp14:editId="29E92C62">
            <wp:extent cx="1467059" cy="1021161"/>
            <wp:effectExtent l="0" t="0" r="0" b="762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1">
                      <a:extLst>
                        <a:ext uri="{28A0092B-C50C-407E-A947-70E740481C1C}">
                          <a14:useLocalDpi xmlns:a14="http://schemas.microsoft.com/office/drawing/2010/main" val="0"/>
                        </a:ext>
                      </a:extLst>
                    </a:blip>
                    <a:srcRect t="-926"/>
                    <a:stretch/>
                  </pic:blipFill>
                  <pic:spPr bwMode="auto">
                    <a:xfrm>
                      <a:off x="0" y="0"/>
                      <a:ext cx="1573555" cy="1095289"/>
                    </a:xfrm>
                    <a:prstGeom prst="rect">
                      <a:avLst/>
                    </a:prstGeom>
                    <a:noFill/>
                    <a:ln>
                      <a:noFill/>
                    </a:ln>
                    <a:extLst>
                      <a:ext uri="{53640926-AAD7-44D8-BBD7-CCE9431645EC}">
                        <a14:shadowObscured xmlns:a14="http://schemas.microsoft.com/office/drawing/2010/main"/>
                      </a:ext>
                    </a:extLst>
                  </pic:spPr>
                </pic:pic>
              </a:graphicData>
            </a:graphic>
          </wp:inline>
        </w:drawing>
      </w:r>
    </w:p>
    <w:p w14:paraId="13CF9DA1" w14:textId="52541F7B" w:rsidR="00154968" w:rsidRPr="00B57B36" w:rsidRDefault="00154968" w:rsidP="00154968">
      <w:pPr>
        <w:pStyle w:val="CETCaption"/>
      </w:pPr>
      <w:bookmarkStart w:id="5" w:name="_Ref155101644"/>
      <w:r>
        <w:t xml:space="preserve">Scheme </w:t>
      </w:r>
      <w:r>
        <w:fldChar w:fldCharType="begin"/>
      </w:r>
      <w:r>
        <w:instrText xml:space="preserve"> SEQ Scheme \* ARABIC </w:instrText>
      </w:r>
      <w:r>
        <w:fldChar w:fldCharType="separate"/>
      </w:r>
      <w:r>
        <w:rPr>
          <w:noProof/>
        </w:rPr>
        <w:t>2</w:t>
      </w:r>
      <w:r>
        <w:fldChar w:fldCharType="end"/>
      </w:r>
      <w:bookmarkEnd w:id="5"/>
      <w:r>
        <w:t xml:space="preserve"> – Lumped kinetic network</w:t>
      </w:r>
    </w:p>
    <w:tbl>
      <w:tblPr>
        <w:tblW w:w="5000" w:type="pct"/>
        <w:tblLook w:val="04A0" w:firstRow="1" w:lastRow="0" w:firstColumn="1" w:lastColumn="0" w:noHBand="0" w:noVBand="1"/>
      </w:tblPr>
      <w:tblGrid>
        <w:gridCol w:w="7981"/>
        <w:gridCol w:w="806"/>
      </w:tblGrid>
      <w:tr w:rsidR="005D1E4A" w:rsidRPr="00B57B36" w14:paraId="1DBC746C" w14:textId="77777777" w:rsidTr="00FA4632">
        <w:tc>
          <w:tcPr>
            <w:tcW w:w="7972" w:type="dxa"/>
            <w:shd w:val="clear" w:color="auto" w:fill="auto"/>
            <w:vAlign w:val="center"/>
          </w:tcPr>
          <w:p w14:paraId="681E945A" w14:textId="7130A961" w:rsidR="005D1E4A" w:rsidRPr="00B55EDB" w:rsidRDefault="000B7C10" w:rsidP="00B55EDB">
            <w:pPr>
              <w:pStyle w:val="CETEquation"/>
              <w:spacing w:before="60" w:after="60"/>
            </w:pPr>
            <m:oMathPara>
              <m:oMathParaPr>
                <m:jc m:val="left"/>
              </m:oMathParaPr>
              <m:oMath>
                <m:f>
                  <m:fPr>
                    <m:ctrlPr>
                      <w:rPr>
                        <w:rFonts w:ascii="Cambria Math" w:hAnsi="Cambria Math"/>
                      </w:rPr>
                    </m:ctrlPr>
                  </m:fPr>
                  <m:num>
                    <m:r>
                      <w:rPr>
                        <w:rFonts w:ascii="Cambria Math" w:hAnsi="Cambria Math"/>
                      </w:rPr>
                      <m:t>d</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m:rPr>
                        <m:sty m:val="p"/>
                      </m:rPr>
                      <w:rPr>
                        <w:rFonts w:ascii="Cambria Math" w:hAnsi="Cambria Math"/>
                      </w:rPr>
                      <m:t>(</m:t>
                    </m:r>
                    <m:r>
                      <w:rPr>
                        <w:rFonts w:ascii="Cambria Math" w:hAnsi="Cambria Math"/>
                      </w:rPr>
                      <m:t>t</m:t>
                    </m:r>
                    <m:r>
                      <m:rPr>
                        <m:sty m:val="p"/>
                      </m:rPr>
                      <w:rPr>
                        <w:rFonts w:ascii="Cambria Math" w:hAnsi="Cambria Math"/>
                      </w:rPr>
                      <m:t>)</m:t>
                    </m:r>
                  </m:num>
                  <m:den>
                    <m:r>
                      <w:rPr>
                        <w:rFonts w:ascii="Cambria Math" w:hAnsi="Cambria Math"/>
                      </w:rPr>
                      <m:t>dt</m:t>
                    </m:r>
                  </m:den>
                </m:f>
                <m:r>
                  <m:rPr>
                    <m:sty m:val="p"/>
                  </m:rPr>
                  <w:rPr>
                    <w:rFonts w:ascii="Cambria Math" w:hAnsi="Cambria Math"/>
                  </w:rPr>
                  <m:t>=</m:t>
                </m:r>
                <m:func>
                  <m:funcPr>
                    <m:ctrlPr>
                      <w:rPr>
                        <w:rFonts w:ascii="Cambria Math" w:hAnsi="Cambria Math"/>
                      </w:rPr>
                    </m:ctrlPr>
                  </m:funcPr>
                  <m:fName>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1</m:t>
                        </m:r>
                      </m:sub>
                    </m:sSub>
                  </m:fName>
                  <m:e>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m:rPr>
                        <m:sty m:val="p"/>
                      </m:rPr>
                      <w:rPr>
                        <w:rFonts w:ascii="Cambria Math" w:hAnsi="Cambria Math"/>
                      </w:rPr>
                      <m:t>(</m:t>
                    </m:r>
                    <m:r>
                      <w:rPr>
                        <w:rFonts w:ascii="Cambria Math" w:hAnsi="Cambria Math"/>
                      </w:rPr>
                      <m:t>t</m:t>
                    </m:r>
                    <m:r>
                      <m:rPr>
                        <m:sty m:val="p"/>
                      </m:rPr>
                      <w:rPr>
                        <w:rFonts w:ascii="Cambria Math" w:hAnsi="Cambria Math"/>
                      </w:rPr>
                      <m:t>)</m:t>
                    </m:r>
                  </m:e>
                </m:func>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m:rPr>
                        <m:sty m:val="p"/>
                      </m:rPr>
                      <w:rPr>
                        <w:rFonts w:ascii="Cambria Math" w:hAnsi="Cambria Math"/>
                      </w:rPr>
                      <m:t>∙</m:t>
                    </m:r>
                    <m:r>
                      <w:rPr>
                        <w:rFonts w:ascii="Cambria Math" w:hAnsi="Cambria Math"/>
                      </w:rPr>
                      <m:t>c</m:t>
                    </m:r>
                  </m:e>
                  <m:sub>
                    <m:sSup>
                      <m:sSupPr>
                        <m:ctrlPr>
                          <w:rPr>
                            <w:rFonts w:ascii="Cambria Math" w:hAnsi="Cambria Math"/>
                          </w:rPr>
                        </m:ctrlPr>
                      </m:sSupPr>
                      <m:e>
                        <m:r>
                          <w:rPr>
                            <w:rFonts w:ascii="Cambria Math" w:hAnsi="Cambria Math"/>
                          </w:rPr>
                          <m:t>H</m:t>
                        </m:r>
                      </m:e>
                      <m:sup>
                        <m:r>
                          <m:rPr>
                            <m:sty m:val="p"/>
                          </m:rPr>
                          <w:rPr>
                            <w:rFonts w:ascii="Cambria Math" w:hAnsi="Cambria Math"/>
                          </w:rPr>
                          <m:t>+</m:t>
                        </m:r>
                      </m:sup>
                    </m:sSup>
                  </m:sub>
                </m:sSub>
                <m:r>
                  <m:rPr>
                    <m:sty m:val="p"/>
                  </m:rPr>
                  <w:rPr>
                    <w:rFonts w:ascii="Cambria Math" w:hAnsi="Cambria Math"/>
                  </w:rPr>
                  <m:t>(</m:t>
                </m:r>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m:rPr>
                    <m:sty m:val="p"/>
                  </m:rPr>
                  <w:rPr>
                    <w:rFonts w:ascii="Cambria Math" w:hAnsi="Cambria Math"/>
                  </w:rPr>
                  <m:t>(</m:t>
                </m:r>
                <m:r>
                  <w:rPr>
                    <w:rFonts w:ascii="Cambria Math" w:hAnsi="Cambria Math"/>
                  </w:rPr>
                  <m:t>t</m:t>
                </m:r>
                <m:r>
                  <m:rPr>
                    <m:sty m:val="p"/>
                  </m:rPr>
                  <w:rPr>
                    <w:rFonts w:ascii="Cambria Math" w:hAnsi="Cambria Math"/>
                  </w:rPr>
                  <m:t>)</m:t>
                </m:r>
              </m:oMath>
            </m:oMathPara>
          </w:p>
        </w:tc>
        <w:tc>
          <w:tcPr>
            <w:tcW w:w="805" w:type="dxa"/>
            <w:shd w:val="clear" w:color="auto" w:fill="auto"/>
            <w:vAlign w:val="center"/>
          </w:tcPr>
          <w:p w14:paraId="782E27DE" w14:textId="6AD82F6B" w:rsidR="005D1E4A" w:rsidRPr="00B57B36" w:rsidRDefault="005D1E4A" w:rsidP="00B55EDB">
            <w:pPr>
              <w:pStyle w:val="CETEquation"/>
              <w:spacing w:before="60" w:after="60"/>
              <w:jc w:val="right"/>
            </w:pPr>
            <w:r w:rsidRPr="00B57B36">
              <w:t>(</w:t>
            </w:r>
            <w:r>
              <w:t>5</w:t>
            </w:r>
            <w:r w:rsidRPr="00B57B36">
              <w:t>)</w:t>
            </w:r>
          </w:p>
        </w:tc>
      </w:tr>
      <w:tr w:rsidR="005D1E4A" w:rsidRPr="00B57B36" w14:paraId="541AD73A" w14:textId="77777777" w:rsidTr="00FA4632">
        <w:tc>
          <w:tcPr>
            <w:tcW w:w="7972" w:type="dxa"/>
            <w:shd w:val="clear" w:color="auto" w:fill="auto"/>
            <w:vAlign w:val="center"/>
          </w:tcPr>
          <w:p w14:paraId="61CB27FA" w14:textId="6AED338F" w:rsidR="005D1E4A" w:rsidRPr="00EC11E7" w:rsidRDefault="000B7C10" w:rsidP="00B55EDB">
            <w:pPr>
              <w:pStyle w:val="CETEquation"/>
              <w:spacing w:before="60" w:after="60"/>
            </w:pPr>
            <m:oMathPara>
              <m:oMathParaPr>
                <m:jc m:val="left"/>
              </m:oMathParaPr>
              <m:oMath>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MM</m:t>
                        </m:r>
                        <m:sSub>
                          <m:sSubPr>
                            <m:ctrlPr>
                              <w:rPr>
                                <w:rFonts w:ascii="Cambria Math" w:hAnsi="Cambria Math"/>
                                <w:i/>
                              </w:rPr>
                            </m:ctrlPr>
                          </m:sSubPr>
                          <m:e>
                            <m:r>
                              <w:rPr>
                                <w:rFonts w:ascii="Cambria Math" w:hAnsi="Cambria Math"/>
                              </w:rPr>
                              <m:t>F</m:t>
                            </m:r>
                          </m:e>
                          <m:sub>
                            <m:r>
                              <w:rPr>
                                <w:rFonts w:ascii="Cambria Math" w:hAnsi="Cambria Math"/>
                              </w:rPr>
                              <m:t>s</m:t>
                            </m:r>
                          </m:sub>
                        </m:sSub>
                      </m:sub>
                    </m:sSub>
                    <m:r>
                      <w:rPr>
                        <w:rFonts w:ascii="Cambria Math" w:hAnsi="Cambria Math"/>
                      </w:rPr>
                      <m:t>(t)</m:t>
                    </m:r>
                  </m:num>
                  <m:den>
                    <m:r>
                      <w:rPr>
                        <w:rFonts w:ascii="Cambria Math" w:hAnsi="Cambria Math"/>
                      </w:rPr>
                      <m:t>dt</m:t>
                    </m:r>
                  </m:den>
                </m:f>
                <m:r>
                  <w:rPr>
                    <w:rFonts w:ascii="Cambria Math" w:hAnsi="Cambria Math"/>
                  </w:rPr>
                  <m:t>=</m:t>
                </m:r>
                <m:sSub>
                  <m:sSubPr>
                    <m:ctrlPr>
                      <w:rPr>
                        <w:rFonts w:ascii="Cambria Math" w:hAnsi="Cambria Math"/>
                      </w:rPr>
                    </m:ctrlPr>
                  </m:sSubPr>
                  <m:e>
                    <m:r>
                      <m:rPr>
                        <m:sty m:val="p"/>
                      </m:rP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w:rPr>
                    <w:rFonts w:ascii="Cambria Math" w:hAnsi="Cambria Math"/>
                  </w:rPr>
                  <m:t>(t)</m:t>
                </m:r>
              </m:oMath>
            </m:oMathPara>
          </w:p>
        </w:tc>
        <w:tc>
          <w:tcPr>
            <w:tcW w:w="805" w:type="dxa"/>
            <w:shd w:val="clear" w:color="auto" w:fill="auto"/>
            <w:vAlign w:val="center"/>
          </w:tcPr>
          <w:p w14:paraId="49C98C5E" w14:textId="50A75600" w:rsidR="005D1E4A" w:rsidRPr="00B57B36" w:rsidRDefault="005D1E4A" w:rsidP="00B55EDB">
            <w:pPr>
              <w:pStyle w:val="CETEquation"/>
              <w:spacing w:before="60" w:after="60"/>
              <w:jc w:val="right"/>
            </w:pPr>
            <w:r>
              <w:t>(6)</w:t>
            </w:r>
          </w:p>
        </w:tc>
      </w:tr>
      <w:tr w:rsidR="005D1E4A" w:rsidRPr="00B57B36" w14:paraId="564EDDF5" w14:textId="77777777" w:rsidTr="00FA4632">
        <w:tc>
          <w:tcPr>
            <w:tcW w:w="7972" w:type="dxa"/>
            <w:shd w:val="clear" w:color="auto" w:fill="auto"/>
            <w:vAlign w:val="center"/>
          </w:tcPr>
          <w:p w14:paraId="24BFA72F" w14:textId="68D428E9" w:rsidR="005D1E4A" w:rsidRPr="00EC11E7" w:rsidRDefault="000B7C10" w:rsidP="00B55EDB">
            <w:pPr>
              <w:pStyle w:val="CETEquation"/>
              <w:spacing w:before="60" w:after="60"/>
            </w:pPr>
            <m:oMathPara>
              <m:oMathParaPr>
                <m:jc m:val="left"/>
              </m:oMathParaPr>
              <m:oMath>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ML</m:t>
                        </m:r>
                      </m:sub>
                    </m:sSub>
                    <m:r>
                      <w:rPr>
                        <w:rFonts w:ascii="Cambria Math" w:hAnsi="Cambria Math"/>
                      </w:rPr>
                      <m:t>(t)</m:t>
                    </m:r>
                  </m:num>
                  <m:den>
                    <m:r>
                      <w:rPr>
                        <w:rFonts w:ascii="Cambria Math" w:hAnsi="Cambria Math"/>
                      </w:rPr>
                      <m:t>dt</m:t>
                    </m:r>
                  </m:den>
                </m:f>
                <m:r>
                  <w:rPr>
                    <w:rFonts w:ascii="Cambria Math" w:hAnsi="Cambria Math"/>
                  </w:rPr>
                  <m:t>=</m:t>
                </m:r>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MF</m:t>
                        </m:r>
                      </m:sub>
                    </m:sSub>
                    <m:r>
                      <w:rPr>
                        <w:rFonts w:ascii="Cambria Math" w:hAnsi="Cambria Math"/>
                      </w:rPr>
                      <m:t>(t)</m:t>
                    </m:r>
                  </m:num>
                  <m:den>
                    <m:r>
                      <w:rPr>
                        <w:rFonts w:ascii="Cambria Math" w:hAnsi="Cambria Math"/>
                      </w:rPr>
                      <m:t>dt</m:t>
                    </m:r>
                  </m:den>
                </m:f>
                <m:r>
                  <w:rPr>
                    <w:rFonts w:ascii="Cambria Math" w:hAnsi="Cambria Math"/>
                  </w:rPr>
                  <m:t>=</m:t>
                </m:r>
                <m:sSub>
                  <m:sSubPr>
                    <m:ctrlPr>
                      <w:rPr>
                        <w:rFonts w:ascii="Cambria Math" w:hAnsi="Cambria Math"/>
                      </w:rPr>
                    </m:ctrlPr>
                  </m:sSubPr>
                  <m:e>
                    <m:r>
                      <m:rPr>
                        <m:sty m:val="p"/>
                      </m:rP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w:rPr>
                    <w:rFonts w:ascii="Cambria Math" w:hAnsi="Cambria Math"/>
                  </w:rPr>
                  <m:t>(t)∙</m:t>
                </m:r>
                <m:sSub>
                  <m:sSubPr>
                    <m:ctrlPr>
                      <w:rPr>
                        <w:rFonts w:ascii="Cambria Math" w:hAnsi="Cambria Math"/>
                        <w:i/>
                      </w:rPr>
                    </m:ctrlPr>
                  </m:sSubPr>
                  <m:e>
                    <m:r>
                      <w:rPr>
                        <w:rFonts w:ascii="Cambria Math" w:hAnsi="Cambria Math"/>
                      </w:rPr>
                      <m:t>c</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r>
                  <w:rPr>
                    <w:rFonts w:ascii="Cambria Math" w:hAnsi="Cambria Math"/>
                  </w:rPr>
                  <m:t>(t)</m:t>
                </m:r>
              </m:oMath>
            </m:oMathPara>
          </w:p>
        </w:tc>
        <w:tc>
          <w:tcPr>
            <w:tcW w:w="805" w:type="dxa"/>
            <w:shd w:val="clear" w:color="auto" w:fill="auto"/>
            <w:vAlign w:val="center"/>
          </w:tcPr>
          <w:p w14:paraId="677D8B1E" w14:textId="5F7595B3" w:rsidR="005D1E4A" w:rsidRDefault="005D1E4A" w:rsidP="00B55EDB">
            <w:pPr>
              <w:pStyle w:val="CETEquation"/>
              <w:spacing w:before="60" w:after="60"/>
              <w:jc w:val="right"/>
            </w:pPr>
            <w:r>
              <w:t>(7)</w:t>
            </w:r>
          </w:p>
        </w:tc>
      </w:tr>
      <w:tr w:rsidR="005D1E4A" w:rsidRPr="00B57B36" w14:paraId="5CC81B1F" w14:textId="77777777" w:rsidTr="00FA4632">
        <w:tc>
          <w:tcPr>
            <w:tcW w:w="7972" w:type="dxa"/>
            <w:shd w:val="clear" w:color="auto" w:fill="auto"/>
            <w:vAlign w:val="center"/>
          </w:tcPr>
          <w:p w14:paraId="2AA5D499" w14:textId="05CE2B1D" w:rsidR="005D1E4A" w:rsidRPr="00AC0164" w:rsidRDefault="000B7C10" w:rsidP="00B55EDB">
            <w:pPr>
              <w:pStyle w:val="CETEquation"/>
              <w:spacing w:before="60" w:after="60"/>
            </w:pPr>
            <m:oMathPara>
              <m:oMathParaPr>
                <m:jc m:val="left"/>
              </m:oMathParaPr>
              <m:oMath>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c</m:t>
                        </m:r>
                      </m:e>
                      <m:sub>
                        <m:r>
                          <w:rPr>
                            <w:rFonts w:ascii="Cambria Math" w:hAnsi="Cambria Math"/>
                          </w:rPr>
                          <m:t>UM</m:t>
                        </m:r>
                      </m:sub>
                    </m:sSub>
                  </m:num>
                  <m:den>
                    <m:r>
                      <w:rPr>
                        <w:rFonts w:ascii="Cambria Math" w:hAnsi="Cambria Math"/>
                      </w:rPr>
                      <m:t>dt</m:t>
                    </m:r>
                  </m:den>
                </m:f>
                <m:r>
                  <m:rPr>
                    <m:sty m:val="p"/>
                  </m:rPr>
                  <w:rPr>
                    <w:rFonts w:ascii="Cambria Math" w:hAnsi="Cambria Math"/>
                  </w:rPr>
                  <m:t>=</m:t>
                </m:r>
                <m:sSub>
                  <m:sSubPr>
                    <m:ctrlPr>
                      <w:rPr>
                        <w:rFonts w:ascii="Cambria Math" w:hAnsi="Cambria Math"/>
                      </w:rPr>
                    </m:ctrlPr>
                  </m:sSubPr>
                  <m:e>
                    <m:r>
                      <m:rPr>
                        <m:sty m:val="p"/>
                      </m:rPr>
                      <w:rPr>
                        <w:rFonts w:ascii="Cambria Math" w:hAnsi="Cambria Math"/>
                      </w:rPr>
                      <m:t>k</m:t>
                    </m:r>
                  </m:e>
                  <m:sub>
                    <m:r>
                      <w:rPr>
                        <w:rFonts w:ascii="Cambria Math" w:hAnsi="Cambria Math"/>
                      </w:rPr>
                      <m:t>3</m:t>
                    </m:r>
                  </m:sub>
                </m:sSub>
                <m:r>
                  <w:rPr>
                    <w:rFonts w:ascii="Cambria Math" w:hAnsi="Cambria Math"/>
                  </w:rPr>
                  <m:t>∙</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w:rPr>
                    <w:rFonts w:ascii="Cambria Math" w:hAnsi="Cambria Math"/>
                  </w:rPr>
                  <m:t>(t)</m:t>
                </m:r>
              </m:oMath>
            </m:oMathPara>
          </w:p>
        </w:tc>
        <w:tc>
          <w:tcPr>
            <w:tcW w:w="805" w:type="dxa"/>
            <w:shd w:val="clear" w:color="auto" w:fill="auto"/>
            <w:vAlign w:val="center"/>
          </w:tcPr>
          <w:p w14:paraId="36D9CE32" w14:textId="4D7D60C3" w:rsidR="005D1E4A" w:rsidRDefault="005D1E4A" w:rsidP="00B55EDB">
            <w:pPr>
              <w:pStyle w:val="CETEquation"/>
              <w:spacing w:before="60" w:after="60"/>
              <w:jc w:val="right"/>
            </w:pPr>
            <w:r w:rsidRPr="00B57B36">
              <w:t>(</w:t>
            </w:r>
            <w:r>
              <w:t>8</w:t>
            </w:r>
            <w:r w:rsidRPr="00B57B36">
              <w:t>)</w:t>
            </w:r>
          </w:p>
        </w:tc>
      </w:tr>
      <w:tr w:rsidR="005D1E4A" w:rsidRPr="00B57B36" w14:paraId="763DE9E3" w14:textId="77777777" w:rsidTr="00FA4632">
        <w:tc>
          <w:tcPr>
            <w:tcW w:w="7972" w:type="dxa"/>
            <w:shd w:val="clear" w:color="auto" w:fill="auto"/>
            <w:vAlign w:val="center"/>
          </w:tcPr>
          <w:p w14:paraId="27744DEE" w14:textId="092326D2" w:rsidR="005D1E4A" w:rsidRPr="005D1E4A" w:rsidRDefault="000B7C10" w:rsidP="00B55EDB">
            <w:pPr>
              <w:pStyle w:val="CETEquation"/>
              <w:spacing w:before="60" w:after="60"/>
            </w:pPr>
            <m:oMathPara>
              <m:oMathParaPr>
                <m:jc m:val="left"/>
              </m:oMathParaPr>
              <m:oMath>
                <m:f>
                  <m:fPr>
                    <m:ctrlPr>
                      <w:rPr>
                        <w:rFonts w:ascii="Cambria Math" w:hAnsi="Cambria Math"/>
                      </w:rPr>
                    </m:ctrlPr>
                  </m:fPr>
                  <m:num>
                    <m:r>
                      <w:rPr>
                        <w:rFonts w:ascii="Cambria Math" w:hAnsi="Cambria Math"/>
                      </w:rPr>
                      <m:t>d</m:t>
                    </m:r>
                    <m:sSub>
                      <m:sSubPr>
                        <m:ctrlPr>
                          <w:rPr>
                            <w:rFonts w:ascii="Cambria Math" w:hAnsi="Cambria Math"/>
                            <w:i/>
                          </w:rPr>
                        </m:ctrlPr>
                      </m:sSubPr>
                      <m:e>
                        <m:r>
                          <w:rPr>
                            <w:rFonts w:ascii="Cambria Math" w:hAnsi="Cambria Math"/>
                          </w:rPr>
                          <m:t>c</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num>
                  <m:den>
                    <m:r>
                      <w:rPr>
                        <w:rFonts w:ascii="Cambria Math" w:hAnsi="Cambria Math"/>
                      </w:rPr>
                      <m:t>dt</m:t>
                    </m:r>
                  </m:den>
                </m:f>
                <m:r>
                  <w:rPr>
                    <w:rFonts w:ascii="Cambria Math" w:hAnsi="Cambria Math"/>
                  </w:rPr>
                  <m:t>=</m:t>
                </m:r>
                <m:sSub>
                  <m:sSubPr>
                    <m:ctrlPr>
                      <w:rPr>
                        <w:rFonts w:ascii="Cambria Math" w:hAnsi="Cambria Math"/>
                      </w:rPr>
                    </m:ctrlPr>
                  </m:sSubPr>
                  <m:e>
                    <m:r>
                      <m:rPr>
                        <m:sty m:val="p"/>
                      </m:rPr>
                      <w:rPr>
                        <w:rFonts w:ascii="Cambria Math" w:hAnsi="Cambria Math"/>
                      </w:rPr>
                      <m:t>k</m:t>
                    </m:r>
                  </m:e>
                  <m:sub>
                    <m:r>
                      <w:rPr>
                        <w:rFonts w:ascii="Cambria Math" w:hAnsi="Cambria Math"/>
                      </w:rPr>
                      <m:t>1</m:t>
                    </m:r>
                  </m:sub>
                </m:sSub>
                <m:r>
                  <w:rPr>
                    <w:rFonts w:ascii="Cambria Math" w:hAnsi="Cambria Math"/>
                  </w:rPr>
                  <m:t>∙</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w:rPr>
                    <w:rFonts w:ascii="Cambria Math" w:hAnsi="Cambria Math"/>
                  </w:rPr>
                  <m:t>(t)+</m:t>
                </m:r>
                <m:sSub>
                  <m:sSubPr>
                    <m:ctrlPr>
                      <w:rPr>
                        <w:rFonts w:ascii="Cambria Math" w:hAnsi="Cambria Math"/>
                      </w:rPr>
                    </m:ctrlPr>
                  </m:sSubPr>
                  <m:e>
                    <m:r>
                      <m:rPr>
                        <m:sty m:val="p"/>
                      </m:rPr>
                      <w:rPr>
                        <w:rFonts w:ascii="Cambria Math" w:hAnsi="Cambria Math"/>
                      </w:rPr>
                      <m:t>k</m:t>
                    </m:r>
                  </m:e>
                  <m:sub>
                    <m:r>
                      <w:rPr>
                        <w:rFonts w:ascii="Cambria Math" w:hAnsi="Cambria Math"/>
                      </w:rPr>
                      <m:t>2</m:t>
                    </m:r>
                  </m:sub>
                </m:sSub>
                <m:r>
                  <w:rPr>
                    <w:rFonts w:ascii="Cambria Math" w:hAnsi="Cambria Math"/>
                  </w:rPr>
                  <m:t>∙</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w:rPr>
                    <w:rFonts w:ascii="Cambria Math" w:hAnsi="Cambria Math"/>
                  </w:rPr>
                  <m:t>(t)∙</m:t>
                </m:r>
                <m:sSub>
                  <m:sSubPr>
                    <m:ctrlPr>
                      <w:rPr>
                        <w:rFonts w:ascii="Cambria Math" w:hAnsi="Cambria Math"/>
                        <w:i/>
                      </w:rPr>
                    </m:ctrlPr>
                  </m:sSubPr>
                  <m:e>
                    <m:r>
                      <w:rPr>
                        <w:rFonts w:ascii="Cambria Math" w:hAnsi="Cambria Math"/>
                      </w:rPr>
                      <m:t>c</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r>
                  <w:rPr>
                    <w:rFonts w:ascii="Cambria Math" w:hAnsi="Cambria Math"/>
                  </w:rPr>
                  <m:t>(t)+</m:t>
                </m:r>
                <m:sSub>
                  <m:sSubPr>
                    <m:ctrlPr>
                      <w:rPr>
                        <w:rFonts w:ascii="Cambria Math" w:hAnsi="Cambria Math"/>
                      </w:rPr>
                    </m:ctrlPr>
                  </m:sSubPr>
                  <m:e>
                    <m:r>
                      <m:rPr>
                        <m:sty m:val="p"/>
                      </m:rPr>
                      <w:rPr>
                        <w:rFonts w:ascii="Cambria Math" w:hAnsi="Cambria Math"/>
                      </w:rPr>
                      <m:t>k</m:t>
                    </m:r>
                  </m:e>
                  <m:sub>
                    <m:r>
                      <w:rPr>
                        <w:rFonts w:ascii="Cambria Math" w:hAnsi="Cambria Math"/>
                      </w:rPr>
                      <m:t>3</m:t>
                    </m:r>
                  </m:sub>
                </m:sSub>
                <m:r>
                  <w:rPr>
                    <w:rFonts w:ascii="Cambria Math" w:hAnsi="Cambria Math"/>
                  </w:rPr>
                  <m:t>∙</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w:rPr>
                    <w:rFonts w:ascii="Cambria Math" w:hAnsi="Cambria Math"/>
                  </w:rPr>
                  <m:t>(t)</m:t>
                </m:r>
              </m:oMath>
            </m:oMathPara>
          </w:p>
        </w:tc>
        <w:tc>
          <w:tcPr>
            <w:tcW w:w="805" w:type="dxa"/>
            <w:shd w:val="clear" w:color="auto" w:fill="auto"/>
            <w:vAlign w:val="center"/>
          </w:tcPr>
          <w:p w14:paraId="33DE67B9" w14:textId="220EC820" w:rsidR="005D1E4A" w:rsidRPr="00B57B36" w:rsidRDefault="005D1E4A" w:rsidP="00B55EDB">
            <w:pPr>
              <w:pStyle w:val="CETEquation"/>
              <w:spacing w:before="60" w:after="60"/>
              <w:jc w:val="right"/>
            </w:pPr>
            <w:r>
              <w:t>(9)</w:t>
            </w:r>
          </w:p>
        </w:tc>
      </w:tr>
      <w:tr w:rsidR="005D1E4A" w:rsidRPr="00B57B36" w14:paraId="0350F87D" w14:textId="77777777" w:rsidTr="00FA4632">
        <w:tc>
          <w:tcPr>
            <w:tcW w:w="7972" w:type="dxa"/>
            <w:shd w:val="clear" w:color="auto" w:fill="auto"/>
            <w:vAlign w:val="center"/>
          </w:tcPr>
          <w:p w14:paraId="10932B2A" w14:textId="5323999C" w:rsidR="005D1E4A" w:rsidRPr="005D1E4A" w:rsidRDefault="000B7C10" w:rsidP="00B55EDB">
            <w:pPr>
              <w:pStyle w:val="CETEquation"/>
              <w:spacing w:before="60" w:after="60"/>
            </w:pPr>
            <m:oMathPara>
              <m:oMathParaPr>
                <m:jc m:val="left"/>
              </m:oMathParaPr>
              <m:oMath>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m:rPr>
                            <m:sty m:val="p"/>
                          </m:rPr>
                          <w:rPr>
                            <w:rFonts w:ascii="Cambria Math" w:hAnsi="Cambria Math"/>
                          </w:rPr>
                          <m:t xml:space="preserve">s </m:t>
                        </m:r>
                      </m:sub>
                    </m:sSub>
                  </m:sub>
                </m:sSub>
                <m:r>
                  <w:rPr>
                    <w:rFonts w:ascii="Cambria Math" w:hAnsi="Cambria Math"/>
                  </w:rPr>
                  <m:t>(0)=</m:t>
                </m:r>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w:rPr>
                            <w:rFonts w:ascii="Cambria Math" w:hAnsi="Cambria Math"/>
                          </w:rPr>
                          <m:t>0</m:t>
                        </m:r>
                      </m:sub>
                    </m:sSub>
                  </m:sub>
                </m:sSub>
              </m:oMath>
            </m:oMathPara>
          </w:p>
        </w:tc>
        <w:tc>
          <w:tcPr>
            <w:tcW w:w="805" w:type="dxa"/>
            <w:shd w:val="clear" w:color="auto" w:fill="auto"/>
            <w:vAlign w:val="center"/>
          </w:tcPr>
          <w:p w14:paraId="78EBA61F" w14:textId="5091D9D6" w:rsidR="005D1E4A" w:rsidRPr="00B57B36" w:rsidRDefault="005D1E4A" w:rsidP="00B55EDB">
            <w:pPr>
              <w:pStyle w:val="CETEquation"/>
              <w:spacing w:before="60" w:after="60"/>
              <w:jc w:val="right"/>
            </w:pPr>
            <w:r w:rsidRPr="00B57B36">
              <w:t>(</w:t>
            </w:r>
            <w:r>
              <w:t>10</w:t>
            </w:r>
            <w:r w:rsidRPr="00B57B36">
              <w:t>)</w:t>
            </w:r>
          </w:p>
        </w:tc>
      </w:tr>
      <w:tr w:rsidR="005D1E4A" w:rsidRPr="00B57B36" w14:paraId="5270EC13" w14:textId="77777777" w:rsidTr="00FA4632">
        <w:tc>
          <w:tcPr>
            <w:tcW w:w="7972" w:type="dxa"/>
            <w:shd w:val="clear" w:color="auto" w:fill="auto"/>
            <w:vAlign w:val="center"/>
          </w:tcPr>
          <w:p w14:paraId="1D91DD4C" w14:textId="5615D7D4" w:rsidR="005D1E4A" w:rsidRPr="005D1E4A" w:rsidRDefault="000B7C10" w:rsidP="00B55EDB">
            <w:pPr>
              <w:pStyle w:val="CETEquation"/>
              <w:spacing w:before="60" w:after="60"/>
            </w:pPr>
            <m:oMathPara>
              <m:oMathParaPr>
                <m:jc m:val="left"/>
              </m:oMathParaPr>
              <m:oMath>
                <m:sSub>
                  <m:sSubPr>
                    <m:ctrlPr>
                      <w:rPr>
                        <w:rFonts w:ascii="Cambria Math" w:hAnsi="Cambria Math"/>
                        <w:i/>
                      </w:rPr>
                    </m:ctrlPr>
                  </m:sSubPr>
                  <m:e>
                    <m:r>
                      <w:rPr>
                        <w:rFonts w:ascii="Cambria Math" w:hAnsi="Cambria Math"/>
                      </w:rPr>
                      <m:t>c</m:t>
                    </m:r>
                  </m:e>
                  <m:sub>
                    <m:r>
                      <w:rPr>
                        <w:rFonts w:ascii="Cambria Math" w:hAnsi="Cambria Math"/>
                      </w:rPr>
                      <m:t>MM</m:t>
                    </m:r>
                    <m:sSub>
                      <m:sSubPr>
                        <m:ctrlPr>
                          <w:rPr>
                            <w:rFonts w:ascii="Cambria Math" w:hAnsi="Cambria Math"/>
                            <w:i/>
                          </w:rPr>
                        </m:ctrlPr>
                      </m:sSubPr>
                      <m:e>
                        <m:r>
                          <w:rPr>
                            <w:rFonts w:ascii="Cambria Math" w:hAnsi="Cambria Math"/>
                          </w:rPr>
                          <m:t>F</m:t>
                        </m:r>
                      </m:e>
                      <m:sub>
                        <m:r>
                          <w:rPr>
                            <w:rFonts w:ascii="Cambria Math" w:hAnsi="Cambria Math"/>
                          </w:rPr>
                          <m:t>s</m:t>
                        </m:r>
                      </m:sub>
                    </m:sSub>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ML</m:t>
                    </m:r>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FM</m:t>
                    </m:r>
                  </m:sub>
                </m:sSub>
                <m:d>
                  <m:dPr>
                    <m:ctrlPr>
                      <w:rPr>
                        <w:rFonts w:ascii="Cambria Math" w:hAnsi="Cambria Math"/>
                        <w:i/>
                      </w:rPr>
                    </m:ctrlPr>
                  </m:dPr>
                  <m:e>
                    <m:r>
                      <w:rPr>
                        <w:rFonts w:ascii="Cambria Math" w:hAnsi="Cambria Math"/>
                      </w:rPr>
                      <m:t>0</m:t>
                    </m:r>
                  </m:e>
                </m:d>
                <m:r>
                  <m:rPr>
                    <m:sty m:val="p"/>
                  </m:rPr>
                  <w:rPr>
                    <w:rFonts w:ascii="Cambria Math" w:hAnsi="Cambria Math"/>
                  </w:rPr>
                  <m:t>=</m:t>
                </m:r>
                <m:sSub>
                  <m:sSubPr>
                    <m:ctrlPr>
                      <w:rPr>
                        <w:rFonts w:ascii="Cambria Math" w:hAnsi="Cambria Math"/>
                        <w:i/>
                      </w:rPr>
                    </m:ctrlPr>
                  </m:sSubPr>
                  <m:e>
                    <m:r>
                      <w:rPr>
                        <w:rFonts w:ascii="Cambria Math" w:hAnsi="Cambria Math"/>
                      </w:rPr>
                      <m:t>c</m:t>
                    </m:r>
                  </m:e>
                  <m:sub>
                    <m:sSup>
                      <m:sSupPr>
                        <m:ctrlPr>
                          <w:rPr>
                            <w:rFonts w:ascii="Cambria Math" w:hAnsi="Cambria Math"/>
                            <w:i/>
                          </w:rPr>
                        </m:ctrlPr>
                      </m:sSupPr>
                      <m:e>
                        <m:r>
                          <w:rPr>
                            <w:rFonts w:ascii="Cambria Math" w:hAnsi="Cambria Math"/>
                          </w:rPr>
                          <m:t>H</m:t>
                        </m:r>
                      </m:e>
                      <m:sup>
                        <m:r>
                          <w:rPr>
                            <w:rFonts w:ascii="Cambria Math" w:hAnsi="Cambria Math"/>
                          </w:rPr>
                          <m:t>+</m:t>
                        </m:r>
                      </m:sup>
                    </m:sSup>
                  </m:sub>
                </m:sSub>
                <m:d>
                  <m:dPr>
                    <m:ctrlPr>
                      <w:rPr>
                        <w:rFonts w:ascii="Cambria Math" w:hAnsi="Cambria Math"/>
                      </w:rPr>
                    </m:ctrlPr>
                  </m:dPr>
                  <m:e>
                    <m:r>
                      <m:rPr>
                        <m:sty m:val="p"/>
                      </m:rPr>
                      <w:rPr>
                        <w:rFonts w:ascii="Cambria Math" w:hAnsi="Cambria Math"/>
                      </w:rPr>
                      <m:t>0</m:t>
                    </m:r>
                  </m:e>
                </m:d>
                <m:r>
                  <m:rPr>
                    <m:sty m:val="p"/>
                  </m:rP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UM</m:t>
                    </m:r>
                  </m:sub>
                </m:sSub>
                <m:d>
                  <m:dPr>
                    <m:ctrlPr>
                      <w:rPr>
                        <w:rFonts w:ascii="Cambria Math" w:hAnsi="Cambria Math"/>
                        <w:i/>
                      </w:rPr>
                    </m:ctrlPr>
                  </m:dPr>
                  <m:e>
                    <m:r>
                      <w:rPr>
                        <w:rFonts w:ascii="Cambria Math" w:hAnsi="Cambria Math"/>
                      </w:rPr>
                      <m:t>0</m:t>
                    </m:r>
                  </m:e>
                </m:d>
                <m:r>
                  <m:rPr>
                    <m:sty m:val="p"/>
                  </m:rPr>
                  <w:rPr>
                    <w:rFonts w:ascii="Cambria Math" w:hAnsi="Cambria Math"/>
                  </w:rPr>
                  <m:t>=0</m:t>
                </m:r>
                <m:d>
                  <m:dPr>
                    <m:begChr m:val="["/>
                    <m:endChr m:val="]"/>
                    <m:ctrlPr>
                      <w:rPr>
                        <w:rFonts w:ascii="Cambria Math" w:hAnsi="Cambria Math"/>
                      </w:rPr>
                    </m:ctrlPr>
                  </m:dPr>
                  <m:e>
                    <m:f>
                      <m:fPr>
                        <m:ctrlPr>
                          <w:rPr>
                            <w:rFonts w:ascii="Cambria Math" w:hAnsi="Cambria Math"/>
                          </w:rPr>
                        </m:ctrlPr>
                      </m:fPr>
                      <m:num>
                        <m:r>
                          <m:rPr>
                            <m:sty m:val="p"/>
                          </m:rPr>
                          <w:rPr>
                            <w:rFonts w:ascii="Cambria Math" w:hAnsi="Cambria Math"/>
                          </w:rPr>
                          <m:t>mol</m:t>
                        </m:r>
                      </m:num>
                      <m:den>
                        <m:r>
                          <m:rPr>
                            <m:sty m:val="p"/>
                          </m:rPr>
                          <w:rPr>
                            <w:rFonts w:ascii="Cambria Math" w:hAnsi="Cambria Math"/>
                          </w:rPr>
                          <m:t>L</m:t>
                        </m:r>
                      </m:den>
                    </m:f>
                  </m:e>
                </m:d>
              </m:oMath>
            </m:oMathPara>
          </w:p>
        </w:tc>
        <w:tc>
          <w:tcPr>
            <w:tcW w:w="805" w:type="dxa"/>
            <w:shd w:val="clear" w:color="auto" w:fill="auto"/>
            <w:vAlign w:val="center"/>
          </w:tcPr>
          <w:p w14:paraId="7FE36A46" w14:textId="3114AB8E" w:rsidR="005D1E4A" w:rsidRPr="00B57B36" w:rsidRDefault="005D1E4A" w:rsidP="00B55EDB">
            <w:pPr>
              <w:pStyle w:val="CETEquation"/>
              <w:spacing w:before="60" w:after="60"/>
              <w:jc w:val="right"/>
            </w:pPr>
            <w:r>
              <w:t>(11)</w:t>
            </w:r>
          </w:p>
        </w:tc>
      </w:tr>
      <w:tr w:rsidR="005D1E4A" w:rsidRPr="00B57B36" w14:paraId="0FF0A586" w14:textId="77777777" w:rsidTr="00FA4632">
        <w:tc>
          <w:tcPr>
            <w:tcW w:w="7972" w:type="dxa"/>
            <w:shd w:val="clear" w:color="auto" w:fill="auto"/>
            <w:vAlign w:val="center"/>
          </w:tcPr>
          <w:p w14:paraId="7550DDDF" w14:textId="2E67E247" w:rsidR="005D1E4A" w:rsidRPr="005D1E4A" w:rsidRDefault="000B7C10" w:rsidP="00B55EDB">
            <w:pPr>
              <w:pStyle w:val="CETEquation"/>
              <w:spacing w:before="60" w:after="60"/>
              <w:rPr>
                <w:rFonts w:ascii="Cambria Math" w:hAnsi="Cambria Math"/>
                <w:lang w:val="it-IT"/>
                <w:oMath/>
              </w:rPr>
            </w:pPr>
            <m:oMathPara>
              <m:oMathParaPr>
                <m:jc m:val="left"/>
              </m:oMathParaPr>
              <m:oMath>
                <m:sSub>
                  <m:sSubPr>
                    <m:ctrlPr>
                      <w:rPr>
                        <w:rFonts w:ascii="Cambria Math" w:hAnsi="Cambria Math"/>
                        <w:lang w:val="it-IT"/>
                      </w:rPr>
                    </m:ctrlPr>
                  </m:sSubPr>
                  <m:e>
                    <m:r>
                      <w:rPr>
                        <w:rFonts w:ascii="Cambria Math" w:hAnsi="Cambria Math"/>
                        <w:lang w:val="it-IT"/>
                      </w:rPr>
                      <m:t>k</m:t>
                    </m:r>
                  </m:e>
                  <m:sub>
                    <m:r>
                      <m:rPr>
                        <m:sty m:val="p"/>
                      </m:rPr>
                      <w:rPr>
                        <w:rFonts w:ascii="Cambria Math" w:hAnsi="Cambria Math"/>
                        <w:lang w:val="it-IT"/>
                      </w:rPr>
                      <m:t>1</m:t>
                    </m:r>
                  </m:sub>
                </m:sSub>
                <m:r>
                  <m:rPr>
                    <m:sty m:val="p"/>
                  </m:rPr>
                  <w:rPr>
                    <w:rFonts w:ascii="Cambria Math" w:hAnsi="Cambria Math"/>
                    <w:lang w:val="it-IT"/>
                  </w:rPr>
                  <m:t>=</m:t>
                </m:r>
                <m:sSub>
                  <m:sSubPr>
                    <m:ctrlPr>
                      <w:rPr>
                        <w:rFonts w:ascii="Cambria Math" w:hAnsi="Cambria Math"/>
                        <w:lang w:val="it-IT"/>
                      </w:rPr>
                    </m:ctrlPr>
                  </m:sSubPr>
                  <m:e>
                    <m:r>
                      <w:rPr>
                        <w:rFonts w:ascii="Cambria Math" w:hAnsi="Cambria Math"/>
                        <w:lang w:val="it-IT"/>
                      </w:rPr>
                      <m:t>k</m:t>
                    </m:r>
                  </m:e>
                  <m:sub>
                    <m:r>
                      <m:rPr>
                        <m:sty m:val="p"/>
                      </m:rPr>
                      <w:rPr>
                        <w:rFonts w:ascii="Cambria Math" w:hAnsi="Cambria Math"/>
                        <w:lang w:val="it-IT"/>
                      </w:rPr>
                      <m:t xml:space="preserve">1, </m:t>
                    </m:r>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sub>
                </m:sSub>
                <m:r>
                  <m:rPr>
                    <m:sty m:val="p"/>
                  </m:rPr>
                  <w:rPr>
                    <w:rFonts w:ascii="Cambria Math" w:hAnsi="Cambria Math"/>
                    <w:lang w:val="it-IT"/>
                  </w:rPr>
                  <m:t>∙</m:t>
                </m:r>
                <m:sSup>
                  <m:sSupPr>
                    <m:ctrlPr>
                      <w:rPr>
                        <w:rFonts w:ascii="Cambria Math" w:hAnsi="Cambria Math"/>
                        <w:lang w:val="it-IT"/>
                      </w:rPr>
                    </m:ctrlPr>
                  </m:sSupPr>
                  <m:e>
                    <m:r>
                      <w:rPr>
                        <w:rFonts w:ascii="Cambria Math" w:hAnsi="Cambria Math"/>
                        <w:lang w:val="it-IT"/>
                      </w:rPr>
                      <m:t>e</m:t>
                    </m:r>
                  </m:e>
                  <m:sup>
                    <m:r>
                      <m:rPr>
                        <m:sty m:val="p"/>
                      </m:rPr>
                      <w:rPr>
                        <w:rFonts w:ascii="Cambria Math" w:hAnsi="Cambria Math"/>
                        <w:lang w:val="it-IT"/>
                      </w:rPr>
                      <m:t xml:space="preserve">- </m:t>
                    </m:r>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E</m:t>
                            </m:r>
                          </m:e>
                          <m:sub>
                            <m:r>
                              <m:rPr>
                                <m:sty m:val="p"/>
                              </m:rPr>
                              <w:rPr>
                                <w:rFonts w:ascii="Cambria Math" w:hAnsi="Cambria Math"/>
                                <w:lang w:val="it-IT"/>
                              </w:rPr>
                              <m:t>1</m:t>
                            </m:r>
                          </m:sub>
                        </m:sSub>
                      </m:num>
                      <m:den>
                        <m:r>
                          <w:rPr>
                            <w:rFonts w:ascii="Cambria Math" w:hAnsi="Cambria Math"/>
                            <w:lang w:val="it-IT"/>
                          </w:rPr>
                          <m:t>R</m:t>
                        </m:r>
                      </m:den>
                    </m:f>
                    <m:r>
                      <m:rPr>
                        <m:sty m:val="p"/>
                      </m:rPr>
                      <w:rPr>
                        <w:rFonts w:ascii="Cambria Math" w:hAnsi="Cambria Math"/>
                        <w:lang w:val="it-IT"/>
                      </w:rPr>
                      <m:t>∙</m:t>
                    </m:r>
                    <m:d>
                      <m:dPr>
                        <m:ctrlPr>
                          <w:rPr>
                            <w:rFonts w:ascii="Cambria Math" w:hAnsi="Cambria Math"/>
                            <w:lang w:val="it-IT"/>
                          </w:rPr>
                        </m:ctrlPr>
                      </m:dPr>
                      <m:e>
                        <m:f>
                          <m:fPr>
                            <m:ctrlPr>
                              <w:rPr>
                                <w:rFonts w:ascii="Cambria Math" w:hAnsi="Cambria Math"/>
                                <w:lang w:val="it-IT"/>
                              </w:rPr>
                            </m:ctrlPr>
                          </m:fPr>
                          <m:num>
                            <m:r>
                              <m:rPr>
                                <m:sty m:val="p"/>
                              </m:rPr>
                              <w:rPr>
                                <w:rFonts w:ascii="Cambria Math" w:hAnsi="Cambria Math"/>
                                <w:lang w:val="it-IT"/>
                              </w:rPr>
                              <m:t>1</m:t>
                            </m:r>
                          </m:num>
                          <m:den>
                            <m:r>
                              <w:rPr>
                                <w:rFonts w:ascii="Cambria Math" w:hAnsi="Cambria Math"/>
                                <w:lang w:val="it-IT"/>
                              </w:rPr>
                              <m:t>T</m:t>
                            </m:r>
                          </m:den>
                        </m:f>
                        <m:r>
                          <m:rPr>
                            <m:sty m:val="p"/>
                          </m:rPr>
                          <w:rPr>
                            <w:rFonts w:ascii="Cambria Math" w:hAnsi="Cambria Math"/>
                            <w:lang w:val="it-IT"/>
                          </w:rPr>
                          <m:t>-</m:t>
                        </m:r>
                        <m:f>
                          <m:fPr>
                            <m:ctrlPr>
                              <w:rPr>
                                <w:rFonts w:ascii="Cambria Math" w:hAnsi="Cambria Math"/>
                                <w:lang w:val="it-IT"/>
                              </w:rPr>
                            </m:ctrlPr>
                          </m:fPr>
                          <m:num>
                            <m:r>
                              <m:rPr>
                                <m:sty m:val="p"/>
                              </m:rPr>
                              <w:rPr>
                                <w:rFonts w:ascii="Cambria Math" w:hAnsi="Cambria Math"/>
                                <w:lang w:val="it-IT"/>
                              </w:rPr>
                              <m:t>1</m:t>
                            </m:r>
                          </m:num>
                          <m:den>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den>
                        </m:f>
                      </m:e>
                    </m:d>
                  </m:sup>
                </m:sSup>
              </m:oMath>
            </m:oMathPara>
          </w:p>
        </w:tc>
        <w:tc>
          <w:tcPr>
            <w:tcW w:w="805" w:type="dxa"/>
            <w:shd w:val="clear" w:color="auto" w:fill="auto"/>
            <w:vAlign w:val="center"/>
          </w:tcPr>
          <w:p w14:paraId="3A5CA9F3" w14:textId="77C3E091" w:rsidR="005D1E4A" w:rsidRDefault="005D1E4A" w:rsidP="00B55EDB">
            <w:pPr>
              <w:pStyle w:val="CETEquation"/>
              <w:spacing w:before="60" w:after="60"/>
              <w:jc w:val="right"/>
            </w:pPr>
            <w:r>
              <w:t>(12)</w:t>
            </w:r>
          </w:p>
        </w:tc>
      </w:tr>
      <w:tr w:rsidR="005D1E4A" w:rsidRPr="00B57B36" w14:paraId="576AEF74" w14:textId="77777777" w:rsidTr="00FA4632">
        <w:tc>
          <w:tcPr>
            <w:tcW w:w="7972" w:type="dxa"/>
            <w:shd w:val="clear" w:color="auto" w:fill="auto"/>
            <w:vAlign w:val="center"/>
          </w:tcPr>
          <w:p w14:paraId="1E0ABBC8" w14:textId="767B880B" w:rsidR="005D1E4A" w:rsidRPr="005D1E4A" w:rsidRDefault="000B7C10" w:rsidP="00B55EDB">
            <w:pPr>
              <w:pStyle w:val="CETEquation"/>
              <w:spacing w:before="60" w:after="60"/>
              <w:rPr>
                <w:rFonts w:ascii="Cambria Math" w:hAnsi="Cambria Math"/>
                <w:oMath/>
              </w:rPr>
            </w:pPr>
            <m:oMathPara>
              <m:oMathParaPr>
                <m:jc m:val="left"/>
              </m:oMathParaPr>
              <m:oMath>
                <m:sSub>
                  <m:sSubPr>
                    <m:ctrlPr>
                      <w:rPr>
                        <w:rFonts w:ascii="Cambria Math" w:hAnsi="Cambria Math"/>
                      </w:rPr>
                    </m:ctrlPr>
                  </m:sSubPr>
                  <m:e>
                    <m:r>
                      <w:rPr>
                        <w:rFonts w:ascii="Cambria Math" w:hAnsi="Cambria Math"/>
                      </w:rPr>
                      <m:t>k</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k</m:t>
                    </m:r>
                  </m:e>
                  <m:sub>
                    <m:r>
                      <m:rPr>
                        <m:sty m:val="p"/>
                      </m:rPr>
                      <w:rPr>
                        <w:rFonts w:ascii="Cambria Math" w:hAnsi="Cambria Math"/>
                      </w:rPr>
                      <m:t xml:space="preserve">2, </m:t>
                    </m:r>
                    <m:sSub>
                      <m:sSubPr>
                        <m:ctrlPr>
                          <w:rPr>
                            <w:rFonts w:ascii="Cambria Math" w:hAnsi="Cambria Math"/>
                          </w:rPr>
                        </m:ctrlPr>
                      </m:sSubPr>
                      <m:e>
                        <m:r>
                          <w:rPr>
                            <w:rFonts w:ascii="Cambria Math" w:hAnsi="Cambria Math"/>
                          </w:rPr>
                          <m:t>T</m:t>
                        </m:r>
                      </m:e>
                      <m:sub>
                        <m:r>
                          <w:rPr>
                            <w:rFonts w:ascii="Cambria Math" w:hAnsi="Cambria Math"/>
                          </w:rPr>
                          <m:t>ave</m:t>
                        </m:r>
                      </m:sub>
                    </m:sSub>
                  </m:sub>
                </m:sSub>
                <m:r>
                  <m:rPr>
                    <m:sty m:val="p"/>
                  </m:rPr>
                  <w:rPr>
                    <w:rFonts w:ascii="Cambria Math" w:hAnsi="Cambria Math"/>
                  </w:rPr>
                  <m:t>∙</m:t>
                </m:r>
                <m:sSup>
                  <m:sSupPr>
                    <m:ctrlPr>
                      <w:rPr>
                        <w:rFonts w:ascii="Cambria Math" w:hAnsi="Cambria Math"/>
                      </w:rPr>
                    </m:ctrlPr>
                  </m:sSupPr>
                  <m:e>
                    <m:r>
                      <w:rPr>
                        <w:rFonts w:ascii="Cambria Math" w:hAnsi="Cambria Math"/>
                      </w:rPr>
                      <m:t>e</m:t>
                    </m:r>
                  </m:e>
                  <m:sup>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E</m:t>
                            </m:r>
                          </m:e>
                          <m:sub>
                            <m:r>
                              <m:rPr>
                                <m:sty m:val="p"/>
                              </m:rPr>
                              <w:rPr>
                                <w:rFonts w:ascii="Cambria Math" w:hAnsi="Cambria Math"/>
                              </w:rPr>
                              <m:t>2</m:t>
                            </m:r>
                          </m:sub>
                        </m:sSub>
                      </m:num>
                      <m:den>
                        <m:r>
                          <w:rPr>
                            <w:rFonts w:ascii="Cambria Math" w:hAnsi="Cambria Math"/>
                          </w:rPr>
                          <m:t>R</m:t>
                        </m:r>
                      </m:den>
                    </m:f>
                    <m:r>
                      <m:rPr>
                        <m:sty m:val="p"/>
                      </m:rPr>
                      <w:rPr>
                        <w:rFonts w:ascii="Cambria Math" w:hAnsi="Cambria Math"/>
                      </w:rPr>
                      <m:t>∙</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
                              <w:rPr>
                                <w:rFonts w:ascii="Cambria Math" w:hAnsi="Cambria Math"/>
                              </w:rPr>
                              <m:t>T</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b>
                              <m:sSubPr>
                                <m:ctrlPr>
                                  <w:rPr>
                                    <w:rFonts w:ascii="Cambria Math" w:hAnsi="Cambria Math"/>
                                  </w:rPr>
                                </m:ctrlPr>
                              </m:sSubPr>
                              <m:e>
                                <m:r>
                                  <w:rPr>
                                    <w:rFonts w:ascii="Cambria Math" w:hAnsi="Cambria Math"/>
                                  </w:rPr>
                                  <m:t>T</m:t>
                                </m:r>
                              </m:e>
                              <m:sub>
                                <m:r>
                                  <w:rPr>
                                    <w:rFonts w:ascii="Cambria Math" w:hAnsi="Cambria Math"/>
                                  </w:rPr>
                                  <m:t>ave</m:t>
                                </m:r>
                              </m:sub>
                            </m:sSub>
                          </m:den>
                        </m:f>
                      </m:e>
                    </m:d>
                  </m:sup>
                </m:sSup>
              </m:oMath>
            </m:oMathPara>
          </w:p>
        </w:tc>
        <w:tc>
          <w:tcPr>
            <w:tcW w:w="805" w:type="dxa"/>
            <w:shd w:val="clear" w:color="auto" w:fill="auto"/>
            <w:vAlign w:val="center"/>
          </w:tcPr>
          <w:p w14:paraId="1CD2A0AE" w14:textId="6020831D" w:rsidR="005D1E4A" w:rsidRDefault="005D1E4A" w:rsidP="00B55EDB">
            <w:pPr>
              <w:pStyle w:val="CETEquation"/>
              <w:spacing w:before="60" w:after="60"/>
              <w:jc w:val="right"/>
            </w:pPr>
            <w:r>
              <w:t>(13)</w:t>
            </w:r>
          </w:p>
        </w:tc>
      </w:tr>
      <w:tr w:rsidR="005D1E4A" w:rsidRPr="00B57B36" w14:paraId="746DE4C2" w14:textId="77777777" w:rsidTr="00FA4632">
        <w:tc>
          <w:tcPr>
            <w:tcW w:w="7972" w:type="dxa"/>
            <w:shd w:val="clear" w:color="auto" w:fill="auto"/>
            <w:vAlign w:val="center"/>
          </w:tcPr>
          <w:p w14:paraId="3C71107B" w14:textId="6F38F0D2" w:rsidR="005D1E4A" w:rsidRPr="005D1E4A" w:rsidRDefault="000B7C10" w:rsidP="00B55EDB">
            <w:pPr>
              <w:pStyle w:val="CETEquation"/>
              <w:spacing w:before="60" w:after="60"/>
            </w:pPr>
            <m:oMathPara>
              <m:oMathParaPr>
                <m:jc m:val="left"/>
              </m:oMathParaPr>
              <m:oMath>
                <m:sSub>
                  <m:sSubPr>
                    <m:ctrlPr>
                      <w:rPr>
                        <w:rFonts w:ascii="Cambria Math" w:hAnsi="Cambria Math"/>
                        <w:lang w:val="it-IT"/>
                      </w:rPr>
                    </m:ctrlPr>
                  </m:sSubPr>
                  <m:e>
                    <m:r>
                      <w:rPr>
                        <w:rFonts w:ascii="Cambria Math" w:hAnsi="Cambria Math"/>
                        <w:lang w:val="it-IT"/>
                      </w:rPr>
                      <m:t>k</m:t>
                    </m:r>
                  </m:e>
                  <m:sub>
                    <m:r>
                      <m:rPr>
                        <m:sty m:val="p"/>
                      </m:rPr>
                      <w:rPr>
                        <w:rFonts w:ascii="Cambria Math" w:hAnsi="Cambria Math"/>
                        <w:lang w:val="it-IT"/>
                      </w:rPr>
                      <m:t>3</m:t>
                    </m:r>
                  </m:sub>
                </m:sSub>
                <m:r>
                  <m:rPr>
                    <m:sty m:val="p"/>
                  </m:rPr>
                  <w:rPr>
                    <w:rFonts w:ascii="Cambria Math" w:hAnsi="Cambria Math"/>
                    <w:lang w:val="it-IT"/>
                  </w:rPr>
                  <m:t>=</m:t>
                </m:r>
                <m:sSub>
                  <m:sSubPr>
                    <m:ctrlPr>
                      <w:rPr>
                        <w:rFonts w:ascii="Cambria Math" w:hAnsi="Cambria Math"/>
                        <w:lang w:val="it-IT"/>
                      </w:rPr>
                    </m:ctrlPr>
                  </m:sSubPr>
                  <m:e>
                    <m:r>
                      <w:rPr>
                        <w:rFonts w:ascii="Cambria Math" w:hAnsi="Cambria Math"/>
                        <w:lang w:val="it-IT"/>
                      </w:rPr>
                      <m:t>k</m:t>
                    </m:r>
                  </m:e>
                  <m:sub>
                    <m:r>
                      <m:rPr>
                        <m:sty m:val="p"/>
                      </m:rPr>
                      <w:rPr>
                        <w:rFonts w:ascii="Cambria Math" w:hAnsi="Cambria Math"/>
                        <w:lang w:val="it-IT"/>
                      </w:rPr>
                      <m:t xml:space="preserve">3, </m:t>
                    </m:r>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sub>
                </m:sSub>
                <m:r>
                  <m:rPr>
                    <m:sty m:val="p"/>
                  </m:rPr>
                  <w:rPr>
                    <w:rFonts w:ascii="Cambria Math" w:hAnsi="Cambria Math"/>
                    <w:lang w:val="it-IT"/>
                  </w:rPr>
                  <m:t>∙</m:t>
                </m:r>
                <m:sSup>
                  <m:sSupPr>
                    <m:ctrlPr>
                      <w:rPr>
                        <w:rFonts w:ascii="Cambria Math" w:hAnsi="Cambria Math"/>
                        <w:lang w:val="it-IT"/>
                      </w:rPr>
                    </m:ctrlPr>
                  </m:sSupPr>
                  <m:e>
                    <m:r>
                      <w:rPr>
                        <w:rFonts w:ascii="Cambria Math" w:hAnsi="Cambria Math"/>
                        <w:lang w:val="it-IT"/>
                      </w:rPr>
                      <m:t>e</m:t>
                    </m:r>
                  </m:e>
                  <m:sup>
                    <m:r>
                      <m:rPr>
                        <m:sty m:val="p"/>
                      </m:rPr>
                      <w:rPr>
                        <w:rFonts w:ascii="Cambria Math" w:hAnsi="Cambria Math"/>
                        <w:lang w:val="it-IT"/>
                      </w:rPr>
                      <m:t xml:space="preserve">- </m:t>
                    </m:r>
                    <m:f>
                      <m:fPr>
                        <m:ctrlPr>
                          <w:rPr>
                            <w:rFonts w:ascii="Cambria Math" w:hAnsi="Cambria Math"/>
                            <w:lang w:val="it-IT"/>
                          </w:rPr>
                        </m:ctrlPr>
                      </m:fPr>
                      <m:num>
                        <m:sSub>
                          <m:sSubPr>
                            <m:ctrlPr>
                              <w:rPr>
                                <w:rFonts w:ascii="Cambria Math" w:hAnsi="Cambria Math"/>
                                <w:lang w:val="it-IT"/>
                              </w:rPr>
                            </m:ctrlPr>
                          </m:sSubPr>
                          <m:e>
                            <m:r>
                              <w:rPr>
                                <w:rFonts w:ascii="Cambria Math" w:hAnsi="Cambria Math"/>
                                <w:lang w:val="it-IT"/>
                              </w:rPr>
                              <m:t>E</m:t>
                            </m:r>
                          </m:e>
                          <m:sub>
                            <m:r>
                              <m:rPr>
                                <m:sty m:val="p"/>
                              </m:rPr>
                              <w:rPr>
                                <w:rFonts w:ascii="Cambria Math" w:hAnsi="Cambria Math"/>
                                <w:lang w:val="it-IT"/>
                              </w:rPr>
                              <m:t>3</m:t>
                            </m:r>
                          </m:sub>
                        </m:sSub>
                      </m:num>
                      <m:den>
                        <m:r>
                          <w:rPr>
                            <w:rFonts w:ascii="Cambria Math" w:hAnsi="Cambria Math"/>
                            <w:lang w:val="it-IT"/>
                          </w:rPr>
                          <m:t>R</m:t>
                        </m:r>
                      </m:den>
                    </m:f>
                    <m:r>
                      <m:rPr>
                        <m:sty m:val="p"/>
                      </m:rPr>
                      <w:rPr>
                        <w:rFonts w:ascii="Cambria Math" w:hAnsi="Cambria Math"/>
                        <w:lang w:val="it-IT"/>
                      </w:rPr>
                      <m:t>∙</m:t>
                    </m:r>
                    <m:d>
                      <m:dPr>
                        <m:ctrlPr>
                          <w:rPr>
                            <w:rFonts w:ascii="Cambria Math" w:hAnsi="Cambria Math"/>
                            <w:lang w:val="it-IT"/>
                          </w:rPr>
                        </m:ctrlPr>
                      </m:dPr>
                      <m:e>
                        <m:f>
                          <m:fPr>
                            <m:ctrlPr>
                              <w:rPr>
                                <w:rFonts w:ascii="Cambria Math" w:hAnsi="Cambria Math"/>
                                <w:lang w:val="it-IT"/>
                              </w:rPr>
                            </m:ctrlPr>
                          </m:fPr>
                          <m:num>
                            <m:r>
                              <m:rPr>
                                <m:sty m:val="p"/>
                              </m:rPr>
                              <w:rPr>
                                <w:rFonts w:ascii="Cambria Math" w:hAnsi="Cambria Math"/>
                                <w:lang w:val="it-IT"/>
                              </w:rPr>
                              <m:t>1</m:t>
                            </m:r>
                          </m:num>
                          <m:den>
                            <m:r>
                              <w:rPr>
                                <w:rFonts w:ascii="Cambria Math" w:hAnsi="Cambria Math"/>
                                <w:lang w:val="it-IT"/>
                              </w:rPr>
                              <m:t>T</m:t>
                            </m:r>
                          </m:den>
                        </m:f>
                        <m:r>
                          <m:rPr>
                            <m:sty m:val="p"/>
                          </m:rPr>
                          <w:rPr>
                            <w:rFonts w:ascii="Cambria Math" w:hAnsi="Cambria Math"/>
                            <w:lang w:val="it-IT"/>
                          </w:rPr>
                          <m:t>-</m:t>
                        </m:r>
                        <m:f>
                          <m:fPr>
                            <m:ctrlPr>
                              <w:rPr>
                                <w:rFonts w:ascii="Cambria Math" w:hAnsi="Cambria Math"/>
                                <w:lang w:val="it-IT"/>
                              </w:rPr>
                            </m:ctrlPr>
                          </m:fPr>
                          <m:num>
                            <m:r>
                              <m:rPr>
                                <m:sty m:val="p"/>
                              </m:rPr>
                              <w:rPr>
                                <w:rFonts w:ascii="Cambria Math" w:hAnsi="Cambria Math"/>
                                <w:lang w:val="it-IT"/>
                              </w:rPr>
                              <m:t>1</m:t>
                            </m:r>
                          </m:num>
                          <m:den>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den>
                        </m:f>
                      </m:e>
                    </m:d>
                  </m:sup>
                </m:sSup>
              </m:oMath>
            </m:oMathPara>
          </w:p>
        </w:tc>
        <w:tc>
          <w:tcPr>
            <w:tcW w:w="805" w:type="dxa"/>
            <w:shd w:val="clear" w:color="auto" w:fill="auto"/>
            <w:vAlign w:val="center"/>
          </w:tcPr>
          <w:p w14:paraId="58920245" w14:textId="34D35BBF" w:rsidR="005D1E4A" w:rsidRDefault="005D1E4A" w:rsidP="00B55EDB">
            <w:pPr>
              <w:pStyle w:val="CETEquation"/>
              <w:spacing w:before="60" w:after="60"/>
              <w:jc w:val="right"/>
            </w:pPr>
            <w:r>
              <w:t>(14)</w:t>
            </w:r>
          </w:p>
        </w:tc>
      </w:tr>
    </w:tbl>
    <w:p w14:paraId="32B9160C" w14:textId="4F1420A9" w:rsidR="006659D3" w:rsidRDefault="005D1E4A" w:rsidP="008B5E25">
      <w:pPr>
        <w:pStyle w:val="CETBodytext"/>
      </w:pPr>
      <w:r>
        <w:t>The ODE</w:t>
      </w:r>
      <w:r w:rsidR="000A5281">
        <w:t>s</w:t>
      </w:r>
      <w:r>
        <w:t xml:space="preserve"> set was solved by parametric numerical integration using Wolfram Mathematica 1</w:t>
      </w:r>
      <w:r w:rsidR="003041B8">
        <w:t>2</w:t>
      </w:r>
      <w:r w:rsidR="004B24B2">
        <w:t xml:space="preserve">, </w:t>
      </w:r>
      <w:r>
        <w:t xml:space="preserve">the LSODA method </w:t>
      </w:r>
      <w:r>
        <w:fldChar w:fldCharType="begin" w:fldLock="1"/>
      </w:r>
      <w:r w:rsidR="00D30DB4">
        <w:instrText>ADDIN CSL_CITATION {"citationItems":[{"id":"ITEM-1","itemData":{"author":[{"dropping-particle":"","family":"Wolfram Research Inc.","given":"","non-dropping-particle":"","parse-names":false,"suffix":""}],"id":"ITEM-1","issued":{"date-parts":[["2014"]]},"number":"10.0","publisher":"Wolfram Research, Inc.","title":"Mathematica 10.0","type":"article"},"uris":["http://www.mendeley.com/documents/?uuid=2b4ba524-5d92-41f0-be9f-33964454050d"]}],"mendeley":{"formattedCitation":"(Wolfram Research Inc., 2014)","plainTextFormattedCitation":"(Wolfram Research Inc., 2014)","previouslyFormattedCitation":"(Wolfram Research Inc., 2014)"},"properties":{"noteIndex":0},"schema":"https://github.com/citation-style-language/schema/raw/master/csl-citation.json"}</w:instrText>
      </w:r>
      <w:r>
        <w:fldChar w:fldCharType="separate"/>
      </w:r>
      <w:r w:rsidR="00D30DB4" w:rsidRPr="00D30DB4">
        <w:rPr>
          <w:noProof/>
        </w:rPr>
        <w:t>(Wolfram Research Inc., 2014)</w:t>
      </w:r>
      <w:r>
        <w:fldChar w:fldCharType="end"/>
      </w:r>
      <w:r w:rsidR="008A230C">
        <w:t xml:space="preserve">, </w:t>
      </w:r>
      <w:r w:rsidR="004B24B2">
        <w:t xml:space="preserve">and </w:t>
      </w:r>
      <m:oMath>
        <m:sSub>
          <m:sSubPr>
            <m:ctrlPr>
              <w:rPr>
                <w:rFonts w:ascii="Cambria Math" w:hAnsi="Cambria Math"/>
              </w:rPr>
            </m:ctrlPr>
          </m:sSubPr>
          <m:e>
            <m:r>
              <m:rPr>
                <m:sty m:val="p"/>
              </m:rPr>
              <w:rPr>
                <w:rFonts w:ascii="Cambria Math" w:hAnsi="Cambria Math"/>
              </w:rPr>
              <m:t>c</m:t>
            </m:r>
          </m:e>
          <m:sub>
            <m:sSub>
              <m:sSubPr>
                <m:ctrlPr>
                  <w:rPr>
                    <w:rFonts w:ascii="Cambria Math" w:hAnsi="Cambria Math"/>
                  </w:rPr>
                </m:ctrlPr>
              </m:sSubPr>
              <m:e>
                <m:r>
                  <m:rPr>
                    <m:sty m:val="p"/>
                  </m:rPr>
                  <w:rPr>
                    <w:rFonts w:ascii="Cambria Math" w:hAnsi="Cambria Math"/>
                  </w:rPr>
                  <m:t>CMF</m:t>
                </m:r>
              </m:e>
              <m:sub>
                <m:r>
                  <w:rPr>
                    <w:rFonts w:ascii="Cambria Math" w:hAnsi="Cambria Math"/>
                  </w:rPr>
                  <m:t>0</m:t>
                </m:r>
              </m:sub>
            </m:sSub>
          </m:sub>
        </m:sSub>
      </m:oMath>
      <w:r w:rsidR="008A230C">
        <w:t>for each reaction batch</w:t>
      </w:r>
      <w:r>
        <w:t>. All the parameters were fitted by using the whole experimental dataset at once for all the tested temperatures and all the initial conditions (global fitting) by nonlinear regression</w:t>
      </w:r>
      <w:r w:rsidR="004B24B2">
        <w:t>, using</w:t>
      </w:r>
      <w:r>
        <w:t xml:space="preserve"> the </w:t>
      </w:r>
      <w:r w:rsidR="000A5281">
        <w:t>"</w:t>
      </w:r>
      <w:proofErr w:type="spellStart"/>
      <w:r>
        <w:t>NMinimize</w:t>
      </w:r>
      <w:proofErr w:type="spellEnd"/>
      <w:r>
        <w:t>” optimization algorithm</w:t>
      </w:r>
      <w:r w:rsidR="004B24B2">
        <w:t xml:space="preserve"> and</w:t>
      </w:r>
      <w:r>
        <w:t xml:space="preserve"> assuming the same weight for all the experimental data. </w:t>
      </w:r>
      <w:r w:rsidR="000A5281">
        <w:t>O</w:t>
      </w:r>
      <w:r>
        <w:t xml:space="preserve">nly </w:t>
      </w:r>
      <m:oMath>
        <m:sSub>
          <m:sSubPr>
            <m:ctrlPr>
              <w:rPr>
                <w:rFonts w:ascii="Cambria Math" w:hAnsi="Cambria Math"/>
                <w:i/>
              </w:rPr>
            </m:ctrlPr>
          </m:sSubPr>
          <m:e>
            <m:r>
              <w:rPr>
                <w:rFonts w:ascii="Cambria Math" w:hAnsi="Cambria Math"/>
              </w:rPr>
              <m:t>c</m:t>
            </m:r>
          </m:e>
          <m:sub>
            <m:r>
              <w:rPr>
                <w:rFonts w:ascii="Cambria Math" w:hAnsi="Cambria Math"/>
              </w:rPr>
              <m:t>CM</m:t>
            </m:r>
            <m:sSub>
              <m:sSubPr>
                <m:ctrlPr>
                  <w:rPr>
                    <w:rFonts w:ascii="Cambria Math" w:hAnsi="Cambria Math"/>
                    <w:i/>
                  </w:rPr>
                </m:ctrlPr>
              </m:sSubPr>
              <m:e>
                <m:r>
                  <w:rPr>
                    <w:rFonts w:ascii="Cambria Math" w:hAnsi="Cambria Math"/>
                  </w:rPr>
                  <m:t>F</m:t>
                </m:r>
              </m:e>
              <m:sub>
                <m:r>
                  <w:rPr>
                    <w:rFonts w:ascii="Cambria Math" w:hAnsi="Cambria Math"/>
                  </w:rPr>
                  <m:t>s</m:t>
                </m:r>
              </m:sub>
            </m:sSub>
          </m:sub>
        </m:sSub>
      </m:oMath>
      <w:r w:rsidR="006B2337">
        <w:t xml:space="preserve">, </w:t>
      </w:r>
      <m:oMath>
        <m:sSub>
          <m:sSubPr>
            <m:ctrlPr>
              <w:rPr>
                <w:rFonts w:ascii="Cambria Math" w:hAnsi="Cambria Math"/>
                <w:i/>
              </w:rPr>
            </m:ctrlPr>
          </m:sSubPr>
          <m:e>
            <m:r>
              <w:rPr>
                <w:rFonts w:ascii="Cambria Math" w:hAnsi="Cambria Math"/>
              </w:rPr>
              <m:t>c</m:t>
            </m:r>
          </m:e>
          <m:sub>
            <m:r>
              <w:rPr>
                <w:rFonts w:ascii="Cambria Math" w:hAnsi="Cambria Math"/>
              </w:rPr>
              <m:t>MM</m:t>
            </m:r>
            <m:sSub>
              <m:sSubPr>
                <m:ctrlPr>
                  <w:rPr>
                    <w:rFonts w:ascii="Cambria Math" w:hAnsi="Cambria Math"/>
                    <w:i/>
                  </w:rPr>
                </m:ctrlPr>
              </m:sSubPr>
              <m:e>
                <m:r>
                  <w:rPr>
                    <w:rFonts w:ascii="Cambria Math" w:hAnsi="Cambria Math"/>
                  </w:rPr>
                  <m:t>F</m:t>
                </m:r>
              </m:e>
              <m:sub>
                <m:r>
                  <w:rPr>
                    <w:rFonts w:ascii="Cambria Math" w:hAnsi="Cambria Math"/>
                  </w:rPr>
                  <m:t>s</m:t>
                </m:r>
              </m:sub>
            </m:sSub>
          </m:sub>
        </m:sSub>
      </m:oMath>
      <w:r w:rsidR="006B2337">
        <w:t xml:space="preserve">, and </w:t>
      </w:r>
      <m:oMath>
        <m:sSub>
          <m:sSubPr>
            <m:ctrlPr>
              <w:rPr>
                <w:rFonts w:ascii="Cambria Math" w:hAnsi="Cambria Math"/>
                <w:i/>
              </w:rPr>
            </m:ctrlPr>
          </m:sSubPr>
          <m:e>
            <m:r>
              <w:rPr>
                <w:rFonts w:ascii="Cambria Math" w:hAnsi="Cambria Math"/>
              </w:rPr>
              <m:t>c</m:t>
            </m:r>
          </m:e>
          <m:sub>
            <m:r>
              <w:rPr>
                <w:rFonts w:ascii="Cambria Math" w:hAnsi="Cambria Math"/>
              </w:rPr>
              <m:t>ML</m:t>
            </m:r>
          </m:sub>
        </m:sSub>
      </m:oMath>
      <w:r>
        <w:t>data were used for the fitting procedure</w:t>
      </w:r>
      <w:r w:rsidR="006B2337">
        <w:t xml:space="preserve"> </w:t>
      </w:r>
      <w:r>
        <w:t xml:space="preserve">without considering </w:t>
      </w:r>
      <w:r w:rsidR="004B24B2">
        <w:t xml:space="preserve">the calculated concentration of </w:t>
      </w:r>
      <w:r w:rsidR="006B2337">
        <w:t>UM</w:t>
      </w:r>
      <w:r w:rsidR="001F096C">
        <w:t xml:space="preserve"> (</w:t>
      </w:r>
      <m:oMath>
        <m:sSub>
          <m:sSubPr>
            <m:ctrlPr>
              <w:rPr>
                <w:rFonts w:ascii="Cambria Math" w:hAnsi="Cambria Math"/>
                <w:i/>
              </w:rPr>
            </m:ctrlPr>
          </m:sSubPr>
          <m:e>
            <m:r>
              <w:rPr>
                <w:rFonts w:ascii="Cambria Math" w:hAnsi="Cambria Math"/>
              </w:rPr>
              <m:t>c</m:t>
            </m:r>
          </m:e>
          <m:sub>
            <m:r>
              <w:rPr>
                <w:rFonts w:ascii="Cambria Math" w:hAnsi="Cambria Math"/>
              </w:rPr>
              <m:t>UM</m:t>
            </m:r>
          </m:sub>
        </m:sSub>
      </m:oMath>
      <w:r w:rsidR="001F096C">
        <w:t>)</w:t>
      </w:r>
      <w:r>
        <w:t xml:space="preserve">. </w:t>
      </w:r>
    </w:p>
    <w:p w14:paraId="6B4C63E5" w14:textId="30E6D543" w:rsidR="00600535" w:rsidRDefault="00566724" w:rsidP="00156317">
      <w:pPr>
        <w:pStyle w:val="CETHeading1"/>
      </w:pPr>
      <w:r>
        <w:t>Results and Discussion</w:t>
      </w:r>
    </w:p>
    <w:p w14:paraId="22904196" w14:textId="5DF1F382" w:rsidR="00087693" w:rsidRPr="00087693" w:rsidRDefault="00087693" w:rsidP="00156317">
      <w:pPr>
        <w:pStyle w:val="CETheadingx"/>
      </w:pPr>
      <w:r>
        <w:t xml:space="preserve">Main </w:t>
      </w:r>
      <w:r w:rsidR="002F17D3">
        <w:t>Reaction Performance</w:t>
      </w:r>
    </w:p>
    <w:p w14:paraId="6CA13356" w14:textId="3774CCB0" w:rsidR="00600535" w:rsidRDefault="00FB249A" w:rsidP="00600535">
      <w:pPr>
        <w:pStyle w:val="CETBodytext"/>
        <w:rPr>
          <w:lang w:val="en-GB"/>
        </w:rPr>
      </w:pPr>
      <w:r>
        <w:rPr>
          <w:lang w:val="en-GB"/>
        </w:rPr>
        <w:t>The main results, in terms of CMF conversion, CMFA, MMF, MMFA, and LM yields</w:t>
      </w:r>
      <w:r w:rsidR="000A5281">
        <w:rPr>
          <w:lang w:val="en-GB"/>
        </w:rPr>
        <w:t>,</w:t>
      </w:r>
      <w:r>
        <w:rPr>
          <w:lang w:val="en-GB"/>
        </w:rPr>
        <w:t xml:space="preserve"> are reported in </w:t>
      </w:r>
      <w:r>
        <w:rPr>
          <w:lang w:val="en-GB"/>
        </w:rPr>
        <w:fldChar w:fldCharType="begin"/>
      </w:r>
      <w:r>
        <w:rPr>
          <w:lang w:val="en-GB"/>
        </w:rPr>
        <w:instrText xml:space="preserve"> REF _Ref155535291 \h </w:instrText>
      </w:r>
      <w:r>
        <w:rPr>
          <w:lang w:val="en-GB"/>
        </w:rPr>
      </w:r>
      <w:r>
        <w:rPr>
          <w:lang w:val="en-GB"/>
        </w:rPr>
        <w:fldChar w:fldCharType="separate"/>
      </w:r>
      <w:r>
        <w:t xml:space="preserve">Figure </w:t>
      </w:r>
      <w:r>
        <w:rPr>
          <w:noProof/>
        </w:rPr>
        <w:t>1</w:t>
      </w:r>
      <w:r>
        <w:rPr>
          <w:lang w:val="en-GB"/>
        </w:rPr>
        <w:fldChar w:fldCharType="end"/>
      </w:r>
      <w:r>
        <w:rPr>
          <w:lang w:val="en-GB"/>
        </w:rPr>
        <w:t xml:space="preserve"> at all the tested temperatures.</w:t>
      </w:r>
      <w:r w:rsidR="00CD15B1">
        <w:rPr>
          <w:lang w:val="en-GB"/>
        </w:rPr>
        <w:t xml:space="preserve"> </w:t>
      </w:r>
      <w:r>
        <w:rPr>
          <w:lang w:val="en-GB"/>
        </w:rPr>
        <w:t>The CMF conversion in each batch increased over time, with the testing temperature, and i</w:t>
      </w:r>
      <w:r w:rsidR="000219F1">
        <w:rPr>
          <w:lang w:val="en-GB"/>
        </w:rPr>
        <w:t>t was complete in all the cases after 4 h</w:t>
      </w:r>
      <w:r>
        <w:rPr>
          <w:lang w:val="en-GB"/>
        </w:rPr>
        <w:t xml:space="preserve">. </w:t>
      </w:r>
    </w:p>
    <w:p w14:paraId="23DA9769" w14:textId="77777777" w:rsidR="000A5281" w:rsidRDefault="000A5281" w:rsidP="00B55EDB">
      <w:pPr>
        <w:pStyle w:val="CETBodytext"/>
        <w:jc w:val="center"/>
        <w:rPr>
          <w:lang w:val="en-GB"/>
        </w:rPr>
      </w:pPr>
      <w:r>
        <w:rPr>
          <w:noProof/>
        </w:rPr>
        <w:drawing>
          <wp:inline distT="0" distB="0" distL="0" distR="0" wp14:anchorId="632D4C76" wp14:editId="52695002">
            <wp:extent cx="5580000" cy="1601710"/>
            <wp:effectExtent l="0" t="0" r="1905"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2"/>
                    <a:srcRect l="683" t="3168" b="5029"/>
                    <a:stretch/>
                  </pic:blipFill>
                  <pic:spPr bwMode="auto">
                    <a:xfrm>
                      <a:off x="0" y="0"/>
                      <a:ext cx="5580000" cy="1601710"/>
                    </a:xfrm>
                    <a:prstGeom prst="rect">
                      <a:avLst/>
                    </a:prstGeom>
                    <a:noFill/>
                    <a:ln>
                      <a:noFill/>
                    </a:ln>
                    <a:extLst>
                      <a:ext uri="{53640926-AAD7-44D8-BBD7-CCE9431645EC}">
                        <a14:shadowObscured xmlns:a14="http://schemas.microsoft.com/office/drawing/2010/main"/>
                      </a:ext>
                    </a:extLst>
                  </pic:spPr>
                </pic:pic>
              </a:graphicData>
            </a:graphic>
          </wp:inline>
        </w:drawing>
      </w:r>
    </w:p>
    <w:p w14:paraId="13EF6CCA" w14:textId="70F43BF0" w:rsidR="000A5281" w:rsidRDefault="000A5281" w:rsidP="000A5281">
      <w:pPr>
        <w:pStyle w:val="CETCaption"/>
      </w:pPr>
      <w:bookmarkStart w:id="6" w:name="_Ref155535291"/>
      <w:r>
        <w:t xml:space="preserve">Figure </w:t>
      </w:r>
      <w:r>
        <w:fldChar w:fldCharType="begin"/>
      </w:r>
      <w:r>
        <w:instrText xml:space="preserve"> SEQ Figure \* ARABIC </w:instrText>
      </w:r>
      <w:r>
        <w:fldChar w:fldCharType="separate"/>
      </w:r>
      <w:r>
        <w:rPr>
          <w:noProof/>
        </w:rPr>
        <w:t>1</w:t>
      </w:r>
      <w:r>
        <w:fldChar w:fldCharType="end"/>
      </w:r>
      <w:bookmarkEnd w:id="6"/>
      <w:r>
        <w:t xml:space="preserve"> – CMF conversion (</w:t>
      </w:r>
      <w:proofErr w:type="spellStart"/>
      <w:r>
        <w:rPr>
          <w:rFonts w:cs="Arial"/>
        </w:rPr>
        <w:t>ε</w:t>
      </w:r>
      <w:r w:rsidRPr="004411F0">
        <w:rPr>
          <w:rFonts w:cs="Arial"/>
          <w:vertAlign w:val="subscript"/>
        </w:rPr>
        <w:t>CMF</w:t>
      </w:r>
      <w:proofErr w:type="spellEnd"/>
      <w:r>
        <w:t>) and product yields (Y</w:t>
      </w:r>
      <w:r w:rsidRPr="004411F0">
        <w:rPr>
          <w:vertAlign w:val="subscript"/>
        </w:rPr>
        <w:t>i</w:t>
      </w:r>
      <w:r>
        <w:t>) at a) 10, b) 20, c) 40, and d) 50 °C (each point in time represent</w:t>
      </w:r>
      <w:r w:rsidR="00B55EDB">
        <w:t>s</w:t>
      </w:r>
      <w:r>
        <w:t xml:space="preserve"> a different batch, with an average </w:t>
      </w:r>
      <m:oMath>
        <m:sSub>
          <m:sSubPr>
            <m:ctrlPr>
              <w:rPr>
                <w:rFonts w:ascii="Cambria Math" w:hAnsi="Cambria Math"/>
              </w:rPr>
            </m:ctrlPr>
          </m:sSubPr>
          <m:e>
            <m:r>
              <w:rPr>
                <w:rFonts w:ascii="Cambria Math" w:hAnsi="Cambria Math"/>
              </w:rPr>
              <m:t>c</m:t>
            </m:r>
          </m:e>
          <m:sub>
            <m:sSub>
              <m:sSubPr>
                <m:ctrlPr>
                  <w:rPr>
                    <w:rFonts w:ascii="Cambria Math" w:hAnsi="Cambria Math"/>
                  </w:rPr>
                </m:ctrlPr>
              </m:sSubPr>
              <m:e>
                <m:r>
                  <w:rPr>
                    <w:rFonts w:ascii="Cambria Math" w:hAnsi="Cambria Math"/>
                  </w:rPr>
                  <m:t>CMF</m:t>
                </m:r>
              </m:e>
              <m:sub>
                <m:r>
                  <w:rPr>
                    <w:rFonts w:ascii="Cambria Math" w:hAnsi="Cambria Math"/>
                  </w:rPr>
                  <m:t>0</m:t>
                </m:r>
              </m:sub>
            </m:sSub>
          </m:sub>
        </m:sSub>
      </m:oMath>
      <w:r>
        <w:t xml:space="preserve"> </w:t>
      </w:r>
      <w:r w:rsidR="00C14133">
        <w:t>o</w:t>
      </w:r>
      <w:r>
        <w:t>f 0.035 mol/L)</w:t>
      </w:r>
    </w:p>
    <w:p w14:paraId="1E68B9DF" w14:textId="42B8F4E8" w:rsidR="00992729" w:rsidRDefault="00992729" w:rsidP="00992729">
      <w:pPr>
        <w:pStyle w:val="CETBodytext"/>
        <w:rPr>
          <w:lang w:val="en-GB"/>
        </w:rPr>
      </w:pPr>
      <w:r>
        <w:rPr>
          <w:lang w:val="en-GB"/>
        </w:rPr>
        <w:t>The CMFA yield, consistent with the kinetic Scheme 1b, passed through a maximum with respect to time at all the tested temperatures and achieved the highest value at 10°C (Y</w:t>
      </w:r>
      <w:r w:rsidRPr="00533022">
        <w:rPr>
          <w:vertAlign w:val="subscript"/>
          <w:lang w:val="en-GB"/>
        </w:rPr>
        <w:t>CMFA</w:t>
      </w:r>
      <w:r>
        <w:rPr>
          <w:lang w:val="en-GB"/>
        </w:rPr>
        <w:t>, 0.45). All other products increased with respect to time. After 2 h of reaction, MMFA and MMF were the most abundant products. Among these, at 10 – 40°C, the MMFA yield was always larger than MMF. Conversely, at 50°C, the MMF yield was comparable to or larger than MMFA. The MMF yield, our main target product, after 4h, was comparable at all the tested temperatures (Y</w:t>
      </w:r>
      <w:r w:rsidRPr="00303ED7">
        <w:rPr>
          <w:vertAlign w:val="subscript"/>
          <w:lang w:val="en-GB"/>
        </w:rPr>
        <w:t>MMF</w:t>
      </w:r>
      <w:r>
        <w:rPr>
          <w:lang w:val="en-GB"/>
        </w:rPr>
        <w:t>, 0.31). Interestingly, the highest MMF yield was, apparently, achieved at 50°C, after 1.4 h (Y</w:t>
      </w:r>
      <w:r w:rsidRPr="00303ED7">
        <w:rPr>
          <w:vertAlign w:val="subscript"/>
          <w:lang w:val="en-GB"/>
        </w:rPr>
        <w:t>MMF</w:t>
      </w:r>
      <w:r>
        <w:rPr>
          <w:lang w:val="en-GB"/>
        </w:rPr>
        <w:t>, 0.51), consistent with a corresponding decrease in the MMFA yield (Y</w:t>
      </w:r>
      <w:r w:rsidRPr="003041B8">
        <w:rPr>
          <w:vertAlign w:val="subscript"/>
          <w:lang w:val="en-GB"/>
        </w:rPr>
        <w:t>MMFA</w:t>
      </w:r>
      <w:r>
        <w:rPr>
          <w:lang w:val="en-GB"/>
        </w:rPr>
        <w:t>: 0.15). Also, LM was maximized in all the cases after 4 h. Notice that the yield of unmeasured products increased over time with a similar trend at all the measured temperatures. The observed Y</w:t>
      </w:r>
      <w:r w:rsidRPr="003041B8">
        <w:rPr>
          <w:vertAlign w:val="subscript"/>
          <w:lang w:val="en-GB"/>
        </w:rPr>
        <w:t xml:space="preserve">UM </w:t>
      </w:r>
      <w:r>
        <w:rPr>
          <w:lang w:val="en-GB"/>
        </w:rPr>
        <w:t xml:space="preserve">trends and the lack of marked maxima are </w:t>
      </w:r>
      <w:r>
        <w:rPr>
          <w:lang w:val="en-GB"/>
        </w:rPr>
        <w:lastRenderedPageBreak/>
        <w:t xml:space="preserve">compatible with the formation of insoluble </w:t>
      </w:r>
      <w:proofErr w:type="spellStart"/>
      <w:r>
        <w:rPr>
          <w:lang w:val="en-GB"/>
        </w:rPr>
        <w:t>Humins</w:t>
      </w:r>
      <w:proofErr w:type="spellEnd"/>
      <w:r>
        <w:rPr>
          <w:lang w:val="en-GB"/>
        </w:rPr>
        <w:t>, even though, considering the acetalization chemistry, some hemiacetals of CMF and MMF might be included in this product fraction. A kinetic model was developed to understand the trends better and explore the reaction's performance, and the simulated reaction performance was discussed.</w:t>
      </w:r>
    </w:p>
    <w:p w14:paraId="54A67E05" w14:textId="77777777" w:rsidR="00B37E2F" w:rsidRDefault="00B37E2F" w:rsidP="00B37E2F">
      <w:pPr>
        <w:pStyle w:val="CETheadingx"/>
      </w:pPr>
      <w:r>
        <w:t>Kinetic Results</w:t>
      </w:r>
    </w:p>
    <w:p w14:paraId="0707E345" w14:textId="1F737819" w:rsidR="00B37E2F" w:rsidRDefault="000A5281" w:rsidP="00B37E2F">
      <w:pPr>
        <w:pStyle w:val="CETBodytext"/>
        <w:rPr>
          <w:lang w:val="en-GB"/>
        </w:rPr>
      </w:pPr>
      <w:r>
        <w:t xml:space="preserve">Due to the important simplifying assumptions it is based on, it is important to </w:t>
      </w:r>
      <w:r w:rsidR="00B55EDB">
        <w:t>note that the proposed kinetic model is not meant to represent the true kinetics of the reaction but to help describe</w:t>
      </w:r>
      <w:r w:rsidR="00B37E2F">
        <w:t xml:space="preserve"> the reaction trends within the experimental window it was fitted in. Although presenting important simplifying assumptions, the proposed model describes well the experimental lumped concentrations of CMF</w:t>
      </w:r>
      <w:r w:rsidR="00B37E2F" w:rsidRPr="000219F1">
        <w:rPr>
          <w:vertAlign w:val="subscript"/>
        </w:rPr>
        <w:t>s</w:t>
      </w:r>
      <w:r w:rsidR="00B37E2F">
        <w:t>, LM, and MMF</w:t>
      </w:r>
      <w:r w:rsidR="00B37E2F" w:rsidRPr="000219F1">
        <w:rPr>
          <w:vertAlign w:val="subscript"/>
        </w:rPr>
        <w:t>s</w:t>
      </w:r>
      <w:r w:rsidR="00B37E2F">
        <w:t xml:space="preserve"> at all the tested temperatures (</w:t>
      </w:r>
      <w:r w:rsidR="00B37E2F">
        <w:fldChar w:fldCharType="begin"/>
      </w:r>
      <w:r w:rsidR="00B37E2F">
        <w:instrText xml:space="preserve"> REF _Ref155968270 \h </w:instrText>
      </w:r>
      <w:r w:rsidR="00B37E2F">
        <w:fldChar w:fldCharType="separate"/>
      </w:r>
      <w:r w:rsidR="00B37E2F">
        <w:t xml:space="preserve">Figure </w:t>
      </w:r>
      <w:r w:rsidR="00B37E2F">
        <w:rPr>
          <w:noProof/>
        </w:rPr>
        <w:t>2</w:t>
      </w:r>
      <w:r w:rsidR="00B37E2F">
        <w:fldChar w:fldCharType="end"/>
      </w:r>
      <w:r w:rsidR="00B37E2F">
        <w:t>b-c), with acceptable residuals, as shown in the parity plot reported in (</w:t>
      </w:r>
      <w:r w:rsidR="00B37E2F">
        <w:fldChar w:fldCharType="begin"/>
      </w:r>
      <w:r w:rsidR="00B37E2F">
        <w:instrText xml:space="preserve"> REF _Ref155968270 \h </w:instrText>
      </w:r>
      <w:r w:rsidR="00B37E2F">
        <w:fldChar w:fldCharType="separate"/>
      </w:r>
      <w:r w:rsidR="00B37E2F">
        <w:t xml:space="preserve">Figure </w:t>
      </w:r>
      <w:r w:rsidR="00B37E2F">
        <w:rPr>
          <w:noProof/>
        </w:rPr>
        <w:t>2</w:t>
      </w:r>
      <w:r w:rsidR="00B37E2F">
        <w:fldChar w:fldCharType="end"/>
      </w:r>
      <w:r w:rsidR="00B37E2F">
        <w:t xml:space="preserve">e). Moreover, the model </w:t>
      </w:r>
      <w:r w:rsidR="00B55EDB">
        <w:t>considers the variations in the initial concentrations of CMF (CMF</w:t>
      </w:r>
      <w:r w:rsidR="00B55EDB" w:rsidRPr="00B55EDB">
        <w:rPr>
          <w:vertAlign w:val="subscript"/>
        </w:rPr>
        <w:t>0</w:t>
      </w:r>
      <w:r w:rsidR="00B55EDB">
        <w:t>) in each batch very well</w:t>
      </w:r>
      <w:r w:rsidR="00B37E2F">
        <w:t xml:space="preserve"> (see </w:t>
      </w:r>
      <w:r w:rsidR="00B37E2F">
        <w:fldChar w:fldCharType="begin"/>
      </w:r>
      <w:r w:rsidR="00B37E2F">
        <w:instrText xml:space="preserve"> REF _Ref155968270 \h </w:instrText>
      </w:r>
      <w:r w:rsidR="00B37E2F">
        <w:fldChar w:fldCharType="separate"/>
      </w:r>
      <w:r w:rsidR="00B37E2F">
        <w:t xml:space="preserve">Figure </w:t>
      </w:r>
      <w:r w:rsidR="00B37E2F">
        <w:rPr>
          <w:noProof/>
        </w:rPr>
        <w:t>2</w:t>
      </w:r>
      <w:r w:rsidR="00B37E2F">
        <w:fldChar w:fldCharType="end"/>
      </w:r>
      <w:r w:rsidR="00B37E2F">
        <w:t>a-d</w:t>
      </w:r>
      <w:r w:rsidR="00B55EDB">
        <w:t>)</w:t>
      </w:r>
      <w:r w:rsidR="00B37E2F">
        <w:t>. Accordingly, the fitted parameters present p-values well below the accepting criteria</w:t>
      </w:r>
      <w:r>
        <w:t xml:space="preserve"> and</w:t>
      </w:r>
      <w:r w:rsidR="00B37E2F">
        <w:t xml:space="preserve"> present narrow confidence intervals (</w:t>
      </w:r>
      <w:r w:rsidR="00B37E2F">
        <w:fldChar w:fldCharType="begin"/>
      </w:r>
      <w:r w:rsidR="00B37E2F">
        <w:instrText xml:space="preserve"> REF _Ref461446183 \h </w:instrText>
      </w:r>
      <w:r w:rsidR="00B37E2F">
        <w:fldChar w:fldCharType="separate"/>
      </w:r>
      <w:r w:rsidR="00B37E2F">
        <w:t xml:space="preserve">Table </w:t>
      </w:r>
      <w:r w:rsidR="00B37E2F">
        <w:rPr>
          <w:noProof/>
        </w:rPr>
        <w:t>1</w:t>
      </w:r>
      <w:r w:rsidR="00B37E2F">
        <w:fldChar w:fldCharType="end"/>
      </w:r>
      <w:r w:rsidR="00B37E2F">
        <w:t>).</w:t>
      </w:r>
    </w:p>
    <w:p w14:paraId="69E33B57" w14:textId="40834C53" w:rsidR="00EF0846" w:rsidRDefault="005F769D" w:rsidP="00B55EDB">
      <w:pPr>
        <w:pStyle w:val="CETBodytext"/>
        <w:jc w:val="center"/>
        <w:rPr>
          <w:lang w:val="en-GB"/>
        </w:rPr>
      </w:pPr>
      <w:r>
        <w:rPr>
          <w:noProof/>
          <w:lang w:val="en-GB"/>
        </w:rPr>
        <w:drawing>
          <wp:inline distT="0" distB="0" distL="0" distR="0" wp14:anchorId="4626C652" wp14:editId="6627202A">
            <wp:extent cx="5580000" cy="3279323"/>
            <wp:effectExtent l="0" t="0" r="1905" b="0"/>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3"/>
                    <a:srcRect l="947" t="1953"/>
                    <a:stretch/>
                  </pic:blipFill>
                  <pic:spPr bwMode="auto">
                    <a:xfrm>
                      <a:off x="0" y="0"/>
                      <a:ext cx="5580000" cy="3279323"/>
                    </a:xfrm>
                    <a:prstGeom prst="rect">
                      <a:avLst/>
                    </a:prstGeom>
                    <a:noFill/>
                    <a:ln>
                      <a:noFill/>
                    </a:ln>
                    <a:extLst>
                      <a:ext uri="{53640926-AAD7-44D8-BBD7-CCE9431645EC}">
                        <a14:shadowObscured xmlns:a14="http://schemas.microsoft.com/office/drawing/2010/main"/>
                      </a:ext>
                    </a:extLst>
                  </pic:spPr>
                </pic:pic>
              </a:graphicData>
            </a:graphic>
          </wp:inline>
        </w:drawing>
      </w:r>
    </w:p>
    <w:p w14:paraId="0813D85C" w14:textId="0AA719A6" w:rsidR="000219F1" w:rsidRDefault="000219F1" w:rsidP="000219F1">
      <w:pPr>
        <w:pStyle w:val="CETCaption"/>
      </w:pPr>
      <w:bookmarkStart w:id="7" w:name="_Ref155968270"/>
      <w:r>
        <w:t xml:space="preserve">Figure </w:t>
      </w:r>
      <w:r>
        <w:fldChar w:fldCharType="begin"/>
      </w:r>
      <w:r>
        <w:instrText xml:space="preserve"> SEQ Figure \* ARABIC </w:instrText>
      </w:r>
      <w:r>
        <w:fldChar w:fldCharType="separate"/>
      </w:r>
      <w:r>
        <w:rPr>
          <w:noProof/>
        </w:rPr>
        <w:t>2</w:t>
      </w:r>
      <w:r>
        <w:fldChar w:fldCharType="end"/>
      </w:r>
      <w:bookmarkEnd w:id="7"/>
      <w:r>
        <w:t xml:space="preserve"> – Lumped model fitting at a) 10, b) 20, c) 40, and d) 50°C, e) MMF</w:t>
      </w:r>
      <w:r w:rsidRPr="000219F1">
        <w:rPr>
          <w:vertAlign w:val="subscript"/>
        </w:rPr>
        <w:t>s</w:t>
      </w:r>
      <w:r>
        <w:t xml:space="preserve"> yields model predicted at CMF(0) = 0.035 mol/L with respect to temperature and time, and g) at 50°C with respect to time and the initial CMF concentration (the lumped concentrations reported in the plots are calculated as: CMF</w:t>
      </w:r>
      <w:r w:rsidRPr="000219F1">
        <w:rPr>
          <w:vertAlign w:val="subscript"/>
        </w:rPr>
        <w:t>s</w:t>
      </w:r>
      <w:r>
        <w:t xml:space="preserve"> = CMF + CMFA; MMF</w:t>
      </w:r>
      <w:r w:rsidRPr="000219F1">
        <w:rPr>
          <w:vertAlign w:val="subscript"/>
        </w:rPr>
        <w:t>s</w:t>
      </w:r>
      <w:r>
        <w:t xml:space="preserve"> = MMF + MMFA</w:t>
      </w:r>
      <w:r w:rsidR="00661130">
        <w:t>; in a-d, the connecting lines, represent only an interpolation of the model result points at the corresponding time and it was reported only for better visualization</w:t>
      </w:r>
      <w:r>
        <w:t>)</w:t>
      </w:r>
    </w:p>
    <w:p w14:paraId="478F99B8" w14:textId="6C0DE086" w:rsidR="00992729" w:rsidRDefault="00992729" w:rsidP="00992729">
      <w:pPr>
        <w:pStyle w:val="CETBodytext"/>
      </w:pPr>
      <w:r>
        <w:t>The kinetic constant for the production of MMF</w:t>
      </w:r>
      <w:r w:rsidRPr="00763597">
        <w:rPr>
          <w:vertAlign w:val="subscript"/>
        </w:rPr>
        <w:t>s</w:t>
      </w:r>
      <w:r>
        <w:t xml:space="preserve"> (</w:t>
      </w:r>
      <m:oMath>
        <m:sSub>
          <m:sSubPr>
            <m:ctrlPr>
              <w:rPr>
                <w:rFonts w:ascii="Cambria Math" w:hAnsi="Cambria Math"/>
                <w:lang w:val="it-IT"/>
              </w:rPr>
            </m:ctrlPr>
          </m:sSubPr>
          <m:e>
            <m:r>
              <w:rPr>
                <w:rFonts w:ascii="Cambria Math" w:hAnsi="Cambria Math"/>
                <w:lang w:val="it-IT"/>
              </w:rPr>
              <m:t>k</m:t>
            </m:r>
          </m:e>
          <m:sub>
            <m:r>
              <m:rPr>
                <m:sty m:val="p"/>
              </m:rPr>
              <w:rPr>
                <w:rFonts w:ascii="Cambria Math" w:hAnsi="Cambria Math"/>
                <w:lang w:val="en-GB"/>
              </w:rPr>
              <m:t xml:space="preserve">1, </m:t>
            </m:r>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sub>
        </m:sSub>
      </m:oMath>
      <w:r>
        <w:t>), in agreement with the experimental data, is three times larger than the one leading to unmeasured products</w:t>
      </w:r>
      <w:r w:rsidR="00C14133">
        <w:t xml:space="preserve"> (UM)</w:t>
      </w:r>
      <w:r>
        <w:t xml:space="preserve"> (</w:t>
      </w:r>
      <m:oMath>
        <m:sSub>
          <m:sSubPr>
            <m:ctrlPr>
              <w:rPr>
                <w:rFonts w:ascii="Cambria Math" w:hAnsi="Cambria Math"/>
                <w:lang w:val="it-IT"/>
              </w:rPr>
            </m:ctrlPr>
          </m:sSubPr>
          <m:e>
            <m:r>
              <w:rPr>
                <w:rFonts w:ascii="Cambria Math" w:hAnsi="Cambria Math"/>
                <w:lang w:val="it-IT"/>
              </w:rPr>
              <m:t>k</m:t>
            </m:r>
          </m:e>
          <m:sub>
            <m:r>
              <w:rPr>
                <w:rFonts w:ascii="Cambria Math" w:hAnsi="Cambria Math"/>
                <w:lang w:val="en-GB"/>
              </w:rPr>
              <m:t>3</m:t>
            </m:r>
            <m:r>
              <m:rPr>
                <m:sty m:val="p"/>
              </m:rPr>
              <w:rPr>
                <w:rFonts w:ascii="Cambria Math" w:hAnsi="Cambria Math"/>
                <w:lang w:val="en-GB"/>
              </w:rPr>
              <m:t xml:space="preserve">, </m:t>
            </m:r>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sub>
        </m:sSub>
      </m:oMath>
      <w:r>
        <w:t>), while the large value of the kinetic constant leading to LM (</w:t>
      </w:r>
      <m:oMath>
        <m:sSub>
          <m:sSubPr>
            <m:ctrlPr>
              <w:rPr>
                <w:rFonts w:ascii="Cambria Math" w:hAnsi="Cambria Math"/>
                <w:lang w:val="it-IT"/>
              </w:rPr>
            </m:ctrlPr>
          </m:sSubPr>
          <m:e>
            <m:r>
              <w:rPr>
                <w:rFonts w:ascii="Cambria Math" w:hAnsi="Cambria Math"/>
                <w:lang w:val="it-IT"/>
              </w:rPr>
              <m:t>k</m:t>
            </m:r>
          </m:e>
          <m:sub>
            <m:r>
              <w:rPr>
                <w:rFonts w:ascii="Cambria Math" w:hAnsi="Cambria Math"/>
                <w:lang w:val="en-GB"/>
              </w:rPr>
              <m:t>2</m:t>
            </m:r>
            <m:r>
              <m:rPr>
                <m:sty m:val="p"/>
              </m:rPr>
              <w:rPr>
                <w:rFonts w:ascii="Cambria Math" w:hAnsi="Cambria Math"/>
                <w:lang w:val="en-GB"/>
              </w:rPr>
              <m:t xml:space="preserve">, </m:t>
            </m:r>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sub>
        </m:sSub>
      </m:oMath>
      <w:r>
        <w:t>) agrees with the large dependence of the reaction on the H</w:t>
      </w:r>
      <w:r w:rsidRPr="00401A52">
        <w:rPr>
          <w:vertAlign w:val="superscript"/>
        </w:rPr>
        <w:t>+</w:t>
      </w:r>
      <w:r>
        <w:t xml:space="preserve"> concentration. However, contrary to the expectations, all the fitted activation energies are quite similar to each other. Therefore, the simplifying assumptions of the model do not allow differentiating the nucleophilic substitution's activation energy. </w:t>
      </w:r>
    </w:p>
    <w:p w14:paraId="4E9A24BB" w14:textId="6B6B76AE" w:rsidR="00992729" w:rsidRDefault="00992729" w:rsidP="00992729">
      <w:pPr>
        <w:pStyle w:val="CETBodytext"/>
        <w:rPr>
          <w:lang w:val="en-GB"/>
        </w:rPr>
      </w:pPr>
      <w:r>
        <w:t>On the contrary, the good fitting results still allow exploring the reaction's performance within the investigated experimental window, which, industrially speaking, could allow important economic conclusions on the reaction. Accordingly, we focused on the MMF</w:t>
      </w:r>
      <w:r w:rsidRPr="00913ED0">
        <w:rPr>
          <w:vertAlign w:val="subscript"/>
        </w:rPr>
        <w:t>s</w:t>
      </w:r>
      <w:r>
        <w:t xml:space="preserve"> lump yield resulting from the calculated model to maximize its yield. The model results indicate an increase in the MMF</w:t>
      </w:r>
      <w:r w:rsidR="00306CD9">
        <w:rPr>
          <w:vertAlign w:val="subscript"/>
        </w:rPr>
        <w:t>s</w:t>
      </w:r>
      <w:r>
        <w:t xml:space="preserve"> yield with increasing the reaction time and temperature (</w:t>
      </w:r>
      <w:r>
        <w:fldChar w:fldCharType="begin"/>
      </w:r>
      <w:r>
        <w:instrText xml:space="preserve"> REF _Ref155968270 \h </w:instrText>
      </w:r>
      <w:r>
        <w:fldChar w:fldCharType="separate"/>
      </w:r>
      <w:r>
        <w:t xml:space="preserve">Figure </w:t>
      </w:r>
      <w:r>
        <w:rPr>
          <w:noProof/>
        </w:rPr>
        <w:t>2</w:t>
      </w:r>
      <w:r>
        <w:fldChar w:fldCharType="end"/>
      </w:r>
      <w:r>
        <w:t>f), even though, in the explored experimental window, it does not overcome 60 % (Y</w:t>
      </w:r>
      <w:r w:rsidRPr="00306CD9">
        <w:rPr>
          <w:vertAlign w:val="subscript"/>
        </w:rPr>
        <w:t>MMFs</w:t>
      </w:r>
      <w:r>
        <w:t xml:space="preserve"> = 0.6). Moreover, it is quite apparent that by increasing the temperature from 10 to 50°C, it is possible to reduce the reaction time from more than 5 h to 1.5 h to get a MMF</w:t>
      </w:r>
      <w:r w:rsidRPr="00401A52">
        <w:rPr>
          <w:vertAlign w:val="subscript"/>
        </w:rPr>
        <w:t>s</w:t>
      </w:r>
      <w:r>
        <w:t xml:space="preserve"> yield of 0.6. According to the model results, at 50°C, a further increase in the MMF</w:t>
      </w:r>
      <w:r w:rsidRPr="00401A52">
        <w:rPr>
          <w:vertAlign w:val="subscript"/>
        </w:rPr>
        <w:t>s</w:t>
      </w:r>
      <w:r>
        <w:t xml:space="preserve"> yield, from 0.6 to 0.65, could be achieved by decreasing the initial CMF concentration (</w:t>
      </w:r>
      <w:r>
        <w:fldChar w:fldCharType="begin"/>
      </w:r>
      <w:r>
        <w:instrText xml:space="preserve"> REF _Ref155968270 \h </w:instrText>
      </w:r>
      <w:r>
        <w:fldChar w:fldCharType="separate"/>
      </w:r>
      <w:r>
        <w:t xml:space="preserve">Figure </w:t>
      </w:r>
      <w:r>
        <w:rPr>
          <w:noProof/>
        </w:rPr>
        <w:t>2</w:t>
      </w:r>
      <w:r>
        <w:fldChar w:fldCharType="end"/>
      </w:r>
      <w:r>
        <w:t xml:space="preserve">g) </w:t>
      </w:r>
      <w:r>
        <w:lastRenderedPageBreak/>
        <w:t>from 0.035 to 0.02 mol/L, even though considering the already low CMF</w:t>
      </w:r>
      <w:r w:rsidR="00C67986" w:rsidRPr="00B55EDB">
        <w:rPr>
          <w:vertAlign w:val="subscript"/>
        </w:rPr>
        <w:t>0</w:t>
      </w:r>
      <w:r>
        <w:t>, this could make to process much less productive for a modest increase in the MMF</w:t>
      </w:r>
      <w:r w:rsidRPr="00661130">
        <w:rPr>
          <w:vertAlign w:val="subscript"/>
        </w:rPr>
        <w:t>s</w:t>
      </w:r>
      <w:r>
        <w:t xml:space="preserve"> yield.</w:t>
      </w:r>
    </w:p>
    <w:p w14:paraId="0BE2BD67" w14:textId="77777777" w:rsidR="000A5281" w:rsidRDefault="000A5281" w:rsidP="000A5281">
      <w:pPr>
        <w:pStyle w:val="CETCaption"/>
      </w:pPr>
      <w:bookmarkStart w:id="8" w:name="_Ref461446183"/>
      <w:r>
        <w:t xml:space="preserve">Table </w:t>
      </w:r>
      <w:r>
        <w:fldChar w:fldCharType="begin"/>
      </w:r>
      <w:r>
        <w:instrText xml:space="preserve"> SEQ Table \* ARABIC </w:instrText>
      </w:r>
      <w:r>
        <w:fldChar w:fldCharType="separate"/>
      </w:r>
      <w:r>
        <w:rPr>
          <w:noProof/>
        </w:rPr>
        <w:t>1</w:t>
      </w:r>
      <w:r>
        <w:rPr>
          <w:noProof/>
        </w:rPr>
        <w:fldChar w:fldCharType="end"/>
      </w:r>
      <w:bookmarkEnd w:id="8"/>
      <w:r>
        <w:t xml:space="preserve"> – Estimated parameters</w:t>
      </w:r>
    </w:p>
    <w:tbl>
      <w:tblPr>
        <w:tblW w:w="0" w:type="auto"/>
        <w:tblBorders>
          <w:top w:val="single" w:sz="12" w:space="0" w:color="008000"/>
          <w:bottom w:val="single" w:sz="12" w:space="0" w:color="008000"/>
        </w:tblBorders>
        <w:shd w:val="clear" w:color="auto" w:fill="FFFFFF"/>
        <w:tblCellMar>
          <w:left w:w="0" w:type="dxa"/>
          <w:right w:w="0" w:type="dxa"/>
        </w:tblCellMar>
        <w:tblLook w:val="00A0" w:firstRow="1" w:lastRow="0" w:firstColumn="1" w:lastColumn="0" w:noHBand="0" w:noVBand="0"/>
      </w:tblPr>
      <w:tblGrid>
        <w:gridCol w:w="1843"/>
        <w:gridCol w:w="1559"/>
        <w:gridCol w:w="1701"/>
      </w:tblGrid>
      <w:tr w:rsidR="000A5281" w:rsidRPr="00B57B36" w14:paraId="001A6809" w14:textId="77777777" w:rsidTr="00367CCA">
        <w:tc>
          <w:tcPr>
            <w:tcW w:w="1843" w:type="dxa"/>
            <w:tcBorders>
              <w:top w:val="single" w:sz="12" w:space="0" w:color="008000"/>
              <w:bottom w:val="single" w:sz="6" w:space="0" w:color="008000"/>
            </w:tcBorders>
            <w:shd w:val="clear" w:color="auto" w:fill="FFFFFF"/>
          </w:tcPr>
          <w:p w14:paraId="1488DB08" w14:textId="77777777" w:rsidR="000A5281" w:rsidRPr="00B57B36" w:rsidRDefault="000A5281" w:rsidP="00367CCA">
            <w:pPr>
              <w:pStyle w:val="CETBodytext"/>
              <w:rPr>
                <w:lang w:val="en-GB"/>
              </w:rPr>
            </w:pPr>
            <w:r>
              <w:rPr>
                <w:lang w:val="en-GB"/>
              </w:rPr>
              <w:t>Parameters</w:t>
            </w:r>
          </w:p>
        </w:tc>
        <w:tc>
          <w:tcPr>
            <w:tcW w:w="1559" w:type="dxa"/>
            <w:tcBorders>
              <w:top w:val="single" w:sz="12" w:space="0" w:color="008000"/>
              <w:bottom w:val="single" w:sz="6" w:space="0" w:color="008000"/>
            </w:tcBorders>
            <w:shd w:val="clear" w:color="auto" w:fill="FFFFFF"/>
          </w:tcPr>
          <w:p w14:paraId="614787BD" w14:textId="77777777" w:rsidR="000A5281" w:rsidRPr="00B57B36" w:rsidRDefault="000A5281" w:rsidP="00367CCA">
            <w:pPr>
              <w:pStyle w:val="CETBodytext"/>
              <w:rPr>
                <w:lang w:val="en-GB"/>
              </w:rPr>
            </w:pPr>
            <w:r>
              <w:rPr>
                <w:lang w:val="en-GB"/>
              </w:rPr>
              <w:t xml:space="preserve">Estimated </w:t>
            </w:r>
            <w:r w:rsidRPr="00652B86">
              <w:t>± 95%</w:t>
            </w:r>
          </w:p>
        </w:tc>
        <w:tc>
          <w:tcPr>
            <w:tcW w:w="1701" w:type="dxa"/>
            <w:tcBorders>
              <w:top w:val="single" w:sz="12" w:space="0" w:color="008000"/>
              <w:bottom w:val="single" w:sz="6" w:space="0" w:color="008000"/>
            </w:tcBorders>
            <w:shd w:val="clear" w:color="auto" w:fill="FFFFFF"/>
          </w:tcPr>
          <w:p w14:paraId="102F4298" w14:textId="77777777" w:rsidR="000A5281" w:rsidRPr="00B57B36" w:rsidRDefault="000A5281" w:rsidP="00367CCA">
            <w:pPr>
              <w:pStyle w:val="CETBodytext"/>
              <w:rPr>
                <w:lang w:val="en-GB"/>
              </w:rPr>
            </w:pPr>
            <w:r>
              <w:rPr>
                <w:lang w:val="en-GB"/>
              </w:rPr>
              <w:t>P-values</w:t>
            </w:r>
          </w:p>
        </w:tc>
      </w:tr>
      <w:tr w:rsidR="000A5281" w:rsidRPr="00B57B36" w14:paraId="1C1A33E2" w14:textId="77777777" w:rsidTr="00367CCA">
        <w:tc>
          <w:tcPr>
            <w:tcW w:w="1843" w:type="dxa"/>
            <w:shd w:val="clear" w:color="auto" w:fill="FFFFFF"/>
          </w:tcPr>
          <w:p w14:paraId="1015D832" w14:textId="60D24F4C" w:rsidR="000A5281" w:rsidRPr="000219F1" w:rsidRDefault="000B7C10" w:rsidP="00367CCA">
            <w:pPr>
              <w:pStyle w:val="CETBodytext"/>
              <w:rPr>
                <w:rFonts w:ascii="Cambria Math" w:hAnsi="Cambria Math"/>
              </w:rPr>
            </w:pPr>
            <m:oMath>
              <m:sSub>
                <m:sSubPr>
                  <m:ctrlPr>
                    <w:rPr>
                      <w:rFonts w:ascii="Cambria Math" w:hAnsi="Cambria Math"/>
                      <w:lang w:val="it-IT"/>
                    </w:rPr>
                  </m:ctrlPr>
                </m:sSubPr>
                <m:e>
                  <m:r>
                    <w:rPr>
                      <w:rFonts w:ascii="Cambria Math" w:hAnsi="Cambria Math"/>
                      <w:lang w:val="it-IT"/>
                    </w:rPr>
                    <m:t>k</m:t>
                  </m:r>
                </m:e>
                <m:sub>
                  <m:r>
                    <m:rPr>
                      <m:sty m:val="p"/>
                    </m:rPr>
                    <w:rPr>
                      <w:rFonts w:ascii="Cambria Math" w:hAnsi="Cambria Math"/>
                      <w:lang w:val="it-IT"/>
                    </w:rPr>
                    <m:t xml:space="preserve">1, </m:t>
                  </m:r>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sub>
              </m:sSub>
            </m:oMath>
            <w:r w:rsidR="000A5281" w:rsidRPr="000219F1">
              <w:rPr>
                <w:rFonts w:ascii="Cambria Math" w:hAnsi="Cambria Math"/>
              </w:rPr>
              <w:t xml:space="preserve"> [h</w:t>
            </w:r>
            <w:r w:rsidR="000A5281" w:rsidRPr="000219F1">
              <w:rPr>
                <w:rFonts w:ascii="Cambria Math" w:hAnsi="Cambria Math"/>
                <w:vertAlign w:val="superscript"/>
              </w:rPr>
              <w:t>-1</w:t>
            </w:r>
            <w:r w:rsidR="000A5281" w:rsidRPr="000219F1">
              <w:rPr>
                <w:rFonts w:ascii="Cambria Math" w:hAnsi="Cambria Math"/>
              </w:rPr>
              <w:t>]</w:t>
            </w:r>
          </w:p>
        </w:tc>
        <w:tc>
          <w:tcPr>
            <w:tcW w:w="1559" w:type="dxa"/>
            <w:shd w:val="clear" w:color="auto" w:fill="FFFFFF"/>
          </w:tcPr>
          <w:p w14:paraId="3113AF1D" w14:textId="77777777" w:rsidR="000A5281" w:rsidRPr="00B57B36" w:rsidRDefault="000A5281" w:rsidP="00367CCA">
            <w:pPr>
              <w:pStyle w:val="CETBodytext"/>
              <w:rPr>
                <w:lang w:val="en-GB"/>
              </w:rPr>
            </w:pPr>
            <w:r>
              <w:t>1.059</w:t>
            </w:r>
            <w:r w:rsidRPr="00652B86">
              <w:t xml:space="preserve"> ± 0.073</w:t>
            </w:r>
          </w:p>
        </w:tc>
        <w:tc>
          <w:tcPr>
            <w:tcW w:w="1701" w:type="dxa"/>
            <w:shd w:val="clear" w:color="auto" w:fill="FFFFFF"/>
          </w:tcPr>
          <w:p w14:paraId="5B31AF2D" w14:textId="77777777" w:rsidR="000A5281" w:rsidRPr="00B57B36" w:rsidRDefault="000A5281" w:rsidP="00367CCA">
            <w:pPr>
              <w:pStyle w:val="CETBodytext"/>
              <w:rPr>
                <w:lang w:val="en-GB"/>
              </w:rPr>
            </w:pPr>
            <w:r w:rsidRPr="000573FE">
              <w:t>1.7037∙10</w:t>
            </w:r>
            <w:r w:rsidRPr="000219F1">
              <w:rPr>
                <w:vertAlign w:val="superscript"/>
              </w:rPr>
              <w:t>-29</w:t>
            </w:r>
          </w:p>
        </w:tc>
      </w:tr>
      <w:tr w:rsidR="000A5281" w:rsidRPr="00B57B36" w14:paraId="17F377B1" w14:textId="77777777" w:rsidTr="00367CCA">
        <w:tc>
          <w:tcPr>
            <w:tcW w:w="1843" w:type="dxa"/>
            <w:shd w:val="clear" w:color="auto" w:fill="FFFFFF"/>
          </w:tcPr>
          <w:p w14:paraId="3445131C" w14:textId="3F0B4C43" w:rsidR="000A5281" w:rsidRPr="00B55EDB" w:rsidRDefault="000B7C10" w:rsidP="00367CCA">
            <w:pPr>
              <w:pStyle w:val="CETBodytext"/>
              <w:rPr>
                <w:rFonts w:ascii="Cambria Math" w:hAnsi="Cambria Math"/>
                <w:lang w:val="it-IT"/>
              </w:rPr>
            </w:pPr>
            <m:oMath>
              <m:sSub>
                <m:sSubPr>
                  <m:ctrlPr>
                    <w:rPr>
                      <w:rFonts w:ascii="Cambria Math" w:hAnsi="Cambria Math"/>
                      <w:lang w:val="it-IT"/>
                    </w:rPr>
                  </m:ctrlPr>
                </m:sSubPr>
                <m:e>
                  <m:r>
                    <w:rPr>
                      <w:rFonts w:ascii="Cambria Math" w:hAnsi="Cambria Math"/>
                      <w:lang w:val="it-IT"/>
                    </w:rPr>
                    <m:t>k</m:t>
                  </m:r>
                </m:e>
                <m:sub>
                  <m:r>
                    <w:rPr>
                      <w:rFonts w:ascii="Cambria Math" w:hAnsi="Cambria Math"/>
                      <w:lang w:val="it-IT"/>
                    </w:rPr>
                    <m:t>2</m:t>
                  </m:r>
                  <m:r>
                    <m:rPr>
                      <m:sty m:val="p"/>
                    </m:rPr>
                    <w:rPr>
                      <w:rFonts w:ascii="Cambria Math" w:hAnsi="Cambria Math"/>
                      <w:lang w:val="it-IT"/>
                    </w:rPr>
                    <m:t xml:space="preserve">, </m:t>
                  </m:r>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sub>
              </m:sSub>
            </m:oMath>
            <w:r w:rsidR="00906BCE" w:rsidRPr="00B55EDB" w:rsidDel="00906BCE">
              <w:rPr>
                <w:rFonts w:ascii="Cambria Math" w:hAnsi="Cambria Math"/>
                <w:lang w:val="it-IT"/>
              </w:rPr>
              <w:t xml:space="preserve"> </w:t>
            </w:r>
            <w:r w:rsidR="000A5281" w:rsidRPr="00B55EDB">
              <w:rPr>
                <w:rFonts w:ascii="Cambria Math" w:hAnsi="Cambria Math"/>
                <w:lang w:val="it-IT"/>
              </w:rPr>
              <w:t>[h</w:t>
            </w:r>
            <w:r w:rsidR="000A5281" w:rsidRPr="00B55EDB">
              <w:rPr>
                <w:rFonts w:ascii="Cambria Math" w:hAnsi="Cambria Math"/>
                <w:vertAlign w:val="superscript"/>
                <w:lang w:val="it-IT"/>
              </w:rPr>
              <w:t>-1</w:t>
            </w:r>
            <w:r w:rsidR="000A5281" w:rsidRPr="00B55EDB">
              <w:rPr>
                <w:rFonts w:ascii="Cambria Math" w:hAnsi="Cambria Math"/>
                <w:lang w:val="it-IT"/>
              </w:rPr>
              <w:t>ˑmol</w:t>
            </w:r>
            <w:r w:rsidR="000A5281" w:rsidRPr="00B55EDB">
              <w:rPr>
                <w:rFonts w:ascii="Cambria Math" w:hAnsi="Cambria Math"/>
                <w:vertAlign w:val="superscript"/>
                <w:lang w:val="it-IT"/>
              </w:rPr>
              <w:t>-1</w:t>
            </w:r>
            <w:r w:rsidR="000A5281" w:rsidRPr="00B55EDB">
              <w:rPr>
                <w:rFonts w:ascii="Cambria Math" w:hAnsi="Cambria Math"/>
                <w:lang w:val="it-IT"/>
              </w:rPr>
              <w:t>∙L]</w:t>
            </w:r>
          </w:p>
        </w:tc>
        <w:tc>
          <w:tcPr>
            <w:tcW w:w="1559" w:type="dxa"/>
            <w:shd w:val="clear" w:color="auto" w:fill="FFFFFF"/>
          </w:tcPr>
          <w:p w14:paraId="58FAE0E1" w14:textId="77777777" w:rsidR="000A5281" w:rsidRPr="00B57B36" w:rsidRDefault="000A5281" w:rsidP="00367CCA">
            <w:pPr>
              <w:pStyle w:val="CETBodytext"/>
              <w:rPr>
                <w:lang w:val="en-GB"/>
              </w:rPr>
            </w:pPr>
            <w:r>
              <w:t>15.6 ± 2.8</w:t>
            </w:r>
          </w:p>
        </w:tc>
        <w:tc>
          <w:tcPr>
            <w:tcW w:w="1701" w:type="dxa"/>
            <w:shd w:val="clear" w:color="auto" w:fill="FFFFFF"/>
          </w:tcPr>
          <w:p w14:paraId="2B91EB0F" w14:textId="77777777" w:rsidR="000A5281" w:rsidRPr="00B57B36" w:rsidRDefault="000A5281" w:rsidP="00367CCA">
            <w:pPr>
              <w:pStyle w:val="CETBodytext"/>
              <w:rPr>
                <w:lang w:val="en-GB"/>
              </w:rPr>
            </w:pPr>
            <w:r w:rsidRPr="000573FE">
              <w:t>6.1236∙10</w:t>
            </w:r>
            <w:r w:rsidRPr="000219F1">
              <w:rPr>
                <w:vertAlign w:val="superscript"/>
              </w:rPr>
              <w:t>-14</w:t>
            </w:r>
          </w:p>
        </w:tc>
      </w:tr>
      <w:tr w:rsidR="000A5281" w:rsidRPr="00B57B36" w14:paraId="0CBB6E09" w14:textId="77777777" w:rsidTr="00367CCA">
        <w:tc>
          <w:tcPr>
            <w:tcW w:w="1843" w:type="dxa"/>
            <w:shd w:val="clear" w:color="auto" w:fill="FFFFFF"/>
          </w:tcPr>
          <w:p w14:paraId="72438196" w14:textId="14D44963" w:rsidR="000A5281" w:rsidRPr="000219F1" w:rsidRDefault="000B7C10" w:rsidP="00367CCA">
            <w:pPr>
              <w:pStyle w:val="CETBodytext"/>
              <w:rPr>
                <w:rFonts w:ascii="Cambria Math" w:hAnsi="Cambria Math"/>
              </w:rPr>
            </w:pPr>
            <m:oMath>
              <m:sSub>
                <m:sSubPr>
                  <m:ctrlPr>
                    <w:rPr>
                      <w:rFonts w:ascii="Cambria Math" w:hAnsi="Cambria Math"/>
                      <w:lang w:val="it-IT"/>
                    </w:rPr>
                  </m:ctrlPr>
                </m:sSubPr>
                <m:e>
                  <m:r>
                    <w:rPr>
                      <w:rFonts w:ascii="Cambria Math" w:hAnsi="Cambria Math"/>
                      <w:lang w:val="it-IT"/>
                    </w:rPr>
                    <m:t>k</m:t>
                  </m:r>
                </m:e>
                <m:sub>
                  <m:r>
                    <w:rPr>
                      <w:rFonts w:ascii="Cambria Math" w:hAnsi="Cambria Math"/>
                      <w:lang w:val="it-IT"/>
                    </w:rPr>
                    <m:t>3</m:t>
                  </m:r>
                  <m:r>
                    <m:rPr>
                      <m:sty m:val="p"/>
                    </m:rPr>
                    <w:rPr>
                      <w:rFonts w:ascii="Cambria Math" w:hAnsi="Cambria Math"/>
                      <w:lang w:val="it-IT"/>
                    </w:rPr>
                    <m:t xml:space="preserve">, </m:t>
                  </m:r>
                  <m:sSub>
                    <m:sSubPr>
                      <m:ctrlPr>
                        <w:rPr>
                          <w:rFonts w:ascii="Cambria Math" w:hAnsi="Cambria Math"/>
                          <w:lang w:val="it-IT"/>
                        </w:rPr>
                      </m:ctrlPr>
                    </m:sSubPr>
                    <m:e>
                      <m:r>
                        <w:rPr>
                          <w:rFonts w:ascii="Cambria Math" w:hAnsi="Cambria Math"/>
                          <w:lang w:val="it-IT"/>
                        </w:rPr>
                        <m:t>T</m:t>
                      </m:r>
                    </m:e>
                    <m:sub>
                      <m:r>
                        <w:rPr>
                          <w:rFonts w:ascii="Cambria Math" w:hAnsi="Cambria Math"/>
                          <w:lang w:val="it-IT"/>
                        </w:rPr>
                        <m:t>ave</m:t>
                      </m:r>
                    </m:sub>
                  </m:sSub>
                </m:sub>
              </m:sSub>
            </m:oMath>
            <w:r w:rsidR="000A5281" w:rsidRPr="000219F1">
              <w:rPr>
                <w:rFonts w:ascii="Cambria Math" w:hAnsi="Cambria Math"/>
              </w:rPr>
              <w:t xml:space="preserve"> [h</w:t>
            </w:r>
            <w:r w:rsidR="000A5281" w:rsidRPr="000219F1">
              <w:rPr>
                <w:rFonts w:ascii="Cambria Math" w:hAnsi="Cambria Math"/>
                <w:vertAlign w:val="superscript"/>
              </w:rPr>
              <w:t>-1</w:t>
            </w:r>
            <w:r w:rsidR="000A5281" w:rsidRPr="000219F1">
              <w:rPr>
                <w:rFonts w:ascii="Cambria Math" w:hAnsi="Cambria Math"/>
              </w:rPr>
              <w:t>]</w:t>
            </w:r>
          </w:p>
        </w:tc>
        <w:tc>
          <w:tcPr>
            <w:tcW w:w="1559" w:type="dxa"/>
            <w:shd w:val="clear" w:color="auto" w:fill="FFFFFF"/>
          </w:tcPr>
          <w:p w14:paraId="22CF51DA" w14:textId="77777777" w:rsidR="000A5281" w:rsidRPr="00B57B36" w:rsidRDefault="000A5281" w:rsidP="00367CCA">
            <w:pPr>
              <w:pStyle w:val="CETBodytext"/>
              <w:rPr>
                <w:lang w:val="en-GB"/>
              </w:rPr>
            </w:pPr>
            <w:r>
              <w:t>0.352 ± 0.074</w:t>
            </w:r>
          </w:p>
        </w:tc>
        <w:tc>
          <w:tcPr>
            <w:tcW w:w="1701" w:type="dxa"/>
            <w:shd w:val="clear" w:color="auto" w:fill="FFFFFF"/>
          </w:tcPr>
          <w:p w14:paraId="0683E381" w14:textId="2F102A9D" w:rsidR="000A5281" w:rsidRPr="00B57B36" w:rsidRDefault="000A5281" w:rsidP="00367CCA">
            <w:pPr>
              <w:pStyle w:val="CETBodytext"/>
              <w:rPr>
                <w:lang w:val="en-GB"/>
              </w:rPr>
            </w:pPr>
            <w:r w:rsidRPr="000573FE">
              <w:t>4.7788∙10</w:t>
            </w:r>
            <w:r w:rsidRPr="000219F1">
              <w:rPr>
                <w:vertAlign w:val="superscript"/>
              </w:rPr>
              <w:t>-12</w:t>
            </w:r>
          </w:p>
        </w:tc>
      </w:tr>
      <w:tr w:rsidR="000A5281" w:rsidRPr="00B57B36" w14:paraId="38E0EF90" w14:textId="77777777" w:rsidTr="00367CCA">
        <w:tc>
          <w:tcPr>
            <w:tcW w:w="1843" w:type="dxa"/>
            <w:shd w:val="clear" w:color="auto" w:fill="FFFFFF"/>
          </w:tcPr>
          <w:p w14:paraId="0D78FC28" w14:textId="77777777" w:rsidR="000A5281" w:rsidRPr="000219F1" w:rsidRDefault="000A5281" w:rsidP="00367CCA">
            <w:pPr>
              <w:pStyle w:val="CETBodytext"/>
              <w:rPr>
                <w:rFonts w:ascii="Cambria Math" w:hAnsi="Cambria Math"/>
              </w:rPr>
            </w:pPr>
            <w:r w:rsidRPr="000219F1">
              <w:rPr>
                <w:rFonts w:ascii="Cambria Math" w:hAnsi="Cambria Math"/>
              </w:rPr>
              <w:t>E</w:t>
            </w:r>
            <w:r w:rsidRPr="000219F1">
              <w:rPr>
                <w:rFonts w:ascii="Cambria Math" w:hAnsi="Cambria Math"/>
                <w:vertAlign w:val="subscript"/>
              </w:rPr>
              <w:t>1</w:t>
            </w:r>
            <w:r w:rsidRPr="000219F1">
              <w:rPr>
                <w:rFonts w:ascii="Cambria Math" w:hAnsi="Cambria Math"/>
              </w:rPr>
              <w:t xml:space="preserve"> [kJ∙mol</w:t>
            </w:r>
            <w:r w:rsidRPr="0016757A">
              <w:rPr>
                <w:rFonts w:ascii="Cambria Math" w:hAnsi="Cambria Math"/>
                <w:vertAlign w:val="superscript"/>
              </w:rPr>
              <w:t>-1</w:t>
            </w:r>
            <w:r w:rsidRPr="000219F1">
              <w:rPr>
                <w:rFonts w:ascii="Cambria Math" w:hAnsi="Cambria Math"/>
              </w:rPr>
              <w:t>]</w:t>
            </w:r>
          </w:p>
        </w:tc>
        <w:tc>
          <w:tcPr>
            <w:tcW w:w="1559" w:type="dxa"/>
            <w:shd w:val="clear" w:color="auto" w:fill="FFFFFF"/>
          </w:tcPr>
          <w:p w14:paraId="756E3670" w14:textId="77777777" w:rsidR="000A5281" w:rsidRPr="00B57B36" w:rsidRDefault="000A5281" w:rsidP="00367CCA">
            <w:pPr>
              <w:pStyle w:val="CETBodytext"/>
              <w:rPr>
                <w:lang w:val="en-GB"/>
              </w:rPr>
            </w:pPr>
            <w:r>
              <w:t>34.6 ± 3.5</w:t>
            </w:r>
          </w:p>
        </w:tc>
        <w:tc>
          <w:tcPr>
            <w:tcW w:w="1701" w:type="dxa"/>
            <w:shd w:val="clear" w:color="auto" w:fill="FFFFFF"/>
          </w:tcPr>
          <w:p w14:paraId="202B5176" w14:textId="1A3FA619" w:rsidR="000A5281" w:rsidRPr="00B57B36" w:rsidRDefault="000A5281" w:rsidP="00367CCA">
            <w:pPr>
              <w:pStyle w:val="CETBodytext"/>
              <w:rPr>
                <w:lang w:val="en-GB"/>
              </w:rPr>
            </w:pPr>
            <w:r w:rsidRPr="000573FE">
              <w:t>5.8924∙10</w:t>
            </w:r>
            <w:r w:rsidRPr="000219F1">
              <w:rPr>
                <w:vertAlign w:val="superscript"/>
              </w:rPr>
              <w:t>-23</w:t>
            </w:r>
          </w:p>
        </w:tc>
      </w:tr>
      <w:tr w:rsidR="000A5281" w:rsidRPr="00B57B36" w14:paraId="7C73BE35" w14:textId="77777777" w:rsidTr="00367CCA">
        <w:tc>
          <w:tcPr>
            <w:tcW w:w="1843" w:type="dxa"/>
            <w:shd w:val="clear" w:color="auto" w:fill="FFFFFF"/>
          </w:tcPr>
          <w:p w14:paraId="28533D08" w14:textId="77777777" w:rsidR="000A5281" w:rsidRPr="000219F1" w:rsidRDefault="000A5281" w:rsidP="00367CCA">
            <w:pPr>
              <w:pStyle w:val="CETBodytext"/>
              <w:rPr>
                <w:rFonts w:ascii="Cambria Math" w:hAnsi="Cambria Math"/>
              </w:rPr>
            </w:pPr>
            <w:r w:rsidRPr="000219F1">
              <w:rPr>
                <w:rFonts w:ascii="Cambria Math" w:hAnsi="Cambria Math"/>
              </w:rPr>
              <w:t>E</w:t>
            </w:r>
            <w:r w:rsidRPr="000219F1">
              <w:rPr>
                <w:rFonts w:ascii="Cambria Math" w:hAnsi="Cambria Math"/>
                <w:vertAlign w:val="subscript"/>
              </w:rPr>
              <w:t>2</w:t>
            </w:r>
            <w:r w:rsidRPr="000219F1">
              <w:rPr>
                <w:rFonts w:ascii="Cambria Math" w:hAnsi="Cambria Math"/>
              </w:rPr>
              <w:t xml:space="preserve"> [kJ∙mol</w:t>
            </w:r>
            <w:r w:rsidRPr="0016757A">
              <w:rPr>
                <w:rFonts w:ascii="Cambria Math" w:hAnsi="Cambria Math"/>
                <w:vertAlign w:val="superscript"/>
              </w:rPr>
              <w:t>-1</w:t>
            </w:r>
            <w:r w:rsidRPr="000219F1">
              <w:rPr>
                <w:rFonts w:ascii="Cambria Math" w:hAnsi="Cambria Math"/>
              </w:rPr>
              <w:t>]</w:t>
            </w:r>
          </w:p>
        </w:tc>
        <w:tc>
          <w:tcPr>
            <w:tcW w:w="1559" w:type="dxa"/>
            <w:shd w:val="clear" w:color="auto" w:fill="FFFFFF"/>
          </w:tcPr>
          <w:p w14:paraId="1C592DF5" w14:textId="77777777" w:rsidR="000A5281" w:rsidRPr="00B57B36" w:rsidRDefault="000A5281" w:rsidP="00367CCA">
            <w:pPr>
              <w:pStyle w:val="CETBodytext"/>
              <w:rPr>
                <w:lang w:val="en-GB"/>
              </w:rPr>
            </w:pPr>
            <w:r>
              <w:t>32.4 ± 9.9</w:t>
            </w:r>
          </w:p>
        </w:tc>
        <w:tc>
          <w:tcPr>
            <w:tcW w:w="1701" w:type="dxa"/>
            <w:shd w:val="clear" w:color="auto" w:fill="FFFFFF"/>
          </w:tcPr>
          <w:p w14:paraId="2444BF83" w14:textId="16D3D77D" w:rsidR="000A5281" w:rsidRPr="00B57B36" w:rsidRDefault="000A5281" w:rsidP="00367CCA">
            <w:pPr>
              <w:pStyle w:val="CETBodytext"/>
              <w:rPr>
                <w:lang w:val="en-GB"/>
              </w:rPr>
            </w:pPr>
            <w:r w:rsidRPr="000573FE">
              <w:t>6.1035∙10</w:t>
            </w:r>
            <w:r w:rsidRPr="000219F1">
              <w:rPr>
                <w:vertAlign w:val="superscript"/>
              </w:rPr>
              <w:t>-8</w:t>
            </w:r>
          </w:p>
        </w:tc>
      </w:tr>
      <w:tr w:rsidR="000A5281" w:rsidRPr="00B57B36" w14:paraId="0C0447C9" w14:textId="77777777" w:rsidTr="00367CCA">
        <w:tc>
          <w:tcPr>
            <w:tcW w:w="1843" w:type="dxa"/>
            <w:shd w:val="clear" w:color="auto" w:fill="FFFFFF"/>
          </w:tcPr>
          <w:p w14:paraId="7F54EB3D" w14:textId="77777777" w:rsidR="000A5281" w:rsidRPr="000219F1" w:rsidRDefault="000A5281" w:rsidP="00367CCA">
            <w:pPr>
              <w:pStyle w:val="CETBodytext"/>
              <w:rPr>
                <w:rFonts w:ascii="Cambria Math" w:hAnsi="Cambria Math"/>
              </w:rPr>
            </w:pPr>
            <w:r w:rsidRPr="000219F1">
              <w:rPr>
                <w:rFonts w:ascii="Cambria Math" w:hAnsi="Cambria Math"/>
              </w:rPr>
              <w:t>E</w:t>
            </w:r>
            <w:r w:rsidRPr="000219F1">
              <w:rPr>
                <w:rFonts w:ascii="Cambria Math" w:hAnsi="Cambria Math"/>
                <w:vertAlign w:val="subscript"/>
              </w:rPr>
              <w:t>3</w:t>
            </w:r>
            <w:r w:rsidRPr="000219F1">
              <w:rPr>
                <w:rFonts w:ascii="Cambria Math" w:hAnsi="Cambria Math"/>
              </w:rPr>
              <w:t xml:space="preserve"> [kJ∙mol</w:t>
            </w:r>
            <w:r w:rsidRPr="0016757A">
              <w:rPr>
                <w:rFonts w:ascii="Cambria Math" w:hAnsi="Cambria Math"/>
                <w:vertAlign w:val="superscript"/>
              </w:rPr>
              <w:t>-1</w:t>
            </w:r>
            <w:r w:rsidRPr="000219F1">
              <w:rPr>
                <w:rFonts w:ascii="Cambria Math" w:hAnsi="Cambria Math"/>
              </w:rPr>
              <w:t>]</w:t>
            </w:r>
          </w:p>
        </w:tc>
        <w:tc>
          <w:tcPr>
            <w:tcW w:w="1559" w:type="dxa"/>
            <w:shd w:val="clear" w:color="auto" w:fill="FFFFFF"/>
          </w:tcPr>
          <w:p w14:paraId="77D18A41" w14:textId="77777777" w:rsidR="000A5281" w:rsidRPr="00B57B36" w:rsidRDefault="000A5281" w:rsidP="00367CCA">
            <w:pPr>
              <w:pStyle w:val="CETBodytext"/>
              <w:rPr>
                <w:lang w:val="en-GB"/>
              </w:rPr>
            </w:pPr>
            <w:r>
              <w:t>33.8 ± 10.9</w:t>
            </w:r>
          </w:p>
        </w:tc>
        <w:tc>
          <w:tcPr>
            <w:tcW w:w="1701" w:type="dxa"/>
            <w:shd w:val="clear" w:color="auto" w:fill="FFFFFF"/>
          </w:tcPr>
          <w:p w14:paraId="3CB1CCA2" w14:textId="57FE980C" w:rsidR="000A5281" w:rsidRPr="00B57B36" w:rsidRDefault="000A5281" w:rsidP="00367CCA">
            <w:pPr>
              <w:pStyle w:val="CETBodytext"/>
              <w:rPr>
                <w:lang w:val="en-GB"/>
              </w:rPr>
            </w:pPr>
            <w:r w:rsidRPr="000573FE">
              <w:t>1.9780∙10</w:t>
            </w:r>
            <w:r w:rsidRPr="000219F1">
              <w:rPr>
                <w:vertAlign w:val="superscript"/>
              </w:rPr>
              <w:t>-7</w:t>
            </w:r>
          </w:p>
        </w:tc>
      </w:tr>
      <w:tr w:rsidR="000A5281" w:rsidRPr="00B57B36" w14:paraId="7FD194CF" w14:textId="77777777" w:rsidTr="00367CCA">
        <w:tc>
          <w:tcPr>
            <w:tcW w:w="1843" w:type="dxa"/>
            <w:shd w:val="clear" w:color="auto" w:fill="FFFFFF"/>
          </w:tcPr>
          <w:p w14:paraId="1B4290D6" w14:textId="77777777" w:rsidR="000A5281" w:rsidRPr="00B57B36" w:rsidRDefault="000A5281" w:rsidP="00367CCA">
            <w:pPr>
              <w:pStyle w:val="CETBodytext"/>
              <w:rPr>
                <w:lang w:val="en-GB"/>
              </w:rPr>
            </w:pPr>
            <w:r w:rsidRPr="0096032A">
              <w:rPr>
                <w:rFonts w:ascii="Cambria Math" w:hAnsi="Cambria Math"/>
              </w:rPr>
              <w:t>R</w:t>
            </w:r>
            <w:r w:rsidRPr="0096032A">
              <w:rPr>
                <w:rFonts w:ascii="Cambria Math" w:hAnsi="Cambria Math"/>
                <w:vertAlign w:val="superscript"/>
              </w:rPr>
              <w:t>2</w:t>
            </w:r>
          </w:p>
        </w:tc>
        <w:tc>
          <w:tcPr>
            <w:tcW w:w="1559" w:type="dxa"/>
            <w:shd w:val="clear" w:color="auto" w:fill="FFFFFF"/>
          </w:tcPr>
          <w:p w14:paraId="63BB18AA" w14:textId="5D1BE2B1" w:rsidR="000A5281" w:rsidRPr="00B57B36" w:rsidRDefault="000A5281" w:rsidP="00367CCA">
            <w:pPr>
              <w:pStyle w:val="CETBodytext"/>
              <w:rPr>
                <w:lang w:val="en-GB"/>
              </w:rPr>
            </w:pPr>
            <w:r w:rsidRPr="00652B86">
              <w:t>0.9884</w:t>
            </w:r>
          </w:p>
        </w:tc>
        <w:tc>
          <w:tcPr>
            <w:tcW w:w="1701" w:type="dxa"/>
            <w:shd w:val="clear" w:color="auto" w:fill="FFFFFF"/>
          </w:tcPr>
          <w:p w14:paraId="1BAE1112" w14:textId="77777777" w:rsidR="000A5281" w:rsidRPr="00B57B36" w:rsidRDefault="000A5281" w:rsidP="00367CCA">
            <w:pPr>
              <w:pStyle w:val="CETBodytext"/>
              <w:rPr>
                <w:lang w:val="en-GB"/>
              </w:rPr>
            </w:pPr>
          </w:p>
        </w:tc>
      </w:tr>
      <w:tr w:rsidR="000A5281" w:rsidRPr="00B57B36" w14:paraId="0AB4F59B" w14:textId="77777777" w:rsidTr="00367CCA">
        <w:tc>
          <w:tcPr>
            <w:tcW w:w="1843" w:type="dxa"/>
            <w:shd w:val="clear" w:color="auto" w:fill="FFFFFF"/>
          </w:tcPr>
          <w:p w14:paraId="2646CF06" w14:textId="77777777" w:rsidR="000A5281" w:rsidRPr="00B57B36" w:rsidRDefault="000A5281" w:rsidP="00367CCA">
            <w:pPr>
              <w:pStyle w:val="CETBodytext"/>
              <w:rPr>
                <w:lang w:val="en-GB"/>
              </w:rPr>
            </w:pPr>
            <w:r>
              <w:rPr>
                <w:rFonts w:ascii="Cambria Math" w:hAnsi="Cambria Math"/>
              </w:rPr>
              <w:t xml:space="preserve">Adj </w:t>
            </w:r>
            <w:r w:rsidRPr="0096032A">
              <w:rPr>
                <w:rFonts w:ascii="Cambria Math" w:hAnsi="Cambria Math"/>
              </w:rPr>
              <w:t>R</w:t>
            </w:r>
            <w:r w:rsidRPr="0096032A">
              <w:rPr>
                <w:rFonts w:ascii="Cambria Math" w:hAnsi="Cambria Math"/>
                <w:vertAlign w:val="superscript"/>
              </w:rPr>
              <w:t>2</w:t>
            </w:r>
          </w:p>
        </w:tc>
        <w:tc>
          <w:tcPr>
            <w:tcW w:w="1559" w:type="dxa"/>
            <w:shd w:val="clear" w:color="auto" w:fill="FFFFFF"/>
          </w:tcPr>
          <w:p w14:paraId="0580DC8B" w14:textId="11D49471" w:rsidR="000A5281" w:rsidRPr="00B57B36" w:rsidRDefault="000A5281" w:rsidP="00367CCA">
            <w:pPr>
              <w:pStyle w:val="CETBodytext"/>
              <w:rPr>
                <w:lang w:val="en-GB"/>
              </w:rPr>
            </w:pPr>
            <w:r w:rsidRPr="00652B86">
              <w:t>0.9867</w:t>
            </w:r>
          </w:p>
        </w:tc>
        <w:tc>
          <w:tcPr>
            <w:tcW w:w="1701" w:type="dxa"/>
            <w:shd w:val="clear" w:color="auto" w:fill="FFFFFF"/>
          </w:tcPr>
          <w:p w14:paraId="3B997F49" w14:textId="77777777" w:rsidR="000A5281" w:rsidRPr="00B57B36" w:rsidRDefault="000A5281" w:rsidP="00367CCA">
            <w:pPr>
              <w:pStyle w:val="CETBodytext"/>
              <w:rPr>
                <w:lang w:val="en-GB"/>
              </w:rPr>
            </w:pPr>
          </w:p>
        </w:tc>
      </w:tr>
      <w:tr w:rsidR="000A5281" w:rsidRPr="00B57B36" w14:paraId="7C26A565" w14:textId="77777777" w:rsidTr="00367CCA">
        <w:tc>
          <w:tcPr>
            <w:tcW w:w="1843" w:type="dxa"/>
            <w:shd w:val="clear" w:color="auto" w:fill="FFFFFF"/>
          </w:tcPr>
          <w:p w14:paraId="5B3EE5DE" w14:textId="77777777" w:rsidR="000A5281" w:rsidRPr="000219F1" w:rsidRDefault="000A5281" w:rsidP="00367CCA">
            <w:pPr>
              <w:pStyle w:val="CETBodytext"/>
              <w:rPr>
                <w:rFonts w:ascii="Cambria Math" w:hAnsi="Cambria Math"/>
              </w:rPr>
            </w:pPr>
            <w:r w:rsidRPr="000219F1">
              <w:rPr>
                <w:rFonts w:ascii="Cambria Math" w:hAnsi="Cambria Math"/>
              </w:rPr>
              <w:t xml:space="preserve">Estimated variance </w:t>
            </w:r>
          </w:p>
        </w:tc>
        <w:tc>
          <w:tcPr>
            <w:tcW w:w="1559" w:type="dxa"/>
            <w:shd w:val="clear" w:color="auto" w:fill="FFFFFF"/>
          </w:tcPr>
          <w:p w14:paraId="17055615" w14:textId="234F7B5C" w:rsidR="000A5281" w:rsidRPr="000219F1" w:rsidRDefault="000A5281" w:rsidP="00367CCA">
            <w:pPr>
              <w:pStyle w:val="CETBodytext"/>
            </w:pPr>
            <w:r w:rsidRPr="000219F1">
              <w:t>2.1413∙10</w:t>
            </w:r>
            <w:r w:rsidRPr="000219F1">
              <w:rPr>
                <w:vertAlign w:val="superscript"/>
              </w:rPr>
              <w:t>-6</w:t>
            </w:r>
          </w:p>
        </w:tc>
        <w:tc>
          <w:tcPr>
            <w:tcW w:w="1701" w:type="dxa"/>
            <w:shd w:val="clear" w:color="auto" w:fill="FFFFFF"/>
          </w:tcPr>
          <w:p w14:paraId="42C434B4" w14:textId="77777777" w:rsidR="000A5281" w:rsidRPr="00B57B36" w:rsidRDefault="000A5281" w:rsidP="00367CCA">
            <w:pPr>
              <w:pStyle w:val="CETBodytext"/>
              <w:rPr>
                <w:lang w:val="en-GB"/>
              </w:rPr>
            </w:pPr>
          </w:p>
        </w:tc>
      </w:tr>
    </w:tbl>
    <w:p w14:paraId="42AB17B0" w14:textId="77777777" w:rsidR="008B5E25" w:rsidRPr="00B57B36" w:rsidRDefault="008B5E25" w:rsidP="008B5E25">
      <w:pPr>
        <w:pStyle w:val="CETHeading1"/>
        <w:rPr>
          <w:lang w:val="en-GB"/>
        </w:rPr>
      </w:pPr>
      <w:r w:rsidRPr="00B57B36">
        <w:rPr>
          <w:lang w:val="en-GB"/>
        </w:rPr>
        <w:t>Conclusions</w:t>
      </w:r>
    </w:p>
    <w:p w14:paraId="1C1C48DF" w14:textId="36C805B8" w:rsidR="008B5E25" w:rsidRDefault="007A04A2" w:rsidP="008B5E25">
      <w:pPr>
        <w:pStyle w:val="CETBodytext"/>
        <w:rPr>
          <w:lang w:val="en-GB"/>
        </w:rPr>
      </w:pPr>
      <w:r>
        <w:rPr>
          <w:lang w:val="en-GB"/>
        </w:rPr>
        <w:t>The</w:t>
      </w:r>
      <w:r w:rsidR="00C67986">
        <w:rPr>
          <w:lang w:val="en-GB"/>
        </w:rPr>
        <w:t xml:space="preserve"> kinetic optimization of the</w:t>
      </w:r>
      <w:r>
        <w:rPr>
          <w:lang w:val="en-GB"/>
        </w:rPr>
        <w:t xml:space="preserve"> nucleophilic substitution of CMF into MMF in MeOH is challenging due to the presence of consecutive reactions and the high reactivity of CMF</w:t>
      </w:r>
      <w:r w:rsidR="00B6402A">
        <w:rPr>
          <w:lang w:val="en-GB"/>
        </w:rPr>
        <w:t>,</w:t>
      </w:r>
      <w:r w:rsidRPr="007A04A2">
        <w:rPr>
          <w:lang w:val="en-GB"/>
        </w:rPr>
        <w:t xml:space="preserve"> </w:t>
      </w:r>
      <w:r>
        <w:rPr>
          <w:lang w:val="en-GB"/>
        </w:rPr>
        <w:t xml:space="preserve">leading to by-products. </w:t>
      </w:r>
      <w:r w:rsidR="00B6402A">
        <w:rPr>
          <w:lang w:val="en-GB"/>
        </w:rPr>
        <w:t>A window of relevant</w:t>
      </w:r>
      <w:r>
        <w:rPr>
          <w:lang w:val="en-GB"/>
        </w:rPr>
        <w:t xml:space="preserve"> operating conditions</w:t>
      </w:r>
      <w:r w:rsidR="006A5B84">
        <w:rPr>
          <w:lang w:val="en-GB"/>
        </w:rPr>
        <w:t xml:space="preserve"> </w:t>
      </w:r>
      <w:r w:rsidR="00B6402A">
        <w:rPr>
          <w:lang w:val="en-GB"/>
        </w:rPr>
        <w:t xml:space="preserve">windows </w:t>
      </w:r>
      <w:r>
        <w:rPr>
          <w:lang w:val="en-GB"/>
        </w:rPr>
        <w:t>where Y</w:t>
      </w:r>
      <w:r w:rsidRPr="00D70999">
        <w:rPr>
          <w:vertAlign w:val="subscript"/>
          <w:lang w:val="en-GB"/>
        </w:rPr>
        <w:t>MMFs</w:t>
      </w:r>
      <w:r w:rsidR="006A5B84">
        <w:rPr>
          <w:lang w:val="en-GB"/>
        </w:rPr>
        <w:t xml:space="preserve"> </w:t>
      </w:r>
      <w:r>
        <w:rPr>
          <w:lang w:val="en-GB"/>
        </w:rPr>
        <w:t>can be effectively produced</w:t>
      </w:r>
      <w:r w:rsidR="006A5B84">
        <w:rPr>
          <w:lang w:val="en-GB"/>
        </w:rPr>
        <w:t xml:space="preserve"> (0.6 &lt; Y</w:t>
      </w:r>
      <w:r w:rsidR="006A5B84" w:rsidRPr="00B55EDB">
        <w:rPr>
          <w:vertAlign w:val="subscript"/>
          <w:lang w:val="en-GB"/>
        </w:rPr>
        <w:t>MMFs</w:t>
      </w:r>
      <w:r w:rsidR="006A5B84">
        <w:rPr>
          <w:lang w:val="en-GB"/>
        </w:rPr>
        <w:t xml:space="preserve"> &lt; 0.7) </w:t>
      </w:r>
      <w:r w:rsidR="00B6402A">
        <w:rPr>
          <w:lang w:val="en-GB"/>
        </w:rPr>
        <w:t>was</w:t>
      </w:r>
      <w:r>
        <w:rPr>
          <w:lang w:val="en-GB"/>
        </w:rPr>
        <w:t xml:space="preserve"> found</w:t>
      </w:r>
      <w:r w:rsidR="00B6402A">
        <w:rPr>
          <w:lang w:val="en-GB"/>
        </w:rPr>
        <w:t xml:space="preserve">, providing valuable </w:t>
      </w:r>
      <w:r w:rsidR="000B6B1F" w:rsidRPr="000B6B1F">
        <w:rPr>
          <w:lang w:val="en-GB"/>
        </w:rPr>
        <w:t xml:space="preserve">insights </w:t>
      </w:r>
      <w:r w:rsidR="00B6402A">
        <w:rPr>
          <w:lang w:val="en-GB"/>
        </w:rPr>
        <w:t>for</w:t>
      </w:r>
      <w:r w:rsidR="00B6402A" w:rsidRPr="000B6B1F">
        <w:rPr>
          <w:lang w:val="en-GB"/>
        </w:rPr>
        <w:t xml:space="preserve"> </w:t>
      </w:r>
      <w:r w:rsidR="00B6402A">
        <w:rPr>
          <w:lang w:val="en-GB"/>
        </w:rPr>
        <w:t>the further optimization of</w:t>
      </w:r>
      <w:r w:rsidR="000B6B1F" w:rsidRPr="000B6B1F">
        <w:rPr>
          <w:lang w:val="en-GB"/>
        </w:rPr>
        <w:t xml:space="preserve"> the </w:t>
      </w:r>
      <w:r w:rsidR="006A5B84">
        <w:rPr>
          <w:lang w:val="en-GB"/>
        </w:rPr>
        <w:t>economic potential of MMF</w:t>
      </w:r>
      <w:r w:rsidR="000B6B1F" w:rsidRPr="000B6B1F">
        <w:rPr>
          <w:lang w:val="en-GB"/>
        </w:rPr>
        <w:t xml:space="preserve">, a </w:t>
      </w:r>
      <w:r w:rsidR="000A5281">
        <w:rPr>
          <w:lang w:val="en-GB"/>
        </w:rPr>
        <w:t>critical</w:t>
      </w:r>
      <w:r w:rsidR="000B6B1F" w:rsidRPr="000B6B1F">
        <w:rPr>
          <w:lang w:val="en-GB"/>
        </w:rPr>
        <w:t xml:space="preserve"> </w:t>
      </w:r>
      <w:r w:rsidR="00C67986">
        <w:rPr>
          <w:lang w:val="en-GB"/>
        </w:rPr>
        <w:t>step</w:t>
      </w:r>
      <w:r w:rsidR="00C67986" w:rsidRPr="000B6B1F">
        <w:rPr>
          <w:lang w:val="en-GB"/>
        </w:rPr>
        <w:t xml:space="preserve"> </w:t>
      </w:r>
      <w:r w:rsidR="000B6B1F" w:rsidRPr="000B6B1F">
        <w:rPr>
          <w:lang w:val="en-GB"/>
        </w:rPr>
        <w:t xml:space="preserve">for </w:t>
      </w:r>
      <w:r w:rsidR="00C67986">
        <w:rPr>
          <w:lang w:val="en-GB"/>
        </w:rPr>
        <w:t>its</w:t>
      </w:r>
      <w:r w:rsidR="00C67986" w:rsidRPr="000B6B1F">
        <w:rPr>
          <w:lang w:val="en-GB"/>
        </w:rPr>
        <w:t xml:space="preserve"> </w:t>
      </w:r>
      <w:r w:rsidR="000B6B1F" w:rsidRPr="000B6B1F">
        <w:rPr>
          <w:lang w:val="en-GB"/>
        </w:rPr>
        <w:t>sustainable production</w:t>
      </w:r>
      <w:r w:rsidR="00B55EDB">
        <w:rPr>
          <w:lang w:val="en-GB"/>
        </w:rPr>
        <w:t xml:space="preserve"> and,</w:t>
      </w:r>
      <w:r w:rsidR="000B6B1F" w:rsidRPr="000B6B1F">
        <w:rPr>
          <w:lang w:val="en-GB"/>
        </w:rPr>
        <w:t xml:space="preserve"> </w:t>
      </w:r>
      <w:r w:rsidR="00C67986">
        <w:rPr>
          <w:lang w:val="en-GB"/>
        </w:rPr>
        <w:t>e.g., as</w:t>
      </w:r>
      <w:r w:rsidR="000B6B1F" w:rsidRPr="000B6B1F">
        <w:rPr>
          <w:lang w:val="en-GB"/>
        </w:rPr>
        <w:t xml:space="preserve"> intermediate in polyester synthesis. </w:t>
      </w:r>
      <w:r w:rsidR="000A5281">
        <w:rPr>
          <w:lang w:val="en-GB"/>
        </w:rPr>
        <w:t>Us</w:t>
      </w:r>
      <w:r w:rsidR="000B6B1F" w:rsidRPr="000B6B1F">
        <w:rPr>
          <w:lang w:val="en-GB"/>
        </w:rPr>
        <w:t xml:space="preserve">ing a simplified kinetic model, we effectively described the reaction trends and identified conditions for maximizing MMF yield. </w:t>
      </w:r>
      <w:r w:rsidR="000B6B1F">
        <w:rPr>
          <w:lang w:val="en-GB"/>
        </w:rPr>
        <w:t>By the employed kinetic model, we found that</w:t>
      </w:r>
      <w:r w:rsidR="000B6B1F" w:rsidRPr="000B6B1F">
        <w:rPr>
          <w:lang w:val="en-GB"/>
        </w:rPr>
        <w:t xml:space="preserve"> increasing the temperature reduced the reaction time while maintaining high yields</w:t>
      </w:r>
      <w:r w:rsidR="00906BCE">
        <w:rPr>
          <w:lang w:val="en-GB"/>
        </w:rPr>
        <w:t xml:space="preserve"> (&gt; 0.6)</w:t>
      </w:r>
      <w:r w:rsidR="000B6B1F" w:rsidRPr="000B6B1F">
        <w:rPr>
          <w:lang w:val="en-GB"/>
        </w:rPr>
        <w:t xml:space="preserve">. </w:t>
      </w:r>
      <w:r w:rsidR="000B6B1F">
        <w:rPr>
          <w:lang w:val="en-GB"/>
        </w:rPr>
        <w:t>Moreover, operating without a base potentially</w:t>
      </w:r>
      <w:r w:rsidR="000B6B1F" w:rsidRPr="000B6B1F">
        <w:rPr>
          <w:lang w:val="en-GB"/>
        </w:rPr>
        <w:t xml:space="preserve"> contributes to </w:t>
      </w:r>
      <w:r w:rsidR="000A5281">
        <w:rPr>
          <w:lang w:val="en-GB"/>
        </w:rPr>
        <w:t xml:space="preserve">the </w:t>
      </w:r>
      <w:r w:rsidR="00B6402A">
        <w:rPr>
          <w:lang w:val="en-GB"/>
        </w:rPr>
        <w:t xml:space="preserve">process’s </w:t>
      </w:r>
      <w:r w:rsidR="000A5281">
        <w:rPr>
          <w:lang w:val="en-GB"/>
        </w:rPr>
        <w:t>sustainability by reducing waste salts and potentially allowing</w:t>
      </w:r>
      <w:r w:rsidR="000B6B1F" w:rsidRPr="000B6B1F">
        <w:rPr>
          <w:lang w:val="en-GB"/>
        </w:rPr>
        <w:t xml:space="preserve"> recycling produced hydrochloric acid. Future research </w:t>
      </w:r>
      <w:r w:rsidR="000B6B1F">
        <w:rPr>
          <w:lang w:val="en-GB"/>
        </w:rPr>
        <w:t>will</w:t>
      </w:r>
      <w:r w:rsidR="000B6B1F" w:rsidRPr="000B6B1F">
        <w:rPr>
          <w:lang w:val="en-GB"/>
        </w:rPr>
        <w:t xml:space="preserve"> explore further process optimizations and industrial scalability</w:t>
      </w:r>
      <w:r w:rsidR="008B5E25">
        <w:rPr>
          <w:lang w:val="en-GB"/>
        </w:rPr>
        <w:t>.</w:t>
      </w:r>
    </w:p>
    <w:p w14:paraId="00BA3D4F" w14:textId="7747808B" w:rsidR="00C52C3C" w:rsidRDefault="00600535" w:rsidP="00B55EDB">
      <w:pPr>
        <w:pStyle w:val="CETReference"/>
      </w:pPr>
      <w:r w:rsidRPr="00B57B36">
        <w:t>References</w:t>
      </w:r>
    </w:p>
    <w:p w14:paraId="42F0B244" w14:textId="77777777" w:rsidR="0056193A" w:rsidRPr="0056193A" w:rsidRDefault="0056193A" w:rsidP="00B55EDB">
      <w:pPr>
        <w:pStyle w:val="CETReferencetext"/>
      </w:pPr>
      <w:r w:rsidRPr="0056193A">
        <w:t xml:space="preserve">Breeden, S. W., Clark, J. H., Farmer, T. J., </w:t>
      </w:r>
      <w:proofErr w:type="spellStart"/>
      <w:r w:rsidRPr="0056193A">
        <w:t>Macquarrie</w:t>
      </w:r>
      <w:proofErr w:type="spellEnd"/>
      <w:r w:rsidRPr="0056193A">
        <w:t xml:space="preserve">, D. J., </w:t>
      </w:r>
      <w:proofErr w:type="spellStart"/>
      <w:r w:rsidRPr="0056193A">
        <w:t>Meimoun</w:t>
      </w:r>
      <w:proofErr w:type="spellEnd"/>
      <w:r w:rsidRPr="0056193A">
        <w:t xml:space="preserve">, J. S., </w:t>
      </w:r>
      <w:proofErr w:type="spellStart"/>
      <w:r w:rsidRPr="0056193A">
        <w:t>Nonne</w:t>
      </w:r>
      <w:proofErr w:type="spellEnd"/>
      <w:r w:rsidRPr="0056193A">
        <w:t>, Y., &amp; Reid, J. E. S. J. (2013). Microwave heating for rapid conversion of sugars and polysaccharides to 5-chloromethyl furfural. Green Chem., 15(1), 72–75. https://doi.org/10.1039/C2GC36290B</w:t>
      </w:r>
    </w:p>
    <w:p w14:paraId="26F3C0C2" w14:textId="77777777" w:rsidR="0056193A" w:rsidRPr="0056193A" w:rsidRDefault="0056193A" w:rsidP="00B55EDB">
      <w:pPr>
        <w:pStyle w:val="CETReferencetext"/>
      </w:pPr>
      <w:r w:rsidRPr="0056193A">
        <w:t xml:space="preserve">Giorgianni, G., </w:t>
      </w:r>
      <w:proofErr w:type="spellStart"/>
      <w:r w:rsidRPr="0056193A">
        <w:t>Perathoner</w:t>
      </w:r>
      <w:proofErr w:type="spellEnd"/>
      <w:r w:rsidRPr="0056193A">
        <w:t>, S., Centi, G., Soo-Tang, S.-H., de Jong, E., van der Waal, J. C., &amp; Abate, S. (2023). Exploring the hydrogenation of furfural in the liquid phase by high-throughput screening of commercial catalysts: Effects of temperature, solvents, and promoters on the production of 2-methylfuran. Chemical Engineering Research and Design, 197, 968–983. https://doi.org/10.1016/j.cherd.2023.08.010</w:t>
      </w:r>
    </w:p>
    <w:p w14:paraId="70369516" w14:textId="77777777" w:rsidR="0056193A" w:rsidRPr="0056193A" w:rsidRDefault="0056193A" w:rsidP="00B55EDB">
      <w:pPr>
        <w:pStyle w:val="CETReferencetext"/>
      </w:pPr>
      <w:proofErr w:type="spellStart"/>
      <w:r w:rsidRPr="0056193A">
        <w:t>Girisuta</w:t>
      </w:r>
      <w:proofErr w:type="spellEnd"/>
      <w:r w:rsidRPr="0056193A">
        <w:t xml:space="preserve">, B., Janssen, L. P. B. M., &amp; </w:t>
      </w:r>
      <w:proofErr w:type="spellStart"/>
      <w:r w:rsidRPr="0056193A">
        <w:t>Heeres</w:t>
      </w:r>
      <w:proofErr w:type="spellEnd"/>
      <w:r w:rsidRPr="0056193A">
        <w:t xml:space="preserve">, H. J. (2006). A kinetic study on the decomposition of 5-hydroxymethylfurfural into </w:t>
      </w:r>
      <w:proofErr w:type="spellStart"/>
      <w:r w:rsidRPr="0056193A">
        <w:t>levulinic</w:t>
      </w:r>
      <w:proofErr w:type="spellEnd"/>
      <w:r w:rsidRPr="0056193A">
        <w:t xml:space="preserve"> acid. Green Chemistry, 8(8), 701. https://doi.org/10.1039/b518176c</w:t>
      </w:r>
    </w:p>
    <w:p w14:paraId="7902592F" w14:textId="77777777" w:rsidR="0056193A" w:rsidRPr="0056193A" w:rsidRDefault="0056193A" w:rsidP="00B55EDB">
      <w:pPr>
        <w:pStyle w:val="CETReferencetext"/>
      </w:pPr>
      <w:proofErr w:type="spellStart"/>
      <w:r w:rsidRPr="0056193A">
        <w:t>Mascal</w:t>
      </w:r>
      <w:proofErr w:type="spellEnd"/>
      <w:r w:rsidRPr="0056193A">
        <w:t xml:space="preserve">, M., &amp; </w:t>
      </w:r>
      <w:proofErr w:type="spellStart"/>
      <w:r w:rsidRPr="0056193A">
        <w:t>Nikitin</w:t>
      </w:r>
      <w:proofErr w:type="spellEnd"/>
      <w:r w:rsidRPr="0056193A">
        <w:t xml:space="preserve">, E. B. (2008). Direct, high-yield conversion of cellulose into biofuel. </w:t>
      </w:r>
      <w:proofErr w:type="spellStart"/>
      <w:r w:rsidRPr="0056193A">
        <w:t>Angewandte</w:t>
      </w:r>
      <w:proofErr w:type="spellEnd"/>
      <w:r w:rsidRPr="0056193A">
        <w:t xml:space="preserve"> </w:t>
      </w:r>
      <w:proofErr w:type="spellStart"/>
      <w:r w:rsidRPr="0056193A">
        <w:t>Chemie</w:t>
      </w:r>
      <w:proofErr w:type="spellEnd"/>
      <w:r w:rsidRPr="0056193A">
        <w:t xml:space="preserve"> - International Edition, 47(41), 7924–7926. https://doi.org/10.1002/anie.200801594</w:t>
      </w:r>
    </w:p>
    <w:p w14:paraId="6A246B5D" w14:textId="77777777" w:rsidR="0056193A" w:rsidRPr="0056193A" w:rsidRDefault="0056193A" w:rsidP="00B55EDB">
      <w:pPr>
        <w:pStyle w:val="CETReferencetext"/>
      </w:pPr>
      <w:proofErr w:type="spellStart"/>
      <w:r w:rsidRPr="0056193A">
        <w:t>Mascal</w:t>
      </w:r>
      <w:proofErr w:type="spellEnd"/>
      <w:r w:rsidRPr="0056193A">
        <w:t xml:space="preserve">, M., &amp; </w:t>
      </w:r>
      <w:proofErr w:type="spellStart"/>
      <w:r w:rsidRPr="0056193A">
        <w:t>Nikitin</w:t>
      </w:r>
      <w:proofErr w:type="spellEnd"/>
      <w:r w:rsidRPr="0056193A">
        <w:t xml:space="preserve">, E. B. (2009). Dramatic advancements in the saccharide to 5-(chloromethyl)furfural conversion reaction. </w:t>
      </w:r>
      <w:proofErr w:type="spellStart"/>
      <w:r w:rsidRPr="0056193A">
        <w:t>ChemSusChem</w:t>
      </w:r>
      <w:proofErr w:type="spellEnd"/>
      <w:r w:rsidRPr="0056193A">
        <w:t>, 2(9), 859–861. https://doi.org/10.1002/cssc.200900136</w:t>
      </w:r>
    </w:p>
    <w:p w14:paraId="1237C267" w14:textId="77777777" w:rsidR="0056193A" w:rsidRPr="0056193A" w:rsidRDefault="0056193A" w:rsidP="00B55EDB">
      <w:pPr>
        <w:pStyle w:val="CETReferencetext"/>
      </w:pPr>
      <w:r w:rsidRPr="0056193A">
        <w:t xml:space="preserve">Munoz De Diego, C., </w:t>
      </w:r>
      <w:proofErr w:type="spellStart"/>
      <w:r w:rsidRPr="0056193A">
        <w:t>Schammel</w:t>
      </w:r>
      <w:proofErr w:type="spellEnd"/>
      <w:r w:rsidRPr="0056193A">
        <w:t xml:space="preserve">, W., Dam, M. A., &amp; </w:t>
      </w:r>
      <w:proofErr w:type="spellStart"/>
      <w:r w:rsidRPr="0056193A">
        <w:t>Gruter</w:t>
      </w:r>
      <w:proofErr w:type="spellEnd"/>
      <w:r w:rsidRPr="0056193A">
        <w:t>, G. J. M. (2011). Method for the preparation of 2,5-furandicarboxylic acid and esters thereof (Patent No. PCT/NL2010/050653, WO2011043660). https://patentscope.wipo.int/search/en/detail.jsf?docId=WO2011043660</w:t>
      </w:r>
    </w:p>
    <w:p w14:paraId="0029A750" w14:textId="77777777" w:rsidR="0056193A" w:rsidRPr="008B051E" w:rsidRDefault="0056193A" w:rsidP="00B55EDB">
      <w:pPr>
        <w:pStyle w:val="CETReferencetext"/>
        <w:rPr>
          <w:lang w:val="it-IT"/>
        </w:rPr>
      </w:pPr>
      <w:proofErr w:type="spellStart"/>
      <w:r w:rsidRPr="00B55EDB">
        <w:rPr>
          <w:lang w:val="it-IT"/>
        </w:rPr>
        <w:t>Onkarappa</w:t>
      </w:r>
      <w:proofErr w:type="spellEnd"/>
      <w:r w:rsidRPr="00B55EDB">
        <w:rPr>
          <w:lang w:val="it-IT"/>
        </w:rPr>
        <w:t xml:space="preserve">, S. B., &amp; </w:t>
      </w:r>
      <w:proofErr w:type="spellStart"/>
      <w:r w:rsidRPr="00B55EDB">
        <w:rPr>
          <w:lang w:val="it-IT"/>
        </w:rPr>
        <w:t>Dutta</w:t>
      </w:r>
      <w:proofErr w:type="spellEnd"/>
      <w:r w:rsidRPr="00B55EDB">
        <w:rPr>
          <w:lang w:val="it-IT"/>
        </w:rPr>
        <w:t xml:space="preserve">, S. (2019). </w:t>
      </w:r>
      <w:r w:rsidRPr="0056193A">
        <w:t>High</w:t>
      </w:r>
      <w:r w:rsidRPr="0056193A">
        <w:rPr>
          <w:rFonts w:ascii="Cambria Math" w:hAnsi="Cambria Math" w:cs="Cambria Math"/>
        </w:rPr>
        <w:t>‐</w:t>
      </w:r>
      <w:r w:rsidRPr="0056193A">
        <w:t>Yielding Synthesis of 5</w:t>
      </w:r>
      <w:r w:rsidRPr="0056193A">
        <w:rPr>
          <w:rFonts w:ascii="Cambria Math" w:hAnsi="Cambria Math" w:cs="Cambria Math"/>
        </w:rPr>
        <w:t>‐</w:t>
      </w:r>
      <w:r w:rsidRPr="0056193A">
        <w:t>(</w:t>
      </w:r>
      <w:proofErr w:type="spellStart"/>
      <w:proofErr w:type="gramStart"/>
      <w:r w:rsidRPr="0056193A">
        <w:t>alkoxymethyl</w:t>
      </w:r>
      <w:proofErr w:type="spellEnd"/>
      <w:r w:rsidRPr="0056193A">
        <w:t>)furfurals</w:t>
      </w:r>
      <w:proofErr w:type="gramEnd"/>
      <w:r w:rsidRPr="0056193A">
        <w:t xml:space="preserve"> from Biomass</w:t>
      </w:r>
      <w:r w:rsidRPr="0056193A">
        <w:rPr>
          <w:rFonts w:ascii="Cambria Math" w:hAnsi="Cambria Math" w:cs="Cambria Math"/>
        </w:rPr>
        <w:t>‐</w:t>
      </w:r>
      <w:r w:rsidRPr="0056193A">
        <w:t>Derived 5</w:t>
      </w:r>
      <w:r w:rsidRPr="0056193A">
        <w:rPr>
          <w:rFonts w:ascii="Cambria Math" w:hAnsi="Cambria Math" w:cs="Cambria Math"/>
        </w:rPr>
        <w:t>‐</w:t>
      </w:r>
      <w:r w:rsidRPr="0056193A">
        <w:t xml:space="preserve">(halomethyl)furfural (X=Cl, Br). </w:t>
      </w:r>
      <w:proofErr w:type="spellStart"/>
      <w:r w:rsidRPr="008B051E">
        <w:rPr>
          <w:lang w:val="it-IT"/>
        </w:rPr>
        <w:t>ChemistrySelect</w:t>
      </w:r>
      <w:proofErr w:type="spellEnd"/>
      <w:r w:rsidRPr="008B051E">
        <w:rPr>
          <w:lang w:val="it-IT"/>
        </w:rPr>
        <w:t>, 4(19), 5540–5543. https://doi.org/10.1002/slct.201900279</w:t>
      </w:r>
    </w:p>
    <w:p w14:paraId="59045CE3" w14:textId="77777777" w:rsidR="0056193A" w:rsidRPr="0056193A" w:rsidRDefault="0056193A" w:rsidP="00B55EDB">
      <w:pPr>
        <w:pStyle w:val="CETReferencetext"/>
      </w:pPr>
      <w:r w:rsidRPr="00B55EDB">
        <w:rPr>
          <w:lang w:val="it-IT"/>
        </w:rPr>
        <w:t xml:space="preserve">Teixeira, M. G., Natalino, R., &amp; da Silva, M. J. (2020). </w:t>
      </w:r>
      <w:r w:rsidRPr="0056193A">
        <w:t xml:space="preserve">A kinetic study of </w:t>
      </w:r>
      <w:proofErr w:type="spellStart"/>
      <w:r w:rsidRPr="0056193A">
        <w:t>heteropolyacid-catalyzed</w:t>
      </w:r>
      <w:proofErr w:type="spellEnd"/>
      <w:r w:rsidRPr="0056193A">
        <w:t xml:space="preserve"> furfural acetalization with methanol at room temperature via ultraviolet spectroscopy. Catalysis Today, 344(November 2018), 143–149. https://doi.org/10.1016/j.cattod.2018.11.071</w:t>
      </w:r>
    </w:p>
    <w:p w14:paraId="176C4C7B" w14:textId="77777777" w:rsidR="0056193A" w:rsidRPr="0056193A" w:rsidRDefault="0056193A" w:rsidP="00B55EDB">
      <w:pPr>
        <w:pStyle w:val="CETReferencetext"/>
      </w:pPr>
      <w:r w:rsidRPr="0056193A">
        <w:t xml:space="preserve">van </w:t>
      </w:r>
      <w:proofErr w:type="spellStart"/>
      <w:r w:rsidRPr="0056193A">
        <w:t>Putten</w:t>
      </w:r>
      <w:proofErr w:type="spellEnd"/>
      <w:r w:rsidRPr="0056193A">
        <w:t xml:space="preserve">, R.-J., van der Waal, J. C., de Jong, E., </w:t>
      </w:r>
      <w:proofErr w:type="spellStart"/>
      <w:r w:rsidRPr="0056193A">
        <w:t>Rasrendra</w:t>
      </w:r>
      <w:proofErr w:type="spellEnd"/>
      <w:r w:rsidRPr="0056193A">
        <w:t xml:space="preserve">, C. B., </w:t>
      </w:r>
      <w:proofErr w:type="spellStart"/>
      <w:r w:rsidRPr="0056193A">
        <w:t>Heeres</w:t>
      </w:r>
      <w:proofErr w:type="spellEnd"/>
      <w:r w:rsidRPr="0056193A">
        <w:t xml:space="preserve">, H. J., &amp; de Vries, J. G. (2013). </w:t>
      </w:r>
      <w:proofErr w:type="spellStart"/>
      <w:r w:rsidRPr="0056193A">
        <w:t>Hydroxymethylfurfural</w:t>
      </w:r>
      <w:proofErr w:type="spellEnd"/>
      <w:r w:rsidRPr="0056193A">
        <w:t>, A Versatile Platform Chemical Made from Renewable Resources. Chemical Reviews, 113(3), 1499–1597. https://doi.org/10.1021/cr300182k</w:t>
      </w:r>
    </w:p>
    <w:p w14:paraId="30BECEA5" w14:textId="77777777" w:rsidR="0056193A" w:rsidRPr="0056193A" w:rsidRDefault="0056193A" w:rsidP="00B55EDB">
      <w:pPr>
        <w:pStyle w:val="CETReferencetext"/>
      </w:pPr>
      <w:proofErr w:type="spellStart"/>
      <w:r w:rsidRPr="0056193A">
        <w:t>Werpy</w:t>
      </w:r>
      <w:proofErr w:type="spellEnd"/>
      <w:r w:rsidRPr="0056193A">
        <w:t xml:space="preserve">, T., &amp; Petersen, G. (2004). Top </w:t>
      </w:r>
      <w:proofErr w:type="gramStart"/>
      <w:r w:rsidRPr="0056193A">
        <w:t>Value Added</w:t>
      </w:r>
      <w:proofErr w:type="gramEnd"/>
      <w:r w:rsidRPr="0056193A">
        <w:t xml:space="preserve"> Chemicals from Biomass: Volume I -- Results of Screening for Potential Candidates from Sugars and Synthesis Gas. https://doi.org/10.2172/15008859</w:t>
      </w:r>
    </w:p>
    <w:p w14:paraId="19C4FC68" w14:textId="0D1B5D05" w:rsidR="004628D2" w:rsidRDefault="0056193A" w:rsidP="00B55EDB">
      <w:pPr>
        <w:pStyle w:val="CETReferencetext"/>
      </w:pPr>
      <w:r w:rsidRPr="0056193A">
        <w:t>Wolfram Research Inc. (2014). Mathematica 10.0 (10.0). Wolfram Research, Inc. https://www.wolfram.com</w:t>
      </w:r>
    </w:p>
    <w:sectPr w:rsidR="004628D2" w:rsidSect="00EF06D9">
      <w:type w:val="continuous"/>
      <w:pgSz w:w="11906" w:h="16838" w:code="9"/>
      <w:pgMar w:top="1701" w:right="1418" w:bottom="1701" w:left="1701" w:header="1701" w:footer="0"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758E1D" w14:textId="77777777" w:rsidR="000B7C10" w:rsidRDefault="000B7C10" w:rsidP="004F5E36">
      <w:r>
        <w:separator/>
      </w:r>
    </w:p>
  </w:endnote>
  <w:endnote w:type="continuationSeparator" w:id="0">
    <w:p w14:paraId="1B364D8C" w14:textId="77777777" w:rsidR="000B7C10" w:rsidRDefault="000B7C10" w:rsidP="004F5E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dvP6960">
    <w:altName w:val="Cambria"/>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C42085" w14:textId="77777777" w:rsidR="000B7C10" w:rsidRDefault="000B7C10" w:rsidP="004F5E36">
      <w:r>
        <w:separator/>
      </w:r>
    </w:p>
  </w:footnote>
  <w:footnote w:type="continuationSeparator" w:id="0">
    <w:p w14:paraId="33D291FF" w14:textId="77777777" w:rsidR="000B7C10" w:rsidRDefault="000B7C10" w:rsidP="004F5E3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58AF15E"/>
    <w:lvl w:ilvl="0">
      <w:start w:val="1"/>
      <w:numFmt w:val="decimal"/>
      <w:pStyle w:val="Numeroelenco5"/>
      <w:lvlText w:val="%1."/>
      <w:lvlJc w:val="left"/>
      <w:pPr>
        <w:tabs>
          <w:tab w:val="num" w:pos="1492"/>
        </w:tabs>
        <w:ind w:left="1492" w:hanging="360"/>
      </w:pPr>
    </w:lvl>
  </w:abstractNum>
  <w:abstractNum w:abstractNumId="1" w15:restartNumberingAfterBreak="0">
    <w:nsid w:val="FFFFFF7D"/>
    <w:multiLevelType w:val="singleLevel"/>
    <w:tmpl w:val="65EC884E"/>
    <w:lvl w:ilvl="0">
      <w:start w:val="1"/>
      <w:numFmt w:val="decimal"/>
      <w:pStyle w:val="Numeroelenco4"/>
      <w:lvlText w:val="%1."/>
      <w:lvlJc w:val="left"/>
      <w:pPr>
        <w:tabs>
          <w:tab w:val="num" w:pos="1209"/>
        </w:tabs>
        <w:ind w:left="1209" w:hanging="360"/>
      </w:pPr>
    </w:lvl>
  </w:abstractNum>
  <w:abstractNum w:abstractNumId="2" w15:restartNumberingAfterBreak="0">
    <w:nsid w:val="FFFFFF7E"/>
    <w:multiLevelType w:val="singleLevel"/>
    <w:tmpl w:val="408CBE96"/>
    <w:lvl w:ilvl="0">
      <w:start w:val="1"/>
      <w:numFmt w:val="decimal"/>
      <w:pStyle w:val="Numeroelenco3"/>
      <w:lvlText w:val="%1."/>
      <w:lvlJc w:val="left"/>
      <w:pPr>
        <w:tabs>
          <w:tab w:val="num" w:pos="926"/>
        </w:tabs>
        <w:ind w:left="926" w:hanging="360"/>
      </w:pPr>
    </w:lvl>
  </w:abstractNum>
  <w:abstractNum w:abstractNumId="3" w15:restartNumberingAfterBreak="0">
    <w:nsid w:val="FFFFFF7F"/>
    <w:multiLevelType w:val="singleLevel"/>
    <w:tmpl w:val="CFC0B388"/>
    <w:lvl w:ilvl="0">
      <w:start w:val="1"/>
      <w:numFmt w:val="decimal"/>
      <w:pStyle w:val="Numeroelenco2"/>
      <w:lvlText w:val="%1."/>
      <w:lvlJc w:val="left"/>
      <w:pPr>
        <w:tabs>
          <w:tab w:val="num" w:pos="643"/>
        </w:tabs>
        <w:ind w:left="643" w:hanging="360"/>
      </w:pPr>
    </w:lvl>
  </w:abstractNum>
  <w:abstractNum w:abstractNumId="4" w15:restartNumberingAfterBreak="0">
    <w:nsid w:val="FFFFFF80"/>
    <w:multiLevelType w:val="singleLevel"/>
    <w:tmpl w:val="CA34EB48"/>
    <w:lvl w:ilvl="0">
      <w:start w:val="1"/>
      <w:numFmt w:val="bullet"/>
      <w:pStyle w:val="Puntoelenco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85C6BD6"/>
    <w:lvl w:ilvl="0">
      <w:start w:val="1"/>
      <w:numFmt w:val="bullet"/>
      <w:pStyle w:val="Puntoelenco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87A9968"/>
    <w:lvl w:ilvl="0">
      <w:start w:val="1"/>
      <w:numFmt w:val="bullet"/>
      <w:pStyle w:val="Puntoelenco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ED27934"/>
    <w:lvl w:ilvl="0">
      <w:start w:val="1"/>
      <w:numFmt w:val="bullet"/>
      <w:pStyle w:val="Puntoelenco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F4206A"/>
    <w:lvl w:ilvl="0">
      <w:start w:val="1"/>
      <w:numFmt w:val="decimal"/>
      <w:pStyle w:val="Numeroelenco"/>
      <w:lvlText w:val="%1."/>
      <w:lvlJc w:val="left"/>
      <w:pPr>
        <w:tabs>
          <w:tab w:val="num" w:pos="360"/>
        </w:tabs>
        <w:ind w:left="360" w:hanging="360"/>
      </w:pPr>
    </w:lvl>
  </w:abstractNum>
  <w:abstractNum w:abstractNumId="9" w15:restartNumberingAfterBreak="0">
    <w:nsid w:val="FFFFFF89"/>
    <w:multiLevelType w:val="singleLevel"/>
    <w:tmpl w:val="206ACE1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2438217E"/>
    <w:multiLevelType w:val="multilevel"/>
    <w:tmpl w:val="F17228D6"/>
    <w:lvl w:ilvl="0">
      <w:start w:val="1"/>
      <w:numFmt w:val="decimal"/>
      <w:suff w:val="space"/>
      <w:lvlText w:val="Chapter %1"/>
      <w:lvlJc w:val="left"/>
      <w:pPr>
        <w:ind w:left="0" w:firstLine="0"/>
      </w:pPr>
      <w:rPr>
        <w:rFonts w:hint="default"/>
      </w:rPr>
    </w:lvl>
    <w:lvl w:ilvl="1">
      <w:start w:val="1"/>
      <w:numFmt w:val="decimal"/>
      <w:pStyle w:val="CETHeading1"/>
      <w:suff w:val="space"/>
      <w:lvlText w:val="%2."/>
      <w:lvlJc w:val="left"/>
      <w:pPr>
        <w:ind w:left="0" w:firstLine="0"/>
      </w:pPr>
      <w:rPr>
        <w:rFonts w:hint="default"/>
      </w:rPr>
    </w:lvl>
    <w:lvl w:ilvl="2">
      <w:start w:val="1"/>
      <w:numFmt w:val="decimal"/>
      <w:pStyle w:val="CETheadingx"/>
      <w:suff w:val="space"/>
      <w:lvlText w:val="%2.%3"/>
      <w:lvlJc w:val="left"/>
      <w:pPr>
        <w:ind w:left="0" w:firstLine="0"/>
      </w:pPr>
      <w:rPr>
        <w:rFonts w:hint="default"/>
      </w:rPr>
    </w:lvl>
    <w:lvl w:ilvl="3">
      <w:start w:val="1"/>
      <w:numFmt w:val="decimal"/>
      <w:pStyle w:val="Tabellasemplice1"/>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1" w15:restartNumberingAfterBreak="0">
    <w:nsid w:val="330B7370"/>
    <w:multiLevelType w:val="hybridMultilevel"/>
    <w:tmpl w:val="12E2AD3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51E0394"/>
    <w:multiLevelType w:val="hybridMultilevel"/>
    <w:tmpl w:val="806658E2"/>
    <w:lvl w:ilvl="0" w:tplc="14B0F7A8">
      <w:start w:val="1"/>
      <w:numFmt w:val="bullet"/>
      <w:pStyle w:val="CETnumberingbullets"/>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9C329B9"/>
    <w:multiLevelType w:val="hybridMultilevel"/>
    <w:tmpl w:val="A2E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B100E8"/>
    <w:multiLevelType w:val="hybridMultilevel"/>
    <w:tmpl w:val="6F34C070"/>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34908C1"/>
    <w:multiLevelType w:val="hybridMultilevel"/>
    <w:tmpl w:val="95766908"/>
    <w:lvl w:ilvl="0" w:tplc="CE308DF8">
      <w:start w:val="1"/>
      <w:numFmt w:val="decimal"/>
      <w:lvlText w:val="%1)"/>
      <w:lvlJc w:val="left"/>
      <w:pPr>
        <w:ind w:left="720" w:hanging="360"/>
      </w:pPr>
      <w:rPr>
        <w:rFonts w:ascii="Arial" w:eastAsia="Times New Roman" w:hAnsi="Arial" w:cs="Times New Roman"/>
        <w:i w:val="0"/>
        <w:noProof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0A87BA7"/>
    <w:multiLevelType w:val="hybridMultilevel"/>
    <w:tmpl w:val="1F6A8AD4"/>
    <w:lvl w:ilvl="0" w:tplc="14B0F7A8">
      <w:start w:val="1"/>
      <w:numFmt w:val="bullet"/>
      <w:lvlText w:val=""/>
      <w:lvlJc w:val="left"/>
      <w:pPr>
        <w:ind w:left="340" w:hanging="227"/>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52217387"/>
    <w:multiLevelType w:val="hybridMultilevel"/>
    <w:tmpl w:val="C2AE185A"/>
    <w:lvl w:ilvl="0" w:tplc="14090011">
      <w:start w:val="1"/>
      <w:numFmt w:val="decimal"/>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56205803"/>
    <w:multiLevelType w:val="multilevel"/>
    <w:tmpl w:val="444C89D0"/>
    <w:lvl w:ilvl="0">
      <w:start w:val="1"/>
      <w:numFmt w:val="decimal"/>
      <w:suff w:val="space"/>
      <w:lvlText w:val="Chapter %1"/>
      <w:lvlJc w:val="left"/>
      <w:pPr>
        <w:ind w:left="0" w:firstLine="0"/>
      </w:pPr>
      <w:rPr>
        <w:rFonts w:hint="default"/>
      </w:rPr>
    </w:lvl>
    <w:lvl w:ilvl="1">
      <w:start w:val="1"/>
      <w:numFmt w:val="decimal"/>
      <w:suff w:val="space"/>
      <w:lvlText w:val="%2."/>
      <w:lvlJc w:val="left"/>
      <w:pPr>
        <w:ind w:left="0" w:firstLine="0"/>
      </w:pPr>
      <w:rPr>
        <w:rFonts w:hint="default"/>
      </w:rPr>
    </w:lvl>
    <w:lvl w:ilvl="2">
      <w:start w:val="1"/>
      <w:numFmt w:val="decimal"/>
      <w:suff w:val="space"/>
      <w:lvlText w:val="%2.%3."/>
      <w:lvlJc w:val="left"/>
      <w:pPr>
        <w:ind w:left="0" w:firstLine="0"/>
      </w:pPr>
      <w:rPr>
        <w:rFonts w:hint="default"/>
      </w:rPr>
    </w:lvl>
    <w:lvl w:ilvl="3">
      <w:start w:val="1"/>
      <w:numFmt w:val="decimal"/>
      <w:suff w:val="space"/>
      <w:lvlText w:val="%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3.%4.%5.%6.%7.%8.%9."/>
      <w:lvlJc w:val="left"/>
      <w:pPr>
        <w:ind w:left="0" w:firstLine="0"/>
      </w:pPr>
      <w:rPr>
        <w:rFonts w:hint="default"/>
      </w:rPr>
    </w:lvl>
  </w:abstractNum>
  <w:abstractNum w:abstractNumId="19" w15:restartNumberingAfterBreak="0">
    <w:nsid w:val="5AD311D0"/>
    <w:multiLevelType w:val="hybridMultilevel"/>
    <w:tmpl w:val="F198FF08"/>
    <w:lvl w:ilvl="0" w:tplc="62EA088C">
      <w:start w:val="1"/>
      <w:numFmt w:val="decimal"/>
      <w:pStyle w:val="CETnumbering1"/>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62015B5"/>
    <w:multiLevelType w:val="hybridMultilevel"/>
    <w:tmpl w:val="CCDE094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6865266D"/>
    <w:multiLevelType w:val="hybridMultilevel"/>
    <w:tmpl w:val="F5BE3C4A"/>
    <w:lvl w:ilvl="0" w:tplc="9FC4D28C">
      <w:start w:val="1"/>
      <w:numFmt w:val="lowerLetter"/>
      <w:pStyle w:val="CETnumberinga"/>
      <w:lvlText w:val="%1."/>
      <w:lvlJc w:val="left"/>
      <w:pPr>
        <w:ind w:left="340" w:hanging="227"/>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8"/>
  </w:num>
  <w:num w:numId="3">
    <w:abstractNumId w:val="3"/>
  </w:num>
  <w:num w:numId="4">
    <w:abstractNumId w:val="2"/>
  </w:num>
  <w:num w:numId="5">
    <w:abstractNumId w:val="1"/>
  </w:num>
  <w:num w:numId="6">
    <w:abstractNumId w:val="0"/>
  </w:num>
  <w:num w:numId="7">
    <w:abstractNumId w:val="9"/>
  </w:num>
  <w:num w:numId="8">
    <w:abstractNumId w:val="7"/>
  </w:num>
  <w:num w:numId="9">
    <w:abstractNumId w:val="6"/>
  </w:num>
  <w:num w:numId="10">
    <w:abstractNumId w:val="5"/>
  </w:num>
  <w:num w:numId="11">
    <w:abstractNumId w:val="4"/>
  </w:num>
  <w:num w:numId="12">
    <w:abstractNumId w:val="18"/>
  </w:num>
  <w:num w:numId="13">
    <w:abstractNumId w:val="12"/>
  </w:num>
  <w:num w:numId="14">
    <w:abstractNumId w:val="19"/>
  </w:num>
  <w:num w:numId="15">
    <w:abstractNumId w:val="21"/>
  </w:num>
  <w:num w:numId="16">
    <w:abstractNumId w:val="20"/>
  </w:num>
  <w:num w:numId="17">
    <w:abstractNumId w:val="11"/>
  </w:num>
  <w:num w:numId="18">
    <w:abstractNumId w:val="12"/>
    <w:lvlOverride w:ilvl="0">
      <w:startOverride w:val="1"/>
    </w:lvlOverride>
  </w:num>
  <w:num w:numId="19">
    <w:abstractNumId w:val="17"/>
  </w:num>
  <w:num w:numId="20">
    <w:abstractNumId w:val="16"/>
  </w:num>
  <w:num w:numId="21">
    <w:abstractNumId w:val="14"/>
  </w:num>
  <w:num w:numId="22">
    <w:abstractNumId w:val="1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enforcement="0"/>
  <w:autoFormatOverride/>
  <w:styleLockTheme/>
  <w:styleLockQFSet/>
  <w:defaultTabStop w:val="708"/>
  <w:hyphenationZone w:val="283"/>
  <w:clickAndTypeStyle w:val="CETBodytext"/>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TI0NzezsDA3M7MwMTJW0lEKTi0uzszPAykwNKkFAG6qifgtAAAA"/>
  </w:docVars>
  <w:rsids>
    <w:rsidRoot w:val="000E414A"/>
    <w:rsid w:val="000027C0"/>
    <w:rsid w:val="000052FB"/>
    <w:rsid w:val="00005A19"/>
    <w:rsid w:val="000117CB"/>
    <w:rsid w:val="000142B9"/>
    <w:rsid w:val="000219F1"/>
    <w:rsid w:val="0003148D"/>
    <w:rsid w:val="00031EEC"/>
    <w:rsid w:val="000459EA"/>
    <w:rsid w:val="00051566"/>
    <w:rsid w:val="00054288"/>
    <w:rsid w:val="000562A9"/>
    <w:rsid w:val="00061FA2"/>
    <w:rsid w:val="00062A9A"/>
    <w:rsid w:val="00065058"/>
    <w:rsid w:val="00066796"/>
    <w:rsid w:val="00071879"/>
    <w:rsid w:val="00076253"/>
    <w:rsid w:val="000822F5"/>
    <w:rsid w:val="00086C39"/>
    <w:rsid w:val="00087693"/>
    <w:rsid w:val="000A03B2"/>
    <w:rsid w:val="000A5281"/>
    <w:rsid w:val="000B6B1F"/>
    <w:rsid w:val="000B7C10"/>
    <w:rsid w:val="000D0268"/>
    <w:rsid w:val="000D2D00"/>
    <w:rsid w:val="000D34BE"/>
    <w:rsid w:val="000E102F"/>
    <w:rsid w:val="000E36F1"/>
    <w:rsid w:val="000E3A73"/>
    <w:rsid w:val="000E414A"/>
    <w:rsid w:val="000F093C"/>
    <w:rsid w:val="000F137B"/>
    <w:rsid w:val="000F787B"/>
    <w:rsid w:val="00100C0C"/>
    <w:rsid w:val="00100FA9"/>
    <w:rsid w:val="0012091F"/>
    <w:rsid w:val="00124376"/>
    <w:rsid w:val="00126BC2"/>
    <w:rsid w:val="001308B6"/>
    <w:rsid w:val="0013121F"/>
    <w:rsid w:val="00131FE6"/>
    <w:rsid w:val="0013263F"/>
    <w:rsid w:val="001331DF"/>
    <w:rsid w:val="001340A8"/>
    <w:rsid w:val="00134DE4"/>
    <w:rsid w:val="0014034D"/>
    <w:rsid w:val="00144D16"/>
    <w:rsid w:val="00147C61"/>
    <w:rsid w:val="00150E59"/>
    <w:rsid w:val="00152DE3"/>
    <w:rsid w:val="00154968"/>
    <w:rsid w:val="00156317"/>
    <w:rsid w:val="00157F74"/>
    <w:rsid w:val="00164AAE"/>
    <w:rsid w:val="00164CF9"/>
    <w:rsid w:val="001667A6"/>
    <w:rsid w:val="00166932"/>
    <w:rsid w:val="0016757A"/>
    <w:rsid w:val="00184AD6"/>
    <w:rsid w:val="001A4AF7"/>
    <w:rsid w:val="001B0349"/>
    <w:rsid w:val="001B1E93"/>
    <w:rsid w:val="001B65C1"/>
    <w:rsid w:val="001C684B"/>
    <w:rsid w:val="001D0CFB"/>
    <w:rsid w:val="001D21AF"/>
    <w:rsid w:val="001D53FC"/>
    <w:rsid w:val="001F096C"/>
    <w:rsid w:val="001F42A5"/>
    <w:rsid w:val="001F7B9D"/>
    <w:rsid w:val="00201C93"/>
    <w:rsid w:val="002208A7"/>
    <w:rsid w:val="002224B4"/>
    <w:rsid w:val="002447EF"/>
    <w:rsid w:val="00251550"/>
    <w:rsid w:val="00263B05"/>
    <w:rsid w:val="0027221A"/>
    <w:rsid w:val="002738C8"/>
    <w:rsid w:val="00275B61"/>
    <w:rsid w:val="00280FAF"/>
    <w:rsid w:val="00282656"/>
    <w:rsid w:val="0029358F"/>
    <w:rsid w:val="00296B83"/>
    <w:rsid w:val="002B14A3"/>
    <w:rsid w:val="002B4015"/>
    <w:rsid w:val="002B78CE"/>
    <w:rsid w:val="002C2ECD"/>
    <w:rsid w:val="002C2FB6"/>
    <w:rsid w:val="002C5F40"/>
    <w:rsid w:val="002D680A"/>
    <w:rsid w:val="002E5FA7"/>
    <w:rsid w:val="002F17D3"/>
    <w:rsid w:val="002F3309"/>
    <w:rsid w:val="003008CE"/>
    <w:rsid w:val="003009B7"/>
    <w:rsid w:val="00300E56"/>
    <w:rsid w:val="0030152C"/>
    <w:rsid w:val="00303ED7"/>
    <w:rsid w:val="003041B8"/>
    <w:rsid w:val="0030469C"/>
    <w:rsid w:val="00306CD9"/>
    <w:rsid w:val="00321CA6"/>
    <w:rsid w:val="00323763"/>
    <w:rsid w:val="00323C5F"/>
    <w:rsid w:val="00334C09"/>
    <w:rsid w:val="00363449"/>
    <w:rsid w:val="00367CCA"/>
    <w:rsid w:val="003723D4"/>
    <w:rsid w:val="00373F10"/>
    <w:rsid w:val="00381905"/>
    <w:rsid w:val="00384CC8"/>
    <w:rsid w:val="003871FD"/>
    <w:rsid w:val="003A1E30"/>
    <w:rsid w:val="003A2829"/>
    <w:rsid w:val="003A3CAA"/>
    <w:rsid w:val="003A7D1C"/>
    <w:rsid w:val="003B304B"/>
    <w:rsid w:val="003B3146"/>
    <w:rsid w:val="003C5570"/>
    <w:rsid w:val="003D132B"/>
    <w:rsid w:val="003D37C2"/>
    <w:rsid w:val="003F015E"/>
    <w:rsid w:val="00400414"/>
    <w:rsid w:val="00401A52"/>
    <w:rsid w:val="0041446B"/>
    <w:rsid w:val="0044071E"/>
    <w:rsid w:val="004411F0"/>
    <w:rsid w:val="0044329C"/>
    <w:rsid w:val="0044668E"/>
    <w:rsid w:val="00453E24"/>
    <w:rsid w:val="00457456"/>
    <w:rsid w:val="004577FE"/>
    <w:rsid w:val="00457B9C"/>
    <w:rsid w:val="0046164A"/>
    <w:rsid w:val="004623D3"/>
    <w:rsid w:val="004628D2"/>
    <w:rsid w:val="00462DCD"/>
    <w:rsid w:val="004635DB"/>
    <w:rsid w:val="004648AD"/>
    <w:rsid w:val="004703A9"/>
    <w:rsid w:val="004760DE"/>
    <w:rsid w:val="004763D7"/>
    <w:rsid w:val="004769D6"/>
    <w:rsid w:val="004A004E"/>
    <w:rsid w:val="004A24CF"/>
    <w:rsid w:val="004A3474"/>
    <w:rsid w:val="004B24B2"/>
    <w:rsid w:val="004B52C8"/>
    <w:rsid w:val="004C3D1D"/>
    <w:rsid w:val="004C3D84"/>
    <w:rsid w:val="004C7913"/>
    <w:rsid w:val="004E4DD6"/>
    <w:rsid w:val="004F5E36"/>
    <w:rsid w:val="00505255"/>
    <w:rsid w:val="00507B47"/>
    <w:rsid w:val="00507BEF"/>
    <w:rsid w:val="00507CC9"/>
    <w:rsid w:val="005119A5"/>
    <w:rsid w:val="005278B7"/>
    <w:rsid w:val="00532016"/>
    <w:rsid w:val="00533022"/>
    <w:rsid w:val="005346C8"/>
    <w:rsid w:val="00543E7D"/>
    <w:rsid w:val="00547A68"/>
    <w:rsid w:val="005531C9"/>
    <w:rsid w:val="00557E00"/>
    <w:rsid w:val="0056193A"/>
    <w:rsid w:val="00566724"/>
    <w:rsid w:val="00566B5B"/>
    <w:rsid w:val="00570C43"/>
    <w:rsid w:val="00582B05"/>
    <w:rsid w:val="00585C0D"/>
    <w:rsid w:val="00591A2B"/>
    <w:rsid w:val="005946A8"/>
    <w:rsid w:val="00594E8C"/>
    <w:rsid w:val="005B2110"/>
    <w:rsid w:val="005B54DA"/>
    <w:rsid w:val="005B61E6"/>
    <w:rsid w:val="005C77E1"/>
    <w:rsid w:val="005D1E4A"/>
    <w:rsid w:val="005D668A"/>
    <w:rsid w:val="005D6A2F"/>
    <w:rsid w:val="005E1A82"/>
    <w:rsid w:val="005E794C"/>
    <w:rsid w:val="005F0A28"/>
    <w:rsid w:val="005F0E5E"/>
    <w:rsid w:val="005F6F1B"/>
    <w:rsid w:val="005F769D"/>
    <w:rsid w:val="00600535"/>
    <w:rsid w:val="00610CD6"/>
    <w:rsid w:val="00620DEE"/>
    <w:rsid w:val="00621F92"/>
    <w:rsid w:val="0062280A"/>
    <w:rsid w:val="00623C7C"/>
    <w:rsid w:val="00623FC4"/>
    <w:rsid w:val="00625639"/>
    <w:rsid w:val="006315C0"/>
    <w:rsid w:val="00631B33"/>
    <w:rsid w:val="0064184D"/>
    <w:rsid w:val="006422CC"/>
    <w:rsid w:val="00660E3E"/>
    <w:rsid w:val="00661130"/>
    <w:rsid w:val="00662E74"/>
    <w:rsid w:val="00663B60"/>
    <w:rsid w:val="006659D3"/>
    <w:rsid w:val="00680C23"/>
    <w:rsid w:val="00693766"/>
    <w:rsid w:val="006A3281"/>
    <w:rsid w:val="006A5B84"/>
    <w:rsid w:val="006B2337"/>
    <w:rsid w:val="006B4888"/>
    <w:rsid w:val="006C2E45"/>
    <w:rsid w:val="006C359C"/>
    <w:rsid w:val="006C5579"/>
    <w:rsid w:val="006C58EE"/>
    <w:rsid w:val="006D6E8B"/>
    <w:rsid w:val="006E273B"/>
    <w:rsid w:val="006E737D"/>
    <w:rsid w:val="00707DD1"/>
    <w:rsid w:val="00713973"/>
    <w:rsid w:val="00715912"/>
    <w:rsid w:val="00720A24"/>
    <w:rsid w:val="00732386"/>
    <w:rsid w:val="0073514D"/>
    <w:rsid w:val="00743778"/>
    <w:rsid w:val="007447F3"/>
    <w:rsid w:val="0075499F"/>
    <w:rsid w:val="00763597"/>
    <w:rsid w:val="007661C8"/>
    <w:rsid w:val="0077098D"/>
    <w:rsid w:val="007931FA"/>
    <w:rsid w:val="007A04A2"/>
    <w:rsid w:val="007A4861"/>
    <w:rsid w:val="007A7BBA"/>
    <w:rsid w:val="007B0C50"/>
    <w:rsid w:val="007B48F9"/>
    <w:rsid w:val="007C1A43"/>
    <w:rsid w:val="007D0951"/>
    <w:rsid w:val="007E41E9"/>
    <w:rsid w:val="0080013E"/>
    <w:rsid w:val="00813288"/>
    <w:rsid w:val="008168FC"/>
    <w:rsid w:val="00824677"/>
    <w:rsid w:val="00830996"/>
    <w:rsid w:val="008345F1"/>
    <w:rsid w:val="00853D47"/>
    <w:rsid w:val="00855845"/>
    <w:rsid w:val="00865B07"/>
    <w:rsid w:val="008667EA"/>
    <w:rsid w:val="00874E75"/>
    <w:rsid w:val="0087637F"/>
    <w:rsid w:val="00892AD5"/>
    <w:rsid w:val="008A1512"/>
    <w:rsid w:val="008A230C"/>
    <w:rsid w:val="008B051E"/>
    <w:rsid w:val="008B5E25"/>
    <w:rsid w:val="008D32B9"/>
    <w:rsid w:val="008D433B"/>
    <w:rsid w:val="008D4A16"/>
    <w:rsid w:val="008E2660"/>
    <w:rsid w:val="008E566E"/>
    <w:rsid w:val="0090161A"/>
    <w:rsid w:val="00901EB6"/>
    <w:rsid w:val="00904C62"/>
    <w:rsid w:val="00906BCE"/>
    <w:rsid w:val="00911486"/>
    <w:rsid w:val="00913ED0"/>
    <w:rsid w:val="00914A83"/>
    <w:rsid w:val="00922BA8"/>
    <w:rsid w:val="00924DAC"/>
    <w:rsid w:val="00925785"/>
    <w:rsid w:val="00926709"/>
    <w:rsid w:val="00927058"/>
    <w:rsid w:val="00942750"/>
    <w:rsid w:val="009450CE"/>
    <w:rsid w:val="009459BB"/>
    <w:rsid w:val="00947179"/>
    <w:rsid w:val="009471B4"/>
    <w:rsid w:val="0095164B"/>
    <w:rsid w:val="00954090"/>
    <w:rsid w:val="009573E7"/>
    <w:rsid w:val="00963E05"/>
    <w:rsid w:val="00964A45"/>
    <w:rsid w:val="00967843"/>
    <w:rsid w:val="00967D54"/>
    <w:rsid w:val="00971028"/>
    <w:rsid w:val="00992729"/>
    <w:rsid w:val="00993B84"/>
    <w:rsid w:val="00996483"/>
    <w:rsid w:val="00996F5A"/>
    <w:rsid w:val="009A6034"/>
    <w:rsid w:val="009B041A"/>
    <w:rsid w:val="009B0F5A"/>
    <w:rsid w:val="009B1F5F"/>
    <w:rsid w:val="009C37C3"/>
    <w:rsid w:val="009C7C86"/>
    <w:rsid w:val="009D2FF7"/>
    <w:rsid w:val="009E0568"/>
    <w:rsid w:val="009E7884"/>
    <w:rsid w:val="009E788A"/>
    <w:rsid w:val="009F0E08"/>
    <w:rsid w:val="00A1763D"/>
    <w:rsid w:val="00A17CEC"/>
    <w:rsid w:val="00A2783A"/>
    <w:rsid w:val="00A27EF0"/>
    <w:rsid w:val="00A37E6A"/>
    <w:rsid w:val="00A42361"/>
    <w:rsid w:val="00A50B20"/>
    <w:rsid w:val="00A51390"/>
    <w:rsid w:val="00A514AF"/>
    <w:rsid w:val="00A55296"/>
    <w:rsid w:val="00A60D13"/>
    <w:rsid w:val="00A7223D"/>
    <w:rsid w:val="00A72745"/>
    <w:rsid w:val="00A76EFC"/>
    <w:rsid w:val="00A87D50"/>
    <w:rsid w:val="00A91010"/>
    <w:rsid w:val="00A950F6"/>
    <w:rsid w:val="00A97F29"/>
    <w:rsid w:val="00AA702E"/>
    <w:rsid w:val="00AA7D26"/>
    <w:rsid w:val="00AB0964"/>
    <w:rsid w:val="00AB5011"/>
    <w:rsid w:val="00AC0164"/>
    <w:rsid w:val="00AC7368"/>
    <w:rsid w:val="00AD16B9"/>
    <w:rsid w:val="00AD7AC8"/>
    <w:rsid w:val="00AE377D"/>
    <w:rsid w:val="00AF0EBA"/>
    <w:rsid w:val="00AF6651"/>
    <w:rsid w:val="00B02C8A"/>
    <w:rsid w:val="00B17FBD"/>
    <w:rsid w:val="00B315A6"/>
    <w:rsid w:val="00B31813"/>
    <w:rsid w:val="00B33365"/>
    <w:rsid w:val="00B37E2F"/>
    <w:rsid w:val="00B55EDB"/>
    <w:rsid w:val="00B57B36"/>
    <w:rsid w:val="00B57E6F"/>
    <w:rsid w:val="00B6402A"/>
    <w:rsid w:val="00B8686D"/>
    <w:rsid w:val="00B93F69"/>
    <w:rsid w:val="00BA34CE"/>
    <w:rsid w:val="00BB1DDC"/>
    <w:rsid w:val="00BC30C9"/>
    <w:rsid w:val="00BD077D"/>
    <w:rsid w:val="00BE3E58"/>
    <w:rsid w:val="00BF451E"/>
    <w:rsid w:val="00C01616"/>
    <w:rsid w:val="00C0162B"/>
    <w:rsid w:val="00C068ED"/>
    <w:rsid w:val="00C11A55"/>
    <w:rsid w:val="00C14133"/>
    <w:rsid w:val="00C22E0C"/>
    <w:rsid w:val="00C345B1"/>
    <w:rsid w:val="00C40142"/>
    <w:rsid w:val="00C52C3C"/>
    <w:rsid w:val="00C57182"/>
    <w:rsid w:val="00C57863"/>
    <w:rsid w:val="00C640AF"/>
    <w:rsid w:val="00C655FD"/>
    <w:rsid w:val="00C67986"/>
    <w:rsid w:val="00C75407"/>
    <w:rsid w:val="00C841C6"/>
    <w:rsid w:val="00C870A8"/>
    <w:rsid w:val="00C94434"/>
    <w:rsid w:val="00CA0D75"/>
    <w:rsid w:val="00CA1261"/>
    <w:rsid w:val="00CA1C95"/>
    <w:rsid w:val="00CA5A9C"/>
    <w:rsid w:val="00CC4C20"/>
    <w:rsid w:val="00CD15B1"/>
    <w:rsid w:val="00CD3517"/>
    <w:rsid w:val="00CD5FE2"/>
    <w:rsid w:val="00CE7C68"/>
    <w:rsid w:val="00D02B4C"/>
    <w:rsid w:val="00D040C4"/>
    <w:rsid w:val="00D20AD1"/>
    <w:rsid w:val="00D2582C"/>
    <w:rsid w:val="00D30DB4"/>
    <w:rsid w:val="00D30F93"/>
    <w:rsid w:val="00D4618D"/>
    <w:rsid w:val="00D46B7E"/>
    <w:rsid w:val="00D57AB4"/>
    <w:rsid w:val="00D57C84"/>
    <w:rsid w:val="00D6057D"/>
    <w:rsid w:val="00D71640"/>
    <w:rsid w:val="00D836C5"/>
    <w:rsid w:val="00D84576"/>
    <w:rsid w:val="00D8560D"/>
    <w:rsid w:val="00DA1399"/>
    <w:rsid w:val="00DA24C6"/>
    <w:rsid w:val="00DA4D7B"/>
    <w:rsid w:val="00DB2086"/>
    <w:rsid w:val="00DD271C"/>
    <w:rsid w:val="00DE264A"/>
    <w:rsid w:val="00DF5072"/>
    <w:rsid w:val="00E02D18"/>
    <w:rsid w:val="00E041E7"/>
    <w:rsid w:val="00E05C8F"/>
    <w:rsid w:val="00E162A5"/>
    <w:rsid w:val="00E23CA1"/>
    <w:rsid w:val="00E409A8"/>
    <w:rsid w:val="00E50C12"/>
    <w:rsid w:val="00E65B91"/>
    <w:rsid w:val="00E7209D"/>
    <w:rsid w:val="00E72EAD"/>
    <w:rsid w:val="00E77223"/>
    <w:rsid w:val="00E8528B"/>
    <w:rsid w:val="00E85B94"/>
    <w:rsid w:val="00E978D0"/>
    <w:rsid w:val="00EA4613"/>
    <w:rsid w:val="00EA7F91"/>
    <w:rsid w:val="00EB1523"/>
    <w:rsid w:val="00EC0E49"/>
    <w:rsid w:val="00EC101F"/>
    <w:rsid w:val="00EC11E7"/>
    <w:rsid w:val="00EC1D9F"/>
    <w:rsid w:val="00EC601E"/>
    <w:rsid w:val="00ED62A7"/>
    <w:rsid w:val="00EE0131"/>
    <w:rsid w:val="00EE17B0"/>
    <w:rsid w:val="00EF06D9"/>
    <w:rsid w:val="00EF0846"/>
    <w:rsid w:val="00F114E0"/>
    <w:rsid w:val="00F3049E"/>
    <w:rsid w:val="00F30C64"/>
    <w:rsid w:val="00F32BA2"/>
    <w:rsid w:val="00F32CDB"/>
    <w:rsid w:val="00F565FE"/>
    <w:rsid w:val="00F63A70"/>
    <w:rsid w:val="00F63D8C"/>
    <w:rsid w:val="00F7534E"/>
    <w:rsid w:val="00F76B12"/>
    <w:rsid w:val="00F93EDF"/>
    <w:rsid w:val="00FA1802"/>
    <w:rsid w:val="00FA21D0"/>
    <w:rsid w:val="00FA4632"/>
    <w:rsid w:val="00FA5F5F"/>
    <w:rsid w:val="00FB249A"/>
    <w:rsid w:val="00FB366E"/>
    <w:rsid w:val="00FB6015"/>
    <w:rsid w:val="00FB730C"/>
    <w:rsid w:val="00FC2695"/>
    <w:rsid w:val="00FC3E03"/>
    <w:rsid w:val="00FC3FC1"/>
    <w:rsid w:val="00FD78D0"/>
    <w:rsid w:val="00FF7CF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AE0CC22"/>
  <w14:defaultImageDpi w14:val="330"/>
  <w15:docId w15:val="{0B95FB59-9D38-42B5-B090-D2348EE1E9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aliases w:val="CET Top_page"/>
    <w:rsid w:val="00620DEE"/>
    <w:pPr>
      <w:tabs>
        <w:tab w:val="right" w:pos="7100"/>
      </w:tabs>
      <w:spacing w:after="0" w:line="264" w:lineRule="auto"/>
      <w:jc w:val="both"/>
    </w:pPr>
    <w:rPr>
      <w:rFonts w:ascii="Arial" w:eastAsia="Times New Roman" w:hAnsi="Arial" w:cs="Times New Roman"/>
      <w:sz w:val="18"/>
      <w:szCs w:val="20"/>
      <w:lang w:val="en-GB"/>
    </w:rPr>
  </w:style>
  <w:style w:type="paragraph" w:styleId="Titolo1">
    <w:name w:val="heading 1"/>
    <w:basedOn w:val="CETHeading1"/>
    <w:next w:val="Normale"/>
    <w:link w:val="Titolo1Carattere"/>
    <w:uiPriority w:val="9"/>
    <w:rsid w:val="004F5E36"/>
    <w:pPr>
      <w:tabs>
        <w:tab w:val="clear" w:pos="360"/>
        <w:tab w:val="right" w:pos="7100"/>
      </w:tabs>
      <w:jc w:val="both"/>
      <w:outlineLvl w:val="0"/>
    </w:pPr>
    <w:rPr>
      <w:lang w:val="en-GB"/>
    </w:rPr>
  </w:style>
  <w:style w:type="paragraph" w:styleId="Titolo2">
    <w:name w:val="heading 2"/>
    <w:basedOn w:val="Normale"/>
    <w:next w:val="Normale"/>
    <w:link w:val="Titolo2Carattere"/>
    <w:uiPriority w:val="9"/>
    <w:semiHidden/>
    <w:unhideWhenUsed/>
    <w:qFormat/>
    <w:rsid w:val="0003148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olo3">
    <w:name w:val="heading 3"/>
    <w:basedOn w:val="Normale"/>
    <w:next w:val="Normale"/>
    <w:link w:val="Titolo3Carattere"/>
    <w:uiPriority w:val="9"/>
    <w:semiHidden/>
    <w:unhideWhenUsed/>
    <w:qFormat/>
    <w:rsid w:val="0003148D"/>
    <w:pPr>
      <w:keepNext/>
      <w:keepLines/>
      <w:spacing w:before="200"/>
      <w:outlineLvl w:val="2"/>
    </w:pPr>
    <w:rPr>
      <w:rFonts w:asciiTheme="majorHAnsi" w:eastAsiaTheme="majorEastAsia" w:hAnsiTheme="majorHAnsi" w:cstheme="majorBidi"/>
      <w:b/>
      <w:bCs/>
      <w:color w:val="4F81BD" w:themeColor="accent1"/>
    </w:rPr>
  </w:style>
  <w:style w:type="paragraph" w:styleId="Titolo4">
    <w:name w:val="heading 4"/>
    <w:basedOn w:val="Normale"/>
    <w:next w:val="Normale"/>
    <w:link w:val="Titolo4Carattere"/>
    <w:uiPriority w:val="9"/>
    <w:semiHidden/>
    <w:unhideWhenUsed/>
    <w:qFormat/>
    <w:rsid w:val="0003148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semiHidden/>
    <w:unhideWhenUsed/>
    <w:qFormat/>
    <w:rsid w:val="0003148D"/>
    <w:pPr>
      <w:keepNext/>
      <w:keepLines/>
      <w:spacing w:before="200"/>
      <w:outlineLvl w:val="4"/>
    </w:pPr>
    <w:rPr>
      <w:rFonts w:asciiTheme="majorHAnsi" w:eastAsiaTheme="majorEastAsia" w:hAnsiTheme="majorHAnsi" w:cstheme="majorBidi"/>
      <w:color w:val="243F60" w:themeColor="accent1" w:themeShade="7F"/>
    </w:rPr>
  </w:style>
  <w:style w:type="paragraph" w:styleId="Titolo6">
    <w:name w:val="heading 6"/>
    <w:basedOn w:val="Normale"/>
    <w:next w:val="Normale"/>
    <w:link w:val="Titolo6Carattere"/>
    <w:uiPriority w:val="9"/>
    <w:semiHidden/>
    <w:unhideWhenUsed/>
    <w:qFormat/>
    <w:rsid w:val="0003148D"/>
    <w:pPr>
      <w:keepNext/>
      <w:keepLines/>
      <w:spacing w:before="200"/>
      <w:outlineLvl w:val="5"/>
    </w:pPr>
    <w:rPr>
      <w:rFonts w:asciiTheme="majorHAnsi" w:eastAsiaTheme="majorEastAsia" w:hAnsiTheme="majorHAnsi" w:cstheme="majorBidi"/>
      <w:i/>
      <w:iCs/>
      <w:color w:val="243F60" w:themeColor="accent1" w:themeShade="7F"/>
    </w:rPr>
  </w:style>
  <w:style w:type="paragraph" w:styleId="Titolo7">
    <w:name w:val="heading 7"/>
    <w:basedOn w:val="Normale"/>
    <w:next w:val="Normale"/>
    <w:link w:val="Titolo7Carattere"/>
    <w:uiPriority w:val="9"/>
    <w:semiHidden/>
    <w:unhideWhenUsed/>
    <w:qFormat/>
    <w:rsid w:val="0003148D"/>
    <w:pPr>
      <w:keepNext/>
      <w:keepLines/>
      <w:spacing w:before="200"/>
      <w:outlineLvl w:val="6"/>
    </w:pPr>
    <w:rPr>
      <w:rFonts w:asciiTheme="majorHAnsi" w:eastAsiaTheme="majorEastAsia" w:hAnsiTheme="majorHAnsi" w:cstheme="majorBidi"/>
      <w:i/>
      <w:iCs/>
      <w:color w:val="404040" w:themeColor="text1" w:themeTint="BF"/>
    </w:rPr>
  </w:style>
  <w:style w:type="paragraph" w:styleId="Titolo8">
    <w:name w:val="heading 8"/>
    <w:basedOn w:val="Normale"/>
    <w:next w:val="Normale"/>
    <w:link w:val="Titolo8Carattere"/>
    <w:uiPriority w:val="9"/>
    <w:semiHidden/>
    <w:unhideWhenUsed/>
    <w:qFormat/>
    <w:rsid w:val="0003148D"/>
    <w:pPr>
      <w:keepNext/>
      <w:keepLines/>
      <w:spacing w:before="200"/>
      <w:outlineLvl w:val="7"/>
    </w:pPr>
    <w:rPr>
      <w:rFonts w:asciiTheme="majorHAnsi" w:eastAsiaTheme="majorEastAsia" w:hAnsiTheme="majorHAnsi" w:cstheme="majorBidi"/>
      <w:color w:val="404040" w:themeColor="text1" w:themeTint="BF"/>
    </w:rPr>
  </w:style>
  <w:style w:type="paragraph" w:styleId="Titolo9">
    <w:name w:val="heading 9"/>
    <w:basedOn w:val="Normale"/>
    <w:next w:val="Normale"/>
    <w:link w:val="Titolo9Carattere"/>
    <w:uiPriority w:val="9"/>
    <w:semiHidden/>
    <w:unhideWhenUsed/>
    <w:qFormat/>
    <w:rsid w:val="0003148D"/>
    <w:pPr>
      <w:keepNext/>
      <w:keepLines/>
      <w:spacing w:before="200"/>
      <w:outlineLvl w:val="8"/>
    </w:pPr>
    <w:rPr>
      <w:rFonts w:asciiTheme="majorHAnsi" w:eastAsiaTheme="majorEastAsia" w:hAnsiTheme="majorHAnsi" w:cstheme="majorBidi"/>
      <w:i/>
      <w:iCs/>
      <w:color w:val="404040" w:themeColor="text1" w:themeTint="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CETAuthors">
    <w:name w:val="CET Authors"/>
    <w:basedOn w:val="CETBodytext"/>
    <w:link w:val="CETAuthorsCarattere"/>
    <w:qFormat/>
    <w:rsid w:val="000E414A"/>
    <w:pPr>
      <w:keepNext/>
      <w:suppressAutoHyphens/>
      <w:spacing w:after="120"/>
    </w:pPr>
    <w:rPr>
      <w:noProof/>
      <w:sz w:val="24"/>
      <w:lang w:val="en-GB"/>
    </w:rPr>
  </w:style>
  <w:style w:type="paragraph" w:customStyle="1" w:styleId="CETTitle">
    <w:name w:val="CET Title"/>
    <w:next w:val="CETAuthors"/>
    <w:link w:val="CETTitleCarattere"/>
    <w:rsid w:val="00FB730C"/>
    <w:pPr>
      <w:suppressAutoHyphens/>
      <w:spacing w:before="480" w:after="120" w:line="264" w:lineRule="auto"/>
      <w:jc w:val="center"/>
      <w:outlineLvl w:val="0"/>
    </w:pPr>
    <w:rPr>
      <w:rFonts w:ascii="Arial" w:eastAsia="Times New Roman" w:hAnsi="Arial" w:cs="Times New Roman"/>
      <w:sz w:val="32"/>
      <w:szCs w:val="20"/>
      <w:lang w:val="en-GB"/>
    </w:rPr>
  </w:style>
  <w:style w:type="character" w:customStyle="1" w:styleId="CETAuthorsCarattere">
    <w:name w:val="CET Authors Carattere"/>
    <w:link w:val="CETAuthors"/>
    <w:rsid w:val="009E788A"/>
    <w:rPr>
      <w:rFonts w:ascii="Arial" w:eastAsia="Times New Roman" w:hAnsi="Arial" w:cs="Times New Roman"/>
      <w:noProof/>
      <w:sz w:val="24"/>
      <w:szCs w:val="20"/>
      <w:lang w:val="en-GB"/>
    </w:rPr>
  </w:style>
  <w:style w:type="character" w:customStyle="1" w:styleId="CETTitleCarattere">
    <w:name w:val="CET Title Carattere"/>
    <w:link w:val="CETTitle"/>
    <w:rsid w:val="00FB730C"/>
    <w:rPr>
      <w:rFonts w:ascii="Arial" w:eastAsia="Times New Roman" w:hAnsi="Arial" w:cs="Times New Roman"/>
      <w:sz w:val="32"/>
      <w:szCs w:val="20"/>
      <w:lang w:val="en-GB"/>
    </w:rPr>
  </w:style>
  <w:style w:type="paragraph" w:customStyle="1" w:styleId="CETHeading1">
    <w:name w:val="CET Heading1"/>
    <w:next w:val="CETBodytext"/>
    <w:qFormat/>
    <w:rsid w:val="009E788A"/>
    <w:pPr>
      <w:keepNext/>
      <w:numPr>
        <w:ilvl w:val="1"/>
        <w:numId w:val="1"/>
      </w:numPr>
      <w:tabs>
        <w:tab w:val="num" w:pos="360"/>
      </w:tabs>
      <w:suppressAutoHyphens/>
      <w:spacing w:before="240" w:after="120" w:line="240" w:lineRule="auto"/>
    </w:pPr>
    <w:rPr>
      <w:rFonts w:ascii="Arial" w:eastAsia="Times New Roman" w:hAnsi="Arial" w:cs="Times New Roman"/>
      <w:b/>
      <w:sz w:val="20"/>
      <w:szCs w:val="20"/>
      <w:lang w:val="en-US"/>
    </w:rPr>
  </w:style>
  <w:style w:type="paragraph" w:customStyle="1" w:styleId="CETBodytext">
    <w:name w:val="CET Body text"/>
    <w:link w:val="CETBodytextCarattere"/>
    <w:qFormat/>
    <w:rsid w:val="000E414A"/>
    <w:pPr>
      <w:tabs>
        <w:tab w:val="right" w:pos="7100"/>
      </w:tabs>
      <w:spacing w:after="0" w:line="264" w:lineRule="auto"/>
      <w:jc w:val="both"/>
    </w:pPr>
    <w:rPr>
      <w:rFonts w:ascii="Arial" w:eastAsia="Times New Roman" w:hAnsi="Arial" w:cs="Times New Roman"/>
      <w:sz w:val="18"/>
      <w:szCs w:val="20"/>
      <w:lang w:val="en-US"/>
    </w:rPr>
  </w:style>
  <w:style w:type="paragraph" w:customStyle="1" w:styleId="CETheadingx">
    <w:name w:val="CET headingx"/>
    <w:next w:val="CETBodytext"/>
    <w:link w:val="CETheadingxCarattere"/>
    <w:autoRedefine/>
    <w:qFormat/>
    <w:rsid w:val="00FA5F5F"/>
    <w:pPr>
      <w:keepNext/>
      <w:numPr>
        <w:ilvl w:val="2"/>
        <w:numId w:val="1"/>
      </w:numPr>
      <w:suppressAutoHyphens/>
      <w:spacing w:before="120" w:after="120" w:line="240" w:lineRule="auto"/>
    </w:pPr>
    <w:rPr>
      <w:rFonts w:ascii="Arial" w:eastAsia="Times New Roman" w:hAnsi="Arial" w:cs="Times New Roman"/>
      <w:b/>
      <w:sz w:val="18"/>
      <w:szCs w:val="20"/>
      <w:lang w:val="en-US"/>
    </w:rPr>
  </w:style>
  <w:style w:type="paragraph" w:customStyle="1" w:styleId="CETAddress">
    <w:name w:val="CET Address"/>
    <w:link w:val="CETAddressCarattere"/>
    <w:qFormat/>
    <w:rsid w:val="009E788A"/>
    <w:pPr>
      <w:keepNext/>
      <w:suppressAutoHyphens/>
      <w:spacing w:after="0"/>
      <w:contextualSpacing/>
    </w:pPr>
    <w:rPr>
      <w:rFonts w:ascii="Arial" w:eastAsia="Times New Roman" w:hAnsi="Arial" w:cs="Times New Roman"/>
      <w:noProof/>
      <w:sz w:val="16"/>
      <w:szCs w:val="20"/>
      <w:lang w:val="en-GB"/>
    </w:rPr>
  </w:style>
  <w:style w:type="table" w:styleId="Tabellasemplice1">
    <w:name w:val="Table Simple 1"/>
    <w:basedOn w:val="Tabellanormale"/>
    <w:semiHidden/>
    <w:rsid w:val="000E414A"/>
    <w:pPr>
      <w:numPr>
        <w:ilvl w:val="3"/>
        <w:numId w:val="1"/>
      </w:numPr>
      <w:spacing w:after="0" w:line="264" w:lineRule="auto"/>
      <w:jc w:val="both"/>
    </w:pPr>
    <w:rPr>
      <w:rFonts w:ascii="Times New Roman" w:eastAsia="Times New Roman" w:hAnsi="Times New Roman" w:cs="Times New Roman"/>
      <w:sz w:val="20"/>
      <w:szCs w:val="20"/>
      <w:lang w:eastAsia="it-IT"/>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CETBodytextCarattere">
    <w:name w:val="CET Body text Carattere"/>
    <w:link w:val="CETBodytext"/>
    <w:rsid w:val="000E414A"/>
    <w:rPr>
      <w:rFonts w:ascii="Arial" w:eastAsia="Times New Roman" w:hAnsi="Arial" w:cs="Times New Roman"/>
      <w:sz w:val="18"/>
      <w:szCs w:val="20"/>
      <w:lang w:val="en-US"/>
    </w:rPr>
  </w:style>
  <w:style w:type="paragraph" w:customStyle="1" w:styleId="CETReference">
    <w:name w:val="CET Reference"/>
    <w:qFormat/>
    <w:rsid w:val="00FC2695"/>
    <w:pPr>
      <w:spacing w:before="200" w:after="120" w:line="240" w:lineRule="auto"/>
    </w:pPr>
    <w:rPr>
      <w:rFonts w:ascii="Arial" w:eastAsia="Times New Roman" w:hAnsi="Arial" w:cs="Times New Roman"/>
      <w:b/>
      <w:sz w:val="18"/>
      <w:szCs w:val="20"/>
      <w:lang w:val="en-GB"/>
    </w:rPr>
  </w:style>
  <w:style w:type="paragraph" w:customStyle="1" w:styleId="CETCaption">
    <w:name w:val="CET Caption"/>
    <w:link w:val="CETCaptionCarattere"/>
    <w:qFormat/>
    <w:rsid w:val="00F7534E"/>
    <w:pPr>
      <w:spacing w:before="240" w:after="240" w:line="264" w:lineRule="auto"/>
      <w:jc w:val="both"/>
    </w:pPr>
    <w:rPr>
      <w:rFonts w:ascii="Arial" w:eastAsia="Times New Roman" w:hAnsi="Arial" w:cs="Times New Roman"/>
      <w:i/>
      <w:sz w:val="18"/>
      <w:szCs w:val="20"/>
      <w:lang w:val="en-GB"/>
    </w:rPr>
  </w:style>
  <w:style w:type="character" w:customStyle="1" w:styleId="CETheadingxCarattere">
    <w:name w:val="CET headingx Carattere"/>
    <w:link w:val="CETheadingx"/>
    <w:rsid w:val="00FA5F5F"/>
    <w:rPr>
      <w:rFonts w:ascii="Arial" w:eastAsia="Times New Roman" w:hAnsi="Arial" w:cs="Times New Roman"/>
      <w:b/>
      <w:sz w:val="18"/>
      <w:szCs w:val="20"/>
      <w:lang w:val="en-US"/>
    </w:rPr>
  </w:style>
  <w:style w:type="character" w:customStyle="1" w:styleId="CETCaptionCarattere">
    <w:name w:val="CET Caption Carattere"/>
    <w:link w:val="CETCaption"/>
    <w:rsid w:val="00F7534E"/>
    <w:rPr>
      <w:rFonts w:ascii="Arial" w:eastAsia="Times New Roman" w:hAnsi="Arial" w:cs="Times New Roman"/>
      <w:i/>
      <w:sz w:val="18"/>
      <w:szCs w:val="20"/>
      <w:lang w:val="en-GB"/>
    </w:rPr>
  </w:style>
  <w:style w:type="paragraph" w:customStyle="1" w:styleId="CETBodytextItalic">
    <w:name w:val="CET Body text (Italic)"/>
    <w:basedOn w:val="CETBodytext"/>
    <w:qFormat/>
    <w:rsid w:val="004F5E36"/>
    <w:rPr>
      <w:i/>
      <w:lang w:val="en-GB"/>
    </w:rPr>
  </w:style>
  <w:style w:type="character" w:styleId="Rimandocommento">
    <w:name w:val="annotation reference"/>
    <w:basedOn w:val="Carpredefinitoparagrafo"/>
    <w:uiPriority w:val="99"/>
    <w:semiHidden/>
    <w:unhideWhenUsed/>
    <w:rsid w:val="004577FE"/>
    <w:rPr>
      <w:sz w:val="16"/>
      <w:szCs w:val="16"/>
    </w:rPr>
  </w:style>
  <w:style w:type="paragraph" w:styleId="Testofumetto">
    <w:name w:val="Balloon Text"/>
    <w:basedOn w:val="Normale"/>
    <w:link w:val="TestofumettoCarattere"/>
    <w:uiPriority w:val="99"/>
    <w:semiHidden/>
    <w:unhideWhenUsed/>
    <w:rsid w:val="000D34BE"/>
    <w:pPr>
      <w:spacing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D34BE"/>
    <w:rPr>
      <w:rFonts w:ascii="Tahoma" w:hAnsi="Tahoma" w:cs="Tahoma"/>
      <w:sz w:val="16"/>
      <w:szCs w:val="16"/>
    </w:rPr>
  </w:style>
  <w:style w:type="paragraph" w:styleId="Bibliografia">
    <w:name w:val="Bibliography"/>
    <w:basedOn w:val="CETReferencetext"/>
    <w:uiPriority w:val="37"/>
    <w:unhideWhenUsed/>
    <w:rsid w:val="00631B33"/>
    <w:pPr>
      <w:spacing w:line="240" w:lineRule="auto"/>
      <w:ind w:left="720" w:hanging="720"/>
    </w:pPr>
  </w:style>
  <w:style w:type="paragraph" w:styleId="Corpodeltesto2">
    <w:name w:val="Body Text 2"/>
    <w:basedOn w:val="Normale"/>
    <w:link w:val="Corpodeltesto2Carattere"/>
    <w:uiPriority w:val="99"/>
    <w:semiHidden/>
    <w:unhideWhenUsed/>
    <w:rsid w:val="0003148D"/>
    <w:pPr>
      <w:spacing w:after="120" w:line="480" w:lineRule="auto"/>
    </w:pPr>
  </w:style>
  <w:style w:type="character" w:customStyle="1" w:styleId="Corpodeltesto2Carattere">
    <w:name w:val="Corpo del testo 2 Carattere"/>
    <w:basedOn w:val="Carpredefinitoparagrafo"/>
    <w:link w:val="Corpodeltesto2"/>
    <w:uiPriority w:val="99"/>
    <w:semiHidden/>
    <w:rsid w:val="0003148D"/>
  </w:style>
  <w:style w:type="paragraph" w:styleId="Corpodeltesto3">
    <w:name w:val="Body Text 3"/>
    <w:basedOn w:val="Normale"/>
    <w:link w:val="Corpodeltesto3Carattere"/>
    <w:uiPriority w:val="99"/>
    <w:semiHidden/>
    <w:unhideWhenUsed/>
    <w:rsid w:val="0003148D"/>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03148D"/>
    <w:rPr>
      <w:sz w:val="16"/>
      <w:szCs w:val="16"/>
    </w:rPr>
  </w:style>
  <w:style w:type="paragraph" w:styleId="Corpotesto">
    <w:name w:val="Body Text"/>
    <w:basedOn w:val="Normale"/>
    <w:link w:val="CorpotestoCarattere"/>
    <w:uiPriority w:val="99"/>
    <w:semiHidden/>
    <w:unhideWhenUsed/>
    <w:rsid w:val="0003148D"/>
    <w:pPr>
      <w:spacing w:after="120"/>
    </w:pPr>
  </w:style>
  <w:style w:type="character" w:customStyle="1" w:styleId="CorpotestoCarattere">
    <w:name w:val="Corpo testo Carattere"/>
    <w:basedOn w:val="Carpredefinitoparagrafo"/>
    <w:link w:val="Corpotesto"/>
    <w:uiPriority w:val="99"/>
    <w:semiHidden/>
    <w:rsid w:val="0003148D"/>
  </w:style>
  <w:style w:type="paragraph" w:styleId="Data">
    <w:name w:val="Date"/>
    <w:basedOn w:val="Normale"/>
    <w:next w:val="Normale"/>
    <w:link w:val="DataCarattere"/>
    <w:uiPriority w:val="99"/>
    <w:semiHidden/>
    <w:unhideWhenUsed/>
    <w:rsid w:val="0003148D"/>
  </w:style>
  <w:style w:type="character" w:customStyle="1" w:styleId="DataCarattere">
    <w:name w:val="Data Carattere"/>
    <w:basedOn w:val="Carpredefinitoparagrafo"/>
    <w:link w:val="Data"/>
    <w:uiPriority w:val="99"/>
    <w:semiHidden/>
    <w:rsid w:val="0003148D"/>
  </w:style>
  <w:style w:type="paragraph" w:styleId="Didascalia">
    <w:name w:val="caption"/>
    <w:basedOn w:val="Normale"/>
    <w:next w:val="Normale"/>
    <w:uiPriority w:val="35"/>
    <w:unhideWhenUsed/>
    <w:qFormat/>
    <w:rsid w:val="0003148D"/>
    <w:pPr>
      <w:spacing w:line="240" w:lineRule="auto"/>
    </w:pPr>
    <w:rPr>
      <w:b/>
      <w:bCs/>
      <w:color w:val="4F81BD" w:themeColor="accent1"/>
      <w:szCs w:val="18"/>
    </w:rPr>
  </w:style>
  <w:style w:type="paragraph" w:styleId="Elenco">
    <w:name w:val="List"/>
    <w:basedOn w:val="Normale"/>
    <w:uiPriority w:val="99"/>
    <w:semiHidden/>
    <w:unhideWhenUsed/>
    <w:rsid w:val="0003148D"/>
    <w:pPr>
      <w:ind w:left="283" w:hanging="283"/>
      <w:contextualSpacing/>
    </w:pPr>
  </w:style>
  <w:style w:type="paragraph" w:styleId="Elenco2">
    <w:name w:val="List 2"/>
    <w:basedOn w:val="Normale"/>
    <w:uiPriority w:val="99"/>
    <w:semiHidden/>
    <w:unhideWhenUsed/>
    <w:rsid w:val="0003148D"/>
    <w:pPr>
      <w:ind w:left="566" w:hanging="283"/>
      <w:contextualSpacing/>
    </w:pPr>
  </w:style>
  <w:style w:type="paragraph" w:styleId="Elenco3">
    <w:name w:val="List 3"/>
    <w:basedOn w:val="Normale"/>
    <w:uiPriority w:val="99"/>
    <w:semiHidden/>
    <w:unhideWhenUsed/>
    <w:rsid w:val="0003148D"/>
    <w:pPr>
      <w:ind w:left="849" w:hanging="283"/>
      <w:contextualSpacing/>
    </w:pPr>
  </w:style>
  <w:style w:type="paragraph" w:styleId="Elenco4">
    <w:name w:val="List 4"/>
    <w:basedOn w:val="Normale"/>
    <w:uiPriority w:val="99"/>
    <w:semiHidden/>
    <w:unhideWhenUsed/>
    <w:rsid w:val="0003148D"/>
    <w:pPr>
      <w:ind w:left="1132" w:hanging="283"/>
      <w:contextualSpacing/>
    </w:pPr>
  </w:style>
  <w:style w:type="paragraph" w:styleId="Elenco5">
    <w:name w:val="List 5"/>
    <w:basedOn w:val="Normale"/>
    <w:uiPriority w:val="99"/>
    <w:semiHidden/>
    <w:unhideWhenUsed/>
    <w:rsid w:val="0003148D"/>
    <w:pPr>
      <w:ind w:left="1415" w:hanging="283"/>
      <w:contextualSpacing/>
    </w:pPr>
  </w:style>
  <w:style w:type="paragraph" w:styleId="Elencocontinua">
    <w:name w:val="List Continue"/>
    <w:basedOn w:val="Normale"/>
    <w:uiPriority w:val="99"/>
    <w:semiHidden/>
    <w:unhideWhenUsed/>
    <w:rsid w:val="0003148D"/>
    <w:pPr>
      <w:spacing w:after="120"/>
      <w:ind w:left="283"/>
      <w:contextualSpacing/>
    </w:pPr>
  </w:style>
  <w:style w:type="paragraph" w:styleId="Elencocontinua2">
    <w:name w:val="List Continue 2"/>
    <w:basedOn w:val="Normale"/>
    <w:uiPriority w:val="99"/>
    <w:semiHidden/>
    <w:unhideWhenUsed/>
    <w:rsid w:val="0003148D"/>
    <w:pPr>
      <w:spacing w:after="120"/>
      <w:ind w:left="566"/>
      <w:contextualSpacing/>
    </w:pPr>
  </w:style>
  <w:style w:type="paragraph" w:styleId="Elencocontinua3">
    <w:name w:val="List Continue 3"/>
    <w:basedOn w:val="Normale"/>
    <w:uiPriority w:val="99"/>
    <w:semiHidden/>
    <w:unhideWhenUsed/>
    <w:rsid w:val="0003148D"/>
    <w:pPr>
      <w:spacing w:after="120"/>
      <w:ind w:left="849"/>
      <w:contextualSpacing/>
    </w:pPr>
  </w:style>
  <w:style w:type="paragraph" w:styleId="Elencocontinua4">
    <w:name w:val="List Continue 4"/>
    <w:basedOn w:val="Normale"/>
    <w:uiPriority w:val="99"/>
    <w:semiHidden/>
    <w:unhideWhenUsed/>
    <w:rsid w:val="0003148D"/>
    <w:pPr>
      <w:spacing w:after="120"/>
      <w:ind w:left="1132"/>
      <w:contextualSpacing/>
    </w:pPr>
  </w:style>
  <w:style w:type="paragraph" w:styleId="Elencocontinua5">
    <w:name w:val="List Continue 5"/>
    <w:basedOn w:val="Normale"/>
    <w:uiPriority w:val="99"/>
    <w:semiHidden/>
    <w:unhideWhenUsed/>
    <w:rsid w:val="0003148D"/>
    <w:pPr>
      <w:spacing w:after="120"/>
      <w:ind w:left="1415"/>
      <w:contextualSpacing/>
    </w:pPr>
  </w:style>
  <w:style w:type="paragraph" w:styleId="Firma">
    <w:name w:val="Signature"/>
    <w:basedOn w:val="Normale"/>
    <w:link w:val="FirmaCarattere"/>
    <w:uiPriority w:val="99"/>
    <w:semiHidden/>
    <w:unhideWhenUsed/>
    <w:rsid w:val="0003148D"/>
    <w:pPr>
      <w:spacing w:line="240" w:lineRule="auto"/>
      <w:ind w:left="4252"/>
    </w:pPr>
  </w:style>
  <w:style w:type="character" w:customStyle="1" w:styleId="FirmaCarattere">
    <w:name w:val="Firma Carattere"/>
    <w:basedOn w:val="Carpredefinitoparagrafo"/>
    <w:link w:val="Firma"/>
    <w:uiPriority w:val="99"/>
    <w:semiHidden/>
    <w:rsid w:val="0003148D"/>
  </w:style>
  <w:style w:type="paragraph" w:styleId="Firmadipostaelettronica">
    <w:name w:val="E-mail Signature"/>
    <w:basedOn w:val="Normale"/>
    <w:link w:val="FirmadipostaelettronicaCarattere"/>
    <w:uiPriority w:val="99"/>
    <w:semiHidden/>
    <w:unhideWhenUsed/>
    <w:rsid w:val="0003148D"/>
    <w:pPr>
      <w:spacing w:line="240" w:lineRule="auto"/>
    </w:pPr>
  </w:style>
  <w:style w:type="character" w:customStyle="1" w:styleId="FirmadipostaelettronicaCarattere">
    <w:name w:val="Firma di posta elettronica Carattere"/>
    <w:basedOn w:val="Carpredefinitoparagrafo"/>
    <w:link w:val="Firmadipostaelettronica"/>
    <w:uiPriority w:val="99"/>
    <w:semiHidden/>
    <w:rsid w:val="0003148D"/>
  </w:style>
  <w:style w:type="paragraph" w:styleId="Formuladiapertura">
    <w:name w:val="Salutation"/>
    <w:basedOn w:val="Normale"/>
    <w:next w:val="Normale"/>
    <w:link w:val="FormuladiaperturaCarattere"/>
    <w:uiPriority w:val="99"/>
    <w:semiHidden/>
    <w:unhideWhenUsed/>
    <w:rsid w:val="0003148D"/>
  </w:style>
  <w:style w:type="character" w:customStyle="1" w:styleId="FormuladiaperturaCarattere">
    <w:name w:val="Formula di apertura Carattere"/>
    <w:basedOn w:val="Carpredefinitoparagrafo"/>
    <w:link w:val="Formuladiapertura"/>
    <w:uiPriority w:val="99"/>
    <w:semiHidden/>
    <w:rsid w:val="0003148D"/>
  </w:style>
  <w:style w:type="paragraph" w:styleId="Formuladichiusura">
    <w:name w:val="Closing"/>
    <w:basedOn w:val="Normale"/>
    <w:link w:val="FormuladichiusuraCarattere"/>
    <w:uiPriority w:val="99"/>
    <w:semiHidden/>
    <w:unhideWhenUsed/>
    <w:rsid w:val="0003148D"/>
    <w:pPr>
      <w:spacing w:line="240" w:lineRule="auto"/>
      <w:ind w:left="4252"/>
    </w:pPr>
  </w:style>
  <w:style w:type="character" w:customStyle="1" w:styleId="FormuladichiusuraCarattere">
    <w:name w:val="Formula di chiusura Carattere"/>
    <w:basedOn w:val="Carpredefinitoparagrafo"/>
    <w:link w:val="Formuladichiusura"/>
    <w:uiPriority w:val="99"/>
    <w:semiHidden/>
    <w:rsid w:val="0003148D"/>
  </w:style>
  <w:style w:type="paragraph" w:styleId="Indice1">
    <w:name w:val="index 1"/>
    <w:basedOn w:val="Normale"/>
    <w:next w:val="Normale"/>
    <w:autoRedefine/>
    <w:uiPriority w:val="99"/>
    <w:semiHidden/>
    <w:unhideWhenUsed/>
    <w:rsid w:val="0003148D"/>
    <w:pPr>
      <w:spacing w:line="240" w:lineRule="auto"/>
      <w:ind w:left="220" w:hanging="220"/>
    </w:pPr>
  </w:style>
  <w:style w:type="paragraph" w:styleId="Indice2">
    <w:name w:val="index 2"/>
    <w:basedOn w:val="Normale"/>
    <w:next w:val="Normale"/>
    <w:autoRedefine/>
    <w:uiPriority w:val="99"/>
    <w:semiHidden/>
    <w:unhideWhenUsed/>
    <w:rsid w:val="0003148D"/>
    <w:pPr>
      <w:spacing w:line="240" w:lineRule="auto"/>
      <w:ind w:left="440" w:hanging="220"/>
    </w:pPr>
  </w:style>
  <w:style w:type="paragraph" w:styleId="Indice3">
    <w:name w:val="index 3"/>
    <w:basedOn w:val="Normale"/>
    <w:next w:val="Normale"/>
    <w:autoRedefine/>
    <w:uiPriority w:val="99"/>
    <w:semiHidden/>
    <w:unhideWhenUsed/>
    <w:rsid w:val="0003148D"/>
    <w:pPr>
      <w:spacing w:line="240" w:lineRule="auto"/>
      <w:ind w:left="660" w:hanging="220"/>
    </w:pPr>
  </w:style>
  <w:style w:type="paragraph" w:styleId="Indice4">
    <w:name w:val="index 4"/>
    <w:basedOn w:val="Normale"/>
    <w:next w:val="Normale"/>
    <w:autoRedefine/>
    <w:uiPriority w:val="99"/>
    <w:semiHidden/>
    <w:unhideWhenUsed/>
    <w:rsid w:val="0003148D"/>
    <w:pPr>
      <w:spacing w:line="240" w:lineRule="auto"/>
      <w:ind w:left="880" w:hanging="220"/>
    </w:pPr>
  </w:style>
  <w:style w:type="paragraph" w:styleId="Indice5">
    <w:name w:val="index 5"/>
    <w:basedOn w:val="Normale"/>
    <w:next w:val="Normale"/>
    <w:autoRedefine/>
    <w:uiPriority w:val="99"/>
    <w:semiHidden/>
    <w:unhideWhenUsed/>
    <w:rsid w:val="0003148D"/>
    <w:pPr>
      <w:spacing w:line="240" w:lineRule="auto"/>
      <w:ind w:left="1100" w:hanging="220"/>
    </w:pPr>
  </w:style>
  <w:style w:type="paragraph" w:styleId="Indice6">
    <w:name w:val="index 6"/>
    <w:basedOn w:val="Normale"/>
    <w:next w:val="Normale"/>
    <w:autoRedefine/>
    <w:uiPriority w:val="99"/>
    <w:semiHidden/>
    <w:unhideWhenUsed/>
    <w:rsid w:val="0003148D"/>
    <w:pPr>
      <w:spacing w:line="240" w:lineRule="auto"/>
      <w:ind w:left="1320" w:hanging="220"/>
    </w:pPr>
  </w:style>
  <w:style w:type="paragraph" w:styleId="Indice7">
    <w:name w:val="index 7"/>
    <w:basedOn w:val="Normale"/>
    <w:next w:val="Normale"/>
    <w:autoRedefine/>
    <w:uiPriority w:val="99"/>
    <w:semiHidden/>
    <w:unhideWhenUsed/>
    <w:rsid w:val="0003148D"/>
    <w:pPr>
      <w:spacing w:line="240" w:lineRule="auto"/>
      <w:ind w:left="1540" w:hanging="220"/>
    </w:pPr>
  </w:style>
  <w:style w:type="paragraph" w:styleId="Indice8">
    <w:name w:val="index 8"/>
    <w:basedOn w:val="Normale"/>
    <w:next w:val="Normale"/>
    <w:autoRedefine/>
    <w:uiPriority w:val="99"/>
    <w:semiHidden/>
    <w:unhideWhenUsed/>
    <w:rsid w:val="0003148D"/>
    <w:pPr>
      <w:spacing w:line="240" w:lineRule="auto"/>
      <w:ind w:left="1760" w:hanging="220"/>
    </w:pPr>
  </w:style>
  <w:style w:type="paragraph" w:styleId="Indice9">
    <w:name w:val="index 9"/>
    <w:basedOn w:val="Normale"/>
    <w:next w:val="Normale"/>
    <w:autoRedefine/>
    <w:uiPriority w:val="99"/>
    <w:semiHidden/>
    <w:unhideWhenUsed/>
    <w:rsid w:val="0003148D"/>
    <w:pPr>
      <w:spacing w:line="240" w:lineRule="auto"/>
      <w:ind w:left="1980" w:hanging="220"/>
    </w:pPr>
  </w:style>
  <w:style w:type="paragraph" w:styleId="Indicedellefigure">
    <w:name w:val="table of figures"/>
    <w:basedOn w:val="Normale"/>
    <w:next w:val="Normale"/>
    <w:uiPriority w:val="99"/>
    <w:semiHidden/>
    <w:unhideWhenUsed/>
    <w:rsid w:val="0003148D"/>
  </w:style>
  <w:style w:type="paragraph" w:styleId="Indicefonti">
    <w:name w:val="table of authorities"/>
    <w:basedOn w:val="Normale"/>
    <w:next w:val="Normale"/>
    <w:uiPriority w:val="99"/>
    <w:semiHidden/>
    <w:unhideWhenUsed/>
    <w:rsid w:val="0003148D"/>
    <w:pPr>
      <w:ind w:left="220" w:hanging="220"/>
    </w:pPr>
  </w:style>
  <w:style w:type="paragraph" w:styleId="Indirizzodestinatario">
    <w:name w:val="envelope address"/>
    <w:basedOn w:val="Normale"/>
    <w:uiPriority w:val="99"/>
    <w:semiHidden/>
    <w:unhideWhenUsed/>
    <w:rsid w:val="0003148D"/>
    <w:pPr>
      <w:framePr w:w="7920" w:h="1980" w:hRule="exact" w:hSpace="180" w:wrap="auto" w:hAnchor="page" w:xAlign="center" w:yAlign="bottom"/>
      <w:spacing w:line="240" w:lineRule="auto"/>
      <w:ind w:left="2880"/>
    </w:pPr>
    <w:rPr>
      <w:rFonts w:asciiTheme="majorHAnsi" w:eastAsiaTheme="majorEastAsia" w:hAnsiTheme="majorHAnsi" w:cstheme="majorBidi"/>
      <w:sz w:val="24"/>
      <w:szCs w:val="24"/>
    </w:rPr>
  </w:style>
  <w:style w:type="paragraph" w:styleId="IndirizzoHTML">
    <w:name w:val="HTML Address"/>
    <w:basedOn w:val="Normale"/>
    <w:link w:val="IndirizzoHTMLCarattere"/>
    <w:uiPriority w:val="99"/>
    <w:semiHidden/>
    <w:unhideWhenUsed/>
    <w:rsid w:val="0003148D"/>
    <w:pPr>
      <w:spacing w:line="240" w:lineRule="auto"/>
    </w:pPr>
    <w:rPr>
      <w:i/>
      <w:iCs/>
    </w:rPr>
  </w:style>
  <w:style w:type="character" w:customStyle="1" w:styleId="IndirizzoHTMLCarattere">
    <w:name w:val="Indirizzo HTML Carattere"/>
    <w:basedOn w:val="Carpredefinitoparagrafo"/>
    <w:link w:val="IndirizzoHTML"/>
    <w:uiPriority w:val="99"/>
    <w:semiHidden/>
    <w:rsid w:val="0003148D"/>
    <w:rPr>
      <w:i/>
      <w:iCs/>
    </w:rPr>
  </w:style>
  <w:style w:type="paragraph" w:styleId="Indirizzomittente">
    <w:name w:val="envelope return"/>
    <w:basedOn w:val="Normale"/>
    <w:uiPriority w:val="99"/>
    <w:semiHidden/>
    <w:unhideWhenUsed/>
    <w:rsid w:val="0003148D"/>
    <w:pPr>
      <w:spacing w:line="240" w:lineRule="auto"/>
    </w:pPr>
    <w:rPr>
      <w:rFonts w:asciiTheme="majorHAnsi" w:eastAsiaTheme="majorEastAsia" w:hAnsiTheme="majorHAnsi" w:cstheme="majorBidi"/>
    </w:rPr>
  </w:style>
  <w:style w:type="paragraph" w:styleId="Intestazionemessaggio">
    <w:name w:val="Message Header"/>
    <w:basedOn w:val="Normale"/>
    <w:link w:val="IntestazionemessaggioCarattere"/>
    <w:uiPriority w:val="99"/>
    <w:semiHidden/>
    <w:unhideWhenUsed/>
    <w:rsid w:val="0003148D"/>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IntestazionemessaggioCarattere">
    <w:name w:val="Intestazione messaggio Carattere"/>
    <w:basedOn w:val="Carpredefinitoparagrafo"/>
    <w:link w:val="Intestazionemessaggio"/>
    <w:uiPriority w:val="99"/>
    <w:semiHidden/>
    <w:rsid w:val="0003148D"/>
    <w:rPr>
      <w:rFonts w:asciiTheme="majorHAnsi" w:eastAsiaTheme="majorEastAsia" w:hAnsiTheme="majorHAnsi" w:cstheme="majorBidi"/>
      <w:sz w:val="24"/>
      <w:szCs w:val="24"/>
      <w:shd w:val="pct20" w:color="auto" w:fill="auto"/>
    </w:rPr>
  </w:style>
  <w:style w:type="paragraph" w:styleId="Intestazionenota">
    <w:name w:val="Note Heading"/>
    <w:basedOn w:val="Normale"/>
    <w:next w:val="Normale"/>
    <w:link w:val="IntestazionenotaCarattere"/>
    <w:uiPriority w:val="99"/>
    <w:semiHidden/>
    <w:unhideWhenUsed/>
    <w:rsid w:val="0003148D"/>
    <w:pPr>
      <w:spacing w:line="240" w:lineRule="auto"/>
    </w:pPr>
  </w:style>
  <w:style w:type="character" w:customStyle="1" w:styleId="IntestazionenotaCarattere">
    <w:name w:val="Intestazione nota Carattere"/>
    <w:basedOn w:val="Carpredefinitoparagrafo"/>
    <w:link w:val="Intestazionenota"/>
    <w:uiPriority w:val="99"/>
    <w:semiHidden/>
    <w:rsid w:val="0003148D"/>
  </w:style>
  <w:style w:type="paragraph" w:styleId="Mappadocumento">
    <w:name w:val="Document Map"/>
    <w:basedOn w:val="Normale"/>
    <w:link w:val="MappadocumentoCarattere"/>
    <w:uiPriority w:val="99"/>
    <w:semiHidden/>
    <w:unhideWhenUsed/>
    <w:rsid w:val="0003148D"/>
    <w:pPr>
      <w:spacing w:line="240" w:lineRule="auto"/>
    </w:pPr>
    <w:rPr>
      <w:rFonts w:ascii="Tahoma" w:hAnsi="Tahoma" w:cs="Tahoma"/>
      <w:sz w:val="16"/>
      <w:szCs w:val="16"/>
    </w:rPr>
  </w:style>
  <w:style w:type="character" w:customStyle="1" w:styleId="MappadocumentoCarattere">
    <w:name w:val="Mappa documento Carattere"/>
    <w:basedOn w:val="Carpredefinitoparagrafo"/>
    <w:link w:val="Mappadocumento"/>
    <w:uiPriority w:val="99"/>
    <w:semiHidden/>
    <w:rsid w:val="0003148D"/>
    <w:rPr>
      <w:rFonts w:ascii="Tahoma" w:hAnsi="Tahoma" w:cs="Tahoma"/>
      <w:sz w:val="16"/>
      <w:szCs w:val="16"/>
    </w:rPr>
  </w:style>
  <w:style w:type="paragraph" w:styleId="NormaleWeb">
    <w:name w:val="Normal (Web)"/>
    <w:basedOn w:val="Normale"/>
    <w:uiPriority w:val="99"/>
    <w:semiHidden/>
    <w:unhideWhenUsed/>
    <w:rsid w:val="0003148D"/>
    <w:rPr>
      <w:sz w:val="24"/>
      <w:szCs w:val="24"/>
    </w:rPr>
  </w:style>
  <w:style w:type="paragraph" w:styleId="Numeroelenco">
    <w:name w:val="List Number"/>
    <w:basedOn w:val="Normale"/>
    <w:uiPriority w:val="99"/>
    <w:semiHidden/>
    <w:unhideWhenUsed/>
    <w:rsid w:val="0003148D"/>
    <w:pPr>
      <w:numPr>
        <w:numId w:val="2"/>
      </w:numPr>
      <w:contextualSpacing/>
    </w:pPr>
  </w:style>
  <w:style w:type="paragraph" w:styleId="Numeroelenco2">
    <w:name w:val="List Number 2"/>
    <w:basedOn w:val="Normale"/>
    <w:uiPriority w:val="99"/>
    <w:semiHidden/>
    <w:unhideWhenUsed/>
    <w:rsid w:val="0003148D"/>
    <w:pPr>
      <w:numPr>
        <w:numId w:val="3"/>
      </w:numPr>
      <w:contextualSpacing/>
    </w:pPr>
  </w:style>
  <w:style w:type="paragraph" w:styleId="Numeroelenco3">
    <w:name w:val="List Number 3"/>
    <w:basedOn w:val="Normale"/>
    <w:uiPriority w:val="99"/>
    <w:semiHidden/>
    <w:unhideWhenUsed/>
    <w:rsid w:val="0003148D"/>
    <w:pPr>
      <w:numPr>
        <w:numId w:val="4"/>
      </w:numPr>
      <w:contextualSpacing/>
    </w:pPr>
  </w:style>
  <w:style w:type="paragraph" w:styleId="Numeroelenco4">
    <w:name w:val="List Number 4"/>
    <w:basedOn w:val="Normale"/>
    <w:uiPriority w:val="99"/>
    <w:semiHidden/>
    <w:unhideWhenUsed/>
    <w:rsid w:val="0003148D"/>
    <w:pPr>
      <w:numPr>
        <w:numId w:val="5"/>
      </w:numPr>
      <w:contextualSpacing/>
    </w:pPr>
  </w:style>
  <w:style w:type="paragraph" w:styleId="Numeroelenco5">
    <w:name w:val="List Number 5"/>
    <w:basedOn w:val="Normale"/>
    <w:uiPriority w:val="99"/>
    <w:semiHidden/>
    <w:unhideWhenUsed/>
    <w:rsid w:val="0003148D"/>
    <w:pPr>
      <w:numPr>
        <w:numId w:val="6"/>
      </w:numPr>
      <w:contextualSpacing/>
    </w:pPr>
  </w:style>
  <w:style w:type="paragraph" w:styleId="PreformattatoHTML">
    <w:name w:val="HTML Preformatted"/>
    <w:basedOn w:val="Normale"/>
    <w:link w:val="PreformattatoHTMLCarattere"/>
    <w:uiPriority w:val="99"/>
    <w:semiHidden/>
    <w:unhideWhenUsed/>
    <w:rsid w:val="0003148D"/>
    <w:pPr>
      <w:spacing w:line="240" w:lineRule="auto"/>
    </w:pPr>
    <w:rPr>
      <w:rFonts w:ascii="Consolas" w:hAnsi="Consolas" w:cs="Consolas"/>
    </w:rPr>
  </w:style>
  <w:style w:type="character" w:customStyle="1" w:styleId="PreformattatoHTMLCarattere">
    <w:name w:val="Preformattato HTML Carattere"/>
    <w:basedOn w:val="Carpredefinitoparagrafo"/>
    <w:link w:val="PreformattatoHTML"/>
    <w:uiPriority w:val="99"/>
    <w:semiHidden/>
    <w:rsid w:val="0003148D"/>
    <w:rPr>
      <w:rFonts w:ascii="Consolas" w:hAnsi="Consolas" w:cs="Consolas"/>
      <w:sz w:val="20"/>
      <w:szCs w:val="20"/>
    </w:rPr>
  </w:style>
  <w:style w:type="paragraph" w:styleId="Primorientrocorpodeltesto">
    <w:name w:val="Body Text First Indent"/>
    <w:basedOn w:val="Corpotesto"/>
    <w:link w:val="PrimorientrocorpodeltestoCarattere"/>
    <w:uiPriority w:val="99"/>
    <w:semiHidden/>
    <w:unhideWhenUsed/>
    <w:rsid w:val="0003148D"/>
    <w:pPr>
      <w:spacing w:after="200"/>
      <w:ind w:firstLine="360"/>
    </w:pPr>
  </w:style>
  <w:style w:type="character" w:customStyle="1" w:styleId="PrimorientrocorpodeltestoCarattere">
    <w:name w:val="Primo rientro corpo del testo Carattere"/>
    <w:basedOn w:val="CorpotestoCarattere"/>
    <w:link w:val="Primorientrocorpodeltesto"/>
    <w:uiPriority w:val="99"/>
    <w:semiHidden/>
    <w:rsid w:val="0003148D"/>
  </w:style>
  <w:style w:type="paragraph" w:styleId="Rientrocorpodeltesto">
    <w:name w:val="Body Text Indent"/>
    <w:basedOn w:val="Normale"/>
    <w:link w:val="RientrocorpodeltestoCarattere"/>
    <w:uiPriority w:val="99"/>
    <w:semiHidden/>
    <w:unhideWhenUsed/>
    <w:rsid w:val="0003148D"/>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03148D"/>
  </w:style>
  <w:style w:type="paragraph" w:styleId="Primorientrocorpodeltesto2">
    <w:name w:val="Body Text First Indent 2"/>
    <w:basedOn w:val="Rientrocorpodeltesto"/>
    <w:link w:val="Primorientrocorpodeltesto2Carattere"/>
    <w:uiPriority w:val="99"/>
    <w:semiHidden/>
    <w:unhideWhenUsed/>
    <w:rsid w:val="0003148D"/>
    <w:pPr>
      <w:spacing w:after="200"/>
      <w:ind w:left="360" w:firstLine="360"/>
    </w:pPr>
  </w:style>
  <w:style w:type="character" w:customStyle="1" w:styleId="Primorientrocorpodeltesto2Carattere">
    <w:name w:val="Primo rientro corpo del testo 2 Carattere"/>
    <w:basedOn w:val="RientrocorpodeltestoCarattere"/>
    <w:link w:val="Primorientrocorpodeltesto2"/>
    <w:uiPriority w:val="99"/>
    <w:semiHidden/>
    <w:rsid w:val="0003148D"/>
  </w:style>
  <w:style w:type="paragraph" w:styleId="Puntoelenco">
    <w:name w:val="List Bullet"/>
    <w:basedOn w:val="Normale"/>
    <w:uiPriority w:val="99"/>
    <w:semiHidden/>
    <w:unhideWhenUsed/>
    <w:rsid w:val="0003148D"/>
    <w:pPr>
      <w:numPr>
        <w:numId w:val="7"/>
      </w:numPr>
      <w:contextualSpacing/>
    </w:pPr>
  </w:style>
  <w:style w:type="paragraph" w:styleId="Puntoelenco2">
    <w:name w:val="List Bullet 2"/>
    <w:basedOn w:val="Normale"/>
    <w:uiPriority w:val="99"/>
    <w:semiHidden/>
    <w:unhideWhenUsed/>
    <w:rsid w:val="0003148D"/>
    <w:pPr>
      <w:numPr>
        <w:numId w:val="8"/>
      </w:numPr>
      <w:contextualSpacing/>
    </w:pPr>
  </w:style>
  <w:style w:type="paragraph" w:styleId="Puntoelenco3">
    <w:name w:val="List Bullet 3"/>
    <w:basedOn w:val="Normale"/>
    <w:uiPriority w:val="99"/>
    <w:semiHidden/>
    <w:unhideWhenUsed/>
    <w:rsid w:val="0003148D"/>
    <w:pPr>
      <w:numPr>
        <w:numId w:val="9"/>
      </w:numPr>
      <w:contextualSpacing/>
    </w:pPr>
  </w:style>
  <w:style w:type="paragraph" w:styleId="Puntoelenco4">
    <w:name w:val="List Bullet 4"/>
    <w:basedOn w:val="Normale"/>
    <w:uiPriority w:val="99"/>
    <w:semiHidden/>
    <w:unhideWhenUsed/>
    <w:rsid w:val="0003148D"/>
    <w:pPr>
      <w:numPr>
        <w:numId w:val="10"/>
      </w:numPr>
      <w:contextualSpacing/>
    </w:pPr>
  </w:style>
  <w:style w:type="paragraph" w:styleId="Puntoelenco5">
    <w:name w:val="List Bullet 5"/>
    <w:basedOn w:val="Normale"/>
    <w:uiPriority w:val="99"/>
    <w:semiHidden/>
    <w:unhideWhenUsed/>
    <w:rsid w:val="0003148D"/>
    <w:pPr>
      <w:numPr>
        <w:numId w:val="11"/>
      </w:numPr>
      <w:contextualSpacing/>
    </w:pPr>
  </w:style>
  <w:style w:type="paragraph" w:styleId="Rientrocorpodeltesto2">
    <w:name w:val="Body Text Indent 2"/>
    <w:basedOn w:val="Normale"/>
    <w:link w:val="Rientrocorpodeltesto2Carattere"/>
    <w:uiPriority w:val="99"/>
    <w:semiHidden/>
    <w:unhideWhenUsed/>
    <w:rsid w:val="0003148D"/>
    <w:pPr>
      <w:spacing w:after="120" w:line="480" w:lineRule="auto"/>
      <w:ind w:left="283"/>
    </w:pPr>
  </w:style>
  <w:style w:type="character" w:customStyle="1" w:styleId="Rientrocorpodeltesto2Carattere">
    <w:name w:val="Rientro corpo del testo 2 Carattere"/>
    <w:basedOn w:val="Carpredefinitoparagrafo"/>
    <w:link w:val="Rientrocorpodeltesto2"/>
    <w:uiPriority w:val="99"/>
    <w:semiHidden/>
    <w:rsid w:val="0003148D"/>
  </w:style>
  <w:style w:type="paragraph" w:styleId="Rientrocorpodeltesto3">
    <w:name w:val="Body Text Indent 3"/>
    <w:basedOn w:val="Normale"/>
    <w:link w:val="Rientrocorpodeltesto3Carattere"/>
    <w:uiPriority w:val="99"/>
    <w:semiHidden/>
    <w:unhideWhenUsed/>
    <w:rsid w:val="0003148D"/>
    <w:pPr>
      <w:spacing w:after="120"/>
      <w:ind w:left="283"/>
    </w:pPr>
    <w:rPr>
      <w:sz w:val="16"/>
      <w:szCs w:val="16"/>
    </w:rPr>
  </w:style>
  <w:style w:type="character" w:customStyle="1" w:styleId="Rientrocorpodeltesto3Carattere">
    <w:name w:val="Rientro corpo del testo 3 Carattere"/>
    <w:basedOn w:val="Carpredefinitoparagrafo"/>
    <w:link w:val="Rientrocorpodeltesto3"/>
    <w:uiPriority w:val="99"/>
    <w:semiHidden/>
    <w:rsid w:val="0003148D"/>
    <w:rPr>
      <w:sz w:val="16"/>
      <w:szCs w:val="16"/>
    </w:rPr>
  </w:style>
  <w:style w:type="paragraph" w:styleId="Rientronormale">
    <w:name w:val="Normal Indent"/>
    <w:basedOn w:val="Normale"/>
    <w:uiPriority w:val="99"/>
    <w:semiHidden/>
    <w:unhideWhenUsed/>
    <w:rsid w:val="0003148D"/>
    <w:pPr>
      <w:ind w:left="720"/>
    </w:pPr>
  </w:style>
  <w:style w:type="paragraph" w:styleId="Testocommento">
    <w:name w:val="annotation text"/>
    <w:basedOn w:val="Normale"/>
    <w:link w:val="TestocommentoCarattere"/>
    <w:uiPriority w:val="99"/>
    <w:unhideWhenUsed/>
    <w:rsid w:val="0003148D"/>
    <w:pPr>
      <w:spacing w:line="240" w:lineRule="auto"/>
    </w:pPr>
  </w:style>
  <w:style w:type="character" w:customStyle="1" w:styleId="TestocommentoCarattere">
    <w:name w:val="Testo commento Carattere"/>
    <w:basedOn w:val="Carpredefinitoparagrafo"/>
    <w:link w:val="Testocommento"/>
    <w:uiPriority w:val="99"/>
    <w:rsid w:val="0003148D"/>
    <w:rPr>
      <w:sz w:val="20"/>
      <w:szCs w:val="20"/>
    </w:rPr>
  </w:style>
  <w:style w:type="paragraph" w:styleId="Soggettocommento">
    <w:name w:val="annotation subject"/>
    <w:basedOn w:val="Testocommento"/>
    <w:next w:val="Testocommento"/>
    <w:link w:val="SoggettocommentoCarattere"/>
    <w:uiPriority w:val="99"/>
    <w:semiHidden/>
    <w:unhideWhenUsed/>
    <w:rsid w:val="0003148D"/>
    <w:rPr>
      <w:b/>
      <w:bCs/>
    </w:rPr>
  </w:style>
  <w:style w:type="character" w:customStyle="1" w:styleId="SoggettocommentoCarattere">
    <w:name w:val="Soggetto commento Carattere"/>
    <w:basedOn w:val="TestocommentoCarattere"/>
    <w:link w:val="Soggettocommento"/>
    <w:uiPriority w:val="99"/>
    <w:semiHidden/>
    <w:rsid w:val="0003148D"/>
    <w:rPr>
      <w:b/>
      <w:bCs/>
      <w:sz w:val="20"/>
      <w:szCs w:val="20"/>
    </w:rPr>
  </w:style>
  <w:style w:type="paragraph" w:styleId="Sommario1">
    <w:name w:val="toc 1"/>
    <w:basedOn w:val="Normale"/>
    <w:next w:val="Normale"/>
    <w:autoRedefine/>
    <w:uiPriority w:val="39"/>
    <w:semiHidden/>
    <w:unhideWhenUsed/>
    <w:rsid w:val="0003148D"/>
    <w:pPr>
      <w:spacing w:after="100"/>
    </w:pPr>
  </w:style>
  <w:style w:type="paragraph" w:styleId="Sommario2">
    <w:name w:val="toc 2"/>
    <w:basedOn w:val="Normale"/>
    <w:next w:val="Normale"/>
    <w:autoRedefine/>
    <w:uiPriority w:val="39"/>
    <w:semiHidden/>
    <w:unhideWhenUsed/>
    <w:rsid w:val="0003148D"/>
    <w:pPr>
      <w:spacing w:after="100"/>
      <w:ind w:left="220"/>
    </w:pPr>
  </w:style>
  <w:style w:type="paragraph" w:styleId="Sommario3">
    <w:name w:val="toc 3"/>
    <w:basedOn w:val="Normale"/>
    <w:next w:val="Normale"/>
    <w:autoRedefine/>
    <w:uiPriority w:val="39"/>
    <w:semiHidden/>
    <w:unhideWhenUsed/>
    <w:rsid w:val="0003148D"/>
    <w:pPr>
      <w:spacing w:after="100"/>
      <w:ind w:left="440"/>
    </w:pPr>
  </w:style>
  <w:style w:type="paragraph" w:styleId="Sommario4">
    <w:name w:val="toc 4"/>
    <w:basedOn w:val="Normale"/>
    <w:next w:val="Normale"/>
    <w:autoRedefine/>
    <w:uiPriority w:val="39"/>
    <w:semiHidden/>
    <w:unhideWhenUsed/>
    <w:rsid w:val="0003148D"/>
    <w:pPr>
      <w:spacing w:after="100"/>
      <w:ind w:left="660"/>
    </w:pPr>
  </w:style>
  <w:style w:type="paragraph" w:styleId="Sommario5">
    <w:name w:val="toc 5"/>
    <w:basedOn w:val="Normale"/>
    <w:next w:val="Normale"/>
    <w:autoRedefine/>
    <w:uiPriority w:val="39"/>
    <w:semiHidden/>
    <w:unhideWhenUsed/>
    <w:rsid w:val="0003148D"/>
    <w:pPr>
      <w:spacing w:after="100"/>
      <w:ind w:left="880"/>
    </w:pPr>
  </w:style>
  <w:style w:type="paragraph" w:styleId="Sommario6">
    <w:name w:val="toc 6"/>
    <w:basedOn w:val="Normale"/>
    <w:next w:val="Normale"/>
    <w:autoRedefine/>
    <w:uiPriority w:val="39"/>
    <w:semiHidden/>
    <w:unhideWhenUsed/>
    <w:rsid w:val="0003148D"/>
    <w:pPr>
      <w:spacing w:after="100"/>
      <w:ind w:left="1100"/>
    </w:pPr>
  </w:style>
  <w:style w:type="paragraph" w:styleId="Sommario7">
    <w:name w:val="toc 7"/>
    <w:basedOn w:val="Normale"/>
    <w:next w:val="Normale"/>
    <w:autoRedefine/>
    <w:uiPriority w:val="39"/>
    <w:semiHidden/>
    <w:unhideWhenUsed/>
    <w:rsid w:val="0003148D"/>
    <w:pPr>
      <w:spacing w:after="100"/>
      <w:ind w:left="1320"/>
    </w:pPr>
  </w:style>
  <w:style w:type="paragraph" w:styleId="Sommario8">
    <w:name w:val="toc 8"/>
    <w:basedOn w:val="Normale"/>
    <w:next w:val="Normale"/>
    <w:autoRedefine/>
    <w:uiPriority w:val="39"/>
    <w:semiHidden/>
    <w:unhideWhenUsed/>
    <w:rsid w:val="0003148D"/>
    <w:pPr>
      <w:spacing w:after="100"/>
      <w:ind w:left="1540"/>
    </w:pPr>
  </w:style>
  <w:style w:type="paragraph" w:styleId="Sommario9">
    <w:name w:val="toc 9"/>
    <w:basedOn w:val="Normale"/>
    <w:next w:val="Normale"/>
    <w:autoRedefine/>
    <w:uiPriority w:val="39"/>
    <w:semiHidden/>
    <w:unhideWhenUsed/>
    <w:rsid w:val="0003148D"/>
    <w:pPr>
      <w:spacing w:after="100"/>
      <w:ind w:left="1760"/>
    </w:pPr>
  </w:style>
  <w:style w:type="paragraph" w:styleId="Testodelblocco">
    <w:name w:val="Block Text"/>
    <w:basedOn w:val="Normale"/>
    <w:uiPriority w:val="99"/>
    <w:semiHidden/>
    <w:unhideWhenUsed/>
    <w:rsid w:val="0003148D"/>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i/>
      <w:iCs/>
      <w:color w:val="4F81BD" w:themeColor="accent1"/>
    </w:rPr>
  </w:style>
  <w:style w:type="paragraph" w:styleId="Testomacro">
    <w:name w:val="macro"/>
    <w:link w:val="TestomacroCarattere"/>
    <w:uiPriority w:val="99"/>
    <w:semiHidden/>
    <w:unhideWhenUsed/>
    <w:rsid w:val="0003148D"/>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cs="Consolas"/>
      <w:sz w:val="20"/>
      <w:szCs w:val="20"/>
    </w:rPr>
  </w:style>
  <w:style w:type="character" w:customStyle="1" w:styleId="TestomacroCarattere">
    <w:name w:val="Testo macro Carattere"/>
    <w:basedOn w:val="Carpredefinitoparagrafo"/>
    <w:link w:val="Testomacro"/>
    <w:uiPriority w:val="99"/>
    <w:semiHidden/>
    <w:rsid w:val="0003148D"/>
    <w:rPr>
      <w:rFonts w:ascii="Consolas" w:hAnsi="Consolas" w:cs="Consolas"/>
      <w:sz w:val="20"/>
      <w:szCs w:val="20"/>
    </w:rPr>
  </w:style>
  <w:style w:type="paragraph" w:styleId="Testonormale">
    <w:name w:val="Plain Text"/>
    <w:basedOn w:val="Normale"/>
    <w:link w:val="TestonormaleCarattere"/>
    <w:uiPriority w:val="99"/>
    <w:semiHidden/>
    <w:unhideWhenUsed/>
    <w:rsid w:val="0003148D"/>
    <w:pPr>
      <w:spacing w:line="240" w:lineRule="auto"/>
    </w:pPr>
    <w:rPr>
      <w:rFonts w:ascii="Consolas" w:hAnsi="Consolas" w:cs="Consolas"/>
      <w:sz w:val="21"/>
      <w:szCs w:val="21"/>
    </w:rPr>
  </w:style>
  <w:style w:type="character" w:customStyle="1" w:styleId="TestonormaleCarattere">
    <w:name w:val="Testo normale Carattere"/>
    <w:basedOn w:val="Carpredefinitoparagrafo"/>
    <w:link w:val="Testonormale"/>
    <w:uiPriority w:val="99"/>
    <w:semiHidden/>
    <w:rsid w:val="0003148D"/>
    <w:rPr>
      <w:rFonts w:ascii="Consolas" w:hAnsi="Consolas" w:cs="Consolas"/>
      <w:sz w:val="21"/>
      <w:szCs w:val="21"/>
    </w:rPr>
  </w:style>
  <w:style w:type="paragraph" w:styleId="Testonotaapidipagina">
    <w:name w:val="footnote text"/>
    <w:basedOn w:val="Normale"/>
    <w:link w:val="TestonotaapidipaginaCarattere"/>
    <w:uiPriority w:val="99"/>
    <w:semiHidden/>
    <w:unhideWhenUsed/>
    <w:rsid w:val="0003148D"/>
    <w:pPr>
      <w:spacing w:line="240" w:lineRule="auto"/>
    </w:pPr>
  </w:style>
  <w:style w:type="character" w:customStyle="1" w:styleId="TestonotaapidipaginaCarattere">
    <w:name w:val="Testo nota a piè di pagina Carattere"/>
    <w:basedOn w:val="Carpredefinitoparagrafo"/>
    <w:link w:val="Testonotaapidipagina"/>
    <w:uiPriority w:val="99"/>
    <w:semiHidden/>
    <w:rsid w:val="0003148D"/>
    <w:rPr>
      <w:sz w:val="20"/>
      <w:szCs w:val="20"/>
    </w:rPr>
  </w:style>
  <w:style w:type="paragraph" w:styleId="Testonotadichiusura">
    <w:name w:val="endnote text"/>
    <w:basedOn w:val="Normale"/>
    <w:link w:val="TestonotadichiusuraCarattere"/>
    <w:uiPriority w:val="99"/>
    <w:semiHidden/>
    <w:unhideWhenUsed/>
    <w:rsid w:val="0003148D"/>
    <w:pPr>
      <w:spacing w:line="240" w:lineRule="auto"/>
    </w:pPr>
  </w:style>
  <w:style w:type="character" w:customStyle="1" w:styleId="TestonotadichiusuraCarattere">
    <w:name w:val="Testo nota di chiusura Carattere"/>
    <w:basedOn w:val="Carpredefinitoparagrafo"/>
    <w:link w:val="Testonotadichiusura"/>
    <w:uiPriority w:val="99"/>
    <w:semiHidden/>
    <w:rsid w:val="0003148D"/>
    <w:rPr>
      <w:sz w:val="20"/>
      <w:szCs w:val="20"/>
    </w:rPr>
  </w:style>
  <w:style w:type="character" w:customStyle="1" w:styleId="Titolo1Carattere">
    <w:name w:val="Titolo 1 Carattere"/>
    <w:basedOn w:val="Carpredefinitoparagrafo"/>
    <w:link w:val="Titolo1"/>
    <w:uiPriority w:val="9"/>
    <w:rsid w:val="004F5E36"/>
    <w:rPr>
      <w:rFonts w:ascii="Arial" w:eastAsia="Times New Roman" w:hAnsi="Arial" w:cs="Times New Roman"/>
      <w:b/>
      <w:sz w:val="20"/>
      <w:szCs w:val="20"/>
      <w:lang w:val="en-GB"/>
    </w:rPr>
  </w:style>
  <w:style w:type="character" w:customStyle="1" w:styleId="Titolo2Carattere">
    <w:name w:val="Titolo 2 Carattere"/>
    <w:basedOn w:val="Carpredefinitoparagrafo"/>
    <w:link w:val="Titolo2"/>
    <w:uiPriority w:val="9"/>
    <w:semiHidden/>
    <w:rsid w:val="0003148D"/>
    <w:rPr>
      <w:rFonts w:asciiTheme="majorHAnsi" w:eastAsiaTheme="majorEastAsia" w:hAnsiTheme="majorHAnsi" w:cstheme="majorBidi"/>
      <w:b/>
      <w:bCs/>
      <w:color w:val="4F81BD" w:themeColor="accent1"/>
      <w:sz w:val="26"/>
      <w:szCs w:val="26"/>
    </w:rPr>
  </w:style>
  <w:style w:type="character" w:customStyle="1" w:styleId="Titolo3Carattere">
    <w:name w:val="Titolo 3 Carattere"/>
    <w:basedOn w:val="Carpredefinitoparagrafo"/>
    <w:link w:val="Titolo3"/>
    <w:uiPriority w:val="9"/>
    <w:semiHidden/>
    <w:rsid w:val="0003148D"/>
    <w:rPr>
      <w:rFonts w:asciiTheme="majorHAnsi" w:eastAsiaTheme="majorEastAsia" w:hAnsiTheme="majorHAnsi" w:cstheme="majorBidi"/>
      <w:b/>
      <w:bCs/>
      <w:color w:val="4F81BD" w:themeColor="accent1"/>
    </w:rPr>
  </w:style>
  <w:style w:type="character" w:customStyle="1" w:styleId="Titolo4Carattere">
    <w:name w:val="Titolo 4 Carattere"/>
    <w:basedOn w:val="Carpredefinitoparagrafo"/>
    <w:link w:val="Titolo4"/>
    <w:uiPriority w:val="9"/>
    <w:semiHidden/>
    <w:rsid w:val="0003148D"/>
    <w:rPr>
      <w:rFonts w:asciiTheme="majorHAnsi" w:eastAsiaTheme="majorEastAsia" w:hAnsiTheme="majorHAnsi" w:cstheme="majorBidi"/>
      <w:b/>
      <w:bCs/>
      <w:i/>
      <w:iCs/>
      <w:color w:val="4F81BD" w:themeColor="accent1"/>
    </w:rPr>
  </w:style>
  <w:style w:type="character" w:customStyle="1" w:styleId="Titolo5Carattere">
    <w:name w:val="Titolo 5 Carattere"/>
    <w:basedOn w:val="Carpredefinitoparagrafo"/>
    <w:link w:val="Titolo5"/>
    <w:uiPriority w:val="9"/>
    <w:semiHidden/>
    <w:rsid w:val="0003148D"/>
    <w:rPr>
      <w:rFonts w:asciiTheme="majorHAnsi" w:eastAsiaTheme="majorEastAsia" w:hAnsiTheme="majorHAnsi" w:cstheme="majorBidi"/>
      <w:color w:val="243F60" w:themeColor="accent1" w:themeShade="7F"/>
    </w:rPr>
  </w:style>
  <w:style w:type="character" w:customStyle="1" w:styleId="Titolo6Carattere">
    <w:name w:val="Titolo 6 Carattere"/>
    <w:basedOn w:val="Carpredefinitoparagrafo"/>
    <w:link w:val="Titolo6"/>
    <w:uiPriority w:val="9"/>
    <w:semiHidden/>
    <w:rsid w:val="0003148D"/>
    <w:rPr>
      <w:rFonts w:asciiTheme="majorHAnsi" w:eastAsiaTheme="majorEastAsia" w:hAnsiTheme="majorHAnsi" w:cstheme="majorBidi"/>
      <w:i/>
      <w:iCs/>
      <w:color w:val="243F60" w:themeColor="accent1" w:themeShade="7F"/>
    </w:rPr>
  </w:style>
  <w:style w:type="character" w:customStyle="1" w:styleId="Titolo7Carattere">
    <w:name w:val="Titolo 7 Carattere"/>
    <w:basedOn w:val="Carpredefinitoparagrafo"/>
    <w:link w:val="Titolo7"/>
    <w:uiPriority w:val="9"/>
    <w:semiHidden/>
    <w:rsid w:val="0003148D"/>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uiPriority w:val="9"/>
    <w:semiHidden/>
    <w:rsid w:val="0003148D"/>
    <w:rPr>
      <w:rFonts w:asciiTheme="majorHAnsi" w:eastAsiaTheme="majorEastAsia" w:hAnsiTheme="majorHAnsi" w:cstheme="majorBidi"/>
      <w:color w:val="404040" w:themeColor="text1" w:themeTint="BF"/>
      <w:sz w:val="20"/>
      <w:szCs w:val="20"/>
    </w:rPr>
  </w:style>
  <w:style w:type="character" w:customStyle="1" w:styleId="Titolo9Carattere">
    <w:name w:val="Titolo 9 Carattere"/>
    <w:basedOn w:val="Carpredefinitoparagrafo"/>
    <w:link w:val="Titolo9"/>
    <w:uiPriority w:val="9"/>
    <w:semiHidden/>
    <w:rsid w:val="0003148D"/>
    <w:rPr>
      <w:rFonts w:asciiTheme="majorHAnsi" w:eastAsiaTheme="majorEastAsia" w:hAnsiTheme="majorHAnsi" w:cstheme="majorBidi"/>
      <w:i/>
      <w:iCs/>
      <w:color w:val="404040" w:themeColor="text1" w:themeTint="BF"/>
      <w:sz w:val="20"/>
      <w:szCs w:val="20"/>
    </w:rPr>
  </w:style>
  <w:style w:type="paragraph" w:styleId="Titoloindice">
    <w:name w:val="index heading"/>
    <w:basedOn w:val="Normale"/>
    <w:next w:val="Indice1"/>
    <w:uiPriority w:val="99"/>
    <w:semiHidden/>
    <w:unhideWhenUsed/>
    <w:rsid w:val="0003148D"/>
    <w:rPr>
      <w:rFonts w:asciiTheme="majorHAnsi" w:eastAsiaTheme="majorEastAsia" w:hAnsiTheme="majorHAnsi" w:cstheme="majorBidi"/>
      <w:b/>
      <w:bCs/>
    </w:rPr>
  </w:style>
  <w:style w:type="paragraph" w:styleId="Titoloindicefonti">
    <w:name w:val="toa heading"/>
    <w:basedOn w:val="Normale"/>
    <w:next w:val="Normale"/>
    <w:uiPriority w:val="99"/>
    <w:semiHidden/>
    <w:unhideWhenUsed/>
    <w:rsid w:val="0003148D"/>
    <w:pPr>
      <w:spacing w:before="120"/>
    </w:pPr>
    <w:rPr>
      <w:rFonts w:asciiTheme="majorHAnsi" w:eastAsiaTheme="majorEastAsia" w:hAnsiTheme="majorHAnsi" w:cstheme="majorBidi"/>
      <w:b/>
      <w:bCs/>
      <w:sz w:val="24"/>
      <w:szCs w:val="24"/>
    </w:rPr>
  </w:style>
  <w:style w:type="paragraph" w:styleId="Titolosommario">
    <w:name w:val="TOC Heading"/>
    <w:basedOn w:val="Titolo1"/>
    <w:next w:val="Normale"/>
    <w:uiPriority w:val="39"/>
    <w:semiHidden/>
    <w:unhideWhenUsed/>
    <w:qFormat/>
    <w:rsid w:val="0003148D"/>
    <w:pPr>
      <w:outlineLvl w:val="9"/>
    </w:pPr>
  </w:style>
  <w:style w:type="paragraph" w:customStyle="1" w:styleId="CETemail">
    <w:name w:val="CET email"/>
    <w:next w:val="CETBodytext"/>
    <w:rsid w:val="009E788A"/>
    <w:pPr>
      <w:spacing w:after="240"/>
    </w:pPr>
    <w:rPr>
      <w:rFonts w:ascii="Arial" w:eastAsia="Times New Roman" w:hAnsi="Arial" w:cs="Times New Roman"/>
      <w:noProof/>
      <w:sz w:val="16"/>
      <w:szCs w:val="20"/>
      <w:lang w:val="en-GB"/>
    </w:rPr>
  </w:style>
  <w:style w:type="character" w:customStyle="1" w:styleId="CETAddressCarattere">
    <w:name w:val="CET Address Carattere"/>
    <w:basedOn w:val="Carpredefinitoparagrafo"/>
    <w:link w:val="CETAddress"/>
    <w:rsid w:val="009E788A"/>
    <w:rPr>
      <w:rFonts w:ascii="Arial" w:eastAsia="Times New Roman" w:hAnsi="Arial" w:cs="Times New Roman"/>
      <w:noProof/>
      <w:sz w:val="16"/>
      <w:szCs w:val="20"/>
      <w:lang w:val="en-GB"/>
    </w:rPr>
  </w:style>
  <w:style w:type="paragraph" w:customStyle="1" w:styleId="CETBodytextBold">
    <w:name w:val="CET Body text (Bold)"/>
    <w:basedOn w:val="CETBodytext"/>
    <w:rsid w:val="00901EB6"/>
    <w:rPr>
      <w:b/>
    </w:rPr>
  </w:style>
  <w:style w:type="paragraph" w:customStyle="1" w:styleId="CETnumberingbullets">
    <w:name w:val="CET numbering (bullets)"/>
    <w:rsid w:val="008D433B"/>
    <w:pPr>
      <w:numPr>
        <w:numId w:val="13"/>
      </w:numPr>
      <w:spacing w:after="0" w:line="264" w:lineRule="auto"/>
    </w:pPr>
    <w:rPr>
      <w:rFonts w:ascii="Arial" w:eastAsia="Times New Roman" w:hAnsi="Arial" w:cs="Times New Roman"/>
      <w:sz w:val="18"/>
      <w:szCs w:val="20"/>
      <w:lang w:val="en-GB"/>
    </w:rPr>
  </w:style>
  <w:style w:type="paragraph" w:customStyle="1" w:styleId="CETnumbering1">
    <w:name w:val="CET numbering (1"/>
    <w:aliases w:val="2..)"/>
    <w:rsid w:val="00B57B36"/>
    <w:pPr>
      <w:numPr>
        <w:numId w:val="14"/>
      </w:numPr>
      <w:spacing w:after="0" w:line="264" w:lineRule="auto"/>
      <w:ind w:left="340" w:hanging="227"/>
    </w:pPr>
    <w:rPr>
      <w:rFonts w:ascii="Arial" w:eastAsia="Times New Roman" w:hAnsi="Arial" w:cs="Times New Roman"/>
      <w:sz w:val="18"/>
      <w:szCs w:val="20"/>
      <w:lang w:val="en-US"/>
    </w:rPr>
  </w:style>
  <w:style w:type="paragraph" w:customStyle="1" w:styleId="CETnumberinga">
    <w:name w:val="CET numbering (a"/>
    <w:aliases w:val="b,..)"/>
    <w:rsid w:val="00B57B36"/>
    <w:pPr>
      <w:numPr>
        <w:numId w:val="15"/>
      </w:numPr>
      <w:spacing w:after="0" w:line="264" w:lineRule="auto"/>
    </w:pPr>
    <w:rPr>
      <w:rFonts w:ascii="Arial" w:eastAsia="Times New Roman" w:hAnsi="Arial" w:cs="Times New Roman"/>
      <w:sz w:val="18"/>
      <w:szCs w:val="20"/>
      <w:lang w:val="en-GB"/>
    </w:rPr>
  </w:style>
  <w:style w:type="paragraph" w:styleId="Intestazione">
    <w:name w:val="header"/>
    <w:basedOn w:val="Normale"/>
    <w:link w:val="IntestazioneCarattere"/>
    <w:uiPriority w:val="99"/>
    <w:unhideWhenUsed/>
    <w:rsid w:val="005278B7"/>
    <w:pPr>
      <w:tabs>
        <w:tab w:val="clear" w:pos="7100"/>
        <w:tab w:val="center" w:pos="4819"/>
        <w:tab w:val="right" w:pos="9638"/>
      </w:tabs>
      <w:spacing w:line="240" w:lineRule="auto"/>
    </w:pPr>
  </w:style>
  <w:style w:type="character" w:customStyle="1" w:styleId="IntestazioneCarattere">
    <w:name w:val="Intestazione Carattere"/>
    <w:basedOn w:val="Carpredefinitoparagrafo"/>
    <w:link w:val="Intestazione"/>
    <w:uiPriority w:val="99"/>
    <w:rsid w:val="005278B7"/>
    <w:rPr>
      <w:rFonts w:ascii="Arial" w:eastAsia="Times New Roman" w:hAnsi="Arial" w:cs="Times New Roman"/>
      <w:sz w:val="18"/>
      <w:szCs w:val="20"/>
      <w:lang w:val="en-GB"/>
    </w:rPr>
  </w:style>
  <w:style w:type="paragraph" w:styleId="Pidipagina">
    <w:name w:val="footer"/>
    <w:basedOn w:val="Normale"/>
    <w:link w:val="PidipaginaCarattere"/>
    <w:uiPriority w:val="99"/>
    <w:unhideWhenUsed/>
    <w:rsid w:val="005278B7"/>
    <w:pPr>
      <w:tabs>
        <w:tab w:val="clear" w:pos="7100"/>
        <w:tab w:val="center" w:pos="4819"/>
        <w:tab w:val="right" w:pos="9638"/>
      </w:tabs>
      <w:spacing w:line="240" w:lineRule="auto"/>
    </w:pPr>
  </w:style>
  <w:style w:type="character" w:customStyle="1" w:styleId="PidipaginaCarattere">
    <w:name w:val="Piè di pagina Carattere"/>
    <w:basedOn w:val="Carpredefinitoparagrafo"/>
    <w:link w:val="Pidipagina"/>
    <w:uiPriority w:val="99"/>
    <w:rsid w:val="005278B7"/>
    <w:rPr>
      <w:rFonts w:ascii="Arial" w:eastAsia="Times New Roman" w:hAnsi="Arial" w:cs="Times New Roman"/>
      <w:sz w:val="18"/>
      <w:szCs w:val="20"/>
      <w:lang w:val="en-GB"/>
    </w:rPr>
  </w:style>
  <w:style w:type="table" w:styleId="Grigliatabella">
    <w:name w:val="Table Grid"/>
    <w:basedOn w:val="Tabellanormale"/>
    <w:uiPriority w:val="59"/>
    <w:rsid w:val="00660E3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904C62"/>
    <w:rPr>
      <w:color w:val="0000FF" w:themeColor="hyperlink"/>
      <w:u w:val="single"/>
    </w:rPr>
  </w:style>
  <w:style w:type="character" w:customStyle="1" w:styleId="eudoraheader">
    <w:name w:val="eudoraheader"/>
    <w:basedOn w:val="Carpredefinitoparagrafo"/>
    <w:rsid w:val="00904C62"/>
  </w:style>
  <w:style w:type="paragraph" w:customStyle="1" w:styleId="CETListbullets">
    <w:name w:val="CET List bullets"/>
    <w:qFormat/>
    <w:rsid w:val="004577FE"/>
    <w:pPr>
      <w:spacing w:after="0" w:line="264" w:lineRule="auto"/>
      <w:ind w:left="340" w:hanging="227"/>
      <w:jc w:val="both"/>
    </w:pPr>
    <w:rPr>
      <w:rFonts w:ascii="Arial" w:eastAsia="Times New Roman" w:hAnsi="Arial" w:cs="Times New Roman"/>
      <w:sz w:val="18"/>
      <w:szCs w:val="20"/>
      <w:lang w:val="en-GB"/>
    </w:rPr>
  </w:style>
  <w:style w:type="paragraph" w:customStyle="1" w:styleId="CETReferencetext">
    <w:name w:val="CET Reference text"/>
    <w:qFormat/>
    <w:rsid w:val="00600535"/>
    <w:pPr>
      <w:spacing w:after="0" w:line="264" w:lineRule="auto"/>
      <w:ind w:left="284" w:hanging="284"/>
      <w:jc w:val="both"/>
    </w:pPr>
    <w:rPr>
      <w:rFonts w:ascii="Arial" w:eastAsia="Times New Roman" w:hAnsi="Arial" w:cs="Times New Roman"/>
      <w:sz w:val="18"/>
      <w:szCs w:val="20"/>
      <w:lang w:val="en-GB"/>
    </w:rPr>
  </w:style>
  <w:style w:type="paragraph" w:customStyle="1" w:styleId="CETTabletitle">
    <w:name w:val="CET Table title"/>
    <w:qFormat/>
    <w:rsid w:val="00600535"/>
    <w:pPr>
      <w:keepNext/>
      <w:spacing w:before="240" w:after="80" w:line="240" w:lineRule="exact"/>
    </w:pPr>
    <w:rPr>
      <w:rFonts w:ascii="Arial" w:eastAsia="Times New Roman" w:hAnsi="Arial" w:cs="Times New Roman"/>
      <w:i/>
      <w:sz w:val="18"/>
      <w:szCs w:val="20"/>
      <w:lang w:val="en-GB"/>
    </w:rPr>
  </w:style>
  <w:style w:type="paragraph" w:customStyle="1" w:styleId="CETAcknowledgementstitle">
    <w:name w:val="CET Acknowledgements title"/>
    <w:next w:val="CETBodytext"/>
    <w:qFormat/>
    <w:rsid w:val="00600535"/>
    <w:pPr>
      <w:spacing w:before="200" w:after="120"/>
    </w:pPr>
    <w:rPr>
      <w:rFonts w:ascii="Arial" w:eastAsia="Times New Roman" w:hAnsi="Arial" w:cs="Times New Roman"/>
      <w:b/>
      <w:sz w:val="18"/>
      <w:szCs w:val="20"/>
      <w:lang w:val="en-GB"/>
    </w:rPr>
  </w:style>
  <w:style w:type="paragraph" w:customStyle="1" w:styleId="CETEquation">
    <w:name w:val="CET Equation"/>
    <w:basedOn w:val="CETBodytext"/>
    <w:next w:val="CETBodytext"/>
    <w:qFormat/>
    <w:rsid w:val="00600535"/>
    <w:pPr>
      <w:spacing w:before="120" w:after="120"/>
      <w:jc w:val="left"/>
    </w:pPr>
    <w:rPr>
      <w:lang w:val="en-GB"/>
    </w:rPr>
  </w:style>
  <w:style w:type="paragraph" w:customStyle="1" w:styleId="CETHeadingxx">
    <w:name w:val="CET Headingxx"/>
    <w:basedOn w:val="CETheadingx"/>
    <w:link w:val="CETHeadingxxChar"/>
    <w:qFormat/>
    <w:rsid w:val="000F787B"/>
    <w:pPr>
      <w:numPr>
        <w:ilvl w:val="0"/>
        <w:numId w:val="0"/>
      </w:numPr>
    </w:pPr>
  </w:style>
  <w:style w:type="character" w:customStyle="1" w:styleId="CETHeadingxxChar">
    <w:name w:val="CET Headingxx Char"/>
    <w:basedOn w:val="CETheadingxCarattere"/>
    <w:link w:val="CETHeadingxx"/>
    <w:rsid w:val="000F787B"/>
    <w:rPr>
      <w:rFonts w:ascii="Arial" w:eastAsia="Times New Roman" w:hAnsi="Arial" w:cs="Times New Roman"/>
      <w:b/>
      <w:sz w:val="18"/>
      <w:szCs w:val="20"/>
      <w:lang w:val="en-US"/>
    </w:rPr>
  </w:style>
  <w:style w:type="paragraph" w:styleId="Paragrafoelenco">
    <w:name w:val="List Paragraph"/>
    <w:basedOn w:val="Normale"/>
    <w:uiPriority w:val="34"/>
    <w:qFormat/>
    <w:rsid w:val="00280FAF"/>
    <w:pPr>
      <w:ind w:left="720"/>
      <w:contextualSpacing/>
    </w:pPr>
  </w:style>
  <w:style w:type="character" w:customStyle="1" w:styleId="gmail-apple-converted-space">
    <w:name w:val="gmail-apple-converted-space"/>
    <w:basedOn w:val="Carpredefinitoparagrafo"/>
    <w:rsid w:val="00005A19"/>
  </w:style>
  <w:style w:type="character" w:styleId="Menzionenonrisolta">
    <w:name w:val="Unresolved Mention"/>
    <w:basedOn w:val="Carpredefinitoparagrafo"/>
    <w:uiPriority w:val="99"/>
    <w:semiHidden/>
    <w:unhideWhenUsed/>
    <w:rsid w:val="009E0568"/>
    <w:rPr>
      <w:color w:val="605E5C"/>
      <w:shd w:val="clear" w:color="auto" w:fill="E1DFDD"/>
    </w:rPr>
  </w:style>
  <w:style w:type="character" w:styleId="Testosegnaposto">
    <w:name w:val="Placeholder Text"/>
    <w:basedOn w:val="Carpredefinitoparagrafo"/>
    <w:uiPriority w:val="99"/>
    <w:semiHidden/>
    <w:rsid w:val="00061FA2"/>
    <w:rPr>
      <w:color w:val="808080"/>
    </w:rPr>
  </w:style>
  <w:style w:type="table" w:styleId="Sfondochiaro">
    <w:name w:val="Light Shading"/>
    <w:basedOn w:val="Tabellanormale"/>
    <w:uiPriority w:val="60"/>
    <w:rsid w:val="00DB2086"/>
    <w:pPr>
      <w:spacing w:after="0" w:line="240" w:lineRule="auto"/>
    </w:pPr>
    <w:rPr>
      <w:color w:val="000000" w:themeColor="text1" w:themeShade="BF"/>
      <w:lang w:val="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1446341">
      <w:bodyDiv w:val="1"/>
      <w:marLeft w:val="0"/>
      <w:marRight w:val="0"/>
      <w:marTop w:val="0"/>
      <w:marBottom w:val="0"/>
      <w:divBdr>
        <w:top w:val="none" w:sz="0" w:space="0" w:color="auto"/>
        <w:left w:val="none" w:sz="0" w:space="0" w:color="auto"/>
        <w:bottom w:val="none" w:sz="0" w:space="0" w:color="auto"/>
        <w:right w:val="none" w:sz="0" w:space="0" w:color="auto"/>
      </w:divBdr>
    </w:div>
    <w:div w:id="465707146">
      <w:bodyDiv w:val="1"/>
      <w:marLeft w:val="0"/>
      <w:marRight w:val="0"/>
      <w:marTop w:val="0"/>
      <w:marBottom w:val="0"/>
      <w:divBdr>
        <w:top w:val="none" w:sz="0" w:space="0" w:color="auto"/>
        <w:left w:val="none" w:sz="0" w:space="0" w:color="auto"/>
        <w:bottom w:val="none" w:sz="0" w:space="0" w:color="auto"/>
        <w:right w:val="none" w:sz="0" w:space="0" w:color="auto"/>
      </w:divBdr>
    </w:div>
    <w:div w:id="780609195">
      <w:bodyDiv w:val="1"/>
      <w:marLeft w:val="0"/>
      <w:marRight w:val="0"/>
      <w:marTop w:val="0"/>
      <w:marBottom w:val="0"/>
      <w:divBdr>
        <w:top w:val="none" w:sz="0" w:space="0" w:color="auto"/>
        <w:left w:val="none" w:sz="0" w:space="0" w:color="auto"/>
        <w:bottom w:val="none" w:sz="0" w:space="0" w:color="auto"/>
        <w:right w:val="none" w:sz="0" w:space="0" w:color="auto"/>
      </w:divBdr>
      <w:divsChild>
        <w:div w:id="1810825834">
          <w:marLeft w:val="0"/>
          <w:marRight w:val="0"/>
          <w:marTop w:val="0"/>
          <w:marBottom w:val="0"/>
          <w:divBdr>
            <w:top w:val="none" w:sz="0" w:space="0" w:color="auto"/>
            <w:left w:val="none" w:sz="0" w:space="0" w:color="auto"/>
            <w:bottom w:val="none" w:sz="0" w:space="0" w:color="auto"/>
            <w:right w:val="none" w:sz="0" w:space="0" w:color="auto"/>
          </w:divBdr>
          <w:divsChild>
            <w:div w:id="57883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321189">
      <w:bodyDiv w:val="1"/>
      <w:marLeft w:val="0"/>
      <w:marRight w:val="0"/>
      <w:marTop w:val="0"/>
      <w:marBottom w:val="0"/>
      <w:divBdr>
        <w:top w:val="none" w:sz="0" w:space="0" w:color="auto"/>
        <w:left w:val="none" w:sz="0" w:space="0" w:color="auto"/>
        <w:bottom w:val="none" w:sz="0" w:space="0" w:color="auto"/>
        <w:right w:val="none" w:sz="0" w:space="0" w:color="auto"/>
      </w:divBdr>
      <w:divsChild>
        <w:div w:id="19673504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33056226">
      <w:bodyDiv w:val="1"/>
      <w:marLeft w:val="0"/>
      <w:marRight w:val="0"/>
      <w:marTop w:val="0"/>
      <w:marBottom w:val="0"/>
      <w:divBdr>
        <w:top w:val="none" w:sz="0" w:space="0" w:color="auto"/>
        <w:left w:val="none" w:sz="0" w:space="0" w:color="auto"/>
        <w:bottom w:val="none" w:sz="0" w:space="0" w:color="auto"/>
        <w:right w:val="none" w:sz="0" w:space="0" w:color="auto"/>
      </w:divBdr>
      <w:divsChild>
        <w:div w:id="790123951">
          <w:marLeft w:val="0"/>
          <w:marRight w:val="0"/>
          <w:marTop w:val="0"/>
          <w:marBottom w:val="0"/>
          <w:divBdr>
            <w:top w:val="none" w:sz="0" w:space="0" w:color="auto"/>
            <w:left w:val="none" w:sz="0" w:space="0" w:color="auto"/>
            <w:bottom w:val="none" w:sz="0" w:space="0" w:color="auto"/>
            <w:right w:val="none" w:sz="0" w:space="0" w:color="auto"/>
          </w:divBdr>
          <w:divsChild>
            <w:div w:id="1821461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56813">
      <w:bodyDiv w:val="1"/>
      <w:marLeft w:val="0"/>
      <w:marRight w:val="0"/>
      <w:marTop w:val="0"/>
      <w:marBottom w:val="0"/>
      <w:divBdr>
        <w:top w:val="none" w:sz="0" w:space="0" w:color="auto"/>
        <w:left w:val="none" w:sz="0" w:space="0" w:color="auto"/>
        <w:bottom w:val="none" w:sz="0" w:space="0" w:color="auto"/>
        <w:right w:val="none" w:sz="0" w:space="0" w:color="auto"/>
      </w:divBdr>
    </w:div>
    <w:div w:id="1489904563">
      <w:bodyDiv w:val="1"/>
      <w:marLeft w:val="0"/>
      <w:marRight w:val="0"/>
      <w:marTop w:val="0"/>
      <w:marBottom w:val="0"/>
      <w:divBdr>
        <w:top w:val="none" w:sz="0" w:space="0" w:color="auto"/>
        <w:left w:val="none" w:sz="0" w:space="0" w:color="auto"/>
        <w:bottom w:val="none" w:sz="0" w:space="0" w:color="auto"/>
        <w:right w:val="none" w:sz="0" w:space="0" w:color="auto"/>
      </w:divBdr>
    </w:div>
    <w:div w:id="1682856157">
      <w:bodyDiv w:val="1"/>
      <w:marLeft w:val="0"/>
      <w:marRight w:val="0"/>
      <w:marTop w:val="0"/>
      <w:marBottom w:val="0"/>
      <w:divBdr>
        <w:top w:val="none" w:sz="0" w:space="0" w:color="auto"/>
        <w:left w:val="none" w:sz="0" w:space="0" w:color="auto"/>
        <w:bottom w:val="none" w:sz="0" w:space="0" w:color="auto"/>
        <w:right w:val="none" w:sz="0" w:space="0" w:color="auto"/>
      </w:divBdr>
      <w:divsChild>
        <w:div w:id="2102991222">
          <w:marLeft w:val="0"/>
          <w:marRight w:val="0"/>
          <w:marTop w:val="0"/>
          <w:marBottom w:val="0"/>
          <w:divBdr>
            <w:top w:val="none" w:sz="0" w:space="0" w:color="auto"/>
            <w:left w:val="none" w:sz="0" w:space="0" w:color="auto"/>
            <w:bottom w:val="none" w:sz="0" w:space="0" w:color="auto"/>
            <w:right w:val="none" w:sz="0" w:space="0" w:color="auto"/>
          </w:divBdr>
          <w:divsChild>
            <w:div w:id="108908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8087599">
      <w:bodyDiv w:val="1"/>
      <w:marLeft w:val="0"/>
      <w:marRight w:val="0"/>
      <w:marTop w:val="0"/>
      <w:marBottom w:val="0"/>
      <w:divBdr>
        <w:top w:val="none" w:sz="0" w:space="0" w:color="auto"/>
        <w:left w:val="none" w:sz="0" w:space="0" w:color="auto"/>
        <w:bottom w:val="none" w:sz="0" w:space="0" w:color="auto"/>
        <w:right w:val="none" w:sz="0" w:space="0" w:color="auto"/>
      </w:divBdr>
      <w:divsChild>
        <w:div w:id="15006597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CB3C6C-19BB-4609-A238-4794FE2670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TotalTime>
  <Pages>6</Pages>
  <Words>6724</Words>
  <Characters>38329</Characters>
  <Application>Microsoft Office Word</Application>
  <DocSecurity>0</DocSecurity>
  <Lines>319</Lines>
  <Paragraphs>89</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
      <vt:lpstr/>
    </vt:vector>
  </TitlesOfParts>
  <Company>Dipartimento CMIC - Politecnico di Milano</Company>
  <LinksUpToDate>false</LinksUpToDate>
  <CharactersWithSpaces>44964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raffaella</dc:creator>
  <cp:lastModifiedBy>Gianfranco Giorgianni</cp:lastModifiedBy>
  <cp:revision>4</cp:revision>
  <cp:lastPrinted>2015-05-12T18:31:00Z</cp:lastPrinted>
  <dcterms:created xsi:type="dcterms:W3CDTF">2024-03-29T21:11:00Z</dcterms:created>
  <dcterms:modified xsi:type="dcterms:W3CDTF">2024-03-29T21:56:00Z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zotero-version="4.0.29.17"&gt;&lt;session id="s8VwuD2U"/&gt;&lt;style id="http://www.zotero.org/styles/chemical-engineering-transactions" hasBibliography="1" bibliographyStyleHasBeenSet="1"/&gt;&lt;prefs&gt;&lt;pref name="fieldType" value="Field"/&gt;&lt;pref na</vt:lpwstr>
  </property>
  <property fmtid="{D5CDD505-2E9C-101B-9397-08002B2CF9AE}" pid="3" name="ZOTERO_PREF_2">
    <vt:lpwstr>me="storeReferences" value="true"/&gt;&lt;pref name="automaticJournalAbbreviations" value=""/&gt;&lt;pref name="noteType" value=""/&gt;&lt;/prefs&gt;&lt;/data&gt;</vt:lpwstr>
  </property>
  <property fmtid="{D5CDD505-2E9C-101B-9397-08002B2CF9AE}" pid="4" name="Mendeley Recent Style Id 0_1">
    <vt:lpwstr>http://www.zotero.org/styles/american-political-science-association</vt:lpwstr>
  </property>
  <property fmtid="{D5CDD505-2E9C-101B-9397-08002B2CF9AE}" pid="5" name="Mendeley Recent Style Name 0_1">
    <vt:lpwstr>American Political Science Association</vt:lpwstr>
  </property>
  <property fmtid="{D5CDD505-2E9C-101B-9397-08002B2CF9AE}" pid="6" name="Mendeley Recent Style Id 1_1">
    <vt:lpwstr>http://www.zotero.org/styles/apa</vt:lpwstr>
  </property>
  <property fmtid="{D5CDD505-2E9C-101B-9397-08002B2CF9AE}" pid="7" name="Mendeley Recent Style Name 1_1">
    <vt:lpwstr>American Psychological Association 7th edition</vt:lpwstr>
  </property>
  <property fmtid="{D5CDD505-2E9C-101B-9397-08002B2CF9AE}" pid="8" name="Mendeley Recent Style Id 2_1">
    <vt:lpwstr>http://www.zotero.org/styles/catalysis-today</vt:lpwstr>
  </property>
  <property fmtid="{D5CDD505-2E9C-101B-9397-08002B2CF9AE}" pid="9" name="Mendeley Recent Style Name 2_1">
    <vt:lpwstr>Catalysis Today</vt:lpwstr>
  </property>
  <property fmtid="{D5CDD505-2E9C-101B-9397-08002B2CF9AE}" pid="10" name="Mendeley Recent Style Id 3_1">
    <vt:lpwstr>http://www.zotero.org/styles/chemical-engineering-research-and-design</vt:lpwstr>
  </property>
  <property fmtid="{D5CDD505-2E9C-101B-9397-08002B2CF9AE}" pid="11" name="Mendeley Recent Style Name 3_1">
    <vt:lpwstr>Chemical Engineering Research and Design</vt:lpwstr>
  </property>
  <property fmtid="{D5CDD505-2E9C-101B-9397-08002B2CF9AE}" pid="12" name="Mendeley Recent Style Id 4_1">
    <vt:lpwstr>http://www.zotero.org/styles/ieee</vt:lpwstr>
  </property>
  <property fmtid="{D5CDD505-2E9C-101B-9397-08002B2CF9AE}" pid="13" name="Mendeley Recent Style Name 4_1">
    <vt:lpwstr>IEEE</vt:lpwstr>
  </property>
  <property fmtid="{D5CDD505-2E9C-101B-9397-08002B2CF9AE}" pid="14" name="Mendeley Recent Style Id 5_1">
    <vt:lpwstr>http://www.zotero.org/styles/microporous-and-mesoporous-materials</vt:lpwstr>
  </property>
  <property fmtid="{D5CDD505-2E9C-101B-9397-08002B2CF9AE}" pid="15" name="Mendeley Recent Style Name 5_1">
    <vt:lpwstr>Microporous and Mesoporous Materials</vt:lpwstr>
  </property>
  <property fmtid="{D5CDD505-2E9C-101B-9397-08002B2CF9AE}" pid="16" name="Mendeley Recent Style Id 6_1">
    <vt:lpwstr>http://www.zotero.org/styles/nature</vt:lpwstr>
  </property>
  <property fmtid="{D5CDD505-2E9C-101B-9397-08002B2CF9AE}" pid="17" name="Mendeley Recent Style Name 6_1">
    <vt:lpwstr>Nature</vt:lpwstr>
  </property>
  <property fmtid="{D5CDD505-2E9C-101B-9397-08002B2CF9AE}" pid="18" name="Mendeley Recent Style Id 7_1">
    <vt:lpwstr>http://www.zotero.org/styles/vancouver</vt:lpwstr>
  </property>
  <property fmtid="{D5CDD505-2E9C-101B-9397-08002B2CF9AE}" pid="19" name="Mendeley Recent Style Name 7_1">
    <vt:lpwstr>Vancouver</vt:lpwstr>
  </property>
  <property fmtid="{D5CDD505-2E9C-101B-9397-08002B2CF9AE}" pid="20" name="Mendeley Recent Style Id 8_1">
    <vt:lpwstr>http://www.zotero.org/styles/vancouver_crc</vt:lpwstr>
  </property>
  <property fmtid="{D5CDD505-2E9C-101B-9397-08002B2CF9AE}" pid="21" name="Mendeley Recent Style Name 8_1">
    <vt:lpwstr>Vancouver_CRC</vt:lpwstr>
  </property>
  <property fmtid="{D5CDD505-2E9C-101B-9397-08002B2CF9AE}" pid="22" name="Mendeley Recent Style Id 9_1">
    <vt:lpwstr>http://www.zotero.org/styles/vancouver_jpcm</vt:lpwstr>
  </property>
  <property fmtid="{D5CDD505-2E9C-101B-9397-08002B2CF9AE}" pid="23" name="Mendeley Recent Style Name 9_1">
    <vt:lpwstr>Vancouver_JPCM</vt:lpwstr>
  </property>
  <property fmtid="{D5CDD505-2E9C-101B-9397-08002B2CF9AE}" pid="24" name="Mendeley Document_1">
    <vt:lpwstr>True</vt:lpwstr>
  </property>
  <property fmtid="{D5CDD505-2E9C-101B-9397-08002B2CF9AE}" pid="25" name="Mendeley Unique User Id_1">
    <vt:lpwstr>baf92352-88dc-3acf-9bf9-b403cde854b9</vt:lpwstr>
  </property>
  <property fmtid="{D5CDD505-2E9C-101B-9397-08002B2CF9AE}" pid="26" name="Mendeley Citation Style_1">
    <vt:lpwstr>http://www.zotero.org/styles/apa</vt:lpwstr>
  </property>
</Properties>
</file>