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7E3D08" w14:paraId="2A131A54" w14:textId="77777777" w:rsidTr="00A62F02">
        <w:trPr>
          <w:trHeight w:val="852"/>
          <w:jc w:val="center"/>
        </w:trPr>
        <w:tc>
          <w:tcPr>
            <w:tcW w:w="6940" w:type="dxa"/>
            <w:vMerge w:val="restart"/>
            <w:tcBorders>
              <w:right w:val="single" w:sz="4" w:space="0" w:color="auto"/>
            </w:tcBorders>
          </w:tcPr>
          <w:p w14:paraId="38C3D2BA" w14:textId="77777777" w:rsidR="000A03B2" w:rsidRPr="007E3D08" w:rsidRDefault="000A03B2" w:rsidP="00DE264A">
            <w:pPr>
              <w:tabs>
                <w:tab w:val="left" w:pos="-108"/>
              </w:tabs>
              <w:ind w:left="-108"/>
              <w:jc w:val="left"/>
              <w:rPr>
                <w:rFonts w:cs="Arial"/>
                <w:b/>
                <w:bCs/>
                <w:i/>
                <w:iCs/>
                <w:color w:val="000066"/>
                <w:sz w:val="12"/>
                <w:szCs w:val="12"/>
                <w:lang w:eastAsia="it-IT"/>
              </w:rPr>
            </w:pPr>
            <w:bookmarkStart w:id="0" w:name="_Hlk228109183"/>
            <w:bookmarkStart w:id="1" w:name="_Hlk145068772"/>
            <w:bookmarkStart w:id="2" w:name="_Hlk234909563"/>
            <w:bookmarkEnd w:id="0"/>
            <w:r w:rsidRPr="007E3D08">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7E3D08">
              <w:rPr>
                <w:rFonts w:ascii="AdvP6960" w:hAnsi="AdvP6960" w:cs="AdvP6960"/>
                <w:color w:val="241F20"/>
                <w:szCs w:val="18"/>
                <w:lang w:eastAsia="it-IT"/>
              </w:rPr>
              <w:t xml:space="preserve"> </w:t>
            </w:r>
            <w:r w:rsidRPr="007E3D08">
              <w:rPr>
                <w:rFonts w:cs="Arial"/>
                <w:b/>
                <w:bCs/>
                <w:i/>
                <w:iCs/>
                <w:color w:val="000066"/>
                <w:sz w:val="24"/>
                <w:szCs w:val="24"/>
                <w:lang w:eastAsia="it-IT"/>
              </w:rPr>
              <w:t>CHEMICAL ENGINEERING</w:t>
            </w:r>
            <w:r w:rsidRPr="007E3D08">
              <w:rPr>
                <w:rFonts w:cs="Arial"/>
                <w:b/>
                <w:bCs/>
                <w:i/>
                <w:iCs/>
                <w:color w:val="0033FF"/>
                <w:sz w:val="24"/>
                <w:szCs w:val="24"/>
                <w:lang w:eastAsia="it-IT"/>
              </w:rPr>
              <w:t xml:space="preserve"> </w:t>
            </w:r>
            <w:r w:rsidRPr="007E3D08">
              <w:rPr>
                <w:rFonts w:cs="Arial"/>
                <w:b/>
                <w:bCs/>
                <w:i/>
                <w:iCs/>
                <w:color w:val="666666"/>
                <w:sz w:val="24"/>
                <w:szCs w:val="24"/>
                <w:lang w:eastAsia="it-IT"/>
              </w:rPr>
              <w:t>TRANSACTIONS</w:t>
            </w:r>
            <w:r w:rsidRPr="007E3D08">
              <w:rPr>
                <w:color w:val="333333"/>
                <w:sz w:val="24"/>
                <w:szCs w:val="24"/>
                <w:lang w:eastAsia="it-IT"/>
              </w:rPr>
              <w:t xml:space="preserve"> </w:t>
            </w:r>
            <w:r w:rsidRPr="007E3D08">
              <w:rPr>
                <w:rFonts w:cs="Arial"/>
                <w:b/>
                <w:bCs/>
                <w:i/>
                <w:iCs/>
                <w:color w:val="000066"/>
                <w:sz w:val="27"/>
                <w:szCs w:val="27"/>
                <w:lang w:eastAsia="it-IT"/>
              </w:rPr>
              <w:br/>
            </w:r>
          </w:p>
          <w:p w14:paraId="4B780582" w14:textId="753620B8" w:rsidR="000A03B2" w:rsidRPr="007E3D08" w:rsidRDefault="00A76EFC" w:rsidP="001D21AF">
            <w:pPr>
              <w:tabs>
                <w:tab w:val="left" w:pos="-108"/>
              </w:tabs>
              <w:ind w:left="-108"/>
              <w:rPr>
                <w:rFonts w:cs="Arial"/>
                <w:b/>
                <w:bCs/>
                <w:i/>
                <w:iCs/>
                <w:color w:val="000066"/>
                <w:sz w:val="22"/>
                <w:szCs w:val="22"/>
                <w:lang w:eastAsia="it-IT"/>
              </w:rPr>
            </w:pPr>
            <w:r w:rsidRPr="007E3D08">
              <w:rPr>
                <w:rFonts w:cs="Arial"/>
                <w:b/>
                <w:bCs/>
                <w:i/>
                <w:iCs/>
                <w:color w:val="000066"/>
                <w:sz w:val="22"/>
                <w:szCs w:val="22"/>
                <w:lang w:eastAsia="it-IT"/>
              </w:rPr>
              <w:t>VOL.</w:t>
            </w:r>
            <w:r w:rsidR="00785BF9" w:rsidRPr="007E3D08">
              <w:rPr>
                <w:rFonts w:cs="Arial"/>
                <w:b/>
                <w:bCs/>
                <w:i/>
                <w:iCs/>
                <w:color w:val="000066"/>
                <w:sz w:val="22"/>
                <w:szCs w:val="22"/>
                <w:lang w:eastAsia="it-IT"/>
              </w:rPr>
              <w:t xml:space="preserve"> </w:t>
            </w:r>
            <w:r w:rsidR="00AD0278" w:rsidRPr="007E3D08">
              <w:rPr>
                <w:rFonts w:cs="Arial"/>
                <w:b/>
                <w:bCs/>
                <w:i/>
                <w:iCs/>
                <w:color w:val="000066"/>
                <w:sz w:val="22"/>
                <w:szCs w:val="22"/>
                <w:lang w:eastAsia="it-IT"/>
              </w:rPr>
              <w:t>xxx</w:t>
            </w:r>
            <w:r w:rsidR="007B48F9" w:rsidRPr="007E3D08">
              <w:rPr>
                <w:rFonts w:cs="Arial"/>
                <w:b/>
                <w:bCs/>
                <w:i/>
                <w:iCs/>
                <w:color w:val="000066"/>
                <w:sz w:val="22"/>
                <w:szCs w:val="22"/>
                <w:lang w:eastAsia="it-IT"/>
              </w:rPr>
              <w:t>,</w:t>
            </w:r>
            <w:r w:rsidR="00FA5F5F" w:rsidRPr="007E3D08">
              <w:rPr>
                <w:rFonts w:cs="Arial"/>
                <w:b/>
                <w:bCs/>
                <w:i/>
                <w:iCs/>
                <w:color w:val="000066"/>
                <w:sz w:val="22"/>
                <w:szCs w:val="22"/>
                <w:lang w:eastAsia="it-IT"/>
              </w:rPr>
              <w:t xml:space="preserve"> </w:t>
            </w:r>
            <w:r w:rsidR="0030152C" w:rsidRPr="007E3D08">
              <w:rPr>
                <w:rFonts w:cs="Arial"/>
                <w:b/>
                <w:bCs/>
                <w:i/>
                <w:iCs/>
                <w:color w:val="000066"/>
                <w:sz w:val="22"/>
                <w:szCs w:val="22"/>
                <w:lang w:eastAsia="it-IT"/>
              </w:rPr>
              <w:t>202</w:t>
            </w:r>
            <w:r w:rsidR="00AD0278" w:rsidRPr="007E3D0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7E3D08" w:rsidRDefault="000A03B2" w:rsidP="00CD5FE2">
            <w:pPr>
              <w:spacing w:line="140" w:lineRule="atLeast"/>
              <w:jc w:val="right"/>
              <w:rPr>
                <w:rFonts w:cs="Arial"/>
                <w:sz w:val="14"/>
                <w:szCs w:val="14"/>
              </w:rPr>
            </w:pPr>
            <w:r w:rsidRPr="007E3D08">
              <w:rPr>
                <w:rFonts w:cs="Arial"/>
                <w:sz w:val="14"/>
                <w:szCs w:val="14"/>
              </w:rPr>
              <w:t>A publication of</w:t>
            </w:r>
          </w:p>
          <w:p w14:paraId="599E5441" w14:textId="77777777" w:rsidR="000A03B2" w:rsidRPr="007E3D08" w:rsidRDefault="000A03B2" w:rsidP="00CD5FE2">
            <w:pPr>
              <w:jc w:val="right"/>
            </w:pPr>
            <w:r w:rsidRPr="007E3D08">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7E3D08" w14:paraId="380FA3CD" w14:textId="77777777" w:rsidTr="00A62F02">
        <w:trPr>
          <w:trHeight w:val="567"/>
          <w:jc w:val="center"/>
        </w:trPr>
        <w:tc>
          <w:tcPr>
            <w:tcW w:w="6940" w:type="dxa"/>
            <w:vMerge/>
            <w:tcBorders>
              <w:right w:val="single" w:sz="4" w:space="0" w:color="auto"/>
            </w:tcBorders>
          </w:tcPr>
          <w:p w14:paraId="39E5E4C1" w14:textId="77777777" w:rsidR="000A03B2" w:rsidRPr="007E3D08"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7E3D08" w:rsidRDefault="000A03B2" w:rsidP="00CD5FE2">
            <w:pPr>
              <w:spacing w:line="140" w:lineRule="atLeast"/>
              <w:jc w:val="right"/>
              <w:rPr>
                <w:rFonts w:cs="Arial"/>
                <w:sz w:val="14"/>
                <w:szCs w:val="14"/>
              </w:rPr>
            </w:pPr>
            <w:r w:rsidRPr="007E3D08">
              <w:rPr>
                <w:rFonts w:cs="Arial"/>
                <w:sz w:val="14"/>
                <w:szCs w:val="14"/>
              </w:rPr>
              <w:t>The Italian Association</w:t>
            </w:r>
          </w:p>
          <w:p w14:paraId="7522B1D2" w14:textId="77777777" w:rsidR="000A03B2" w:rsidRPr="007E3D08" w:rsidRDefault="000A03B2" w:rsidP="00CD5FE2">
            <w:pPr>
              <w:spacing w:line="140" w:lineRule="atLeast"/>
              <w:jc w:val="right"/>
              <w:rPr>
                <w:rFonts w:cs="Arial"/>
                <w:sz w:val="14"/>
                <w:szCs w:val="14"/>
              </w:rPr>
            </w:pPr>
            <w:r w:rsidRPr="007E3D08">
              <w:rPr>
                <w:rFonts w:cs="Arial"/>
                <w:sz w:val="14"/>
                <w:szCs w:val="14"/>
              </w:rPr>
              <w:t>of Chemical Engineering</w:t>
            </w:r>
          </w:p>
          <w:p w14:paraId="4F0CC5DE" w14:textId="47FDB2FC" w:rsidR="000A03B2" w:rsidRPr="007E3D08" w:rsidRDefault="000D0268" w:rsidP="00CD5FE2">
            <w:pPr>
              <w:spacing w:line="140" w:lineRule="atLeast"/>
              <w:jc w:val="right"/>
              <w:rPr>
                <w:rFonts w:cs="Arial"/>
                <w:sz w:val="13"/>
                <w:szCs w:val="13"/>
              </w:rPr>
            </w:pPr>
            <w:r w:rsidRPr="007E3D08">
              <w:rPr>
                <w:rFonts w:cs="Arial"/>
                <w:sz w:val="13"/>
                <w:szCs w:val="13"/>
              </w:rPr>
              <w:t>Online at www.cetjournal.it</w:t>
            </w:r>
          </w:p>
        </w:tc>
      </w:tr>
      <w:tr w:rsidR="000A03B2" w:rsidRPr="007E3D08" w14:paraId="2D1B7169" w14:textId="77777777" w:rsidTr="00A62F02">
        <w:trPr>
          <w:trHeight w:val="68"/>
          <w:jc w:val="center"/>
        </w:trPr>
        <w:tc>
          <w:tcPr>
            <w:tcW w:w="8782" w:type="dxa"/>
            <w:gridSpan w:val="2"/>
          </w:tcPr>
          <w:p w14:paraId="1D8DD3C9" w14:textId="174205F6" w:rsidR="00AA7D26" w:rsidRPr="007E3D08" w:rsidRDefault="004A5E57" w:rsidP="00CB2614">
            <w:pPr>
              <w:ind w:left="-107"/>
              <w:outlineLvl w:val="2"/>
              <w:rPr>
                <w:rFonts w:ascii="Tahoma" w:hAnsi="Tahoma" w:cs="Tahoma"/>
                <w:color w:val="000000"/>
                <w:sz w:val="14"/>
                <w:szCs w:val="14"/>
                <w:shd w:val="clear" w:color="auto" w:fill="FFFFFF"/>
                <w:lang w:val="it-IT"/>
              </w:rPr>
            </w:pPr>
            <w:r w:rsidRPr="007E3D08">
              <w:rPr>
                <w:rFonts w:ascii="Tahoma" w:hAnsi="Tahoma" w:cs="Tahoma"/>
                <w:iCs/>
                <w:color w:val="333333"/>
                <w:sz w:val="14"/>
                <w:szCs w:val="14"/>
                <w:lang w:val="it-IT" w:eastAsia="it-IT"/>
              </w:rPr>
              <w:t>Guest Editors:</w:t>
            </w:r>
            <w:r w:rsidRPr="007E3D08">
              <w:rPr>
                <w:rFonts w:ascii="Tahoma" w:hAnsi="Tahoma" w:cs="Tahoma"/>
                <w:color w:val="000000"/>
                <w:sz w:val="14"/>
                <w:szCs w:val="14"/>
                <w:shd w:val="clear" w:color="auto" w:fill="FFFFFF"/>
                <w:lang w:val="it-IT"/>
              </w:rPr>
              <w:t xml:space="preserve"> </w:t>
            </w:r>
            <w:r w:rsidR="00CB2614" w:rsidRPr="007E3D08">
              <w:rPr>
                <w:rFonts w:ascii="Tahoma" w:hAnsi="Tahoma" w:cs="Tahoma"/>
                <w:color w:val="000000"/>
                <w:sz w:val="14"/>
                <w:szCs w:val="14"/>
                <w:shd w:val="clear" w:color="auto" w:fill="FFFFFF"/>
                <w:lang w:val="it-IT"/>
              </w:rPr>
              <w:t>Flavio Manenti, Botir Usmonov, Alessandro Di Pretoro</w:t>
            </w:r>
          </w:p>
          <w:p w14:paraId="1B0F1814" w14:textId="710B7B96" w:rsidR="000A03B2" w:rsidRPr="007E3D08" w:rsidRDefault="00AA7D26" w:rsidP="00AA7D26">
            <w:pPr>
              <w:tabs>
                <w:tab w:val="left" w:pos="-108"/>
              </w:tabs>
              <w:spacing w:line="140" w:lineRule="atLeast"/>
              <w:ind w:left="-107"/>
              <w:jc w:val="left"/>
            </w:pPr>
            <w:r w:rsidRPr="007E3D08">
              <w:rPr>
                <w:rFonts w:ascii="Tahoma" w:hAnsi="Tahoma" w:cs="Tahoma"/>
                <w:iCs/>
                <w:color w:val="333333"/>
                <w:sz w:val="14"/>
                <w:szCs w:val="14"/>
                <w:lang w:eastAsia="it-IT"/>
              </w:rPr>
              <w:t>Copyright © 202</w:t>
            </w:r>
            <w:r w:rsidR="00005884" w:rsidRPr="007E3D08">
              <w:rPr>
                <w:rFonts w:ascii="Tahoma" w:hAnsi="Tahoma" w:cs="Tahoma"/>
                <w:iCs/>
                <w:color w:val="333333"/>
                <w:sz w:val="14"/>
                <w:szCs w:val="14"/>
                <w:lang w:eastAsia="it-IT"/>
              </w:rPr>
              <w:t>6</w:t>
            </w:r>
            <w:r w:rsidRPr="007E3D08">
              <w:rPr>
                <w:rFonts w:ascii="Tahoma" w:hAnsi="Tahoma" w:cs="Tahoma"/>
                <w:iCs/>
                <w:color w:val="333333"/>
                <w:sz w:val="14"/>
                <w:szCs w:val="14"/>
                <w:lang w:eastAsia="it-IT"/>
              </w:rPr>
              <w:t xml:space="preserve">, AIDIC </w:t>
            </w:r>
            <w:proofErr w:type="spellStart"/>
            <w:r w:rsidRPr="007E3D08">
              <w:rPr>
                <w:rFonts w:ascii="Tahoma" w:hAnsi="Tahoma" w:cs="Tahoma"/>
                <w:iCs/>
                <w:color w:val="333333"/>
                <w:sz w:val="14"/>
                <w:szCs w:val="14"/>
                <w:lang w:eastAsia="it-IT"/>
              </w:rPr>
              <w:t>Servizi</w:t>
            </w:r>
            <w:proofErr w:type="spellEnd"/>
            <w:r w:rsidRPr="007E3D08">
              <w:rPr>
                <w:rFonts w:ascii="Tahoma" w:hAnsi="Tahoma" w:cs="Tahoma"/>
                <w:iCs/>
                <w:color w:val="333333"/>
                <w:sz w:val="14"/>
                <w:szCs w:val="14"/>
                <w:lang w:eastAsia="it-IT"/>
              </w:rPr>
              <w:t xml:space="preserve"> </w:t>
            </w:r>
            <w:proofErr w:type="spellStart"/>
            <w:r w:rsidRPr="007E3D08">
              <w:rPr>
                <w:rFonts w:ascii="Tahoma" w:hAnsi="Tahoma" w:cs="Tahoma"/>
                <w:iCs/>
                <w:color w:val="333333"/>
                <w:sz w:val="14"/>
                <w:szCs w:val="14"/>
                <w:lang w:eastAsia="it-IT"/>
              </w:rPr>
              <w:t>S.r.l</w:t>
            </w:r>
            <w:proofErr w:type="spellEnd"/>
            <w:r w:rsidRPr="007E3D08">
              <w:rPr>
                <w:rFonts w:ascii="Tahoma" w:hAnsi="Tahoma" w:cs="Tahoma"/>
                <w:iCs/>
                <w:color w:val="333333"/>
                <w:sz w:val="14"/>
                <w:szCs w:val="14"/>
                <w:lang w:eastAsia="it-IT"/>
              </w:rPr>
              <w:t>.</w:t>
            </w:r>
            <w:r w:rsidRPr="007E3D08">
              <w:rPr>
                <w:rFonts w:ascii="Tahoma" w:hAnsi="Tahoma" w:cs="Tahoma"/>
                <w:iCs/>
                <w:color w:val="333333"/>
                <w:sz w:val="14"/>
                <w:szCs w:val="14"/>
                <w:lang w:eastAsia="it-IT"/>
              </w:rPr>
              <w:br/>
            </w:r>
            <w:r w:rsidRPr="007E3D08">
              <w:rPr>
                <w:rFonts w:ascii="Tahoma" w:hAnsi="Tahoma" w:cs="Tahoma"/>
                <w:b/>
                <w:iCs/>
                <w:color w:val="000000"/>
                <w:sz w:val="14"/>
                <w:szCs w:val="14"/>
                <w:lang w:eastAsia="it-IT"/>
              </w:rPr>
              <w:t>ISBN</w:t>
            </w:r>
            <w:r w:rsidRPr="007E3D08">
              <w:rPr>
                <w:rFonts w:ascii="Tahoma" w:hAnsi="Tahoma" w:cs="Tahoma"/>
                <w:iCs/>
                <w:color w:val="000000"/>
                <w:sz w:val="14"/>
                <w:szCs w:val="14"/>
                <w:lang w:eastAsia="it-IT"/>
              </w:rPr>
              <w:t xml:space="preserve"> </w:t>
            </w:r>
            <w:r w:rsidR="00D2582C" w:rsidRPr="007E3D08">
              <w:rPr>
                <w:rFonts w:ascii="Tahoma" w:hAnsi="Tahoma" w:cs="Tahoma"/>
                <w:sz w:val="14"/>
                <w:szCs w:val="14"/>
              </w:rPr>
              <w:t>979-12-81206-</w:t>
            </w:r>
            <w:r w:rsidR="00005884" w:rsidRPr="007E3D08">
              <w:rPr>
                <w:rFonts w:ascii="Tahoma" w:hAnsi="Tahoma" w:cs="Tahoma"/>
                <w:sz w:val="14"/>
                <w:szCs w:val="14"/>
              </w:rPr>
              <w:t>xx</w:t>
            </w:r>
            <w:r w:rsidR="009041F8" w:rsidRPr="007E3D08">
              <w:rPr>
                <w:rFonts w:ascii="Tahoma" w:hAnsi="Tahoma" w:cs="Tahoma"/>
                <w:sz w:val="14"/>
                <w:szCs w:val="14"/>
              </w:rPr>
              <w:t>-</w:t>
            </w:r>
            <w:r w:rsidR="00005884" w:rsidRPr="007E3D08">
              <w:rPr>
                <w:rFonts w:ascii="Tahoma" w:hAnsi="Tahoma" w:cs="Tahoma"/>
                <w:sz w:val="14"/>
                <w:szCs w:val="14"/>
              </w:rPr>
              <w:t>x</w:t>
            </w:r>
            <w:r w:rsidRPr="007E3D08">
              <w:rPr>
                <w:rFonts w:ascii="Tahoma" w:hAnsi="Tahoma" w:cs="Tahoma"/>
                <w:iCs/>
                <w:color w:val="333333"/>
                <w:sz w:val="14"/>
                <w:szCs w:val="14"/>
                <w:lang w:eastAsia="it-IT"/>
              </w:rPr>
              <w:t xml:space="preserve">; </w:t>
            </w:r>
            <w:r w:rsidRPr="007E3D08">
              <w:rPr>
                <w:rFonts w:ascii="Tahoma" w:hAnsi="Tahoma" w:cs="Tahoma"/>
                <w:b/>
                <w:iCs/>
                <w:color w:val="333333"/>
                <w:sz w:val="14"/>
                <w:szCs w:val="14"/>
                <w:lang w:eastAsia="it-IT"/>
              </w:rPr>
              <w:t>ISSN</w:t>
            </w:r>
            <w:r w:rsidRPr="007E3D08">
              <w:rPr>
                <w:rFonts w:ascii="Tahoma" w:hAnsi="Tahoma" w:cs="Tahoma"/>
                <w:iCs/>
                <w:color w:val="333333"/>
                <w:sz w:val="14"/>
                <w:szCs w:val="14"/>
                <w:lang w:eastAsia="it-IT"/>
              </w:rPr>
              <w:t xml:space="preserve"> 2283-9216</w:t>
            </w:r>
          </w:p>
        </w:tc>
      </w:tr>
      <w:bookmarkEnd w:id="1"/>
    </w:tbl>
    <w:p w14:paraId="2DBE384B" w14:textId="77777777" w:rsidR="006279AA" w:rsidRPr="007E3D08" w:rsidRDefault="006279AA" w:rsidP="00B57E6F">
      <w:pPr>
        <w:pStyle w:val="CETAuthors"/>
      </w:pPr>
    </w:p>
    <w:p w14:paraId="0D3B208C" w14:textId="465F86E0" w:rsidR="00A62F02" w:rsidRPr="007E3D08" w:rsidRDefault="00EE3FCE" w:rsidP="00B57E6F">
      <w:pPr>
        <w:pStyle w:val="CETAuthors"/>
      </w:pPr>
      <w:bookmarkStart w:id="3" w:name="_Hlk227757460"/>
      <w:r w:rsidRPr="007E3D08">
        <w:t>A</w:t>
      </w:r>
      <w:r w:rsidR="00482CC6" w:rsidRPr="007E3D08">
        <w:t>dvantages</w:t>
      </w:r>
      <w:r w:rsidR="00A62F02" w:rsidRPr="007E3D08">
        <w:t xml:space="preserve"> </w:t>
      </w:r>
      <w:r w:rsidR="00482CC6" w:rsidRPr="007E3D08">
        <w:t>of a</w:t>
      </w:r>
      <w:r w:rsidR="00A62F02" w:rsidRPr="007E3D08">
        <w:t xml:space="preserve"> PTFE-B</w:t>
      </w:r>
      <w:r w:rsidR="00482CC6" w:rsidRPr="007E3D08">
        <w:t>ased</w:t>
      </w:r>
      <w:r w:rsidR="00A62F02" w:rsidRPr="007E3D08">
        <w:t xml:space="preserve"> C</w:t>
      </w:r>
      <w:r w:rsidR="00482CC6" w:rsidRPr="007E3D08">
        <w:t>athode</w:t>
      </w:r>
      <w:r w:rsidR="00A62F02" w:rsidRPr="007E3D08">
        <w:t xml:space="preserve"> </w:t>
      </w:r>
      <w:r w:rsidR="00482CC6" w:rsidRPr="007E3D08">
        <w:t>in</w:t>
      </w:r>
      <w:r w:rsidR="00A62F02" w:rsidRPr="007E3D08">
        <w:t xml:space="preserve"> S</w:t>
      </w:r>
      <w:r w:rsidR="00482CC6" w:rsidRPr="007E3D08">
        <w:t>odium</w:t>
      </w:r>
      <w:r w:rsidR="00A62F02" w:rsidRPr="007E3D08">
        <w:t>–S</w:t>
      </w:r>
      <w:r w:rsidR="00482CC6" w:rsidRPr="007E3D08">
        <w:t>ulfur</w:t>
      </w:r>
      <w:r w:rsidR="00A62F02" w:rsidRPr="007E3D08">
        <w:t xml:space="preserve"> B</w:t>
      </w:r>
      <w:r w:rsidR="00482CC6" w:rsidRPr="007E3D08">
        <w:t>atteries</w:t>
      </w:r>
      <w:r w:rsidR="00A62F02" w:rsidRPr="007E3D08">
        <w:t>.</w:t>
      </w:r>
    </w:p>
    <w:bookmarkEnd w:id="3"/>
    <w:p w14:paraId="0076DC42" w14:textId="099AFE38" w:rsidR="00833C78" w:rsidRPr="007E3D08" w:rsidRDefault="003B3299" w:rsidP="00B57E6F">
      <w:pPr>
        <w:pStyle w:val="CETAuthors"/>
        <w:rPr>
          <w:vertAlign w:val="superscript"/>
          <w:lang w:val="en-US"/>
        </w:rPr>
      </w:pPr>
      <w:r w:rsidRPr="007E3D08">
        <w:rPr>
          <w:lang w:val="en-US"/>
        </w:rPr>
        <w:t xml:space="preserve">Ilyosbek </w:t>
      </w:r>
      <w:r w:rsidR="00A62F02" w:rsidRPr="007E3D08">
        <w:rPr>
          <w:lang w:val="uz-Cyrl-UZ"/>
        </w:rPr>
        <w:t>Yusupov*</w:t>
      </w:r>
      <w:r w:rsidR="00B57E6F" w:rsidRPr="007E3D08">
        <w:t>,</w:t>
      </w:r>
      <w:r w:rsidR="00A62F02" w:rsidRPr="007E3D08">
        <w:rPr>
          <w:lang w:val="en-US"/>
        </w:rPr>
        <w:t xml:space="preserve"> </w:t>
      </w:r>
      <w:bookmarkStart w:id="4" w:name="_Hlk227757590"/>
      <w:r w:rsidR="003F676F" w:rsidRPr="007E3D08">
        <w:rPr>
          <w:lang w:val="en-US"/>
        </w:rPr>
        <w:t>S</w:t>
      </w:r>
      <w:r w:rsidRPr="007E3D08">
        <w:rPr>
          <w:lang w:val="en-US"/>
        </w:rPr>
        <w:t xml:space="preserve">aodat </w:t>
      </w:r>
      <w:r w:rsidR="003F676F" w:rsidRPr="007E3D08">
        <w:rPr>
          <w:lang w:val="en-US"/>
        </w:rPr>
        <w:t xml:space="preserve">Mirsalimova, </w:t>
      </w:r>
      <w:r w:rsidR="00BC55BB" w:rsidRPr="007E3D08">
        <w:rPr>
          <w:lang w:val="en-US"/>
        </w:rPr>
        <w:t>K</w:t>
      </w:r>
      <w:r w:rsidRPr="007E3D08">
        <w:rPr>
          <w:lang w:val="en-US"/>
        </w:rPr>
        <w:t xml:space="preserve">hayot </w:t>
      </w:r>
      <w:r w:rsidR="00BC55BB" w:rsidRPr="007E3D08">
        <w:rPr>
          <w:lang w:val="en-US"/>
        </w:rPr>
        <w:t>Yuldashev</w:t>
      </w:r>
      <w:bookmarkEnd w:id="4"/>
      <w:r w:rsidR="00BC55BB" w:rsidRPr="007E3D08">
        <w:rPr>
          <w:lang w:val="en-US"/>
        </w:rPr>
        <w:t xml:space="preserve">, </w:t>
      </w:r>
      <w:r w:rsidR="00833C78" w:rsidRPr="007E3D08">
        <w:rPr>
          <w:lang w:val="en-US"/>
        </w:rPr>
        <w:t>D</w:t>
      </w:r>
      <w:r w:rsidRPr="007E3D08">
        <w:rPr>
          <w:lang w:val="en-US"/>
        </w:rPr>
        <w:t xml:space="preserve">ilshoda </w:t>
      </w:r>
      <w:r w:rsidR="00833C78" w:rsidRPr="007E3D08">
        <w:rPr>
          <w:lang w:val="en-US"/>
        </w:rPr>
        <w:t xml:space="preserve">Kadirova, </w:t>
      </w:r>
      <w:r w:rsidR="00BC55BB" w:rsidRPr="007E3D08">
        <w:rPr>
          <w:lang w:val="en-US"/>
        </w:rPr>
        <w:t>F</w:t>
      </w:r>
      <w:r w:rsidRPr="007E3D08">
        <w:rPr>
          <w:lang w:val="en-US"/>
        </w:rPr>
        <w:t>arrukh Kh</w:t>
      </w:r>
      <w:r w:rsidR="00BC55BB" w:rsidRPr="007E3D08">
        <w:rPr>
          <w:lang w:val="en-US"/>
        </w:rPr>
        <w:t>akimov</w:t>
      </w:r>
    </w:p>
    <w:p w14:paraId="6B2D21B3" w14:textId="1ADE4F07" w:rsidR="00B57E6F" w:rsidRPr="007E3D08" w:rsidRDefault="003F676F" w:rsidP="00B024F1">
      <w:pPr>
        <w:pStyle w:val="CETAddress"/>
        <w:spacing w:line="240" w:lineRule="auto"/>
        <w:rPr>
          <w:sz w:val="18"/>
          <w:szCs w:val="18"/>
        </w:rPr>
      </w:pPr>
      <w:r w:rsidRPr="007E3D08">
        <w:rPr>
          <w:sz w:val="18"/>
          <w:szCs w:val="18"/>
        </w:rPr>
        <w:t>Fergana state technical university, Fergana 150100, Uzbekistan</w:t>
      </w:r>
      <w:r w:rsidR="00B57E6F" w:rsidRPr="007E3D08">
        <w:rPr>
          <w:sz w:val="18"/>
          <w:szCs w:val="18"/>
        </w:rPr>
        <w:t xml:space="preserve"> </w:t>
      </w:r>
    </w:p>
    <w:p w14:paraId="6622C4AD" w14:textId="1A1753DB" w:rsidR="006279AA" w:rsidRPr="007E3D08" w:rsidRDefault="003F676F" w:rsidP="00B024F1">
      <w:pPr>
        <w:spacing w:line="240" w:lineRule="auto"/>
        <w:ind w:right="227"/>
        <w:rPr>
          <w:rStyle w:val="afffc"/>
          <w:i/>
          <w:color w:val="auto"/>
          <w:szCs w:val="18"/>
          <w:lang w:val="en-US"/>
        </w:rPr>
      </w:pPr>
      <w:r w:rsidRPr="007E3D08">
        <w:rPr>
          <w:szCs w:val="18"/>
          <w:lang w:val="en-US"/>
        </w:rPr>
        <w:t>*Corresponding author, e-mail:</w:t>
      </w:r>
      <w:r w:rsidR="003B3299" w:rsidRPr="007E3D08">
        <w:rPr>
          <w:szCs w:val="18"/>
          <w:lang w:val="en-US"/>
        </w:rPr>
        <w:t xml:space="preserve"> ilyosbekyusupov872@gmail.com</w:t>
      </w:r>
      <w:r w:rsidR="003B3299" w:rsidRPr="007E3D08">
        <w:rPr>
          <w:rStyle w:val="afffc"/>
          <w:i/>
          <w:color w:val="auto"/>
          <w:szCs w:val="18"/>
          <w:lang w:val="en-US"/>
        </w:rPr>
        <w:t xml:space="preserve"> </w:t>
      </w:r>
    </w:p>
    <w:p w14:paraId="04DDAE9E" w14:textId="0BE56AB1" w:rsidR="003B3299" w:rsidRPr="007E3D08" w:rsidRDefault="003B3299" w:rsidP="00B024F1">
      <w:pPr>
        <w:spacing w:line="240" w:lineRule="auto"/>
        <w:rPr>
          <w:rFonts w:cs="Arial"/>
          <w:szCs w:val="18"/>
          <w:lang w:val="en-US"/>
        </w:rPr>
      </w:pPr>
      <w:r w:rsidRPr="007E3D08">
        <w:rPr>
          <w:rFonts w:cs="Arial"/>
          <w:szCs w:val="18"/>
          <w:lang w:val="en-US"/>
        </w:rPr>
        <w:t>By utilizing fossil fuels, today we are declining our natural reserves, and in the near future, a dramatic shortage of fossil fuels will be forecasted because these reserves are so limited. Moreover, environmental problems are crucial that effect our lives with negative consequences; especially toxic gases (after using fossil fuels) are detrimental to our nature. As the disadvantages of global warming intensify, finding viable solutions becomes increasingly critical. Using electricity in every-day life is the key solution, and improving efficient energy storage systems is considered to address these mentioned problems. Lithium-ion batteries are widely used across a variety of sectors and play a significant role in reducing greenhouse gas emissions. In particular, battery-powered electric vehicles have gained widespread popularity due to their environmentally friendly operation. However, the limited availability of natural lithium resources raises concerns about the long-term sustainability of lithium-ion battery production. Many experts predict that, by 2030, the global demand for lithium will exceed the available supply, making it difficult for natural lithium reserves to meet future consumption needs.</w:t>
      </w:r>
      <w:r w:rsidR="006B73A1" w:rsidRPr="007E3D08">
        <w:rPr>
          <w:rFonts w:cs="Arial"/>
          <w:szCs w:val="18"/>
          <w:lang w:val="en-US"/>
        </w:rPr>
        <w:t xml:space="preserve"> (</w:t>
      </w:r>
      <w:r w:rsidR="006B73A1" w:rsidRPr="007E3D08">
        <w:t xml:space="preserve">IEA (2024) </w:t>
      </w:r>
      <w:r w:rsidR="006B73A1" w:rsidRPr="007E3D08">
        <w:rPr>
          <w:rStyle w:val="affff"/>
          <w:i w:val="0"/>
          <w:iCs w:val="0"/>
        </w:rPr>
        <w:t>Global Critical Minerals Outlook 2024: Lithium</w:t>
      </w:r>
      <w:r w:rsidR="006B73A1" w:rsidRPr="007E3D08">
        <w:rPr>
          <w:i/>
          <w:iCs/>
        </w:rPr>
        <w:t>.</w:t>
      </w:r>
      <w:r w:rsidR="006B73A1" w:rsidRPr="007E3D08">
        <w:t xml:space="preserve"> Paris: International Energy Agency).</w:t>
      </w:r>
      <w:r w:rsidRPr="007E3D08">
        <w:rPr>
          <w:rFonts w:cs="Arial"/>
          <w:szCs w:val="18"/>
          <w:lang w:val="en-US"/>
        </w:rPr>
        <w:t xml:space="preserve"> Therefore, many experts now focus on room-temperature sodium–sulfur (RT, Na–S) batteries as a result of the high natural abundance of sodium and sulfur elements. In this research, recent developments in cathode material with PTFE binder for Na–S batteries were summarized, and a new dry-mixed method was used to prepare cathode material. Chemical features of the PTFE based cathode material were tested in three different temperatures (20 °C, 5 °C, -5 °C), and results were compared with former batteries. Moreover, the key factors influencing capacity retention, cycling stability, and rate capability were highlighted with the help of a </w:t>
      </w:r>
      <w:proofErr w:type="spellStart"/>
      <w:r w:rsidRPr="007E3D08">
        <w:rPr>
          <w:rFonts w:cs="Arial"/>
          <w:szCs w:val="18"/>
          <w:lang w:val="en-US"/>
        </w:rPr>
        <w:t>Neware</w:t>
      </w:r>
      <w:proofErr w:type="spellEnd"/>
      <w:r w:rsidRPr="007E3D08">
        <w:rPr>
          <w:rFonts w:cs="Arial"/>
          <w:szCs w:val="18"/>
          <w:lang w:val="en-US"/>
        </w:rPr>
        <w:t xml:space="preserve"> tester and SEM-EDS analysis. Furthermore, existing limitations and research gaps were identified, and future perspectives focusing on sustainable material development and advanced electrode design were suggested.</w:t>
      </w:r>
    </w:p>
    <w:p w14:paraId="1687BB60" w14:textId="6BA6E217" w:rsidR="006B73A1" w:rsidRPr="007E3D08" w:rsidRDefault="006279AA" w:rsidP="00B4236D">
      <w:pPr>
        <w:tabs>
          <w:tab w:val="clear" w:pos="7100"/>
        </w:tabs>
        <w:spacing w:line="240" w:lineRule="auto"/>
        <w:jc w:val="left"/>
        <w:rPr>
          <w:rFonts w:cs="Arial"/>
          <w:szCs w:val="18"/>
          <w:lang w:val="en-US"/>
        </w:rPr>
      </w:pPr>
      <w:r w:rsidRPr="007E3D08">
        <w:rPr>
          <w:rFonts w:cs="Arial"/>
          <w:b/>
          <w:bCs/>
          <w:szCs w:val="18"/>
          <w:lang w:val="en-US"/>
        </w:rPr>
        <w:t>Key words:</w:t>
      </w:r>
      <w:r w:rsidRPr="007E3D08">
        <w:rPr>
          <w:rFonts w:cs="Arial"/>
          <w:szCs w:val="18"/>
          <w:lang w:val="en-US"/>
        </w:rPr>
        <w:t xml:space="preserve"> Sodium–sulfur batteries,</w:t>
      </w:r>
      <w:r w:rsidR="006C49DC" w:rsidRPr="007E3D08">
        <w:rPr>
          <w:rFonts w:cs="Arial"/>
          <w:szCs w:val="18"/>
          <w:lang w:val="en-US"/>
        </w:rPr>
        <w:t xml:space="preserve"> PTFE Binder, </w:t>
      </w:r>
      <w:r w:rsidR="000979FD" w:rsidRPr="007E3D08">
        <w:rPr>
          <w:rFonts w:cs="Arial"/>
          <w:szCs w:val="18"/>
          <w:lang w:val="en-US"/>
        </w:rPr>
        <w:t>C</w:t>
      </w:r>
      <w:r w:rsidRPr="007E3D08">
        <w:rPr>
          <w:rFonts w:cs="Arial"/>
          <w:szCs w:val="18"/>
          <w:lang w:val="en-US"/>
        </w:rPr>
        <w:t xml:space="preserve">athode materials, </w:t>
      </w:r>
      <w:r w:rsidR="000979FD" w:rsidRPr="007E3D08">
        <w:rPr>
          <w:rFonts w:cs="Arial"/>
          <w:szCs w:val="18"/>
          <w:lang w:val="en-US"/>
        </w:rPr>
        <w:t>E</w:t>
      </w:r>
      <w:r w:rsidRPr="007E3D08">
        <w:rPr>
          <w:rFonts w:cs="Arial"/>
          <w:szCs w:val="18"/>
          <w:lang w:val="en-US"/>
        </w:rPr>
        <w:t>nergy storage</w:t>
      </w:r>
      <w:r w:rsidR="006C49DC" w:rsidRPr="007E3D08">
        <w:rPr>
          <w:rFonts w:cs="Arial"/>
          <w:szCs w:val="18"/>
          <w:lang w:val="en-US"/>
        </w:rPr>
        <w:t xml:space="preserve"> systems</w:t>
      </w:r>
      <w:r w:rsidRPr="007E3D08">
        <w:rPr>
          <w:rFonts w:cs="Arial"/>
          <w:szCs w:val="18"/>
          <w:lang w:val="en-US"/>
        </w:rPr>
        <w:t xml:space="preserve">, </w:t>
      </w:r>
      <w:r w:rsidR="000979FD" w:rsidRPr="007E3D08">
        <w:rPr>
          <w:rFonts w:cs="Arial"/>
          <w:szCs w:val="18"/>
          <w:lang w:val="en-US"/>
        </w:rPr>
        <w:t>E</w:t>
      </w:r>
      <w:r w:rsidRPr="007E3D08">
        <w:rPr>
          <w:rFonts w:cs="Arial"/>
          <w:szCs w:val="18"/>
          <w:lang w:val="en-US"/>
        </w:rPr>
        <w:t>lectrochemical performance,</w:t>
      </w:r>
      <w:r w:rsidR="006C49DC" w:rsidRPr="007E3D08">
        <w:rPr>
          <w:rFonts w:cs="Arial"/>
          <w:szCs w:val="18"/>
          <w:lang w:val="en-US"/>
        </w:rPr>
        <w:t xml:space="preserve"> Low temperature performance, SEM Analysis. </w:t>
      </w:r>
      <w:r w:rsidR="006C49DC" w:rsidRPr="007E3D08">
        <w:rPr>
          <w:rFonts w:cs="Arial"/>
          <w:szCs w:val="18"/>
          <w:lang w:val="en-US"/>
        </w:rPr>
        <w:tab/>
      </w:r>
    </w:p>
    <w:p w14:paraId="62657B61" w14:textId="738D8B16" w:rsidR="00E1367A" w:rsidRPr="00463350" w:rsidRDefault="008B49A1" w:rsidP="00B024F1">
      <w:pPr>
        <w:tabs>
          <w:tab w:val="clear" w:pos="7100"/>
        </w:tabs>
        <w:spacing w:line="240" w:lineRule="auto"/>
        <w:rPr>
          <w:rFonts w:cs="Arial"/>
          <w:i/>
          <w:iCs/>
          <w:szCs w:val="18"/>
          <w:lang w:val="en-US" w:eastAsia="ru-RU"/>
        </w:rPr>
      </w:pPr>
      <w:r w:rsidRPr="007E3D08">
        <w:rPr>
          <w:b/>
          <w:bCs/>
          <w:szCs w:val="18"/>
          <w:lang w:val="en-US"/>
        </w:rPr>
        <w:t xml:space="preserve">Introduction: </w:t>
      </w:r>
      <w:r w:rsidRPr="007E3D08">
        <w:rPr>
          <w:szCs w:val="18"/>
          <w:lang w:val="en-US"/>
        </w:rPr>
        <w:t>As global demand for renewable energy increases, the intermittency and instability of sources such as wind and solar energy present significant challenges. As a result, large-scale energy storage systems have become increasingly important, particularly battery energy storage systems. Compared to lithium, sodium is much more abundant in the crustal content (Na: 2.36</w:t>
      </w:r>
      <w:r w:rsidR="00D66E62" w:rsidRPr="007E3D08">
        <w:rPr>
          <w:szCs w:val="18"/>
          <w:lang w:val="en-US"/>
        </w:rPr>
        <w:t xml:space="preserve"> </w:t>
      </w:r>
      <w:r w:rsidRPr="007E3D08">
        <w:rPr>
          <w:szCs w:val="18"/>
          <w:lang w:val="en-US"/>
        </w:rPr>
        <w:t>% vs. Li: 0.0065</w:t>
      </w:r>
      <w:r w:rsidR="00D66E62" w:rsidRPr="007E3D08">
        <w:rPr>
          <w:szCs w:val="18"/>
          <w:lang w:val="en-US"/>
        </w:rPr>
        <w:t xml:space="preserve"> </w:t>
      </w:r>
      <w:r w:rsidRPr="007E3D08">
        <w:rPr>
          <w:szCs w:val="18"/>
          <w:lang w:val="en-US"/>
        </w:rPr>
        <w:t xml:space="preserve">%) and has a lower production cost. Therefore, sodium-ion batteries (SIBs) have become the preferred choice for meeting grid-scale energy storage requirements </w:t>
      </w:r>
      <w:r w:rsidR="006C415F" w:rsidRPr="007E3D08">
        <w:rPr>
          <w:rFonts w:cs="Arial"/>
          <w:szCs w:val="18"/>
          <w:lang w:val="en-US"/>
        </w:rPr>
        <w:t>(</w:t>
      </w:r>
      <w:proofErr w:type="spellStart"/>
      <w:r w:rsidR="006C415F" w:rsidRPr="007E3D08">
        <w:rPr>
          <w:rFonts w:cs="Arial"/>
          <w:szCs w:val="18"/>
          <w:lang w:val="en-US"/>
        </w:rPr>
        <w:t>Siyang</w:t>
      </w:r>
      <w:proofErr w:type="spellEnd"/>
      <w:r w:rsidR="006C415F" w:rsidRPr="007E3D08">
        <w:rPr>
          <w:rFonts w:cs="Arial"/>
          <w:szCs w:val="18"/>
          <w:lang w:val="en-US"/>
        </w:rPr>
        <w:t xml:space="preserve"> Gan et al., 2025)</w:t>
      </w:r>
      <w:r w:rsidRPr="007E3D08">
        <w:rPr>
          <w:szCs w:val="18"/>
          <w:lang w:val="en-US"/>
        </w:rPr>
        <w:t xml:space="preserve"> </w:t>
      </w:r>
      <w:r w:rsidRPr="007E3D08">
        <w:rPr>
          <w:szCs w:val="18"/>
          <w:shd w:val="clear" w:color="auto" w:fill="FFFFFF"/>
          <w:lang w:val="en-US"/>
        </w:rPr>
        <w:t xml:space="preserve">Rechargeable sodium–sulfur (Na–S) batteries are regarded as a promising energy storage technology due to their high energy density and low cost </w:t>
      </w:r>
      <w:r w:rsidR="006C415F" w:rsidRPr="007E3D08">
        <w:rPr>
          <w:rFonts w:cs="Arial"/>
          <w:szCs w:val="18"/>
          <w:lang w:val="en-US"/>
        </w:rPr>
        <w:t>(Y. Wang et al., 2020).</w:t>
      </w:r>
      <w:r w:rsidRPr="007E3D08">
        <w:rPr>
          <w:szCs w:val="18"/>
          <w:lang w:val="en-US"/>
        </w:rPr>
        <w:t xml:space="preserve"> Focusing on renewable energy sources, stationary energy storage systems are crucial for enhancing grid reliability. In the near future, the demand for stationary energy storage devices is expected to rise sharply in order to ensure a stable supply of energy from renewable resources </w:t>
      </w:r>
      <w:r w:rsidR="00B4236D" w:rsidRPr="007E3D08">
        <w:rPr>
          <w:szCs w:val="18"/>
          <w:lang w:val="en-US"/>
        </w:rPr>
        <w:t>(</w:t>
      </w:r>
      <w:proofErr w:type="spellStart"/>
      <w:r w:rsidR="00B4236D" w:rsidRPr="007E3D08">
        <w:rPr>
          <w:szCs w:val="18"/>
          <w:lang w:val="en-US"/>
        </w:rPr>
        <w:t>Bloi</w:t>
      </w:r>
      <w:proofErr w:type="spellEnd"/>
      <w:r w:rsidR="00B4236D" w:rsidRPr="007E3D08">
        <w:rPr>
          <w:szCs w:val="18"/>
          <w:lang w:val="en-US"/>
        </w:rPr>
        <w:t xml:space="preserve">, et al., 2020). </w:t>
      </w:r>
      <w:r w:rsidRPr="007E3D08">
        <w:rPr>
          <w:szCs w:val="18"/>
          <w:lang w:val="en-US"/>
        </w:rPr>
        <w:t xml:space="preserve">Moreover, industrial nanoscale waste is very harmful to the environment and, ultimately, to humans and living organisms. </w:t>
      </w:r>
      <w:r w:rsidR="00A106F9">
        <w:rPr>
          <w:szCs w:val="18"/>
          <w:lang w:val="en-US"/>
        </w:rPr>
        <w:t>Waste</w:t>
      </w:r>
      <w:r w:rsidRPr="007E3D08">
        <w:rPr>
          <w:szCs w:val="18"/>
          <w:lang w:val="en-US"/>
        </w:rPr>
        <w:t>water generated from oil and gas processing, as well as from various plants, often contains numerous sulfur-containing salts, including Na</w:t>
      </w:r>
      <w:r w:rsidRPr="007E3D08">
        <w:rPr>
          <w:sz w:val="14"/>
          <w:szCs w:val="14"/>
          <w:lang w:val="en-US"/>
        </w:rPr>
        <w:t>2</w:t>
      </w:r>
      <w:r w:rsidRPr="007E3D08">
        <w:rPr>
          <w:szCs w:val="18"/>
          <w:lang w:val="en-US"/>
        </w:rPr>
        <w:t>SO</w:t>
      </w:r>
      <w:r w:rsidRPr="007E3D08">
        <w:rPr>
          <w:sz w:val="14"/>
          <w:szCs w:val="14"/>
          <w:lang w:val="en-US"/>
        </w:rPr>
        <w:t>4</w:t>
      </w:r>
      <w:r w:rsidRPr="007E3D08">
        <w:rPr>
          <w:szCs w:val="18"/>
          <w:lang w:val="en-US"/>
        </w:rPr>
        <w:t>, Na</w:t>
      </w:r>
      <w:r w:rsidRPr="007E3D08">
        <w:rPr>
          <w:sz w:val="14"/>
          <w:szCs w:val="14"/>
          <w:lang w:val="en-US"/>
        </w:rPr>
        <w:t>2</w:t>
      </w:r>
      <w:r w:rsidRPr="007E3D08">
        <w:rPr>
          <w:szCs w:val="18"/>
          <w:lang w:val="en-US"/>
        </w:rPr>
        <w:t xml:space="preserve">S, sodium polysulfides, and </w:t>
      </w:r>
      <w:proofErr w:type="spellStart"/>
      <w:r w:rsidRPr="007E3D08">
        <w:rPr>
          <w:szCs w:val="18"/>
          <w:lang w:val="en-US"/>
        </w:rPr>
        <w:t>NaHS</w:t>
      </w:r>
      <w:proofErr w:type="spellEnd"/>
      <w:r w:rsidRPr="007E3D08">
        <w:rPr>
          <w:szCs w:val="18"/>
          <w:lang w:val="en-US"/>
        </w:rPr>
        <w:t xml:space="preserve"> </w:t>
      </w:r>
      <w:r w:rsidR="00B4236D" w:rsidRPr="007E3D08">
        <w:t>(</w:t>
      </w:r>
      <w:proofErr w:type="spellStart"/>
      <w:r w:rsidR="00B4236D" w:rsidRPr="007E3D08">
        <w:t>Khakimov</w:t>
      </w:r>
      <w:proofErr w:type="spellEnd"/>
      <w:r w:rsidR="00B4236D" w:rsidRPr="007E3D08">
        <w:t xml:space="preserve">, F.S., </w:t>
      </w:r>
      <w:r w:rsidR="00B4236D" w:rsidRPr="007E3D08">
        <w:rPr>
          <w:rFonts w:cs="Arial"/>
          <w:szCs w:val="18"/>
          <w:lang w:val="en-US"/>
        </w:rPr>
        <w:t>et al., 202</w:t>
      </w:r>
      <w:r w:rsidR="00FE48C2" w:rsidRPr="007E3D08">
        <w:rPr>
          <w:rFonts w:cs="Arial"/>
          <w:szCs w:val="18"/>
          <w:lang w:val="en-US"/>
        </w:rPr>
        <w:t>5</w:t>
      </w:r>
      <w:r w:rsidR="00B4236D" w:rsidRPr="007E3D08">
        <w:rPr>
          <w:rFonts w:cs="Arial"/>
          <w:szCs w:val="18"/>
          <w:lang w:val="en-US"/>
        </w:rPr>
        <w:t>).</w:t>
      </w:r>
      <w:r w:rsidRPr="007E3D08">
        <w:rPr>
          <w:szCs w:val="18"/>
          <w:lang w:val="en-US"/>
        </w:rPr>
        <w:t xml:space="preserve"> </w:t>
      </w:r>
      <w:r w:rsidRPr="007E3D08">
        <w:rPr>
          <w:rStyle w:val="fontstyle01"/>
          <w:rFonts w:ascii="Arial" w:hAnsi="Arial" w:cs="Arial"/>
          <w:color w:val="auto"/>
          <w:sz w:val="18"/>
          <w:szCs w:val="18"/>
          <w:lang w:val="en-US"/>
        </w:rPr>
        <w:t>The global CO</w:t>
      </w:r>
      <w:r w:rsidRPr="007E3D08">
        <w:rPr>
          <w:rStyle w:val="fontstyle01"/>
          <w:rFonts w:ascii="Arial" w:hAnsi="Arial" w:cs="Arial"/>
          <w:color w:val="auto"/>
          <w:sz w:val="14"/>
          <w:szCs w:val="14"/>
          <w:lang w:val="en-US"/>
        </w:rPr>
        <w:t>2</w:t>
      </w:r>
      <w:r w:rsidRPr="007E3D08">
        <w:rPr>
          <w:rStyle w:val="fontstyle01"/>
          <w:rFonts w:ascii="Arial" w:hAnsi="Arial" w:cs="Arial"/>
          <w:color w:val="auto"/>
          <w:sz w:val="18"/>
          <w:szCs w:val="18"/>
          <w:lang w:val="en-US"/>
        </w:rPr>
        <w:t xml:space="preserve"> concentration in the atmosphere reached 417.1 ppm in 2022 and increased to 425 ppm in 2025</w:t>
      </w:r>
      <w:r w:rsidR="00694F6F" w:rsidRPr="007E3D08">
        <w:rPr>
          <w:rStyle w:val="fontstyle01"/>
          <w:rFonts w:ascii="Arial" w:hAnsi="Arial" w:cs="Arial"/>
          <w:color w:val="auto"/>
          <w:sz w:val="18"/>
          <w:szCs w:val="18"/>
          <w:lang w:val="en-US"/>
        </w:rPr>
        <w:t xml:space="preserve"> </w:t>
      </w:r>
      <w:r w:rsidR="008C1355" w:rsidRPr="007E3D08">
        <w:t>(</w:t>
      </w:r>
      <w:proofErr w:type="spellStart"/>
      <w:r w:rsidR="008C1355" w:rsidRPr="007E3D08">
        <w:t>Friedlingstein</w:t>
      </w:r>
      <w:proofErr w:type="spellEnd"/>
      <w:r w:rsidR="008C1355" w:rsidRPr="007E3D08">
        <w:t xml:space="preserve"> et al., 2022)</w:t>
      </w:r>
      <w:r w:rsidRPr="007E3D08">
        <w:rPr>
          <w:rFonts w:cs="Arial"/>
          <w:szCs w:val="18"/>
          <w:lang w:val="en-US"/>
        </w:rPr>
        <w:t>.</w:t>
      </w:r>
      <w:r w:rsidR="00044479" w:rsidRPr="007E3D08">
        <w:rPr>
          <w:rFonts w:cs="Arial"/>
          <w:szCs w:val="18"/>
          <w:lang w:val="en-US"/>
        </w:rPr>
        <w:t xml:space="preserve"> </w:t>
      </w:r>
      <w:r w:rsidRPr="007E3D08">
        <w:rPr>
          <w:rStyle w:val="fontstyle01"/>
          <w:rFonts w:ascii="Arial" w:hAnsi="Arial" w:cs="Arial"/>
          <w:color w:val="auto"/>
          <w:sz w:val="18"/>
          <w:szCs w:val="18"/>
          <w:lang w:val="en-US"/>
        </w:rPr>
        <w:t xml:space="preserve">The primary factor responsible for GHG </w:t>
      </w:r>
      <w:r w:rsidR="00C130FF" w:rsidRPr="007E3D08">
        <w:rPr>
          <w:rStyle w:val="fontstyle01"/>
          <w:rFonts w:ascii="Arial" w:hAnsi="Arial" w:cs="Arial"/>
          <w:color w:val="auto"/>
          <w:sz w:val="18"/>
          <w:szCs w:val="18"/>
          <w:lang w:val="en-US"/>
        </w:rPr>
        <w:t xml:space="preserve">(greenhouse gases) </w:t>
      </w:r>
      <w:r w:rsidRPr="007E3D08">
        <w:rPr>
          <w:rStyle w:val="fontstyle01"/>
          <w:rFonts w:ascii="Arial" w:hAnsi="Arial" w:cs="Arial"/>
          <w:color w:val="auto"/>
          <w:sz w:val="18"/>
          <w:szCs w:val="18"/>
          <w:lang w:val="en-US"/>
        </w:rPr>
        <w:t xml:space="preserve">emissions is the burning of fuels to produce electricity. The increase in these emissions has heightened the necessity for breakthroughs in energy technologies to fulfill the expanding requirements of society beyond the limitations of fossil fuels </w:t>
      </w:r>
      <w:r w:rsidR="008C1355" w:rsidRPr="007E3D08">
        <w:rPr>
          <w:rStyle w:val="affff0"/>
          <w:b w:val="0"/>
          <w:bCs w:val="0"/>
        </w:rPr>
        <w:t>(Srivastava et al., 2024).</w:t>
      </w:r>
      <w:r w:rsidRPr="007E3D08">
        <w:rPr>
          <w:rStyle w:val="fontstyle01"/>
          <w:rFonts w:ascii="Arial" w:hAnsi="Arial" w:cs="Arial"/>
          <w:color w:val="auto"/>
          <w:sz w:val="18"/>
          <w:szCs w:val="18"/>
          <w:lang w:val="en-US"/>
        </w:rPr>
        <w:t xml:space="preserve"> Several new policies have been implemented to address rising global temperatures during the November 2023 Conference of the Parties (COP 28). One key strategy is the global renewables and energy efficiency pledge. The USD 5 billion in funding granted to this pledge aims to assist 132 countries in advancing RESs and enhancing their efficiency by 2030 </w:t>
      </w:r>
      <w:r w:rsidR="008C1355" w:rsidRPr="007E3D08">
        <w:t xml:space="preserve">(COP28 UAE, 2024). </w:t>
      </w:r>
      <w:r w:rsidR="006B73A1" w:rsidRPr="007E3D08">
        <w:t xml:space="preserve">The rapidly growing demand for lithium-ion batteries, driven by electric vehicles and large-scale energy storage systems, has substantially increased the global consumption of lithium. According to the International Energy Agency (IEA), </w:t>
      </w:r>
      <w:r w:rsidR="006B73A1" w:rsidRPr="007E3D08">
        <w:lastRenderedPageBreak/>
        <w:t>global lithium demand for clean energy technologies is projected to increase from 92 kt in 2023 to approximately 442 kt by 2030 under the Announced Pledges Scenario (APS), while total lithium demand is expected to exceed 530 kt. This rapid growth raises concerns regarding long-term supply security, mining capacity, and the geographical concentration of lithium production, despite the continued expansion of mining and recycling activities</w:t>
      </w:r>
      <w:r w:rsidR="004356BF" w:rsidRPr="007E3D08">
        <w:t xml:space="preserve"> (International Energy Agency (IEA), 2024)</w:t>
      </w:r>
      <w:r w:rsidR="006B73A1" w:rsidRPr="007E3D08">
        <w:t xml:space="preserve"> Consequently, sodium-ion batteries have emerged as a promising complementary technology because sodium is one of the most abundant elements in the Earth's crust, is widely distributed, and can significantly reduce dependence on critical lithium resources. </w:t>
      </w:r>
      <w:r w:rsidR="004356BF" w:rsidRPr="007E3D08">
        <w:rPr>
          <w:rFonts w:cs="Arial"/>
          <w:szCs w:val="18"/>
          <w:lang w:val="en-US"/>
        </w:rPr>
        <w:t xml:space="preserve">Both lithium-ion batteries (LIBs) and sodium-ion batteries (SIBs) have their own cathodes that enhance their power </w:t>
      </w:r>
      <w:r w:rsidR="008C1355" w:rsidRPr="007E3D08">
        <w:t>(Smith et al., 2021).</w:t>
      </w:r>
      <w:r w:rsidR="007C1C69" w:rsidRPr="007E3D08">
        <w:rPr>
          <w:rFonts w:cs="Arial"/>
          <w:i/>
          <w:iCs/>
          <w:szCs w:val="18"/>
          <w:lang w:val="en-US" w:eastAsia="ru-RU"/>
        </w:rPr>
        <w:t xml:space="preserve"> </w:t>
      </w:r>
      <w:r w:rsidR="004356BF" w:rsidRPr="007E3D08">
        <w:rPr>
          <w:rFonts w:cs="Arial"/>
          <w:szCs w:val="18"/>
          <w:lang w:val="en-US"/>
        </w:rPr>
        <w:t>However, reducing the shuttle effect and improving the number of cycles in batteries are still very important consideration that should be paid attention to. Sodium-sulfur batteries consist of a sulfur-based cathode, an electrolyte containing sodium salts, a sodium metal anode, and a separator in the middle of the battery. Cathode: When it is working, sodium is oxidized at the anode, releasing electrons and forming Na</w:t>
      </w:r>
      <w:r w:rsidR="004356BF" w:rsidRPr="007E3D08">
        <w:rPr>
          <w:rFonts w:ascii="Cambria Math" w:hAnsi="Cambria Math" w:cs="Cambria Math"/>
          <w:szCs w:val="18"/>
          <w:lang w:val="en-US"/>
        </w:rPr>
        <w:t>⁺</w:t>
      </w:r>
      <w:r w:rsidR="004356BF" w:rsidRPr="007E3D08">
        <w:rPr>
          <w:rFonts w:cs="Arial"/>
          <w:szCs w:val="18"/>
          <w:lang w:val="en-US"/>
        </w:rPr>
        <w:t xml:space="preserve"> ions. Then, released Na</w:t>
      </w:r>
      <w:r w:rsidR="004356BF" w:rsidRPr="007E3D08">
        <w:rPr>
          <w:rFonts w:ascii="Cambria Math" w:hAnsi="Cambria Math" w:cs="Cambria Math"/>
          <w:szCs w:val="18"/>
          <w:lang w:val="en-US"/>
        </w:rPr>
        <w:t>⁺</w:t>
      </w:r>
      <w:r w:rsidR="004356BF" w:rsidRPr="007E3D08">
        <w:rPr>
          <w:rFonts w:cs="Arial"/>
          <w:szCs w:val="18"/>
          <w:lang w:val="en-US"/>
        </w:rPr>
        <w:t xml:space="preserve"> ions move through the electrolyte to the cathode, where sulfur undergoes reduction reactions, forming soluble sodium polysulfides (</w:t>
      </w:r>
      <w:proofErr w:type="spellStart"/>
      <w:r w:rsidR="004356BF" w:rsidRPr="007E3D08">
        <w:rPr>
          <w:rFonts w:cs="Arial"/>
          <w:szCs w:val="18"/>
          <w:lang w:val="en-US"/>
        </w:rPr>
        <w:t>Na</w:t>
      </w:r>
      <w:r w:rsidR="004356BF" w:rsidRPr="007E3D08">
        <w:rPr>
          <w:rFonts w:ascii="Cambria Math" w:hAnsi="Cambria Math" w:cs="Cambria Math"/>
          <w:szCs w:val="18"/>
          <w:lang w:val="en-US"/>
        </w:rPr>
        <w:t>₂</w:t>
      </w:r>
      <w:r w:rsidR="004356BF" w:rsidRPr="007E3D08">
        <w:rPr>
          <w:rFonts w:cs="Arial"/>
          <w:szCs w:val="18"/>
          <w:lang w:val="en-US"/>
        </w:rPr>
        <w:t>S</w:t>
      </w:r>
      <w:proofErr w:type="spellEnd"/>
      <w:r w:rsidR="004356BF" w:rsidRPr="007E3D08">
        <w:rPr>
          <w:rFonts w:cs="Arial"/>
          <w:szCs w:val="18"/>
          <w:lang w:val="en-US"/>
        </w:rPr>
        <w:t xml:space="preserve">ₓ, 2 ≤ x ≤ 8) and finally </w:t>
      </w:r>
      <w:proofErr w:type="spellStart"/>
      <w:r w:rsidR="004356BF" w:rsidRPr="007E3D08">
        <w:rPr>
          <w:rFonts w:cs="Arial"/>
          <w:szCs w:val="18"/>
          <w:lang w:val="en-US"/>
        </w:rPr>
        <w:t>Na</w:t>
      </w:r>
      <w:r w:rsidR="004356BF" w:rsidRPr="007E3D08">
        <w:rPr>
          <w:rFonts w:ascii="Cambria Math" w:hAnsi="Cambria Math" w:cs="Cambria Math"/>
          <w:szCs w:val="18"/>
          <w:lang w:val="en-US"/>
        </w:rPr>
        <w:t>₂</w:t>
      </w:r>
      <w:r w:rsidR="004356BF" w:rsidRPr="007E3D08">
        <w:rPr>
          <w:rFonts w:cs="Arial"/>
          <w:szCs w:val="18"/>
          <w:lang w:val="en-US"/>
        </w:rPr>
        <w:t>S</w:t>
      </w:r>
      <w:proofErr w:type="spellEnd"/>
      <w:r w:rsidR="004356BF" w:rsidRPr="007E3D08">
        <w:rPr>
          <w:rFonts w:cs="Arial"/>
          <w:szCs w:val="18"/>
          <w:lang w:val="en-US"/>
        </w:rPr>
        <w:t xml:space="preserve"> </w:t>
      </w:r>
      <w:r w:rsidR="007C1C69" w:rsidRPr="007E3D08">
        <w:t xml:space="preserve">(Wang et al., 2021). </w:t>
      </w:r>
      <w:r w:rsidR="004356BF" w:rsidRPr="007E3D08">
        <w:rPr>
          <w:rFonts w:cs="Arial"/>
          <w:szCs w:val="18"/>
          <w:lang w:val="en-US"/>
        </w:rPr>
        <w:t xml:space="preserve">Anode: The much richer abundance of sodium in Earth’s crust is the biggest advantage over lithium, and makes it a promising alternative anode material. Sodium metal is one of the ideal anodes for high-performance rechargeable batteries because of its high specific capacity (~ 1166 mAh·g−1), low reduction potential (−2.71 V compared to standard hydrogen electrodes), and low cost </w:t>
      </w:r>
      <w:r w:rsidR="007C1C69" w:rsidRPr="007E3D08">
        <w:t>(Xu et al., 2024).</w:t>
      </w:r>
      <w:r w:rsidR="004356BF" w:rsidRPr="007E3D08">
        <w:rPr>
          <w:rFonts w:cs="Arial"/>
          <w:szCs w:val="18"/>
          <w:lang w:val="en-US"/>
        </w:rPr>
        <w:t xml:space="preserve"> Binder–cathode interactions were first predicted for sodium–sulfur batteries using theoretical calculations, and then confirmed experimentally using a polyacrylic acid (PAA) binder, in combination with an S-PAN cathode </w:t>
      </w:r>
      <w:r w:rsidR="007C1C69" w:rsidRPr="007E3D08">
        <w:t>(</w:t>
      </w:r>
      <w:proofErr w:type="spellStart"/>
      <w:r w:rsidR="007C1C69" w:rsidRPr="007E3D08">
        <w:t>Eng</w:t>
      </w:r>
      <w:proofErr w:type="spellEnd"/>
      <w:r w:rsidR="007C1C69" w:rsidRPr="007E3D08">
        <w:t xml:space="preserve"> et al., 2020).</w:t>
      </w:r>
      <w:r w:rsidR="004356BF" w:rsidRPr="007E3D08">
        <w:rPr>
          <w:rFonts w:cs="Arial"/>
          <w:szCs w:val="18"/>
          <w:lang w:val="en-US"/>
        </w:rPr>
        <w:t xml:space="preserve"> One of the effective binders, polytetrafluoroethylene (PTFE), has demonstrated advantages in terms of adhesion strength, ion conductivity, and environmental sustainability </w:t>
      </w:r>
      <w:r w:rsidR="007C1C69" w:rsidRPr="007E3D08">
        <w:t>(</w:t>
      </w:r>
      <w:proofErr w:type="spellStart"/>
      <w:r w:rsidR="007C1C69" w:rsidRPr="007E3D08">
        <w:t>Kareeklin</w:t>
      </w:r>
      <w:proofErr w:type="spellEnd"/>
      <w:r w:rsidR="007C1C69" w:rsidRPr="007E3D08">
        <w:t xml:space="preserve"> et al., 2026).</w:t>
      </w:r>
      <w:r w:rsidR="004356BF" w:rsidRPr="007E3D08">
        <w:rPr>
          <w:rFonts w:cs="Arial"/>
          <w:szCs w:val="18"/>
          <w:lang w:val="en-US"/>
        </w:rPr>
        <w:t xml:space="preserve"> Polytetrafluoroethylene (PTFE) has found success in energy storage devices, particularly in supercapacitors due to its superior tolerance to alkaline conditions compared with PVDF </w:t>
      </w:r>
      <w:r w:rsidR="007C1C69" w:rsidRPr="007E3D08">
        <w:t>(</w:t>
      </w:r>
      <w:proofErr w:type="spellStart"/>
      <w:r w:rsidR="007C1C69" w:rsidRPr="007E3D08">
        <w:t>Hencz</w:t>
      </w:r>
      <w:proofErr w:type="spellEnd"/>
      <w:r w:rsidR="007C1C69" w:rsidRPr="007E3D08">
        <w:t xml:space="preserve"> et al., 2019).</w:t>
      </w:r>
      <w:r w:rsidR="004356BF" w:rsidRPr="007E3D08">
        <w:rPr>
          <w:rFonts w:cs="Arial"/>
          <w:szCs w:val="18"/>
          <w:lang w:val="en-US"/>
        </w:rPr>
        <w:t xml:space="preserve"> In this research, PTFE binder was used to prepare the cathode instead of PVDF because better structural stability and chemical resistance can be achieved with PTFE. Unlike PVDF, PTFE forms very strong fibril networks that improve connectivity with the foil sheet and maintain electrode integrity during cycles, and these networks were proven by doing SEM-EDS analysis in this research. In addition, PTFE is more hydrophobic, which helps suppress excessive electrolyte wetting and reduces polysulfide dissolution and shuttle effects. </w:t>
      </w:r>
      <w:r w:rsidR="007C1C69" w:rsidRPr="007E3D08">
        <w:rPr>
          <w:rFonts w:cs="Arial"/>
          <w:szCs w:val="18"/>
          <w:lang w:val="en-US"/>
        </w:rPr>
        <w:tab/>
      </w:r>
      <w:r w:rsidR="004356BF" w:rsidRPr="007E3D08">
        <w:rPr>
          <w:rFonts w:cs="Arial"/>
          <w:szCs w:val="18"/>
          <w:lang w:val="en-US"/>
        </w:rPr>
        <w:t xml:space="preserve">   </w:t>
      </w:r>
      <w:r w:rsidR="00E1367A" w:rsidRPr="007E3D08">
        <w:rPr>
          <w:rFonts w:cs="Arial"/>
          <w:szCs w:val="18"/>
          <w:lang w:val="en-US"/>
        </w:rPr>
        <w:br/>
      </w:r>
      <w:r w:rsidRPr="007E3D08">
        <w:rPr>
          <w:b/>
          <w:bCs/>
          <w:szCs w:val="18"/>
          <w:lang w:val="en-US"/>
        </w:rPr>
        <w:t>Key challenges.</w:t>
      </w:r>
      <w:r w:rsidR="004356BF" w:rsidRPr="007E3D08">
        <w:t xml:space="preserve"> </w:t>
      </w:r>
      <w:r w:rsidR="004356BF" w:rsidRPr="007E3D08">
        <w:rPr>
          <w:szCs w:val="18"/>
          <w:lang w:val="en-US"/>
        </w:rPr>
        <w:t>There are many scientists who have researched ways to increase the efficiency of cathodes. However, several problems are still without a correct answer. First, most anode materials have a low initial coulombic efficiency (ICE) of 30–70 %. Such low ICE means that a large portion of Na</w:t>
      </w:r>
      <w:r w:rsidR="004356BF" w:rsidRPr="007E3D08">
        <w:rPr>
          <w:szCs w:val="18"/>
          <w:vertAlign w:val="superscript"/>
          <w:lang w:val="en-US"/>
        </w:rPr>
        <w:t>+</w:t>
      </w:r>
      <w:r w:rsidR="004356BF" w:rsidRPr="007E3D08">
        <w:rPr>
          <w:szCs w:val="18"/>
          <w:lang w:val="en-US"/>
        </w:rPr>
        <w:t xml:space="preserve"> extracted from the cathode during the first charge is consumed by side reactions, which significantly compromises the energy density and cycling stability. Second, their rate capability and cycling stability are inferior to those of LIBs. The sluggish diffusion of the large Na+ leads to poor rate capability. The huge volume changes upon Na insertion and the unsatisfactory surface passivation at the anode/cathode surface provide cycling </w:t>
      </w:r>
      <w:r w:rsidR="00A106F9">
        <w:rPr>
          <w:szCs w:val="18"/>
          <w:lang w:val="en-US"/>
        </w:rPr>
        <w:t>in</w:t>
      </w:r>
      <w:r w:rsidR="004356BF" w:rsidRPr="007E3D08">
        <w:rPr>
          <w:szCs w:val="18"/>
          <w:lang w:val="en-US"/>
        </w:rPr>
        <w:t xml:space="preserve">stability </w:t>
      </w:r>
      <w:r w:rsidR="007C1C69" w:rsidRPr="007E3D08">
        <w:t>(Qin et al., 2024).</w:t>
      </w:r>
      <w:r w:rsidR="004356BF" w:rsidRPr="007E3D08">
        <w:rPr>
          <w:szCs w:val="18"/>
          <w:lang w:val="en-US"/>
        </w:rPr>
        <w:t xml:space="preserve"> Thirdly, reducing the shuttle effect and improve the number of cycles is still a very crucial issue. The main purpose of this research article is to deeply analyze recent developments in PTFE-based cathode material. This paper summarizes </w:t>
      </w:r>
      <w:r w:rsidR="001E4D51">
        <w:rPr>
          <w:szCs w:val="18"/>
          <w:lang w:val="en-US"/>
        </w:rPr>
        <w:t xml:space="preserve">a </w:t>
      </w:r>
      <w:r w:rsidR="001E4D51" w:rsidRPr="001E4D51">
        <w:rPr>
          <w:szCs w:val="18"/>
          <w:lang w:val="en-US"/>
        </w:rPr>
        <w:t xml:space="preserve">dry mixed method by using </w:t>
      </w:r>
      <w:r w:rsidR="001E4D51">
        <w:rPr>
          <w:szCs w:val="18"/>
          <w:lang w:val="en-US"/>
        </w:rPr>
        <w:t xml:space="preserve">a </w:t>
      </w:r>
      <w:r w:rsidR="001E4D51" w:rsidRPr="001E4D51">
        <w:rPr>
          <w:szCs w:val="18"/>
          <w:lang w:val="en-US"/>
        </w:rPr>
        <w:t>PTFE binder</w:t>
      </w:r>
      <w:r w:rsidR="004356BF" w:rsidRPr="001E4D51">
        <w:rPr>
          <w:szCs w:val="18"/>
          <w:lang w:val="en-US"/>
        </w:rPr>
        <w:t xml:space="preserve"> </w:t>
      </w:r>
      <w:r w:rsidR="004356BF" w:rsidRPr="007E3D08">
        <w:rPr>
          <w:szCs w:val="18"/>
          <w:lang w:val="en-US"/>
        </w:rPr>
        <w:t>for improving sulfur utilization, suppressing the polysulfide shuttle effect, and enhancing cycling stability. Moreover, the research compares different cathode design approaches in terms of electrochemical performance and structural stability, compares different research studies, and highlights future directions for the development of cost-effective and sustainable sodium-sulfur battery systems.</w:t>
      </w:r>
      <w:r w:rsidR="001E4D51">
        <w:rPr>
          <w:szCs w:val="18"/>
          <w:lang w:val="en-US"/>
        </w:rPr>
        <w:tab/>
      </w:r>
      <w:r w:rsidR="00AA4773" w:rsidRPr="007E3D08">
        <w:rPr>
          <w:b/>
          <w:bCs/>
          <w:color w:val="00B050"/>
          <w:lang w:val="en-US"/>
        </w:rPr>
        <w:br/>
      </w:r>
      <w:r w:rsidR="00A225B6" w:rsidRPr="007E3D08">
        <w:rPr>
          <w:rStyle w:val="fontstyle01"/>
          <w:rFonts w:ascii="Arial" w:hAnsi="Arial" w:cs="Arial"/>
          <w:b/>
          <w:bCs/>
          <w:color w:val="auto"/>
          <w:sz w:val="18"/>
          <w:szCs w:val="18"/>
          <w:lang w:val="en-US"/>
        </w:rPr>
        <w:t xml:space="preserve">Methods: </w:t>
      </w:r>
      <w:bookmarkStart w:id="5" w:name="_Hlk234825702"/>
      <w:r w:rsidR="00E1367A" w:rsidRPr="007E3D08">
        <w:rPr>
          <w:rFonts w:cs="Arial"/>
          <w:szCs w:val="18"/>
          <w:lang w:val="en-US" w:eastAsia="ru-RU"/>
        </w:rPr>
        <w:t xml:space="preserve">PTFE-based cathode material was prepared in the “Chem Tech” laboratory of Fergana State Technical University, and the properties of the ready coin cell battery (charge and discharge curves) were analyzed with the help of a </w:t>
      </w:r>
      <w:proofErr w:type="spellStart"/>
      <w:r w:rsidR="00E1367A" w:rsidRPr="007E3D08">
        <w:rPr>
          <w:rFonts w:cs="Arial"/>
          <w:szCs w:val="18"/>
          <w:lang w:val="en-US" w:eastAsia="ru-RU"/>
        </w:rPr>
        <w:t>Neware</w:t>
      </w:r>
      <w:proofErr w:type="spellEnd"/>
      <w:r w:rsidR="00E1367A" w:rsidRPr="007E3D08">
        <w:rPr>
          <w:rFonts w:cs="Arial"/>
          <w:szCs w:val="18"/>
          <w:lang w:val="en-US" w:eastAsia="ru-RU"/>
        </w:rPr>
        <w:t xml:space="preserve"> battery tester. In the preparation process of PTFE based cathode, dry-mixed method was used, involving homogenization of the active material, polymer binder, coating, drying, and pressing. The cathode was prepared using wastewater-derived sodium–sulfur (Na–S) salt as the active material, polytetrafluoroethylene (PTFE) as the binder, and carbon nanotubes (CNTs) as the conductive additive. The weight composition of the cathode was 90 wt.% Na–S salt, 3 wt.% PTFE, and 7 wt.% CNTs. Active material (Na-S salt) was purified according to salt purification methods such as freeze-thawing, evaporation, and recrystallization </w:t>
      </w:r>
      <w:r w:rsidR="007C1C69" w:rsidRPr="007E3D08">
        <w:t>(</w:t>
      </w:r>
      <w:proofErr w:type="spellStart"/>
      <w:r w:rsidR="007C1C69" w:rsidRPr="007E3D08">
        <w:t>Khakimov</w:t>
      </w:r>
      <w:proofErr w:type="spellEnd"/>
      <w:r w:rsidR="007C1C69" w:rsidRPr="007E3D08">
        <w:t xml:space="preserve">, F.S., </w:t>
      </w:r>
      <w:r w:rsidR="007C1C69" w:rsidRPr="007E3D08">
        <w:rPr>
          <w:rFonts w:cs="Arial"/>
          <w:szCs w:val="18"/>
          <w:lang w:val="en-US"/>
        </w:rPr>
        <w:t>et al., 2025).</w:t>
      </w:r>
      <w:r w:rsidR="00E1367A" w:rsidRPr="007E3D08">
        <w:rPr>
          <w:rFonts w:cs="Arial"/>
          <w:szCs w:val="18"/>
          <w:lang w:val="en-US" w:eastAsia="ru-RU"/>
        </w:rPr>
        <w:t xml:space="preserve"> Moreover, an ethylene carbonate (EC) and propylene carbonate (PC)-based electrolyte was employed. A typical electrolyte composition consists of 1 M sodium perchlorate (</w:t>
      </w:r>
      <w:proofErr w:type="spellStart"/>
      <w:r w:rsidR="00E1367A" w:rsidRPr="007E3D08">
        <w:rPr>
          <w:rFonts w:cs="Arial"/>
          <w:szCs w:val="18"/>
          <w:lang w:val="en-US" w:eastAsia="ru-RU"/>
        </w:rPr>
        <w:t>NaClO</w:t>
      </w:r>
      <w:proofErr w:type="spellEnd"/>
      <w:r w:rsidR="00E1367A" w:rsidRPr="007E3D08">
        <w:rPr>
          <w:rFonts w:ascii="Cambria Math" w:hAnsi="Cambria Math" w:cs="Cambria Math"/>
          <w:szCs w:val="18"/>
          <w:lang w:val="en-US" w:eastAsia="ru-RU"/>
        </w:rPr>
        <w:t>₄</w:t>
      </w:r>
      <w:r w:rsidR="00E1367A" w:rsidRPr="007E3D08">
        <w:rPr>
          <w:rFonts w:cs="Arial"/>
          <w:szCs w:val="18"/>
          <w:lang w:val="en-US" w:eastAsia="ru-RU"/>
        </w:rPr>
        <w:t>) dissolved in an EC/PC solvent mixture (1:1, v/v), which has been widely adopted for room-temperature sodium–sulfur batteries owing to its favorable Na</w:t>
      </w:r>
      <w:r w:rsidR="00E1367A" w:rsidRPr="007E3D08">
        <w:rPr>
          <w:rFonts w:ascii="Cambria Math" w:hAnsi="Cambria Math" w:cs="Cambria Math"/>
          <w:szCs w:val="18"/>
          <w:lang w:val="en-US" w:eastAsia="ru-RU"/>
        </w:rPr>
        <w:t>⁺</w:t>
      </w:r>
      <w:r w:rsidR="00E1367A" w:rsidRPr="007E3D08">
        <w:rPr>
          <w:rFonts w:cs="Arial"/>
          <w:szCs w:val="18"/>
          <w:lang w:val="en-US" w:eastAsia="ru-RU"/>
        </w:rPr>
        <w:t xml:space="preserve"> transport properties, good compatibility with sodium metal, and improved cycling stability. In the first stage, Na-S salt was vacuum dried at 180-200 °C for 12 h in the vacuum drier (CJF-2L) before inserting into the glove bag, after vacuum drying, the active material was crushed for about 1 hour until it formed a powder in the glove bag. The whole process was done in an inert glove bag system (H</w:t>
      </w:r>
      <w:r w:rsidR="00E1367A" w:rsidRPr="007E3D08">
        <w:rPr>
          <w:rFonts w:ascii="Cambria Math" w:hAnsi="Cambria Math" w:cs="Cambria Math"/>
          <w:szCs w:val="18"/>
          <w:lang w:val="en-US" w:eastAsia="ru-RU"/>
        </w:rPr>
        <w:t>₂</w:t>
      </w:r>
      <w:r w:rsidR="00E1367A" w:rsidRPr="007E3D08">
        <w:rPr>
          <w:rFonts w:cs="Arial"/>
          <w:szCs w:val="18"/>
          <w:lang w:val="en-US" w:eastAsia="ru-RU"/>
        </w:rPr>
        <w:t>O and O</w:t>
      </w:r>
      <w:r w:rsidR="00E1367A" w:rsidRPr="007E3D08">
        <w:rPr>
          <w:rFonts w:ascii="Cambria Math" w:hAnsi="Cambria Math" w:cs="Cambria Math"/>
          <w:szCs w:val="18"/>
          <w:lang w:val="en-US" w:eastAsia="ru-RU"/>
        </w:rPr>
        <w:t>₂</w:t>
      </w:r>
      <w:r w:rsidR="00E1367A" w:rsidRPr="007E3D08">
        <w:rPr>
          <w:rFonts w:cs="Arial"/>
          <w:szCs w:val="18"/>
          <w:lang w:val="en-US" w:eastAsia="ru-RU"/>
        </w:rPr>
        <w:t xml:space="preserve"> &lt; 0.1 ppm) and preserved under oxygen-free and moisture-free conditions for all further processing. Following this, carbon nanotube (CN) and Na-S salt were crushed again for 1 h to make them powder, and their proportions were 7 % and 90 %, respectively. In the next stage of preparing cathode material, PTFE was added to the mixture and crushed again for an hour; during this process, the PTFE binder was mixed with active material and carbon nanotube, resulting in raw cathode material. Then, the mixture was pressed onto an aluminum foil sheet with pressure, and dried for 2 h at 80-90 °C. After that, the dried cathode was left </w:t>
      </w:r>
      <w:r w:rsidR="00E1367A" w:rsidRPr="007E3D08">
        <w:rPr>
          <w:rFonts w:cs="Arial"/>
          <w:szCs w:val="18"/>
          <w:lang w:val="en-US" w:eastAsia="ru-RU"/>
        </w:rPr>
        <w:lastRenderedPageBreak/>
        <w:t>for 3 h in vacuum conditions. In the final stage, circular cathode electrodes with a diameter of 15 mm were produced by punching</w:t>
      </w:r>
      <w:r w:rsidR="007B7C57">
        <w:rPr>
          <w:rFonts w:cs="Arial"/>
          <w:szCs w:val="18"/>
          <w:lang w:val="en-US" w:eastAsia="ru-RU"/>
        </w:rPr>
        <w:t>.</w:t>
      </w:r>
      <w:r w:rsidR="00463350" w:rsidRPr="007E3D08">
        <w:rPr>
          <w:rFonts w:cs="Arial"/>
          <w:b/>
          <w:bCs/>
          <w:color w:val="187B34"/>
          <w:szCs w:val="18"/>
          <w:lang w:val="en-US" w:eastAsia="ru-RU"/>
        </w:rPr>
        <w:t xml:space="preserve"> </w:t>
      </w:r>
      <w:r w:rsidR="00E1367A" w:rsidRPr="007E3D08">
        <w:rPr>
          <w:rFonts w:cs="Arial"/>
          <w:szCs w:val="18"/>
          <w:lang w:val="en-US" w:eastAsia="ru-RU"/>
        </w:rPr>
        <w:t xml:space="preserve">Three </w:t>
      </w:r>
      <w:r w:rsidR="007B7C57">
        <w:rPr>
          <w:rFonts w:cs="Arial"/>
          <w:szCs w:val="18"/>
          <w:lang w:val="en-US" w:eastAsia="ru-RU"/>
        </w:rPr>
        <w:t>cathodes</w:t>
      </w:r>
      <w:r w:rsidR="00E1367A" w:rsidRPr="007E3D08">
        <w:rPr>
          <w:rFonts w:cs="Arial"/>
          <w:szCs w:val="18"/>
          <w:lang w:val="en-US" w:eastAsia="ru-RU"/>
        </w:rPr>
        <w:t xml:space="preserve"> were</w:t>
      </w:r>
      <w:r w:rsidR="00A106F9">
        <w:rPr>
          <w:rFonts w:cs="Arial"/>
          <w:szCs w:val="18"/>
          <w:lang w:val="en-US" w:eastAsia="ru-RU"/>
        </w:rPr>
        <w:t xml:space="preserve"> </w:t>
      </w:r>
      <w:r w:rsidR="007B7C57">
        <w:rPr>
          <w:rFonts w:cs="Arial"/>
          <w:szCs w:val="18"/>
          <w:lang w:val="en-US" w:eastAsia="ru-RU"/>
        </w:rPr>
        <w:t>prepared</w:t>
      </w:r>
      <w:r w:rsidR="00A106F9">
        <w:rPr>
          <w:rFonts w:cs="Arial"/>
          <w:szCs w:val="18"/>
          <w:lang w:val="en-US" w:eastAsia="ru-RU"/>
        </w:rPr>
        <w:t xml:space="preserve"> and one of them was</w:t>
      </w:r>
      <w:r w:rsidR="00E1367A" w:rsidRPr="007E3D08">
        <w:rPr>
          <w:rFonts w:cs="Arial"/>
          <w:szCs w:val="18"/>
          <w:lang w:val="en-US" w:eastAsia="ru-RU"/>
        </w:rPr>
        <w:t xml:space="preserve"> inserted into a detachable coin cell using sodium metal as the counter electrode (anode), and a glass fiber separator was placed between the two electrodes. The separator was soaked with an electrolyte to ensure efficient sodium-ion transport. The electrochemical performance of the assembled coin cells was evaluated using a </w:t>
      </w:r>
      <w:proofErr w:type="spellStart"/>
      <w:r w:rsidR="00E1367A" w:rsidRPr="007E3D08">
        <w:rPr>
          <w:rFonts w:cs="Arial"/>
          <w:szCs w:val="18"/>
          <w:lang w:val="en-US" w:eastAsia="ru-RU"/>
        </w:rPr>
        <w:t>Neware</w:t>
      </w:r>
      <w:proofErr w:type="spellEnd"/>
      <w:r w:rsidR="00E1367A" w:rsidRPr="007E3D08">
        <w:rPr>
          <w:rFonts w:cs="Arial"/>
          <w:szCs w:val="18"/>
          <w:lang w:val="en-US" w:eastAsia="ru-RU"/>
        </w:rPr>
        <w:t xml:space="preserve"> battery testing system (</w:t>
      </w:r>
      <w:proofErr w:type="spellStart"/>
      <w:r w:rsidR="00E1367A" w:rsidRPr="007E3D08">
        <w:rPr>
          <w:rFonts w:cs="Arial"/>
          <w:szCs w:val="18"/>
          <w:lang w:val="en-US" w:eastAsia="ru-RU"/>
        </w:rPr>
        <w:t>Neware</w:t>
      </w:r>
      <w:proofErr w:type="spellEnd"/>
      <w:r w:rsidR="00E1367A" w:rsidRPr="007E3D08">
        <w:rPr>
          <w:rFonts w:cs="Arial"/>
          <w:szCs w:val="18"/>
          <w:lang w:val="en-US" w:eastAsia="ru-RU"/>
        </w:rPr>
        <w:t xml:space="preserve"> Technology Limited, Shenzhen, China (BTS-8000)). Galvanostatic charge–discharge measurements were carried out within a voltage window of 1-3.6</w:t>
      </w:r>
      <w:r w:rsidR="00E1367A" w:rsidRPr="007E3D08">
        <w:rPr>
          <w:rFonts w:cs="Arial"/>
          <w:b/>
          <w:bCs/>
          <w:szCs w:val="18"/>
          <w:lang w:val="en-US" w:eastAsia="ru-RU"/>
        </w:rPr>
        <w:t xml:space="preserve"> </w:t>
      </w:r>
      <w:r w:rsidR="00E1367A" w:rsidRPr="007E3D08">
        <w:rPr>
          <w:rFonts w:cs="Arial"/>
          <w:szCs w:val="18"/>
          <w:lang w:val="en-US" w:eastAsia="ru-RU"/>
        </w:rPr>
        <w:t>V and at 0.5,</w:t>
      </w:r>
      <w:r w:rsidR="00A106F9" w:rsidRPr="00A106F9">
        <w:rPr>
          <w:rFonts w:cs="Arial"/>
          <w:szCs w:val="18"/>
          <w:lang w:val="en-US" w:eastAsia="ru-RU"/>
        </w:rPr>
        <w:t xml:space="preserve"> </w:t>
      </w:r>
      <w:r w:rsidR="00E1367A" w:rsidRPr="007E3D08">
        <w:rPr>
          <w:rFonts w:cs="Arial"/>
          <w:szCs w:val="18"/>
          <w:lang w:val="en-US" w:eastAsia="ru-RU"/>
        </w:rPr>
        <w:t>1,</w:t>
      </w:r>
      <w:r w:rsidR="00A106F9" w:rsidRPr="00A106F9">
        <w:rPr>
          <w:rFonts w:cs="Arial"/>
          <w:szCs w:val="18"/>
          <w:lang w:val="en-US" w:eastAsia="ru-RU"/>
        </w:rPr>
        <w:t xml:space="preserve"> </w:t>
      </w:r>
      <w:r w:rsidR="00E1367A" w:rsidRPr="007E3D08">
        <w:rPr>
          <w:rFonts w:cs="Arial"/>
          <w:szCs w:val="18"/>
          <w:lang w:val="en-US" w:eastAsia="ru-RU"/>
        </w:rPr>
        <w:t>3 C-rates. For describing the data of battery, Origin software was used to make line graphs, and the electrochemical results presented in this study represent the average values obtained from the three independent cells. In addition, the surface morphology of the PTFE based cathode material was tested by using the scanning electron microscope (SEM), and the elemental composition of the cathode material was determined with Energy Dispersive X-ray Spectroscopy in the laboratory of Tashkent Institute of Chemical Technology. Fourier Transform Infrared (FTIR) spectroscopy was used to analyze the surface of the anode after cycling to identify the presence of polysulfide compounds migrated from the cathode during the electrochemical process.</w:t>
      </w:r>
      <w:r w:rsidR="00E1367A" w:rsidRPr="00E1367A">
        <w:rPr>
          <w:rFonts w:cs="Arial"/>
          <w:b/>
          <w:bCs/>
          <w:color w:val="187B34"/>
          <w:szCs w:val="18"/>
          <w:lang w:val="en-US" w:eastAsia="ru-RU"/>
        </w:rPr>
        <w:t xml:space="preserve">  </w:t>
      </w:r>
    </w:p>
    <w:tbl>
      <w:tblPr>
        <w:tblStyle w:val="afffb"/>
        <w:tblpPr w:leftFromText="180" w:rightFromText="180" w:vertAnchor="text" w:horzAnchor="margin" w:tblpY="5791"/>
        <w:tblW w:w="6516" w:type="dxa"/>
        <w:tblBorders>
          <w:insideH w:val="none" w:sz="0" w:space="0" w:color="auto"/>
        </w:tblBorders>
        <w:tblLayout w:type="fixed"/>
        <w:tblLook w:val="04A0" w:firstRow="1" w:lastRow="0" w:firstColumn="1" w:lastColumn="0" w:noHBand="0" w:noVBand="1"/>
      </w:tblPr>
      <w:tblGrid>
        <w:gridCol w:w="2111"/>
        <w:gridCol w:w="2218"/>
        <w:gridCol w:w="2187"/>
      </w:tblGrid>
      <w:tr w:rsidR="00B42606" w14:paraId="65C048E6" w14:textId="77777777" w:rsidTr="00E8306D">
        <w:trPr>
          <w:trHeight w:val="896"/>
        </w:trPr>
        <w:tc>
          <w:tcPr>
            <w:tcW w:w="2111" w:type="dxa"/>
            <w:vAlign w:val="center"/>
          </w:tcPr>
          <w:bookmarkEnd w:id="5"/>
          <w:p w14:paraId="673817D1" w14:textId="0711A9A2" w:rsidR="00B42606" w:rsidRDefault="00106591" w:rsidP="00B024F1">
            <w:pPr>
              <w:pStyle w:val="CETBodytext"/>
              <w:keepNext/>
              <w:spacing w:line="240" w:lineRule="auto"/>
              <w:jc w:val="center"/>
            </w:pPr>
            <w:r w:rsidRPr="00106591">
              <w:rPr>
                <w:rFonts w:asciiTheme="minorHAnsi" w:eastAsiaTheme="minorHAnsi" w:hAnsiTheme="minorHAnsi" w:cstheme="minorBidi"/>
                <w:sz w:val="22"/>
                <w:szCs w:val="22"/>
                <w:lang w:val="ru-RU"/>
              </w:rPr>
              <w:object w:dxaOrig="2805" w:dyaOrig="2160" w14:anchorId="29ADD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79pt" o:ole="">
                  <v:imagedata r:id="rId10" o:title=""/>
                </v:shape>
                <o:OLEObject Type="Embed" ProgID="Origin95.Graph" ShapeID="_x0000_i1025" DrawAspect="Content" ObjectID="_1849666722" r:id="rId11"/>
              </w:object>
            </w:r>
          </w:p>
          <w:p w14:paraId="2AE9A1D6" w14:textId="253ED481" w:rsidR="00B42606" w:rsidRPr="00106591" w:rsidRDefault="00B42606" w:rsidP="00B024F1">
            <w:pPr>
              <w:pStyle w:val="ad"/>
              <w:jc w:val="center"/>
            </w:pPr>
            <w:r>
              <w:t>a</w:t>
            </w:r>
          </w:p>
        </w:tc>
        <w:tc>
          <w:tcPr>
            <w:tcW w:w="2218" w:type="dxa"/>
            <w:vAlign w:val="center"/>
          </w:tcPr>
          <w:p w14:paraId="5FF24D4E" w14:textId="2D5795DE" w:rsidR="00B42606" w:rsidRDefault="00106591" w:rsidP="00B024F1">
            <w:pPr>
              <w:pStyle w:val="CETBodytext"/>
              <w:keepNext/>
              <w:spacing w:line="240" w:lineRule="auto"/>
              <w:jc w:val="center"/>
            </w:pPr>
            <w:r>
              <w:rPr>
                <w:rFonts w:asciiTheme="minorHAnsi" w:eastAsiaTheme="minorHAnsi" w:hAnsiTheme="minorHAnsi" w:cstheme="minorBidi"/>
                <w:sz w:val="22"/>
                <w:szCs w:val="22"/>
                <w:lang w:val="ru-RU"/>
              </w:rPr>
              <w:object w:dxaOrig="2715" w:dyaOrig="2085" w14:anchorId="6B86FA3A">
                <v:shape id="_x0000_i1026" type="#_x0000_t75" style="width:101pt;height:79pt" o:ole="">
                  <v:imagedata r:id="rId12" o:title=""/>
                </v:shape>
                <o:OLEObject Type="Embed" ProgID="Origin95.Graph" ShapeID="_x0000_i1026" DrawAspect="Content" ObjectID="_1849666723" r:id="rId13"/>
              </w:object>
            </w:r>
          </w:p>
          <w:p w14:paraId="6D8C9CDF" w14:textId="77777777" w:rsidR="00B42606" w:rsidRDefault="00B42606" w:rsidP="00B024F1">
            <w:pPr>
              <w:pStyle w:val="ad"/>
              <w:jc w:val="center"/>
              <w:rPr>
                <w:color w:val="FF0000"/>
              </w:rPr>
            </w:pPr>
            <w:r>
              <w:t>b</w:t>
            </w:r>
          </w:p>
        </w:tc>
        <w:tc>
          <w:tcPr>
            <w:tcW w:w="2187" w:type="dxa"/>
            <w:vAlign w:val="center"/>
          </w:tcPr>
          <w:p w14:paraId="466B1AA9" w14:textId="5A01E2D1" w:rsidR="00B42606" w:rsidRDefault="00106591" w:rsidP="00B024F1">
            <w:pPr>
              <w:pStyle w:val="CETBodytext"/>
              <w:keepNext/>
              <w:spacing w:line="240" w:lineRule="auto"/>
              <w:jc w:val="center"/>
            </w:pPr>
            <w:r>
              <w:rPr>
                <w:rFonts w:asciiTheme="minorHAnsi" w:eastAsiaTheme="minorHAnsi" w:hAnsiTheme="minorHAnsi" w:cstheme="minorBidi"/>
                <w:sz w:val="22"/>
                <w:szCs w:val="22"/>
                <w:lang w:val="ru-RU"/>
              </w:rPr>
              <w:object w:dxaOrig="3105" w:dyaOrig="2370" w14:anchorId="23D383AD">
                <v:shape id="_x0000_i1027" type="#_x0000_t75" style="width:108.45pt;height:79pt" o:ole="">
                  <v:imagedata r:id="rId14" o:title=""/>
                </v:shape>
                <o:OLEObject Type="Embed" ProgID="Origin95.Graph" ShapeID="_x0000_i1027" DrawAspect="Content" ObjectID="_1849666724" r:id="rId15"/>
              </w:object>
            </w:r>
          </w:p>
          <w:p w14:paraId="15EAA4C8" w14:textId="386D4509" w:rsidR="00B42606" w:rsidRPr="00106591" w:rsidRDefault="00106591" w:rsidP="00B024F1">
            <w:pPr>
              <w:pStyle w:val="ad"/>
              <w:jc w:val="center"/>
              <w:rPr>
                <w:color w:val="FF0000"/>
                <w:lang w:val="ru-RU"/>
              </w:rPr>
            </w:pPr>
            <w:r>
              <w:rPr>
                <w:lang w:val="ru-RU"/>
              </w:rPr>
              <w:t>с</w:t>
            </w:r>
          </w:p>
        </w:tc>
      </w:tr>
      <w:tr w:rsidR="00B42606" w14:paraId="58D8C6A0" w14:textId="77777777" w:rsidTr="00E8306D">
        <w:trPr>
          <w:trHeight w:val="1454"/>
        </w:trPr>
        <w:tc>
          <w:tcPr>
            <w:tcW w:w="2111" w:type="dxa"/>
            <w:tcBorders>
              <w:bottom w:val="single" w:sz="4" w:space="0" w:color="auto"/>
            </w:tcBorders>
            <w:vAlign w:val="center"/>
          </w:tcPr>
          <w:p w14:paraId="1CB97AE5" w14:textId="1C52882D" w:rsidR="00B42606" w:rsidRDefault="00106591" w:rsidP="00B024F1">
            <w:pPr>
              <w:pStyle w:val="CETBodytext"/>
              <w:spacing w:line="240" w:lineRule="auto"/>
              <w:jc w:val="center"/>
              <w:rPr>
                <w:color w:val="FF0000"/>
              </w:rPr>
            </w:pPr>
            <w:r>
              <w:rPr>
                <w:rFonts w:asciiTheme="minorHAnsi" w:eastAsiaTheme="minorHAnsi" w:hAnsiTheme="minorHAnsi" w:cstheme="minorBidi"/>
                <w:sz w:val="22"/>
                <w:szCs w:val="22"/>
                <w:lang w:val="ru-RU"/>
              </w:rPr>
              <w:object w:dxaOrig="2805" w:dyaOrig="2145" w14:anchorId="63936077">
                <v:shape id="_x0000_i1028" type="#_x0000_t75" style="width:101pt;height:1in" o:ole="">
                  <v:imagedata r:id="rId16" o:title=""/>
                </v:shape>
                <o:OLEObject Type="Embed" ProgID="Origin95.Graph" ShapeID="_x0000_i1028" DrawAspect="Content" ObjectID="_1849666725" r:id="rId17"/>
              </w:object>
            </w:r>
          </w:p>
        </w:tc>
        <w:tc>
          <w:tcPr>
            <w:tcW w:w="2218" w:type="dxa"/>
            <w:tcBorders>
              <w:bottom w:val="single" w:sz="4" w:space="0" w:color="auto"/>
            </w:tcBorders>
            <w:vAlign w:val="center"/>
          </w:tcPr>
          <w:p w14:paraId="12AC66C8" w14:textId="603951BD" w:rsidR="00B42606" w:rsidRDefault="00106591" w:rsidP="00B024F1">
            <w:pPr>
              <w:pStyle w:val="CETBodytext"/>
              <w:spacing w:line="240" w:lineRule="auto"/>
              <w:jc w:val="center"/>
              <w:rPr>
                <w:color w:val="FF0000"/>
              </w:rPr>
            </w:pPr>
            <w:r>
              <w:rPr>
                <w:rFonts w:asciiTheme="minorHAnsi" w:eastAsiaTheme="minorHAnsi" w:hAnsiTheme="minorHAnsi" w:cstheme="minorBidi"/>
                <w:sz w:val="22"/>
                <w:szCs w:val="22"/>
                <w:lang w:val="ru-RU"/>
              </w:rPr>
              <w:object w:dxaOrig="2820" w:dyaOrig="2160" w14:anchorId="33D59FFE">
                <v:shape id="_x0000_i1029" type="#_x0000_t75" style="width:101pt;height:1in" o:ole="">
                  <v:imagedata r:id="rId18" o:title=""/>
                </v:shape>
                <o:OLEObject Type="Embed" ProgID="Origin95.Graph" ShapeID="_x0000_i1029" DrawAspect="Content" ObjectID="_1849666726" r:id="rId19"/>
              </w:object>
            </w:r>
          </w:p>
        </w:tc>
        <w:tc>
          <w:tcPr>
            <w:tcW w:w="2187" w:type="dxa"/>
            <w:tcBorders>
              <w:bottom w:val="single" w:sz="4" w:space="0" w:color="auto"/>
            </w:tcBorders>
            <w:vAlign w:val="center"/>
          </w:tcPr>
          <w:p w14:paraId="7AEFB3FC" w14:textId="2E59E379" w:rsidR="00B42606" w:rsidRDefault="00106591" w:rsidP="00B024F1">
            <w:pPr>
              <w:pStyle w:val="CETBodytext"/>
              <w:keepNext/>
              <w:spacing w:line="240" w:lineRule="auto"/>
              <w:jc w:val="center"/>
              <w:rPr>
                <w:color w:val="FF0000"/>
              </w:rPr>
            </w:pPr>
            <w:r w:rsidRPr="00106591">
              <w:rPr>
                <w:rFonts w:asciiTheme="minorHAnsi" w:eastAsiaTheme="minorHAnsi" w:hAnsiTheme="minorHAnsi" w:cstheme="minorBidi"/>
                <w:sz w:val="22"/>
                <w:szCs w:val="22"/>
                <w:lang w:val="ru-RU"/>
              </w:rPr>
              <w:object w:dxaOrig="2355" w:dyaOrig="1815" w14:anchorId="21D71BFA">
                <v:shape id="_x0000_i1030" type="#_x0000_t75" style="width:93.05pt;height:1in" o:ole="">
                  <v:imagedata r:id="rId20" o:title=""/>
                </v:shape>
                <o:OLEObject Type="Embed" ProgID="Origin95.Graph" ShapeID="_x0000_i1030" DrawAspect="Content" ObjectID="_1849666727" r:id="rId21"/>
              </w:object>
            </w:r>
          </w:p>
        </w:tc>
      </w:tr>
      <w:tr w:rsidR="00B42606" w14:paraId="79DABDA2" w14:textId="77777777" w:rsidTr="00E8306D">
        <w:trPr>
          <w:trHeight w:val="466"/>
        </w:trPr>
        <w:tc>
          <w:tcPr>
            <w:tcW w:w="6516" w:type="dxa"/>
            <w:gridSpan w:val="3"/>
            <w:tcBorders>
              <w:top w:val="single" w:sz="4" w:space="0" w:color="auto"/>
              <w:bottom w:val="single" w:sz="4" w:space="0" w:color="auto"/>
            </w:tcBorders>
            <w:vAlign w:val="center"/>
          </w:tcPr>
          <w:p w14:paraId="0F48E08A" w14:textId="2EF1E46D" w:rsidR="00B42606" w:rsidRPr="00B42606" w:rsidRDefault="00B42606" w:rsidP="00B024F1">
            <w:pPr>
              <w:pStyle w:val="CETemail"/>
              <w:spacing w:after="0"/>
              <w:jc w:val="center"/>
              <w:rPr>
                <w:rFonts w:asciiTheme="minorHAnsi" w:eastAsiaTheme="minorHAnsi" w:hAnsiTheme="minorHAnsi" w:cstheme="minorBidi"/>
                <w:sz w:val="22"/>
                <w:szCs w:val="22"/>
              </w:rPr>
            </w:pPr>
            <w:r w:rsidRPr="009B3FAC">
              <w:rPr>
                <w:szCs w:val="16"/>
              </w:rPr>
              <w:t xml:space="preserve">Figure </w:t>
            </w:r>
            <w:r w:rsidR="009F07E2" w:rsidRPr="009B3FAC">
              <w:rPr>
                <w:szCs w:val="16"/>
              </w:rPr>
              <w:t>2</w:t>
            </w:r>
            <w:r w:rsidRPr="009B3FAC">
              <w:rPr>
                <w:szCs w:val="16"/>
              </w:rPr>
              <w:t>. The battery was tested at 20</w:t>
            </w:r>
            <w:r w:rsidRPr="009B3FAC">
              <w:rPr>
                <w:rStyle w:val="fontstyle21"/>
                <w:rFonts w:ascii="Arial" w:hAnsi="Arial" w:cs="Arial"/>
                <w:color w:val="auto"/>
              </w:rPr>
              <w:t>°</w:t>
            </w:r>
            <w:r w:rsidRPr="009B3FAC">
              <w:rPr>
                <w:rStyle w:val="fontstyle01"/>
                <w:rFonts w:ascii="Arial" w:hAnsi="Arial" w:cs="Arial"/>
                <w:color w:val="auto"/>
              </w:rPr>
              <w:t>C</w:t>
            </w:r>
            <w:r w:rsidRPr="009B3FAC">
              <w:rPr>
                <w:szCs w:val="16"/>
              </w:rPr>
              <w:t xml:space="preserve"> in three different 0.5,</w:t>
            </w:r>
            <w:r w:rsidR="00A106F9" w:rsidRPr="00A106F9">
              <w:rPr>
                <w:szCs w:val="16"/>
                <w:lang w:val="en-US"/>
              </w:rPr>
              <w:t xml:space="preserve"> </w:t>
            </w:r>
            <w:r w:rsidRPr="009B3FAC">
              <w:rPr>
                <w:szCs w:val="16"/>
              </w:rPr>
              <w:t>1,</w:t>
            </w:r>
            <w:r w:rsidR="00A106F9" w:rsidRPr="00A106F9">
              <w:rPr>
                <w:szCs w:val="16"/>
                <w:lang w:val="en-US"/>
              </w:rPr>
              <w:t xml:space="preserve"> </w:t>
            </w:r>
            <w:r w:rsidRPr="009B3FAC">
              <w:rPr>
                <w:szCs w:val="16"/>
              </w:rPr>
              <w:t>3 C-rates and its Spec.Cap.(mAh/g), Voltage(V), and cycle indexes are marked in the figure.</w:t>
            </w:r>
          </w:p>
        </w:tc>
      </w:tr>
    </w:tbl>
    <w:p w14:paraId="719CFCEA" w14:textId="4BF9D228" w:rsidR="00281D4F" w:rsidRPr="007E3D08" w:rsidRDefault="00665532" w:rsidP="007C1C69">
      <w:pPr>
        <w:pStyle w:val="CETemail"/>
        <w:spacing w:after="0" w:line="240" w:lineRule="auto"/>
        <w:jc w:val="both"/>
        <w:rPr>
          <w:sz w:val="18"/>
          <w:szCs w:val="18"/>
        </w:rPr>
      </w:pPr>
      <w:r w:rsidRPr="007E3D08">
        <w:rPr>
          <w:b/>
          <w:bCs/>
          <w:sz w:val="18"/>
          <w:szCs w:val="18"/>
        </w:rPr>
        <w:t>Results</w:t>
      </w:r>
      <w:r w:rsidR="00691F1C" w:rsidRPr="007E3D08">
        <w:rPr>
          <w:b/>
          <w:bCs/>
          <w:sz w:val="18"/>
          <w:szCs w:val="18"/>
        </w:rPr>
        <w:t xml:space="preserve"> and discussion</w:t>
      </w:r>
      <w:r w:rsidRPr="007E3D08">
        <w:rPr>
          <w:b/>
          <w:bCs/>
          <w:sz w:val="18"/>
          <w:szCs w:val="18"/>
        </w:rPr>
        <w:t xml:space="preserve">: </w:t>
      </w:r>
      <w:r w:rsidR="00E100D8">
        <w:rPr>
          <w:rStyle w:val="ff9"/>
          <w:rFonts w:cs="Arial"/>
          <w:spacing w:val="5"/>
          <w:sz w:val="18"/>
          <w:szCs w:val="18"/>
          <w:shd w:val="clear" w:color="auto" w:fill="FFFFFF"/>
        </w:rPr>
        <w:t>About</w:t>
      </w:r>
      <w:r w:rsidR="00281D4F" w:rsidRPr="007E3D08">
        <w:rPr>
          <w:rStyle w:val="ff9"/>
          <w:rFonts w:cs="Arial"/>
          <w:spacing w:val="5"/>
          <w:sz w:val="18"/>
          <w:szCs w:val="18"/>
          <w:shd w:val="clear" w:color="auto" w:fill="FFFFFF"/>
        </w:rPr>
        <w:t xml:space="preserve"> </w:t>
      </w:r>
      <w:r w:rsidR="00E100D8">
        <w:rPr>
          <w:rStyle w:val="ff9"/>
          <w:rFonts w:cs="Arial"/>
          <w:spacing w:val="5"/>
          <w:sz w:val="18"/>
          <w:szCs w:val="18"/>
          <w:shd w:val="clear" w:color="auto" w:fill="FFFFFF"/>
        </w:rPr>
        <w:t>150</w:t>
      </w:r>
      <w:r w:rsidR="00281D4F" w:rsidRPr="007E3D08">
        <w:rPr>
          <w:rStyle w:val="ff9"/>
          <w:rFonts w:cs="Arial"/>
          <w:spacing w:val="5"/>
          <w:sz w:val="18"/>
          <w:szCs w:val="18"/>
          <w:shd w:val="clear" w:color="auto" w:fill="FFFFFF"/>
        </w:rPr>
        <w:t xml:space="preserve"> cycles could be reached with the highest </w:t>
      </w:r>
      <w:r w:rsidR="009B1FC9" w:rsidRPr="007E3D08">
        <w:rPr>
          <w:sz w:val="18"/>
          <w:szCs w:val="18"/>
        </w:rPr>
        <w:t>s</w:t>
      </w:r>
      <w:r w:rsidR="00535567" w:rsidRPr="007E3D08">
        <w:rPr>
          <w:sz w:val="18"/>
          <w:szCs w:val="18"/>
        </w:rPr>
        <w:t>pec</w:t>
      </w:r>
      <w:r w:rsidR="009B1FC9" w:rsidRPr="007E3D08">
        <w:rPr>
          <w:sz w:val="18"/>
          <w:szCs w:val="18"/>
        </w:rPr>
        <w:t>ific c</w:t>
      </w:r>
      <w:r w:rsidR="00535567" w:rsidRPr="007E3D08">
        <w:rPr>
          <w:sz w:val="18"/>
          <w:szCs w:val="18"/>
        </w:rPr>
        <w:t>ap</w:t>
      </w:r>
      <w:r w:rsidR="00FF6E9C" w:rsidRPr="007E3D08">
        <w:rPr>
          <w:sz w:val="18"/>
          <w:szCs w:val="18"/>
        </w:rPr>
        <w:t>a</w:t>
      </w:r>
      <w:r w:rsidR="009B1FC9" w:rsidRPr="007E3D08">
        <w:rPr>
          <w:sz w:val="18"/>
          <w:szCs w:val="18"/>
        </w:rPr>
        <w:t xml:space="preserve">city </w:t>
      </w:r>
      <w:r w:rsidR="00281D4F" w:rsidRPr="007E3D08">
        <w:rPr>
          <w:rStyle w:val="ff9"/>
          <w:rFonts w:cs="Arial"/>
          <w:spacing w:val="5"/>
          <w:sz w:val="18"/>
          <w:szCs w:val="18"/>
          <w:shd w:val="clear" w:color="auto" w:fill="FFFFFF"/>
        </w:rPr>
        <w:t>147 mAh</w:t>
      </w:r>
      <w:r w:rsidR="007555FC" w:rsidRPr="007E3D08">
        <w:rPr>
          <w:rStyle w:val="ff9"/>
          <w:rFonts w:cs="Arial"/>
          <w:spacing w:val="5"/>
          <w:sz w:val="18"/>
          <w:szCs w:val="18"/>
          <w:shd w:val="clear" w:color="auto" w:fill="FFFFFF"/>
        </w:rPr>
        <w:t>/g</w:t>
      </w:r>
      <w:r w:rsidR="002126B0" w:rsidRPr="007E3D08">
        <w:rPr>
          <w:sz w:val="18"/>
          <w:szCs w:val="18"/>
        </w:rPr>
        <w:t xml:space="preserve">, using the </w:t>
      </w:r>
      <w:r w:rsidR="001F7241" w:rsidRPr="007E3D08">
        <w:rPr>
          <w:sz w:val="18"/>
          <w:szCs w:val="18"/>
        </w:rPr>
        <w:t>3</w:t>
      </w:r>
      <w:r w:rsidR="001F7241" w:rsidRPr="007E3D08">
        <w:rPr>
          <w:sz w:val="18"/>
          <w:szCs w:val="18"/>
          <w:vertAlign w:val="superscript"/>
        </w:rPr>
        <w:t>rd</w:t>
      </w:r>
      <w:r w:rsidR="002126B0" w:rsidRPr="007E3D08">
        <w:rPr>
          <w:sz w:val="18"/>
          <w:szCs w:val="18"/>
        </w:rPr>
        <w:t xml:space="preserve"> salt fraction as an active </w:t>
      </w:r>
      <w:r w:rsidR="0069218D" w:rsidRPr="007E3D08">
        <w:rPr>
          <w:sz w:val="18"/>
          <w:szCs w:val="18"/>
        </w:rPr>
        <w:t>material</w:t>
      </w:r>
      <w:r w:rsidR="001F7241" w:rsidRPr="007E3D08">
        <w:rPr>
          <w:sz w:val="18"/>
          <w:szCs w:val="18"/>
        </w:rPr>
        <w:t xml:space="preserve"> at 0.1 C-rate</w:t>
      </w:r>
      <w:r w:rsidR="005D2849" w:rsidRPr="007E3D08">
        <w:rPr>
          <w:sz w:val="18"/>
          <w:szCs w:val="18"/>
        </w:rPr>
        <w:t>, and</w:t>
      </w:r>
      <w:r w:rsidR="0069218D" w:rsidRPr="007E3D08">
        <w:rPr>
          <w:sz w:val="18"/>
          <w:szCs w:val="18"/>
        </w:rPr>
        <w:t xml:space="preserve"> </w:t>
      </w:r>
      <w:r w:rsidR="001E4D51" w:rsidRPr="001E4D51">
        <w:rPr>
          <w:sz w:val="18"/>
        </w:rPr>
        <w:t>this specific cap</w:t>
      </w:r>
      <w:r w:rsidR="001E4D51" w:rsidRPr="001E4D51">
        <w:rPr>
          <w:sz w:val="18"/>
          <w:szCs w:val="22"/>
        </w:rPr>
        <w:t>a</w:t>
      </w:r>
      <w:r w:rsidR="001E4D51" w:rsidRPr="001E4D51">
        <w:rPr>
          <w:sz w:val="18"/>
        </w:rPr>
        <w:t>city in the third fraction</w:t>
      </w:r>
    </w:p>
    <w:tbl>
      <w:tblPr>
        <w:tblStyle w:val="afffb"/>
        <w:tblpPr w:leftFromText="180" w:rightFromText="180" w:vertAnchor="text" w:horzAnchor="margin" w:tblpY="132"/>
        <w:tblW w:w="0" w:type="auto"/>
        <w:tblLayout w:type="fixed"/>
        <w:tblLook w:val="04A0" w:firstRow="1" w:lastRow="0" w:firstColumn="1" w:lastColumn="0" w:noHBand="0" w:noVBand="1"/>
      </w:tblPr>
      <w:tblGrid>
        <w:gridCol w:w="1555"/>
        <w:gridCol w:w="708"/>
        <w:gridCol w:w="709"/>
        <w:gridCol w:w="709"/>
        <w:gridCol w:w="709"/>
        <w:gridCol w:w="708"/>
      </w:tblGrid>
      <w:tr w:rsidR="00281D4F" w:rsidRPr="007E3D08" w14:paraId="3BA6FAA4" w14:textId="77777777" w:rsidTr="00281D4F">
        <w:trPr>
          <w:trHeight w:val="718"/>
        </w:trPr>
        <w:tc>
          <w:tcPr>
            <w:tcW w:w="5098" w:type="dxa"/>
            <w:gridSpan w:val="6"/>
          </w:tcPr>
          <w:p w14:paraId="2E9F986B" w14:textId="77777777" w:rsidR="00281D4F" w:rsidRPr="007E3D08" w:rsidRDefault="00281D4F" w:rsidP="007C1C69">
            <w:pPr>
              <w:spacing w:line="240" w:lineRule="auto"/>
              <w:rPr>
                <w:lang w:val="en-US"/>
              </w:rPr>
            </w:pPr>
            <w:r w:rsidRPr="007E3D08">
              <w:rPr>
                <w:noProof/>
                <w:lang w:val="ru-RU" w:eastAsia="ru-RU"/>
              </w:rPr>
              <w:drawing>
                <wp:inline distT="0" distB="0" distL="0" distR="0" wp14:anchorId="51F1031B" wp14:editId="3F29A9DA">
                  <wp:extent cx="2648854" cy="1335297"/>
                  <wp:effectExtent l="0" t="0" r="0" b="0"/>
                  <wp:docPr id="7" name="Рисунок 7" descr="Project Path: UNTITLED.opju&#10;PE Folder: /UNTITLED/Folder1/&#10;Short Name: Gra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Project Path: UNTITLED.opju&#10;PE Folder: /UNTITLED/Folder1/&#10;Short Name: Graph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7053" cy="1384800"/>
                          </a:xfrm>
                          <a:prstGeom prst="rect">
                            <a:avLst/>
                          </a:prstGeom>
                          <a:noFill/>
                          <a:ln>
                            <a:noFill/>
                          </a:ln>
                        </pic:spPr>
                      </pic:pic>
                    </a:graphicData>
                  </a:graphic>
                </wp:inline>
              </w:drawing>
            </w:r>
          </w:p>
        </w:tc>
      </w:tr>
      <w:tr w:rsidR="00281D4F" w:rsidRPr="007E3D08" w14:paraId="52AE6D3F" w14:textId="77777777" w:rsidTr="00C15AE3">
        <w:trPr>
          <w:trHeight w:val="232"/>
        </w:trPr>
        <w:tc>
          <w:tcPr>
            <w:tcW w:w="1555" w:type="dxa"/>
          </w:tcPr>
          <w:p w14:paraId="0FEA4125" w14:textId="77777777" w:rsidR="00281D4F" w:rsidRPr="007E3D08" w:rsidRDefault="00281D4F" w:rsidP="007C1C69">
            <w:pPr>
              <w:spacing w:line="240" w:lineRule="auto"/>
              <w:rPr>
                <w:sz w:val="16"/>
                <w:szCs w:val="18"/>
                <w:lang w:val="en-US"/>
              </w:rPr>
            </w:pPr>
            <w:r w:rsidRPr="007E3D08">
              <w:rPr>
                <w:sz w:val="16"/>
                <w:szCs w:val="18"/>
                <w:lang w:val="en-US"/>
              </w:rPr>
              <w:t>Fraction number</w:t>
            </w:r>
          </w:p>
        </w:tc>
        <w:tc>
          <w:tcPr>
            <w:tcW w:w="708" w:type="dxa"/>
          </w:tcPr>
          <w:p w14:paraId="28D1DA92" w14:textId="77777777" w:rsidR="00281D4F" w:rsidRPr="007E3D08" w:rsidRDefault="00281D4F" w:rsidP="007C1C69">
            <w:pPr>
              <w:spacing w:line="240" w:lineRule="auto"/>
              <w:rPr>
                <w:sz w:val="16"/>
                <w:szCs w:val="18"/>
                <w:lang w:val="en-US"/>
              </w:rPr>
            </w:pPr>
            <w:r w:rsidRPr="007E3D08">
              <w:rPr>
                <w:sz w:val="16"/>
                <w:szCs w:val="18"/>
                <w:lang w:val="en-US"/>
              </w:rPr>
              <w:t>1</w:t>
            </w:r>
          </w:p>
        </w:tc>
        <w:tc>
          <w:tcPr>
            <w:tcW w:w="709" w:type="dxa"/>
          </w:tcPr>
          <w:p w14:paraId="15BADA60" w14:textId="77777777" w:rsidR="00281D4F" w:rsidRPr="007E3D08" w:rsidRDefault="00281D4F" w:rsidP="007C1C69">
            <w:pPr>
              <w:spacing w:line="240" w:lineRule="auto"/>
              <w:rPr>
                <w:sz w:val="16"/>
                <w:szCs w:val="18"/>
                <w:lang w:val="en-US"/>
              </w:rPr>
            </w:pPr>
            <w:r w:rsidRPr="007E3D08">
              <w:rPr>
                <w:sz w:val="16"/>
                <w:szCs w:val="18"/>
                <w:lang w:val="en-US"/>
              </w:rPr>
              <w:t>2</w:t>
            </w:r>
          </w:p>
        </w:tc>
        <w:tc>
          <w:tcPr>
            <w:tcW w:w="709" w:type="dxa"/>
          </w:tcPr>
          <w:p w14:paraId="3C58455B" w14:textId="77777777" w:rsidR="00281D4F" w:rsidRPr="007E3D08" w:rsidRDefault="00281D4F" w:rsidP="007C1C69">
            <w:pPr>
              <w:spacing w:line="240" w:lineRule="auto"/>
              <w:rPr>
                <w:sz w:val="16"/>
                <w:szCs w:val="18"/>
                <w:lang w:val="en-US"/>
              </w:rPr>
            </w:pPr>
            <w:r w:rsidRPr="007E3D08">
              <w:rPr>
                <w:sz w:val="16"/>
                <w:szCs w:val="18"/>
                <w:lang w:val="en-US"/>
              </w:rPr>
              <w:t>3</w:t>
            </w:r>
          </w:p>
        </w:tc>
        <w:tc>
          <w:tcPr>
            <w:tcW w:w="709" w:type="dxa"/>
          </w:tcPr>
          <w:p w14:paraId="21697B8B" w14:textId="77777777" w:rsidR="00281D4F" w:rsidRPr="007E3D08" w:rsidRDefault="00281D4F" w:rsidP="007C1C69">
            <w:pPr>
              <w:spacing w:line="240" w:lineRule="auto"/>
              <w:rPr>
                <w:sz w:val="16"/>
                <w:szCs w:val="18"/>
                <w:lang w:val="en-US"/>
              </w:rPr>
            </w:pPr>
            <w:r w:rsidRPr="007E3D08">
              <w:rPr>
                <w:sz w:val="16"/>
                <w:szCs w:val="18"/>
                <w:lang w:val="en-US"/>
              </w:rPr>
              <w:t>4</w:t>
            </w:r>
          </w:p>
        </w:tc>
        <w:tc>
          <w:tcPr>
            <w:tcW w:w="708" w:type="dxa"/>
          </w:tcPr>
          <w:p w14:paraId="66B541E9" w14:textId="77777777" w:rsidR="00281D4F" w:rsidRPr="007E3D08" w:rsidRDefault="00281D4F" w:rsidP="007C1C69">
            <w:pPr>
              <w:spacing w:line="240" w:lineRule="auto"/>
              <w:rPr>
                <w:sz w:val="16"/>
                <w:szCs w:val="18"/>
                <w:lang w:val="en-US"/>
              </w:rPr>
            </w:pPr>
            <w:r w:rsidRPr="007E3D08">
              <w:rPr>
                <w:sz w:val="16"/>
                <w:szCs w:val="18"/>
                <w:lang w:val="en-US"/>
              </w:rPr>
              <w:t>5</w:t>
            </w:r>
          </w:p>
        </w:tc>
      </w:tr>
      <w:tr w:rsidR="00281D4F" w:rsidRPr="007E3D08" w14:paraId="14F07D82" w14:textId="77777777" w:rsidTr="00C15AE3">
        <w:trPr>
          <w:trHeight w:val="212"/>
        </w:trPr>
        <w:tc>
          <w:tcPr>
            <w:tcW w:w="1555" w:type="dxa"/>
          </w:tcPr>
          <w:p w14:paraId="08A1EF6B" w14:textId="77777777" w:rsidR="00281D4F" w:rsidRPr="007E3D08" w:rsidRDefault="00281D4F" w:rsidP="007C1C69">
            <w:pPr>
              <w:spacing w:line="240" w:lineRule="auto"/>
              <w:rPr>
                <w:sz w:val="16"/>
                <w:szCs w:val="18"/>
                <w:lang w:val="en-US"/>
              </w:rPr>
            </w:pPr>
            <w:proofErr w:type="spellStart"/>
            <w:r w:rsidRPr="007E3D08">
              <w:rPr>
                <w:sz w:val="16"/>
                <w:szCs w:val="18"/>
                <w:lang w:val="en-US"/>
              </w:rPr>
              <w:t>Spec.Cap</w:t>
            </w:r>
            <w:proofErr w:type="spellEnd"/>
            <w:r w:rsidRPr="007E3D08">
              <w:rPr>
                <w:sz w:val="16"/>
                <w:szCs w:val="18"/>
                <w:lang w:val="en-US"/>
              </w:rPr>
              <w:t>.(</w:t>
            </w:r>
            <w:proofErr w:type="spellStart"/>
            <w:r w:rsidRPr="007E3D08">
              <w:rPr>
                <w:sz w:val="16"/>
                <w:szCs w:val="18"/>
                <w:lang w:val="en-US"/>
              </w:rPr>
              <w:t>mAh</w:t>
            </w:r>
            <w:proofErr w:type="spellEnd"/>
            <w:r w:rsidRPr="007E3D08">
              <w:rPr>
                <w:sz w:val="16"/>
                <w:szCs w:val="18"/>
                <w:lang w:val="en-US"/>
              </w:rPr>
              <w:t>/g)</w:t>
            </w:r>
          </w:p>
        </w:tc>
        <w:tc>
          <w:tcPr>
            <w:tcW w:w="708" w:type="dxa"/>
          </w:tcPr>
          <w:p w14:paraId="476A9411" w14:textId="77777777" w:rsidR="00281D4F" w:rsidRPr="007E3D08" w:rsidRDefault="00281D4F" w:rsidP="007C1C69">
            <w:pPr>
              <w:spacing w:line="240" w:lineRule="auto"/>
              <w:rPr>
                <w:sz w:val="16"/>
                <w:szCs w:val="18"/>
                <w:lang w:val="en-US"/>
              </w:rPr>
            </w:pPr>
            <w:r w:rsidRPr="007E3D08">
              <w:rPr>
                <w:sz w:val="16"/>
                <w:szCs w:val="18"/>
                <w:lang w:val="en-US"/>
              </w:rPr>
              <w:t>144.4</w:t>
            </w:r>
          </w:p>
        </w:tc>
        <w:tc>
          <w:tcPr>
            <w:tcW w:w="709" w:type="dxa"/>
          </w:tcPr>
          <w:p w14:paraId="5EBF32DB" w14:textId="07D7534D" w:rsidR="00281D4F" w:rsidRPr="007E3D08" w:rsidRDefault="00281D4F" w:rsidP="007C1C69">
            <w:pPr>
              <w:spacing w:line="240" w:lineRule="auto"/>
              <w:rPr>
                <w:sz w:val="16"/>
                <w:szCs w:val="18"/>
                <w:lang w:val="en-US"/>
              </w:rPr>
            </w:pPr>
            <w:r w:rsidRPr="007E3D08">
              <w:rPr>
                <w:sz w:val="16"/>
                <w:szCs w:val="18"/>
                <w:lang w:val="en-US"/>
              </w:rPr>
              <w:t>144.3</w:t>
            </w:r>
          </w:p>
        </w:tc>
        <w:tc>
          <w:tcPr>
            <w:tcW w:w="709" w:type="dxa"/>
          </w:tcPr>
          <w:p w14:paraId="680EDDDD" w14:textId="77777777" w:rsidR="00281D4F" w:rsidRPr="007E3D08" w:rsidRDefault="00281D4F" w:rsidP="007C1C69">
            <w:pPr>
              <w:spacing w:line="240" w:lineRule="auto"/>
              <w:rPr>
                <w:sz w:val="16"/>
                <w:szCs w:val="18"/>
                <w:lang w:val="en-US"/>
              </w:rPr>
            </w:pPr>
            <w:r w:rsidRPr="007E3D08">
              <w:rPr>
                <w:sz w:val="16"/>
                <w:szCs w:val="18"/>
                <w:lang w:val="en-US"/>
              </w:rPr>
              <w:t>147</w:t>
            </w:r>
          </w:p>
        </w:tc>
        <w:tc>
          <w:tcPr>
            <w:tcW w:w="709" w:type="dxa"/>
          </w:tcPr>
          <w:p w14:paraId="1D624D1D" w14:textId="77777777" w:rsidR="00281D4F" w:rsidRPr="007E3D08" w:rsidRDefault="00281D4F" w:rsidP="007C1C69">
            <w:pPr>
              <w:spacing w:line="240" w:lineRule="auto"/>
              <w:rPr>
                <w:sz w:val="16"/>
                <w:szCs w:val="18"/>
                <w:lang w:val="en-US"/>
              </w:rPr>
            </w:pPr>
            <w:r w:rsidRPr="007E3D08">
              <w:rPr>
                <w:sz w:val="16"/>
                <w:szCs w:val="18"/>
                <w:lang w:val="en-US"/>
              </w:rPr>
              <w:t>142.1</w:t>
            </w:r>
          </w:p>
        </w:tc>
        <w:tc>
          <w:tcPr>
            <w:tcW w:w="708" w:type="dxa"/>
          </w:tcPr>
          <w:p w14:paraId="5F35259A" w14:textId="2B40F3AD" w:rsidR="00281D4F" w:rsidRPr="007E3D08" w:rsidRDefault="00281D4F" w:rsidP="007C1C69">
            <w:pPr>
              <w:spacing w:line="240" w:lineRule="auto"/>
              <w:rPr>
                <w:sz w:val="16"/>
                <w:szCs w:val="18"/>
                <w:lang w:val="en-US"/>
              </w:rPr>
            </w:pPr>
            <w:r w:rsidRPr="007E3D08">
              <w:rPr>
                <w:sz w:val="16"/>
                <w:szCs w:val="18"/>
                <w:lang w:val="en-US"/>
              </w:rPr>
              <w:t>140.4</w:t>
            </w:r>
          </w:p>
        </w:tc>
      </w:tr>
      <w:tr w:rsidR="00281D4F" w:rsidRPr="007E3D08" w14:paraId="121B8DC6" w14:textId="77777777" w:rsidTr="00C15AE3">
        <w:trPr>
          <w:trHeight w:val="212"/>
        </w:trPr>
        <w:tc>
          <w:tcPr>
            <w:tcW w:w="1555" w:type="dxa"/>
          </w:tcPr>
          <w:p w14:paraId="690BA1AA" w14:textId="04752C82" w:rsidR="00281D4F" w:rsidRPr="007E3D08" w:rsidRDefault="00281D4F" w:rsidP="007C1C69">
            <w:pPr>
              <w:spacing w:line="240" w:lineRule="auto"/>
              <w:rPr>
                <w:sz w:val="16"/>
                <w:szCs w:val="18"/>
                <w:lang w:val="en-US"/>
              </w:rPr>
            </w:pPr>
            <w:r w:rsidRPr="007E3D08">
              <w:rPr>
                <w:sz w:val="16"/>
                <w:szCs w:val="18"/>
                <w:lang w:val="en-US"/>
              </w:rPr>
              <w:t>Na</w:t>
            </w:r>
            <w:r w:rsidR="002126B0" w:rsidRPr="007E3D08">
              <w:rPr>
                <w:sz w:val="16"/>
                <w:szCs w:val="18"/>
                <w:lang w:val="en-US"/>
              </w:rPr>
              <w:t>/S</w:t>
            </w:r>
            <w:r w:rsidRPr="007E3D08">
              <w:rPr>
                <w:sz w:val="16"/>
                <w:szCs w:val="18"/>
                <w:lang w:val="en-US"/>
              </w:rPr>
              <w:t xml:space="preserve"> ratio</w:t>
            </w:r>
          </w:p>
        </w:tc>
        <w:tc>
          <w:tcPr>
            <w:tcW w:w="708" w:type="dxa"/>
          </w:tcPr>
          <w:p w14:paraId="7E45F4DC" w14:textId="77777777" w:rsidR="00281D4F" w:rsidRPr="007E3D08" w:rsidRDefault="00281D4F" w:rsidP="007C1C69">
            <w:pPr>
              <w:spacing w:line="240" w:lineRule="auto"/>
              <w:rPr>
                <w:sz w:val="16"/>
                <w:szCs w:val="18"/>
                <w:lang w:val="en-US"/>
              </w:rPr>
            </w:pPr>
            <w:r w:rsidRPr="007E3D08">
              <w:rPr>
                <w:sz w:val="16"/>
                <w:szCs w:val="18"/>
                <w:lang w:val="en-US"/>
              </w:rPr>
              <w:t>0.901</w:t>
            </w:r>
          </w:p>
        </w:tc>
        <w:tc>
          <w:tcPr>
            <w:tcW w:w="709" w:type="dxa"/>
          </w:tcPr>
          <w:p w14:paraId="5CCF90A9" w14:textId="77777777" w:rsidR="00281D4F" w:rsidRPr="007E3D08" w:rsidRDefault="00281D4F" w:rsidP="007C1C69">
            <w:pPr>
              <w:spacing w:line="240" w:lineRule="auto"/>
              <w:rPr>
                <w:sz w:val="16"/>
                <w:szCs w:val="18"/>
                <w:lang w:val="en-US"/>
              </w:rPr>
            </w:pPr>
            <w:r w:rsidRPr="007E3D08">
              <w:rPr>
                <w:sz w:val="16"/>
                <w:szCs w:val="18"/>
                <w:lang w:val="en-US"/>
              </w:rPr>
              <w:t>0.9</w:t>
            </w:r>
          </w:p>
        </w:tc>
        <w:tc>
          <w:tcPr>
            <w:tcW w:w="709" w:type="dxa"/>
          </w:tcPr>
          <w:p w14:paraId="21ED7D3C" w14:textId="77777777" w:rsidR="00281D4F" w:rsidRPr="007E3D08" w:rsidRDefault="00281D4F" w:rsidP="007C1C69">
            <w:pPr>
              <w:spacing w:line="240" w:lineRule="auto"/>
              <w:rPr>
                <w:sz w:val="16"/>
                <w:szCs w:val="18"/>
                <w:lang w:val="en-US"/>
              </w:rPr>
            </w:pPr>
            <w:r w:rsidRPr="007E3D08">
              <w:rPr>
                <w:sz w:val="16"/>
                <w:szCs w:val="18"/>
                <w:lang w:val="en-US"/>
              </w:rPr>
              <w:t>0.856</w:t>
            </w:r>
          </w:p>
        </w:tc>
        <w:tc>
          <w:tcPr>
            <w:tcW w:w="709" w:type="dxa"/>
          </w:tcPr>
          <w:p w14:paraId="2EEA3878" w14:textId="77777777" w:rsidR="00281D4F" w:rsidRPr="007E3D08" w:rsidRDefault="00281D4F" w:rsidP="007C1C69">
            <w:pPr>
              <w:spacing w:line="240" w:lineRule="auto"/>
              <w:rPr>
                <w:sz w:val="16"/>
                <w:szCs w:val="18"/>
                <w:lang w:val="en-US"/>
              </w:rPr>
            </w:pPr>
            <w:r w:rsidRPr="007E3D08">
              <w:rPr>
                <w:sz w:val="16"/>
                <w:szCs w:val="18"/>
                <w:lang w:val="en-US"/>
              </w:rPr>
              <w:t>0.937</w:t>
            </w:r>
          </w:p>
        </w:tc>
        <w:tc>
          <w:tcPr>
            <w:tcW w:w="708" w:type="dxa"/>
          </w:tcPr>
          <w:p w14:paraId="6A852CFB" w14:textId="77777777" w:rsidR="00281D4F" w:rsidRPr="007E3D08" w:rsidRDefault="00281D4F" w:rsidP="007C1C69">
            <w:pPr>
              <w:spacing w:line="240" w:lineRule="auto"/>
              <w:rPr>
                <w:sz w:val="16"/>
                <w:szCs w:val="18"/>
                <w:lang w:val="en-US"/>
              </w:rPr>
            </w:pPr>
            <w:r w:rsidRPr="007E3D08">
              <w:rPr>
                <w:sz w:val="16"/>
                <w:szCs w:val="18"/>
                <w:lang w:val="en-US"/>
              </w:rPr>
              <w:t>0.964</w:t>
            </w:r>
          </w:p>
        </w:tc>
      </w:tr>
      <w:tr w:rsidR="00281D4F" w:rsidRPr="007E3D08" w14:paraId="08F8F58E" w14:textId="77777777" w:rsidTr="00281D4F">
        <w:trPr>
          <w:trHeight w:val="227"/>
        </w:trPr>
        <w:tc>
          <w:tcPr>
            <w:tcW w:w="5098" w:type="dxa"/>
            <w:gridSpan w:val="6"/>
          </w:tcPr>
          <w:p w14:paraId="461AB0AF" w14:textId="3CE38A78" w:rsidR="00281D4F" w:rsidRPr="007E3D08" w:rsidRDefault="00281D4F" w:rsidP="007C1C69">
            <w:pPr>
              <w:spacing w:line="240" w:lineRule="auto"/>
              <w:rPr>
                <w:sz w:val="16"/>
                <w:szCs w:val="18"/>
                <w:lang w:val="en-US"/>
              </w:rPr>
            </w:pPr>
            <w:r w:rsidRPr="007E3D08">
              <w:rPr>
                <w:sz w:val="16"/>
                <w:szCs w:val="18"/>
                <w:lang w:val="en-US"/>
              </w:rPr>
              <w:t xml:space="preserve">Figure </w:t>
            </w:r>
            <w:r w:rsidR="007555FC" w:rsidRPr="007E3D08">
              <w:rPr>
                <w:sz w:val="16"/>
                <w:szCs w:val="18"/>
                <w:lang w:val="en-US"/>
              </w:rPr>
              <w:t>1</w:t>
            </w:r>
            <w:r w:rsidRPr="007E3D08">
              <w:rPr>
                <w:sz w:val="16"/>
                <w:szCs w:val="18"/>
                <w:lang w:val="en-US"/>
              </w:rPr>
              <w:t>. Na</w:t>
            </w:r>
            <w:r w:rsidR="002126B0" w:rsidRPr="007E3D08">
              <w:rPr>
                <w:sz w:val="16"/>
                <w:szCs w:val="18"/>
                <w:lang w:val="en-US"/>
              </w:rPr>
              <w:t>/</w:t>
            </w:r>
            <w:r w:rsidRPr="007E3D08">
              <w:rPr>
                <w:sz w:val="16"/>
                <w:szCs w:val="18"/>
                <w:lang w:val="en-US"/>
              </w:rPr>
              <w:t xml:space="preserve">S ratio and </w:t>
            </w:r>
            <w:r w:rsidR="00A53C14" w:rsidRPr="007E3D08">
              <w:rPr>
                <w:sz w:val="16"/>
                <w:szCs w:val="18"/>
                <w:lang w:val="en-US"/>
              </w:rPr>
              <w:t xml:space="preserve">the highest </w:t>
            </w:r>
            <w:proofErr w:type="spellStart"/>
            <w:r w:rsidRPr="007E3D08">
              <w:rPr>
                <w:sz w:val="16"/>
                <w:szCs w:val="18"/>
                <w:lang w:val="en-US"/>
              </w:rPr>
              <w:t>Spec.Cap</w:t>
            </w:r>
            <w:proofErr w:type="spellEnd"/>
            <w:r w:rsidRPr="007E3D08">
              <w:rPr>
                <w:sz w:val="16"/>
                <w:szCs w:val="18"/>
                <w:lang w:val="en-US"/>
              </w:rPr>
              <w:t>.(</w:t>
            </w:r>
            <w:proofErr w:type="spellStart"/>
            <w:r w:rsidRPr="007E3D08">
              <w:rPr>
                <w:sz w:val="16"/>
                <w:szCs w:val="18"/>
                <w:lang w:val="en-US"/>
              </w:rPr>
              <w:t>mAh</w:t>
            </w:r>
            <w:proofErr w:type="spellEnd"/>
            <w:r w:rsidRPr="007E3D08">
              <w:rPr>
                <w:sz w:val="16"/>
                <w:szCs w:val="18"/>
                <w:lang w:val="en-US"/>
              </w:rPr>
              <w:t>/</w:t>
            </w:r>
            <w:r w:rsidR="00A53C14" w:rsidRPr="007E3D08">
              <w:rPr>
                <w:sz w:val="16"/>
                <w:szCs w:val="18"/>
                <w:lang w:val="en-US"/>
              </w:rPr>
              <w:t>g</w:t>
            </w:r>
            <w:r w:rsidRPr="007E3D08">
              <w:rPr>
                <w:sz w:val="16"/>
                <w:szCs w:val="18"/>
                <w:lang w:val="en-US"/>
              </w:rPr>
              <w:t xml:space="preserve">) </w:t>
            </w:r>
            <w:r w:rsidR="00A53C14" w:rsidRPr="007E3D08">
              <w:rPr>
                <w:sz w:val="16"/>
                <w:szCs w:val="18"/>
                <w:lang w:val="en-US"/>
              </w:rPr>
              <w:t xml:space="preserve">with 0.1 C-rate </w:t>
            </w:r>
            <w:r w:rsidRPr="007E3D08">
              <w:rPr>
                <w:sz w:val="16"/>
                <w:szCs w:val="18"/>
                <w:lang w:val="en-US"/>
              </w:rPr>
              <w:t>in five different fractions according to previous study [4].</w:t>
            </w:r>
          </w:p>
        </w:tc>
      </w:tr>
    </w:tbl>
    <w:p w14:paraId="44D177E9" w14:textId="2FED08E8" w:rsidR="009F07E2" w:rsidRPr="007E3D08" w:rsidRDefault="007B73AA" w:rsidP="007C1C69">
      <w:pPr>
        <w:tabs>
          <w:tab w:val="clear" w:pos="7100"/>
        </w:tabs>
        <w:spacing w:line="240" w:lineRule="auto"/>
        <w:rPr>
          <w:rFonts w:cs="Arial"/>
          <w:color w:val="00B050"/>
          <w:szCs w:val="18"/>
          <w:lang w:val="en-US" w:eastAsia="ru-RU"/>
        </w:rPr>
      </w:pPr>
      <w:r w:rsidRPr="007E3D08">
        <w:rPr>
          <w:szCs w:val="18"/>
        </w:rPr>
        <w:t xml:space="preserve">can be </w:t>
      </w:r>
      <w:proofErr w:type="spellStart"/>
      <w:r w:rsidRPr="007E3D08">
        <w:rPr>
          <w:szCs w:val="18"/>
        </w:rPr>
        <w:t>explaned</w:t>
      </w:r>
      <w:proofErr w:type="spellEnd"/>
      <w:r w:rsidRPr="007E3D08">
        <w:rPr>
          <w:szCs w:val="18"/>
        </w:rPr>
        <w:t xml:space="preserve"> by the low Na</w:t>
      </w:r>
      <w:r w:rsidR="002126B0" w:rsidRPr="007E3D08">
        <w:rPr>
          <w:szCs w:val="18"/>
        </w:rPr>
        <w:t>/</w:t>
      </w:r>
      <w:r w:rsidRPr="007E3D08">
        <w:rPr>
          <w:szCs w:val="18"/>
        </w:rPr>
        <w:t>S ratio, which leads to more efficient sodium utilization and improved electrochemical performance</w:t>
      </w:r>
      <w:r w:rsidR="009F07E2" w:rsidRPr="007E3D08">
        <w:rPr>
          <w:szCs w:val="18"/>
        </w:rPr>
        <w:t>, while the fifth fraction was lower than others</w:t>
      </w:r>
      <w:r w:rsidR="007B7C57">
        <w:rPr>
          <w:szCs w:val="18"/>
        </w:rPr>
        <w:t xml:space="preserve"> with less than 145 cycles</w:t>
      </w:r>
      <w:r w:rsidR="00FF6E9C" w:rsidRPr="007E3D08">
        <w:rPr>
          <w:szCs w:val="18"/>
        </w:rPr>
        <w:t xml:space="preserve"> (Figure 1).</w:t>
      </w:r>
      <w:r w:rsidRPr="007E3D08">
        <w:rPr>
          <w:szCs w:val="18"/>
        </w:rPr>
        <w:t xml:space="preserve"> </w:t>
      </w:r>
      <w:r w:rsidR="00882807" w:rsidRPr="007E3D08">
        <w:rPr>
          <w:szCs w:val="18"/>
        </w:rPr>
        <w:t xml:space="preserve">PTFE-based cathode material that was prepared from the fifth fraction </w:t>
      </w:r>
      <w:r w:rsidR="00390471" w:rsidRPr="007E3D08">
        <w:rPr>
          <w:szCs w:val="18"/>
          <w:lang w:val="en-US"/>
        </w:rPr>
        <w:t>and</w:t>
      </w:r>
      <w:r w:rsidR="00882807" w:rsidRPr="007E3D08">
        <w:rPr>
          <w:szCs w:val="18"/>
        </w:rPr>
        <w:t xml:space="preserve"> tested at three different temperatures, and the results were illustrated in Figures 2,</w:t>
      </w:r>
      <w:r w:rsidR="00730D29" w:rsidRPr="007E3D08">
        <w:rPr>
          <w:szCs w:val="18"/>
        </w:rPr>
        <w:t xml:space="preserve"> and 3</w:t>
      </w:r>
      <w:r w:rsidR="00882807" w:rsidRPr="007E3D08">
        <w:rPr>
          <w:szCs w:val="18"/>
        </w:rPr>
        <w:t xml:space="preserve">. In figure 2 a, the test was carried on 20 cycles at 0.5 C-rate and in the first cycle, the initial charge specific capacity was 30.80 </w:t>
      </w:r>
      <w:proofErr w:type="spellStart"/>
      <w:r w:rsidR="00882807" w:rsidRPr="007E3D08">
        <w:rPr>
          <w:szCs w:val="18"/>
        </w:rPr>
        <w:t>mAh</w:t>
      </w:r>
      <w:proofErr w:type="spellEnd"/>
      <w:r w:rsidR="00882807" w:rsidRPr="007E3D08">
        <w:rPr>
          <w:szCs w:val="18"/>
        </w:rPr>
        <w:t xml:space="preserve">/g but from the second cycle it increased dramatically and reached more than 38 </w:t>
      </w:r>
      <w:proofErr w:type="spellStart"/>
      <w:r w:rsidR="00882807" w:rsidRPr="007E3D08">
        <w:rPr>
          <w:szCs w:val="18"/>
        </w:rPr>
        <w:t>mAh</w:t>
      </w:r>
      <w:proofErr w:type="spellEnd"/>
      <w:r w:rsidR="00882807" w:rsidRPr="007E3D08">
        <w:rPr>
          <w:szCs w:val="18"/>
        </w:rPr>
        <w:t xml:space="preserve">/g in cycle number 7, but then declined slowly from 38 </w:t>
      </w:r>
      <w:proofErr w:type="spellStart"/>
      <w:r w:rsidR="00882807" w:rsidRPr="007E3D08">
        <w:rPr>
          <w:szCs w:val="18"/>
        </w:rPr>
        <w:t>mAh</w:t>
      </w:r>
      <w:proofErr w:type="spellEnd"/>
      <w:r w:rsidR="00882807" w:rsidRPr="007E3D08">
        <w:rPr>
          <w:szCs w:val="18"/>
        </w:rPr>
        <w:t xml:space="preserve">/g to 36.33 </w:t>
      </w:r>
      <w:proofErr w:type="spellStart"/>
      <w:r w:rsidR="00882807" w:rsidRPr="007E3D08">
        <w:rPr>
          <w:szCs w:val="18"/>
        </w:rPr>
        <w:t>mAh</w:t>
      </w:r>
      <w:proofErr w:type="spellEnd"/>
      <w:r w:rsidR="00882807" w:rsidRPr="007E3D08">
        <w:rPr>
          <w:szCs w:val="18"/>
        </w:rPr>
        <w:t xml:space="preserve">/g at the end of the 20th cycle, while the initial discharge specific capacity </w:t>
      </w:r>
      <w:proofErr w:type="spellStart"/>
      <w:r w:rsidR="00882807" w:rsidRPr="007E3D08">
        <w:rPr>
          <w:szCs w:val="18"/>
        </w:rPr>
        <w:t>mAh</w:t>
      </w:r>
      <w:proofErr w:type="spellEnd"/>
      <w:r w:rsidR="00882807" w:rsidRPr="007E3D08">
        <w:rPr>
          <w:szCs w:val="18"/>
        </w:rPr>
        <w:t xml:space="preserve">/g remained unchanged with 36.35 </w:t>
      </w:r>
      <w:proofErr w:type="spellStart"/>
      <w:r w:rsidR="00882807" w:rsidRPr="007E3D08">
        <w:rPr>
          <w:szCs w:val="18"/>
        </w:rPr>
        <w:t>mAh</w:t>
      </w:r>
      <w:proofErr w:type="spellEnd"/>
      <w:r w:rsidR="00882807" w:rsidRPr="007E3D08">
        <w:rPr>
          <w:szCs w:val="18"/>
        </w:rPr>
        <w:t>/g. Because the PTFE</w:t>
      </w:r>
      <w:r w:rsidR="00882807" w:rsidRPr="007E3D08">
        <w:rPr>
          <w:rFonts w:ascii="Cambria Math" w:hAnsi="Cambria Math" w:cs="Cambria Math"/>
          <w:szCs w:val="18"/>
        </w:rPr>
        <w:t>‐</w:t>
      </w:r>
      <w:r w:rsidR="00882807" w:rsidRPr="007E3D08">
        <w:rPr>
          <w:szCs w:val="18"/>
        </w:rPr>
        <w:t xml:space="preserve">based cathodes experienced only a minor expansion, whereas the others expanded sharply after being tested </w:t>
      </w:r>
      <w:r w:rsidR="007C1C69" w:rsidRPr="007E3D08">
        <w:rPr>
          <w:szCs w:val="22"/>
        </w:rPr>
        <w:t>(Schmidt et al., 2022).</w:t>
      </w:r>
      <w:r w:rsidR="00882807" w:rsidRPr="007E3D08">
        <w:rPr>
          <w:sz w:val="20"/>
        </w:rPr>
        <w:t xml:space="preserve"> </w:t>
      </w:r>
      <w:r w:rsidR="00882807" w:rsidRPr="007E3D08">
        <w:rPr>
          <w:szCs w:val="18"/>
        </w:rPr>
        <w:t xml:space="preserve">The galvanostatic charge and discharge profiles operated in the voltage range of 1-3.6 V. The PTFE-based cathode was also tested at 1 C-rate, and the results are in Figure 2 b. The charge-specific capacity </w:t>
      </w:r>
      <w:proofErr w:type="spellStart"/>
      <w:r w:rsidR="00882807" w:rsidRPr="007E3D08">
        <w:rPr>
          <w:szCs w:val="18"/>
        </w:rPr>
        <w:t>mAh</w:t>
      </w:r>
      <w:proofErr w:type="spellEnd"/>
      <w:r w:rsidR="00882807" w:rsidRPr="007E3D08">
        <w:rPr>
          <w:szCs w:val="18"/>
        </w:rPr>
        <w:t xml:space="preserve">/g was nearly 26 </w:t>
      </w:r>
      <w:proofErr w:type="spellStart"/>
      <w:r w:rsidR="00882807" w:rsidRPr="007E3D08">
        <w:rPr>
          <w:szCs w:val="18"/>
        </w:rPr>
        <w:t>mAh</w:t>
      </w:r>
      <w:proofErr w:type="spellEnd"/>
      <w:r w:rsidR="00882807" w:rsidRPr="007E3D08">
        <w:rPr>
          <w:szCs w:val="18"/>
        </w:rPr>
        <w:t>/g in the whole 20 cycles, and the discharge-specific capacity was almost the same.</w:t>
      </w:r>
      <w:r w:rsidR="00BA342F" w:rsidRPr="007E3D08">
        <w:rPr>
          <w:szCs w:val="18"/>
        </w:rPr>
        <w:t xml:space="preserve"> </w:t>
      </w:r>
      <w:r w:rsidR="0018316F" w:rsidRPr="007E3D08">
        <w:rPr>
          <w:szCs w:val="18"/>
        </w:rPr>
        <w:t>The given lines show</w:t>
      </w:r>
      <w:r w:rsidR="00044CA5" w:rsidRPr="007E3D08">
        <w:rPr>
          <w:szCs w:val="18"/>
        </w:rPr>
        <w:t>s</w:t>
      </w:r>
      <w:r w:rsidR="001D3ED1" w:rsidRPr="007E3D08">
        <w:rPr>
          <w:szCs w:val="18"/>
        </w:rPr>
        <w:t xml:space="preserve"> that </w:t>
      </w:r>
      <w:r w:rsidR="005D2849" w:rsidRPr="007E3D08">
        <w:rPr>
          <w:rStyle w:val="fontstyle01"/>
          <w:rFonts w:ascii="Arial" w:hAnsi="Arial" w:cs="Arial"/>
          <w:color w:val="auto"/>
          <w:sz w:val="18"/>
          <w:szCs w:val="18"/>
        </w:rPr>
        <w:t>charge-discharge efficiency</w:t>
      </w:r>
      <w:r w:rsidR="001D3ED1" w:rsidRPr="007E3D08">
        <w:rPr>
          <w:szCs w:val="18"/>
        </w:rPr>
        <w:t xml:space="preserve"> w</w:t>
      </w:r>
      <w:r w:rsidR="007E3D08" w:rsidRPr="007E3D08">
        <w:rPr>
          <w:szCs w:val="18"/>
        </w:rPr>
        <w:t>as</w:t>
      </w:r>
      <w:r w:rsidR="001D3ED1" w:rsidRPr="007E3D08">
        <w:rPr>
          <w:szCs w:val="18"/>
        </w:rPr>
        <w:t xml:space="preserve"> 103.97</w:t>
      </w:r>
      <w:r w:rsidR="000979FD" w:rsidRPr="007E3D08">
        <w:rPr>
          <w:szCs w:val="18"/>
        </w:rPr>
        <w:t xml:space="preserve"> </w:t>
      </w:r>
      <w:r w:rsidR="00F2355F" w:rsidRPr="007E3D08">
        <w:rPr>
          <w:szCs w:val="18"/>
        </w:rPr>
        <w:t>%</w:t>
      </w:r>
      <w:r w:rsidR="001D3ED1" w:rsidRPr="007E3D08">
        <w:rPr>
          <w:szCs w:val="18"/>
        </w:rPr>
        <w:t xml:space="preserve"> and 100.04</w:t>
      </w:r>
      <w:r w:rsidR="000979FD" w:rsidRPr="007E3D08">
        <w:rPr>
          <w:szCs w:val="18"/>
        </w:rPr>
        <w:t xml:space="preserve"> </w:t>
      </w:r>
      <w:r w:rsidR="00F2355F" w:rsidRPr="007E3D08">
        <w:rPr>
          <w:szCs w:val="18"/>
        </w:rPr>
        <w:t>%</w:t>
      </w:r>
      <w:r w:rsidR="001D3ED1" w:rsidRPr="007E3D08">
        <w:rPr>
          <w:szCs w:val="18"/>
        </w:rPr>
        <w:t xml:space="preserve"> respectively at 20</w:t>
      </w:r>
      <w:r w:rsidR="00C63FE0" w:rsidRPr="007E3D08">
        <w:rPr>
          <w:szCs w:val="18"/>
        </w:rPr>
        <w:t xml:space="preserve"> </w:t>
      </w:r>
      <w:r w:rsidR="001D3ED1" w:rsidRPr="007E3D08">
        <w:rPr>
          <w:rStyle w:val="fontstyle21"/>
          <w:rFonts w:ascii="Arial" w:hAnsi="Arial" w:cs="Arial"/>
          <w:color w:val="auto"/>
          <w:sz w:val="18"/>
          <w:szCs w:val="18"/>
        </w:rPr>
        <w:t>°</w:t>
      </w:r>
      <w:r w:rsidR="001D3ED1" w:rsidRPr="007E3D08">
        <w:rPr>
          <w:rStyle w:val="fontstyle01"/>
          <w:rFonts w:ascii="Arial" w:hAnsi="Arial" w:cs="Arial"/>
          <w:color w:val="auto"/>
          <w:sz w:val="18"/>
          <w:szCs w:val="18"/>
        </w:rPr>
        <w:t>C</w:t>
      </w:r>
      <w:r w:rsidR="001A2AE1" w:rsidRPr="007E3D08">
        <w:rPr>
          <w:rStyle w:val="fontstyle01"/>
          <w:rFonts w:ascii="Arial" w:hAnsi="Arial" w:cs="Arial"/>
          <w:color w:val="auto"/>
          <w:sz w:val="18"/>
          <w:szCs w:val="18"/>
        </w:rPr>
        <w:t>, indicating good reversibility</w:t>
      </w:r>
      <w:r w:rsidR="00802CA8" w:rsidRPr="007E3D08">
        <w:rPr>
          <w:rStyle w:val="fontstyle01"/>
          <w:rFonts w:ascii="Arial" w:hAnsi="Arial" w:cs="Arial"/>
          <w:color w:val="auto"/>
          <w:sz w:val="18"/>
          <w:szCs w:val="18"/>
        </w:rPr>
        <w:t>,</w:t>
      </w:r>
      <w:r w:rsidR="00802CA8" w:rsidRPr="007E3D08">
        <w:rPr>
          <w:rFonts w:ascii="Cambria" w:hAnsi="Cambria"/>
          <w:color w:val="1B1B1B"/>
          <w:sz w:val="28"/>
          <w:szCs w:val="28"/>
          <w:shd w:val="clear" w:color="auto" w:fill="FFFFFF"/>
        </w:rPr>
        <w:t xml:space="preserve"> </w:t>
      </w:r>
      <w:r w:rsidR="00802CA8" w:rsidRPr="007E3D08">
        <w:rPr>
          <w:rFonts w:cs="Arial"/>
          <w:color w:val="1B1B1B"/>
          <w:szCs w:val="18"/>
          <w:shd w:val="clear" w:color="auto" w:fill="FFFFFF"/>
        </w:rPr>
        <w:t xml:space="preserve">due to the increased interaction between the polar </w:t>
      </w:r>
      <w:proofErr w:type="spellStart"/>
      <w:r w:rsidR="00802CA8" w:rsidRPr="007E3D08">
        <w:rPr>
          <w:rFonts w:cs="Arial"/>
          <w:color w:val="1B1B1B"/>
          <w:szCs w:val="18"/>
          <w:shd w:val="clear" w:color="auto" w:fill="FFFFFF"/>
        </w:rPr>
        <w:t>polisulfide</w:t>
      </w:r>
      <w:proofErr w:type="spellEnd"/>
      <w:r w:rsidR="00802CA8" w:rsidRPr="007E3D08">
        <w:rPr>
          <w:rFonts w:cs="Arial"/>
          <w:color w:val="1B1B1B"/>
          <w:szCs w:val="18"/>
          <w:shd w:val="clear" w:color="auto" w:fill="FFFFFF"/>
        </w:rPr>
        <w:t xml:space="preserve"> shuttle and the polar carbon surface, the mobility of the </w:t>
      </w:r>
      <w:r w:rsidR="00FB5582" w:rsidRPr="007E3D08">
        <w:rPr>
          <w:rFonts w:cs="Arial"/>
          <w:color w:val="1B1B1B"/>
          <w:szCs w:val="18"/>
          <w:shd w:val="clear" w:color="auto" w:fill="FFFFFF"/>
        </w:rPr>
        <w:t>polysulfide shuttle</w:t>
      </w:r>
      <w:r w:rsidR="00802CA8" w:rsidRPr="007E3D08">
        <w:rPr>
          <w:rFonts w:cs="Arial"/>
          <w:color w:val="1B1B1B"/>
          <w:szCs w:val="18"/>
          <w:shd w:val="clear" w:color="auto" w:fill="FFFFFF"/>
        </w:rPr>
        <w:t xml:space="preserve"> decreases</w:t>
      </w:r>
      <w:r w:rsidR="00FF6E9C" w:rsidRPr="007E3D08">
        <w:rPr>
          <w:rFonts w:cs="Arial"/>
          <w:color w:val="1B1B1B"/>
          <w:szCs w:val="18"/>
          <w:shd w:val="clear" w:color="auto" w:fill="FFFFFF"/>
        </w:rPr>
        <w:t>.</w:t>
      </w:r>
      <w:r w:rsidR="00FB5582" w:rsidRPr="007E3D08">
        <w:rPr>
          <w:rFonts w:cs="Arial"/>
          <w:color w:val="FFFF00"/>
          <w:szCs w:val="18"/>
          <w:shd w:val="clear" w:color="auto" w:fill="FFFFFF"/>
        </w:rPr>
        <w:t xml:space="preserve"> </w:t>
      </w:r>
      <w:r w:rsidR="00F2355F" w:rsidRPr="007E3D08">
        <w:rPr>
          <w:rStyle w:val="fontstyle01"/>
          <w:rFonts w:ascii="Arial" w:hAnsi="Arial" w:cs="Arial"/>
          <w:color w:val="auto"/>
          <w:sz w:val="18"/>
          <w:szCs w:val="18"/>
        </w:rPr>
        <w:t xml:space="preserve">When C-rate changed from 0.5 to 1, its </w:t>
      </w:r>
      <w:r w:rsidR="00773D58" w:rsidRPr="007E3D08">
        <w:rPr>
          <w:rStyle w:val="fontstyle01"/>
          <w:rFonts w:ascii="Arial" w:hAnsi="Arial" w:cs="Arial"/>
          <w:color w:val="auto"/>
          <w:sz w:val="18"/>
          <w:szCs w:val="18"/>
        </w:rPr>
        <w:t xml:space="preserve">average </w:t>
      </w:r>
      <w:r w:rsidR="005D2849" w:rsidRPr="007E3D08">
        <w:rPr>
          <w:rStyle w:val="fontstyle01"/>
          <w:rFonts w:ascii="Arial" w:hAnsi="Arial" w:cs="Arial"/>
          <w:color w:val="auto"/>
          <w:sz w:val="18"/>
          <w:szCs w:val="18"/>
        </w:rPr>
        <w:t xml:space="preserve">charge and discharge specific capacity </w:t>
      </w:r>
      <w:r w:rsidR="005D2849" w:rsidRPr="007E3D08">
        <w:rPr>
          <w:szCs w:val="18"/>
        </w:rPr>
        <w:t>was</w:t>
      </w:r>
      <w:r w:rsidR="00F2355F" w:rsidRPr="007E3D08">
        <w:rPr>
          <w:szCs w:val="18"/>
        </w:rPr>
        <w:t xml:space="preserve"> declined slowly</w:t>
      </w:r>
      <w:r w:rsidR="00773D58" w:rsidRPr="007E3D08">
        <w:rPr>
          <w:szCs w:val="18"/>
        </w:rPr>
        <w:t xml:space="preserve"> from 36.33 </w:t>
      </w:r>
      <w:proofErr w:type="spellStart"/>
      <w:r w:rsidR="00773D58" w:rsidRPr="007E3D08">
        <w:rPr>
          <w:szCs w:val="18"/>
        </w:rPr>
        <w:t>mAh</w:t>
      </w:r>
      <w:proofErr w:type="spellEnd"/>
      <w:r w:rsidR="00773D58" w:rsidRPr="007E3D08">
        <w:rPr>
          <w:szCs w:val="18"/>
        </w:rPr>
        <w:t xml:space="preserve">/g to 26 </w:t>
      </w:r>
      <w:proofErr w:type="spellStart"/>
      <w:r w:rsidR="00773D58" w:rsidRPr="007E3D08">
        <w:rPr>
          <w:szCs w:val="18"/>
        </w:rPr>
        <w:t>mAh</w:t>
      </w:r>
      <w:proofErr w:type="spellEnd"/>
      <w:r w:rsidR="00773D58" w:rsidRPr="007E3D08">
        <w:rPr>
          <w:szCs w:val="18"/>
        </w:rPr>
        <w:t xml:space="preserve">/g. In the </w:t>
      </w:r>
      <w:r w:rsidR="00044CA5" w:rsidRPr="007E3D08">
        <w:rPr>
          <w:szCs w:val="18"/>
        </w:rPr>
        <w:t>figure</w:t>
      </w:r>
      <w:r w:rsidR="00773D58" w:rsidRPr="007E3D08">
        <w:rPr>
          <w:szCs w:val="18"/>
        </w:rPr>
        <w:t xml:space="preserve"> </w:t>
      </w:r>
      <w:r w:rsidR="00535567" w:rsidRPr="007E3D08">
        <w:rPr>
          <w:szCs w:val="18"/>
        </w:rPr>
        <w:t>2</w:t>
      </w:r>
      <w:r w:rsidR="00773D58" w:rsidRPr="007E3D08">
        <w:rPr>
          <w:szCs w:val="18"/>
        </w:rPr>
        <w:t xml:space="preserve"> </w:t>
      </w:r>
      <w:r w:rsidR="00FB5582" w:rsidRPr="007E3D08">
        <w:rPr>
          <w:szCs w:val="18"/>
        </w:rPr>
        <w:t>c</w:t>
      </w:r>
      <w:r w:rsidR="00773D58" w:rsidRPr="007E3D08">
        <w:rPr>
          <w:szCs w:val="18"/>
        </w:rPr>
        <w:t>, the battery</w:t>
      </w:r>
      <w:r w:rsidR="0018316F" w:rsidRPr="007E3D08">
        <w:rPr>
          <w:szCs w:val="18"/>
        </w:rPr>
        <w:t xml:space="preserve"> was</w:t>
      </w:r>
      <w:r w:rsidR="00773D58" w:rsidRPr="007E3D08">
        <w:rPr>
          <w:szCs w:val="18"/>
        </w:rPr>
        <w:t xml:space="preserve"> tested at 20</w:t>
      </w:r>
      <w:r w:rsidR="000979FD" w:rsidRPr="007E3D08">
        <w:rPr>
          <w:szCs w:val="18"/>
        </w:rPr>
        <w:t xml:space="preserve"> </w:t>
      </w:r>
      <w:r w:rsidR="00773D58" w:rsidRPr="007E3D08">
        <w:rPr>
          <w:rStyle w:val="fontstyle21"/>
          <w:rFonts w:ascii="Arial" w:hAnsi="Arial" w:cs="Arial"/>
          <w:color w:val="auto"/>
          <w:sz w:val="18"/>
          <w:szCs w:val="18"/>
        </w:rPr>
        <w:t>°</w:t>
      </w:r>
      <w:r w:rsidR="00773D58" w:rsidRPr="007E3D08">
        <w:rPr>
          <w:rStyle w:val="fontstyle01"/>
          <w:rFonts w:ascii="Arial" w:hAnsi="Arial" w:cs="Arial"/>
          <w:color w:val="auto"/>
          <w:sz w:val="18"/>
          <w:szCs w:val="18"/>
        </w:rPr>
        <w:t>C, C-rate 3</w:t>
      </w:r>
      <w:r w:rsidR="00FF6E9C" w:rsidRPr="007E3D08">
        <w:rPr>
          <w:rStyle w:val="fontstyle01"/>
          <w:rFonts w:ascii="Arial" w:hAnsi="Arial" w:cs="Arial"/>
          <w:color w:val="auto"/>
          <w:sz w:val="18"/>
          <w:szCs w:val="18"/>
        </w:rPr>
        <w:t>.</w:t>
      </w:r>
      <w:r w:rsidR="00A106F9" w:rsidRPr="00A106F9">
        <w:rPr>
          <w:rStyle w:val="fontstyle01"/>
          <w:rFonts w:ascii="Arial" w:hAnsi="Arial" w:cs="Arial"/>
          <w:color w:val="auto"/>
          <w:sz w:val="18"/>
          <w:szCs w:val="18"/>
          <w:lang w:val="en-US"/>
        </w:rPr>
        <w:t xml:space="preserve"> </w:t>
      </w:r>
      <w:r w:rsidR="00773D58" w:rsidRPr="007E3D08">
        <w:rPr>
          <w:rStyle w:val="fontstyle01"/>
          <w:rFonts w:ascii="Arial" w:hAnsi="Arial" w:cs="Arial"/>
          <w:color w:val="auto"/>
          <w:sz w:val="18"/>
          <w:szCs w:val="18"/>
        </w:rPr>
        <w:t xml:space="preserve">The lines show that </w:t>
      </w:r>
      <w:r w:rsidR="005D2849" w:rsidRPr="007E3D08">
        <w:rPr>
          <w:rStyle w:val="fontstyle01"/>
          <w:rFonts w:ascii="Arial" w:hAnsi="Arial" w:cs="Arial"/>
          <w:color w:val="auto"/>
          <w:sz w:val="18"/>
          <w:szCs w:val="18"/>
        </w:rPr>
        <w:t xml:space="preserve">charge and discharge specific capacity </w:t>
      </w:r>
      <w:r w:rsidR="00433506" w:rsidRPr="007E3D08">
        <w:rPr>
          <w:rStyle w:val="fontstyle01"/>
          <w:rFonts w:ascii="Arial" w:hAnsi="Arial" w:cs="Arial"/>
          <w:color w:val="auto"/>
          <w:sz w:val="18"/>
          <w:szCs w:val="18"/>
        </w:rPr>
        <w:t xml:space="preserve">are the same line with </w:t>
      </w:r>
      <w:r w:rsidR="00A106F9" w:rsidRPr="00A106F9">
        <w:rPr>
          <w:rStyle w:val="fontstyle01"/>
          <w:rFonts w:ascii="Arial" w:hAnsi="Arial" w:cs="Arial"/>
          <w:color w:val="auto"/>
          <w:sz w:val="18"/>
          <w:szCs w:val="18"/>
          <w:lang w:val="en-US"/>
        </w:rPr>
        <w:t>20</w:t>
      </w:r>
      <w:r w:rsidR="00433506" w:rsidRPr="007E3D08">
        <w:rPr>
          <w:rStyle w:val="fontstyle01"/>
          <w:rFonts w:ascii="Arial" w:hAnsi="Arial" w:cs="Arial"/>
          <w:color w:val="auto"/>
          <w:sz w:val="18"/>
          <w:szCs w:val="18"/>
        </w:rPr>
        <w:t xml:space="preserve"> </w:t>
      </w:r>
      <w:proofErr w:type="spellStart"/>
      <w:r w:rsidR="00433506" w:rsidRPr="007E3D08">
        <w:rPr>
          <w:szCs w:val="18"/>
        </w:rPr>
        <w:t>mAh</w:t>
      </w:r>
      <w:proofErr w:type="spellEnd"/>
      <w:r w:rsidR="00433506" w:rsidRPr="007E3D08">
        <w:rPr>
          <w:szCs w:val="18"/>
        </w:rPr>
        <w:t>/g</w:t>
      </w:r>
      <w:r w:rsidR="00433506" w:rsidRPr="007E3D08">
        <w:rPr>
          <w:rStyle w:val="fontstyle01"/>
          <w:rFonts w:ascii="Arial" w:hAnsi="Arial" w:cs="Arial"/>
          <w:color w:val="auto"/>
          <w:sz w:val="18"/>
          <w:szCs w:val="18"/>
        </w:rPr>
        <w:t xml:space="preserve"> </w:t>
      </w:r>
      <w:r w:rsidR="001C0095" w:rsidRPr="007E3D08">
        <w:rPr>
          <w:rStyle w:val="fontstyle01"/>
          <w:rFonts w:ascii="Arial" w:hAnsi="Arial" w:cs="Arial"/>
          <w:color w:val="auto"/>
          <w:sz w:val="18"/>
          <w:szCs w:val="18"/>
        </w:rPr>
        <w:t>at</w:t>
      </w:r>
      <w:r w:rsidR="00433506" w:rsidRPr="007E3D08">
        <w:rPr>
          <w:rStyle w:val="fontstyle01"/>
          <w:rFonts w:ascii="Arial" w:hAnsi="Arial" w:cs="Arial"/>
          <w:color w:val="auto"/>
          <w:sz w:val="18"/>
          <w:szCs w:val="18"/>
        </w:rPr>
        <w:t xml:space="preserve"> </w:t>
      </w:r>
      <w:r w:rsidR="00710C2C" w:rsidRPr="007E3D08">
        <w:rPr>
          <w:rStyle w:val="fontstyle01"/>
          <w:rFonts w:ascii="Arial" w:hAnsi="Arial" w:cs="Arial"/>
          <w:color w:val="auto"/>
          <w:sz w:val="18"/>
          <w:szCs w:val="18"/>
        </w:rPr>
        <w:t xml:space="preserve">3 </w:t>
      </w:r>
      <w:r w:rsidR="00433506" w:rsidRPr="007E3D08">
        <w:rPr>
          <w:rStyle w:val="fontstyle01"/>
          <w:rFonts w:ascii="Arial" w:hAnsi="Arial" w:cs="Arial"/>
          <w:color w:val="auto"/>
          <w:sz w:val="18"/>
          <w:szCs w:val="18"/>
        </w:rPr>
        <w:t>C-rate</w:t>
      </w:r>
      <w:r w:rsidR="001C0095" w:rsidRPr="007E3D08">
        <w:rPr>
          <w:rStyle w:val="fontstyle01"/>
          <w:rFonts w:ascii="Arial" w:hAnsi="Arial" w:cs="Arial"/>
          <w:color w:val="auto"/>
          <w:sz w:val="18"/>
          <w:szCs w:val="18"/>
        </w:rPr>
        <w:t xml:space="preserve"> and demonstrate good cycling stability over prolonged cycles,</w:t>
      </w:r>
      <w:r w:rsidR="00433506" w:rsidRPr="007E3D08">
        <w:rPr>
          <w:rStyle w:val="fontstyle01"/>
          <w:rFonts w:ascii="Arial" w:hAnsi="Arial" w:cs="Arial"/>
          <w:color w:val="auto"/>
          <w:sz w:val="18"/>
          <w:szCs w:val="18"/>
        </w:rPr>
        <w:t xml:space="preserve"> but its specific capacity is very little in comparison with results taken from C-rates 0.5 and 1. </w:t>
      </w:r>
      <w:r w:rsidR="001C0095" w:rsidRPr="007E3D08">
        <w:rPr>
          <w:rStyle w:val="fontstyle01"/>
          <w:rFonts w:ascii="Arial" w:hAnsi="Arial" w:cs="Arial"/>
          <w:color w:val="auto"/>
          <w:sz w:val="18"/>
          <w:szCs w:val="18"/>
        </w:rPr>
        <w:t>Overall, PTFE based cathode showed the suitability for sodium-</w:t>
      </w:r>
      <w:proofErr w:type="spellStart"/>
      <w:r w:rsidR="001C0095" w:rsidRPr="007E3D08">
        <w:rPr>
          <w:rStyle w:val="fontstyle01"/>
          <w:rFonts w:ascii="Arial" w:hAnsi="Arial" w:cs="Arial"/>
          <w:color w:val="auto"/>
          <w:sz w:val="18"/>
          <w:szCs w:val="18"/>
        </w:rPr>
        <w:t>sulfur</w:t>
      </w:r>
      <w:proofErr w:type="spellEnd"/>
      <w:r w:rsidR="001C0095" w:rsidRPr="007E3D08">
        <w:rPr>
          <w:rStyle w:val="fontstyle01"/>
          <w:rFonts w:ascii="Arial" w:hAnsi="Arial" w:cs="Arial"/>
          <w:color w:val="auto"/>
          <w:sz w:val="18"/>
          <w:szCs w:val="18"/>
        </w:rPr>
        <w:t xml:space="preserve"> batteries at </w:t>
      </w:r>
      <w:r w:rsidR="001C0095" w:rsidRPr="007E3D08">
        <w:rPr>
          <w:szCs w:val="18"/>
        </w:rPr>
        <w:t>20</w:t>
      </w:r>
      <w:r w:rsidR="000979FD" w:rsidRPr="007E3D08">
        <w:rPr>
          <w:szCs w:val="18"/>
        </w:rPr>
        <w:t xml:space="preserve"> </w:t>
      </w:r>
      <w:r w:rsidR="001C0095" w:rsidRPr="007E3D08">
        <w:rPr>
          <w:rStyle w:val="fontstyle21"/>
          <w:rFonts w:ascii="Arial" w:hAnsi="Arial" w:cs="Arial"/>
          <w:color w:val="auto"/>
          <w:sz w:val="18"/>
          <w:szCs w:val="18"/>
        </w:rPr>
        <w:t>°</w:t>
      </w:r>
      <w:r w:rsidR="001C0095" w:rsidRPr="007E3D08">
        <w:rPr>
          <w:rStyle w:val="fontstyle01"/>
          <w:rFonts w:ascii="Arial" w:hAnsi="Arial" w:cs="Arial"/>
          <w:color w:val="auto"/>
          <w:sz w:val="18"/>
          <w:szCs w:val="18"/>
        </w:rPr>
        <w:t>C</w:t>
      </w:r>
      <w:r w:rsidR="00C63FE0" w:rsidRPr="007E3D08">
        <w:rPr>
          <w:rStyle w:val="fontstyle01"/>
          <w:rFonts w:ascii="Arial" w:hAnsi="Arial" w:cs="Arial"/>
          <w:color w:val="auto"/>
          <w:sz w:val="18"/>
          <w:szCs w:val="18"/>
        </w:rPr>
        <w:t xml:space="preserve"> </w:t>
      </w:r>
      <w:r w:rsidR="00AC276F" w:rsidRPr="007E3D08">
        <w:rPr>
          <w:rStyle w:val="fontstyle01"/>
          <w:rFonts w:ascii="Arial" w:hAnsi="Arial" w:cs="Arial"/>
          <w:color w:val="auto"/>
          <w:sz w:val="18"/>
          <w:szCs w:val="18"/>
        </w:rPr>
        <w:t xml:space="preserve">( room temperature), but when the temperature was 5 </w:t>
      </w:r>
      <w:r w:rsidR="00AC276F" w:rsidRPr="007E3D08">
        <w:rPr>
          <w:rStyle w:val="fontstyle21"/>
          <w:rFonts w:ascii="Arial" w:hAnsi="Arial" w:cs="Arial"/>
          <w:color w:val="auto"/>
          <w:sz w:val="18"/>
          <w:szCs w:val="18"/>
        </w:rPr>
        <w:t>°</w:t>
      </w:r>
      <w:r w:rsidR="00AC276F" w:rsidRPr="007E3D08">
        <w:rPr>
          <w:rStyle w:val="fontstyle01"/>
          <w:rFonts w:ascii="Arial" w:hAnsi="Arial" w:cs="Arial"/>
          <w:color w:val="auto"/>
          <w:sz w:val="18"/>
          <w:szCs w:val="18"/>
        </w:rPr>
        <w:t>C, specific capacity declined slowly</w:t>
      </w:r>
      <w:r w:rsidR="00FB5582" w:rsidRPr="007E3D08">
        <w:rPr>
          <w:rStyle w:val="fontstyle01"/>
          <w:rFonts w:ascii="Arial" w:hAnsi="Arial" w:cs="Arial"/>
          <w:color w:val="auto"/>
          <w:sz w:val="18"/>
          <w:szCs w:val="18"/>
        </w:rPr>
        <w:t xml:space="preserve"> in a voltage range 1</w:t>
      </w:r>
      <w:r w:rsidR="00FF6E9C" w:rsidRPr="007E3D08">
        <w:rPr>
          <w:rStyle w:val="fontstyle01"/>
          <w:rFonts w:ascii="Arial" w:hAnsi="Arial" w:cs="Arial"/>
          <w:color w:val="auto"/>
          <w:sz w:val="18"/>
          <w:szCs w:val="18"/>
        </w:rPr>
        <w:t xml:space="preserve"> V</w:t>
      </w:r>
      <w:r w:rsidR="00FB5582" w:rsidRPr="007E3D08">
        <w:rPr>
          <w:rStyle w:val="fontstyle01"/>
          <w:rFonts w:ascii="Arial" w:hAnsi="Arial" w:cs="Arial"/>
          <w:color w:val="auto"/>
          <w:sz w:val="18"/>
          <w:szCs w:val="18"/>
        </w:rPr>
        <w:t xml:space="preserve"> to 3.6</w:t>
      </w:r>
      <w:r w:rsidR="005D2849" w:rsidRPr="007E3D08">
        <w:rPr>
          <w:rStyle w:val="fontstyle01"/>
          <w:rFonts w:ascii="Arial" w:hAnsi="Arial" w:cs="Arial"/>
          <w:color w:val="auto"/>
          <w:sz w:val="18"/>
          <w:szCs w:val="18"/>
        </w:rPr>
        <w:t xml:space="preserve"> </w:t>
      </w:r>
      <w:r w:rsidR="00FB5582" w:rsidRPr="007E3D08">
        <w:rPr>
          <w:rStyle w:val="fontstyle01"/>
          <w:rFonts w:ascii="Arial" w:hAnsi="Arial" w:cs="Arial"/>
          <w:color w:val="auto"/>
          <w:sz w:val="18"/>
          <w:szCs w:val="18"/>
        </w:rPr>
        <w:t>V (expla</w:t>
      </w:r>
      <w:r w:rsidR="00D7789E">
        <w:rPr>
          <w:rStyle w:val="fontstyle01"/>
          <w:rFonts w:ascii="Arial" w:hAnsi="Arial" w:cs="Arial"/>
          <w:color w:val="auto"/>
          <w:sz w:val="18"/>
          <w:szCs w:val="18"/>
        </w:rPr>
        <w:t>i</w:t>
      </w:r>
      <w:r w:rsidR="00FB5582" w:rsidRPr="007E3D08">
        <w:rPr>
          <w:rStyle w:val="fontstyle01"/>
          <w:rFonts w:ascii="Arial" w:hAnsi="Arial" w:cs="Arial"/>
          <w:color w:val="auto"/>
          <w:sz w:val="18"/>
          <w:szCs w:val="18"/>
        </w:rPr>
        <w:t xml:space="preserve">ned in </w:t>
      </w:r>
      <w:r w:rsidR="00D7789E">
        <w:rPr>
          <w:rStyle w:val="fontstyle01"/>
          <w:rFonts w:ascii="Arial" w:hAnsi="Arial" w:cs="Arial"/>
          <w:color w:val="auto"/>
          <w:sz w:val="18"/>
          <w:szCs w:val="18"/>
        </w:rPr>
        <w:t>F</w:t>
      </w:r>
      <w:r w:rsidR="00FB5582" w:rsidRPr="007E3D08">
        <w:rPr>
          <w:rStyle w:val="fontstyle01"/>
          <w:rFonts w:ascii="Arial" w:hAnsi="Arial" w:cs="Arial"/>
          <w:color w:val="auto"/>
          <w:sz w:val="18"/>
          <w:szCs w:val="18"/>
        </w:rPr>
        <w:t>igure 3)</w:t>
      </w:r>
      <w:r w:rsidR="0018316F" w:rsidRPr="007E3D08">
        <w:rPr>
          <w:rStyle w:val="fontstyle01"/>
          <w:rFonts w:ascii="Arial" w:hAnsi="Arial" w:cs="Arial"/>
          <w:color w:val="auto"/>
          <w:sz w:val="18"/>
          <w:szCs w:val="18"/>
        </w:rPr>
        <w:t xml:space="preserve">. </w:t>
      </w:r>
      <w:r w:rsidR="00882807" w:rsidRPr="007E3D08">
        <w:rPr>
          <w:rStyle w:val="fontstyle01"/>
          <w:rFonts w:ascii="Arial" w:hAnsi="Arial" w:cs="Arial"/>
          <w:color w:val="auto"/>
          <w:sz w:val="18"/>
          <w:szCs w:val="18"/>
        </w:rPr>
        <w:t xml:space="preserve">Furthermore, decreasing the specific capacity at higher C-rates indicates that there is limited ion diffusion within the cathode material. In another study, cathodes containing PVDF binders </w:t>
      </w:r>
      <w:r w:rsidR="00882807" w:rsidRPr="007E3D08">
        <w:rPr>
          <w:rStyle w:val="fontstyle01"/>
          <w:rFonts w:ascii="Arial" w:hAnsi="Arial" w:cs="Arial"/>
          <w:color w:val="auto"/>
          <w:sz w:val="18"/>
          <w:szCs w:val="18"/>
        </w:rPr>
        <w:lastRenderedPageBreak/>
        <w:t>showed a significantly lower initial discharge capacity and failed to recover their initial capa</w:t>
      </w:r>
      <w:r w:rsidR="007C1C69" w:rsidRPr="007E3D08">
        <w:rPr>
          <w:rStyle w:val="fontstyle01"/>
          <w:rFonts w:ascii="Arial" w:hAnsi="Arial" w:cs="Arial"/>
          <w:color w:val="auto"/>
          <w:sz w:val="18"/>
          <w:szCs w:val="18"/>
        </w:rPr>
        <w:t>c</w:t>
      </w:r>
      <w:r w:rsidR="00882807" w:rsidRPr="007E3D08">
        <w:rPr>
          <w:rStyle w:val="fontstyle01"/>
          <w:rFonts w:ascii="Arial" w:hAnsi="Arial" w:cs="Arial"/>
          <w:color w:val="auto"/>
          <w:sz w:val="18"/>
          <w:szCs w:val="18"/>
        </w:rPr>
        <w:t xml:space="preserve">ity </w:t>
      </w:r>
      <w:r w:rsidR="007C1C69" w:rsidRPr="007E3D08">
        <w:t xml:space="preserve">(Park et al., 2026). </w:t>
      </w:r>
      <w:r w:rsidR="00882807" w:rsidRPr="007E3D08">
        <w:rPr>
          <w:rStyle w:val="fontstyle01"/>
          <w:rFonts w:ascii="Arial" w:hAnsi="Arial" w:cs="Arial"/>
          <w:color w:val="auto"/>
          <w:sz w:val="18"/>
          <w:szCs w:val="18"/>
        </w:rPr>
        <w:t xml:space="preserve">It showed difficulty in recovering its initial capacity after cycling, indicating poor reversibility of the electrochemical reactions. This behaviour suggests that structural changes and partial loss of active material occurred during repeated charge-discharge processes, which limited the electrode's ability to restore its original performance. In comparison, when PTFE binder is used, during the cycles its recovery of initial capacity was well performed and continued steadily. These batteries' features demonstrate that when solvent free </w:t>
      </w:r>
      <w:proofErr w:type="spellStart"/>
      <w:r w:rsidR="00882807" w:rsidRPr="007E3D08">
        <w:rPr>
          <w:rStyle w:val="fontstyle01"/>
          <w:rFonts w:ascii="Arial" w:hAnsi="Arial" w:cs="Arial"/>
          <w:color w:val="auto"/>
          <w:sz w:val="18"/>
          <w:szCs w:val="18"/>
        </w:rPr>
        <w:t>methode</w:t>
      </w:r>
      <w:proofErr w:type="spellEnd"/>
      <w:r w:rsidR="00882807" w:rsidRPr="007E3D08">
        <w:rPr>
          <w:rStyle w:val="fontstyle01"/>
          <w:rFonts w:ascii="Arial" w:hAnsi="Arial" w:cs="Arial"/>
          <w:color w:val="auto"/>
          <w:sz w:val="18"/>
          <w:szCs w:val="18"/>
        </w:rPr>
        <w:t xml:space="preserve"> is used, its strong C-F bonding, excellent chemical inertness, and high mechanical stability prevent the surface of the cathode from degradation during cycles. Therefore, when the battery was tested at 20 °C, at 3 C-rate (Figure 2), the specific capacity showed a smooth line in the whole cycles. Figure 3</w:t>
      </w:r>
      <w:r w:rsidR="00FF6E9C" w:rsidRPr="007E3D08">
        <w:rPr>
          <w:rStyle w:val="fontstyle01"/>
          <w:rFonts w:ascii="Arial" w:hAnsi="Arial" w:cs="Arial"/>
          <w:color w:val="auto"/>
          <w:sz w:val="18"/>
          <w:szCs w:val="18"/>
        </w:rPr>
        <w:t xml:space="preserve"> </w:t>
      </w:r>
      <w:r w:rsidR="00882807" w:rsidRPr="007E3D08">
        <w:rPr>
          <w:rStyle w:val="fontstyle01"/>
          <w:rFonts w:ascii="Arial" w:hAnsi="Arial" w:cs="Arial"/>
          <w:color w:val="auto"/>
          <w:sz w:val="18"/>
          <w:szCs w:val="18"/>
        </w:rPr>
        <w:t xml:space="preserve">a show that the charge specific capacity is 20.41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 xml:space="preserve">/g with 0.5 C-rate, but this capacity decreased to 18.31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 xml:space="preserve">/g in the second cycle. There is a slow decline in the charge specific capacity from 18.31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 xml:space="preserve">/g to 16.97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 xml:space="preserve">/g between 2-20 cycles. Initial discharge specific capacity started at 17.40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 xml:space="preserve">/g and rose to 17.70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 xml:space="preserve">/g until the 3rd cycle; however, it declined slowly to 16.87 </w:t>
      </w:r>
      <w:proofErr w:type="spellStart"/>
      <w:r w:rsidR="00882807" w:rsidRPr="007E3D08">
        <w:rPr>
          <w:rStyle w:val="fontstyle01"/>
          <w:rFonts w:ascii="Arial" w:hAnsi="Arial" w:cs="Arial"/>
          <w:color w:val="auto"/>
          <w:sz w:val="18"/>
          <w:szCs w:val="18"/>
        </w:rPr>
        <w:t>mAh</w:t>
      </w:r>
      <w:proofErr w:type="spellEnd"/>
      <w:r w:rsidR="00882807" w:rsidRPr="007E3D08">
        <w:rPr>
          <w:rStyle w:val="fontstyle01"/>
          <w:rFonts w:ascii="Arial" w:hAnsi="Arial" w:cs="Arial"/>
          <w:color w:val="auto"/>
          <w:sz w:val="18"/>
          <w:szCs w:val="18"/>
        </w:rPr>
        <w:t>/g at the end of the cycle. In addition, charge-discharge efficiency is 85.25 % in the first cycle, and from the second it came back to its normal efficiency at an average of 98.5%.</w:t>
      </w:r>
    </w:p>
    <w:tbl>
      <w:tblPr>
        <w:tblStyle w:val="afffb"/>
        <w:tblpPr w:leftFromText="180" w:rightFromText="180" w:vertAnchor="text" w:horzAnchor="margin" w:tblpY="-45"/>
        <w:tblW w:w="6374" w:type="dxa"/>
        <w:tblBorders>
          <w:insideH w:val="none" w:sz="0" w:space="0" w:color="auto"/>
          <w:insideV w:val="none" w:sz="0" w:space="0" w:color="auto"/>
        </w:tblBorders>
        <w:tblLayout w:type="fixed"/>
        <w:tblLook w:val="04A0" w:firstRow="1" w:lastRow="0" w:firstColumn="1" w:lastColumn="0" w:noHBand="0" w:noVBand="1"/>
      </w:tblPr>
      <w:tblGrid>
        <w:gridCol w:w="2025"/>
        <w:gridCol w:w="2246"/>
        <w:gridCol w:w="2103"/>
      </w:tblGrid>
      <w:tr w:rsidR="00B42606" w:rsidRPr="007E3D08" w14:paraId="2006F896" w14:textId="77777777" w:rsidTr="00E8306D">
        <w:trPr>
          <w:trHeight w:val="1668"/>
        </w:trPr>
        <w:tc>
          <w:tcPr>
            <w:tcW w:w="2025" w:type="dxa"/>
            <w:vAlign w:val="center"/>
          </w:tcPr>
          <w:p w14:paraId="717B92D4" w14:textId="6BFAC4DE" w:rsidR="00B42606" w:rsidRPr="007E3D08" w:rsidRDefault="00DD3BFD" w:rsidP="00B024F1">
            <w:pPr>
              <w:keepNext/>
              <w:spacing w:line="240" w:lineRule="auto"/>
              <w:jc w:val="center"/>
              <w:rPr>
                <w:i/>
                <w:iCs/>
              </w:rPr>
            </w:pPr>
            <w:r w:rsidRPr="007E3D08">
              <w:rPr>
                <w:rFonts w:asciiTheme="minorHAnsi" w:eastAsiaTheme="minorHAnsi" w:hAnsiTheme="minorHAnsi" w:cstheme="minorBidi"/>
                <w:sz w:val="22"/>
                <w:szCs w:val="22"/>
                <w:lang w:val="ru-RU"/>
              </w:rPr>
              <w:object w:dxaOrig="2895" w:dyaOrig="2235" w14:anchorId="3E91C596">
                <v:shape id="_x0000_i1031" type="#_x0000_t75" style="width:101.9pt;height:84.6pt" o:ole="">
                  <v:imagedata r:id="rId23" o:title=""/>
                </v:shape>
                <o:OLEObject Type="Embed" ProgID="Origin95.Graph" ShapeID="_x0000_i1031" DrawAspect="Content" ObjectID="_1849666728" r:id="rId24"/>
              </w:object>
            </w:r>
          </w:p>
          <w:p w14:paraId="2CBCB2E6" w14:textId="77777777" w:rsidR="00B42606" w:rsidRPr="007E3D08" w:rsidRDefault="00B42606" w:rsidP="00B024F1">
            <w:pPr>
              <w:pStyle w:val="ad"/>
              <w:jc w:val="center"/>
              <w:rPr>
                <w:i/>
                <w:iCs/>
              </w:rPr>
            </w:pPr>
            <w:r w:rsidRPr="007E3D08">
              <w:rPr>
                <w:i/>
                <w:iCs/>
              </w:rPr>
              <w:t>a</w:t>
            </w:r>
          </w:p>
        </w:tc>
        <w:tc>
          <w:tcPr>
            <w:tcW w:w="2246" w:type="dxa"/>
            <w:vAlign w:val="center"/>
          </w:tcPr>
          <w:p w14:paraId="5E27D9F9" w14:textId="1D86B73D" w:rsidR="00B42606" w:rsidRPr="007E3D08" w:rsidRDefault="00DD3BFD" w:rsidP="00B024F1">
            <w:pPr>
              <w:keepNext/>
              <w:spacing w:line="240" w:lineRule="auto"/>
              <w:jc w:val="center"/>
              <w:rPr>
                <w:i/>
                <w:iCs/>
              </w:rPr>
            </w:pPr>
            <w:r w:rsidRPr="007E3D08">
              <w:rPr>
                <w:rFonts w:asciiTheme="minorHAnsi" w:eastAsiaTheme="minorHAnsi" w:hAnsiTheme="minorHAnsi" w:cstheme="minorBidi"/>
                <w:sz w:val="22"/>
                <w:szCs w:val="22"/>
                <w:lang w:val="ru-RU"/>
              </w:rPr>
              <w:object w:dxaOrig="3210" w:dyaOrig="2460" w14:anchorId="196A1EE5">
                <v:shape id="_x0000_i1032" type="#_x0000_t75" style="width:105.65pt;height:79pt" o:ole="">
                  <v:imagedata r:id="rId25" o:title=""/>
                </v:shape>
                <o:OLEObject Type="Embed" ProgID="Origin95.Graph" ShapeID="_x0000_i1032" DrawAspect="Content" ObjectID="_1849666729" r:id="rId26"/>
              </w:object>
            </w:r>
          </w:p>
          <w:p w14:paraId="39E21D0B" w14:textId="77777777" w:rsidR="00B42606" w:rsidRPr="007E3D08" w:rsidRDefault="00B42606" w:rsidP="00B024F1">
            <w:pPr>
              <w:pStyle w:val="ad"/>
              <w:jc w:val="center"/>
              <w:rPr>
                <w:i/>
                <w:iCs/>
              </w:rPr>
            </w:pPr>
            <w:r w:rsidRPr="007E3D08">
              <w:rPr>
                <w:i/>
                <w:iCs/>
              </w:rPr>
              <w:t>b</w:t>
            </w:r>
          </w:p>
        </w:tc>
        <w:tc>
          <w:tcPr>
            <w:tcW w:w="2103" w:type="dxa"/>
            <w:vAlign w:val="center"/>
          </w:tcPr>
          <w:p w14:paraId="328104F1" w14:textId="604EA150" w:rsidR="00B42606" w:rsidRPr="007E3D08" w:rsidRDefault="00DD3BFD" w:rsidP="00B024F1">
            <w:pPr>
              <w:keepNext/>
              <w:spacing w:line="240" w:lineRule="auto"/>
              <w:jc w:val="center"/>
              <w:rPr>
                <w:i/>
                <w:iCs/>
              </w:rPr>
            </w:pPr>
            <w:r w:rsidRPr="007E3D08">
              <w:rPr>
                <w:rFonts w:asciiTheme="minorHAnsi" w:eastAsiaTheme="minorHAnsi" w:hAnsiTheme="minorHAnsi" w:cstheme="minorBidi"/>
                <w:sz w:val="22"/>
                <w:szCs w:val="22"/>
                <w:lang w:val="ru-RU"/>
              </w:rPr>
              <w:object w:dxaOrig="3105" w:dyaOrig="2370" w14:anchorId="509CCF0B">
                <v:shape id="_x0000_i1033" type="#_x0000_t75" style="width:98.65pt;height:81.35pt" o:ole="">
                  <v:imagedata r:id="rId27" o:title=""/>
                </v:shape>
                <o:OLEObject Type="Embed" ProgID="Origin95.Graph" ShapeID="_x0000_i1033" DrawAspect="Content" ObjectID="_1849666730" r:id="rId28"/>
              </w:object>
            </w:r>
          </w:p>
          <w:p w14:paraId="1AA75224" w14:textId="77777777" w:rsidR="00B42606" w:rsidRPr="007E3D08" w:rsidRDefault="00B42606" w:rsidP="00B024F1">
            <w:pPr>
              <w:pStyle w:val="ad"/>
              <w:jc w:val="center"/>
              <w:rPr>
                <w:i/>
                <w:iCs/>
              </w:rPr>
            </w:pPr>
            <w:r w:rsidRPr="007E3D08">
              <w:rPr>
                <w:i/>
                <w:iCs/>
              </w:rPr>
              <w:t>c</w:t>
            </w:r>
          </w:p>
        </w:tc>
      </w:tr>
      <w:tr w:rsidR="00B42606" w:rsidRPr="007E3D08" w14:paraId="1091BD1E" w14:textId="77777777" w:rsidTr="00E8306D">
        <w:trPr>
          <w:trHeight w:val="885"/>
        </w:trPr>
        <w:tc>
          <w:tcPr>
            <w:tcW w:w="2025" w:type="dxa"/>
            <w:vAlign w:val="center"/>
          </w:tcPr>
          <w:p w14:paraId="467B4D3C" w14:textId="27DCFF6A" w:rsidR="00B42606" w:rsidRPr="007E3D08" w:rsidRDefault="00DD3BFD" w:rsidP="00B024F1">
            <w:pPr>
              <w:spacing w:line="240" w:lineRule="auto"/>
              <w:jc w:val="center"/>
              <w:rPr>
                <w:i/>
                <w:iCs/>
              </w:rPr>
            </w:pPr>
            <w:r w:rsidRPr="007E3D08">
              <w:rPr>
                <w:rFonts w:asciiTheme="minorHAnsi" w:eastAsiaTheme="minorHAnsi" w:hAnsiTheme="minorHAnsi" w:cstheme="minorBidi"/>
                <w:sz w:val="22"/>
                <w:szCs w:val="22"/>
                <w:lang w:val="ru-RU"/>
              </w:rPr>
              <w:object w:dxaOrig="2775" w:dyaOrig="2130" w14:anchorId="142302B0">
                <v:shape id="_x0000_i1034" type="#_x0000_t75" style="width:107.05pt;height:79.95pt" o:ole="">
                  <v:imagedata r:id="rId29" o:title=""/>
                </v:shape>
                <o:OLEObject Type="Embed" ProgID="Origin95.Graph" ShapeID="_x0000_i1034" DrawAspect="Content" ObjectID="_1849666731" r:id="rId30"/>
              </w:object>
            </w:r>
          </w:p>
        </w:tc>
        <w:tc>
          <w:tcPr>
            <w:tcW w:w="2246" w:type="dxa"/>
            <w:vAlign w:val="center"/>
          </w:tcPr>
          <w:p w14:paraId="034EE03A" w14:textId="1EB12126" w:rsidR="00B42606" w:rsidRPr="007E3D08" w:rsidRDefault="00DD3BFD" w:rsidP="00B024F1">
            <w:pPr>
              <w:spacing w:line="240" w:lineRule="auto"/>
              <w:jc w:val="center"/>
              <w:rPr>
                <w:i/>
                <w:iCs/>
              </w:rPr>
            </w:pPr>
            <w:r w:rsidRPr="007E3D08">
              <w:rPr>
                <w:rFonts w:asciiTheme="minorHAnsi" w:eastAsiaTheme="minorHAnsi" w:hAnsiTheme="minorHAnsi" w:cstheme="minorBidi"/>
                <w:sz w:val="22"/>
                <w:szCs w:val="22"/>
                <w:lang w:val="ru-RU"/>
              </w:rPr>
              <w:object w:dxaOrig="3150" w:dyaOrig="2415" w14:anchorId="5DE7461C">
                <v:shape id="_x0000_i1035" type="#_x0000_t75" style="width:114.55pt;height:81.35pt" o:ole="">
                  <v:imagedata r:id="rId31" o:title=""/>
                </v:shape>
                <o:OLEObject Type="Embed" ProgID="Origin95.Graph" ShapeID="_x0000_i1035" DrawAspect="Content" ObjectID="_1849666732" r:id="rId32"/>
              </w:object>
            </w:r>
          </w:p>
        </w:tc>
        <w:tc>
          <w:tcPr>
            <w:tcW w:w="2103" w:type="dxa"/>
            <w:vAlign w:val="center"/>
          </w:tcPr>
          <w:p w14:paraId="03FCB3FE" w14:textId="2E197D72" w:rsidR="00B42606" w:rsidRPr="007E3D08" w:rsidRDefault="00DD3BFD" w:rsidP="00B024F1">
            <w:pPr>
              <w:spacing w:line="240" w:lineRule="auto"/>
              <w:jc w:val="center"/>
              <w:rPr>
                <w:i/>
                <w:iCs/>
              </w:rPr>
            </w:pPr>
            <w:r w:rsidRPr="007E3D08">
              <w:rPr>
                <w:rFonts w:asciiTheme="minorHAnsi" w:eastAsiaTheme="minorHAnsi" w:hAnsiTheme="minorHAnsi" w:cstheme="minorBidi"/>
                <w:sz w:val="22"/>
                <w:szCs w:val="22"/>
                <w:lang w:val="ru-RU"/>
              </w:rPr>
              <w:object w:dxaOrig="3345" w:dyaOrig="2565" w14:anchorId="2BD57184">
                <v:shape id="_x0000_i1036" type="#_x0000_t75" style="width:104.25pt;height:80.9pt" o:ole="">
                  <v:imagedata r:id="rId33" o:title=""/>
                </v:shape>
                <o:OLEObject Type="Embed" ProgID="Origin95.Graph" ShapeID="_x0000_i1036" DrawAspect="Content" ObjectID="_1849666733" r:id="rId34"/>
              </w:object>
            </w:r>
          </w:p>
        </w:tc>
      </w:tr>
      <w:tr w:rsidR="00B42606" w:rsidRPr="007E3D08" w14:paraId="739FD27F" w14:textId="77777777" w:rsidTr="00E8306D">
        <w:trPr>
          <w:trHeight w:val="712"/>
        </w:trPr>
        <w:tc>
          <w:tcPr>
            <w:tcW w:w="6374" w:type="dxa"/>
            <w:gridSpan w:val="3"/>
            <w:vAlign w:val="center"/>
          </w:tcPr>
          <w:p w14:paraId="56E39389" w14:textId="321E19FD" w:rsidR="00B42606" w:rsidRPr="007E3D08" w:rsidRDefault="00F16CFA" w:rsidP="00B024F1">
            <w:pPr>
              <w:pStyle w:val="CETBodytext"/>
              <w:spacing w:line="240" w:lineRule="auto"/>
              <w:jc w:val="center"/>
              <w:rPr>
                <w:rFonts w:cs="Arial"/>
                <w:szCs w:val="18"/>
              </w:rPr>
            </w:pPr>
            <w:r w:rsidRPr="007E3D08">
              <w:rPr>
                <w:sz w:val="16"/>
                <w:szCs w:val="18"/>
              </w:rPr>
              <w:t xml:space="preserve">Figure </w:t>
            </w:r>
            <w:r w:rsidR="00535567" w:rsidRPr="007E3D08">
              <w:rPr>
                <w:sz w:val="16"/>
                <w:szCs w:val="18"/>
              </w:rPr>
              <w:t>3</w:t>
            </w:r>
            <w:r w:rsidRPr="007E3D08">
              <w:rPr>
                <w:sz w:val="16"/>
                <w:szCs w:val="18"/>
              </w:rPr>
              <w:t xml:space="preserve">. illustrates the electrochemical performance of the PTFE based cathode material by using galvanostatic charge-discharge measurements at 5 </w:t>
            </w:r>
            <w:r w:rsidRPr="007E3D08">
              <w:rPr>
                <w:rStyle w:val="fontstyle21"/>
                <w:rFonts w:ascii="Arial" w:hAnsi="Arial" w:cs="Arial"/>
                <w:color w:val="auto"/>
              </w:rPr>
              <w:t>°</w:t>
            </w:r>
            <w:r w:rsidRPr="007E3D08">
              <w:rPr>
                <w:rStyle w:val="fontstyle01"/>
                <w:rFonts w:ascii="Arial" w:hAnsi="Arial" w:cs="Arial"/>
                <w:color w:val="auto"/>
              </w:rPr>
              <w:t>C with 3 different 0.5,1,3 C-rates and 20 cycles.</w:t>
            </w:r>
          </w:p>
        </w:tc>
      </w:tr>
    </w:tbl>
    <w:p w14:paraId="731B41DB" w14:textId="61890EE5" w:rsidR="008E29EE" w:rsidRPr="00463350" w:rsidRDefault="00882807" w:rsidP="00E82134">
      <w:pPr>
        <w:spacing w:line="240" w:lineRule="auto"/>
        <w:rPr>
          <w:rFonts w:cs="Arial"/>
          <w:szCs w:val="18"/>
          <w:lang w:val="en-US" w:eastAsia="ru-RU"/>
        </w:rPr>
      </w:pPr>
      <w:r w:rsidRPr="007E3D08">
        <w:rPr>
          <w:rStyle w:val="fontstyle01"/>
          <w:rFonts w:ascii="Arial" w:hAnsi="Arial" w:cs="Arial"/>
          <w:color w:val="auto"/>
          <w:sz w:val="18"/>
          <w:szCs w:val="18"/>
        </w:rPr>
        <w:t>Figure 3</w:t>
      </w:r>
      <w:r w:rsidR="00E8306D" w:rsidRPr="007E3D08">
        <w:rPr>
          <w:rStyle w:val="fontstyle01"/>
          <w:rFonts w:ascii="Arial" w:hAnsi="Arial" w:cs="Arial"/>
          <w:color w:val="auto"/>
          <w:sz w:val="18"/>
          <w:szCs w:val="18"/>
        </w:rPr>
        <w:t xml:space="preserve"> </w:t>
      </w:r>
      <w:r w:rsidRPr="007E3D08">
        <w:rPr>
          <w:rStyle w:val="fontstyle01"/>
          <w:rFonts w:ascii="Arial" w:hAnsi="Arial" w:cs="Arial"/>
          <w:color w:val="auto"/>
          <w:sz w:val="18"/>
          <w:szCs w:val="18"/>
        </w:rPr>
        <w:t xml:space="preserve">c demonstrates the test with 3 C-rates at 5 °C; discharge-specific capacity increased slowly from 0.18 </w:t>
      </w:r>
      <w:proofErr w:type="spellStart"/>
      <w:r w:rsidRPr="007E3D08">
        <w:rPr>
          <w:rStyle w:val="fontstyle01"/>
          <w:rFonts w:ascii="Arial" w:hAnsi="Arial" w:cs="Arial"/>
          <w:color w:val="auto"/>
          <w:sz w:val="18"/>
          <w:szCs w:val="18"/>
        </w:rPr>
        <w:t>mAh</w:t>
      </w:r>
      <w:proofErr w:type="spellEnd"/>
      <w:r w:rsidRPr="007E3D08">
        <w:rPr>
          <w:rStyle w:val="fontstyle01"/>
          <w:rFonts w:ascii="Arial" w:hAnsi="Arial" w:cs="Arial"/>
          <w:color w:val="auto"/>
          <w:sz w:val="18"/>
          <w:szCs w:val="18"/>
        </w:rPr>
        <w:t xml:space="preserve">/g to 0.27 </w:t>
      </w:r>
      <w:proofErr w:type="spellStart"/>
      <w:r w:rsidRPr="007E3D08">
        <w:rPr>
          <w:rStyle w:val="fontstyle01"/>
          <w:rFonts w:ascii="Arial" w:hAnsi="Arial" w:cs="Arial"/>
          <w:color w:val="auto"/>
          <w:sz w:val="18"/>
          <w:szCs w:val="18"/>
        </w:rPr>
        <w:t>mAh</w:t>
      </w:r>
      <w:proofErr w:type="spellEnd"/>
      <w:r w:rsidRPr="007E3D08">
        <w:rPr>
          <w:rStyle w:val="fontstyle01"/>
          <w:rFonts w:ascii="Arial" w:hAnsi="Arial" w:cs="Arial"/>
          <w:color w:val="auto"/>
          <w:sz w:val="18"/>
          <w:szCs w:val="18"/>
        </w:rPr>
        <w:t xml:space="preserve">/g during the 20 cycles, but charge-specific capacity showed a dramatic decline from 1.8 </w:t>
      </w:r>
      <w:proofErr w:type="spellStart"/>
      <w:r w:rsidRPr="007E3D08">
        <w:rPr>
          <w:rStyle w:val="fontstyle01"/>
          <w:rFonts w:ascii="Arial" w:hAnsi="Arial" w:cs="Arial"/>
          <w:color w:val="auto"/>
          <w:sz w:val="18"/>
          <w:szCs w:val="18"/>
        </w:rPr>
        <w:t>mAh</w:t>
      </w:r>
      <w:proofErr w:type="spellEnd"/>
      <w:r w:rsidRPr="007E3D08">
        <w:rPr>
          <w:rStyle w:val="fontstyle01"/>
          <w:rFonts w:ascii="Arial" w:hAnsi="Arial" w:cs="Arial"/>
          <w:color w:val="auto"/>
          <w:sz w:val="18"/>
          <w:szCs w:val="18"/>
        </w:rPr>
        <w:t xml:space="preserve">/g to 0.5 </w:t>
      </w:r>
      <w:proofErr w:type="spellStart"/>
      <w:r w:rsidRPr="007E3D08">
        <w:rPr>
          <w:rStyle w:val="fontstyle01"/>
          <w:rFonts w:ascii="Arial" w:hAnsi="Arial" w:cs="Arial"/>
          <w:color w:val="auto"/>
          <w:sz w:val="18"/>
          <w:szCs w:val="18"/>
        </w:rPr>
        <w:t>mAh</w:t>
      </w:r>
      <w:proofErr w:type="spellEnd"/>
      <w:r w:rsidRPr="007E3D08">
        <w:rPr>
          <w:rStyle w:val="fontstyle01"/>
          <w:rFonts w:ascii="Arial" w:hAnsi="Arial" w:cs="Arial"/>
          <w:color w:val="auto"/>
          <w:sz w:val="18"/>
          <w:szCs w:val="18"/>
        </w:rPr>
        <w:t xml:space="preserve">/g in the cycles 1-6. In cycle 8, it rose again to 0.9 </w:t>
      </w:r>
      <w:proofErr w:type="spellStart"/>
      <w:r w:rsidRPr="007E3D08">
        <w:rPr>
          <w:rStyle w:val="fontstyle01"/>
          <w:rFonts w:ascii="Arial" w:hAnsi="Arial" w:cs="Arial"/>
          <w:color w:val="auto"/>
          <w:sz w:val="18"/>
          <w:szCs w:val="18"/>
        </w:rPr>
        <w:t>mAh</w:t>
      </w:r>
      <w:proofErr w:type="spellEnd"/>
      <w:r w:rsidRPr="007E3D08">
        <w:rPr>
          <w:rStyle w:val="fontstyle01"/>
          <w:rFonts w:ascii="Arial" w:hAnsi="Arial" w:cs="Arial"/>
          <w:color w:val="auto"/>
          <w:sz w:val="18"/>
          <w:szCs w:val="18"/>
        </w:rPr>
        <w:t xml:space="preserve">/g, but decreased to 0.57 </w:t>
      </w:r>
      <w:proofErr w:type="spellStart"/>
      <w:r w:rsidRPr="007E3D08">
        <w:rPr>
          <w:rStyle w:val="fontstyle01"/>
          <w:rFonts w:ascii="Arial" w:hAnsi="Arial" w:cs="Arial"/>
          <w:color w:val="auto"/>
          <w:sz w:val="18"/>
          <w:szCs w:val="18"/>
        </w:rPr>
        <w:t>mAh</w:t>
      </w:r>
      <w:proofErr w:type="spellEnd"/>
      <w:r w:rsidRPr="007E3D08">
        <w:rPr>
          <w:rStyle w:val="fontstyle01"/>
          <w:rFonts w:ascii="Arial" w:hAnsi="Arial" w:cs="Arial"/>
          <w:color w:val="auto"/>
          <w:sz w:val="18"/>
          <w:szCs w:val="18"/>
        </w:rPr>
        <w:t>/g until the last cycle. In conclusion, the proposed PTFE cathode material demonstrates competitive electrochemical performance</w:t>
      </w:r>
      <w:r w:rsidR="00E8306D" w:rsidRPr="007E3D08">
        <w:rPr>
          <w:rStyle w:val="fontstyle01"/>
          <w:rFonts w:ascii="Arial" w:hAnsi="Arial" w:cs="Arial"/>
          <w:color w:val="auto"/>
          <w:sz w:val="18"/>
          <w:szCs w:val="18"/>
        </w:rPr>
        <w:t xml:space="preserve"> at room temperature</w:t>
      </w:r>
      <w:r w:rsidRPr="007E3D08">
        <w:rPr>
          <w:rStyle w:val="fontstyle01"/>
          <w:rFonts w:ascii="Arial" w:hAnsi="Arial" w:cs="Arial"/>
          <w:color w:val="auto"/>
          <w:sz w:val="18"/>
          <w:szCs w:val="18"/>
        </w:rPr>
        <w:t>, but changing the temperature from 20 °C to 5 °C affects its overall working ability.</w:t>
      </w:r>
      <w:r w:rsidR="00730D29" w:rsidRPr="00730D29">
        <w:rPr>
          <w:rFonts w:cs="Arial"/>
          <w:szCs w:val="18"/>
          <w:lang w:val="en-US" w:eastAsia="ru-RU"/>
        </w:rPr>
        <w:t xml:space="preserve"> </w:t>
      </w:r>
      <w:r w:rsidR="00730D29" w:rsidRPr="00766E55">
        <w:rPr>
          <w:rFonts w:cs="Arial"/>
          <w:szCs w:val="18"/>
          <w:lang w:val="en-US" w:eastAsia="ru-RU"/>
        </w:rPr>
        <w:t>Compared with PVDF-based cathodes, the PTFE-based cathode exhibits a higher density due to its pressure-assisted fabrication process.</w:t>
      </w:r>
      <w:r w:rsidR="00A627FC" w:rsidRPr="00A627FC">
        <w:rPr>
          <w:rFonts w:cs="Arial"/>
          <w:szCs w:val="18"/>
          <w:lang w:val="en-US" w:eastAsia="ru-RU"/>
        </w:rPr>
        <w:t xml:space="preserve"> </w:t>
      </w:r>
      <w:r w:rsidR="00A627FC" w:rsidRPr="00766E55">
        <w:rPr>
          <w:rFonts w:cs="Arial"/>
          <w:szCs w:val="18"/>
          <w:lang w:val="en-US" w:eastAsia="ru-RU"/>
        </w:rPr>
        <w:t>As a result, the cathode can accommodate a larger amount of active material; however, this also leads to a higher overall electrode mass.</w:t>
      </w:r>
      <w:r w:rsidR="00A627FC" w:rsidRPr="00A627FC">
        <w:t xml:space="preserve"> </w:t>
      </w:r>
      <w:r w:rsidR="00A627FC" w:rsidRPr="00766E55">
        <w:rPr>
          <w:rFonts w:cs="Arial"/>
          <w:szCs w:val="18"/>
          <w:lang w:val="en-US" w:eastAsia="ru-RU"/>
        </w:rPr>
        <w:t>Due to its higher density, the PTFE-based cathode has a lower pore volume, which can limit electrolyte penetration and ion transport.</w:t>
      </w:r>
      <w:bookmarkStart w:id="6" w:name="_Hlk227581413"/>
      <w:r w:rsidR="004C46E5" w:rsidRPr="004C46E5">
        <w:rPr>
          <w:rFonts w:cs="Arial"/>
          <w:szCs w:val="18"/>
          <w:lang w:val="en-US" w:eastAsia="ru-RU"/>
        </w:rPr>
        <w:t xml:space="preserve"> </w:t>
      </w:r>
      <w:r w:rsidR="004C46E5" w:rsidRPr="00766E55">
        <w:rPr>
          <w:rFonts w:cs="Arial"/>
          <w:szCs w:val="18"/>
          <w:lang w:val="en-US" w:eastAsia="ru-RU"/>
        </w:rPr>
        <w:t xml:space="preserve">Consequently, despite its ability to accommodate a larger amount of active material, the PTFE-based </w:t>
      </w:r>
      <w:r w:rsidR="004C46E5">
        <w:rPr>
          <w:rFonts w:cs="Arial"/>
          <w:szCs w:val="18"/>
          <w:lang w:val="en-US" w:eastAsia="ru-RU"/>
        </w:rPr>
        <w:t xml:space="preserve">cathode may exhibit lower energy performance than PVDF-based cathode. </w:t>
      </w:r>
      <w:r w:rsidR="004C46E5" w:rsidRPr="00D7789E">
        <w:rPr>
          <w:rFonts w:ascii="Times New Roman" w:hAnsi="Times New Roman"/>
          <w:color w:val="FF0000"/>
          <w:sz w:val="24"/>
          <w:szCs w:val="24"/>
          <w:lang w:val="en-US" w:eastAsia="ru-RU"/>
        </w:rPr>
        <w:tab/>
      </w:r>
      <w:r w:rsidR="00D7789E">
        <w:t>The experiment conducted at -5 °C failed because of the upper voltage limit drop, polarization effect, and the soft short circuit because of these. The sag of the upper cut-off voltage is due to increased internal resistance. In our previous protocol, the optimal operation window for sodium-</w:t>
      </w:r>
      <w:proofErr w:type="spellStart"/>
      <w:r w:rsidR="00D7789E">
        <w:t>sulfur</w:t>
      </w:r>
      <w:proofErr w:type="spellEnd"/>
      <w:r w:rsidR="00D7789E">
        <w:t xml:space="preserve"> cells was recommended to be between 1.5V and 3.0V. This research also reaffirmed this claim. Especially, low temperatures increase the viscosity of the liquid electrolyte and slow down sodium ion diffusion. Under load at sub-zero temperatures, internal resistance makes it harder for sodium ions to move freely. Interfacial impedance increases at lower thermal limits. Sluggish ion diffusion, higher overpotentials, as well as the room-temperature high-voltage limit, accelerate side reactions and dendrite formation/sodium plating, causing a soft short circuit in the battery; as a consequence, triggers this kind of failure.</w:t>
      </w:r>
      <w:r w:rsidR="00D7789E" w:rsidRPr="00D7789E">
        <w:rPr>
          <w:lang w:val="en-US"/>
        </w:rPr>
        <w:t xml:space="preserve"> </w:t>
      </w:r>
      <w:r w:rsidR="00633B04" w:rsidRPr="007E3D08">
        <w:rPr>
          <w:rFonts w:cs="Arial"/>
          <w:b/>
          <w:bCs/>
          <w:szCs w:val="18"/>
          <w:shd w:val="clear" w:color="auto" w:fill="FFFFFF"/>
        </w:rPr>
        <w:t xml:space="preserve">SEM-EDS analysis. </w:t>
      </w:r>
      <w:r w:rsidR="00633B04" w:rsidRPr="007E3D08">
        <w:rPr>
          <w:rFonts w:cs="Arial"/>
          <w:szCs w:val="18"/>
        </w:rPr>
        <w:t>The surface morphology of the PTFE based cathode material was tested</w:t>
      </w:r>
      <w:r w:rsidR="008B2B46" w:rsidRPr="007E3D08">
        <w:rPr>
          <w:rFonts w:cs="Arial"/>
          <w:szCs w:val="18"/>
        </w:rPr>
        <w:t xml:space="preserve"> </w:t>
      </w:r>
      <w:r w:rsidR="00DF6A01" w:rsidRPr="007E3D08">
        <w:rPr>
          <w:rFonts w:cs="Arial"/>
          <w:szCs w:val="18"/>
        </w:rPr>
        <w:t xml:space="preserve">on two cathode samples: one pristine cathode before electrochemical cycling and one cathode after cycling, </w:t>
      </w:r>
      <w:r w:rsidR="008B2B46" w:rsidRPr="007E3D08">
        <w:rPr>
          <w:rFonts w:cs="Arial"/>
          <w:szCs w:val="18"/>
        </w:rPr>
        <w:t xml:space="preserve">to </w:t>
      </w:r>
      <w:r w:rsidR="008B2B46" w:rsidRPr="007E3D08">
        <w:rPr>
          <w:rFonts w:cs="Arial"/>
          <w:szCs w:val="18"/>
          <w:shd w:val="clear" w:color="auto" w:fill="FFFFFF"/>
        </w:rPr>
        <w:t>investigate the swelling and wetting behaviour and evaluate the ability of PTFE binder to be sure the cohesion of the cathode.</w:t>
      </w:r>
      <w:r w:rsidR="00203983" w:rsidRPr="007E3D08">
        <w:rPr>
          <w:rFonts w:cs="Arial"/>
          <w:szCs w:val="18"/>
          <w:shd w:val="clear" w:color="auto" w:fill="FFFFFF"/>
        </w:rPr>
        <w:t xml:space="preserve"> </w:t>
      </w:r>
      <w:r w:rsidR="000D7342" w:rsidRPr="007E3D08">
        <w:rPr>
          <w:rFonts w:cs="Arial"/>
          <w:szCs w:val="18"/>
          <w:shd w:val="clear" w:color="auto" w:fill="FFFFFF"/>
        </w:rPr>
        <w:t>Figure</w:t>
      </w:r>
      <w:r w:rsidR="00203983" w:rsidRPr="007E3D08">
        <w:rPr>
          <w:rFonts w:cs="Arial"/>
          <w:szCs w:val="18"/>
          <w:shd w:val="clear" w:color="auto" w:fill="FFFFFF"/>
        </w:rPr>
        <w:t xml:space="preserve"> </w:t>
      </w:r>
      <w:r w:rsidR="000D7342" w:rsidRPr="007E3D08">
        <w:rPr>
          <w:rFonts w:cs="Arial"/>
          <w:szCs w:val="18"/>
          <w:shd w:val="clear" w:color="auto" w:fill="FFFFFF"/>
        </w:rPr>
        <w:t>4</w:t>
      </w:r>
      <w:r w:rsidR="00E82134" w:rsidRPr="007E3D08">
        <w:rPr>
          <w:rFonts w:cs="Arial"/>
          <w:szCs w:val="18"/>
          <w:shd w:val="clear" w:color="auto" w:fill="FFFFFF"/>
        </w:rPr>
        <w:t xml:space="preserve"> b (after charge-discharge)</w:t>
      </w:r>
      <w:r w:rsidR="00203983" w:rsidRPr="007E3D08">
        <w:rPr>
          <w:rFonts w:cs="Arial"/>
          <w:szCs w:val="18"/>
          <w:shd w:val="clear" w:color="auto" w:fill="FFFFFF"/>
        </w:rPr>
        <w:t xml:space="preserve"> the image of PTFE based cathode revealed the formation of fibrillar PTFE networks, which efficiently bonded the active material particles and conductive carbon.</w:t>
      </w:r>
      <w:r w:rsidR="00E82134" w:rsidRPr="00E82134">
        <w:rPr>
          <w:rFonts w:cs="Arial"/>
          <w:szCs w:val="18"/>
          <w:lang w:val="en-US" w:eastAsia="ru-RU"/>
        </w:rPr>
        <w:t xml:space="preserve"> </w:t>
      </w:r>
      <w:r w:rsidR="00E82134" w:rsidRPr="009779F0">
        <w:rPr>
          <w:rFonts w:cs="Arial"/>
          <w:szCs w:val="18"/>
          <w:lang w:val="en-US" w:eastAsia="ru-RU"/>
        </w:rPr>
        <w:t>After electrochemical cycling, the cathode surface shows noticeable morphological degradation, while the fibrillar structure of PTFE remains clearly visible.</w:t>
      </w:r>
      <w:r w:rsidR="00203983" w:rsidRPr="00E82134">
        <w:rPr>
          <w:rFonts w:cs="Arial"/>
          <w:color w:val="FF0000"/>
          <w:szCs w:val="18"/>
          <w:shd w:val="clear" w:color="auto" w:fill="FFFFFF"/>
        </w:rPr>
        <w:t xml:space="preserve"> </w:t>
      </w:r>
      <w:r w:rsidR="004E6C4A" w:rsidRPr="007E3D08">
        <w:rPr>
          <w:rFonts w:cs="Arial"/>
          <w:szCs w:val="18"/>
          <w:shd w:val="clear" w:color="auto" w:fill="FFFFFF"/>
        </w:rPr>
        <w:t>Moreover, these networks improved charge transfer and maintained electrode integrity, as a result the battery worked stable during the charge and discharge cycles.</w:t>
      </w:r>
      <w:r w:rsidR="00E64430" w:rsidRPr="007E3D08">
        <w:rPr>
          <w:rFonts w:cs="Arial"/>
          <w:szCs w:val="18"/>
          <w:shd w:val="clear" w:color="auto" w:fill="FFFFFF"/>
        </w:rPr>
        <w:t xml:space="preserve"> </w:t>
      </w:r>
      <w:r w:rsidR="00E64430" w:rsidRPr="003731EE">
        <w:rPr>
          <w:rFonts w:cs="Arial"/>
          <w:color w:val="1B1B1B"/>
          <w:szCs w:val="18"/>
          <w:shd w:val="clear" w:color="auto" w:fill="FFFFFF"/>
        </w:rPr>
        <w:t xml:space="preserve">EDS analysis indicated that the overall sodium particles </w:t>
      </w:r>
      <w:r w:rsidR="00E64430">
        <w:rPr>
          <w:rFonts w:cs="Arial"/>
          <w:color w:val="1B1B1B"/>
          <w:szCs w:val="18"/>
          <w:shd w:val="clear" w:color="auto" w:fill="FFFFFF"/>
        </w:rPr>
        <w:t xml:space="preserve">declined after being used from 19.37 % to 11.73 %. Due to the reason is that </w:t>
      </w:r>
      <w:r w:rsidR="00E64430" w:rsidRPr="00C36D14">
        <w:rPr>
          <w:rFonts w:cs="Arial"/>
          <w:szCs w:val="18"/>
          <w:lang w:eastAsia="ru-RU"/>
        </w:rPr>
        <w:t>during the last charge at -5 °C</w:t>
      </w:r>
      <w:r w:rsidR="00E64430">
        <w:rPr>
          <w:rFonts w:ascii="Times New Roman" w:hAnsi="Times New Roman"/>
          <w:sz w:val="24"/>
          <w:szCs w:val="24"/>
          <w:lang w:eastAsia="ru-RU"/>
        </w:rPr>
        <w:t xml:space="preserve"> </w:t>
      </w:r>
      <w:r w:rsidR="00E64430">
        <w:rPr>
          <w:rFonts w:cs="Arial"/>
          <w:color w:val="1B1B1B"/>
          <w:szCs w:val="18"/>
          <w:shd w:val="clear" w:color="auto" w:fill="FFFFFF"/>
        </w:rPr>
        <w:t>(</w:t>
      </w:r>
      <w:r w:rsidR="007B7C57">
        <w:rPr>
          <w:rFonts w:cs="Arial"/>
          <w:color w:val="1B1B1B"/>
          <w:szCs w:val="18"/>
          <w:shd w:val="clear" w:color="auto" w:fill="FFFFFF"/>
        </w:rPr>
        <w:t>less than 145</w:t>
      </w:r>
      <w:r w:rsidR="00E64430">
        <w:rPr>
          <w:rFonts w:cs="Arial"/>
          <w:color w:val="1B1B1B"/>
          <w:szCs w:val="18"/>
          <w:shd w:val="clear" w:color="auto" w:fill="FFFFFF"/>
        </w:rPr>
        <w:t xml:space="preserve"> cycles), sodium ions moved to the anode surface, resulting the reduction of sodium ions in the cathode. In addition, sulphur ions in the cathode material declined 16.39 % to 5.37 % and it is likely associate with the pre-treatment washing process, because sulphur particles may have been lost during the washing. </w:t>
      </w:r>
      <w:r w:rsidR="00E64430" w:rsidRPr="00C36D14">
        <w:rPr>
          <w:noProof/>
          <w:color w:val="000000"/>
          <w:szCs w:val="18"/>
        </w:rPr>
        <w:t xml:space="preserve">Figure </w:t>
      </w:r>
      <w:r w:rsidR="00E64430">
        <w:rPr>
          <w:noProof/>
          <w:color w:val="000000"/>
          <w:szCs w:val="18"/>
        </w:rPr>
        <w:t>5</w:t>
      </w:r>
      <w:r w:rsidR="00E64430">
        <w:rPr>
          <w:rFonts w:cs="Arial"/>
          <w:color w:val="1B1B1B"/>
          <w:szCs w:val="18"/>
          <w:shd w:val="clear" w:color="auto" w:fill="FFFFFF"/>
        </w:rPr>
        <w:t xml:space="preserve"> demonstrate the surface morphology of PVDF based cathode. It can be clear that after many cycles the surface of the cathode was eroded, </w:t>
      </w:r>
      <w:r w:rsidR="00E64430" w:rsidRPr="00C36D14">
        <w:rPr>
          <w:rFonts w:cs="Arial"/>
          <w:szCs w:val="18"/>
          <w:lang w:eastAsia="ru-RU"/>
        </w:rPr>
        <w:t xml:space="preserve">because of the lower stability of PVDF compared to PTFE. </w:t>
      </w:r>
      <w:r w:rsidR="004451CB" w:rsidRPr="008F3833">
        <w:rPr>
          <w:rFonts w:cs="Arial"/>
          <w:szCs w:val="18"/>
          <w:lang w:val="en-US" w:eastAsia="ru-RU"/>
        </w:rPr>
        <w:t>However,</w:t>
      </w:r>
      <w:r w:rsidR="00D7789E">
        <w:rPr>
          <w:rFonts w:cs="Arial"/>
          <w:szCs w:val="18"/>
          <w:lang w:val="en-US" w:eastAsia="ru-RU"/>
        </w:rPr>
        <w:t xml:space="preserve"> </w:t>
      </w:r>
      <w:r w:rsidR="004451CB" w:rsidRPr="008F3833">
        <w:rPr>
          <w:rFonts w:cs="Arial"/>
          <w:szCs w:val="18"/>
          <w:lang w:val="en-US" w:eastAsia="ru-RU"/>
        </w:rPr>
        <w:lastRenderedPageBreak/>
        <w:t xml:space="preserve">despite </w:t>
      </w:r>
      <w:r w:rsidR="004451CB">
        <w:rPr>
          <w:rFonts w:cs="Arial"/>
          <w:szCs w:val="18"/>
          <w:lang w:val="en-US" w:eastAsia="ru-RU"/>
        </w:rPr>
        <w:t>PTFE-based cathode’s</w:t>
      </w:r>
      <w:r w:rsidR="004451CB" w:rsidRPr="008F3833">
        <w:rPr>
          <w:rFonts w:cs="Arial"/>
          <w:szCs w:val="18"/>
          <w:lang w:val="en-US" w:eastAsia="ru-RU"/>
        </w:rPr>
        <w:t xml:space="preserve"> higher density and lower degree of degradation, the cathode exhibited lower energy performance. This may be related to its reduced porosity, which limits electrolyte penetration and ion diffusion within the electrode structure.</w:t>
      </w:r>
      <w:r w:rsidR="00DF6A01">
        <w:rPr>
          <w:rFonts w:cs="Arial"/>
          <w:szCs w:val="18"/>
          <w:lang w:eastAsia="ru-RU"/>
        </w:rPr>
        <w:tab/>
      </w:r>
    </w:p>
    <w:tbl>
      <w:tblPr>
        <w:tblStyle w:val="afffb"/>
        <w:tblW w:w="8739" w:type="dxa"/>
        <w:tblInd w:w="-5" w:type="dxa"/>
        <w:tblLayout w:type="fixed"/>
        <w:tblLook w:val="04A0" w:firstRow="1" w:lastRow="0" w:firstColumn="1" w:lastColumn="0" w:noHBand="0" w:noVBand="1"/>
      </w:tblPr>
      <w:tblGrid>
        <w:gridCol w:w="422"/>
        <w:gridCol w:w="421"/>
        <w:gridCol w:w="562"/>
        <w:gridCol w:w="562"/>
        <w:gridCol w:w="562"/>
        <w:gridCol w:w="704"/>
        <w:gridCol w:w="565"/>
        <w:gridCol w:w="572"/>
        <w:gridCol w:w="416"/>
        <w:gridCol w:w="422"/>
        <w:gridCol w:w="563"/>
        <w:gridCol w:w="563"/>
        <w:gridCol w:w="563"/>
        <w:gridCol w:w="563"/>
        <w:gridCol w:w="656"/>
        <w:gridCol w:w="612"/>
        <w:gridCol w:w="11"/>
      </w:tblGrid>
      <w:tr w:rsidR="004E6C4A" w14:paraId="61C7A4DE" w14:textId="77777777" w:rsidTr="00730D29">
        <w:trPr>
          <w:trHeight w:val="1686"/>
        </w:trPr>
        <w:tc>
          <w:tcPr>
            <w:tcW w:w="4375" w:type="dxa"/>
            <w:gridSpan w:val="8"/>
            <w:shd w:val="clear" w:color="auto" w:fill="EEECE1" w:themeFill="background2"/>
          </w:tcPr>
          <w:p w14:paraId="667DDB08" w14:textId="21A709A9" w:rsidR="004E6C4A" w:rsidRDefault="00922A38" w:rsidP="00B024F1">
            <w:pPr>
              <w:keepNext/>
              <w:spacing w:line="240" w:lineRule="auto"/>
              <w:jc w:val="center"/>
            </w:pPr>
            <w:r w:rsidRPr="009B1E57">
              <w:rPr>
                <w:rFonts w:cs="Arial"/>
                <w:noProof/>
                <w:color w:val="00B0F0"/>
                <w:szCs w:val="18"/>
                <w:lang w:val="en-US"/>
              </w:rPr>
              <w:drawing>
                <wp:inline distT="0" distB="0" distL="0" distR="0" wp14:anchorId="202A4E45" wp14:editId="473E370E">
                  <wp:extent cx="2682720" cy="1597025"/>
                  <wp:effectExtent l="0" t="0" r="381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84391" cy="1598020"/>
                          </a:xfrm>
                          <a:prstGeom prst="rect">
                            <a:avLst/>
                          </a:prstGeom>
                          <a:noFill/>
                          <a:ln>
                            <a:noFill/>
                          </a:ln>
                        </pic:spPr>
                      </pic:pic>
                    </a:graphicData>
                  </a:graphic>
                </wp:inline>
              </w:drawing>
            </w:r>
          </w:p>
          <w:p w14:paraId="0548AD0F" w14:textId="77777777" w:rsidR="004E6C4A" w:rsidRDefault="004E6C4A" w:rsidP="00B024F1">
            <w:pPr>
              <w:pStyle w:val="ad"/>
              <w:jc w:val="center"/>
            </w:pPr>
            <w:r>
              <w:t>a</w:t>
            </w:r>
          </w:p>
          <w:p w14:paraId="5023C22F" w14:textId="77777777" w:rsidR="004E6C4A" w:rsidRPr="007E7AF4" w:rsidRDefault="004E6C4A" w:rsidP="00B024F1">
            <w:pPr>
              <w:spacing w:line="240" w:lineRule="auto"/>
              <w:jc w:val="center"/>
              <w:rPr>
                <w:rFonts w:cs="Arial"/>
                <w:sz w:val="10"/>
                <w:szCs w:val="10"/>
                <w:lang w:val="en-US"/>
              </w:rPr>
            </w:pPr>
          </w:p>
        </w:tc>
        <w:tc>
          <w:tcPr>
            <w:tcW w:w="4363" w:type="dxa"/>
            <w:gridSpan w:val="9"/>
            <w:shd w:val="clear" w:color="auto" w:fill="EEECE1" w:themeFill="background2"/>
          </w:tcPr>
          <w:p w14:paraId="06DD6596" w14:textId="4C9AA421" w:rsidR="004E6C4A" w:rsidRDefault="00922A38" w:rsidP="00B024F1">
            <w:pPr>
              <w:keepNext/>
              <w:tabs>
                <w:tab w:val="clear" w:pos="7100"/>
              </w:tabs>
              <w:spacing w:line="240" w:lineRule="auto"/>
              <w:jc w:val="left"/>
            </w:pPr>
            <w:r w:rsidRPr="00922A38">
              <w:rPr>
                <w:rFonts w:cs="Arial"/>
                <w:noProof/>
                <w:color w:val="00B0F0"/>
                <w:szCs w:val="18"/>
                <w:lang w:val="en-US"/>
              </w:rPr>
              <w:drawing>
                <wp:inline distT="0" distB="0" distL="0" distR="0" wp14:anchorId="63976479" wp14:editId="63A1293B">
                  <wp:extent cx="2659013" cy="1602105"/>
                  <wp:effectExtent l="0" t="0" r="825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09766" cy="1632685"/>
                          </a:xfrm>
                          <a:prstGeom prst="rect">
                            <a:avLst/>
                          </a:prstGeom>
                          <a:noFill/>
                          <a:ln>
                            <a:noFill/>
                          </a:ln>
                        </pic:spPr>
                      </pic:pic>
                    </a:graphicData>
                  </a:graphic>
                </wp:inline>
              </w:drawing>
            </w:r>
          </w:p>
          <w:p w14:paraId="768EDD2B" w14:textId="77777777" w:rsidR="004E6C4A" w:rsidRPr="007E7AF4" w:rsidRDefault="004E6C4A" w:rsidP="00B024F1">
            <w:pPr>
              <w:pStyle w:val="ad"/>
              <w:jc w:val="center"/>
              <w:rPr>
                <w:rFonts w:cs="Arial"/>
                <w:sz w:val="10"/>
                <w:szCs w:val="10"/>
                <w:lang w:val="en-US"/>
              </w:rPr>
            </w:pPr>
            <w:r>
              <w:rPr>
                <w:rFonts w:cs="Arial"/>
                <w:lang w:val="en-US"/>
              </w:rPr>
              <w:t>b</w:t>
            </w:r>
          </w:p>
        </w:tc>
      </w:tr>
      <w:tr w:rsidR="004E6C4A" w14:paraId="3F26C218" w14:textId="77777777" w:rsidTr="00730D29">
        <w:trPr>
          <w:trHeight w:val="363"/>
        </w:trPr>
        <w:tc>
          <w:tcPr>
            <w:tcW w:w="8739" w:type="dxa"/>
            <w:gridSpan w:val="17"/>
            <w:shd w:val="clear" w:color="auto" w:fill="EEECE1" w:themeFill="background2"/>
          </w:tcPr>
          <w:p w14:paraId="430CC85E" w14:textId="0FFC69E5" w:rsidR="004E6C4A" w:rsidRPr="009B3FAC" w:rsidRDefault="00C36D14" w:rsidP="00B024F1">
            <w:pPr>
              <w:pStyle w:val="CETBodytext"/>
              <w:pBdr>
                <w:top w:val="single" w:sz="4" w:space="1" w:color="auto"/>
                <w:left w:val="single" w:sz="4" w:space="4" w:color="auto"/>
                <w:bottom w:val="single" w:sz="4" w:space="1" w:color="auto"/>
                <w:right w:val="single" w:sz="4" w:space="0" w:color="auto"/>
                <w:between w:val="single" w:sz="4" w:space="1" w:color="auto"/>
                <w:bar w:val="single" w:sz="4" w:color="auto"/>
              </w:pBdr>
              <w:spacing w:line="240" w:lineRule="auto"/>
              <w:jc w:val="center"/>
              <w:rPr>
                <w:rFonts w:cs="Arial"/>
                <w:sz w:val="16"/>
                <w:szCs w:val="16"/>
              </w:rPr>
            </w:pPr>
            <w:r>
              <w:rPr>
                <w:rFonts w:cs="Arial"/>
                <w:sz w:val="16"/>
                <w:szCs w:val="16"/>
              </w:rPr>
              <w:t xml:space="preserve">Figure </w:t>
            </w:r>
            <w:r w:rsidR="000D7342">
              <w:rPr>
                <w:rFonts w:cs="Arial"/>
                <w:sz w:val="16"/>
                <w:szCs w:val="16"/>
              </w:rPr>
              <w:t>4</w:t>
            </w:r>
            <w:r w:rsidR="004E6C4A" w:rsidRPr="009B3FAC">
              <w:rPr>
                <w:rFonts w:cs="Arial"/>
                <w:sz w:val="16"/>
                <w:szCs w:val="16"/>
              </w:rPr>
              <w:t xml:space="preserve">. SEM-EDS analysis of microstructure of PTFE based cathode material and their elemental analysis before and </w:t>
            </w:r>
            <w:r w:rsidR="00E8306D" w:rsidRPr="009B3FAC">
              <w:rPr>
                <w:rFonts w:cs="Arial"/>
                <w:sz w:val="16"/>
                <w:szCs w:val="16"/>
              </w:rPr>
              <w:t xml:space="preserve">(left) </w:t>
            </w:r>
            <w:r w:rsidR="004E6C4A" w:rsidRPr="009B3FAC">
              <w:rPr>
                <w:rFonts w:cs="Arial"/>
                <w:sz w:val="16"/>
                <w:szCs w:val="16"/>
              </w:rPr>
              <w:t xml:space="preserve">after </w:t>
            </w:r>
            <w:r w:rsidR="00E8306D" w:rsidRPr="009B3FAC">
              <w:rPr>
                <w:rFonts w:cs="Arial"/>
                <w:sz w:val="16"/>
                <w:szCs w:val="16"/>
              </w:rPr>
              <w:t xml:space="preserve">(right) </w:t>
            </w:r>
            <w:r w:rsidR="004E6C4A" w:rsidRPr="009B3FAC">
              <w:rPr>
                <w:rFonts w:cs="Arial"/>
                <w:sz w:val="16"/>
                <w:szCs w:val="16"/>
              </w:rPr>
              <w:t>charge-discharge</w:t>
            </w:r>
          </w:p>
          <w:p w14:paraId="5C6F9151" w14:textId="77777777" w:rsidR="004E6C4A" w:rsidRPr="007E7AF4" w:rsidRDefault="004E6C4A" w:rsidP="00B024F1">
            <w:pPr>
              <w:tabs>
                <w:tab w:val="clear" w:pos="7100"/>
              </w:tabs>
              <w:spacing w:line="240" w:lineRule="auto"/>
              <w:jc w:val="left"/>
              <w:rPr>
                <w:rFonts w:cs="Arial"/>
                <w:sz w:val="10"/>
                <w:szCs w:val="10"/>
                <w:lang w:val="en-US"/>
              </w:rPr>
            </w:pPr>
          </w:p>
        </w:tc>
      </w:tr>
      <w:tr w:rsidR="00F87578" w:rsidRPr="00F87578" w14:paraId="00B0F4DE" w14:textId="77777777" w:rsidTr="00730D29">
        <w:trPr>
          <w:gridAfter w:val="1"/>
          <w:wAfter w:w="11" w:type="dxa"/>
          <w:trHeight w:val="353"/>
        </w:trPr>
        <w:tc>
          <w:tcPr>
            <w:tcW w:w="423" w:type="dxa"/>
            <w:shd w:val="clear" w:color="auto" w:fill="EEECE1" w:themeFill="background2"/>
          </w:tcPr>
          <w:p w14:paraId="4CF0DB4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Element</w:t>
            </w:r>
          </w:p>
        </w:tc>
        <w:tc>
          <w:tcPr>
            <w:tcW w:w="422" w:type="dxa"/>
            <w:shd w:val="clear" w:color="auto" w:fill="EEECE1" w:themeFill="background2"/>
          </w:tcPr>
          <w:p w14:paraId="4F17F97F" w14:textId="77777777" w:rsidR="004E6C4A" w:rsidRPr="00F87578" w:rsidRDefault="004E6C4A" w:rsidP="00B024F1">
            <w:pPr>
              <w:spacing w:line="240" w:lineRule="auto"/>
              <w:jc w:val="center"/>
              <w:rPr>
                <w:rFonts w:cs="Arial"/>
                <w:sz w:val="12"/>
                <w:szCs w:val="12"/>
                <w:lang w:val="en-US"/>
              </w:rPr>
            </w:pPr>
            <w:proofErr w:type="spellStart"/>
            <w:r w:rsidRPr="00F87578">
              <w:rPr>
                <w:rFonts w:cs="Arial"/>
                <w:sz w:val="12"/>
                <w:szCs w:val="12"/>
                <w:lang w:val="en-US"/>
              </w:rPr>
              <w:t>At.n</w:t>
            </w:r>
            <w:proofErr w:type="spellEnd"/>
            <w:r w:rsidRPr="00F87578">
              <w:rPr>
                <w:rFonts w:cs="Arial"/>
                <w:sz w:val="12"/>
                <w:szCs w:val="12"/>
                <w:lang w:val="en-US"/>
              </w:rPr>
              <w:t>.</w:t>
            </w:r>
          </w:p>
        </w:tc>
        <w:tc>
          <w:tcPr>
            <w:tcW w:w="563" w:type="dxa"/>
            <w:shd w:val="clear" w:color="auto" w:fill="EEECE1" w:themeFill="background2"/>
          </w:tcPr>
          <w:p w14:paraId="65CB4F68"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Mass</w:t>
            </w:r>
          </w:p>
        </w:tc>
        <w:tc>
          <w:tcPr>
            <w:tcW w:w="563" w:type="dxa"/>
            <w:shd w:val="clear" w:color="auto" w:fill="EEECE1" w:themeFill="background2"/>
          </w:tcPr>
          <w:p w14:paraId="43B2338E"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Mass (%)</w:t>
            </w:r>
          </w:p>
        </w:tc>
        <w:tc>
          <w:tcPr>
            <w:tcW w:w="563" w:type="dxa"/>
            <w:shd w:val="clear" w:color="auto" w:fill="EEECE1" w:themeFill="background2"/>
          </w:tcPr>
          <w:p w14:paraId="2670A235" w14:textId="77777777" w:rsidR="004E6C4A" w:rsidRPr="00F87578" w:rsidRDefault="004E6C4A" w:rsidP="00B024F1">
            <w:pPr>
              <w:spacing w:line="240" w:lineRule="auto"/>
              <w:jc w:val="center"/>
              <w:rPr>
                <w:rFonts w:cs="Arial"/>
                <w:sz w:val="12"/>
                <w:szCs w:val="12"/>
                <w:lang w:val="en-US"/>
              </w:rPr>
            </w:pPr>
            <w:proofErr w:type="spellStart"/>
            <w:r w:rsidRPr="00F87578">
              <w:rPr>
                <w:rFonts w:cs="Arial"/>
                <w:sz w:val="12"/>
                <w:szCs w:val="12"/>
                <w:lang w:val="en-US"/>
              </w:rPr>
              <w:t>Mass.norm</w:t>
            </w:r>
            <w:proofErr w:type="spellEnd"/>
            <w:r w:rsidRPr="00F87578">
              <w:rPr>
                <w:rFonts w:cs="Arial"/>
                <w:sz w:val="12"/>
                <w:szCs w:val="12"/>
                <w:lang w:val="en-US"/>
              </w:rPr>
              <w:t>. (%)</w:t>
            </w:r>
          </w:p>
        </w:tc>
        <w:tc>
          <w:tcPr>
            <w:tcW w:w="704" w:type="dxa"/>
            <w:shd w:val="clear" w:color="auto" w:fill="EEECE1" w:themeFill="background2"/>
          </w:tcPr>
          <w:p w14:paraId="4A0B9A01"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Atom (%)</w:t>
            </w:r>
          </w:p>
        </w:tc>
        <w:tc>
          <w:tcPr>
            <w:tcW w:w="565" w:type="dxa"/>
            <w:shd w:val="clear" w:color="auto" w:fill="EEECE1" w:themeFill="background2"/>
          </w:tcPr>
          <w:p w14:paraId="3A1FEE88" w14:textId="77777777" w:rsidR="004E6C4A" w:rsidRPr="00F87578" w:rsidRDefault="004E6C4A" w:rsidP="00B024F1">
            <w:pPr>
              <w:spacing w:line="240" w:lineRule="auto"/>
              <w:jc w:val="center"/>
              <w:rPr>
                <w:rFonts w:cs="Arial"/>
                <w:sz w:val="12"/>
                <w:szCs w:val="12"/>
              </w:rPr>
            </w:pPr>
            <w:r w:rsidRPr="00F87578">
              <w:rPr>
                <w:rFonts w:cs="Arial"/>
                <w:sz w:val="12"/>
                <w:szCs w:val="12"/>
                <w:lang w:val="en-US"/>
              </w:rPr>
              <w:t>Abs.er. (%)</w:t>
            </w:r>
          </w:p>
        </w:tc>
        <w:tc>
          <w:tcPr>
            <w:tcW w:w="567" w:type="dxa"/>
            <w:shd w:val="clear" w:color="auto" w:fill="EEECE1" w:themeFill="background2"/>
          </w:tcPr>
          <w:p w14:paraId="760EACE5"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Rel.er. (%)</w:t>
            </w:r>
          </w:p>
        </w:tc>
        <w:tc>
          <w:tcPr>
            <w:tcW w:w="416" w:type="dxa"/>
            <w:shd w:val="clear" w:color="auto" w:fill="EEECE1" w:themeFill="background2"/>
          </w:tcPr>
          <w:p w14:paraId="2C0BD710"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Element</w:t>
            </w:r>
          </w:p>
        </w:tc>
        <w:tc>
          <w:tcPr>
            <w:tcW w:w="422" w:type="dxa"/>
            <w:shd w:val="clear" w:color="auto" w:fill="EEECE1" w:themeFill="background2"/>
          </w:tcPr>
          <w:p w14:paraId="5D463CAE" w14:textId="77777777" w:rsidR="004E6C4A" w:rsidRPr="00F87578" w:rsidRDefault="004E6C4A" w:rsidP="00B024F1">
            <w:pPr>
              <w:tabs>
                <w:tab w:val="clear" w:pos="7100"/>
              </w:tabs>
              <w:spacing w:line="240" w:lineRule="auto"/>
              <w:jc w:val="center"/>
              <w:rPr>
                <w:rFonts w:cs="Arial"/>
                <w:sz w:val="12"/>
                <w:szCs w:val="12"/>
              </w:rPr>
            </w:pPr>
            <w:proofErr w:type="spellStart"/>
            <w:r w:rsidRPr="00F87578">
              <w:rPr>
                <w:rFonts w:cs="Arial"/>
                <w:sz w:val="12"/>
                <w:szCs w:val="12"/>
                <w:lang w:val="en-US"/>
              </w:rPr>
              <w:t>At.n</w:t>
            </w:r>
            <w:proofErr w:type="spellEnd"/>
            <w:r w:rsidRPr="00F87578">
              <w:rPr>
                <w:rFonts w:cs="Arial"/>
                <w:sz w:val="12"/>
                <w:szCs w:val="12"/>
                <w:lang w:val="en-US"/>
              </w:rPr>
              <w:t>.</w:t>
            </w:r>
          </w:p>
        </w:tc>
        <w:tc>
          <w:tcPr>
            <w:tcW w:w="563" w:type="dxa"/>
            <w:shd w:val="clear" w:color="auto" w:fill="EEECE1" w:themeFill="background2"/>
          </w:tcPr>
          <w:p w14:paraId="6A92BE11"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Mass</w:t>
            </w:r>
          </w:p>
        </w:tc>
        <w:tc>
          <w:tcPr>
            <w:tcW w:w="563" w:type="dxa"/>
            <w:shd w:val="clear" w:color="auto" w:fill="EEECE1" w:themeFill="background2"/>
          </w:tcPr>
          <w:p w14:paraId="1A9290BB"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Mass (%)</w:t>
            </w:r>
          </w:p>
        </w:tc>
        <w:tc>
          <w:tcPr>
            <w:tcW w:w="563" w:type="dxa"/>
            <w:shd w:val="clear" w:color="auto" w:fill="EEECE1" w:themeFill="background2"/>
          </w:tcPr>
          <w:p w14:paraId="03C727C2" w14:textId="77777777" w:rsidR="004E6C4A" w:rsidRPr="00F87578" w:rsidRDefault="004E6C4A" w:rsidP="00B024F1">
            <w:pPr>
              <w:tabs>
                <w:tab w:val="clear" w:pos="7100"/>
              </w:tabs>
              <w:spacing w:line="240" w:lineRule="auto"/>
              <w:jc w:val="center"/>
              <w:rPr>
                <w:rFonts w:cs="Arial"/>
                <w:sz w:val="12"/>
                <w:szCs w:val="12"/>
              </w:rPr>
            </w:pPr>
            <w:proofErr w:type="spellStart"/>
            <w:r w:rsidRPr="00F87578">
              <w:rPr>
                <w:rFonts w:cs="Arial"/>
                <w:sz w:val="12"/>
                <w:szCs w:val="12"/>
                <w:lang w:val="en-US"/>
              </w:rPr>
              <w:t>Mass.norm</w:t>
            </w:r>
            <w:proofErr w:type="spellEnd"/>
            <w:r w:rsidRPr="00F87578">
              <w:rPr>
                <w:rFonts w:cs="Arial"/>
                <w:sz w:val="12"/>
                <w:szCs w:val="12"/>
                <w:lang w:val="en-US"/>
              </w:rPr>
              <w:t>. (%)</w:t>
            </w:r>
          </w:p>
        </w:tc>
        <w:tc>
          <w:tcPr>
            <w:tcW w:w="563" w:type="dxa"/>
            <w:shd w:val="clear" w:color="auto" w:fill="EEECE1" w:themeFill="background2"/>
          </w:tcPr>
          <w:p w14:paraId="0A4CFE71"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Atom (%)</w:t>
            </w:r>
          </w:p>
        </w:tc>
        <w:tc>
          <w:tcPr>
            <w:tcW w:w="656" w:type="dxa"/>
            <w:shd w:val="clear" w:color="auto" w:fill="EEECE1" w:themeFill="background2"/>
          </w:tcPr>
          <w:p w14:paraId="46C9FB09"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Abs.er. (%)</w:t>
            </w:r>
          </w:p>
        </w:tc>
        <w:tc>
          <w:tcPr>
            <w:tcW w:w="612" w:type="dxa"/>
            <w:shd w:val="clear" w:color="auto" w:fill="EEECE1" w:themeFill="background2"/>
          </w:tcPr>
          <w:p w14:paraId="4DB054C5"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Rel.er. (%)</w:t>
            </w:r>
          </w:p>
        </w:tc>
      </w:tr>
      <w:tr w:rsidR="00F87578" w:rsidRPr="00F87578" w14:paraId="37ED845A" w14:textId="77777777" w:rsidTr="00730D29">
        <w:trPr>
          <w:gridAfter w:val="1"/>
          <w:wAfter w:w="11" w:type="dxa"/>
          <w:trHeight w:val="108"/>
        </w:trPr>
        <w:tc>
          <w:tcPr>
            <w:tcW w:w="423" w:type="dxa"/>
            <w:shd w:val="clear" w:color="auto" w:fill="EEECE1" w:themeFill="background2"/>
          </w:tcPr>
          <w:p w14:paraId="1FAEA053"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C</w:t>
            </w:r>
          </w:p>
        </w:tc>
        <w:tc>
          <w:tcPr>
            <w:tcW w:w="422" w:type="dxa"/>
          </w:tcPr>
          <w:p w14:paraId="0949420F"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6</w:t>
            </w:r>
          </w:p>
        </w:tc>
        <w:tc>
          <w:tcPr>
            <w:tcW w:w="563" w:type="dxa"/>
          </w:tcPr>
          <w:p w14:paraId="5A77F76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281</w:t>
            </w:r>
          </w:p>
        </w:tc>
        <w:tc>
          <w:tcPr>
            <w:tcW w:w="563" w:type="dxa"/>
          </w:tcPr>
          <w:p w14:paraId="475A0FBA"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20.50</w:t>
            </w:r>
          </w:p>
        </w:tc>
        <w:tc>
          <w:tcPr>
            <w:tcW w:w="563" w:type="dxa"/>
          </w:tcPr>
          <w:p w14:paraId="651A3FAA"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38.45</w:t>
            </w:r>
          </w:p>
        </w:tc>
        <w:tc>
          <w:tcPr>
            <w:tcW w:w="704" w:type="dxa"/>
          </w:tcPr>
          <w:p w14:paraId="3B094895"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51.06</w:t>
            </w:r>
          </w:p>
        </w:tc>
        <w:tc>
          <w:tcPr>
            <w:tcW w:w="565" w:type="dxa"/>
          </w:tcPr>
          <w:p w14:paraId="6E323E37"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1.74</w:t>
            </w:r>
          </w:p>
        </w:tc>
        <w:tc>
          <w:tcPr>
            <w:tcW w:w="567" w:type="dxa"/>
          </w:tcPr>
          <w:p w14:paraId="1889A5C4"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8.49</w:t>
            </w:r>
          </w:p>
        </w:tc>
        <w:tc>
          <w:tcPr>
            <w:tcW w:w="416" w:type="dxa"/>
            <w:shd w:val="clear" w:color="auto" w:fill="EEECE1" w:themeFill="background2"/>
          </w:tcPr>
          <w:p w14:paraId="73A90553"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C</w:t>
            </w:r>
          </w:p>
        </w:tc>
        <w:tc>
          <w:tcPr>
            <w:tcW w:w="422" w:type="dxa"/>
          </w:tcPr>
          <w:p w14:paraId="363E390A"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6</w:t>
            </w:r>
          </w:p>
        </w:tc>
        <w:tc>
          <w:tcPr>
            <w:tcW w:w="563" w:type="dxa"/>
          </w:tcPr>
          <w:p w14:paraId="0C1F001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201</w:t>
            </w:r>
          </w:p>
        </w:tc>
        <w:tc>
          <w:tcPr>
            <w:tcW w:w="563" w:type="dxa"/>
          </w:tcPr>
          <w:p w14:paraId="1C532276"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10.71</w:t>
            </w:r>
          </w:p>
        </w:tc>
        <w:tc>
          <w:tcPr>
            <w:tcW w:w="563" w:type="dxa"/>
          </w:tcPr>
          <w:p w14:paraId="3C5DD3DF"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18.40</w:t>
            </w:r>
          </w:p>
        </w:tc>
        <w:tc>
          <w:tcPr>
            <w:tcW w:w="563" w:type="dxa"/>
          </w:tcPr>
          <w:p w14:paraId="7695E50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29.94</w:t>
            </w:r>
          </w:p>
        </w:tc>
        <w:tc>
          <w:tcPr>
            <w:tcW w:w="656" w:type="dxa"/>
          </w:tcPr>
          <w:p w14:paraId="6F8047A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1.04</w:t>
            </w:r>
          </w:p>
        </w:tc>
        <w:tc>
          <w:tcPr>
            <w:tcW w:w="612" w:type="dxa"/>
          </w:tcPr>
          <w:p w14:paraId="27490910"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9.70</w:t>
            </w:r>
          </w:p>
        </w:tc>
      </w:tr>
      <w:tr w:rsidR="00F87578" w:rsidRPr="00F87578" w14:paraId="6402DA15" w14:textId="77777777" w:rsidTr="00730D29">
        <w:trPr>
          <w:gridAfter w:val="1"/>
          <w:wAfter w:w="11" w:type="dxa"/>
          <w:trHeight w:val="97"/>
        </w:trPr>
        <w:tc>
          <w:tcPr>
            <w:tcW w:w="423" w:type="dxa"/>
            <w:shd w:val="clear" w:color="auto" w:fill="EEECE1" w:themeFill="background2"/>
          </w:tcPr>
          <w:p w14:paraId="2DFB4CDC"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O</w:t>
            </w:r>
          </w:p>
        </w:tc>
        <w:tc>
          <w:tcPr>
            <w:tcW w:w="422" w:type="dxa"/>
          </w:tcPr>
          <w:p w14:paraId="1CC0576F"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8</w:t>
            </w:r>
          </w:p>
        </w:tc>
        <w:tc>
          <w:tcPr>
            <w:tcW w:w="563" w:type="dxa"/>
          </w:tcPr>
          <w:p w14:paraId="19E70A0E"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366</w:t>
            </w:r>
          </w:p>
        </w:tc>
        <w:tc>
          <w:tcPr>
            <w:tcW w:w="563" w:type="dxa"/>
          </w:tcPr>
          <w:p w14:paraId="4F796E9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13.26</w:t>
            </w:r>
          </w:p>
        </w:tc>
        <w:tc>
          <w:tcPr>
            <w:tcW w:w="563" w:type="dxa"/>
          </w:tcPr>
          <w:p w14:paraId="00935BFD"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24.88</w:t>
            </w:r>
          </w:p>
        </w:tc>
        <w:tc>
          <w:tcPr>
            <w:tcW w:w="704" w:type="dxa"/>
          </w:tcPr>
          <w:p w14:paraId="303CABF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24.80</w:t>
            </w:r>
          </w:p>
        </w:tc>
        <w:tc>
          <w:tcPr>
            <w:tcW w:w="565" w:type="dxa"/>
          </w:tcPr>
          <w:p w14:paraId="229CE46A"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1.04</w:t>
            </w:r>
          </w:p>
        </w:tc>
        <w:tc>
          <w:tcPr>
            <w:tcW w:w="567" w:type="dxa"/>
          </w:tcPr>
          <w:p w14:paraId="77F38DC2"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7.88</w:t>
            </w:r>
          </w:p>
        </w:tc>
        <w:tc>
          <w:tcPr>
            <w:tcW w:w="416" w:type="dxa"/>
            <w:shd w:val="clear" w:color="auto" w:fill="EEECE1" w:themeFill="background2"/>
          </w:tcPr>
          <w:p w14:paraId="55924C7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O</w:t>
            </w:r>
          </w:p>
        </w:tc>
        <w:tc>
          <w:tcPr>
            <w:tcW w:w="422" w:type="dxa"/>
          </w:tcPr>
          <w:p w14:paraId="688C528F"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8</w:t>
            </w:r>
          </w:p>
        </w:tc>
        <w:tc>
          <w:tcPr>
            <w:tcW w:w="563" w:type="dxa"/>
          </w:tcPr>
          <w:p w14:paraId="6A48364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883</w:t>
            </w:r>
          </w:p>
        </w:tc>
        <w:tc>
          <w:tcPr>
            <w:tcW w:w="563" w:type="dxa"/>
          </w:tcPr>
          <w:p w14:paraId="6F57251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11.73</w:t>
            </w:r>
          </w:p>
        </w:tc>
        <w:tc>
          <w:tcPr>
            <w:tcW w:w="563" w:type="dxa"/>
          </w:tcPr>
          <w:p w14:paraId="7D36173A"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20.15</w:t>
            </w:r>
          </w:p>
        </w:tc>
        <w:tc>
          <w:tcPr>
            <w:tcW w:w="563" w:type="dxa"/>
          </w:tcPr>
          <w:p w14:paraId="1F25F74C"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24.60</w:t>
            </w:r>
          </w:p>
        </w:tc>
        <w:tc>
          <w:tcPr>
            <w:tcW w:w="656" w:type="dxa"/>
          </w:tcPr>
          <w:p w14:paraId="0E8CCF64"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0.75</w:t>
            </w:r>
          </w:p>
        </w:tc>
        <w:tc>
          <w:tcPr>
            <w:tcW w:w="612" w:type="dxa"/>
          </w:tcPr>
          <w:p w14:paraId="4AFCEC5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6.42</w:t>
            </w:r>
          </w:p>
        </w:tc>
      </w:tr>
      <w:tr w:rsidR="00F87578" w:rsidRPr="00F87578" w14:paraId="166D0128" w14:textId="77777777" w:rsidTr="00730D29">
        <w:trPr>
          <w:gridAfter w:val="1"/>
          <w:wAfter w:w="11" w:type="dxa"/>
          <w:trHeight w:val="100"/>
        </w:trPr>
        <w:tc>
          <w:tcPr>
            <w:tcW w:w="423" w:type="dxa"/>
            <w:shd w:val="clear" w:color="auto" w:fill="EEECE1" w:themeFill="background2"/>
          </w:tcPr>
          <w:p w14:paraId="5C753EBB"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F</w:t>
            </w:r>
          </w:p>
        </w:tc>
        <w:tc>
          <w:tcPr>
            <w:tcW w:w="422" w:type="dxa"/>
          </w:tcPr>
          <w:p w14:paraId="18F46361"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9</w:t>
            </w:r>
          </w:p>
        </w:tc>
        <w:tc>
          <w:tcPr>
            <w:tcW w:w="563" w:type="dxa"/>
          </w:tcPr>
          <w:p w14:paraId="729532BD"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83</w:t>
            </w:r>
          </w:p>
        </w:tc>
        <w:tc>
          <w:tcPr>
            <w:tcW w:w="563" w:type="dxa"/>
          </w:tcPr>
          <w:p w14:paraId="60C866D5"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2.45</w:t>
            </w:r>
          </w:p>
        </w:tc>
        <w:tc>
          <w:tcPr>
            <w:tcW w:w="563" w:type="dxa"/>
          </w:tcPr>
          <w:p w14:paraId="031DE20F"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4.60</w:t>
            </w:r>
          </w:p>
        </w:tc>
        <w:tc>
          <w:tcPr>
            <w:tcW w:w="704" w:type="dxa"/>
          </w:tcPr>
          <w:p w14:paraId="2C760369"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3.86</w:t>
            </w:r>
          </w:p>
        </w:tc>
        <w:tc>
          <w:tcPr>
            <w:tcW w:w="565" w:type="dxa"/>
          </w:tcPr>
          <w:p w14:paraId="466DA232"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0.36</w:t>
            </w:r>
          </w:p>
        </w:tc>
        <w:tc>
          <w:tcPr>
            <w:tcW w:w="567" w:type="dxa"/>
          </w:tcPr>
          <w:p w14:paraId="76F43AD7"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14.71</w:t>
            </w:r>
          </w:p>
        </w:tc>
        <w:tc>
          <w:tcPr>
            <w:tcW w:w="416" w:type="dxa"/>
            <w:shd w:val="clear" w:color="auto" w:fill="EEECE1" w:themeFill="background2"/>
          </w:tcPr>
          <w:p w14:paraId="128252C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F</w:t>
            </w:r>
          </w:p>
        </w:tc>
        <w:tc>
          <w:tcPr>
            <w:tcW w:w="422" w:type="dxa"/>
          </w:tcPr>
          <w:p w14:paraId="2CAE5BC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9</w:t>
            </w:r>
          </w:p>
        </w:tc>
        <w:tc>
          <w:tcPr>
            <w:tcW w:w="563" w:type="dxa"/>
          </w:tcPr>
          <w:p w14:paraId="3802F58C"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w:t>
            </w:r>
          </w:p>
        </w:tc>
        <w:tc>
          <w:tcPr>
            <w:tcW w:w="563" w:type="dxa"/>
          </w:tcPr>
          <w:p w14:paraId="6492CE0E"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0.02</w:t>
            </w:r>
          </w:p>
        </w:tc>
        <w:tc>
          <w:tcPr>
            <w:tcW w:w="563" w:type="dxa"/>
          </w:tcPr>
          <w:p w14:paraId="6EF7D2E3"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0.03</w:t>
            </w:r>
          </w:p>
        </w:tc>
        <w:tc>
          <w:tcPr>
            <w:tcW w:w="563" w:type="dxa"/>
          </w:tcPr>
          <w:p w14:paraId="34624C9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0.03</w:t>
            </w:r>
          </w:p>
        </w:tc>
        <w:tc>
          <w:tcPr>
            <w:tcW w:w="656" w:type="dxa"/>
          </w:tcPr>
          <w:p w14:paraId="3A204B7D"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0.08</w:t>
            </w:r>
          </w:p>
        </w:tc>
        <w:tc>
          <w:tcPr>
            <w:tcW w:w="612" w:type="dxa"/>
          </w:tcPr>
          <w:p w14:paraId="03FCDB1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498.79</w:t>
            </w:r>
          </w:p>
        </w:tc>
      </w:tr>
      <w:tr w:rsidR="00F87578" w:rsidRPr="00F87578" w14:paraId="2F69A55A" w14:textId="77777777" w:rsidTr="00730D29">
        <w:trPr>
          <w:gridAfter w:val="1"/>
          <w:wAfter w:w="11" w:type="dxa"/>
          <w:trHeight w:val="97"/>
        </w:trPr>
        <w:tc>
          <w:tcPr>
            <w:tcW w:w="423" w:type="dxa"/>
            <w:shd w:val="clear" w:color="auto" w:fill="EEECE1" w:themeFill="background2"/>
          </w:tcPr>
          <w:p w14:paraId="6ED2172C" w14:textId="2A8D6B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br/>
              <w:t>Na</w:t>
            </w:r>
          </w:p>
        </w:tc>
        <w:tc>
          <w:tcPr>
            <w:tcW w:w="422" w:type="dxa"/>
          </w:tcPr>
          <w:p w14:paraId="0CCFE34E"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11</w:t>
            </w:r>
          </w:p>
        </w:tc>
        <w:tc>
          <w:tcPr>
            <w:tcW w:w="563" w:type="dxa"/>
          </w:tcPr>
          <w:p w14:paraId="1E4FE59B"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1235</w:t>
            </w:r>
          </w:p>
        </w:tc>
        <w:tc>
          <w:tcPr>
            <w:tcW w:w="563" w:type="dxa"/>
          </w:tcPr>
          <w:p w14:paraId="7A281C9C"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11.73</w:t>
            </w:r>
          </w:p>
        </w:tc>
        <w:tc>
          <w:tcPr>
            <w:tcW w:w="563" w:type="dxa"/>
          </w:tcPr>
          <w:p w14:paraId="6FDE7A7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22.00</w:t>
            </w:r>
          </w:p>
        </w:tc>
        <w:tc>
          <w:tcPr>
            <w:tcW w:w="704" w:type="dxa"/>
          </w:tcPr>
          <w:p w14:paraId="450C1EF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15.26</w:t>
            </w:r>
          </w:p>
        </w:tc>
        <w:tc>
          <w:tcPr>
            <w:tcW w:w="565" w:type="dxa"/>
          </w:tcPr>
          <w:p w14:paraId="7D0BA797"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1.99</w:t>
            </w:r>
          </w:p>
        </w:tc>
        <w:tc>
          <w:tcPr>
            <w:tcW w:w="567" w:type="dxa"/>
          </w:tcPr>
          <w:p w14:paraId="432933DB"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16.93</w:t>
            </w:r>
          </w:p>
        </w:tc>
        <w:tc>
          <w:tcPr>
            <w:tcW w:w="416" w:type="dxa"/>
            <w:shd w:val="clear" w:color="auto" w:fill="EEECE1" w:themeFill="background2"/>
          </w:tcPr>
          <w:p w14:paraId="1EB736E5"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Na</w:t>
            </w:r>
          </w:p>
        </w:tc>
        <w:tc>
          <w:tcPr>
            <w:tcW w:w="422" w:type="dxa"/>
          </w:tcPr>
          <w:p w14:paraId="75C1BCF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11</w:t>
            </w:r>
          </w:p>
        </w:tc>
        <w:tc>
          <w:tcPr>
            <w:tcW w:w="563" w:type="dxa"/>
          </w:tcPr>
          <w:p w14:paraId="247B3E67"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5197</w:t>
            </w:r>
          </w:p>
        </w:tc>
        <w:tc>
          <w:tcPr>
            <w:tcW w:w="563" w:type="dxa"/>
          </w:tcPr>
          <w:p w14:paraId="2715B3D6"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19.37</w:t>
            </w:r>
          </w:p>
        </w:tc>
        <w:tc>
          <w:tcPr>
            <w:tcW w:w="563" w:type="dxa"/>
          </w:tcPr>
          <w:p w14:paraId="06A0D7FC"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33.27</w:t>
            </w:r>
          </w:p>
        </w:tc>
        <w:tc>
          <w:tcPr>
            <w:tcW w:w="563" w:type="dxa"/>
          </w:tcPr>
          <w:p w14:paraId="638A9DB6"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28.28</w:t>
            </w:r>
          </w:p>
        </w:tc>
        <w:tc>
          <w:tcPr>
            <w:tcW w:w="656" w:type="dxa"/>
          </w:tcPr>
          <w:p w14:paraId="57D12DAD"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2.27</w:t>
            </w:r>
          </w:p>
        </w:tc>
        <w:tc>
          <w:tcPr>
            <w:tcW w:w="612" w:type="dxa"/>
          </w:tcPr>
          <w:p w14:paraId="0ED22888"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11.71</w:t>
            </w:r>
          </w:p>
        </w:tc>
      </w:tr>
      <w:tr w:rsidR="00F87578" w:rsidRPr="00F87578" w14:paraId="37011C4F" w14:textId="77777777" w:rsidTr="00730D29">
        <w:trPr>
          <w:gridAfter w:val="1"/>
          <w:wAfter w:w="11" w:type="dxa"/>
          <w:trHeight w:val="97"/>
        </w:trPr>
        <w:tc>
          <w:tcPr>
            <w:tcW w:w="423" w:type="dxa"/>
            <w:shd w:val="clear" w:color="auto" w:fill="EEECE1" w:themeFill="background2"/>
          </w:tcPr>
          <w:p w14:paraId="02F92D2A"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S</w:t>
            </w:r>
          </w:p>
        </w:tc>
        <w:tc>
          <w:tcPr>
            <w:tcW w:w="422" w:type="dxa"/>
          </w:tcPr>
          <w:p w14:paraId="2C4651F7"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16</w:t>
            </w:r>
          </w:p>
        </w:tc>
        <w:tc>
          <w:tcPr>
            <w:tcW w:w="563" w:type="dxa"/>
          </w:tcPr>
          <w:p w14:paraId="20C342EE"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1990</w:t>
            </w:r>
          </w:p>
        </w:tc>
        <w:tc>
          <w:tcPr>
            <w:tcW w:w="563" w:type="dxa"/>
          </w:tcPr>
          <w:p w14:paraId="7DEB78E7"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5.37</w:t>
            </w:r>
          </w:p>
        </w:tc>
        <w:tc>
          <w:tcPr>
            <w:tcW w:w="563" w:type="dxa"/>
          </w:tcPr>
          <w:p w14:paraId="4D8A2AF5"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10.08</w:t>
            </w:r>
          </w:p>
        </w:tc>
        <w:tc>
          <w:tcPr>
            <w:tcW w:w="704" w:type="dxa"/>
          </w:tcPr>
          <w:p w14:paraId="489EC85A"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5.01</w:t>
            </w:r>
          </w:p>
        </w:tc>
        <w:tc>
          <w:tcPr>
            <w:tcW w:w="565" w:type="dxa"/>
          </w:tcPr>
          <w:p w14:paraId="0E790C40"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0.49</w:t>
            </w:r>
          </w:p>
        </w:tc>
        <w:tc>
          <w:tcPr>
            <w:tcW w:w="567" w:type="dxa"/>
          </w:tcPr>
          <w:p w14:paraId="54D7A7C6" w14:textId="77777777" w:rsidR="004E6C4A" w:rsidRPr="00F87578" w:rsidRDefault="004E6C4A" w:rsidP="00B024F1">
            <w:pPr>
              <w:spacing w:line="240" w:lineRule="auto"/>
              <w:jc w:val="center"/>
              <w:rPr>
                <w:rFonts w:cs="Arial"/>
                <w:sz w:val="12"/>
                <w:szCs w:val="12"/>
                <w:lang w:val="en-US"/>
              </w:rPr>
            </w:pPr>
            <w:r w:rsidRPr="00F87578">
              <w:rPr>
                <w:rFonts w:cs="Arial"/>
                <w:sz w:val="12"/>
                <w:szCs w:val="12"/>
                <w:lang w:val="en-US"/>
              </w:rPr>
              <w:t>9.15</w:t>
            </w:r>
          </w:p>
        </w:tc>
        <w:tc>
          <w:tcPr>
            <w:tcW w:w="416" w:type="dxa"/>
            <w:shd w:val="clear" w:color="auto" w:fill="EEECE1" w:themeFill="background2"/>
          </w:tcPr>
          <w:p w14:paraId="704C3D6E"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S</w:t>
            </w:r>
          </w:p>
        </w:tc>
        <w:tc>
          <w:tcPr>
            <w:tcW w:w="422" w:type="dxa"/>
          </w:tcPr>
          <w:p w14:paraId="37DD9162"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16</w:t>
            </w:r>
          </w:p>
        </w:tc>
        <w:tc>
          <w:tcPr>
            <w:tcW w:w="563" w:type="dxa"/>
          </w:tcPr>
          <w:p w14:paraId="4A1F3025"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16838</w:t>
            </w:r>
          </w:p>
        </w:tc>
        <w:tc>
          <w:tcPr>
            <w:tcW w:w="563" w:type="dxa"/>
          </w:tcPr>
          <w:p w14:paraId="2986E996"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16.39</w:t>
            </w:r>
          </w:p>
        </w:tc>
        <w:tc>
          <w:tcPr>
            <w:tcW w:w="563" w:type="dxa"/>
          </w:tcPr>
          <w:p w14:paraId="37BBF9C8"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28.15</w:t>
            </w:r>
          </w:p>
        </w:tc>
        <w:tc>
          <w:tcPr>
            <w:tcW w:w="563" w:type="dxa"/>
          </w:tcPr>
          <w:p w14:paraId="416A42C6"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17.15</w:t>
            </w:r>
          </w:p>
        </w:tc>
        <w:tc>
          <w:tcPr>
            <w:tcW w:w="656" w:type="dxa"/>
          </w:tcPr>
          <w:p w14:paraId="24908CF5"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0.91</w:t>
            </w:r>
          </w:p>
        </w:tc>
        <w:tc>
          <w:tcPr>
            <w:tcW w:w="612" w:type="dxa"/>
          </w:tcPr>
          <w:p w14:paraId="587C637A" w14:textId="77777777" w:rsidR="004E6C4A" w:rsidRPr="00F87578" w:rsidRDefault="004E6C4A" w:rsidP="00B024F1">
            <w:pPr>
              <w:tabs>
                <w:tab w:val="clear" w:pos="7100"/>
              </w:tabs>
              <w:spacing w:line="240" w:lineRule="auto"/>
              <w:jc w:val="center"/>
              <w:rPr>
                <w:rFonts w:cs="Arial"/>
                <w:sz w:val="12"/>
                <w:szCs w:val="12"/>
              </w:rPr>
            </w:pPr>
            <w:r w:rsidRPr="00F87578">
              <w:rPr>
                <w:rFonts w:cs="Arial"/>
                <w:sz w:val="12"/>
                <w:szCs w:val="12"/>
                <w:lang w:val="en-US"/>
              </w:rPr>
              <w:t>5.57</w:t>
            </w:r>
          </w:p>
        </w:tc>
      </w:tr>
      <w:tr w:rsidR="00F87578" w:rsidRPr="00F87578" w14:paraId="0351F4E8" w14:textId="77777777" w:rsidTr="00730D29">
        <w:trPr>
          <w:gridAfter w:val="1"/>
          <w:wAfter w:w="11" w:type="dxa"/>
          <w:trHeight w:val="88"/>
        </w:trPr>
        <w:tc>
          <w:tcPr>
            <w:tcW w:w="423" w:type="dxa"/>
            <w:shd w:val="clear" w:color="auto" w:fill="EEECE1" w:themeFill="background2"/>
          </w:tcPr>
          <w:p w14:paraId="40A7C623" w14:textId="77777777" w:rsidR="004E6C4A" w:rsidRPr="00F87578" w:rsidRDefault="004E6C4A" w:rsidP="00B024F1">
            <w:pPr>
              <w:spacing w:line="240" w:lineRule="auto"/>
              <w:rPr>
                <w:rFonts w:cs="Arial"/>
                <w:sz w:val="12"/>
                <w:szCs w:val="12"/>
              </w:rPr>
            </w:pPr>
          </w:p>
        </w:tc>
        <w:tc>
          <w:tcPr>
            <w:tcW w:w="422" w:type="dxa"/>
          </w:tcPr>
          <w:p w14:paraId="7F68F278" w14:textId="77777777" w:rsidR="004E6C4A" w:rsidRPr="00F87578" w:rsidRDefault="004E6C4A" w:rsidP="00B024F1">
            <w:pPr>
              <w:spacing w:line="240" w:lineRule="auto"/>
              <w:rPr>
                <w:rFonts w:cs="Arial"/>
                <w:sz w:val="12"/>
                <w:szCs w:val="12"/>
              </w:rPr>
            </w:pPr>
          </w:p>
        </w:tc>
        <w:tc>
          <w:tcPr>
            <w:tcW w:w="563" w:type="dxa"/>
          </w:tcPr>
          <w:p w14:paraId="782AE9EA" w14:textId="77777777" w:rsidR="004E6C4A" w:rsidRPr="00F87578" w:rsidRDefault="004E6C4A" w:rsidP="00B024F1">
            <w:pPr>
              <w:spacing w:line="240" w:lineRule="auto"/>
              <w:rPr>
                <w:rFonts w:cs="Arial"/>
                <w:sz w:val="12"/>
                <w:szCs w:val="12"/>
                <w:lang w:val="en-US"/>
              </w:rPr>
            </w:pPr>
            <w:r w:rsidRPr="00F87578">
              <w:rPr>
                <w:rFonts w:cs="Arial"/>
                <w:sz w:val="12"/>
                <w:szCs w:val="12"/>
                <w:lang w:val="en-US"/>
              </w:rPr>
              <w:t>Sum:</w:t>
            </w:r>
          </w:p>
        </w:tc>
        <w:tc>
          <w:tcPr>
            <w:tcW w:w="563" w:type="dxa"/>
          </w:tcPr>
          <w:p w14:paraId="215CADD2" w14:textId="77777777" w:rsidR="004E6C4A" w:rsidRPr="00F87578" w:rsidRDefault="004E6C4A" w:rsidP="00B024F1">
            <w:pPr>
              <w:spacing w:line="240" w:lineRule="auto"/>
              <w:rPr>
                <w:rFonts w:cs="Arial"/>
                <w:sz w:val="12"/>
                <w:szCs w:val="12"/>
                <w:lang w:val="en-US"/>
              </w:rPr>
            </w:pPr>
            <w:r w:rsidRPr="00F87578">
              <w:rPr>
                <w:rFonts w:cs="Arial"/>
                <w:sz w:val="12"/>
                <w:szCs w:val="12"/>
                <w:lang w:val="en-US"/>
              </w:rPr>
              <w:t>53.31</w:t>
            </w:r>
          </w:p>
        </w:tc>
        <w:tc>
          <w:tcPr>
            <w:tcW w:w="563" w:type="dxa"/>
          </w:tcPr>
          <w:p w14:paraId="7B8515D8" w14:textId="77777777" w:rsidR="004E6C4A" w:rsidRPr="00F87578" w:rsidRDefault="004E6C4A" w:rsidP="00B024F1">
            <w:pPr>
              <w:spacing w:line="240" w:lineRule="auto"/>
              <w:rPr>
                <w:rFonts w:cs="Arial"/>
                <w:sz w:val="12"/>
                <w:szCs w:val="12"/>
                <w:lang w:val="en-US"/>
              </w:rPr>
            </w:pPr>
            <w:r w:rsidRPr="00F87578">
              <w:rPr>
                <w:rFonts w:cs="Arial"/>
                <w:sz w:val="12"/>
                <w:szCs w:val="12"/>
                <w:lang w:val="en-US"/>
              </w:rPr>
              <w:t>100.00</w:t>
            </w:r>
          </w:p>
        </w:tc>
        <w:tc>
          <w:tcPr>
            <w:tcW w:w="704" w:type="dxa"/>
          </w:tcPr>
          <w:p w14:paraId="3BA40764" w14:textId="77777777" w:rsidR="004E6C4A" w:rsidRPr="00F87578" w:rsidRDefault="004E6C4A" w:rsidP="00B024F1">
            <w:pPr>
              <w:spacing w:line="240" w:lineRule="auto"/>
              <w:rPr>
                <w:rFonts w:cs="Arial"/>
                <w:sz w:val="12"/>
                <w:szCs w:val="12"/>
                <w:lang w:val="en-US"/>
              </w:rPr>
            </w:pPr>
            <w:r w:rsidRPr="00F87578">
              <w:rPr>
                <w:rFonts w:cs="Arial"/>
                <w:sz w:val="12"/>
                <w:szCs w:val="12"/>
                <w:lang w:val="en-US"/>
              </w:rPr>
              <w:t>100.00</w:t>
            </w:r>
          </w:p>
        </w:tc>
        <w:tc>
          <w:tcPr>
            <w:tcW w:w="565" w:type="dxa"/>
          </w:tcPr>
          <w:p w14:paraId="1EBC4DFD" w14:textId="77777777" w:rsidR="004E6C4A" w:rsidRPr="00F87578" w:rsidRDefault="004E6C4A" w:rsidP="00B024F1">
            <w:pPr>
              <w:spacing w:line="240" w:lineRule="auto"/>
              <w:rPr>
                <w:rFonts w:cs="Arial"/>
                <w:sz w:val="12"/>
                <w:szCs w:val="12"/>
              </w:rPr>
            </w:pPr>
          </w:p>
        </w:tc>
        <w:tc>
          <w:tcPr>
            <w:tcW w:w="567" w:type="dxa"/>
          </w:tcPr>
          <w:p w14:paraId="3908A167" w14:textId="77777777" w:rsidR="004E6C4A" w:rsidRPr="00F87578" w:rsidRDefault="004E6C4A" w:rsidP="00B024F1">
            <w:pPr>
              <w:spacing w:line="240" w:lineRule="auto"/>
              <w:rPr>
                <w:rFonts w:cs="Arial"/>
                <w:sz w:val="12"/>
                <w:szCs w:val="12"/>
              </w:rPr>
            </w:pPr>
          </w:p>
        </w:tc>
        <w:tc>
          <w:tcPr>
            <w:tcW w:w="416" w:type="dxa"/>
            <w:shd w:val="clear" w:color="auto" w:fill="EEECE1" w:themeFill="background2"/>
          </w:tcPr>
          <w:p w14:paraId="1B24B2A1" w14:textId="77777777" w:rsidR="004E6C4A" w:rsidRPr="00F87578" w:rsidRDefault="004E6C4A" w:rsidP="00B024F1">
            <w:pPr>
              <w:tabs>
                <w:tab w:val="clear" w:pos="7100"/>
              </w:tabs>
              <w:spacing w:line="240" w:lineRule="auto"/>
              <w:rPr>
                <w:rFonts w:cs="Arial"/>
                <w:sz w:val="12"/>
                <w:szCs w:val="12"/>
              </w:rPr>
            </w:pPr>
          </w:p>
        </w:tc>
        <w:tc>
          <w:tcPr>
            <w:tcW w:w="422" w:type="dxa"/>
          </w:tcPr>
          <w:p w14:paraId="69E58588" w14:textId="77777777" w:rsidR="004E6C4A" w:rsidRPr="00F87578" w:rsidRDefault="004E6C4A" w:rsidP="00B024F1">
            <w:pPr>
              <w:tabs>
                <w:tab w:val="clear" w:pos="7100"/>
              </w:tabs>
              <w:spacing w:line="240" w:lineRule="auto"/>
              <w:rPr>
                <w:rFonts w:cs="Arial"/>
                <w:sz w:val="12"/>
                <w:szCs w:val="12"/>
              </w:rPr>
            </w:pPr>
          </w:p>
        </w:tc>
        <w:tc>
          <w:tcPr>
            <w:tcW w:w="563" w:type="dxa"/>
          </w:tcPr>
          <w:p w14:paraId="25409158" w14:textId="77777777" w:rsidR="004E6C4A" w:rsidRPr="00F87578" w:rsidRDefault="004E6C4A" w:rsidP="00B024F1">
            <w:pPr>
              <w:tabs>
                <w:tab w:val="clear" w:pos="7100"/>
              </w:tabs>
              <w:spacing w:line="240" w:lineRule="auto"/>
              <w:rPr>
                <w:rFonts w:cs="Arial"/>
                <w:sz w:val="12"/>
                <w:szCs w:val="12"/>
              </w:rPr>
            </w:pPr>
            <w:r w:rsidRPr="00F87578">
              <w:rPr>
                <w:rFonts w:cs="Arial"/>
                <w:sz w:val="12"/>
                <w:szCs w:val="12"/>
                <w:lang w:val="en-US"/>
              </w:rPr>
              <w:t>Sum:</w:t>
            </w:r>
          </w:p>
        </w:tc>
        <w:tc>
          <w:tcPr>
            <w:tcW w:w="563" w:type="dxa"/>
          </w:tcPr>
          <w:p w14:paraId="391495C4" w14:textId="77777777" w:rsidR="004E6C4A" w:rsidRPr="00F87578" w:rsidRDefault="004E6C4A" w:rsidP="00B024F1">
            <w:pPr>
              <w:tabs>
                <w:tab w:val="clear" w:pos="7100"/>
              </w:tabs>
              <w:spacing w:line="240" w:lineRule="auto"/>
              <w:rPr>
                <w:rFonts w:cs="Arial"/>
                <w:sz w:val="12"/>
                <w:szCs w:val="12"/>
              </w:rPr>
            </w:pPr>
            <w:r w:rsidRPr="00F87578">
              <w:rPr>
                <w:rFonts w:cs="Arial"/>
                <w:sz w:val="12"/>
                <w:szCs w:val="12"/>
                <w:lang w:val="en-US"/>
              </w:rPr>
              <w:t>58.21</w:t>
            </w:r>
          </w:p>
        </w:tc>
        <w:tc>
          <w:tcPr>
            <w:tcW w:w="563" w:type="dxa"/>
          </w:tcPr>
          <w:p w14:paraId="65C24DE7" w14:textId="77777777" w:rsidR="004E6C4A" w:rsidRPr="00F87578" w:rsidRDefault="004E6C4A" w:rsidP="00B024F1">
            <w:pPr>
              <w:tabs>
                <w:tab w:val="clear" w:pos="7100"/>
              </w:tabs>
              <w:spacing w:line="240" w:lineRule="auto"/>
              <w:rPr>
                <w:rFonts w:cs="Arial"/>
                <w:sz w:val="12"/>
                <w:szCs w:val="12"/>
              </w:rPr>
            </w:pPr>
            <w:r w:rsidRPr="00F87578">
              <w:rPr>
                <w:rFonts w:cs="Arial"/>
                <w:sz w:val="12"/>
                <w:szCs w:val="12"/>
                <w:lang w:val="en-US"/>
              </w:rPr>
              <w:t>100.00</w:t>
            </w:r>
          </w:p>
        </w:tc>
        <w:tc>
          <w:tcPr>
            <w:tcW w:w="563" w:type="dxa"/>
          </w:tcPr>
          <w:p w14:paraId="6A337E9E" w14:textId="77777777" w:rsidR="004E6C4A" w:rsidRPr="00F87578" w:rsidRDefault="004E6C4A" w:rsidP="00B024F1">
            <w:pPr>
              <w:tabs>
                <w:tab w:val="clear" w:pos="7100"/>
              </w:tabs>
              <w:spacing w:line="240" w:lineRule="auto"/>
              <w:rPr>
                <w:rFonts w:cs="Arial"/>
                <w:sz w:val="12"/>
                <w:szCs w:val="12"/>
              </w:rPr>
            </w:pPr>
            <w:r w:rsidRPr="00F87578">
              <w:rPr>
                <w:rFonts w:cs="Arial"/>
                <w:sz w:val="12"/>
                <w:szCs w:val="12"/>
                <w:lang w:val="en-US"/>
              </w:rPr>
              <w:t>100.00</w:t>
            </w:r>
          </w:p>
        </w:tc>
        <w:tc>
          <w:tcPr>
            <w:tcW w:w="656" w:type="dxa"/>
          </w:tcPr>
          <w:p w14:paraId="548D5C39" w14:textId="77777777" w:rsidR="004E6C4A" w:rsidRPr="00F87578" w:rsidRDefault="004E6C4A" w:rsidP="00B024F1">
            <w:pPr>
              <w:tabs>
                <w:tab w:val="clear" w:pos="7100"/>
              </w:tabs>
              <w:spacing w:line="240" w:lineRule="auto"/>
              <w:rPr>
                <w:rFonts w:cs="Arial"/>
                <w:sz w:val="12"/>
                <w:szCs w:val="12"/>
              </w:rPr>
            </w:pPr>
          </w:p>
        </w:tc>
        <w:tc>
          <w:tcPr>
            <w:tcW w:w="612" w:type="dxa"/>
          </w:tcPr>
          <w:p w14:paraId="4E17D4F7" w14:textId="77777777" w:rsidR="004E6C4A" w:rsidRPr="00F87578" w:rsidRDefault="004E6C4A" w:rsidP="00B024F1">
            <w:pPr>
              <w:tabs>
                <w:tab w:val="clear" w:pos="7100"/>
              </w:tabs>
              <w:spacing w:line="240" w:lineRule="auto"/>
              <w:rPr>
                <w:rFonts w:cs="Arial"/>
                <w:sz w:val="12"/>
                <w:szCs w:val="12"/>
              </w:rPr>
            </w:pPr>
          </w:p>
        </w:tc>
      </w:tr>
    </w:tbl>
    <w:p w14:paraId="255F329F" w14:textId="771CA9FB" w:rsidR="000D7342" w:rsidRPr="0025097F" w:rsidRDefault="00463350" w:rsidP="00E100D8">
      <w:pPr>
        <w:rPr>
          <w:rFonts w:cs="Arial"/>
          <w:szCs w:val="18"/>
          <w:lang w:val="en-US"/>
        </w:rPr>
      </w:pPr>
      <w:r>
        <w:rPr>
          <w:noProof/>
        </w:rPr>
        <mc:AlternateContent>
          <mc:Choice Requires="wps">
            <w:drawing>
              <wp:anchor distT="0" distB="0" distL="114300" distR="114300" simplePos="0" relativeHeight="251660288" behindDoc="0" locked="0" layoutInCell="1" allowOverlap="1" wp14:anchorId="2D9CB5CF" wp14:editId="66BF3B21">
                <wp:simplePos x="0" y="0"/>
                <wp:positionH relativeFrom="margin">
                  <wp:posOffset>46025</wp:posOffset>
                </wp:positionH>
                <wp:positionV relativeFrom="paragraph">
                  <wp:posOffset>1954022</wp:posOffset>
                </wp:positionV>
                <wp:extent cx="3562350" cy="368300"/>
                <wp:effectExtent l="0" t="0" r="0" b="0"/>
                <wp:wrapSquare wrapText="bothSides"/>
                <wp:docPr id="1" name="Надпись 1"/>
                <wp:cNvGraphicFramePr/>
                <a:graphic xmlns:a="http://schemas.openxmlformats.org/drawingml/2006/main">
                  <a:graphicData uri="http://schemas.microsoft.com/office/word/2010/wordprocessingShape">
                    <wps:wsp>
                      <wps:cNvSpPr txBox="1"/>
                      <wps:spPr>
                        <a:xfrm>
                          <a:off x="0" y="0"/>
                          <a:ext cx="3562350" cy="368300"/>
                        </a:xfrm>
                        <a:prstGeom prst="rect">
                          <a:avLst/>
                        </a:prstGeom>
                        <a:solidFill>
                          <a:prstClr val="white"/>
                        </a:solidFill>
                        <a:ln>
                          <a:noFill/>
                        </a:ln>
                      </wps:spPr>
                      <wps:txbx>
                        <w:txbxContent>
                          <w:p w14:paraId="605AC325" w14:textId="1BD71147" w:rsidR="00C143DE" w:rsidRPr="004C46E5" w:rsidRDefault="00C36D14" w:rsidP="00C143DE">
                            <w:pPr>
                              <w:pStyle w:val="CETBodytext"/>
                              <w:pBdr>
                                <w:top w:val="single" w:sz="4" w:space="1" w:color="auto"/>
                                <w:left w:val="single" w:sz="4" w:space="0" w:color="auto"/>
                                <w:bottom w:val="single" w:sz="4" w:space="1" w:color="auto"/>
                                <w:right w:val="single" w:sz="4" w:space="0" w:color="auto"/>
                                <w:between w:val="single" w:sz="4" w:space="1" w:color="auto"/>
                                <w:bar w:val="single" w:sz="4" w:color="auto"/>
                              </w:pBdr>
                              <w:spacing w:line="240" w:lineRule="auto"/>
                              <w:jc w:val="center"/>
                              <w:rPr>
                                <w:rFonts w:cs="Arial"/>
                                <w:sz w:val="14"/>
                                <w:szCs w:val="14"/>
                              </w:rPr>
                            </w:pPr>
                            <w:r>
                              <w:rPr>
                                <w:noProof/>
                                <w:color w:val="000000"/>
                                <w:sz w:val="14"/>
                                <w:szCs w:val="14"/>
                              </w:rPr>
                              <w:t xml:space="preserve">Figure </w:t>
                            </w:r>
                            <w:r w:rsidR="00E64430">
                              <w:rPr>
                                <w:noProof/>
                                <w:color w:val="000000"/>
                                <w:sz w:val="14"/>
                                <w:szCs w:val="14"/>
                              </w:rPr>
                              <w:t>5</w:t>
                            </w:r>
                            <w:r w:rsidR="00C143DE" w:rsidRPr="00B040D1">
                              <w:rPr>
                                <w:noProof/>
                                <w:color w:val="000000"/>
                                <w:sz w:val="14"/>
                                <w:szCs w:val="14"/>
                              </w:rPr>
                              <w:t>.</w:t>
                            </w:r>
                            <w:r w:rsidR="00C143DE">
                              <w:rPr>
                                <w:noProof/>
                                <w:color w:val="000000"/>
                                <w:sz w:val="20"/>
                              </w:rPr>
                              <w:t xml:space="preserve"> </w:t>
                            </w:r>
                            <w:r w:rsidR="00C143DE" w:rsidRPr="004E6C4A">
                              <w:rPr>
                                <w:rFonts w:cs="Arial"/>
                                <w:sz w:val="14"/>
                                <w:szCs w:val="14"/>
                              </w:rPr>
                              <w:t>SEM-EDS analysis of microstructure of P</w:t>
                            </w:r>
                            <w:r w:rsidR="00C143DE">
                              <w:rPr>
                                <w:rFonts w:cs="Arial"/>
                                <w:sz w:val="14"/>
                                <w:szCs w:val="14"/>
                              </w:rPr>
                              <w:t>VDF</w:t>
                            </w:r>
                            <w:r w:rsidR="00C143DE" w:rsidRPr="004E6C4A">
                              <w:rPr>
                                <w:rFonts w:cs="Arial"/>
                                <w:sz w:val="14"/>
                                <w:szCs w:val="14"/>
                              </w:rPr>
                              <w:t xml:space="preserve"> based cathode material and their elemental analysis before (right) and after (left) </w:t>
                            </w:r>
                            <w:r w:rsidR="00C143DE" w:rsidRPr="004C46E5">
                              <w:rPr>
                                <w:rFonts w:cs="Arial"/>
                                <w:sz w:val="14"/>
                                <w:szCs w:val="14"/>
                              </w:rPr>
                              <w:t>charge-discharge</w:t>
                            </w:r>
                            <w:r w:rsidR="00B040D1" w:rsidRPr="004C46E5">
                              <w:rPr>
                                <w:rFonts w:cs="Arial"/>
                                <w:sz w:val="14"/>
                                <w:szCs w:val="14"/>
                              </w:rPr>
                              <w:t xml:space="preserve"> </w:t>
                            </w:r>
                            <w:r w:rsidR="00E64430" w:rsidRPr="004C46E5">
                              <w:rPr>
                                <w:sz w:val="14"/>
                                <w:szCs w:val="16"/>
                              </w:rPr>
                              <w:t>(</w:t>
                            </w:r>
                            <w:proofErr w:type="spellStart"/>
                            <w:r w:rsidR="00E64430" w:rsidRPr="004C46E5">
                              <w:rPr>
                                <w:sz w:val="14"/>
                                <w:szCs w:val="16"/>
                              </w:rPr>
                              <w:t>Khakimov</w:t>
                            </w:r>
                            <w:proofErr w:type="spellEnd"/>
                            <w:r w:rsidR="00E64430" w:rsidRPr="004C46E5">
                              <w:rPr>
                                <w:sz w:val="14"/>
                                <w:szCs w:val="16"/>
                              </w:rPr>
                              <w:t xml:space="preserve">, F.S., </w:t>
                            </w:r>
                            <w:r w:rsidR="00E64430" w:rsidRPr="004C46E5">
                              <w:rPr>
                                <w:rFonts w:cs="Arial"/>
                                <w:sz w:val="14"/>
                                <w:szCs w:val="14"/>
                              </w:rPr>
                              <w:t>et al., 2025).</w:t>
                            </w:r>
                          </w:p>
                          <w:p w14:paraId="37AA125F" w14:textId="14FD5E60" w:rsidR="00C143DE" w:rsidRPr="00C143DE" w:rsidRDefault="00C143DE" w:rsidP="00C143DE">
                            <w:pPr>
                              <w:pStyle w:val="ad"/>
                              <w:rPr>
                                <w:noProof/>
                                <w:color w:val="000000"/>
                                <w:sz w:val="20"/>
                                <w:szCs w:val="2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CB5CF" id="_x0000_t202" coordsize="21600,21600" o:spt="202" path="m,l,21600r21600,l21600,xe">
                <v:stroke joinstyle="miter"/>
                <v:path gradientshapeok="t" o:connecttype="rect"/>
              </v:shapetype>
              <v:shape id="Надпись 1" o:spid="_x0000_s1026" type="#_x0000_t202" style="position:absolute;left:0;text-align:left;margin-left:3.6pt;margin-top:153.85pt;width:280.5pt;height:2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" stroked="f">
                <v:textbox inset="0,0,0,0">
                  <w:txbxContent>
                    <w:p w14:paraId="605AC325" w14:textId="1BD71147" w:rsidR="00C143DE" w:rsidRPr="004C46E5" w:rsidRDefault="00C36D14" w:rsidP="00C143DE">
                      <w:pPr>
                        <w:pStyle w:val="CETBodytext"/>
                        <w:pBdr>
                          <w:top w:val="single" w:sz="4" w:space="1" w:color="auto"/>
                          <w:left w:val="single" w:sz="4" w:space="0" w:color="auto"/>
                          <w:bottom w:val="single" w:sz="4" w:space="1" w:color="auto"/>
                          <w:right w:val="single" w:sz="4" w:space="0" w:color="auto"/>
                          <w:between w:val="single" w:sz="4" w:space="1" w:color="auto"/>
                          <w:bar w:val="single" w:sz="4" w:color="auto"/>
                        </w:pBdr>
                        <w:spacing w:line="240" w:lineRule="auto"/>
                        <w:jc w:val="center"/>
                        <w:rPr>
                          <w:rFonts w:cs="Arial"/>
                          <w:sz w:val="14"/>
                          <w:szCs w:val="14"/>
                        </w:rPr>
                      </w:pPr>
                      <w:r>
                        <w:rPr>
                          <w:noProof/>
                          <w:color w:val="000000"/>
                          <w:sz w:val="14"/>
                          <w:szCs w:val="14"/>
                        </w:rPr>
                        <w:t xml:space="preserve">Figure </w:t>
                      </w:r>
                      <w:r w:rsidR="00E64430">
                        <w:rPr>
                          <w:noProof/>
                          <w:color w:val="000000"/>
                          <w:sz w:val="14"/>
                          <w:szCs w:val="14"/>
                        </w:rPr>
                        <w:t>5</w:t>
                      </w:r>
                      <w:r w:rsidR="00C143DE" w:rsidRPr="00B040D1">
                        <w:rPr>
                          <w:noProof/>
                          <w:color w:val="000000"/>
                          <w:sz w:val="14"/>
                          <w:szCs w:val="14"/>
                        </w:rPr>
                        <w:t>.</w:t>
                      </w:r>
                      <w:r w:rsidR="00C143DE">
                        <w:rPr>
                          <w:noProof/>
                          <w:color w:val="000000"/>
                          <w:sz w:val="20"/>
                        </w:rPr>
                        <w:t xml:space="preserve"> </w:t>
                      </w:r>
                      <w:r w:rsidR="00C143DE" w:rsidRPr="004E6C4A">
                        <w:rPr>
                          <w:rFonts w:cs="Arial"/>
                          <w:sz w:val="14"/>
                          <w:szCs w:val="14"/>
                        </w:rPr>
                        <w:t>SEM-EDS analysis of microstructure of P</w:t>
                      </w:r>
                      <w:r w:rsidR="00C143DE">
                        <w:rPr>
                          <w:rFonts w:cs="Arial"/>
                          <w:sz w:val="14"/>
                          <w:szCs w:val="14"/>
                        </w:rPr>
                        <w:t>VDF</w:t>
                      </w:r>
                      <w:r w:rsidR="00C143DE" w:rsidRPr="004E6C4A">
                        <w:rPr>
                          <w:rFonts w:cs="Arial"/>
                          <w:sz w:val="14"/>
                          <w:szCs w:val="14"/>
                        </w:rPr>
                        <w:t xml:space="preserve"> based cathode material and their elemental analysis before (right) and after (left) </w:t>
                      </w:r>
                      <w:r w:rsidR="00C143DE" w:rsidRPr="004C46E5">
                        <w:rPr>
                          <w:rFonts w:cs="Arial"/>
                          <w:sz w:val="14"/>
                          <w:szCs w:val="14"/>
                        </w:rPr>
                        <w:t>charge-discharge</w:t>
                      </w:r>
                      <w:r w:rsidR="00B040D1" w:rsidRPr="004C46E5">
                        <w:rPr>
                          <w:rFonts w:cs="Arial"/>
                          <w:sz w:val="14"/>
                          <w:szCs w:val="14"/>
                        </w:rPr>
                        <w:t xml:space="preserve"> </w:t>
                      </w:r>
                      <w:r w:rsidR="00E64430" w:rsidRPr="004C46E5">
                        <w:rPr>
                          <w:sz w:val="14"/>
                          <w:szCs w:val="16"/>
                        </w:rPr>
                        <w:t>(</w:t>
                      </w:r>
                      <w:proofErr w:type="spellStart"/>
                      <w:r w:rsidR="00E64430" w:rsidRPr="004C46E5">
                        <w:rPr>
                          <w:sz w:val="14"/>
                          <w:szCs w:val="16"/>
                        </w:rPr>
                        <w:t>Khakimov</w:t>
                      </w:r>
                      <w:proofErr w:type="spellEnd"/>
                      <w:r w:rsidR="00E64430" w:rsidRPr="004C46E5">
                        <w:rPr>
                          <w:sz w:val="14"/>
                          <w:szCs w:val="16"/>
                        </w:rPr>
                        <w:t xml:space="preserve">, F.S., </w:t>
                      </w:r>
                      <w:r w:rsidR="00E64430" w:rsidRPr="004C46E5">
                        <w:rPr>
                          <w:rFonts w:cs="Arial"/>
                          <w:sz w:val="14"/>
                          <w:szCs w:val="14"/>
                        </w:rPr>
                        <w:t>et al., 2025).</w:t>
                      </w:r>
                    </w:p>
                    <w:p w14:paraId="37AA125F" w14:textId="14FD5E60" w:rsidR="00C143DE" w:rsidRPr="00C143DE" w:rsidRDefault="00C143DE" w:rsidP="00C143DE">
                      <w:pPr>
                        <w:pStyle w:val="ad"/>
                        <w:rPr>
                          <w:noProof/>
                          <w:color w:val="000000"/>
                          <w:sz w:val="20"/>
                          <w:szCs w:val="20"/>
                          <w:lang w:val="en-US"/>
                        </w:rPr>
                      </w:pPr>
                    </w:p>
                  </w:txbxContent>
                </v:textbox>
                <w10:wrap type="square" anchorx="margin"/>
              </v:shape>
            </w:pict>
          </mc:Fallback>
        </mc:AlternateContent>
      </w:r>
      <w:r w:rsidRPr="00F6698A">
        <w:rPr>
          <w:noProof/>
          <w:color w:val="000000"/>
          <w:sz w:val="20"/>
          <w:lang w:val="ru-RU" w:eastAsia="ru-RU"/>
        </w:rPr>
        <w:drawing>
          <wp:anchor distT="0" distB="0" distL="114300" distR="114300" simplePos="0" relativeHeight="251658240" behindDoc="0" locked="0" layoutInCell="1" allowOverlap="1" wp14:anchorId="6408935C" wp14:editId="7F94C62D">
            <wp:simplePos x="0" y="0"/>
            <wp:positionH relativeFrom="margin">
              <wp:align>left</wp:align>
            </wp:positionH>
            <wp:positionV relativeFrom="paragraph">
              <wp:posOffset>455701</wp:posOffset>
            </wp:positionV>
            <wp:extent cx="3679627" cy="1519555"/>
            <wp:effectExtent l="0" t="0" r="0" b="4445"/>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7">
                      <a:extLst>
                        <a:ext uri="{28A0092B-C50C-407E-A947-70E740481C1C}">
                          <a14:useLocalDpi xmlns:a14="http://schemas.microsoft.com/office/drawing/2010/main" val="0"/>
                        </a:ext>
                      </a:extLst>
                    </a:blip>
                    <a:srcRect l="2126" t="14511" r="1486" b="14192"/>
                    <a:stretch>
                      <a:fillRect/>
                    </a:stretch>
                  </pic:blipFill>
                  <pic:spPr bwMode="auto">
                    <a:xfrm>
                      <a:off x="0" y="0"/>
                      <a:ext cx="3679627" cy="1519555"/>
                    </a:xfrm>
                    <a:prstGeom prst="rect">
                      <a:avLst/>
                    </a:prstGeom>
                    <a:noFill/>
                    <a:ln>
                      <a:noFill/>
                    </a:ln>
                  </pic:spPr>
                </pic:pic>
              </a:graphicData>
            </a:graphic>
            <wp14:sizeRelH relativeFrom="page">
              <wp14:pctWidth>0</wp14:pctWidth>
            </wp14:sizeRelH>
            <wp14:sizeRelV relativeFrom="page">
              <wp14:pctHeight>0</wp14:pctHeight>
            </wp14:sizeRelV>
          </wp:anchor>
        </w:drawing>
      </w:r>
      <w:r w:rsidR="000E59EA">
        <w:rPr>
          <w:rFonts w:cs="Arial"/>
          <w:noProof/>
          <w:szCs w:val="18"/>
        </w:rPr>
        <w:object w:dxaOrig="1440" w:dyaOrig="1440" w14:anchorId="0788D50F">
          <v:shape id="_x0000_s1039" type="#_x0000_t75" alt="Project Path: UNTITLED.opju&#10;PE Folder: /UNTITLED/&#10;Short Name: Graph1" style="position:absolute;left:0;text-align:left;margin-left:-.7pt;margin-top:239.55pt;width:208.25pt;height:150.8pt;z-index:251662336;mso-position-horizontal-relative:text;mso-position-vertical-relative:text;mso-width-relative:page;mso-height-relative:page">
            <v:imagedata r:id="rId38" o:title=""/>
            <w10:wrap type="square"/>
          </v:shape>
          <o:OLEObject Type="Embed" ProgID="Origin95.Graph" ShapeID="_x0000_s1039" DrawAspect="Content" ObjectID="_1849666734" r:id="rId39"/>
        </w:object>
      </w:r>
      <w:r w:rsidR="00E64430" w:rsidRPr="000D7342">
        <w:rPr>
          <w:rFonts w:cs="Arial"/>
          <w:noProof/>
          <w:color w:val="1B1B1B"/>
          <w:szCs w:val="18"/>
          <w:shd w:val="clear" w:color="auto" w:fill="FFFFFF"/>
        </w:rPr>
        <mc:AlternateContent>
          <mc:Choice Requires="wps">
            <w:drawing>
              <wp:anchor distT="118745" distB="118745" distL="114300" distR="114300" simplePos="0" relativeHeight="251664384" behindDoc="0" locked="0" layoutInCell="0" allowOverlap="1" wp14:anchorId="196C44EF" wp14:editId="05FF7A1B">
                <wp:simplePos x="0" y="0"/>
                <wp:positionH relativeFrom="margin">
                  <wp:align>left</wp:align>
                </wp:positionH>
                <wp:positionV relativeFrom="paragraph">
                  <wp:posOffset>4901184</wp:posOffset>
                </wp:positionV>
                <wp:extent cx="2627630" cy="433449"/>
                <wp:effectExtent l="0" t="0" r="0" b="0"/>
                <wp:wrapSquare wrapText="bothSides"/>
                <wp:docPr id="69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433449"/>
                        </a:xfrm>
                        <a:prstGeom prst="rect">
                          <a:avLst/>
                        </a:prstGeom>
                        <a:noFill/>
                        <a:extLst>
                          <a:ext uri="{53640926-AAD7-44D8-BBD7-CCE9431645EC}">
                            <a14:shadowObscured xmlns:a14="http://schemas.microsoft.com/office/drawing/2010/main" val="1"/>
                          </a:ext>
                        </a:extLst>
                      </wps:spPr>
                      <wps:txbx>
                        <w:txbxContent>
                          <w:p w14:paraId="228740A9" w14:textId="5E8B58DD" w:rsidR="00390471" w:rsidRPr="00BD53FB" w:rsidRDefault="00390471" w:rsidP="00390471">
                            <w:pPr>
                              <w:pBdr>
                                <w:left w:val="single" w:sz="12" w:space="9" w:color="4F81BD" w:themeColor="accent1"/>
                              </w:pBdr>
                              <w:jc w:val="center"/>
                              <w:rPr>
                                <w:rFonts w:cs="Arial"/>
                                <w:szCs w:val="18"/>
                                <w:vertAlign w:val="superscript"/>
                                <w:lang w:val="en-US"/>
                              </w:rPr>
                            </w:pPr>
                            <w:r>
                              <w:rPr>
                                <w:rFonts w:cs="Arial"/>
                                <w:szCs w:val="18"/>
                                <w:vertAlign w:val="superscript"/>
                                <w:lang w:val="en-US"/>
                              </w:rPr>
                              <w:t xml:space="preserve">Figure </w:t>
                            </w:r>
                            <w:r w:rsidR="00E64430">
                              <w:rPr>
                                <w:rFonts w:cs="Arial"/>
                                <w:szCs w:val="18"/>
                                <w:vertAlign w:val="superscript"/>
                                <w:lang w:val="en-US"/>
                              </w:rPr>
                              <w:t>6</w:t>
                            </w:r>
                            <w:r>
                              <w:rPr>
                                <w:rFonts w:cs="Arial"/>
                                <w:szCs w:val="18"/>
                                <w:vertAlign w:val="superscript"/>
                                <w:lang w:val="en-US"/>
                              </w:rPr>
                              <w:t>. FTIR specter of used anode material.</w:t>
                            </w:r>
                          </w:p>
                          <w:p w14:paraId="4D2D2017" w14:textId="77777777" w:rsidR="00390471" w:rsidRPr="00BD53FB" w:rsidRDefault="00390471" w:rsidP="00BD53FB">
                            <w:pPr>
                              <w:pBdr>
                                <w:left w:val="single" w:sz="12" w:space="9" w:color="4F81BD" w:themeColor="accent1"/>
                              </w:pBdr>
                              <w:jc w:val="center"/>
                              <w:rPr>
                                <w:rFonts w:cs="Arial"/>
                                <w:szCs w:val="18"/>
                                <w:vertAlign w:val="superscript"/>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96C44EF" id="Надпись 2" o:spid="_x0000_s1027" type="#_x0000_t202" style="position:absolute;left:0;text-align:left;margin-left:0;margin-top:385.9pt;width:206.9pt;height:34.15pt;z-index:251664384;visibility:visible;mso-wrap-style:square;mso-width-percent:0;mso-height-percent:0;mso-wrap-distance-left:9pt;mso-wrap-distance-top:9.35pt;mso-wrap-distance-right:9pt;mso-wrap-distance-bottom:9.35pt;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" o:allowincell="f" filled="f" stroked="f">
                <v:textbox>
                  <w:txbxContent>
                    <w:p w14:paraId="228740A9" w14:textId="5E8B58DD" w:rsidR="00390471" w:rsidRPr="00BD53FB" w:rsidRDefault="00390471" w:rsidP="00390471">
                      <w:pPr>
                        <w:pBdr>
                          <w:left w:val="single" w:sz="12" w:space="9" w:color="4F81BD" w:themeColor="accent1"/>
                        </w:pBdr>
                        <w:jc w:val="center"/>
                        <w:rPr>
                          <w:rFonts w:cs="Arial"/>
                          <w:szCs w:val="18"/>
                          <w:vertAlign w:val="superscript"/>
                          <w:lang w:val="en-US"/>
                        </w:rPr>
                      </w:pPr>
                      <w:r>
                        <w:rPr>
                          <w:rFonts w:cs="Arial"/>
                          <w:szCs w:val="18"/>
                          <w:vertAlign w:val="superscript"/>
                          <w:lang w:val="en-US"/>
                        </w:rPr>
                        <w:t xml:space="preserve">Figure </w:t>
                      </w:r>
                      <w:r w:rsidR="00E64430">
                        <w:rPr>
                          <w:rFonts w:cs="Arial"/>
                          <w:szCs w:val="18"/>
                          <w:vertAlign w:val="superscript"/>
                          <w:lang w:val="en-US"/>
                        </w:rPr>
                        <w:t>6</w:t>
                      </w:r>
                      <w:r>
                        <w:rPr>
                          <w:rFonts w:cs="Arial"/>
                          <w:szCs w:val="18"/>
                          <w:vertAlign w:val="superscript"/>
                          <w:lang w:val="en-US"/>
                        </w:rPr>
                        <w:t>. FTIR specter of used anode material.</w:t>
                      </w:r>
                    </w:p>
                    <w:p w14:paraId="4D2D2017" w14:textId="77777777" w:rsidR="00390471" w:rsidRPr="00BD53FB" w:rsidRDefault="00390471" w:rsidP="00BD53FB">
                      <w:pPr>
                        <w:pBdr>
                          <w:left w:val="single" w:sz="12" w:space="9" w:color="4F81BD" w:themeColor="accent1"/>
                        </w:pBdr>
                        <w:jc w:val="center"/>
                        <w:rPr>
                          <w:rFonts w:cs="Arial"/>
                          <w:szCs w:val="18"/>
                          <w:vertAlign w:val="superscript"/>
                          <w:lang w:val="en-US"/>
                        </w:rPr>
                      </w:pPr>
                    </w:p>
                  </w:txbxContent>
                </v:textbox>
                <w10:wrap type="square" anchorx="margin"/>
              </v:shape>
            </w:pict>
          </mc:Fallback>
        </mc:AlternateContent>
      </w:r>
      <w:r w:rsidR="003761BE" w:rsidRPr="000D7342">
        <w:rPr>
          <w:rFonts w:cs="Arial"/>
          <w:color w:val="1B1B1B"/>
          <w:szCs w:val="18"/>
          <w:shd w:val="clear" w:color="auto" w:fill="FFFFFF"/>
        </w:rPr>
        <w:t xml:space="preserve">In PTFE, the carbon backbone is fully surrounded by fluorine atoms, resulting strong C-F bonds and provide very good </w:t>
      </w:r>
      <w:r w:rsidR="00E64430">
        <w:rPr>
          <w:rFonts w:cs="Arial"/>
          <w:color w:val="1B1B1B"/>
          <w:szCs w:val="18"/>
          <w:shd w:val="clear" w:color="auto" w:fill="FFFFFF"/>
        </w:rPr>
        <w:t xml:space="preserve">chemical </w:t>
      </w:r>
      <w:r w:rsidR="003761BE" w:rsidRPr="000D7342">
        <w:rPr>
          <w:rFonts w:cs="Arial"/>
          <w:color w:val="1B1B1B"/>
          <w:szCs w:val="18"/>
          <w:shd w:val="clear" w:color="auto" w:fill="FFFFFF"/>
        </w:rPr>
        <w:t>resistance</w:t>
      </w:r>
      <w:r w:rsidR="002E6B7C" w:rsidRPr="000D7342">
        <w:rPr>
          <w:rFonts w:cs="Arial"/>
          <w:color w:val="1B1B1B"/>
          <w:szCs w:val="18"/>
          <w:shd w:val="clear" w:color="auto" w:fill="FFFFFF"/>
        </w:rPr>
        <w:t>, as a result, the surface degradation in the prolonged cycles was significantly reduced. In fact, after being tested, the PTFE based cathode mass showed only a little reduction of about 10%, indication good structural stability. This limited mass loss suggests that active material well attached to the current collector and the density of the surface is high because of the dry-mixed method.</w:t>
      </w:r>
      <w:r w:rsidR="003761BE" w:rsidRPr="000D7342">
        <w:rPr>
          <w:rFonts w:cs="Arial"/>
          <w:color w:val="1B1B1B"/>
          <w:szCs w:val="18"/>
          <w:shd w:val="clear" w:color="auto" w:fill="FFFFFF"/>
        </w:rPr>
        <w:t xml:space="preserve"> In comparison, PVDF contains</w:t>
      </w:r>
      <w:r w:rsidR="00B040D1" w:rsidRPr="000D7342">
        <w:rPr>
          <w:rFonts w:cs="Arial"/>
          <w:color w:val="1B1B1B"/>
          <w:szCs w:val="18"/>
          <w:shd w:val="clear" w:color="auto" w:fill="FFFFFF"/>
        </w:rPr>
        <w:t xml:space="preserve"> </w:t>
      </w:r>
      <w:r w:rsidR="003761BE" w:rsidRPr="000D7342">
        <w:rPr>
          <w:rFonts w:cs="Arial"/>
          <w:color w:val="1B1B1B"/>
          <w:szCs w:val="18"/>
          <w:shd w:val="clear" w:color="auto" w:fill="FFFFFF"/>
        </w:rPr>
        <w:t>hydrogen atoms in its pol</w:t>
      </w:r>
      <w:r w:rsidR="00A04C81" w:rsidRPr="000D7342">
        <w:rPr>
          <w:rFonts w:cs="Arial"/>
          <w:color w:val="1B1B1B"/>
          <w:szCs w:val="18"/>
          <w:shd w:val="clear" w:color="auto" w:fill="FFFFFF"/>
        </w:rPr>
        <w:t>y</w:t>
      </w:r>
      <w:r w:rsidR="003761BE" w:rsidRPr="000D7342">
        <w:rPr>
          <w:rFonts w:cs="Arial"/>
          <w:color w:val="1B1B1B"/>
          <w:szCs w:val="18"/>
          <w:shd w:val="clear" w:color="auto" w:fill="FFFFFF"/>
        </w:rPr>
        <w:t xml:space="preserve">mer chain, declining fluorine </w:t>
      </w:r>
      <w:r w:rsidR="00B040D1" w:rsidRPr="000D7342">
        <w:rPr>
          <w:rFonts w:cs="Arial"/>
          <w:color w:val="1B1B1B"/>
          <w:szCs w:val="18"/>
          <w:shd w:val="clear" w:color="auto" w:fill="FFFFFF"/>
        </w:rPr>
        <w:t>s</w:t>
      </w:r>
      <w:r w:rsidR="003761BE" w:rsidRPr="000D7342">
        <w:rPr>
          <w:rFonts w:cs="Arial"/>
          <w:color w:val="1B1B1B"/>
          <w:szCs w:val="18"/>
          <w:shd w:val="clear" w:color="auto" w:fill="FFFFFF"/>
        </w:rPr>
        <w:t xml:space="preserve">hielding, as a result chemical and thermal stability </w:t>
      </w:r>
      <w:r w:rsidR="009B1E57" w:rsidRPr="000D7342">
        <w:rPr>
          <w:rFonts w:cs="Arial"/>
          <w:color w:val="1B1B1B"/>
          <w:szCs w:val="18"/>
          <w:shd w:val="clear" w:color="auto" w:fill="FFFFFF"/>
        </w:rPr>
        <w:t>are</w:t>
      </w:r>
      <w:r w:rsidR="003761BE" w:rsidRPr="000D7342">
        <w:rPr>
          <w:rFonts w:cs="Arial"/>
          <w:color w:val="1B1B1B"/>
          <w:szCs w:val="18"/>
          <w:shd w:val="clear" w:color="auto" w:fill="FFFFFF"/>
        </w:rPr>
        <w:t xml:space="preserve"> weak.</w:t>
      </w:r>
      <w:r w:rsidR="00B040D1" w:rsidRPr="000D7342">
        <w:rPr>
          <w:rFonts w:cs="Arial"/>
          <w:color w:val="1B1B1B"/>
          <w:szCs w:val="18"/>
          <w:shd w:val="clear" w:color="auto" w:fill="FFFFFF"/>
        </w:rPr>
        <w:t xml:space="preserve"> </w:t>
      </w:r>
      <w:bookmarkEnd w:id="6"/>
      <w:r w:rsidR="00E100D8" w:rsidRPr="00B76C08">
        <w:rPr>
          <w:rFonts w:cs="Arial"/>
          <w:szCs w:val="18"/>
          <w:lang w:val="en-US"/>
        </w:rPr>
        <w:t>Moreover, the presence of hydrogen atoms in PVDF promotes electrolyte wetting and swelling, which can negatively affect the specific capacity during cycling.</w:t>
      </w:r>
      <w:r w:rsidR="00E100D8">
        <w:rPr>
          <w:rFonts w:cs="Arial"/>
          <w:szCs w:val="18"/>
          <w:lang w:val="en-US"/>
        </w:rPr>
        <w:t xml:space="preserve"> </w:t>
      </w:r>
      <w:r w:rsidR="000D7342" w:rsidRPr="0025097F">
        <w:rPr>
          <w:rFonts w:cs="Arial"/>
          <w:szCs w:val="18"/>
          <w:lang w:val="en-US"/>
        </w:rPr>
        <w:t xml:space="preserve">The surface chemical composition of the used anode material was analyzed by FTIR to get data about polysulfides on the anode's surface (Figure </w:t>
      </w:r>
      <w:r w:rsidR="00E64430">
        <w:rPr>
          <w:rFonts w:cs="Arial"/>
          <w:szCs w:val="18"/>
          <w:lang w:val="en-US"/>
        </w:rPr>
        <w:t>6</w:t>
      </w:r>
      <w:r w:rsidR="000D7342" w:rsidRPr="0025097F">
        <w:rPr>
          <w:rFonts w:cs="Arial"/>
          <w:szCs w:val="18"/>
          <w:lang w:val="en-US"/>
        </w:rPr>
        <w:t>). After being tested, the anode material was vacuumed in a plastic bag to prevent air exposure before FTIR analysis. The plastic film was recorded separately as a background reference, and then the anode was analyzed. The IR spectra show strong characteristic peaks, primarily the carbonyl (C=O) stretching vibration at approximately 1770</w:t>
      </w:r>
      <w:r w:rsidR="00A44A53">
        <w:rPr>
          <w:rFonts w:cs="Arial"/>
          <w:szCs w:val="18"/>
          <w:lang w:val="en-US"/>
        </w:rPr>
        <w:t xml:space="preserve"> </w:t>
      </w:r>
      <w:r w:rsidR="000D7342" w:rsidRPr="0025097F">
        <w:rPr>
          <w:rFonts w:cs="Arial"/>
          <w:szCs w:val="18"/>
          <w:lang w:val="en-US"/>
        </w:rPr>
        <w:t>–1800 cm-1, and prove that propylene carbonate exists on the surface of the anode. Moreover, there is a triplet of peaks at about 2970 cm-1, which indicates the presence of ethylene carbonate. It also showed characteristic absorption peaks in the 450-600 cm-1 region, indicating the presence of polysulfides in the sample. It is clear that polysulfides migrated from the cathode to the anode and covered its surface over the course of the last charging process.</w:t>
      </w:r>
      <w:r w:rsidR="00E64430">
        <w:rPr>
          <w:rFonts w:cs="Arial"/>
          <w:szCs w:val="18"/>
          <w:lang w:val="en-US"/>
        </w:rPr>
        <w:tab/>
      </w:r>
      <w:r w:rsidR="00E100D8">
        <w:rPr>
          <w:rFonts w:cs="Arial"/>
          <w:szCs w:val="18"/>
          <w:lang w:val="en-US"/>
        </w:rPr>
        <w:t xml:space="preserve"> </w:t>
      </w:r>
      <w:r w:rsidR="005F4AF2">
        <w:rPr>
          <w:rFonts w:cs="Arial"/>
          <w:szCs w:val="18"/>
          <w:lang w:val="en-US"/>
        </w:rPr>
        <w:br/>
      </w:r>
      <w:r w:rsidR="004E6C4A" w:rsidRPr="000D7342">
        <w:rPr>
          <w:rFonts w:cs="Arial"/>
          <w:b/>
          <w:bCs/>
          <w:szCs w:val="12"/>
          <w:lang w:val="en-US"/>
        </w:rPr>
        <w:t xml:space="preserve">Conclusion: </w:t>
      </w:r>
      <w:bookmarkStart w:id="7" w:name="_Hlk238878944"/>
      <w:r w:rsidR="000D7342" w:rsidRPr="0025097F">
        <w:rPr>
          <w:rFonts w:cs="Arial"/>
          <w:szCs w:val="18"/>
          <w:lang w:val="en-US"/>
        </w:rPr>
        <w:t xml:space="preserve">Active material Na-S salt was used in the process, and it was derived from the wastewater of the </w:t>
      </w:r>
      <w:r w:rsidR="00E100D8">
        <w:rPr>
          <w:rFonts w:cs="Arial"/>
          <w:szCs w:val="18"/>
          <w:lang w:val="en-US"/>
        </w:rPr>
        <w:lastRenderedPageBreak/>
        <w:t>o</w:t>
      </w:r>
      <w:r w:rsidR="000D7342" w:rsidRPr="0025097F">
        <w:rPr>
          <w:rFonts w:cs="Arial"/>
          <w:szCs w:val="18"/>
          <w:lang w:val="en-US"/>
        </w:rPr>
        <w:t>il-gas industry. The separation methods were explained in a previous study, and the fifth fraction was used to make cathode material (</w:t>
      </w:r>
      <w:proofErr w:type="spellStart"/>
      <w:r w:rsidR="000D7342" w:rsidRPr="0025097F">
        <w:rPr>
          <w:rFonts w:cs="Arial"/>
          <w:szCs w:val="18"/>
          <w:lang w:val="en-US"/>
        </w:rPr>
        <w:t>Khakimov</w:t>
      </w:r>
      <w:proofErr w:type="spellEnd"/>
      <w:r w:rsidR="000D7342" w:rsidRPr="0025097F">
        <w:rPr>
          <w:rFonts w:cs="Arial"/>
          <w:szCs w:val="18"/>
          <w:lang w:val="en-US"/>
        </w:rPr>
        <w:t xml:space="preserve">, F.S. et al., 2025). It was determined that the PTFE-based cathode material in the 3rd fraction achieved 147 </w:t>
      </w:r>
      <w:proofErr w:type="spellStart"/>
      <w:r w:rsidR="000D7342" w:rsidRPr="0025097F">
        <w:rPr>
          <w:rFonts w:cs="Arial"/>
          <w:szCs w:val="18"/>
          <w:lang w:val="en-US"/>
        </w:rPr>
        <w:t>mAh</w:t>
      </w:r>
      <w:proofErr w:type="spellEnd"/>
      <w:r w:rsidR="000D7342" w:rsidRPr="0025097F">
        <w:rPr>
          <w:rFonts w:cs="Arial"/>
          <w:szCs w:val="18"/>
          <w:lang w:val="en-US"/>
        </w:rPr>
        <w:t xml:space="preserve">/g at 0.1 C-rate and worked stably during the long </w:t>
      </w:r>
      <w:r w:rsidR="007B7C57">
        <w:rPr>
          <w:rFonts w:cs="Arial"/>
          <w:szCs w:val="18"/>
          <w:lang w:val="en-US"/>
        </w:rPr>
        <w:t>150</w:t>
      </w:r>
      <w:r w:rsidR="000D7342" w:rsidRPr="0025097F">
        <w:rPr>
          <w:rFonts w:cs="Arial"/>
          <w:szCs w:val="18"/>
          <w:lang w:val="en-US"/>
        </w:rPr>
        <w:t xml:space="preserve"> cycles. In the 5th fraction, specific capacity reached 140.25 </w:t>
      </w:r>
      <w:proofErr w:type="spellStart"/>
      <w:r w:rsidR="000D7342" w:rsidRPr="0025097F">
        <w:rPr>
          <w:rFonts w:cs="Arial"/>
          <w:szCs w:val="18"/>
          <w:lang w:val="en-US"/>
        </w:rPr>
        <w:t>mAh</w:t>
      </w:r>
      <w:proofErr w:type="spellEnd"/>
      <w:r w:rsidR="000D7342" w:rsidRPr="0025097F">
        <w:rPr>
          <w:rFonts w:cs="Arial"/>
          <w:szCs w:val="18"/>
          <w:lang w:val="en-US"/>
        </w:rPr>
        <w:t>/g at 0.1 C-rate</w:t>
      </w:r>
      <w:r w:rsidR="007B7C57">
        <w:rPr>
          <w:rFonts w:cs="Arial"/>
          <w:szCs w:val="18"/>
          <w:lang w:val="en-US"/>
        </w:rPr>
        <w:t xml:space="preserve"> but worked less than 145 cycles</w:t>
      </w:r>
      <w:r w:rsidR="000D7342" w:rsidRPr="0025097F">
        <w:rPr>
          <w:rFonts w:cs="Arial"/>
          <w:szCs w:val="18"/>
          <w:lang w:val="en-US"/>
        </w:rPr>
        <w:t>. Furthermore, the PTFE-based cathode maintained a relatively stable specific capacity during cycles, demonstrating good structural durability and suppression of rapid capacity fading. This stable cycle performance suggests that the binder system and electrode preparation successfully preserved electrical contact and reduced active material loss during repeated charge-discharge processes. However, reducing the temperature affected its overall working capacity as explained above, and it is proven again that room temperature should be provided to work stably during the cycles. SEM analysis showed a more accurate distribution of active material and conductive binder in the optimized sample, while EDS analysis confirmed the presence of key elements after charge-discharge cycles. Overall, the developed PTFE-based cathode material demonstrated promising electrochemical stability and sustained specific capacity over extended cycles at room temperature. These results highlight the importance of cathode optimization for room temperature (RT) sodium-sulfur batteries and provide important data for future research.</w:t>
      </w:r>
    </w:p>
    <w:p w14:paraId="09B41504" w14:textId="06D650AD" w:rsidR="00D41825" w:rsidRPr="00B024F1" w:rsidRDefault="0013311D" w:rsidP="004C46E5">
      <w:pPr>
        <w:tabs>
          <w:tab w:val="clear" w:pos="7100"/>
        </w:tabs>
        <w:spacing w:line="240" w:lineRule="auto"/>
        <w:jc w:val="center"/>
        <w:rPr>
          <w:szCs w:val="18"/>
        </w:rPr>
      </w:pPr>
      <w:r w:rsidRPr="00B024F1">
        <w:rPr>
          <w:rFonts w:cs="Arial"/>
          <w:b/>
          <w:bCs/>
          <w:szCs w:val="18"/>
        </w:rPr>
        <w:t>References</w:t>
      </w:r>
    </w:p>
    <w:bookmarkEnd w:id="2"/>
    <w:bookmarkEnd w:id="7"/>
    <w:p w14:paraId="6FB8A446" w14:textId="77777777" w:rsidR="00340872" w:rsidRPr="00A76A54" w:rsidRDefault="00340872" w:rsidP="00340872">
      <w:pPr>
        <w:tabs>
          <w:tab w:val="clear" w:pos="7100"/>
        </w:tabs>
        <w:spacing w:line="240" w:lineRule="auto"/>
        <w:jc w:val="left"/>
        <w:rPr>
          <w:rFonts w:cs="Arial"/>
          <w:i/>
          <w:iCs/>
          <w:szCs w:val="18"/>
          <w:lang w:val="en-US" w:eastAsia="ru-RU"/>
        </w:rPr>
      </w:pPr>
      <w:proofErr w:type="spellStart"/>
      <w:r w:rsidRPr="00A76A54">
        <w:t>Bloi</w:t>
      </w:r>
      <w:proofErr w:type="spellEnd"/>
      <w:r w:rsidRPr="00A76A54">
        <w:t xml:space="preserve">, L.M., </w:t>
      </w:r>
      <w:proofErr w:type="spellStart"/>
      <w:r w:rsidRPr="00A76A54">
        <w:t>Pampel</w:t>
      </w:r>
      <w:proofErr w:type="spellEnd"/>
      <w:r w:rsidRPr="00A76A54">
        <w:t xml:space="preserve">, J., </w:t>
      </w:r>
      <w:proofErr w:type="spellStart"/>
      <w:r w:rsidRPr="00A76A54">
        <w:t>Dörfler</w:t>
      </w:r>
      <w:proofErr w:type="spellEnd"/>
      <w:r w:rsidRPr="00A76A54">
        <w:t xml:space="preserve">, S., </w:t>
      </w:r>
      <w:proofErr w:type="spellStart"/>
      <w:r w:rsidRPr="00A76A54">
        <w:t>Althues</w:t>
      </w:r>
      <w:proofErr w:type="spellEnd"/>
      <w:r w:rsidRPr="00A76A54">
        <w:t xml:space="preserve">, H. and </w:t>
      </w:r>
      <w:proofErr w:type="spellStart"/>
      <w:r w:rsidRPr="00A76A54">
        <w:t>Kaskel</w:t>
      </w:r>
      <w:proofErr w:type="spellEnd"/>
      <w:r w:rsidRPr="00A76A54">
        <w:t xml:space="preserve">, S. (2020) ‘Sodium </w:t>
      </w:r>
      <w:proofErr w:type="spellStart"/>
      <w:r w:rsidRPr="00A76A54">
        <w:t>Sulfide</w:t>
      </w:r>
      <w:proofErr w:type="spellEnd"/>
      <w:r w:rsidRPr="00A76A54">
        <w:t xml:space="preserve"> Cathodes Superseding Hard Carbon Pre-</w:t>
      </w:r>
      <w:proofErr w:type="spellStart"/>
      <w:r w:rsidRPr="00A76A54">
        <w:t>sodiation</w:t>
      </w:r>
      <w:proofErr w:type="spellEnd"/>
      <w:r w:rsidRPr="00A76A54">
        <w:t xml:space="preserve"> for the Production and Operation of Sodium–</w:t>
      </w:r>
      <w:proofErr w:type="spellStart"/>
      <w:r w:rsidRPr="00A76A54">
        <w:t>Sulfur</w:t>
      </w:r>
      <w:proofErr w:type="spellEnd"/>
      <w:r w:rsidRPr="00A76A54">
        <w:t xml:space="preserve"> Batteries at Room Temperature’, </w:t>
      </w:r>
      <w:r w:rsidRPr="00A76A54">
        <w:rPr>
          <w:rStyle w:val="affff"/>
        </w:rPr>
        <w:t>Advanced Energy Materials</w:t>
      </w:r>
      <w:r w:rsidRPr="00A76A54">
        <w:t xml:space="preserve">, </w:t>
      </w:r>
      <w:r w:rsidRPr="00A76A54">
        <w:rPr>
          <w:rStyle w:val="affff0"/>
        </w:rPr>
        <w:t>10</w:t>
      </w:r>
      <w:r w:rsidRPr="00A76A54">
        <w:t xml:space="preserve">(7), 1903245. </w:t>
      </w:r>
      <w:hyperlink r:id="rId40" w:tgtFrame="_new" w:history="1">
        <w:r w:rsidRPr="00A76A54">
          <w:rPr>
            <w:rStyle w:val="afffc"/>
            <w:color w:val="auto"/>
            <w:u w:val="none"/>
          </w:rPr>
          <w:t>https://doi.org/10.1002/aenm.201903245</w:t>
        </w:r>
      </w:hyperlink>
      <w:r w:rsidRPr="00A76A54">
        <w:t xml:space="preserve">     </w:t>
      </w:r>
    </w:p>
    <w:p w14:paraId="1983019A" w14:textId="1120206C" w:rsidR="00340872" w:rsidRPr="00A76A54" w:rsidRDefault="00340872" w:rsidP="00340872">
      <w:pPr>
        <w:tabs>
          <w:tab w:val="clear" w:pos="7100"/>
        </w:tabs>
        <w:spacing w:line="240" w:lineRule="auto"/>
        <w:jc w:val="left"/>
        <w:rPr>
          <w:rFonts w:cs="Arial"/>
          <w:szCs w:val="18"/>
          <w:lang w:val="en-US" w:eastAsia="ru-RU"/>
        </w:rPr>
      </w:pPr>
      <w:r w:rsidRPr="00A76A54">
        <w:rPr>
          <w:rFonts w:cs="Arial"/>
          <w:szCs w:val="18"/>
          <w:lang w:val="en-US"/>
        </w:rPr>
        <w:t xml:space="preserve">COP28 UAE. Available online: https://www.cop28.com/en/ (accessed on 8 April 2024). </w:t>
      </w:r>
      <w:r w:rsidRPr="00A76A54">
        <w:rPr>
          <w:rFonts w:cs="Arial"/>
          <w:szCs w:val="18"/>
          <w:lang w:val="en-US"/>
        </w:rPr>
        <w:br/>
      </w:r>
      <w:proofErr w:type="spellStart"/>
      <w:r w:rsidRPr="00A76A54">
        <w:t>Eng</w:t>
      </w:r>
      <w:proofErr w:type="spellEnd"/>
      <w:r w:rsidRPr="00A76A54">
        <w:t xml:space="preserve">, A.Y.S., Nguyen, D.-T., Kumar, V., Subramanian, G.S., Ng, M.-F. and </w:t>
      </w:r>
      <w:proofErr w:type="spellStart"/>
      <w:r w:rsidRPr="00A76A54">
        <w:t>Seh</w:t>
      </w:r>
      <w:proofErr w:type="spellEnd"/>
      <w:r w:rsidRPr="00A76A54">
        <w:t>, Z.W. (2020) ‘Tailoring binder–cathode interactions for long-life room-temperature sodium–</w:t>
      </w:r>
      <w:proofErr w:type="spellStart"/>
      <w:r w:rsidRPr="00A76A54">
        <w:t>sulfur</w:t>
      </w:r>
      <w:proofErr w:type="spellEnd"/>
      <w:r w:rsidRPr="00A76A54">
        <w:t xml:space="preserve"> batteries’, </w:t>
      </w:r>
      <w:r w:rsidRPr="00A76A54">
        <w:rPr>
          <w:rStyle w:val="affff"/>
        </w:rPr>
        <w:t>Journal of Materials Chemistry A</w:t>
      </w:r>
      <w:r w:rsidRPr="00A76A54">
        <w:t xml:space="preserve">, </w:t>
      </w:r>
      <w:r w:rsidRPr="00A76A54">
        <w:rPr>
          <w:rStyle w:val="affff0"/>
        </w:rPr>
        <w:t>8</w:t>
      </w:r>
      <w:r w:rsidRPr="00A76A54">
        <w:t>(43), pp. 22983–22997.</w:t>
      </w:r>
      <w:hyperlink r:id="rId41" w:history="1">
        <w:r w:rsidRPr="00A76A54">
          <w:rPr>
            <w:rStyle w:val="afffc"/>
            <w:color w:val="auto"/>
            <w:u w:val="none"/>
          </w:rPr>
          <w:t>https://doi.org/10.1039/D0TA07681C</w:t>
        </w:r>
      </w:hyperlink>
      <w:r w:rsidRPr="00A76A54">
        <w:t xml:space="preserve">     </w:t>
      </w:r>
      <w:r w:rsidRPr="00A76A54">
        <w:br/>
      </w:r>
      <w:proofErr w:type="spellStart"/>
      <w:r w:rsidRPr="00A76A54">
        <w:t>Friedlingstein</w:t>
      </w:r>
      <w:proofErr w:type="spellEnd"/>
      <w:r w:rsidRPr="00A76A54">
        <w:t xml:space="preserve">, P., O'Sullivan, M., Jones, M.W., Andrew, R.M., Gregor, L., Hauck, J., Le </w:t>
      </w:r>
      <w:proofErr w:type="spellStart"/>
      <w:r w:rsidRPr="00A76A54">
        <w:t>Quéré</w:t>
      </w:r>
      <w:proofErr w:type="spellEnd"/>
      <w:r w:rsidRPr="00A76A54">
        <w:t xml:space="preserve">, C., </w:t>
      </w:r>
      <w:proofErr w:type="spellStart"/>
      <w:r w:rsidRPr="00A76A54">
        <w:t>Luijkx</w:t>
      </w:r>
      <w:proofErr w:type="spellEnd"/>
      <w:r w:rsidRPr="00A76A54">
        <w:t xml:space="preserve">, I.T., Olsen, A. and Peters, G.P. et al. (2022) ‘Global Carbon Budget 2022’, </w:t>
      </w:r>
      <w:r w:rsidRPr="00A76A54">
        <w:rPr>
          <w:rStyle w:val="affff"/>
        </w:rPr>
        <w:t>Earth System Science Data</w:t>
      </w:r>
      <w:r w:rsidRPr="00A76A54">
        <w:t xml:space="preserve">, </w:t>
      </w:r>
      <w:r w:rsidRPr="00A76A54">
        <w:rPr>
          <w:rStyle w:val="affff0"/>
        </w:rPr>
        <w:t>14</w:t>
      </w:r>
      <w:r w:rsidRPr="00A76A54">
        <w:t xml:space="preserve">(11), pp. 4811–4900. </w:t>
      </w:r>
      <w:hyperlink r:id="rId42" w:tgtFrame="_new" w:history="1">
        <w:r w:rsidRPr="00A76A54">
          <w:rPr>
            <w:rStyle w:val="afffc"/>
            <w:color w:val="auto"/>
            <w:u w:val="none"/>
          </w:rPr>
          <w:t>https://doi.org/10.5194/essd-14-4811-2022</w:t>
        </w:r>
      </w:hyperlink>
      <w:r w:rsidRPr="00A76A54">
        <w:t xml:space="preserve"> </w:t>
      </w:r>
      <w:r w:rsidRPr="00A76A54">
        <w:br/>
      </w:r>
      <w:proofErr w:type="spellStart"/>
      <w:r w:rsidRPr="00A76A54">
        <w:rPr>
          <w:rFonts w:cs="Arial"/>
          <w:szCs w:val="18"/>
          <w:lang w:val="en-US"/>
        </w:rPr>
        <w:t>Siyang</w:t>
      </w:r>
      <w:proofErr w:type="spellEnd"/>
      <w:r w:rsidRPr="00A76A54">
        <w:rPr>
          <w:rFonts w:cs="Arial"/>
          <w:szCs w:val="18"/>
          <w:lang w:val="en-US"/>
        </w:rPr>
        <w:t xml:space="preserve"> Gan, </w:t>
      </w:r>
      <w:proofErr w:type="spellStart"/>
      <w:r w:rsidRPr="00A76A54">
        <w:rPr>
          <w:rFonts w:cs="Arial"/>
          <w:szCs w:val="18"/>
          <w:lang w:val="en-US"/>
        </w:rPr>
        <w:t>Yujie</w:t>
      </w:r>
      <w:proofErr w:type="spellEnd"/>
      <w:r w:rsidRPr="00A76A54">
        <w:rPr>
          <w:rFonts w:cs="Arial"/>
          <w:szCs w:val="18"/>
          <w:lang w:val="en-US"/>
        </w:rPr>
        <w:t xml:space="preserve"> Huang, </w:t>
      </w:r>
      <w:proofErr w:type="spellStart"/>
      <w:r w:rsidRPr="00A76A54">
        <w:rPr>
          <w:rFonts w:cs="Arial"/>
          <w:szCs w:val="18"/>
          <w:lang w:val="en-US"/>
        </w:rPr>
        <w:t>Ningyun</w:t>
      </w:r>
      <w:proofErr w:type="spellEnd"/>
      <w:r w:rsidRPr="00A76A54">
        <w:rPr>
          <w:rFonts w:cs="Arial"/>
          <w:szCs w:val="18"/>
          <w:lang w:val="en-US"/>
        </w:rPr>
        <w:t xml:space="preserve"> Hong, </w:t>
      </w:r>
      <w:proofErr w:type="spellStart"/>
      <w:r w:rsidRPr="00A76A54">
        <w:rPr>
          <w:rFonts w:cs="Arial"/>
          <w:szCs w:val="18"/>
          <w:lang w:val="en-US"/>
        </w:rPr>
        <w:t>Yinghao</w:t>
      </w:r>
      <w:proofErr w:type="spellEnd"/>
      <w:r w:rsidRPr="00A76A54">
        <w:rPr>
          <w:rFonts w:cs="Arial"/>
          <w:szCs w:val="18"/>
          <w:lang w:val="en-US"/>
        </w:rPr>
        <w:t xml:space="preserve"> Zhang, Bo </w:t>
      </w:r>
      <w:proofErr w:type="spellStart"/>
      <w:r w:rsidRPr="00A76A54">
        <w:rPr>
          <w:rFonts w:cs="Arial"/>
          <w:szCs w:val="18"/>
          <w:lang w:val="en-US"/>
        </w:rPr>
        <w:t>Xiong</w:t>
      </w:r>
      <w:proofErr w:type="spellEnd"/>
      <w:r w:rsidRPr="00A76A54">
        <w:rPr>
          <w:rFonts w:cs="Arial"/>
          <w:szCs w:val="18"/>
          <w:lang w:val="en-US"/>
        </w:rPr>
        <w:t xml:space="preserve">, </w:t>
      </w:r>
      <w:proofErr w:type="spellStart"/>
      <w:r w:rsidRPr="00A76A54">
        <w:rPr>
          <w:rFonts w:cs="Arial"/>
          <w:szCs w:val="18"/>
          <w:lang w:val="en-US"/>
        </w:rPr>
        <w:t>Zhi</w:t>
      </w:r>
      <w:proofErr w:type="spellEnd"/>
      <w:r w:rsidRPr="00A76A54">
        <w:rPr>
          <w:rFonts w:cs="Arial"/>
          <w:szCs w:val="18"/>
          <w:lang w:val="en-US"/>
        </w:rPr>
        <w:t xml:space="preserve"> Zheng, </w:t>
      </w:r>
      <w:proofErr w:type="spellStart"/>
      <w:r w:rsidRPr="00A76A54">
        <w:rPr>
          <w:rFonts w:cs="Arial"/>
          <w:szCs w:val="18"/>
          <w:lang w:val="en-US"/>
        </w:rPr>
        <w:t>Zidong</w:t>
      </w:r>
      <w:proofErr w:type="spellEnd"/>
      <w:r w:rsidRPr="00A76A54">
        <w:rPr>
          <w:rFonts w:cs="Arial"/>
          <w:szCs w:val="18"/>
          <w:lang w:val="en-US"/>
        </w:rPr>
        <w:t xml:space="preserve"> He, </w:t>
      </w:r>
      <w:proofErr w:type="spellStart"/>
      <w:r w:rsidRPr="00A76A54">
        <w:rPr>
          <w:rFonts w:cs="Arial"/>
          <w:szCs w:val="18"/>
          <w:lang w:val="en-US"/>
        </w:rPr>
        <w:t>ShengruiGao</w:t>
      </w:r>
      <w:proofErr w:type="spellEnd"/>
      <w:r w:rsidRPr="00A76A54">
        <w:rPr>
          <w:rFonts w:cs="Arial"/>
          <w:szCs w:val="18"/>
          <w:lang w:val="en-US"/>
        </w:rPr>
        <w:t xml:space="preserve">, </w:t>
      </w:r>
      <w:proofErr w:type="spellStart"/>
      <w:r w:rsidRPr="00A76A54">
        <w:rPr>
          <w:rFonts w:cs="Arial"/>
          <w:szCs w:val="18"/>
          <w:lang w:val="en-US"/>
        </w:rPr>
        <w:t>Wentao</w:t>
      </w:r>
      <w:proofErr w:type="spellEnd"/>
      <w:r w:rsidRPr="00A76A54">
        <w:rPr>
          <w:rFonts w:cs="Arial"/>
          <w:szCs w:val="18"/>
          <w:lang w:val="en-US"/>
        </w:rPr>
        <w:t xml:space="preserve"> Deng, </w:t>
      </w:r>
      <w:proofErr w:type="spellStart"/>
      <w:r w:rsidRPr="00A76A54">
        <w:rPr>
          <w:rFonts w:cs="Arial"/>
          <w:szCs w:val="18"/>
          <w:lang w:val="en-US"/>
        </w:rPr>
        <w:t>Guoqiang</w:t>
      </w:r>
      <w:proofErr w:type="spellEnd"/>
      <w:r w:rsidRPr="00A76A54">
        <w:rPr>
          <w:rFonts w:cs="Arial"/>
          <w:szCs w:val="18"/>
          <w:lang w:val="en-US"/>
        </w:rPr>
        <w:t xml:space="preserve"> Zou, </w:t>
      </w:r>
      <w:proofErr w:type="spellStart"/>
      <w:r w:rsidRPr="00A76A54">
        <w:rPr>
          <w:rFonts w:cs="Arial"/>
          <w:szCs w:val="18"/>
          <w:lang w:val="en-US"/>
        </w:rPr>
        <w:t>Hongshuai</w:t>
      </w:r>
      <w:proofErr w:type="spellEnd"/>
      <w:r w:rsidRPr="00A76A54">
        <w:rPr>
          <w:rFonts w:cs="Arial"/>
          <w:szCs w:val="18"/>
          <w:lang w:val="en-US"/>
        </w:rPr>
        <w:t xml:space="preserve"> Hou, Xiaobo Ji (2025) “</w:t>
      </w:r>
      <w:r w:rsidRPr="00A76A54">
        <w:t>Comprehensive understanding of closed pores in hard carbon anode for high-energy sodium-ion batteries</w:t>
      </w:r>
      <w:r w:rsidRPr="00A76A54">
        <w:rPr>
          <w:rFonts w:cs="Arial"/>
          <w:szCs w:val="18"/>
          <w:lang w:val="en-US"/>
        </w:rPr>
        <w:t xml:space="preserve">”, Nano-Micro Letters, Volume 17, </w:t>
      </w:r>
      <w:hyperlink r:id="rId43" w:history="1">
        <w:r w:rsidRPr="00A76A54">
          <w:rPr>
            <w:rStyle w:val="afffc"/>
            <w:rFonts w:cs="Arial"/>
            <w:color w:val="auto"/>
            <w:szCs w:val="18"/>
            <w:u w:val="none"/>
            <w:lang w:val="en-US"/>
          </w:rPr>
          <w:t>https://doi.org/10.1007/s40820-025-01833-x</w:t>
        </w:r>
      </w:hyperlink>
      <w:r w:rsidRPr="00A76A54">
        <w:rPr>
          <w:rStyle w:val="afffc"/>
          <w:rFonts w:cs="Arial"/>
          <w:color w:val="auto"/>
          <w:szCs w:val="18"/>
          <w:u w:val="none"/>
          <w:lang w:val="en-US"/>
        </w:rPr>
        <w:t xml:space="preserve"> </w:t>
      </w:r>
      <w:r w:rsidRPr="00A76A54">
        <w:rPr>
          <w:rFonts w:cs="Arial"/>
          <w:szCs w:val="18"/>
          <w:lang w:val="en-US"/>
        </w:rPr>
        <w:t xml:space="preserve"> </w:t>
      </w:r>
      <w:r w:rsidRPr="00A76A54">
        <w:rPr>
          <w:rFonts w:cs="Arial"/>
          <w:szCs w:val="18"/>
          <w:lang w:val="en-US"/>
        </w:rPr>
        <w:br/>
      </w:r>
      <w:proofErr w:type="spellStart"/>
      <w:r w:rsidRPr="00A76A54">
        <w:t>Hencz</w:t>
      </w:r>
      <w:proofErr w:type="spellEnd"/>
      <w:r w:rsidRPr="00A76A54">
        <w:t xml:space="preserve">, L., Chen, H., Ling, H.Y., Wang, Y., Lai, C., Zhao, H. and Zhang, S. (2019) ‘Housing </w:t>
      </w:r>
      <w:proofErr w:type="spellStart"/>
      <w:r w:rsidRPr="00A76A54">
        <w:t>Sulfur</w:t>
      </w:r>
      <w:proofErr w:type="spellEnd"/>
      <w:r w:rsidRPr="00A76A54">
        <w:t xml:space="preserve"> in Polymer Composite Frameworks for Li–S Batteries’, </w:t>
      </w:r>
      <w:r w:rsidRPr="00A76A54">
        <w:rPr>
          <w:rStyle w:val="affff"/>
        </w:rPr>
        <w:t>Nano-Micro Letters</w:t>
      </w:r>
      <w:r w:rsidRPr="00A76A54">
        <w:t xml:space="preserve">, </w:t>
      </w:r>
      <w:r w:rsidRPr="00A76A54">
        <w:rPr>
          <w:rStyle w:val="affff0"/>
        </w:rPr>
        <w:t>11</w:t>
      </w:r>
      <w:r w:rsidRPr="00A76A54">
        <w:t xml:space="preserve">(1), 17. </w:t>
      </w:r>
      <w:hyperlink r:id="rId44" w:tgtFrame="_new" w:history="1">
        <w:r w:rsidRPr="00A76A54">
          <w:rPr>
            <w:rStyle w:val="afffc"/>
            <w:color w:val="auto"/>
            <w:u w:val="none"/>
          </w:rPr>
          <w:t>https://doi.org/10.1007/s40820-019-0249-1</w:t>
        </w:r>
      </w:hyperlink>
      <w:r w:rsidRPr="00A76A54">
        <w:t xml:space="preserve">    </w:t>
      </w:r>
      <w:r w:rsidRPr="00A76A54">
        <w:br/>
      </w:r>
      <w:proofErr w:type="spellStart"/>
      <w:r w:rsidRPr="00A76A54">
        <w:t>Kareeklin</w:t>
      </w:r>
      <w:proofErr w:type="spellEnd"/>
      <w:r w:rsidRPr="00A76A54">
        <w:t xml:space="preserve">, N., </w:t>
      </w:r>
      <w:proofErr w:type="spellStart"/>
      <w:r w:rsidRPr="00A76A54">
        <w:t>Phukhrongthung</w:t>
      </w:r>
      <w:proofErr w:type="spellEnd"/>
      <w:r w:rsidRPr="00A76A54">
        <w:t xml:space="preserve">, A., </w:t>
      </w:r>
      <w:proofErr w:type="spellStart"/>
      <w:r w:rsidRPr="00A76A54">
        <w:t>Krittayavathananon</w:t>
      </w:r>
      <w:proofErr w:type="spellEnd"/>
      <w:r w:rsidRPr="00A76A54">
        <w:t xml:space="preserve">, A., Wang, B., </w:t>
      </w:r>
      <w:proofErr w:type="spellStart"/>
      <w:r w:rsidRPr="00A76A54">
        <w:t>Luanwuthi</w:t>
      </w:r>
      <w:proofErr w:type="spellEnd"/>
      <w:r w:rsidRPr="00A76A54">
        <w:t xml:space="preserve">, S. and </w:t>
      </w:r>
      <w:proofErr w:type="spellStart"/>
      <w:r w:rsidRPr="00A76A54">
        <w:t>Iamprasertkun</w:t>
      </w:r>
      <w:proofErr w:type="spellEnd"/>
      <w:r w:rsidRPr="00A76A54">
        <w:t xml:space="preserve">, P. (2026) ‘Binder Chemistry of </w:t>
      </w:r>
      <w:proofErr w:type="spellStart"/>
      <w:r w:rsidRPr="00A76A54">
        <w:t>Na</w:t>
      </w:r>
      <w:r w:rsidRPr="00A76A54">
        <w:rPr>
          <w:rFonts w:ascii="Cambria Math" w:hAnsi="Cambria Math" w:cs="Cambria Math"/>
        </w:rPr>
        <w:t>₃</w:t>
      </w:r>
      <w:r w:rsidRPr="00A76A54">
        <w:t>V</w:t>
      </w:r>
      <w:proofErr w:type="spellEnd"/>
      <w:r w:rsidRPr="00A76A54">
        <w:rPr>
          <w:rFonts w:ascii="Cambria Math" w:hAnsi="Cambria Math" w:cs="Cambria Math"/>
        </w:rPr>
        <w:t>₂</w:t>
      </w:r>
      <w:r w:rsidRPr="00A76A54">
        <w:t>(PO</w:t>
      </w:r>
      <w:r w:rsidRPr="00A76A54">
        <w:rPr>
          <w:rFonts w:ascii="Cambria Math" w:hAnsi="Cambria Math" w:cs="Cambria Math"/>
        </w:rPr>
        <w:t>₄</w:t>
      </w:r>
      <w:r w:rsidRPr="00A76A54">
        <w:t>)</w:t>
      </w:r>
      <w:r w:rsidRPr="00A76A54">
        <w:rPr>
          <w:rFonts w:ascii="Cambria Math" w:hAnsi="Cambria Math" w:cs="Cambria Math"/>
        </w:rPr>
        <w:t>₂</w:t>
      </w:r>
      <w:r w:rsidRPr="00A76A54">
        <w:t>F</w:t>
      </w:r>
      <w:r w:rsidRPr="00A76A54">
        <w:rPr>
          <w:rFonts w:ascii="Cambria Math" w:hAnsi="Cambria Math" w:cs="Cambria Math"/>
        </w:rPr>
        <w:t>₃</w:t>
      </w:r>
      <w:r w:rsidRPr="00A76A54">
        <w:t xml:space="preserve"> Cathodes in Aqueous Sodium-Ion Batteries: From </w:t>
      </w:r>
      <w:r w:rsidRPr="00A76A54">
        <w:rPr>
          <w:rFonts w:cs="Arial"/>
        </w:rPr>
        <w:t>“</w:t>
      </w:r>
      <w:r w:rsidRPr="00A76A54">
        <w:t>Salt-in-Water</w:t>
      </w:r>
      <w:r w:rsidRPr="00A76A54">
        <w:rPr>
          <w:rFonts w:cs="Arial"/>
        </w:rPr>
        <w:t>”</w:t>
      </w:r>
      <w:r w:rsidRPr="00A76A54">
        <w:t xml:space="preserve"> to </w:t>
      </w:r>
      <w:r w:rsidRPr="00A76A54">
        <w:rPr>
          <w:rFonts w:cs="Arial"/>
        </w:rPr>
        <w:t>“</w:t>
      </w:r>
      <w:r w:rsidRPr="00A76A54">
        <w:t>Water-in-Salt</w:t>
      </w:r>
      <w:r w:rsidRPr="00A76A54">
        <w:rPr>
          <w:rFonts w:cs="Arial"/>
        </w:rPr>
        <w:t>”’</w:t>
      </w:r>
      <w:r w:rsidRPr="00A76A54">
        <w:t xml:space="preserve">, </w:t>
      </w:r>
      <w:r w:rsidRPr="00A76A54">
        <w:rPr>
          <w:rStyle w:val="affff"/>
        </w:rPr>
        <w:t>ACS Applied Polymer Materials</w:t>
      </w:r>
      <w:r w:rsidRPr="00A76A54">
        <w:t xml:space="preserve">, </w:t>
      </w:r>
      <w:r w:rsidRPr="00A76A54">
        <w:rPr>
          <w:rStyle w:val="affff0"/>
        </w:rPr>
        <w:t>8</w:t>
      </w:r>
      <w:r w:rsidRPr="00A76A54">
        <w:t>(6), pp. 4163–4172. https://doi.org/10.1021/acsapm.5c04664</w:t>
      </w:r>
      <w:r w:rsidRPr="00A76A54">
        <w:rPr>
          <w:rFonts w:cs="Arial"/>
          <w:szCs w:val="18"/>
          <w:lang w:val="en-US" w:eastAsia="ru-RU"/>
        </w:rPr>
        <w:t xml:space="preserve">   </w:t>
      </w:r>
    </w:p>
    <w:p w14:paraId="2DA9BE15" w14:textId="4E2B02EB" w:rsidR="009F55A8" w:rsidRPr="009F55A8" w:rsidRDefault="00340872" w:rsidP="00340872">
      <w:pPr>
        <w:tabs>
          <w:tab w:val="clear" w:pos="7100"/>
        </w:tabs>
        <w:spacing w:after="160" w:line="240" w:lineRule="auto"/>
        <w:rPr>
          <w:rFonts w:cs="Arial"/>
          <w:color w:val="00B050"/>
          <w:szCs w:val="18"/>
          <w:lang w:val="en-US"/>
        </w:rPr>
      </w:pPr>
      <w:proofErr w:type="spellStart"/>
      <w:r w:rsidRPr="00A76A54">
        <w:t>Khakimov</w:t>
      </w:r>
      <w:proofErr w:type="spellEnd"/>
      <w:r w:rsidRPr="00A76A54">
        <w:t xml:space="preserve">, F.S., </w:t>
      </w:r>
      <w:proofErr w:type="spellStart"/>
      <w:r w:rsidRPr="00A76A54">
        <w:t>Khakimova</w:t>
      </w:r>
      <w:proofErr w:type="spellEnd"/>
      <w:r w:rsidRPr="00A76A54">
        <w:t xml:space="preserve">, S.S.K., </w:t>
      </w:r>
      <w:proofErr w:type="spellStart"/>
      <w:r w:rsidRPr="00A76A54">
        <w:t>Mirsalimova</w:t>
      </w:r>
      <w:proofErr w:type="spellEnd"/>
      <w:r w:rsidRPr="00A76A54">
        <w:t xml:space="preserve">, S.R., </w:t>
      </w:r>
      <w:proofErr w:type="spellStart"/>
      <w:r w:rsidRPr="00A76A54">
        <w:t>Khamrakulov</w:t>
      </w:r>
      <w:proofErr w:type="spellEnd"/>
      <w:r w:rsidRPr="00A76A54">
        <w:t xml:space="preserve">, Z.A., </w:t>
      </w:r>
      <w:proofErr w:type="spellStart"/>
      <w:r w:rsidRPr="00A76A54">
        <w:t>Khamdamova</w:t>
      </w:r>
      <w:proofErr w:type="spellEnd"/>
      <w:r w:rsidRPr="00A76A54">
        <w:t xml:space="preserve">, S.S. and </w:t>
      </w:r>
      <w:proofErr w:type="spellStart"/>
      <w:r w:rsidRPr="00A76A54">
        <w:t>Maksumova</w:t>
      </w:r>
      <w:proofErr w:type="spellEnd"/>
      <w:r w:rsidRPr="00A76A54">
        <w:t>, O.S. (2025) ‘Cathode material derived from oil and gas processing wastewater and electrolyte development for use in room temperature sodium-</w:t>
      </w:r>
      <w:proofErr w:type="spellStart"/>
      <w:r w:rsidRPr="00A76A54">
        <w:t>sulfur</w:t>
      </w:r>
      <w:proofErr w:type="spellEnd"/>
      <w:r w:rsidRPr="00A76A54">
        <w:t xml:space="preserve"> batteries’, </w:t>
      </w:r>
      <w:r w:rsidRPr="00A76A54">
        <w:rPr>
          <w:rStyle w:val="affff"/>
        </w:rPr>
        <w:t>Journal of Energy Storage</w:t>
      </w:r>
      <w:r w:rsidRPr="00A76A54">
        <w:t xml:space="preserve">, </w:t>
      </w:r>
      <w:r w:rsidRPr="00A76A54">
        <w:rPr>
          <w:rStyle w:val="affff0"/>
        </w:rPr>
        <w:t>140</w:t>
      </w:r>
      <w:r w:rsidRPr="00A76A54">
        <w:t xml:space="preserve">, 118593. </w:t>
      </w:r>
      <w:hyperlink r:id="rId45" w:tgtFrame="_new" w:history="1">
        <w:r w:rsidRPr="00A76A54">
          <w:rPr>
            <w:rStyle w:val="afffc"/>
            <w:color w:val="auto"/>
            <w:u w:val="none"/>
          </w:rPr>
          <w:t>https://doi.org/10.1016/j.est.2025.118593</w:t>
        </w:r>
      </w:hyperlink>
      <w:r w:rsidRPr="00A76A54">
        <w:t xml:space="preserve">   </w:t>
      </w:r>
      <w:r w:rsidRPr="00A76A54">
        <w:rPr>
          <w:rFonts w:cs="Arial"/>
          <w:szCs w:val="18"/>
          <w:lang w:val="en-US"/>
        </w:rPr>
        <w:br/>
      </w:r>
      <w:r w:rsidRPr="00A76A54">
        <w:t xml:space="preserve">Park, H., Jeon, C., </w:t>
      </w:r>
      <w:proofErr w:type="spellStart"/>
      <w:r w:rsidRPr="00A76A54">
        <w:t>Kansara</w:t>
      </w:r>
      <w:proofErr w:type="spellEnd"/>
      <w:r w:rsidRPr="00A76A54">
        <w:t xml:space="preserve">, S., Lee, C., </w:t>
      </w:r>
      <w:proofErr w:type="spellStart"/>
      <w:r w:rsidRPr="00A76A54">
        <w:t>Xiong</w:t>
      </w:r>
      <w:proofErr w:type="spellEnd"/>
      <w:r w:rsidRPr="00A76A54">
        <w:t>, S., Sun, Z. and Hwang, J.-Y. (2026) ‘Investigating the effect of binder for stabilizing a sulfurized polyacrylonitrile cathode in sodium–</w:t>
      </w:r>
      <w:proofErr w:type="spellStart"/>
      <w:r w:rsidRPr="00A76A54">
        <w:t>sulfur</w:t>
      </w:r>
      <w:proofErr w:type="spellEnd"/>
      <w:r w:rsidRPr="00A76A54">
        <w:t xml:space="preserve"> batteries’, </w:t>
      </w:r>
      <w:r w:rsidRPr="00A76A54">
        <w:rPr>
          <w:rStyle w:val="affff"/>
        </w:rPr>
        <w:t>Journal of Power Sources</w:t>
      </w:r>
      <w:r w:rsidRPr="00A76A54">
        <w:t xml:space="preserve">, </w:t>
      </w:r>
      <w:r w:rsidRPr="00A76A54">
        <w:rPr>
          <w:rStyle w:val="affff0"/>
        </w:rPr>
        <w:t>661</w:t>
      </w:r>
      <w:r w:rsidRPr="00A76A54">
        <w:t>, pp. 1–11.</w:t>
      </w:r>
      <w:hyperlink r:id="rId46" w:history="1">
        <w:r w:rsidRPr="00A76A54">
          <w:rPr>
            <w:rStyle w:val="afffc"/>
            <w:color w:val="auto"/>
            <w:u w:val="none"/>
          </w:rPr>
          <w:t>https://doi.org/10.1016/j.jpowsour.2025.238587</w:t>
        </w:r>
      </w:hyperlink>
      <w:r w:rsidRPr="00A76A54">
        <w:t xml:space="preserve"> </w:t>
      </w:r>
      <w:r>
        <w:tab/>
      </w:r>
      <w:r w:rsidRPr="00A76A54">
        <w:t xml:space="preserve">  </w:t>
      </w:r>
      <w:r w:rsidRPr="00A76A54">
        <w:br/>
        <w:t xml:space="preserve">Qin, Y., Choi, S.-G., Mason, L., Liu, J., Li, Z. and Gao, T. (2024) ‘Carboxylate ester-based electrolytes for Na-ion batteries’, </w:t>
      </w:r>
      <w:r w:rsidRPr="00A76A54">
        <w:rPr>
          <w:rStyle w:val="affff"/>
        </w:rPr>
        <w:t>Chemical Science</w:t>
      </w:r>
      <w:r w:rsidRPr="00A76A54">
        <w:t xml:space="preserve">, </w:t>
      </w:r>
      <w:r w:rsidRPr="00A76A54">
        <w:rPr>
          <w:rStyle w:val="affff0"/>
        </w:rPr>
        <w:t>15</w:t>
      </w:r>
      <w:r w:rsidRPr="00A76A54">
        <w:t xml:space="preserve">(24), pp. 9224–9239. </w:t>
      </w:r>
      <w:hyperlink r:id="rId47" w:history="1">
        <w:r w:rsidRPr="00A76A54">
          <w:rPr>
            <w:rStyle w:val="afffc"/>
            <w:color w:val="auto"/>
            <w:u w:val="none"/>
          </w:rPr>
          <w:t>https://doi.org/10.1039/D4SC02266A</w:t>
        </w:r>
      </w:hyperlink>
      <w:r w:rsidRPr="00A76A54">
        <w:t xml:space="preserve">  </w:t>
      </w:r>
      <w:r w:rsidRPr="00A76A54">
        <w:br/>
        <w:t xml:space="preserve">Schmidt, F., Kirchhoff, S., </w:t>
      </w:r>
      <w:proofErr w:type="spellStart"/>
      <w:r w:rsidRPr="00A76A54">
        <w:t>Jägle</w:t>
      </w:r>
      <w:proofErr w:type="spellEnd"/>
      <w:r w:rsidRPr="00A76A54">
        <w:t xml:space="preserve">, K., De, A., </w:t>
      </w:r>
      <w:proofErr w:type="spellStart"/>
      <w:r w:rsidRPr="00A76A54">
        <w:t>Ehrling</w:t>
      </w:r>
      <w:proofErr w:type="spellEnd"/>
      <w:r w:rsidRPr="00A76A54">
        <w:t xml:space="preserve">, S., </w:t>
      </w:r>
      <w:proofErr w:type="spellStart"/>
      <w:r w:rsidRPr="00A76A54">
        <w:t>Härtel</w:t>
      </w:r>
      <w:proofErr w:type="spellEnd"/>
      <w:r w:rsidRPr="00A76A54">
        <w:t xml:space="preserve">, P., </w:t>
      </w:r>
      <w:proofErr w:type="spellStart"/>
      <w:r w:rsidRPr="00A76A54">
        <w:t>Dörfler</w:t>
      </w:r>
      <w:proofErr w:type="spellEnd"/>
      <w:r w:rsidRPr="00A76A54">
        <w:t xml:space="preserve">, S., </w:t>
      </w:r>
      <w:proofErr w:type="spellStart"/>
      <w:r w:rsidRPr="00A76A54">
        <w:t>Abendroth</w:t>
      </w:r>
      <w:proofErr w:type="spellEnd"/>
      <w:r w:rsidRPr="00A76A54">
        <w:t xml:space="preserve">, T., Schumm, B., </w:t>
      </w:r>
      <w:proofErr w:type="spellStart"/>
      <w:r w:rsidRPr="00A76A54">
        <w:t>Althues</w:t>
      </w:r>
      <w:proofErr w:type="spellEnd"/>
      <w:r w:rsidRPr="00A76A54">
        <w:t xml:space="preserve">, H. and </w:t>
      </w:r>
      <w:proofErr w:type="spellStart"/>
      <w:r w:rsidRPr="00A76A54">
        <w:t>Kaskel</w:t>
      </w:r>
      <w:proofErr w:type="spellEnd"/>
      <w:r w:rsidRPr="00A76A54">
        <w:t>, S. (2022) ‘Sustainable Protein-Based Binder for Lithium-</w:t>
      </w:r>
      <w:proofErr w:type="spellStart"/>
      <w:r w:rsidRPr="00A76A54">
        <w:t>Sulfur</w:t>
      </w:r>
      <w:proofErr w:type="spellEnd"/>
      <w:r w:rsidRPr="00A76A54">
        <w:t xml:space="preserve"> Cathodes Processed by a Solvent-Free Dry-Coating Method’, </w:t>
      </w:r>
      <w:proofErr w:type="spellStart"/>
      <w:r w:rsidRPr="00A76A54">
        <w:rPr>
          <w:rStyle w:val="affff"/>
        </w:rPr>
        <w:t>ChemSusChem</w:t>
      </w:r>
      <w:proofErr w:type="spellEnd"/>
      <w:r w:rsidRPr="00A76A54">
        <w:t xml:space="preserve">, </w:t>
      </w:r>
      <w:r w:rsidRPr="00A76A54">
        <w:rPr>
          <w:rStyle w:val="affff0"/>
        </w:rPr>
        <w:t>15</w:t>
      </w:r>
      <w:r w:rsidRPr="00A76A54">
        <w:t xml:space="preserve">(22), e202201320. </w:t>
      </w:r>
      <w:hyperlink r:id="rId48" w:tgtFrame="_new" w:history="1">
        <w:r w:rsidRPr="00A76A54">
          <w:rPr>
            <w:rStyle w:val="afffc"/>
            <w:color w:val="auto"/>
            <w:u w:val="none"/>
          </w:rPr>
          <w:t>https://doi.org/10.1002/cssc.202201320</w:t>
        </w:r>
      </w:hyperlink>
      <w:r w:rsidRPr="00A76A54">
        <w:t xml:space="preserve">  </w:t>
      </w:r>
      <w:r>
        <w:tab/>
      </w:r>
      <w:r w:rsidRPr="00A76A54">
        <w:br/>
        <w:t xml:space="preserve">Smith, W.H., Birnbaum, J. and </w:t>
      </w:r>
      <w:proofErr w:type="spellStart"/>
      <w:r w:rsidRPr="00A76A54">
        <w:t>Wolden</w:t>
      </w:r>
      <w:proofErr w:type="spellEnd"/>
      <w:r w:rsidRPr="00A76A54">
        <w:t xml:space="preserve">, C.A. (2021) ‘Production and purification of anhydrous sodium </w:t>
      </w:r>
      <w:proofErr w:type="spellStart"/>
      <w:r w:rsidRPr="00A76A54">
        <w:t>sulfide</w:t>
      </w:r>
      <w:proofErr w:type="spellEnd"/>
      <w:r w:rsidRPr="00A76A54">
        <w:t xml:space="preserve">’, </w:t>
      </w:r>
      <w:r w:rsidRPr="00A76A54">
        <w:rPr>
          <w:rStyle w:val="affff"/>
        </w:rPr>
        <w:t xml:space="preserve">Journal of </w:t>
      </w:r>
      <w:proofErr w:type="spellStart"/>
      <w:r w:rsidRPr="00A76A54">
        <w:rPr>
          <w:rStyle w:val="affff"/>
        </w:rPr>
        <w:t>Sulfur</w:t>
      </w:r>
      <w:proofErr w:type="spellEnd"/>
      <w:r w:rsidRPr="00A76A54">
        <w:rPr>
          <w:rStyle w:val="affff"/>
        </w:rPr>
        <w:t xml:space="preserve"> Chemistry</w:t>
      </w:r>
      <w:r w:rsidRPr="00A76A54">
        <w:t xml:space="preserve">, </w:t>
      </w:r>
      <w:r w:rsidRPr="00A76A54">
        <w:rPr>
          <w:rStyle w:val="affff0"/>
        </w:rPr>
        <w:t>42</w:t>
      </w:r>
      <w:r w:rsidRPr="00A76A54">
        <w:t xml:space="preserve">(4), pp. 426–442. </w:t>
      </w:r>
      <w:hyperlink r:id="rId49" w:history="1">
        <w:r w:rsidRPr="00A76A54">
          <w:rPr>
            <w:rStyle w:val="afffc"/>
            <w:color w:val="auto"/>
            <w:u w:val="none"/>
          </w:rPr>
          <w:t>https://doi.org/10.1080/17415993.2021.1907390</w:t>
        </w:r>
      </w:hyperlink>
      <w:r w:rsidRPr="00A76A54">
        <w:br/>
        <w:t xml:space="preserve">Srivastava, M., Kumar, A.K.M.R. and </w:t>
      </w:r>
      <w:proofErr w:type="spellStart"/>
      <w:r w:rsidRPr="00A76A54">
        <w:t>Zaghib</w:t>
      </w:r>
      <w:proofErr w:type="spellEnd"/>
      <w:r w:rsidRPr="00A76A54">
        <w:t xml:space="preserve">, K. (2024) ‘Binders for Li-Ion Battery Technologies and Beyond: A Comprehensive Review’, </w:t>
      </w:r>
      <w:r w:rsidRPr="00A76A54">
        <w:rPr>
          <w:rStyle w:val="affff"/>
        </w:rPr>
        <w:t>Batteries</w:t>
      </w:r>
      <w:r w:rsidRPr="00A76A54">
        <w:t xml:space="preserve">, </w:t>
      </w:r>
      <w:r w:rsidRPr="00A76A54">
        <w:rPr>
          <w:rStyle w:val="affff0"/>
        </w:rPr>
        <w:t>10</w:t>
      </w:r>
      <w:r w:rsidRPr="00A76A54">
        <w:t xml:space="preserve">(8), 268. </w:t>
      </w:r>
      <w:hyperlink r:id="rId50" w:tgtFrame="_new" w:history="1">
        <w:r w:rsidRPr="00A76A54">
          <w:rPr>
            <w:rStyle w:val="afffc"/>
            <w:color w:val="auto"/>
            <w:u w:val="none"/>
          </w:rPr>
          <w:t>https://doi.org/10.3390/batteries10080268</w:t>
        </w:r>
      </w:hyperlink>
      <w:r>
        <w:tab/>
      </w:r>
      <w:r w:rsidRPr="00A76A54">
        <w:br/>
        <w:t xml:space="preserve">Wang, Y., Zhang, Y., Cheng, H., Ni, Z., Wang, Y., Xia, G., Li, X. and Zeng, X. (2021) ‘Research Progress toward Room Temperature Sodium </w:t>
      </w:r>
      <w:proofErr w:type="spellStart"/>
      <w:r w:rsidRPr="00A76A54">
        <w:t>Sulfur</w:t>
      </w:r>
      <w:proofErr w:type="spellEnd"/>
      <w:r w:rsidRPr="00A76A54">
        <w:t xml:space="preserve"> Batteries: A Review’, </w:t>
      </w:r>
      <w:r w:rsidRPr="00A76A54">
        <w:rPr>
          <w:rStyle w:val="affff"/>
        </w:rPr>
        <w:t>Molecules</w:t>
      </w:r>
      <w:r w:rsidRPr="00A76A54">
        <w:t xml:space="preserve">, </w:t>
      </w:r>
      <w:r w:rsidRPr="00A76A54">
        <w:rPr>
          <w:rStyle w:val="affff0"/>
        </w:rPr>
        <w:t>26</w:t>
      </w:r>
      <w:r w:rsidRPr="00A76A54">
        <w:t xml:space="preserve">(6), 1535. </w:t>
      </w:r>
      <w:hyperlink r:id="rId51" w:tgtFrame="_new" w:history="1">
        <w:r w:rsidRPr="00A76A54">
          <w:rPr>
            <w:rStyle w:val="afffc"/>
            <w:color w:val="auto"/>
            <w:u w:val="none"/>
          </w:rPr>
          <w:t>https://doi.org/10.3390/molecules26061535</w:t>
        </w:r>
      </w:hyperlink>
      <w:r w:rsidRPr="00A76A54">
        <w:br/>
      </w:r>
      <w:r w:rsidRPr="00A76A54">
        <w:rPr>
          <w:rFonts w:cs="Arial"/>
          <w:szCs w:val="18"/>
          <w:lang w:val="en-US"/>
        </w:rPr>
        <w:t xml:space="preserve">Y. Wang, D. Zhou, V. </w:t>
      </w:r>
      <w:proofErr w:type="spellStart"/>
      <w:r w:rsidRPr="00A76A54">
        <w:rPr>
          <w:rFonts w:cs="Arial"/>
          <w:szCs w:val="18"/>
          <w:lang w:val="en-US"/>
        </w:rPr>
        <w:t>Palomares</w:t>
      </w:r>
      <w:proofErr w:type="spellEnd"/>
      <w:r w:rsidRPr="00A76A54">
        <w:rPr>
          <w:rFonts w:cs="Arial"/>
          <w:szCs w:val="18"/>
          <w:lang w:val="en-US"/>
        </w:rPr>
        <w:t xml:space="preserve">, D. </w:t>
      </w:r>
      <w:proofErr w:type="spellStart"/>
      <w:r w:rsidRPr="00A76A54">
        <w:rPr>
          <w:rFonts w:cs="Arial"/>
          <w:szCs w:val="18"/>
          <w:lang w:val="en-US"/>
        </w:rPr>
        <w:t>Shanmukaraj</w:t>
      </w:r>
      <w:proofErr w:type="spellEnd"/>
      <w:r w:rsidRPr="00A76A54">
        <w:rPr>
          <w:rFonts w:cs="Arial"/>
          <w:szCs w:val="18"/>
          <w:lang w:val="en-US"/>
        </w:rPr>
        <w:t xml:space="preserve">, B. Sun, X. Tang, C. Wang, M. Armand, T. </w:t>
      </w:r>
      <w:proofErr w:type="spellStart"/>
      <w:r w:rsidRPr="00A76A54">
        <w:rPr>
          <w:rFonts w:cs="Arial"/>
          <w:szCs w:val="18"/>
          <w:lang w:val="en-US"/>
        </w:rPr>
        <w:t>Rojo</w:t>
      </w:r>
      <w:proofErr w:type="spellEnd"/>
      <w:r w:rsidRPr="00A76A54">
        <w:rPr>
          <w:rFonts w:cs="Arial"/>
          <w:szCs w:val="18"/>
          <w:lang w:val="en-US"/>
        </w:rPr>
        <w:t xml:space="preserve">, G. Wang, </w:t>
      </w:r>
      <w:proofErr w:type="spellStart"/>
      <w:r w:rsidRPr="00A76A54">
        <w:rPr>
          <w:rFonts w:cs="Arial"/>
          <w:szCs w:val="18"/>
          <w:lang w:val="en-US"/>
        </w:rPr>
        <w:t>Revitalising</w:t>
      </w:r>
      <w:proofErr w:type="spellEnd"/>
      <w:r w:rsidRPr="00A76A54">
        <w:rPr>
          <w:rFonts w:cs="Arial"/>
          <w:szCs w:val="18"/>
          <w:lang w:val="en-US"/>
        </w:rPr>
        <w:t xml:space="preserve"> sodium–sulfur batteries for non-</w:t>
      </w:r>
      <w:proofErr w:type="spellStart"/>
      <w:r w:rsidRPr="00A76A54">
        <w:rPr>
          <w:rFonts w:cs="Arial"/>
          <w:szCs w:val="18"/>
          <w:lang w:val="en-US"/>
        </w:rPr>
        <w:t>hightemperature</w:t>
      </w:r>
      <w:proofErr w:type="spellEnd"/>
      <w:r w:rsidRPr="00A76A54">
        <w:rPr>
          <w:rFonts w:cs="Arial"/>
          <w:szCs w:val="18"/>
          <w:lang w:val="en-US"/>
        </w:rPr>
        <w:t xml:space="preserve"> operation: A crucial review, Energy Environ. Sci. 13 (2020) 3848–3879, </w:t>
      </w:r>
      <w:hyperlink r:id="rId52" w:history="1">
        <w:r w:rsidRPr="00A76A54">
          <w:rPr>
            <w:rStyle w:val="afffc"/>
            <w:rFonts w:cs="Arial"/>
            <w:color w:val="auto"/>
            <w:szCs w:val="18"/>
            <w:u w:val="none"/>
            <w:lang w:val="en-US"/>
          </w:rPr>
          <w:t>https://doi.org/10.1039/D0EE01699F</w:t>
        </w:r>
      </w:hyperlink>
      <w:r w:rsidRPr="00A76A54">
        <w:rPr>
          <w:rFonts w:cs="Arial"/>
          <w:szCs w:val="18"/>
          <w:lang w:val="en-US"/>
        </w:rPr>
        <w:t xml:space="preserve">. </w:t>
      </w:r>
      <w:r w:rsidRPr="00A76A54">
        <w:rPr>
          <w:rFonts w:cs="Arial"/>
          <w:szCs w:val="18"/>
          <w:lang w:val="en-US"/>
        </w:rPr>
        <w:tab/>
        <w:t xml:space="preserve"> </w:t>
      </w:r>
      <w:r w:rsidRPr="00A76A54">
        <w:rPr>
          <w:rFonts w:cs="Arial"/>
          <w:szCs w:val="18"/>
          <w:lang w:val="en-US"/>
        </w:rPr>
        <w:br/>
        <w:t xml:space="preserve"> </w:t>
      </w:r>
      <w:r w:rsidRPr="00A76A54">
        <w:t xml:space="preserve">Xu, J., Yang, J., </w:t>
      </w:r>
      <w:proofErr w:type="spellStart"/>
      <w:r w:rsidRPr="00A76A54">
        <w:t>Qiu</w:t>
      </w:r>
      <w:proofErr w:type="spellEnd"/>
      <w:r w:rsidRPr="00A76A54">
        <w:t xml:space="preserve">, Y., </w:t>
      </w:r>
      <w:proofErr w:type="spellStart"/>
      <w:r w:rsidRPr="00A76A54">
        <w:t>Jin</w:t>
      </w:r>
      <w:proofErr w:type="spellEnd"/>
      <w:r w:rsidRPr="00A76A54">
        <w:t xml:space="preserve">, Y., Wang, T., Sun, B. and Wang, G. (2024) ‘Achieving high-performance sodium metal anodes: From structural design to reaction kinetic improvement’, </w:t>
      </w:r>
      <w:r w:rsidRPr="00A76A54">
        <w:rPr>
          <w:rStyle w:val="affff"/>
        </w:rPr>
        <w:t>Nano Research</w:t>
      </w:r>
      <w:r w:rsidRPr="00A76A54">
        <w:t xml:space="preserve">, </w:t>
      </w:r>
      <w:r w:rsidRPr="00A76A54">
        <w:rPr>
          <w:rStyle w:val="affff0"/>
        </w:rPr>
        <w:t>17</w:t>
      </w:r>
      <w:r w:rsidRPr="00A76A54">
        <w:t xml:space="preserve">(3), pp. 1288–1312. </w:t>
      </w:r>
      <w:hyperlink r:id="rId53" w:tgtFrame="_new" w:history="1">
        <w:r w:rsidRPr="00A76A54">
          <w:rPr>
            <w:rStyle w:val="afffc"/>
            <w:color w:val="auto"/>
            <w:u w:val="none"/>
          </w:rPr>
          <w:t>https://doi.org/10.1007/s12274-023-5889-2</w:t>
        </w:r>
      </w:hyperlink>
      <w:r w:rsidRPr="00A76A54">
        <w:rPr>
          <w:rFonts w:cs="Arial"/>
          <w:szCs w:val="18"/>
          <w:lang w:val="en-US"/>
        </w:rPr>
        <w:tab/>
      </w:r>
      <w:r w:rsidRPr="00A76A54">
        <w:rPr>
          <w:rFonts w:cs="Arial"/>
          <w:szCs w:val="18"/>
          <w:lang w:val="en-US"/>
        </w:rPr>
        <w:tab/>
      </w:r>
    </w:p>
    <w:sectPr w:rsidR="009F55A8" w:rsidRPr="009F55A8" w:rsidSect="007940CB">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33BB4" w14:textId="77777777" w:rsidR="000E59EA" w:rsidRDefault="000E59EA" w:rsidP="004F5E36">
      <w:r>
        <w:separator/>
      </w:r>
    </w:p>
  </w:endnote>
  <w:endnote w:type="continuationSeparator" w:id="0">
    <w:p w14:paraId="493CDA3E" w14:textId="77777777" w:rsidR="000E59EA" w:rsidRDefault="000E59E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calaSansLF-Regular">
    <w:altName w:val="Cambria"/>
    <w:panose1 w:val="00000000000000000000"/>
    <w:charset w:val="00"/>
    <w:family w:val="roman"/>
    <w:notTrueType/>
    <w:pitch w:val="default"/>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0877" w14:textId="77777777" w:rsidR="000E59EA" w:rsidRDefault="000E59EA" w:rsidP="004F5E36">
      <w:r>
        <w:separator/>
      </w:r>
    </w:p>
  </w:footnote>
  <w:footnote w:type="continuationSeparator" w:id="0">
    <w:p w14:paraId="3A4E6148" w14:textId="77777777" w:rsidR="000E59EA" w:rsidRDefault="000E59E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F257F3E"/>
    <w:multiLevelType w:val="hybridMultilevel"/>
    <w:tmpl w:val="9C9C74D8"/>
    <w:lvl w:ilvl="0" w:tplc="ECD40106">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7DC1F65"/>
    <w:multiLevelType w:val="hybridMultilevel"/>
    <w:tmpl w:val="2C1A6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6A05B2"/>
    <w:multiLevelType w:val="multilevel"/>
    <w:tmpl w:val="3C9E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1"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3C0AB1"/>
    <w:multiLevelType w:val="hybridMultilevel"/>
    <w:tmpl w:val="C4E28486"/>
    <w:lvl w:ilvl="0" w:tplc="96CA5752">
      <w:start w:val="1"/>
      <w:numFmt w:val="decimal"/>
      <w:lvlText w:val="%1."/>
      <w:lvlJc w:val="left"/>
      <w:pPr>
        <w:ind w:left="360" w:hanging="360"/>
      </w:pPr>
      <w:rPr>
        <w:rFonts w:hint="default"/>
        <w:i w:val="0"/>
        <w:iCs w:val="0"/>
        <w:color w:val="auto"/>
        <w:lang w:val="en-U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77507B4"/>
    <w:multiLevelType w:val="hybridMultilevel"/>
    <w:tmpl w:val="78445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0"/>
  </w:num>
  <w:num w:numId="13">
    <w:abstractNumId w:val="13"/>
  </w:num>
  <w:num w:numId="14">
    <w:abstractNumId w:val="21"/>
  </w:num>
  <w:num w:numId="15">
    <w:abstractNumId w:val="24"/>
  </w:num>
  <w:num w:numId="16">
    <w:abstractNumId w:val="23"/>
  </w:num>
  <w:num w:numId="17">
    <w:abstractNumId w:val="12"/>
  </w:num>
  <w:num w:numId="18">
    <w:abstractNumId w:val="13"/>
    <w:lvlOverride w:ilvl="0">
      <w:startOverride w:val="1"/>
    </w:lvlOverride>
  </w:num>
  <w:num w:numId="19">
    <w:abstractNumId w:val="19"/>
  </w:num>
  <w:num w:numId="20">
    <w:abstractNumId w:val="18"/>
  </w:num>
  <w:num w:numId="21">
    <w:abstractNumId w:val="17"/>
  </w:num>
  <w:num w:numId="22">
    <w:abstractNumId w:val="15"/>
  </w:num>
  <w:num w:numId="23">
    <w:abstractNumId w:val="10"/>
  </w:num>
  <w:num w:numId="24">
    <w:abstractNumId w:val="22"/>
  </w:num>
  <w:num w:numId="25">
    <w:abstractNumId w:val="16"/>
  </w:num>
  <w:num w:numId="26">
    <w:abstractNumId w:val="2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85A"/>
    <w:rsid w:val="00002562"/>
    <w:rsid w:val="000027C0"/>
    <w:rsid w:val="000052FB"/>
    <w:rsid w:val="00005884"/>
    <w:rsid w:val="00005A19"/>
    <w:rsid w:val="000117CB"/>
    <w:rsid w:val="00015094"/>
    <w:rsid w:val="000173F9"/>
    <w:rsid w:val="0002144E"/>
    <w:rsid w:val="000222CB"/>
    <w:rsid w:val="0003148D"/>
    <w:rsid w:val="00031EEC"/>
    <w:rsid w:val="0003270F"/>
    <w:rsid w:val="00044479"/>
    <w:rsid w:val="00044CA5"/>
    <w:rsid w:val="00051566"/>
    <w:rsid w:val="000562A9"/>
    <w:rsid w:val="00062A9A"/>
    <w:rsid w:val="00065058"/>
    <w:rsid w:val="000715C8"/>
    <w:rsid w:val="00074505"/>
    <w:rsid w:val="000822B7"/>
    <w:rsid w:val="00086A54"/>
    <w:rsid w:val="00086C39"/>
    <w:rsid w:val="0008748C"/>
    <w:rsid w:val="000979FD"/>
    <w:rsid w:val="000A03B2"/>
    <w:rsid w:val="000A0B3B"/>
    <w:rsid w:val="000A42EA"/>
    <w:rsid w:val="000B6782"/>
    <w:rsid w:val="000C4783"/>
    <w:rsid w:val="000D0268"/>
    <w:rsid w:val="000D34BE"/>
    <w:rsid w:val="000D7342"/>
    <w:rsid w:val="000E102F"/>
    <w:rsid w:val="000E1F35"/>
    <w:rsid w:val="000E36F1"/>
    <w:rsid w:val="000E3A73"/>
    <w:rsid w:val="000E414A"/>
    <w:rsid w:val="000E59EA"/>
    <w:rsid w:val="000E5B72"/>
    <w:rsid w:val="000E75FD"/>
    <w:rsid w:val="000F093C"/>
    <w:rsid w:val="000F2530"/>
    <w:rsid w:val="000F500F"/>
    <w:rsid w:val="000F787B"/>
    <w:rsid w:val="00101F02"/>
    <w:rsid w:val="00106591"/>
    <w:rsid w:val="0012091F"/>
    <w:rsid w:val="00120BF5"/>
    <w:rsid w:val="00124AAD"/>
    <w:rsid w:val="00126BC2"/>
    <w:rsid w:val="00127D6C"/>
    <w:rsid w:val="001308B6"/>
    <w:rsid w:val="0013121F"/>
    <w:rsid w:val="00131FE6"/>
    <w:rsid w:val="0013263F"/>
    <w:rsid w:val="0013311D"/>
    <w:rsid w:val="001331DF"/>
    <w:rsid w:val="00134DE4"/>
    <w:rsid w:val="0014034D"/>
    <w:rsid w:val="00140FE3"/>
    <w:rsid w:val="00144D16"/>
    <w:rsid w:val="00150E59"/>
    <w:rsid w:val="00152DE3"/>
    <w:rsid w:val="00164CF9"/>
    <w:rsid w:val="001667A6"/>
    <w:rsid w:val="00180D76"/>
    <w:rsid w:val="0018316F"/>
    <w:rsid w:val="00184AD6"/>
    <w:rsid w:val="00187F84"/>
    <w:rsid w:val="00192934"/>
    <w:rsid w:val="001A2AE1"/>
    <w:rsid w:val="001A4AF7"/>
    <w:rsid w:val="001B0349"/>
    <w:rsid w:val="001B1E93"/>
    <w:rsid w:val="001B65C1"/>
    <w:rsid w:val="001C0095"/>
    <w:rsid w:val="001C260F"/>
    <w:rsid w:val="001C33F1"/>
    <w:rsid w:val="001C684B"/>
    <w:rsid w:val="001D0CFB"/>
    <w:rsid w:val="001D21AF"/>
    <w:rsid w:val="001D2B80"/>
    <w:rsid w:val="001D3ED1"/>
    <w:rsid w:val="001D53FC"/>
    <w:rsid w:val="001E4D51"/>
    <w:rsid w:val="001F34D2"/>
    <w:rsid w:val="001F42A5"/>
    <w:rsid w:val="001F6480"/>
    <w:rsid w:val="001F7241"/>
    <w:rsid w:val="001F7B9D"/>
    <w:rsid w:val="00201C93"/>
    <w:rsid w:val="00203983"/>
    <w:rsid w:val="00210953"/>
    <w:rsid w:val="002115F8"/>
    <w:rsid w:val="002119D2"/>
    <w:rsid w:val="002126B0"/>
    <w:rsid w:val="002224B4"/>
    <w:rsid w:val="002447EF"/>
    <w:rsid w:val="00245045"/>
    <w:rsid w:val="00247679"/>
    <w:rsid w:val="00251550"/>
    <w:rsid w:val="002548FB"/>
    <w:rsid w:val="00263B05"/>
    <w:rsid w:val="00264E98"/>
    <w:rsid w:val="00265E7E"/>
    <w:rsid w:val="0027221A"/>
    <w:rsid w:val="0027393C"/>
    <w:rsid w:val="00275B61"/>
    <w:rsid w:val="0027718D"/>
    <w:rsid w:val="00280FAF"/>
    <w:rsid w:val="00281D4F"/>
    <w:rsid w:val="00282656"/>
    <w:rsid w:val="00296B83"/>
    <w:rsid w:val="002A78E4"/>
    <w:rsid w:val="002B2C4D"/>
    <w:rsid w:val="002B4015"/>
    <w:rsid w:val="002B503C"/>
    <w:rsid w:val="002B7070"/>
    <w:rsid w:val="002B78CE"/>
    <w:rsid w:val="002B7B02"/>
    <w:rsid w:val="002C2FB6"/>
    <w:rsid w:val="002D4D8B"/>
    <w:rsid w:val="002D7937"/>
    <w:rsid w:val="002E0C94"/>
    <w:rsid w:val="002E5FA7"/>
    <w:rsid w:val="002E6B7C"/>
    <w:rsid w:val="002F3309"/>
    <w:rsid w:val="003008CE"/>
    <w:rsid w:val="003009B7"/>
    <w:rsid w:val="00300E56"/>
    <w:rsid w:val="0030152C"/>
    <w:rsid w:val="0030469C"/>
    <w:rsid w:val="0031786C"/>
    <w:rsid w:val="00321CA6"/>
    <w:rsid w:val="00323763"/>
    <w:rsid w:val="00323C5F"/>
    <w:rsid w:val="003270B9"/>
    <w:rsid w:val="00327334"/>
    <w:rsid w:val="003275D7"/>
    <w:rsid w:val="00334C09"/>
    <w:rsid w:val="00340872"/>
    <w:rsid w:val="00366363"/>
    <w:rsid w:val="00370328"/>
    <w:rsid w:val="003723D4"/>
    <w:rsid w:val="003731EE"/>
    <w:rsid w:val="003761BE"/>
    <w:rsid w:val="00376860"/>
    <w:rsid w:val="00381905"/>
    <w:rsid w:val="00384CC8"/>
    <w:rsid w:val="003871FD"/>
    <w:rsid w:val="00390471"/>
    <w:rsid w:val="003A1E30"/>
    <w:rsid w:val="003A2829"/>
    <w:rsid w:val="003A57CF"/>
    <w:rsid w:val="003A5855"/>
    <w:rsid w:val="003A7D1C"/>
    <w:rsid w:val="003B1449"/>
    <w:rsid w:val="003B304B"/>
    <w:rsid w:val="003B3146"/>
    <w:rsid w:val="003B3299"/>
    <w:rsid w:val="003B7AFD"/>
    <w:rsid w:val="003D1E02"/>
    <w:rsid w:val="003E62FB"/>
    <w:rsid w:val="003F015E"/>
    <w:rsid w:val="003F676F"/>
    <w:rsid w:val="00400414"/>
    <w:rsid w:val="00401790"/>
    <w:rsid w:val="004063AE"/>
    <w:rsid w:val="00406A8B"/>
    <w:rsid w:val="00411730"/>
    <w:rsid w:val="0041446B"/>
    <w:rsid w:val="00420389"/>
    <w:rsid w:val="00431B01"/>
    <w:rsid w:val="00431C4C"/>
    <w:rsid w:val="00433506"/>
    <w:rsid w:val="004356BF"/>
    <w:rsid w:val="0043612D"/>
    <w:rsid w:val="00436E28"/>
    <w:rsid w:val="0044071E"/>
    <w:rsid w:val="0044329C"/>
    <w:rsid w:val="004451CB"/>
    <w:rsid w:val="00453E24"/>
    <w:rsid w:val="00457456"/>
    <w:rsid w:val="004577FE"/>
    <w:rsid w:val="00457B9C"/>
    <w:rsid w:val="0046164A"/>
    <w:rsid w:val="004628D2"/>
    <w:rsid w:val="00462DCD"/>
    <w:rsid w:val="00463350"/>
    <w:rsid w:val="004648AD"/>
    <w:rsid w:val="00466759"/>
    <w:rsid w:val="004703A9"/>
    <w:rsid w:val="004760DE"/>
    <w:rsid w:val="004763D7"/>
    <w:rsid w:val="00482CC6"/>
    <w:rsid w:val="004A004E"/>
    <w:rsid w:val="004A142F"/>
    <w:rsid w:val="004A24CF"/>
    <w:rsid w:val="004A5E57"/>
    <w:rsid w:val="004C194F"/>
    <w:rsid w:val="004C30A3"/>
    <w:rsid w:val="004C3D1D"/>
    <w:rsid w:val="004C3D84"/>
    <w:rsid w:val="004C46E5"/>
    <w:rsid w:val="004C7453"/>
    <w:rsid w:val="004C7913"/>
    <w:rsid w:val="004D3FEA"/>
    <w:rsid w:val="004D7C39"/>
    <w:rsid w:val="004E07DD"/>
    <w:rsid w:val="004E0ED6"/>
    <w:rsid w:val="004E4DD6"/>
    <w:rsid w:val="004E6C4A"/>
    <w:rsid w:val="004F5E36"/>
    <w:rsid w:val="00505953"/>
    <w:rsid w:val="00507B47"/>
    <w:rsid w:val="00507BEF"/>
    <w:rsid w:val="00507CC9"/>
    <w:rsid w:val="00511936"/>
    <w:rsid w:val="005119A5"/>
    <w:rsid w:val="00514CD3"/>
    <w:rsid w:val="005278B7"/>
    <w:rsid w:val="00532016"/>
    <w:rsid w:val="00532E20"/>
    <w:rsid w:val="005346C8"/>
    <w:rsid w:val="00535567"/>
    <w:rsid w:val="00541EF3"/>
    <w:rsid w:val="00543E7D"/>
    <w:rsid w:val="00547A68"/>
    <w:rsid w:val="00550B89"/>
    <w:rsid w:val="00551906"/>
    <w:rsid w:val="005531C9"/>
    <w:rsid w:val="00557026"/>
    <w:rsid w:val="00570C43"/>
    <w:rsid w:val="005716B3"/>
    <w:rsid w:val="00592274"/>
    <w:rsid w:val="0059721B"/>
    <w:rsid w:val="005A7EDF"/>
    <w:rsid w:val="005B2110"/>
    <w:rsid w:val="005B4C3F"/>
    <w:rsid w:val="005B61E6"/>
    <w:rsid w:val="005C037C"/>
    <w:rsid w:val="005C51F6"/>
    <w:rsid w:val="005C77E1"/>
    <w:rsid w:val="005D2849"/>
    <w:rsid w:val="005D3290"/>
    <w:rsid w:val="005D45EE"/>
    <w:rsid w:val="005D668A"/>
    <w:rsid w:val="005D6A2F"/>
    <w:rsid w:val="005D73F5"/>
    <w:rsid w:val="005E0592"/>
    <w:rsid w:val="005E1A82"/>
    <w:rsid w:val="005E794C"/>
    <w:rsid w:val="005F0A28"/>
    <w:rsid w:val="005F0E5E"/>
    <w:rsid w:val="005F4AF2"/>
    <w:rsid w:val="005F7BEE"/>
    <w:rsid w:val="00600535"/>
    <w:rsid w:val="006027E1"/>
    <w:rsid w:val="00602C04"/>
    <w:rsid w:val="00607F79"/>
    <w:rsid w:val="00610CD6"/>
    <w:rsid w:val="006162F5"/>
    <w:rsid w:val="00620DEE"/>
    <w:rsid w:val="00621F92"/>
    <w:rsid w:val="0062280A"/>
    <w:rsid w:val="00622B6D"/>
    <w:rsid w:val="006231E1"/>
    <w:rsid w:val="00624512"/>
    <w:rsid w:val="00625639"/>
    <w:rsid w:val="006276A6"/>
    <w:rsid w:val="006279AA"/>
    <w:rsid w:val="00631B33"/>
    <w:rsid w:val="00633B04"/>
    <w:rsid w:val="0064184D"/>
    <w:rsid w:val="006422CC"/>
    <w:rsid w:val="00643EB7"/>
    <w:rsid w:val="0064668D"/>
    <w:rsid w:val="00651D18"/>
    <w:rsid w:val="006560C9"/>
    <w:rsid w:val="00660E3E"/>
    <w:rsid w:val="00662E74"/>
    <w:rsid w:val="00664F9F"/>
    <w:rsid w:val="00665532"/>
    <w:rsid w:val="00667AD0"/>
    <w:rsid w:val="00680C23"/>
    <w:rsid w:val="00683E23"/>
    <w:rsid w:val="00691F1C"/>
    <w:rsid w:val="0069218D"/>
    <w:rsid w:val="00693766"/>
    <w:rsid w:val="00694190"/>
    <w:rsid w:val="00694F6F"/>
    <w:rsid w:val="00697608"/>
    <w:rsid w:val="006A3281"/>
    <w:rsid w:val="006A5BF6"/>
    <w:rsid w:val="006B0BBD"/>
    <w:rsid w:val="006B2209"/>
    <w:rsid w:val="006B4888"/>
    <w:rsid w:val="006B73A1"/>
    <w:rsid w:val="006C2E45"/>
    <w:rsid w:val="006C359C"/>
    <w:rsid w:val="006C415F"/>
    <w:rsid w:val="006C49DC"/>
    <w:rsid w:val="006C4EB6"/>
    <w:rsid w:val="006C53CB"/>
    <w:rsid w:val="006C5579"/>
    <w:rsid w:val="006D6E8B"/>
    <w:rsid w:val="006D7209"/>
    <w:rsid w:val="006E0C2A"/>
    <w:rsid w:val="006E131A"/>
    <w:rsid w:val="006E33B5"/>
    <w:rsid w:val="006E51F0"/>
    <w:rsid w:val="006E737D"/>
    <w:rsid w:val="00707DD1"/>
    <w:rsid w:val="00710C2C"/>
    <w:rsid w:val="00713973"/>
    <w:rsid w:val="00720A24"/>
    <w:rsid w:val="00725C75"/>
    <w:rsid w:val="00730AD4"/>
    <w:rsid w:val="00730D29"/>
    <w:rsid w:val="00732386"/>
    <w:rsid w:val="00733FD9"/>
    <w:rsid w:val="0073514D"/>
    <w:rsid w:val="007447F3"/>
    <w:rsid w:val="0075499F"/>
    <w:rsid w:val="007555FC"/>
    <w:rsid w:val="007617CC"/>
    <w:rsid w:val="00765DF0"/>
    <w:rsid w:val="007661C8"/>
    <w:rsid w:val="0077098D"/>
    <w:rsid w:val="00773D58"/>
    <w:rsid w:val="00784213"/>
    <w:rsid w:val="00785BF9"/>
    <w:rsid w:val="00787BCB"/>
    <w:rsid w:val="00791C83"/>
    <w:rsid w:val="007931FA"/>
    <w:rsid w:val="007940CB"/>
    <w:rsid w:val="007A4861"/>
    <w:rsid w:val="007A7BBA"/>
    <w:rsid w:val="007B0C50"/>
    <w:rsid w:val="007B1CEA"/>
    <w:rsid w:val="007B48F9"/>
    <w:rsid w:val="007B73AA"/>
    <w:rsid w:val="007B7C57"/>
    <w:rsid w:val="007C1A43"/>
    <w:rsid w:val="007C1C69"/>
    <w:rsid w:val="007D038E"/>
    <w:rsid w:val="007D0951"/>
    <w:rsid w:val="007E02F8"/>
    <w:rsid w:val="007E3D08"/>
    <w:rsid w:val="007F27C8"/>
    <w:rsid w:val="007F7DC2"/>
    <w:rsid w:val="0080013E"/>
    <w:rsid w:val="00802CA8"/>
    <w:rsid w:val="00813288"/>
    <w:rsid w:val="008168FC"/>
    <w:rsid w:val="00817834"/>
    <w:rsid w:val="00824056"/>
    <w:rsid w:val="008267D7"/>
    <w:rsid w:val="00830996"/>
    <w:rsid w:val="008314D7"/>
    <w:rsid w:val="00833C78"/>
    <w:rsid w:val="008345F1"/>
    <w:rsid w:val="00835CBE"/>
    <w:rsid w:val="00865B07"/>
    <w:rsid w:val="008667EA"/>
    <w:rsid w:val="00867795"/>
    <w:rsid w:val="00867FB3"/>
    <w:rsid w:val="0087637F"/>
    <w:rsid w:val="00882807"/>
    <w:rsid w:val="00892AD5"/>
    <w:rsid w:val="008972AC"/>
    <w:rsid w:val="008A1512"/>
    <w:rsid w:val="008B2B46"/>
    <w:rsid w:val="008B3B68"/>
    <w:rsid w:val="008B49A1"/>
    <w:rsid w:val="008C1355"/>
    <w:rsid w:val="008D1FBB"/>
    <w:rsid w:val="008D32B9"/>
    <w:rsid w:val="008D433B"/>
    <w:rsid w:val="008D4A16"/>
    <w:rsid w:val="008D7310"/>
    <w:rsid w:val="008E209A"/>
    <w:rsid w:val="008E29EE"/>
    <w:rsid w:val="008E45BC"/>
    <w:rsid w:val="008E4E77"/>
    <w:rsid w:val="008E566E"/>
    <w:rsid w:val="008F1289"/>
    <w:rsid w:val="008F6095"/>
    <w:rsid w:val="008F6FD1"/>
    <w:rsid w:val="008F7FD4"/>
    <w:rsid w:val="0090161A"/>
    <w:rsid w:val="00901EB6"/>
    <w:rsid w:val="009041F8"/>
    <w:rsid w:val="00904C62"/>
    <w:rsid w:val="00912FA3"/>
    <w:rsid w:val="00922A38"/>
    <w:rsid w:val="00922BA8"/>
    <w:rsid w:val="00924DAC"/>
    <w:rsid w:val="00925DF0"/>
    <w:rsid w:val="00926A4B"/>
    <w:rsid w:val="00927058"/>
    <w:rsid w:val="00934895"/>
    <w:rsid w:val="00934D29"/>
    <w:rsid w:val="00935078"/>
    <w:rsid w:val="009417C7"/>
    <w:rsid w:val="00942750"/>
    <w:rsid w:val="009450CE"/>
    <w:rsid w:val="009459BB"/>
    <w:rsid w:val="00947179"/>
    <w:rsid w:val="0095164B"/>
    <w:rsid w:val="009526E0"/>
    <w:rsid w:val="00952848"/>
    <w:rsid w:val="00954090"/>
    <w:rsid w:val="009573E7"/>
    <w:rsid w:val="00957545"/>
    <w:rsid w:val="009607B3"/>
    <w:rsid w:val="00963E05"/>
    <w:rsid w:val="00964A45"/>
    <w:rsid w:val="00967843"/>
    <w:rsid w:val="00967D54"/>
    <w:rsid w:val="00971028"/>
    <w:rsid w:val="00981DAB"/>
    <w:rsid w:val="00987135"/>
    <w:rsid w:val="00992533"/>
    <w:rsid w:val="00993B84"/>
    <w:rsid w:val="00996483"/>
    <w:rsid w:val="00996F5A"/>
    <w:rsid w:val="009A1DDC"/>
    <w:rsid w:val="009B041A"/>
    <w:rsid w:val="009B1E57"/>
    <w:rsid w:val="009B1FC9"/>
    <w:rsid w:val="009B3FAC"/>
    <w:rsid w:val="009B7672"/>
    <w:rsid w:val="009C37C3"/>
    <w:rsid w:val="009C725C"/>
    <w:rsid w:val="009C7C86"/>
    <w:rsid w:val="009D2FF7"/>
    <w:rsid w:val="009E7884"/>
    <w:rsid w:val="009E788A"/>
    <w:rsid w:val="009F07E2"/>
    <w:rsid w:val="009F0E08"/>
    <w:rsid w:val="009F55A8"/>
    <w:rsid w:val="00A00042"/>
    <w:rsid w:val="00A03722"/>
    <w:rsid w:val="00A04C81"/>
    <w:rsid w:val="00A079AE"/>
    <w:rsid w:val="00A106F9"/>
    <w:rsid w:val="00A129A7"/>
    <w:rsid w:val="00A15637"/>
    <w:rsid w:val="00A1763D"/>
    <w:rsid w:val="00A17CEC"/>
    <w:rsid w:val="00A225B6"/>
    <w:rsid w:val="00A26CBB"/>
    <w:rsid w:val="00A27EF0"/>
    <w:rsid w:val="00A31527"/>
    <w:rsid w:val="00A322F7"/>
    <w:rsid w:val="00A42361"/>
    <w:rsid w:val="00A44A53"/>
    <w:rsid w:val="00A44C2C"/>
    <w:rsid w:val="00A4713C"/>
    <w:rsid w:val="00A50B20"/>
    <w:rsid w:val="00A51390"/>
    <w:rsid w:val="00A53C14"/>
    <w:rsid w:val="00A60D13"/>
    <w:rsid w:val="00A627FC"/>
    <w:rsid w:val="00A62F02"/>
    <w:rsid w:val="00A7223D"/>
    <w:rsid w:val="00A72745"/>
    <w:rsid w:val="00A76EFC"/>
    <w:rsid w:val="00A82F53"/>
    <w:rsid w:val="00A86263"/>
    <w:rsid w:val="00A86B73"/>
    <w:rsid w:val="00A87D50"/>
    <w:rsid w:val="00A91010"/>
    <w:rsid w:val="00A97F29"/>
    <w:rsid w:val="00AA4773"/>
    <w:rsid w:val="00AA702E"/>
    <w:rsid w:val="00AA7D26"/>
    <w:rsid w:val="00AB0964"/>
    <w:rsid w:val="00AB0A2E"/>
    <w:rsid w:val="00AB5011"/>
    <w:rsid w:val="00AB5187"/>
    <w:rsid w:val="00AC276F"/>
    <w:rsid w:val="00AC7368"/>
    <w:rsid w:val="00AD0278"/>
    <w:rsid w:val="00AD16B9"/>
    <w:rsid w:val="00AE07B6"/>
    <w:rsid w:val="00AE377D"/>
    <w:rsid w:val="00AF0EBA"/>
    <w:rsid w:val="00AF71E1"/>
    <w:rsid w:val="00B024F1"/>
    <w:rsid w:val="00B02C8A"/>
    <w:rsid w:val="00B0308F"/>
    <w:rsid w:val="00B040D1"/>
    <w:rsid w:val="00B10CBF"/>
    <w:rsid w:val="00B17FBD"/>
    <w:rsid w:val="00B2373B"/>
    <w:rsid w:val="00B315A6"/>
    <w:rsid w:val="00B31813"/>
    <w:rsid w:val="00B33365"/>
    <w:rsid w:val="00B36217"/>
    <w:rsid w:val="00B411C1"/>
    <w:rsid w:val="00B4236D"/>
    <w:rsid w:val="00B42606"/>
    <w:rsid w:val="00B57B36"/>
    <w:rsid w:val="00B57E6F"/>
    <w:rsid w:val="00B806EC"/>
    <w:rsid w:val="00B8283A"/>
    <w:rsid w:val="00B845D8"/>
    <w:rsid w:val="00B8686D"/>
    <w:rsid w:val="00B916D3"/>
    <w:rsid w:val="00B9382E"/>
    <w:rsid w:val="00B93F69"/>
    <w:rsid w:val="00BA1C05"/>
    <w:rsid w:val="00BA342F"/>
    <w:rsid w:val="00BA62D9"/>
    <w:rsid w:val="00BB1DDC"/>
    <w:rsid w:val="00BC30C9"/>
    <w:rsid w:val="00BC3C32"/>
    <w:rsid w:val="00BC55BB"/>
    <w:rsid w:val="00BD077D"/>
    <w:rsid w:val="00BD48FF"/>
    <w:rsid w:val="00BD53FB"/>
    <w:rsid w:val="00BD7E8C"/>
    <w:rsid w:val="00BE3E58"/>
    <w:rsid w:val="00C01616"/>
    <w:rsid w:val="00C0162B"/>
    <w:rsid w:val="00C068ED"/>
    <w:rsid w:val="00C130FF"/>
    <w:rsid w:val="00C143DE"/>
    <w:rsid w:val="00C15AE3"/>
    <w:rsid w:val="00C208E9"/>
    <w:rsid w:val="00C22E0C"/>
    <w:rsid w:val="00C27779"/>
    <w:rsid w:val="00C33DE1"/>
    <w:rsid w:val="00C345B1"/>
    <w:rsid w:val="00C36D14"/>
    <w:rsid w:val="00C40142"/>
    <w:rsid w:val="00C4102B"/>
    <w:rsid w:val="00C42BFA"/>
    <w:rsid w:val="00C52C3C"/>
    <w:rsid w:val="00C57182"/>
    <w:rsid w:val="00C57863"/>
    <w:rsid w:val="00C63FE0"/>
    <w:rsid w:val="00C640AF"/>
    <w:rsid w:val="00C655FD"/>
    <w:rsid w:val="00C75407"/>
    <w:rsid w:val="00C841C6"/>
    <w:rsid w:val="00C844CE"/>
    <w:rsid w:val="00C8493D"/>
    <w:rsid w:val="00C86BBE"/>
    <w:rsid w:val="00C870A8"/>
    <w:rsid w:val="00C94434"/>
    <w:rsid w:val="00CA0D75"/>
    <w:rsid w:val="00CA1C95"/>
    <w:rsid w:val="00CA5A9C"/>
    <w:rsid w:val="00CA68EC"/>
    <w:rsid w:val="00CB2614"/>
    <w:rsid w:val="00CC4C20"/>
    <w:rsid w:val="00CC6899"/>
    <w:rsid w:val="00CD3517"/>
    <w:rsid w:val="00CD569D"/>
    <w:rsid w:val="00CD5FE2"/>
    <w:rsid w:val="00CE66B5"/>
    <w:rsid w:val="00CE7C68"/>
    <w:rsid w:val="00D02B4C"/>
    <w:rsid w:val="00D040C4"/>
    <w:rsid w:val="00D20AD1"/>
    <w:rsid w:val="00D2582C"/>
    <w:rsid w:val="00D31EC4"/>
    <w:rsid w:val="00D41180"/>
    <w:rsid w:val="00D41825"/>
    <w:rsid w:val="00D46B7E"/>
    <w:rsid w:val="00D473BC"/>
    <w:rsid w:val="00D57C84"/>
    <w:rsid w:val="00D6057D"/>
    <w:rsid w:val="00D62BC2"/>
    <w:rsid w:val="00D66E62"/>
    <w:rsid w:val="00D71640"/>
    <w:rsid w:val="00D7789E"/>
    <w:rsid w:val="00D77EEF"/>
    <w:rsid w:val="00D836C5"/>
    <w:rsid w:val="00D84576"/>
    <w:rsid w:val="00D862A8"/>
    <w:rsid w:val="00DA1399"/>
    <w:rsid w:val="00DA24C6"/>
    <w:rsid w:val="00DA4D7B"/>
    <w:rsid w:val="00DA6723"/>
    <w:rsid w:val="00DB1194"/>
    <w:rsid w:val="00DC1770"/>
    <w:rsid w:val="00DC73BF"/>
    <w:rsid w:val="00DD271C"/>
    <w:rsid w:val="00DD3BFD"/>
    <w:rsid w:val="00DD5B4A"/>
    <w:rsid w:val="00DE264A"/>
    <w:rsid w:val="00DF5072"/>
    <w:rsid w:val="00DF6A01"/>
    <w:rsid w:val="00E01BDB"/>
    <w:rsid w:val="00E02D18"/>
    <w:rsid w:val="00E041E7"/>
    <w:rsid w:val="00E100D8"/>
    <w:rsid w:val="00E12ABE"/>
    <w:rsid w:val="00E1367A"/>
    <w:rsid w:val="00E23CA1"/>
    <w:rsid w:val="00E364DF"/>
    <w:rsid w:val="00E409A8"/>
    <w:rsid w:val="00E44292"/>
    <w:rsid w:val="00E47D61"/>
    <w:rsid w:val="00E50C12"/>
    <w:rsid w:val="00E51870"/>
    <w:rsid w:val="00E53AE8"/>
    <w:rsid w:val="00E616A6"/>
    <w:rsid w:val="00E64430"/>
    <w:rsid w:val="00E65B91"/>
    <w:rsid w:val="00E7209D"/>
    <w:rsid w:val="00E72EAD"/>
    <w:rsid w:val="00E77223"/>
    <w:rsid w:val="00E82134"/>
    <w:rsid w:val="00E8306D"/>
    <w:rsid w:val="00E8528B"/>
    <w:rsid w:val="00E85B94"/>
    <w:rsid w:val="00E978D0"/>
    <w:rsid w:val="00EA0CF1"/>
    <w:rsid w:val="00EA4613"/>
    <w:rsid w:val="00EA7F91"/>
    <w:rsid w:val="00EB1523"/>
    <w:rsid w:val="00EB43E1"/>
    <w:rsid w:val="00EC0E49"/>
    <w:rsid w:val="00EC101F"/>
    <w:rsid w:val="00EC19F0"/>
    <w:rsid w:val="00EC1D9F"/>
    <w:rsid w:val="00ED1203"/>
    <w:rsid w:val="00ED43C4"/>
    <w:rsid w:val="00ED5551"/>
    <w:rsid w:val="00EE0131"/>
    <w:rsid w:val="00EE17B0"/>
    <w:rsid w:val="00EE3FCE"/>
    <w:rsid w:val="00EE5447"/>
    <w:rsid w:val="00EF06D9"/>
    <w:rsid w:val="00EF0982"/>
    <w:rsid w:val="00F032D0"/>
    <w:rsid w:val="00F05B90"/>
    <w:rsid w:val="00F0710E"/>
    <w:rsid w:val="00F126A5"/>
    <w:rsid w:val="00F16CFA"/>
    <w:rsid w:val="00F205AB"/>
    <w:rsid w:val="00F23367"/>
    <w:rsid w:val="00F2355F"/>
    <w:rsid w:val="00F26FDF"/>
    <w:rsid w:val="00F3049E"/>
    <w:rsid w:val="00F30C64"/>
    <w:rsid w:val="00F31E84"/>
    <w:rsid w:val="00F32BA2"/>
    <w:rsid w:val="00F32CDB"/>
    <w:rsid w:val="00F3348F"/>
    <w:rsid w:val="00F37280"/>
    <w:rsid w:val="00F413F6"/>
    <w:rsid w:val="00F41EE4"/>
    <w:rsid w:val="00F463E1"/>
    <w:rsid w:val="00F56539"/>
    <w:rsid w:val="00F565FE"/>
    <w:rsid w:val="00F63A70"/>
    <w:rsid w:val="00F63D8C"/>
    <w:rsid w:val="00F7534E"/>
    <w:rsid w:val="00F87578"/>
    <w:rsid w:val="00F8767D"/>
    <w:rsid w:val="00F93EDF"/>
    <w:rsid w:val="00FA1802"/>
    <w:rsid w:val="00FA21D0"/>
    <w:rsid w:val="00FA5F5F"/>
    <w:rsid w:val="00FB5582"/>
    <w:rsid w:val="00FB60B5"/>
    <w:rsid w:val="00FB730C"/>
    <w:rsid w:val="00FC2695"/>
    <w:rsid w:val="00FC3E03"/>
    <w:rsid w:val="00FC3FC1"/>
    <w:rsid w:val="00FD0BD6"/>
    <w:rsid w:val="00FE48C2"/>
    <w:rsid w:val="00FF59E7"/>
    <w:rsid w:val="00FF6E9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qFormat/>
    <w:rsid w:val="00280FAF"/>
    <w:pPr>
      <w:ind w:left="720"/>
      <w:contextualSpacing/>
    </w:pPr>
  </w:style>
  <w:style w:type="character" w:customStyle="1" w:styleId="gmail-apple-converted-space">
    <w:name w:val="gmail-apple-converted-space"/>
    <w:basedOn w:val="a2"/>
    <w:rsid w:val="00005A19"/>
  </w:style>
  <w:style w:type="character" w:customStyle="1" w:styleId="fontstyle01">
    <w:name w:val="fontstyle01"/>
    <w:basedOn w:val="a2"/>
    <w:rsid w:val="008B49A1"/>
    <w:rPr>
      <w:rFonts w:ascii="ScalaSansLF-Regular" w:hAnsi="ScalaSansLF-Regular" w:hint="default"/>
      <w:b w:val="0"/>
      <w:bCs w:val="0"/>
      <w:i w:val="0"/>
      <w:iCs w:val="0"/>
      <w:color w:val="242021"/>
      <w:sz w:val="16"/>
      <w:szCs w:val="16"/>
    </w:rPr>
  </w:style>
  <w:style w:type="character" w:customStyle="1" w:styleId="fontstyle21">
    <w:name w:val="fontstyle21"/>
    <w:basedOn w:val="a2"/>
    <w:rsid w:val="00824056"/>
    <w:rPr>
      <w:rFonts w:ascii="Symbol" w:hAnsi="Symbol" w:hint="default"/>
      <w:b w:val="0"/>
      <w:bCs w:val="0"/>
      <w:i w:val="0"/>
      <w:iCs w:val="0"/>
      <w:color w:val="242021"/>
      <w:sz w:val="16"/>
      <w:szCs w:val="16"/>
    </w:rPr>
  </w:style>
  <w:style w:type="character" w:customStyle="1" w:styleId="name">
    <w:name w:val="name"/>
    <w:basedOn w:val="a2"/>
    <w:rsid w:val="00D41825"/>
  </w:style>
  <w:style w:type="character" w:customStyle="1" w:styleId="delimiter-margin-left">
    <w:name w:val="delimiter-margin-left"/>
    <w:basedOn w:val="a2"/>
    <w:rsid w:val="00D41825"/>
  </w:style>
  <w:style w:type="character" w:customStyle="1" w:styleId="14">
    <w:name w:val="Неразрешенное упоминание1"/>
    <w:basedOn w:val="a2"/>
    <w:uiPriority w:val="99"/>
    <w:semiHidden/>
    <w:unhideWhenUsed/>
    <w:rsid w:val="00E616A6"/>
    <w:rPr>
      <w:color w:val="605E5C"/>
      <w:shd w:val="clear" w:color="auto" w:fill="E1DFDD"/>
    </w:rPr>
  </w:style>
  <w:style w:type="character" w:customStyle="1" w:styleId="ff9">
    <w:name w:val="ff9"/>
    <w:basedOn w:val="a2"/>
    <w:rsid w:val="00981DAB"/>
  </w:style>
  <w:style w:type="character" w:customStyle="1" w:styleId="wsee">
    <w:name w:val="wsee"/>
    <w:basedOn w:val="a2"/>
    <w:rsid w:val="00981DAB"/>
  </w:style>
  <w:style w:type="character" w:customStyle="1" w:styleId="hover-cursor-pointer">
    <w:name w:val="hover-cursor-pointer"/>
    <w:basedOn w:val="a2"/>
    <w:rsid w:val="00BC3C32"/>
  </w:style>
  <w:style w:type="character" w:customStyle="1" w:styleId="authors-list-item">
    <w:name w:val="authors-list-item"/>
    <w:basedOn w:val="a2"/>
    <w:rsid w:val="00694F6F"/>
  </w:style>
  <w:style w:type="character" w:customStyle="1" w:styleId="author-sup-separator">
    <w:name w:val="author-sup-separator"/>
    <w:basedOn w:val="a2"/>
    <w:rsid w:val="00694F6F"/>
  </w:style>
  <w:style w:type="character" w:customStyle="1" w:styleId="comma">
    <w:name w:val="comma"/>
    <w:basedOn w:val="a2"/>
    <w:rsid w:val="00694F6F"/>
  </w:style>
  <w:style w:type="paragraph" w:customStyle="1" w:styleId="c-article-author-listitem">
    <w:name w:val="c-article-author-list__item"/>
    <w:basedOn w:val="a1"/>
    <w:rsid w:val="00192934"/>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customStyle="1" w:styleId="whitespace-normal">
    <w:name w:val="whitespace-normal"/>
    <w:basedOn w:val="a2"/>
    <w:rsid w:val="00B10CBF"/>
  </w:style>
  <w:style w:type="character" w:customStyle="1" w:styleId="button-link-text">
    <w:name w:val="button-link-text"/>
    <w:basedOn w:val="a2"/>
    <w:rsid w:val="00A00042"/>
  </w:style>
  <w:style w:type="character" w:customStyle="1" w:styleId="react-xocs-alternative-link">
    <w:name w:val="react-xocs-alternative-link"/>
    <w:basedOn w:val="a2"/>
    <w:rsid w:val="00A00042"/>
  </w:style>
  <w:style w:type="character" w:customStyle="1" w:styleId="given-name">
    <w:name w:val="given-name"/>
    <w:basedOn w:val="a2"/>
    <w:rsid w:val="00A00042"/>
  </w:style>
  <w:style w:type="character" w:customStyle="1" w:styleId="text">
    <w:name w:val="text"/>
    <w:basedOn w:val="a2"/>
    <w:rsid w:val="00A00042"/>
  </w:style>
  <w:style w:type="character" w:customStyle="1" w:styleId="author-ref">
    <w:name w:val="author-ref"/>
    <w:basedOn w:val="a2"/>
    <w:rsid w:val="00A00042"/>
  </w:style>
  <w:style w:type="character" w:customStyle="1" w:styleId="anchor-text">
    <w:name w:val="anchor-text"/>
    <w:basedOn w:val="a2"/>
    <w:rsid w:val="00A00042"/>
  </w:style>
  <w:style w:type="table" w:styleId="-1">
    <w:name w:val="Grid Table 1 Light"/>
    <w:basedOn w:val="a3"/>
    <w:uiPriority w:val="46"/>
    <w:rsid w:val="00F16C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ffe">
    <w:name w:val="Unresolved Mention"/>
    <w:basedOn w:val="a2"/>
    <w:uiPriority w:val="99"/>
    <w:semiHidden/>
    <w:unhideWhenUsed/>
    <w:rsid w:val="009F55A8"/>
    <w:rPr>
      <w:color w:val="605E5C"/>
      <w:shd w:val="clear" w:color="auto" w:fill="E1DFDD"/>
    </w:rPr>
  </w:style>
  <w:style w:type="character" w:styleId="affff">
    <w:name w:val="Emphasis"/>
    <w:basedOn w:val="a2"/>
    <w:uiPriority w:val="20"/>
    <w:qFormat/>
    <w:rsid w:val="006B73A1"/>
    <w:rPr>
      <w:i/>
      <w:iCs/>
    </w:rPr>
  </w:style>
  <w:style w:type="character" w:customStyle="1" w:styleId="text-token-text-primary">
    <w:name w:val="text-token-text-primary"/>
    <w:basedOn w:val="a2"/>
    <w:rsid w:val="00A4713C"/>
  </w:style>
  <w:style w:type="character" w:styleId="affff0">
    <w:name w:val="Strong"/>
    <w:basedOn w:val="a2"/>
    <w:uiPriority w:val="22"/>
    <w:qFormat/>
    <w:rsid w:val="00A315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387">
      <w:bodyDiv w:val="1"/>
      <w:marLeft w:val="0"/>
      <w:marRight w:val="0"/>
      <w:marTop w:val="0"/>
      <w:marBottom w:val="0"/>
      <w:divBdr>
        <w:top w:val="none" w:sz="0" w:space="0" w:color="auto"/>
        <w:left w:val="none" w:sz="0" w:space="0" w:color="auto"/>
        <w:bottom w:val="none" w:sz="0" w:space="0" w:color="auto"/>
        <w:right w:val="none" w:sz="0" w:space="0" w:color="auto"/>
      </w:divBdr>
    </w:div>
    <w:div w:id="27413648">
      <w:bodyDiv w:val="1"/>
      <w:marLeft w:val="0"/>
      <w:marRight w:val="0"/>
      <w:marTop w:val="0"/>
      <w:marBottom w:val="0"/>
      <w:divBdr>
        <w:top w:val="none" w:sz="0" w:space="0" w:color="auto"/>
        <w:left w:val="none" w:sz="0" w:space="0" w:color="auto"/>
        <w:bottom w:val="none" w:sz="0" w:space="0" w:color="auto"/>
        <w:right w:val="none" w:sz="0" w:space="0" w:color="auto"/>
      </w:divBdr>
    </w:div>
    <w:div w:id="30497740">
      <w:bodyDiv w:val="1"/>
      <w:marLeft w:val="0"/>
      <w:marRight w:val="0"/>
      <w:marTop w:val="0"/>
      <w:marBottom w:val="0"/>
      <w:divBdr>
        <w:top w:val="none" w:sz="0" w:space="0" w:color="auto"/>
        <w:left w:val="none" w:sz="0" w:space="0" w:color="auto"/>
        <w:bottom w:val="none" w:sz="0" w:space="0" w:color="auto"/>
        <w:right w:val="none" w:sz="0" w:space="0" w:color="auto"/>
      </w:divBdr>
    </w:div>
    <w:div w:id="196548833">
      <w:bodyDiv w:val="1"/>
      <w:marLeft w:val="0"/>
      <w:marRight w:val="0"/>
      <w:marTop w:val="0"/>
      <w:marBottom w:val="0"/>
      <w:divBdr>
        <w:top w:val="none" w:sz="0" w:space="0" w:color="auto"/>
        <w:left w:val="none" w:sz="0" w:space="0" w:color="auto"/>
        <w:bottom w:val="none" w:sz="0" w:space="0" w:color="auto"/>
        <w:right w:val="none" w:sz="0" w:space="0" w:color="auto"/>
      </w:divBdr>
    </w:div>
    <w:div w:id="457185388">
      <w:bodyDiv w:val="1"/>
      <w:marLeft w:val="0"/>
      <w:marRight w:val="0"/>
      <w:marTop w:val="0"/>
      <w:marBottom w:val="0"/>
      <w:divBdr>
        <w:top w:val="none" w:sz="0" w:space="0" w:color="auto"/>
        <w:left w:val="none" w:sz="0" w:space="0" w:color="auto"/>
        <w:bottom w:val="none" w:sz="0" w:space="0" w:color="auto"/>
        <w:right w:val="none" w:sz="0" w:space="0" w:color="auto"/>
      </w:divBdr>
    </w:div>
    <w:div w:id="483862377">
      <w:bodyDiv w:val="1"/>
      <w:marLeft w:val="0"/>
      <w:marRight w:val="0"/>
      <w:marTop w:val="0"/>
      <w:marBottom w:val="0"/>
      <w:divBdr>
        <w:top w:val="none" w:sz="0" w:space="0" w:color="auto"/>
        <w:left w:val="none" w:sz="0" w:space="0" w:color="auto"/>
        <w:bottom w:val="none" w:sz="0" w:space="0" w:color="auto"/>
        <w:right w:val="none" w:sz="0" w:space="0" w:color="auto"/>
      </w:divBdr>
      <w:divsChild>
        <w:div w:id="870192553">
          <w:marLeft w:val="0"/>
          <w:marRight w:val="0"/>
          <w:marTop w:val="120"/>
          <w:marBottom w:val="120"/>
          <w:divBdr>
            <w:top w:val="none" w:sz="0" w:space="0" w:color="auto"/>
            <w:left w:val="none" w:sz="0" w:space="0" w:color="auto"/>
            <w:bottom w:val="none" w:sz="0" w:space="0" w:color="auto"/>
            <w:right w:val="none" w:sz="0" w:space="0" w:color="auto"/>
          </w:divBdr>
        </w:div>
        <w:div w:id="253323385">
          <w:marLeft w:val="0"/>
          <w:marRight w:val="0"/>
          <w:marTop w:val="120"/>
          <w:marBottom w:val="120"/>
          <w:divBdr>
            <w:top w:val="none" w:sz="0" w:space="0" w:color="auto"/>
            <w:left w:val="none" w:sz="0" w:space="0" w:color="auto"/>
            <w:bottom w:val="none" w:sz="0" w:space="0" w:color="auto"/>
            <w:right w:val="none" w:sz="0" w:space="0" w:color="auto"/>
          </w:divBdr>
        </w:div>
      </w:divsChild>
    </w:div>
    <w:div w:id="528298625">
      <w:bodyDiv w:val="1"/>
      <w:marLeft w:val="0"/>
      <w:marRight w:val="0"/>
      <w:marTop w:val="0"/>
      <w:marBottom w:val="0"/>
      <w:divBdr>
        <w:top w:val="none" w:sz="0" w:space="0" w:color="auto"/>
        <w:left w:val="none" w:sz="0" w:space="0" w:color="auto"/>
        <w:bottom w:val="none" w:sz="0" w:space="0" w:color="auto"/>
        <w:right w:val="none" w:sz="0" w:space="0" w:color="auto"/>
      </w:divBdr>
    </w:div>
    <w:div w:id="547642937">
      <w:bodyDiv w:val="1"/>
      <w:marLeft w:val="0"/>
      <w:marRight w:val="0"/>
      <w:marTop w:val="0"/>
      <w:marBottom w:val="0"/>
      <w:divBdr>
        <w:top w:val="none" w:sz="0" w:space="0" w:color="auto"/>
        <w:left w:val="none" w:sz="0" w:space="0" w:color="auto"/>
        <w:bottom w:val="none" w:sz="0" w:space="0" w:color="auto"/>
        <w:right w:val="none" w:sz="0" w:space="0" w:color="auto"/>
      </w:divBdr>
    </w:div>
    <w:div w:id="624578804">
      <w:bodyDiv w:val="1"/>
      <w:marLeft w:val="0"/>
      <w:marRight w:val="0"/>
      <w:marTop w:val="0"/>
      <w:marBottom w:val="0"/>
      <w:divBdr>
        <w:top w:val="none" w:sz="0" w:space="0" w:color="auto"/>
        <w:left w:val="none" w:sz="0" w:space="0" w:color="auto"/>
        <w:bottom w:val="none" w:sz="0" w:space="0" w:color="auto"/>
        <w:right w:val="none" w:sz="0" w:space="0" w:color="auto"/>
      </w:divBdr>
    </w:div>
    <w:div w:id="744302787">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58595">
      <w:bodyDiv w:val="1"/>
      <w:marLeft w:val="0"/>
      <w:marRight w:val="0"/>
      <w:marTop w:val="0"/>
      <w:marBottom w:val="0"/>
      <w:divBdr>
        <w:top w:val="none" w:sz="0" w:space="0" w:color="auto"/>
        <w:left w:val="none" w:sz="0" w:space="0" w:color="auto"/>
        <w:bottom w:val="none" w:sz="0" w:space="0" w:color="auto"/>
        <w:right w:val="none" w:sz="0" w:space="0" w:color="auto"/>
      </w:divBdr>
    </w:div>
    <w:div w:id="998197093">
      <w:bodyDiv w:val="1"/>
      <w:marLeft w:val="0"/>
      <w:marRight w:val="0"/>
      <w:marTop w:val="0"/>
      <w:marBottom w:val="0"/>
      <w:divBdr>
        <w:top w:val="none" w:sz="0" w:space="0" w:color="auto"/>
        <w:left w:val="none" w:sz="0" w:space="0" w:color="auto"/>
        <w:bottom w:val="none" w:sz="0" w:space="0" w:color="auto"/>
        <w:right w:val="none" w:sz="0" w:space="0" w:color="auto"/>
      </w:divBdr>
    </w:div>
    <w:div w:id="1025980718">
      <w:bodyDiv w:val="1"/>
      <w:marLeft w:val="0"/>
      <w:marRight w:val="0"/>
      <w:marTop w:val="0"/>
      <w:marBottom w:val="0"/>
      <w:divBdr>
        <w:top w:val="none" w:sz="0" w:space="0" w:color="auto"/>
        <w:left w:val="none" w:sz="0" w:space="0" w:color="auto"/>
        <w:bottom w:val="none" w:sz="0" w:space="0" w:color="auto"/>
        <w:right w:val="none" w:sz="0" w:space="0" w:color="auto"/>
      </w:divBdr>
    </w:div>
    <w:div w:id="1048070983">
      <w:bodyDiv w:val="1"/>
      <w:marLeft w:val="0"/>
      <w:marRight w:val="0"/>
      <w:marTop w:val="0"/>
      <w:marBottom w:val="0"/>
      <w:divBdr>
        <w:top w:val="none" w:sz="0" w:space="0" w:color="auto"/>
        <w:left w:val="none" w:sz="0" w:space="0" w:color="auto"/>
        <w:bottom w:val="none" w:sz="0" w:space="0" w:color="auto"/>
        <w:right w:val="none" w:sz="0" w:space="0" w:color="auto"/>
      </w:divBdr>
    </w:div>
    <w:div w:id="1057238593">
      <w:bodyDiv w:val="1"/>
      <w:marLeft w:val="0"/>
      <w:marRight w:val="0"/>
      <w:marTop w:val="0"/>
      <w:marBottom w:val="0"/>
      <w:divBdr>
        <w:top w:val="none" w:sz="0" w:space="0" w:color="auto"/>
        <w:left w:val="none" w:sz="0" w:space="0" w:color="auto"/>
        <w:bottom w:val="none" w:sz="0" w:space="0" w:color="auto"/>
        <w:right w:val="none" w:sz="0" w:space="0" w:color="auto"/>
      </w:divBdr>
    </w:div>
    <w:div w:id="1064834780">
      <w:bodyDiv w:val="1"/>
      <w:marLeft w:val="0"/>
      <w:marRight w:val="0"/>
      <w:marTop w:val="0"/>
      <w:marBottom w:val="0"/>
      <w:divBdr>
        <w:top w:val="none" w:sz="0" w:space="0" w:color="auto"/>
        <w:left w:val="none" w:sz="0" w:space="0" w:color="auto"/>
        <w:bottom w:val="none" w:sz="0" w:space="0" w:color="auto"/>
        <w:right w:val="none" w:sz="0" w:space="0" w:color="auto"/>
      </w:divBdr>
    </w:div>
    <w:div w:id="1137800088">
      <w:bodyDiv w:val="1"/>
      <w:marLeft w:val="0"/>
      <w:marRight w:val="0"/>
      <w:marTop w:val="0"/>
      <w:marBottom w:val="0"/>
      <w:divBdr>
        <w:top w:val="none" w:sz="0" w:space="0" w:color="auto"/>
        <w:left w:val="none" w:sz="0" w:space="0" w:color="auto"/>
        <w:bottom w:val="none" w:sz="0" w:space="0" w:color="auto"/>
        <w:right w:val="none" w:sz="0" w:space="0" w:color="auto"/>
      </w:divBdr>
      <w:divsChild>
        <w:div w:id="466624345">
          <w:marLeft w:val="0"/>
          <w:marRight w:val="0"/>
          <w:marTop w:val="120"/>
          <w:marBottom w:val="120"/>
          <w:divBdr>
            <w:top w:val="none" w:sz="0" w:space="0" w:color="auto"/>
            <w:left w:val="none" w:sz="0" w:space="0" w:color="auto"/>
            <w:bottom w:val="none" w:sz="0" w:space="0" w:color="auto"/>
            <w:right w:val="none" w:sz="0" w:space="0" w:color="auto"/>
          </w:divBdr>
        </w:div>
        <w:div w:id="579948718">
          <w:marLeft w:val="0"/>
          <w:marRight w:val="0"/>
          <w:marTop w:val="120"/>
          <w:marBottom w:val="120"/>
          <w:divBdr>
            <w:top w:val="none" w:sz="0" w:space="0" w:color="auto"/>
            <w:left w:val="none" w:sz="0" w:space="0" w:color="auto"/>
            <w:bottom w:val="none" w:sz="0" w:space="0" w:color="auto"/>
            <w:right w:val="none" w:sz="0" w:space="0" w:color="auto"/>
          </w:divBdr>
        </w:div>
      </w:divsChild>
    </w:div>
    <w:div w:id="1236359161">
      <w:bodyDiv w:val="1"/>
      <w:marLeft w:val="0"/>
      <w:marRight w:val="0"/>
      <w:marTop w:val="0"/>
      <w:marBottom w:val="0"/>
      <w:divBdr>
        <w:top w:val="none" w:sz="0" w:space="0" w:color="auto"/>
        <w:left w:val="none" w:sz="0" w:space="0" w:color="auto"/>
        <w:bottom w:val="none" w:sz="0" w:space="0" w:color="auto"/>
        <w:right w:val="none" w:sz="0" w:space="0" w:color="auto"/>
      </w:divBdr>
    </w:div>
    <w:div w:id="1298799107">
      <w:bodyDiv w:val="1"/>
      <w:marLeft w:val="0"/>
      <w:marRight w:val="0"/>
      <w:marTop w:val="0"/>
      <w:marBottom w:val="0"/>
      <w:divBdr>
        <w:top w:val="none" w:sz="0" w:space="0" w:color="auto"/>
        <w:left w:val="none" w:sz="0" w:space="0" w:color="auto"/>
        <w:bottom w:val="none" w:sz="0" w:space="0" w:color="auto"/>
        <w:right w:val="none" w:sz="0" w:space="0" w:color="auto"/>
      </w:divBdr>
    </w:div>
    <w:div w:id="1329165678">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380742764">
      <w:bodyDiv w:val="1"/>
      <w:marLeft w:val="0"/>
      <w:marRight w:val="0"/>
      <w:marTop w:val="0"/>
      <w:marBottom w:val="0"/>
      <w:divBdr>
        <w:top w:val="none" w:sz="0" w:space="0" w:color="auto"/>
        <w:left w:val="none" w:sz="0" w:space="0" w:color="auto"/>
        <w:bottom w:val="none" w:sz="0" w:space="0" w:color="auto"/>
        <w:right w:val="none" w:sz="0" w:space="0" w:color="auto"/>
      </w:divBdr>
      <w:divsChild>
        <w:div w:id="1399398868">
          <w:marLeft w:val="0"/>
          <w:marRight w:val="0"/>
          <w:marTop w:val="120"/>
          <w:marBottom w:val="120"/>
          <w:divBdr>
            <w:top w:val="none" w:sz="0" w:space="0" w:color="auto"/>
            <w:left w:val="none" w:sz="0" w:space="0" w:color="auto"/>
            <w:bottom w:val="none" w:sz="0" w:space="0" w:color="auto"/>
            <w:right w:val="none" w:sz="0" w:space="0" w:color="auto"/>
          </w:divBdr>
        </w:div>
      </w:divsChild>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1615620">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61416">
      <w:bodyDiv w:val="1"/>
      <w:marLeft w:val="0"/>
      <w:marRight w:val="0"/>
      <w:marTop w:val="0"/>
      <w:marBottom w:val="0"/>
      <w:divBdr>
        <w:top w:val="none" w:sz="0" w:space="0" w:color="auto"/>
        <w:left w:val="none" w:sz="0" w:space="0" w:color="auto"/>
        <w:bottom w:val="none" w:sz="0" w:space="0" w:color="auto"/>
        <w:right w:val="none" w:sz="0" w:space="0" w:color="auto"/>
      </w:divBdr>
    </w:div>
    <w:div w:id="1728147450">
      <w:bodyDiv w:val="1"/>
      <w:marLeft w:val="0"/>
      <w:marRight w:val="0"/>
      <w:marTop w:val="0"/>
      <w:marBottom w:val="0"/>
      <w:divBdr>
        <w:top w:val="none" w:sz="0" w:space="0" w:color="auto"/>
        <w:left w:val="none" w:sz="0" w:space="0" w:color="auto"/>
        <w:bottom w:val="none" w:sz="0" w:space="0" w:color="auto"/>
        <w:right w:val="none" w:sz="0" w:space="0" w:color="auto"/>
      </w:divBdr>
    </w:div>
    <w:div w:id="1768386222">
      <w:bodyDiv w:val="1"/>
      <w:marLeft w:val="0"/>
      <w:marRight w:val="0"/>
      <w:marTop w:val="0"/>
      <w:marBottom w:val="0"/>
      <w:divBdr>
        <w:top w:val="none" w:sz="0" w:space="0" w:color="auto"/>
        <w:left w:val="none" w:sz="0" w:space="0" w:color="auto"/>
        <w:bottom w:val="none" w:sz="0" w:space="0" w:color="auto"/>
        <w:right w:val="none" w:sz="0" w:space="0" w:color="auto"/>
      </w:divBdr>
    </w:div>
    <w:div w:id="1798838621">
      <w:bodyDiv w:val="1"/>
      <w:marLeft w:val="0"/>
      <w:marRight w:val="0"/>
      <w:marTop w:val="0"/>
      <w:marBottom w:val="0"/>
      <w:divBdr>
        <w:top w:val="none" w:sz="0" w:space="0" w:color="auto"/>
        <w:left w:val="none" w:sz="0" w:space="0" w:color="auto"/>
        <w:bottom w:val="none" w:sz="0" w:space="0" w:color="auto"/>
        <w:right w:val="none" w:sz="0" w:space="0" w:color="auto"/>
      </w:divBdr>
    </w:div>
    <w:div w:id="2058311944">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emf"/><Relationship Id="rId26" Type="http://schemas.openxmlformats.org/officeDocument/2006/relationships/oleObject" Target="embeddings/oleObject8.bin"/><Relationship Id="rId39" Type="http://schemas.openxmlformats.org/officeDocument/2006/relationships/oleObject" Target="embeddings/oleObject13.bin"/><Relationship Id="rId21" Type="http://schemas.openxmlformats.org/officeDocument/2006/relationships/oleObject" Target="embeddings/oleObject6.bin"/><Relationship Id="rId34" Type="http://schemas.openxmlformats.org/officeDocument/2006/relationships/oleObject" Target="embeddings/oleObject12.bin"/><Relationship Id="rId42" Type="http://schemas.openxmlformats.org/officeDocument/2006/relationships/hyperlink" Target="https://doi.org/10.5194/essd-14-4811-2022" TargetMode="External"/><Relationship Id="rId47" Type="http://schemas.openxmlformats.org/officeDocument/2006/relationships/hyperlink" Target="https://doi.org/10.1039/D4SC02266A" TargetMode="External"/><Relationship Id="rId50" Type="http://schemas.openxmlformats.org/officeDocument/2006/relationships/hyperlink" Target="https://doi.org/10.3390/batteries10080268"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3.emf"/><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8.jpeg"/><Relationship Id="rId40" Type="http://schemas.openxmlformats.org/officeDocument/2006/relationships/hyperlink" Target="https://doi.org/10.1002/aenm.201903245" TargetMode="External"/><Relationship Id="rId45" Type="http://schemas.openxmlformats.org/officeDocument/2006/relationships/hyperlink" Target="https://doi.org/10.1016/j.est.2025.118593" TargetMode="External"/><Relationship Id="rId53" Type="http://schemas.openxmlformats.org/officeDocument/2006/relationships/hyperlink" Target="https://doi.org/10.1007/s12274-023-5889-2" TargetMode="Externa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oleObject" Target="embeddings/oleObject5.bin"/><Relationship Id="rId31" Type="http://schemas.openxmlformats.org/officeDocument/2006/relationships/image" Target="media/image14.emf"/><Relationship Id="rId44" Type="http://schemas.openxmlformats.org/officeDocument/2006/relationships/hyperlink" Target="https://doi.org/10.1007/s40820-019-0249-1" TargetMode="External"/><Relationship Id="rId52" Type="http://schemas.openxmlformats.org/officeDocument/2006/relationships/hyperlink" Target="https://doi.org/10.1039/D0EE01699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image" Target="media/image12.emf"/><Relationship Id="rId30" Type="http://schemas.openxmlformats.org/officeDocument/2006/relationships/oleObject" Target="embeddings/oleObject10.bin"/><Relationship Id="rId35" Type="http://schemas.openxmlformats.org/officeDocument/2006/relationships/image" Target="media/image16.jpeg"/><Relationship Id="rId43" Type="http://schemas.openxmlformats.org/officeDocument/2006/relationships/hyperlink" Target="https://doi.org/10.1007/s40820-025-01833-x" TargetMode="External"/><Relationship Id="rId48" Type="http://schemas.openxmlformats.org/officeDocument/2006/relationships/hyperlink" Target="https://doi.org/10.1002/cssc.202201320" TargetMode="External"/><Relationship Id="rId8" Type="http://schemas.openxmlformats.org/officeDocument/2006/relationships/image" Target="media/image1.jpeg"/><Relationship Id="rId51" Type="http://schemas.openxmlformats.org/officeDocument/2006/relationships/hyperlink" Target="https://doi.org/10.3390/molecules26061535"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oleObject" Target="embeddings/oleObject4.bin"/><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image" Target="media/image19.emf"/><Relationship Id="rId46" Type="http://schemas.openxmlformats.org/officeDocument/2006/relationships/hyperlink" Target="https://doi.org/10.1016/j.jpowsour.2025.238587" TargetMode="External"/><Relationship Id="rId20" Type="http://schemas.openxmlformats.org/officeDocument/2006/relationships/image" Target="media/image8.emf"/><Relationship Id="rId41" Type="http://schemas.openxmlformats.org/officeDocument/2006/relationships/hyperlink" Target="https://doi.org/10.1039/D0TA07681C"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0.emf"/><Relationship Id="rId28" Type="http://schemas.openxmlformats.org/officeDocument/2006/relationships/oleObject" Target="embeddings/oleObject9.bin"/><Relationship Id="rId36" Type="http://schemas.openxmlformats.org/officeDocument/2006/relationships/image" Target="media/image17.jpeg"/><Relationship Id="rId49" Type="http://schemas.openxmlformats.org/officeDocument/2006/relationships/hyperlink" Target="https://doi.org/10.1080/17415993.2021.190739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AA60F-5ADD-44AB-A8A4-7F36BF639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4578</TotalTime>
  <Pages>1</Pages>
  <Words>4766</Words>
  <Characters>27167</Characters>
  <Application>Microsoft Office Word</Application>
  <DocSecurity>0</DocSecurity>
  <Lines>226</Lines>
  <Paragraphs>63</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31870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Intel</cp:lastModifiedBy>
  <cp:revision>53</cp:revision>
  <cp:lastPrinted>2015-05-12T18:31:00Z</cp:lastPrinted>
  <dcterms:created xsi:type="dcterms:W3CDTF">2026-04-27T10:04:00Z</dcterms:created>
  <dcterms:modified xsi:type="dcterms:W3CDTF">2026-08-31T04:32:00Z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