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DB2AB8">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DB2AB8">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DB2AB8">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70D5EB16" w:rsidR="00E978D0" w:rsidRPr="00B57B36" w:rsidRDefault="00DB2AB8" w:rsidP="00E978D0">
      <w:pPr>
        <w:pStyle w:val="CETTitle"/>
      </w:pPr>
      <w:r w:rsidRPr="00DB2AB8">
        <w:t>Multi-Objective Optimization of a Rate-Based Hybrid Wet Flue Gas Desulfurization System under Operational Constraints</w:t>
      </w:r>
      <w:r>
        <w:t xml:space="preserve"> </w:t>
      </w:r>
    </w:p>
    <w:p w14:paraId="0488FED2" w14:textId="513DE417" w:rsidR="00B57E6F" w:rsidRPr="00B57B36" w:rsidRDefault="00DB2AB8" w:rsidP="00B57E6F">
      <w:pPr>
        <w:pStyle w:val="CETAuthors"/>
      </w:pPr>
      <w:r w:rsidRPr="00DB2AB8">
        <w:t>Bekzod Haqnazarov</w:t>
      </w:r>
      <w:r w:rsidRPr="00DB2AB8">
        <w:rPr>
          <w:vertAlign w:val="superscript"/>
        </w:rPr>
        <w:t>a</w:t>
      </w:r>
      <w:r w:rsidR="00497FE6">
        <w:rPr>
          <w:vertAlign w:val="superscript"/>
        </w:rPr>
        <w:t>,</w:t>
      </w:r>
      <w:r w:rsidR="00497FE6" w:rsidRPr="00B57B36">
        <w:t>*</w:t>
      </w:r>
      <w:r w:rsidRPr="00DB2AB8">
        <w:t xml:space="preserve"> , Farrukh Igitov</w:t>
      </w:r>
      <w:r w:rsidRPr="00DB2AB8">
        <w:rPr>
          <w:vertAlign w:val="superscript"/>
        </w:rPr>
        <w:t>a</w:t>
      </w:r>
      <w:r w:rsidRPr="00DB2AB8">
        <w:t>, Komil Usmanov</w:t>
      </w:r>
      <w:r w:rsidRPr="00DB2AB8">
        <w:rPr>
          <w:vertAlign w:val="superscript"/>
        </w:rPr>
        <w:t>b</w:t>
      </w:r>
      <w:r w:rsidRPr="00DB2AB8">
        <w:t>, Zafar Turakulov</w:t>
      </w:r>
      <w:r w:rsidR="00497FE6" w:rsidRPr="00497FE6">
        <w:rPr>
          <w:vertAlign w:val="superscript"/>
        </w:rPr>
        <w:t>b</w:t>
      </w:r>
    </w:p>
    <w:p w14:paraId="406E93CE" w14:textId="539BAC02" w:rsidR="00497FE6" w:rsidRDefault="00B57E6F" w:rsidP="00497FE6">
      <w:pPr>
        <w:pStyle w:val="CETAddress"/>
        <w:rPr>
          <w:vertAlign w:val="superscript"/>
        </w:rPr>
      </w:pPr>
      <w:r w:rsidRPr="00B57B36">
        <w:rPr>
          <w:vertAlign w:val="superscript"/>
        </w:rPr>
        <w:t>a</w:t>
      </w:r>
      <w:r w:rsidR="00497FE6" w:rsidRPr="00497FE6">
        <w:t xml:space="preserve"> </w:t>
      </w:r>
      <w:r w:rsidR="00497FE6" w:rsidRPr="00133E51">
        <w:t xml:space="preserve">Department of </w:t>
      </w:r>
      <w:r w:rsidR="00497FE6" w:rsidRPr="00497FE6">
        <w:t>Industrial Ecology and Green Technologies</w:t>
      </w:r>
      <w:r w:rsidR="00497FE6" w:rsidRPr="00133E51">
        <w:t>, Tashkent Institute of Chemical Technology, Tashkent</w:t>
      </w:r>
      <w:r w:rsidR="00497FE6">
        <w:t>,</w:t>
      </w:r>
      <w:r w:rsidR="00497FE6" w:rsidRPr="00133E51">
        <w:t xml:space="preserve"> 100011, Uzbekistan</w:t>
      </w:r>
      <w:r w:rsidR="00497FE6" w:rsidRPr="00B57B36">
        <w:rPr>
          <w:vertAlign w:val="superscript"/>
        </w:rPr>
        <w:t xml:space="preserve"> </w:t>
      </w:r>
    </w:p>
    <w:p w14:paraId="55139356" w14:textId="1A40BBBA" w:rsidR="00497FE6" w:rsidRDefault="00B57E6F" w:rsidP="00497FE6">
      <w:pPr>
        <w:pStyle w:val="CETAddress"/>
      </w:pPr>
      <w:r w:rsidRPr="00B57B36">
        <w:rPr>
          <w:vertAlign w:val="superscript"/>
        </w:rPr>
        <w:t>b</w:t>
      </w:r>
      <w:r w:rsidR="00497FE6" w:rsidRPr="00497FE6">
        <w:rPr>
          <w:vertAlign w:val="superscript"/>
        </w:rPr>
        <w:t xml:space="preserve"> </w:t>
      </w:r>
      <w:r w:rsidR="00497FE6" w:rsidRPr="00133E51">
        <w:t>Department of Automation and Digital Control, Tashkent Institute of Chemical Technology, Tashkent</w:t>
      </w:r>
      <w:r w:rsidR="00497FE6">
        <w:t>,</w:t>
      </w:r>
      <w:r w:rsidR="00497FE6" w:rsidRPr="00133E51">
        <w:t xml:space="preserve"> 100011, Uzbekistan</w:t>
      </w:r>
    </w:p>
    <w:p w14:paraId="3D72B0B0" w14:textId="6B083430" w:rsidR="00B57E6F" w:rsidRPr="00B57B36" w:rsidRDefault="00B57E6F" w:rsidP="00B57E6F">
      <w:pPr>
        <w:pStyle w:val="CETAddress"/>
      </w:pPr>
    </w:p>
    <w:p w14:paraId="73F1267A" w14:textId="7EA478F9" w:rsidR="00B57E6F" w:rsidRPr="00B57B36" w:rsidRDefault="00B57E6F" w:rsidP="00B57E6F">
      <w:pPr>
        <w:pStyle w:val="CETemail"/>
      </w:pPr>
      <w:r>
        <w:t xml:space="preserve"> </w:t>
      </w:r>
      <w:r w:rsidRPr="00497FE6">
        <w:t xml:space="preserve">corresponding.author@domain.com </w:t>
      </w:r>
    </w:p>
    <w:p w14:paraId="1F642A2C" w14:textId="1749BC26" w:rsidR="00497FE6" w:rsidRDefault="00497FE6" w:rsidP="00600535">
      <w:pPr>
        <w:pStyle w:val="CETBodytext"/>
        <w:rPr>
          <w:lang w:val="en-GB"/>
        </w:rPr>
      </w:pPr>
      <w:r w:rsidRPr="00497FE6">
        <w:rPr>
          <w:lang w:val="en-GB"/>
        </w:rPr>
        <w:t xml:space="preserve">This study presents a multi-objective optimization of a rate-based hybrid wet flue gas desulfurization (FGD) system designed for </w:t>
      </w:r>
      <w:proofErr w:type="spellStart"/>
      <w:r w:rsidRPr="00497FE6">
        <w:rPr>
          <w:lang w:val="en-GB"/>
        </w:rPr>
        <w:t>sulfur</w:t>
      </w:r>
      <w:proofErr w:type="spellEnd"/>
      <w:r w:rsidRPr="00497FE6">
        <w:rPr>
          <w:lang w:val="en-GB"/>
        </w:rPr>
        <w:t xml:space="preserve"> dioxide (SO</w:t>
      </w:r>
      <w:r w:rsidRPr="00497FE6">
        <w:rPr>
          <w:rFonts w:ascii="Cambria Math" w:hAnsi="Cambria Math" w:cs="Cambria Math"/>
          <w:lang w:val="en-GB"/>
        </w:rPr>
        <w:t>₂</w:t>
      </w:r>
      <w:r w:rsidRPr="00497FE6">
        <w:rPr>
          <w:lang w:val="en-GB"/>
        </w:rPr>
        <w:t xml:space="preserve">) removal under operational constraints. A representative industrial flue gas stream was </w:t>
      </w:r>
      <w:proofErr w:type="spellStart"/>
      <w:r w:rsidRPr="00497FE6">
        <w:rPr>
          <w:lang w:val="en-GB"/>
        </w:rPr>
        <w:t>modeled</w:t>
      </w:r>
      <w:proofErr w:type="spellEnd"/>
      <w:r w:rsidRPr="00497FE6">
        <w:rPr>
          <w:lang w:val="en-GB"/>
        </w:rPr>
        <w:t xml:space="preserve"> using a gas</w:t>
      </w:r>
      <w:r w:rsidRPr="00497FE6">
        <w:rPr>
          <w:rFonts w:cs="Arial"/>
          <w:lang w:val="en-GB"/>
        </w:rPr>
        <w:t>–</w:t>
      </w:r>
      <w:r w:rsidRPr="00497FE6">
        <w:rPr>
          <w:lang w:val="en-GB"/>
        </w:rPr>
        <w:t xml:space="preserve">liquid absorption framework incorporating mass transfer resistance, reaction kinetics, and hydrodynamic effects. Key operating parameters, including liquid-to-gas ratio, slurry pH, droplet size, and absorber height, were systematically </w:t>
      </w:r>
      <w:proofErr w:type="spellStart"/>
      <w:r w:rsidRPr="00497FE6">
        <w:rPr>
          <w:lang w:val="en-GB"/>
        </w:rPr>
        <w:t>analyzed</w:t>
      </w:r>
      <w:proofErr w:type="spellEnd"/>
      <w:r w:rsidRPr="00497FE6">
        <w:rPr>
          <w:lang w:val="en-GB"/>
        </w:rPr>
        <w:t xml:space="preserve">. </w:t>
      </w:r>
      <w:r w:rsidR="006A6599" w:rsidRPr="006A6599">
        <w:rPr>
          <w:lang w:val="en-GB"/>
        </w:rPr>
        <w:t>The optimization simultaneously maximizes SO</w:t>
      </w:r>
      <w:r w:rsidR="006A6599" w:rsidRPr="006A6599">
        <w:rPr>
          <w:rFonts w:ascii="Cambria Math" w:hAnsi="Cambria Math" w:cs="Cambria Math"/>
          <w:lang w:val="en-GB"/>
        </w:rPr>
        <w:t>₂</w:t>
      </w:r>
      <w:r w:rsidR="006A6599" w:rsidRPr="006A6599">
        <w:rPr>
          <w:lang w:val="en-GB"/>
        </w:rPr>
        <w:t xml:space="preserve"> removal efficiency while minimizing specific auxiliary energy demand and limestone usage within defined operational bounds. The non-dominated solutions were generated using the NSGA-II algorithm. The selected compromise solution increased SO</w:t>
      </w:r>
      <w:r w:rsidR="006A6599" w:rsidRPr="006A6599">
        <w:rPr>
          <w:rFonts w:ascii="Cambria Math" w:hAnsi="Cambria Math" w:cs="Cambria Math"/>
          <w:lang w:val="en-GB"/>
        </w:rPr>
        <w:t>₂</w:t>
      </w:r>
      <w:r w:rsidR="006A6599" w:rsidRPr="006A6599">
        <w:rPr>
          <w:lang w:val="en-GB"/>
        </w:rPr>
        <w:t xml:space="preserve"> removal efficiency from 89.4% to 96.7%, while normalized specific limestone consumption and auxiliary energy demand decreased by 10.7% and 11.3%, respectively</w:t>
      </w:r>
      <w:r w:rsidRPr="00497FE6">
        <w:rPr>
          <w:lang w:val="en-GB"/>
        </w:rPr>
        <w:t xml:space="preserve">. </w:t>
      </w:r>
    </w:p>
    <w:p w14:paraId="476B2F2E" w14:textId="77777777" w:rsidR="00600535" w:rsidRPr="00B57B36" w:rsidRDefault="00600535" w:rsidP="00600535">
      <w:pPr>
        <w:pStyle w:val="CETHeading1"/>
        <w:rPr>
          <w:lang w:val="en-GB"/>
        </w:rPr>
      </w:pPr>
      <w:r w:rsidRPr="00B57B36">
        <w:rPr>
          <w:lang w:val="en-GB"/>
        </w:rPr>
        <w:t>Introduction</w:t>
      </w:r>
    </w:p>
    <w:p w14:paraId="01CDBE17" w14:textId="06C8C4F0" w:rsidR="00497FE6" w:rsidRDefault="00497FE6" w:rsidP="00497FE6">
      <w:pPr>
        <w:pStyle w:val="CETBodytext"/>
      </w:pPr>
      <w:r>
        <w:t>Sulfur dioxide (SO</w:t>
      </w:r>
      <w:r>
        <w:rPr>
          <w:rFonts w:ascii="Cambria Math" w:hAnsi="Cambria Math" w:cs="Cambria Math"/>
        </w:rPr>
        <w:t>₂</w:t>
      </w:r>
      <w:r>
        <w:t>) emissions from industrial processes remain a persistent environmental and regulatory concern, particularly in regions with a high reliance on fossil fuels such as coal. SO</w:t>
      </w:r>
      <w:r>
        <w:rPr>
          <w:rFonts w:ascii="Cambria Math" w:hAnsi="Cambria Math" w:cs="Cambria Math"/>
        </w:rPr>
        <w:t>₂</w:t>
      </w:r>
      <w:r>
        <w:t xml:space="preserve"> is a major precursor to acid rain, which leads to soil acidification, water body degradation, and accelerated corrosion of infrastructure</w:t>
      </w:r>
      <w:r w:rsidR="00F31B9D">
        <w:t xml:space="preserve"> </w:t>
      </w:r>
      <w:r w:rsidR="00F31B9D">
        <w:fldChar w:fldCharType="begin"/>
      </w:r>
      <w:r w:rsidR="00F31B9D">
        <w:instrText xml:space="preserve"> ADDIN ZOTERO_ITEM CSL_CITATION {"citationID":"YTbkgUHO","properties":{"unsorted":false,"formattedCitation":"(Xuan et al., 2025)","plainCitation":"(Xuan et al., 2025)","noteIndex":0},"citationItems":[{"id":1108,"uris":["http://zotero.org/users/11636083/items/RCA8ASZ8"],"itemData":{"id":1108,"type":"article-journal","abstract":"Particle adsorbents have gained significant traction in flue gas desulfurization applications, primarily attributed to their high structural homogeneity and large specific surface area. To address the multifaceted requirements of industrial sectors regarding the structural configurations and physicochemical properties of particle adsorbents while promoting sustainable manufacturing practices, this study systematically evaluates and critically appraises contemporary advancements in particle desulfurizing agent technologies. The synthesis of these findings establishes a theoretical framework to facilitate technological innovation and industrial progress within the particle desulfurizer domain. The research systems of particle adsorbents, encompassing active components, inert carriers, preparation methodologies, and gas–solid reaction models, were comprehensively reviewed. The advantages and current limitations of these systems were then systematically summarized. Finally, the fundamental principles and research trajectories in the application fields of distinct particle adsorbent research systems were elucidated. An analysis of the developmental trends indicated that enhancing the utilization efficiency of active components and improving the cyclic stability of adsorbents remained critical engineering challenges. It is posited that the pursuit of high reaction activity, thermal stability, mechanical strength, and superior anti-aggregation/sintering performance constitutes key directions for the advancement of particle adsorbents in China’s flue gas desulfurization industry.","container-title":"Molecules","DOI":"10.3390/molecules30081653","ISSN":"1420-3049","issue":"8","journalAbbreviation":"Molecules","language":"en","page":"1653","source":"DOI.org (Crossref)","title":"Recent Advances in Materials, Synthesis, and Reaction Model of Particle Adsorbent for Flue Gas Desulfurization","volume":"30","author":[{"family":"Xuan","given":"Yanni"},{"family":"Yu","given":"Kun"},{"family":"Tian","given":"Hong"},{"family":"Hu","given":"Zhangmao"},{"family":"Zhang","given":"Wei"},{"family":"Yin","given":"Yanshan"},{"family":"Gao","given":"Haitao"},{"family":"Yu","given":"Qingbo"}],"issued":{"date-parts":[["2025",4,8]]}}}],"schema":"https://github.com/citation-style-language/schema/raw/master/csl-citation.json"} </w:instrText>
      </w:r>
      <w:r w:rsidR="00F31B9D">
        <w:fldChar w:fldCharType="separate"/>
      </w:r>
      <w:r w:rsidR="00F31B9D" w:rsidRPr="00F31B9D">
        <w:rPr>
          <w:rFonts w:cs="Arial"/>
        </w:rPr>
        <w:t>(Xuan et al., 2025)</w:t>
      </w:r>
      <w:r w:rsidR="00F31B9D">
        <w:fldChar w:fldCharType="end"/>
      </w:r>
      <w:r>
        <w:t>. In addition to its environmental impact, SO</w:t>
      </w:r>
      <w:r>
        <w:rPr>
          <w:rFonts w:ascii="Cambria Math" w:hAnsi="Cambria Math" w:cs="Cambria Math"/>
        </w:rPr>
        <w:t>₂</w:t>
      </w:r>
      <w:r>
        <w:t xml:space="preserve"> exposure is associated with adverse human health effects, including respiratory and cardiovascular diseases</w:t>
      </w:r>
      <w:r w:rsidR="006C1D12">
        <w:t xml:space="preserve"> </w:t>
      </w:r>
      <w:r w:rsidR="006C1D12">
        <w:fldChar w:fldCharType="begin"/>
      </w:r>
      <w:r w:rsidR="006C1D12">
        <w:instrText xml:space="preserve"> ADDIN ZOTERO_ITEM CSL_CITATION {"citationID":"F5rDKwBn","properties":{"unsorted":false,"formattedCitation":"(X. Li et al., 2022; Wang et al., 2024)","plainCitation":"(X. Li et al., 2022; Wang et al., 2024)","noteIndex":0},"citationItems":[{"id":1099,"uris":["http://zotero.org/users/11636083/items/5QYFNFSZ"],"itemData":{"id":1099,"type":"article-journal","container-title":"Separation and Purification Technology","DOI":"10.1016/j.seppur.2021.119849","ISSN":"13835866","journalAbbreviation":"Separation and Purification Technology","language":"en","page":"119849","source":"DOI.org (Crossref)","title":"Summary of research progress on industrial flue gas desulfurization technology","volume":"281","author":[{"family":"Li","given":"Xueke"},{"family":"Han","given":"Jinru"},{"family":"Liu","given":"Yan"},{"family":"Dou","given":"Zhihe"},{"family":"Zhang","given":"Ting-an"}],"issued":{"date-parts":[["2022",1]]}}},{"id":1100,"uris":["http://zotero.org/users/11636083/items/SLVV6YNG"],"itemData":{"id":1100,"type":"article-journal","container-title":"Science of The Total Environment","DOI":"10.1016/j.scitotenv.2024.174053","ISSN":"00489697","journalAbbreviation":"Science of The Total Environment","language":"en","page":"174053","source":"DOI.org (Crossref)","title":"A critical review on the use of flue gas desulfurization gypsum to ameliorate saline-alkali soils and its prospect for reducing carbon emissions","volume":"945","author":[{"family":"Wang","given":"Haoqian"},{"family":"Wang","given":"Feifei"},{"family":"Qin","given":"Weiran"},{"family":"He","given":"Chiquan"},{"family":"Wang","given":"Fushun"},{"family":"Liang","given":"Xia"},{"family":"Li","given":"Xiaoping"}],"issued":{"date-parts":[["2024",10]]}}}],"schema":"https://github.com/citation-style-language/schema/raw/master/csl-citation.json"} </w:instrText>
      </w:r>
      <w:r w:rsidR="006C1D12">
        <w:fldChar w:fldCharType="separate"/>
      </w:r>
      <w:r w:rsidR="006C1D12" w:rsidRPr="006C1D12">
        <w:rPr>
          <w:rFonts w:cs="Arial"/>
        </w:rPr>
        <w:t>(X. Li et al., 2022; Wang et al., 2024)</w:t>
      </w:r>
      <w:r w:rsidR="006C1D12">
        <w:fldChar w:fldCharType="end"/>
      </w:r>
      <w:r>
        <w:t>. As a result, increasingly stringent emission standards have been implemented worldwide, requiring industrial facilities to adopt effective and reliable flue gas treatment technologies</w:t>
      </w:r>
      <w:r w:rsidR="00F31B9D">
        <w:t xml:space="preserve"> </w:t>
      </w:r>
      <w:r w:rsidR="00F31B9D">
        <w:fldChar w:fldCharType="begin"/>
      </w:r>
      <w:r w:rsidR="00F31B9D">
        <w:instrText xml:space="preserve"> ADDIN ZOTERO_ITEM CSL_CITATION {"citationID":"a0al4Nx6","properties":{"unsorted":false,"formattedCitation":"(Turakulov et al., 2024)","plainCitation":"(Turakulov et al., 2024)","noteIndex":0},"citationItems":[{"id":57,"uris":["http://zotero.org/users/11636083/items/4Y22UR45"],"itemData":{"id":57,"type":"article-journal","container-title":"Chemical Engineering Research and Design","DOI":"10.1016/j.cherd.2024.09.003","ISSN":"02638762","journalAbbreviation":"Chemical Engineering Research and Design","language":"en","page":"625-637","source":"DOI.org (Crossref)","title":"Techno-economic and environmental analysis of decarbonization pathways for cement plants in Uzbekistan","volume":"210","author":[{"family":"Turakulov","given":"Zafar"},{"family":"Kamolov","given":"Azizbek"},{"family":"Norkobilov","given":"Adham"},{"family":"Variny","given":"Miroslav"},{"family":"Fallanza","given":"Marcos"}],"issued":{"date-parts":[["2024",10]]}}}],"schema":"https://github.com/citation-style-language/schema/raw/master/csl-citation.json"} </w:instrText>
      </w:r>
      <w:r w:rsidR="00F31B9D">
        <w:fldChar w:fldCharType="separate"/>
      </w:r>
      <w:r w:rsidR="00F31B9D" w:rsidRPr="00F31B9D">
        <w:rPr>
          <w:rFonts w:cs="Arial"/>
        </w:rPr>
        <w:t>(Turakulov et al., 2024)</w:t>
      </w:r>
      <w:r w:rsidR="00F31B9D">
        <w:fldChar w:fldCharType="end"/>
      </w:r>
      <w:r>
        <w:t>.</w:t>
      </w:r>
    </w:p>
    <w:p w14:paraId="65CE8DC5" w14:textId="2ADC3D4E" w:rsidR="00497FE6" w:rsidRDefault="00497FE6" w:rsidP="00497FE6">
      <w:pPr>
        <w:pStyle w:val="CETBodytext"/>
      </w:pPr>
      <w:r>
        <w:t>Flue gas desulfurization (FGD) systems have become the primary technological solution for controlling SO</w:t>
      </w:r>
      <w:r>
        <w:rPr>
          <w:rFonts w:ascii="Cambria Math" w:hAnsi="Cambria Math" w:cs="Cambria Math"/>
        </w:rPr>
        <w:t>₂</w:t>
      </w:r>
      <w:r>
        <w:t xml:space="preserve"> emissions in large-scale combustion systems</w:t>
      </w:r>
      <w:r w:rsidR="006C1D12">
        <w:t xml:space="preserve"> </w:t>
      </w:r>
      <w:r w:rsidR="006C1D12">
        <w:fldChar w:fldCharType="begin"/>
      </w:r>
      <w:r w:rsidR="006C1D12">
        <w:instrText xml:space="preserve"> ADDIN ZOTERO_ITEM CSL_CITATION {"citationID":"X5BqFC3l","properties":{"unsorted":false,"formattedCitation":"(L. Li et al., 2025)","plainCitation":"(L. Li et al., 2025)","noteIndex":0},"citationItems":[{"id":1101,"uris":["http://zotero.org/users/11636083/items/HV5RC5YL"],"itemData":{"id":1101,"type":"article-journal","container-title":"Nature Chemistry","DOI":"10.1038/s41557-025-01744-9","ISSN":"1755-4330, 1755-4349","issue":"5","journalAbbreviation":"Nat. Chem.","language":"en","page":"727-733","source":"DOI.org (Crossref)","title":"Flue gas desulfurization and SO2 recovery within a flexible hydrogen-bonded organic framework","volume":"17","author":[{"family":"Li","given":"Lin"},{"family":"Zhang","given":"Xuan"},{"family":"Lian","given":"Xin"},{"family":"Zhang","given":"Laiyu"},{"family":"Zhang","given":"Zhiyuan"},{"family":"Liu","given":"Xiongli"},{"family":"He","given":"Tengfei"},{"family":"Li","given":"Baiyan"},{"family":"Chen","given":"Banglin"},{"family":"Bu","given":"Xian-He"}],"issued":{"date-parts":[["2025",5]]}}}],"schema":"https://github.com/citation-style-language/schema/raw/master/csl-citation.json"} </w:instrText>
      </w:r>
      <w:r w:rsidR="006C1D12">
        <w:fldChar w:fldCharType="separate"/>
      </w:r>
      <w:r w:rsidR="006C1D12" w:rsidRPr="006C1D12">
        <w:rPr>
          <w:rFonts w:cs="Arial"/>
        </w:rPr>
        <w:t>(L. Li et al., 2025)</w:t>
      </w:r>
      <w:r w:rsidR="006C1D12">
        <w:fldChar w:fldCharType="end"/>
      </w:r>
      <w:r>
        <w:t>. Among the available options, wet FGD processes based on limestone slurry absorption are the most widely deployed due to their high removal efficiency, technological maturity, and compatibility with a wide range of operating conditions. In these systems, SO</w:t>
      </w:r>
      <w:r>
        <w:rPr>
          <w:rFonts w:ascii="Cambria Math" w:hAnsi="Cambria Math" w:cs="Cambria Math"/>
        </w:rPr>
        <w:t>₂</w:t>
      </w:r>
      <w:r>
        <w:t xml:space="preserve"> is absorbed into an aqueous slurry and chemically converted into stable compounds such as calcium sulfite and calcium sulfate. Despite their widespread adoption, wet FGD systems are inherently complex due to the simultaneous occurrence of gas–liquid mass transfer, heterogeneous chemical reactions, and multiphase hydrodynamic interactions</w:t>
      </w:r>
      <w:r w:rsidR="00F31B9D">
        <w:t xml:space="preserve"> </w:t>
      </w:r>
      <w:r w:rsidR="00F31B9D">
        <w:fldChar w:fldCharType="begin"/>
      </w:r>
      <w:r w:rsidR="00F31B9D">
        <w:instrText xml:space="preserve"> ADDIN ZOTERO_ITEM CSL_CITATION {"citationID":"UqILcmOe","properties":{"unsorted":false,"formattedCitation":"(Meng et al., 2025)","plainCitation":"(Meng et al., 2025)","noteIndex":0},"citationItems":[{"id":1106,"uris":["http://zotero.org/users/11636083/items/CEHZGNNS"],"itemData":{"id":1106,"type":"article-journal","abstract":"SO2 and NOx emissions from iron and steel production pollute the atmosphere. With the implementation of ultra-low emission standards, the requirements for flue gas purification have become more stringent. Activated carbon, due to its rich surface chemistry, stable physical structure, and excellent adsorption and renewability, has a significant effect on the synergistic removal of multiple pollutants from industrial flue gas, and its industrial application has achieved a SO2 removal rate of ≥98% and a NOx removal rate of ≥83%. Firstly, we analyze the structure of activated carbon and the adsorption principle, discuss the mechanism of desulfurization and denitrification, and explore the shortcomings of the technology; then, we summarize the modification methods of activated carbon, determine the impregnation method of loading non-precious metal oxides as the optimal solution, and elucidate the loading conditions, process, and reaction mechanism; finally, we discuss the current status of the research, analyze the process deficiencies and the direction of optimization, and look forward to the prospect of development.","container-title":"Processes","DOI":"10.3390/pr13051396","ISSN":"2227-9717","issue":"5","journalAbbreviation":"Processes","language":"en","page":"1396","source":"DOI.org (Crossref)","title":"Research Progress on Flue Gas Desulfurization and Denitrification by Activated Carbon Method","volume":"13","author":[{"family":"Meng","given":"Lingyi"},{"family":"Li","given":"Wenqi"},{"family":"Wang","given":"Jianxiong"},{"family":"Shi","given":"Yan"},{"family":"Hu","given":"Changqing"}],"issued":{"date-parts":[["2025",5,3]]}}}],"schema":"https://github.com/citation-style-language/schema/raw/master/csl-citation.json"} </w:instrText>
      </w:r>
      <w:r w:rsidR="00F31B9D">
        <w:fldChar w:fldCharType="separate"/>
      </w:r>
      <w:r w:rsidR="00F31B9D" w:rsidRPr="00F31B9D">
        <w:rPr>
          <w:rFonts w:cs="Arial"/>
        </w:rPr>
        <w:t>(Meng et al., 2025)</w:t>
      </w:r>
      <w:r w:rsidR="00F31B9D">
        <w:fldChar w:fldCharType="end"/>
      </w:r>
      <w:r>
        <w:t>.</w:t>
      </w:r>
    </w:p>
    <w:p w14:paraId="65A10B47" w14:textId="4BA8F65A" w:rsidR="00497FE6" w:rsidRDefault="00497FE6" w:rsidP="00497FE6">
      <w:pPr>
        <w:pStyle w:val="CETBodytext"/>
      </w:pPr>
      <w:r>
        <w:t>In conventional engineering practice, the design and operation of FGD systems are often based on empirical correlations and simplified equilibrium assumptions</w:t>
      </w:r>
      <w:r w:rsidR="006C1D12">
        <w:t xml:space="preserve"> </w:t>
      </w:r>
      <w:r w:rsidR="006C1D12">
        <w:fldChar w:fldCharType="begin"/>
      </w:r>
      <w:r w:rsidR="006C1D12">
        <w:instrText xml:space="preserve"> ADDIN ZOTERO_ITEM CSL_CITATION {"citationID":"z4RQts9C","properties":{"unsorted":false,"formattedCitation":"(Liu et al., 2023)","plainCitation":"(Liu et al., 2023)","noteIndex":0},"citationItems":[{"id":1102,"uris":["http://zotero.org/users/11636083/items/LWA4TMDL"],"itemData":{"id":1102,"type":"article-journal","container-title":"Separation and Purification Technology","DOI":"10.1016/j.seppur.2023.124475","ISSN":"13835866","journalAbbreviation":"Separation and Purification Technology","language":"en","page":"124475","source":"DOI.org (Crossref)","title":"Numerical analysis of SO2 removal characteristics in industrial flue gas desulfurization reactor by spray drying adsorption","volume":"323","author":[{"family":"Liu","given":"Peng"},{"family":"Yang","given":"Shiliang"},{"family":"Hu","given":"Jianhang"},{"family":"Wang","given":"Hua"}],"issued":{"date-parts":[["2023",10]]}}}],"schema":"https://github.com/citation-style-language/schema/raw/master/csl-citation.json"} </w:instrText>
      </w:r>
      <w:r w:rsidR="006C1D12">
        <w:fldChar w:fldCharType="separate"/>
      </w:r>
      <w:r w:rsidR="006C1D12" w:rsidRPr="006C1D12">
        <w:rPr>
          <w:rFonts w:cs="Arial"/>
        </w:rPr>
        <w:t>(Liu et al., 2023)</w:t>
      </w:r>
      <w:r w:rsidR="006C1D12">
        <w:fldChar w:fldCharType="end"/>
      </w:r>
      <w:r>
        <w:t>. While such approaches provide acceptable performance under nominal conditions, they are insufficient for capturing the detailed behavior of real systems operating under variable loads and constrained resources</w:t>
      </w:r>
      <w:r w:rsidR="006C1D12">
        <w:t xml:space="preserve"> </w:t>
      </w:r>
      <w:r w:rsidR="006C1D12">
        <w:fldChar w:fldCharType="begin"/>
      </w:r>
      <w:r w:rsidR="006C1D12">
        <w:instrText xml:space="preserve"> ADDIN ZOTERO_ITEM CSL_CITATION {"citationID":"r7MJSIj5","properties":{"unsorted":false,"formattedCitation":"(Riaz et al., 2025)","plainCitation":"(Riaz et al., 2025)","noteIndex":0},"citationItems":[{"id":1103,"uris":["http://zotero.org/users/11636083/items/INVDUPMZ"],"itemData":{"id":1103,"type":"article-journal","container-title":"Energy Nexus","DOI":"10.1016/j.nexus.2025.100534","ISSN":"27724271","journalAbbreviation":"Energy Nexus","language":"en","page":"100534","source":"DOI.org (Crossref)","title":"A machine learning based multi-objective optimization for flue gas desulfurization enhancement in coal power plants","volume":"20","author":[{"family":"Riaz","given":"Fahid"},{"family":"Awan","given":"Muhammad Rizwan"},{"family":"Nabi","given":"Hafiz Zahid"},{"family":"Uddin","given":"Ghulam Moeen"},{"family":"Sultan","given":"Muhammad"},{"family":"Asim","given":"Muhammad"}],"issued":{"date-parts":[["2025",12]]}}}],"schema":"https://github.com/citation-style-language/schema/raw/master/csl-citation.json"} </w:instrText>
      </w:r>
      <w:r w:rsidR="006C1D12">
        <w:fldChar w:fldCharType="separate"/>
      </w:r>
      <w:r w:rsidR="006C1D12" w:rsidRPr="006C1D12">
        <w:rPr>
          <w:rFonts w:cs="Arial"/>
        </w:rPr>
        <w:t>(Riaz et al., 2025)</w:t>
      </w:r>
      <w:r w:rsidR="006C1D12">
        <w:fldChar w:fldCharType="end"/>
      </w:r>
      <w:r>
        <w:t>. In particular, equilibrium-based models neglect mass transfer limitations and reaction kinetics, which are critical in determining actual absorption rates. As a result, these models may overestimate system performance or fail to identify optimal operating regimes.</w:t>
      </w:r>
    </w:p>
    <w:p w14:paraId="561F5543" w14:textId="14133C77" w:rsidR="00497FE6" w:rsidRDefault="00497FE6" w:rsidP="00497FE6">
      <w:pPr>
        <w:pStyle w:val="CETBodytext"/>
      </w:pPr>
      <w:r>
        <w:t>A key limitation in existing studies is the tendency to optimize individual process parameters independently. For example, increasing the liquid-to-gas ratio (L/G) generally improves SO</w:t>
      </w:r>
      <w:r>
        <w:rPr>
          <w:rFonts w:ascii="Cambria Math" w:hAnsi="Cambria Math" w:cs="Cambria Math"/>
        </w:rPr>
        <w:t>₂</w:t>
      </w:r>
      <w:r>
        <w:t xml:space="preserve"> removal efficiency by enhancing interfacial contact area. However, excessive liquid flow leads to higher pumping energy requirements and may </w:t>
      </w:r>
      <w:r>
        <w:lastRenderedPageBreak/>
        <w:t>reduce gas residence time, thereby offsetting performance gains</w:t>
      </w:r>
      <w:r w:rsidR="00F31B9D">
        <w:t xml:space="preserve"> </w:t>
      </w:r>
      <w:r w:rsidR="00F31B9D">
        <w:fldChar w:fldCharType="begin"/>
      </w:r>
      <w:r w:rsidR="00F31B9D">
        <w:instrText xml:space="preserve"> ADDIN ZOTERO_ITEM CSL_CITATION {"citationID":"WTlnMeIv","properties":{"unsorted":false,"formattedCitation":"(Meng et al., 2025)","plainCitation":"(Meng et al., 2025)","noteIndex":0},"citationItems":[{"id":1106,"uris":["http://zotero.org/users/11636083/items/CEHZGNNS"],"itemData":{"id":1106,"type":"article-journal","abstract":"SO2 and NOx emissions from iron and steel production pollute the atmosphere. With the implementation of ultra-low emission standards, the requirements for flue gas purification have become more stringent. Activated carbon, due to its rich surface chemistry, stable physical structure, and excellent adsorption and renewability, has a significant effect on the synergistic removal of multiple pollutants from industrial flue gas, and its industrial application has achieved a SO2 removal rate of ≥98% and a NOx removal rate of ≥83%. Firstly, we analyze the structure of activated carbon and the adsorption principle, discuss the mechanism of desulfurization and denitrification, and explore the shortcomings of the technology; then, we summarize the modification methods of activated carbon, determine the impregnation method of loading non-precious metal oxides as the optimal solution, and elucidate the loading conditions, process, and reaction mechanism; finally, we discuss the current status of the research, analyze the process deficiencies and the direction of optimization, and look forward to the prospect of development.","container-title":"Processes","DOI":"10.3390/pr13051396","ISSN":"2227-9717","issue":"5","journalAbbreviation":"Processes","language":"en","page":"1396","source":"DOI.org (Crossref)","title":"Research Progress on Flue Gas Desulfurization and Denitrification by Activated Carbon Method","volume":"13","author":[{"family":"Meng","given":"Lingyi"},{"family":"Li","given":"Wenqi"},{"family":"Wang","given":"Jianxiong"},{"family":"Shi","given":"Yan"},{"family":"Hu","given":"Changqing"}],"issued":{"date-parts":[["2025",5,3]]}}}],"schema":"https://github.com/citation-style-language/schema/raw/master/csl-citation.json"} </w:instrText>
      </w:r>
      <w:r w:rsidR="00F31B9D">
        <w:fldChar w:fldCharType="separate"/>
      </w:r>
      <w:r w:rsidR="00F31B9D" w:rsidRPr="00F31B9D">
        <w:rPr>
          <w:rFonts w:cs="Arial"/>
        </w:rPr>
        <w:t>(Meng et al., 2025)</w:t>
      </w:r>
      <w:r w:rsidR="00F31B9D">
        <w:fldChar w:fldCharType="end"/>
      </w:r>
      <w:r w:rsidR="00F31B9D">
        <w:t xml:space="preserve"> </w:t>
      </w:r>
      <w:r>
        <w:t>. Similarly, increasing slurry pH accelerates chemical reaction rates but results in higher limestone consumption and an increased risk of scaling due to calcium sulfate precipitation. These trade-offs highlight the need for a more comprehensive optimization framework that simultaneously considers multiple, often conflicting, objectives</w:t>
      </w:r>
      <w:r w:rsidR="00F31B9D">
        <w:t xml:space="preserve"> </w:t>
      </w:r>
      <w:r w:rsidR="00F31B9D">
        <w:fldChar w:fldCharType="begin"/>
      </w:r>
      <w:r w:rsidR="00F31B9D">
        <w:instrText xml:space="preserve"> ADDIN ZOTERO_ITEM CSL_CITATION {"citationID":"g1hUltM1","properties":{"unsorted":false,"formattedCitation":"(Wei et al., 2025)","plainCitation":"(Wei et al., 2025)","noteIndex":0},"citationItems":[{"id":1110,"uris":["http://zotero.org/users/11636083/items/ZAY2FPAZ"],"itemData":{"id":1110,"type":"article-journal","container-title":"Separation and Purification Technology","DOI":"10.1016/j.seppur.2025.133485","ISSN":"13835866","journalAbbreviation":"Separation and Purification Technology","language":"en","page":"133485","source":"DOI.org (Crossref)","title":"Innovative methods for capturing CO2 from semi-dry flue gas desulfurization ash: An efficient and valorization approach","title-short":"Innovative methods for capturing CO2 from semi-dry flue gas desulfurization ash","volume":"372","author":[{"family":"Wei","given":"Jiaoyang"},{"family":"Liu","given":"Lincheng"},{"family":"Gan","given":"Min"},{"family":"Li","given":"Yufeng"},{"family":"Fan","given":"Xiaohui"},{"family":"Gao","given":"Zitan"},{"family":"Sun","given":"Zengqing"},{"family":"Ji","given":"Zhiyun"},{"family":"Yuan","given":"Ruirui"}],"issued":{"date-parts":[["2025",11]]}}}],"schema":"https://github.com/citation-style-language/schema/raw/master/csl-citation.json"} </w:instrText>
      </w:r>
      <w:r w:rsidR="00F31B9D">
        <w:fldChar w:fldCharType="separate"/>
      </w:r>
      <w:r w:rsidR="00F31B9D" w:rsidRPr="00F31B9D">
        <w:rPr>
          <w:rFonts w:cs="Arial"/>
        </w:rPr>
        <w:t>(Wei et al., 2025)</w:t>
      </w:r>
      <w:r w:rsidR="00F31B9D">
        <w:fldChar w:fldCharType="end"/>
      </w:r>
      <w:r>
        <w:t>.</w:t>
      </w:r>
    </w:p>
    <w:p w14:paraId="056332B2" w14:textId="77777777" w:rsidR="00497FE6" w:rsidRDefault="00497FE6" w:rsidP="00497FE6">
      <w:pPr>
        <w:pStyle w:val="CETBodytext"/>
      </w:pPr>
      <w:r>
        <w:t>From a process systems engineering perspective, the performance of a wet FGD system is governed by tightly coupled phenomena involving transport processes and chemical equilibria. The gas–liquid mass transfer rate depends on interfacial area, diffusion coefficients, and concentration gradients, while the overall absorption capacity is influenced by reaction kinetics and slurry chemistry. Hydrodynamic factors, such as droplet size distribution and gas flow patterns, further complicate the system behavior. Consequently, any meaningful optimization strategy must account for these interactions rather than treating process variables in isolation.</w:t>
      </w:r>
    </w:p>
    <w:p w14:paraId="144725F2" w14:textId="77777777" w:rsidR="00497FE6" w:rsidRDefault="00497FE6" w:rsidP="00497FE6">
      <w:pPr>
        <w:pStyle w:val="CETBodytext"/>
      </w:pPr>
      <w:r>
        <w:t>Recent advances in rate-based modeling provide a more rigorous framework for analyzing gas–liquid absorption systems. Unlike equilibrium-stage models, rate-based approaches explicitly incorporate mass transfer resistances in both phases and allow for the inclusion of detailed reaction mechanisms. This enables more accurate prediction of system performance under varying operating conditions and provides a suitable foundation for optimization studies. However, the application of such models in conjunction with multi-objective optimization techniques remains relatively limited in the context of industrial FGD systems.</w:t>
      </w:r>
    </w:p>
    <w:p w14:paraId="4D6C199F" w14:textId="4A6F5966" w:rsidR="00497FE6" w:rsidRDefault="00497FE6" w:rsidP="00497FE6">
      <w:pPr>
        <w:pStyle w:val="CETBodytext"/>
      </w:pPr>
      <w:r>
        <w:t>In addition to technical considerations, practical operation of FGD systems is constrained by economic and operational factors. These include limitations on energy consumption, reagent availability, equipment capacity, and maintenance requirements</w:t>
      </w:r>
      <w:r w:rsidR="00F31B9D">
        <w:t xml:space="preserve"> </w:t>
      </w:r>
      <w:r w:rsidR="00F31B9D">
        <w:fldChar w:fldCharType="begin"/>
      </w:r>
      <w:r w:rsidR="00F31B9D">
        <w:instrText xml:space="preserve"> ADDIN ZOTERO_ITEM CSL_CITATION {"citationID":"QrHhdlSQ","properties":{"unsorted":false,"formattedCitation":"(Xing et al., 2023)","plainCitation":"(Xing et al., 2023)","noteIndex":0},"citationItems":[{"id":1105,"uris":["http://zotero.org/users/11636083/items/864UKQUM"],"itemData":{"id":1105,"type":"article-journal","container-title":"Environmental Science and Pollution Research","DOI":"10.1007/s11356-023-27872-8","ISSN":"1614-7499","issue":"31","journalAbbreviation":"Environ Sci Pollut Res","language":"en","page":"76471-76490","source":"DOI.org (Crossref)","title":"Application of Ca-based adsorbents in fixed-bed dry flue gas desulfurization (FGD): a critical review","title-short":"Application of Ca-based adsorbents in fixed-bed dry flue gas desulfurization (FGD)","volume":"30","author":[{"family":"Xing","given":"Gaoshan"},{"family":"Wang","given":"Wen"},{"family":"Zhao","given":"Shuai"},{"family":"Qi","given":"Liqiang"}],"issued":{"date-parts":[["2023",6,6]]}}}],"schema":"https://github.com/citation-style-language/schema/raw/master/csl-citation.json"} </w:instrText>
      </w:r>
      <w:r w:rsidR="00F31B9D">
        <w:fldChar w:fldCharType="separate"/>
      </w:r>
      <w:r w:rsidR="00F31B9D" w:rsidRPr="00F31B9D">
        <w:rPr>
          <w:rFonts w:cs="Arial"/>
        </w:rPr>
        <w:t>(Xing et al., 2023)</w:t>
      </w:r>
      <w:r w:rsidR="00F31B9D">
        <w:fldChar w:fldCharType="end"/>
      </w:r>
      <w:r>
        <w:t>. For instance, excessive slurry circulation increases operational costs, while unstable pH conditions can lead to process inefficiencies and equipment fouling. Therefore, optimization must be carried out within a constrained solution space that reflects real industrial conditions rather than idealized scenarios.</w:t>
      </w:r>
    </w:p>
    <w:p w14:paraId="28739FE1" w14:textId="77777777" w:rsidR="00497FE6" w:rsidRDefault="00497FE6" w:rsidP="00497FE6">
      <w:pPr>
        <w:pStyle w:val="CETBodytext"/>
      </w:pPr>
      <w:r>
        <w:t>This study aims to address these challenges by developing a rate-based model of a hybrid wet FGD system and applying a multi-objective optimization framework to identify an operationally optimal regime. The focus is not on maximizing a single performance indicator, but rather on achieving a balanced trade-off between SO</w:t>
      </w:r>
      <w:r>
        <w:rPr>
          <w:rFonts w:ascii="Cambria Math" w:hAnsi="Cambria Math" w:cs="Cambria Math"/>
        </w:rPr>
        <w:t>₂</w:t>
      </w:r>
      <w:r>
        <w:t xml:space="preserve"> removal efficiency, energy consumption, and reagent utilization. By integrating transport phenomena, reaction kinetics, and hydrodynamic effects into a unified modeling approach, the study provides a more realistic representation of system behavior.</w:t>
      </w:r>
    </w:p>
    <w:p w14:paraId="5AC8F206" w14:textId="2029B834" w:rsidR="00DB2AB8" w:rsidRPr="00DB2AB8" w:rsidRDefault="00497FE6" w:rsidP="00497FE6">
      <w:pPr>
        <w:pStyle w:val="CETBodytext"/>
      </w:pPr>
      <w:r>
        <w:t>The novelty of this work lies in the combined application of rate-based modeling and constrained multi-objective optimization to a hybrid wet FGD configuration. Unlike conventional studies that rely on simplified assumptions or single-objective optimization, the present approach captures the complex interactions between process variables and identifies optimal operating conditions within practical limits. The results contribute to a deeper understanding of FGD system performance and provide actionable insights for improving both environmental compliance and economic efficiency in industrial emission control systems.</w:t>
      </w:r>
    </w:p>
    <w:p w14:paraId="2B49C47D" w14:textId="27D9B312" w:rsidR="00DB2AB8" w:rsidRPr="00DB2AB8" w:rsidRDefault="00DB2AB8" w:rsidP="00497FE6">
      <w:pPr>
        <w:pStyle w:val="CETHeading1"/>
      </w:pPr>
      <w:r w:rsidRPr="00DB2AB8">
        <w:t>Methodology</w:t>
      </w:r>
    </w:p>
    <w:p w14:paraId="1DA12BA3" w14:textId="77777777" w:rsidR="00497FE6" w:rsidRPr="00497FE6" w:rsidRDefault="00497FE6" w:rsidP="00497FE6">
      <w:pPr>
        <w:pStyle w:val="CETBodytext"/>
      </w:pPr>
      <w:r w:rsidRPr="00497FE6">
        <w:t>The methodological framework of this study is based on the integration of detailed process modeling, parametric sensitivity analysis, and constrained multi-objective optimization. The objective is to accurately represent the physical and chemical mechanisms governing sulfur dioxide (SO</w:t>
      </w:r>
      <w:r w:rsidRPr="00497FE6">
        <w:rPr>
          <w:rFonts w:ascii="Cambria Math" w:hAnsi="Cambria Math" w:cs="Cambria Math"/>
        </w:rPr>
        <w:t>₂</w:t>
      </w:r>
      <w:r w:rsidRPr="00497FE6">
        <w:t>) absorption in a hybrid wet flue gas desulfurization (FGD) system and to identify an optimal operating regime under realistic industrial constraints.</w:t>
      </w:r>
    </w:p>
    <w:p w14:paraId="4B13D20C" w14:textId="77777777" w:rsidR="00497FE6" w:rsidRPr="00497FE6" w:rsidRDefault="00497FE6" w:rsidP="00497FE6">
      <w:pPr>
        <w:pStyle w:val="CETBodytext"/>
      </w:pPr>
      <w:r w:rsidRPr="00497FE6">
        <w:t>The system configuration consists of four main units: a flue gas cooling section, a spray-based absorption column, a recirculating limestone slurry loop, and a mist elimination stage. The inlet flue gas is first cooled from 165°C to near saturation conditions to enhance absorption efficiency and protect downstream equipment. The cooled gas then enters a vertical spray absorber, where it comes into contact with atomized limestone slurry droplets. The treated gas exits through a mist eliminator, which removes entrained liquid particles before discharge.</w:t>
      </w:r>
    </w:p>
    <w:p w14:paraId="1C22229C" w14:textId="34E24B20" w:rsidR="00497FE6" w:rsidRDefault="00497FE6" w:rsidP="006A6599">
      <w:pPr>
        <w:pStyle w:val="CETBodytext"/>
      </w:pPr>
      <w:r w:rsidRPr="00497FE6">
        <w:t xml:space="preserve">The process is modeled using a rate-based gas–liquid absorption approach, which explicitly accounts for transport phenomena and chemical reaction kinetics. </w:t>
      </w:r>
    </w:p>
    <w:p w14:paraId="66A69536" w14:textId="77777777" w:rsidR="006A6599" w:rsidRPr="006A6599" w:rsidRDefault="006A6599" w:rsidP="006A6599">
      <w:pPr>
        <w:pStyle w:val="CETBodytext"/>
      </w:pPr>
      <w:r w:rsidRPr="006A6599">
        <w:t>The local SO</w:t>
      </w:r>
      <w:r w:rsidRPr="006A6599">
        <w:rPr>
          <w:rFonts w:ascii="Cambria Math" w:hAnsi="Cambria Math" w:cs="Cambria Math"/>
        </w:rPr>
        <w:t>₂</w:t>
      </w:r>
      <w:r w:rsidRPr="006A6599">
        <w:t xml:space="preserve"> transfer rate was represented using the two-film concept:</w:t>
      </w:r>
    </w:p>
    <w:p w14:paraId="1FB73021" w14:textId="73DD54D0" w:rsidR="006A6599" w:rsidRPr="006A6599" w:rsidRDefault="006A6599" w:rsidP="006A6599">
      <w:pPr>
        <w:pStyle w:val="CETBodytext"/>
      </w:pPr>
      <m:oMathPara>
        <m:oMath>
          <m:m>
            <m:mPr>
              <m:plcHide m:val="1"/>
              <m:mcs>
                <m:mc>
                  <m:mcPr>
                    <m:count m:val="4"/>
                    <m:mcJc m:val="center"/>
                  </m:mcPr>
                </m:mc>
              </m:mcs>
              <m:ctrlPr>
                <w:rPr>
                  <w:rFonts w:ascii="Cambria Math" w:hAnsi="Cambria Math"/>
                  <w:lang w:val="ru-RU"/>
                </w:rPr>
              </m:ctrlPr>
            </m:mPr>
            <m:mr>
              <m:e/>
              <m:e>
                <m:sSub>
                  <m:sSubPr>
                    <m:ctrlPr>
                      <w:rPr>
                        <w:rFonts w:ascii="Cambria Math" w:hAnsi="Cambria Math"/>
                        <w:lang w:val="ru-RU"/>
                      </w:rPr>
                    </m:ctrlPr>
                  </m:sSubPr>
                  <m:e>
                    <m:r>
                      <w:rPr>
                        <w:rFonts w:ascii="Cambria Math" w:hAnsi="Cambria Math"/>
                        <w:lang w:val="ru-RU"/>
                      </w:rPr>
                      <m:t>N</m:t>
                    </m:r>
                  </m:e>
                  <m:sub>
                    <m:r>
                      <w:rPr>
                        <w:rFonts w:ascii="Cambria Math" w:hAnsi="Cambria Math"/>
                        <w:lang w:val="ru-RU"/>
                      </w:rPr>
                      <m:t>S</m:t>
                    </m:r>
                    <m:sSub>
                      <m:sSubPr>
                        <m:ctrlPr>
                          <w:rPr>
                            <w:rFonts w:ascii="Cambria Math" w:hAnsi="Cambria Math"/>
                            <w:lang w:val="ru-RU"/>
                          </w:rPr>
                        </m:ctrlPr>
                      </m:sSubPr>
                      <m:e>
                        <m:r>
                          <w:rPr>
                            <w:rFonts w:ascii="Cambria Math" w:hAnsi="Cambria Math"/>
                            <w:lang w:val="ru-RU"/>
                          </w:rPr>
                          <m:t>O</m:t>
                        </m:r>
                      </m:e>
                      <m:sub>
                        <m:r>
                          <w:rPr>
                            <w:rFonts w:ascii="Cambria Math" w:hAnsi="Cambria Math"/>
                          </w:rPr>
                          <m:t>2</m:t>
                        </m:r>
                      </m:sub>
                    </m:sSub>
                  </m:sub>
                </m:sSub>
                <m:r>
                  <w:rPr>
                    <w:rFonts w:ascii="Cambria Math" w:hAnsi="Cambria Math"/>
                  </w:rPr>
                  <m:t>=</m:t>
                </m:r>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G</m:t>
                    </m:r>
                  </m:sub>
                </m:sSub>
                <m:r>
                  <w:rPr>
                    <w:rFonts w:ascii="Cambria Math" w:hAnsi="Cambria Math"/>
                    <w:lang w:val="ru-RU"/>
                  </w:rPr>
                  <m:t>a</m:t>
                </m:r>
                <m:d>
                  <m:dPr>
                    <m:ctrlPr>
                      <w:rPr>
                        <w:rFonts w:ascii="Cambria Math" w:hAnsi="Cambria Math"/>
                        <w:lang w:val="ru-RU"/>
                      </w:rPr>
                    </m:ctrlPr>
                  </m:dPr>
                  <m:e>
                    <m:sSub>
                      <m:sSubPr>
                        <m:ctrlPr>
                          <w:rPr>
                            <w:rFonts w:ascii="Cambria Math" w:hAnsi="Cambria Math"/>
                            <w:lang w:val="ru-RU"/>
                          </w:rPr>
                        </m:ctrlPr>
                      </m:sSubPr>
                      <m:e>
                        <m:r>
                          <w:rPr>
                            <w:rFonts w:ascii="Cambria Math" w:hAnsi="Cambria Math"/>
                            <w:lang w:val="ru-RU"/>
                          </w:rPr>
                          <m:t>C</m:t>
                        </m:r>
                      </m:e>
                      <m:sub>
                        <m:r>
                          <w:rPr>
                            <w:rFonts w:ascii="Cambria Math" w:hAnsi="Cambria Math"/>
                            <w:lang w:val="ru-RU"/>
                          </w:rPr>
                          <m:t>S</m:t>
                        </m:r>
                        <m:sSub>
                          <m:sSubPr>
                            <m:ctrlPr>
                              <w:rPr>
                                <w:rFonts w:ascii="Cambria Math" w:hAnsi="Cambria Math"/>
                                <w:lang w:val="ru-RU"/>
                              </w:rPr>
                            </m:ctrlPr>
                          </m:sSubPr>
                          <m:e>
                            <m:r>
                              <w:rPr>
                                <w:rFonts w:ascii="Cambria Math" w:hAnsi="Cambria Math"/>
                                <w:lang w:val="ru-RU"/>
                              </w:rPr>
                              <m:t>O</m:t>
                            </m:r>
                          </m:e>
                          <m:sub>
                            <m:r>
                              <w:rPr>
                                <w:rFonts w:ascii="Cambria Math" w:hAnsi="Cambria Math"/>
                              </w:rPr>
                              <m:t>2</m:t>
                            </m:r>
                          </m:sub>
                        </m:sSub>
                        <m:r>
                          <w:rPr>
                            <w:rFonts w:ascii="Cambria Math" w:hAnsi="Cambria Math"/>
                          </w:rPr>
                          <m:t>,</m:t>
                        </m:r>
                        <m:r>
                          <w:rPr>
                            <w:rFonts w:ascii="Cambria Math" w:hAnsi="Cambria Math"/>
                            <w:lang w:val="ru-RU"/>
                          </w:rPr>
                          <m:t>G</m:t>
                        </m:r>
                      </m:sub>
                    </m:sSub>
                    <m:r>
                      <w:rPr>
                        <w:rFonts w:ascii="Cambria Math" w:hAnsi="Cambria Math"/>
                      </w:rPr>
                      <m:t>-</m:t>
                    </m:r>
                    <m:sSubSup>
                      <m:sSubSupPr>
                        <m:ctrlPr>
                          <w:rPr>
                            <w:rFonts w:ascii="Cambria Math" w:hAnsi="Cambria Math"/>
                            <w:lang w:val="ru-RU"/>
                          </w:rPr>
                        </m:ctrlPr>
                      </m:sSubSupPr>
                      <m:e>
                        <m:r>
                          <w:rPr>
                            <w:rFonts w:ascii="Cambria Math" w:hAnsi="Cambria Math"/>
                            <w:lang w:val="ru-RU"/>
                          </w:rPr>
                          <m:t>C</m:t>
                        </m:r>
                      </m:e>
                      <m:sub>
                        <m:r>
                          <w:rPr>
                            <w:rFonts w:ascii="Cambria Math" w:hAnsi="Cambria Math"/>
                            <w:lang w:val="ru-RU"/>
                          </w:rPr>
                          <m:t>S</m:t>
                        </m:r>
                        <m:sSub>
                          <m:sSubPr>
                            <m:ctrlPr>
                              <w:rPr>
                                <w:rFonts w:ascii="Cambria Math" w:hAnsi="Cambria Math"/>
                                <w:lang w:val="ru-RU"/>
                              </w:rPr>
                            </m:ctrlPr>
                          </m:sSubPr>
                          <m:e>
                            <m:r>
                              <w:rPr>
                                <w:rFonts w:ascii="Cambria Math" w:hAnsi="Cambria Math"/>
                                <w:lang w:val="ru-RU"/>
                              </w:rPr>
                              <m:t>O</m:t>
                            </m:r>
                          </m:e>
                          <m:sub>
                            <m:r>
                              <w:rPr>
                                <w:rFonts w:ascii="Cambria Math" w:hAnsi="Cambria Math"/>
                              </w:rPr>
                              <m:t>2</m:t>
                            </m:r>
                          </m:sub>
                        </m:sSub>
                        <m:r>
                          <w:rPr>
                            <w:rFonts w:ascii="Cambria Math" w:hAnsi="Cambria Math"/>
                          </w:rPr>
                          <m:t>,</m:t>
                        </m:r>
                        <m:r>
                          <w:rPr>
                            <w:rFonts w:ascii="Cambria Math" w:hAnsi="Cambria Math"/>
                            <w:lang w:val="ru-RU"/>
                          </w:rPr>
                          <m:t>G</m:t>
                        </m:r>
                      </m:sub>
                      <m:sup>
                        <m:r>
                          <w:rPr>
                            <w:rFonts w:ascii="Cambria Math" w:hAnsi="Cambria Math"/>
                          </w:rPr>
                          <m:t>*</m:t>
                        </m:r>
                      </m:sup>
                    </m:sSubSup>
                  </m:e>
                </m:d>
              </m:e>
              <m:e/>
              <m:e>
                <m:r>
                  <m:rPr>
                    <m:nor/>
                  </m:rPr>
                  <m:t>(1)</m:t>
                </m:r>
              </m:e>
            </m:mr>
          </m:m>
          <m:r>
            <w:br/>
          </m:r>
        </m:oMath>
      </m:oMathPara>
    </w:p>
    <w:p w14:paraId="51BE30F6" w14:textId="3D5524E5" w:rsidR="006A6599" w:rsidRPr="006A6599" w:rsidRDefault="006A6599" w:rsidP="006A6599">
      <w:pPr>
        <w:pStyle w:val="CETBodytext"/>
      </w:pPr>
      <w:r w:rsidRPr="006A6599">
        <w:t xml:space="preserve">where </w:t>
      </w:r>
      <m:oMath>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G</m:t>
            </m:r>
          </m:sub>
        </m:sSub>
      </m:oMath>
      <w:r w:rsidRPr="006A6599">
        <w:t xml:space="preserve">is the overall gas-phase mass-transfer coefficient, </w:t>
      </w:r>
      <m:oMath>
        <m:r>
          <w:rPr>
            <w:rFonts w:ascii="Cambria Math" w:hAnsi="Cambria Math"/>
            <w:lang w:val="ru-RU"/>
          </w:rPr>
          <m:t>a</m:t>
        </m:r>
      </m:oMath>
      <w:r w:rsidRPr="006A6599">
        <w:t xml:space="preserve">is the effective gas–liquid interfacial area, and </w:t>
      </w:r>
      <m:oMath>
        <m:sSubSup>
          <m:sSubSupPr>
            <m:ctrlPr>
              <w:rPr>
                <w:rFonts w:ascii="Cambria Math" w:hAnsi="Cambria Math"/>
                <w:lang w:val="ru-RU"/>
              </w:rPr>
            </m:ctrlPr>
          </m:sSubSupPr>
          <m:e>
            <m:r>
              <w:rPr>
                <w:rFonts w:ascii="Cambria Math" w:hAnsi="Cambria Math"/>
                <w:lang w:val="ru-RU"/>
              </w:rPr>
              <m:t>C</m:t>
            </m:r>
          </m:e>
          <m:sub>
            <m:r>
              <w:rPr>
                <w:rFonts w:ascii="Cambria Math" w:hAnsi="Cambria Math"/>
                <w:lang w:val="ru-RU"/>
              </w:rPr>
              <m:t>S</m:t>
            </m:r>
            <m:sSub>
              <m:sSubPr>
                <m:ctrlPr>
                  <w:rPr>
                    <w:rFonts w:ascii="Cambria Math" w:hAnsi="Cambria Math"/>
                    <w:lang w:val="ru-RU"/>
                  </w:rPr>
                </m:ctrlPr>
              </m:sSubPr>
              <m:e>
                <m:r>
                  <w:rPr>
                    <w:rFonts w:ascii="Cambria Math" w:hAnsi="Cambria Math"/>
                    <w:lang w:val="ru-RU"/>
                  </w:rPr>
                  <m:t>O</m:t>
                </m:r>
              </m:e>
              <m:sub>
                <m:r>
                  <w:rPr>
                    <w:rFonts w:ascii="Cambria Math" w:hAnsi="Cambria Math"/>
                  </w:rPr>
                  <m:t>2</m:t>
                </m:r>
              </m:sub>
            </m:sSub>
            <m:r>
              <w:rPr>
                <w:rFonts w:ascii="Cambria Math" w:hAnsi="Cambria Math"/>
              </w:rPr>
              <m:t>,</m:t>
            </m:r>
            <m:r>
              <w:rPr>
                <w:rFonts w:ascii="Cambria Math" w:hAnsi="Cambria Math"/>
                <w:lang w:val="ru-RU"/>
              </w:rPr>
              <m:t>G</m:t>
            </m:r>
          </m:sub>
          <m:sup>
            <m:r>
              <w:rPr>
                <w:rFonts w:ascii="Cambria Math" w:hAnsi="Cambria Math"/>
              </w:rPr>
              <m:t>*</m:t>
            </m:r>
          </m:sup>
        </m:sSubSup>
      </m:oMath>
      <w:r w:rsidRPr="006A6599">
        <w:t>is the equilibrium concentration corresponding to the liquid-phase conditions. For the optimization calculations, the rate-based model was expressed in terms of an effective number of transfer units:</w:t>
      </w:r>
    </w:p>
    <w:p w14:paraId="08693872" w14:textId="2B7147A8" w:rsidR="006A6599" w:rsidRPr="006A6599" w:rsidRDefault="006A6599" w:rsidP="006A6599">
      <w:pPr>
        <w:pStyle w:val="CETBodytext"/>
      </w:pPr>
      <m:oMathPara>
        <m:oMath>
          <m:m>
            <m:mPr>
              <m:plcHide m:val="1"/>
              <m:mcs>
                <m:mc>
                  <m:mcPr>
                    <m:count m:val="4"/>
                    <m:mcJc m:val="center"/>
                  </m:mcPr>
                </m:mc>
              </m:mcs>
              <m:ctrlPr>
                <w:rPr>
                  <w:rFonts w:ascii="Cambria Math" w:hAnsi="Cambria Math"/>
                  <w:lang w:val="ru-RU"/>
                </w:rPr>
              </m:ctrlPr>
            </m:mPr>
            <m:mr>
              <m:e/>
              <m:e>
                <m:sSub>
                  <m:sSubPr>
                    <m:ctrlPr>
                      <w:rPr>
                        <w:rFonts w:ascii="Cambria Math" w:hAnsi="Cambria Math"/>
                        <w:lang w:val="ru-RU"/>
                      </w:rPr>
                    </m:ctrlPr>
                  </m:sSubPr>
                  <m:e>
                    <m:r>
                      <w:rPr>
                        <w:rFonts w:ascii="Cambria Math" w:hAnsi="Cambria Math"/>
                        <w:lang w:val="ru-RU"/>
                      </w:rPr>
                      <m:t>η</m:t>
                    </m:r>
                  </m:e>
                  <m:sub>
                    <m:r>
                      <w:rPr>
                        <w:rFonts w:ascii="Cambria Math" w:hAnsi="Cambria Math"/>
                        <w:lang w:val="ru-RU"/>
                      </w:rPr>
                      <m:t>S</m:t>
                    </m:r>
                    <m:sSub>
                      <m:sSubPr>
                        <m:ctrlPr>
                          <w:rPr>
                            <w:rFonts w:ascii="Cambria Math" w:hAnsi="Cambria Math"/>
                            <w:lang w:val="ru-RU"/>
                          </w:rPr>
                        </m:ctrlPr>
                      </m:sSubPr>
                      <m:e>
                        <m:r>
                          <w:rPr>
                            <w:rFonts w:ascii="Cambria Math" w:hAnsi="Cambria Math"/>
                            <w:lang w:val="ru-RU"/>
                          </w:rPr>
                          <m:t>O</m:t>
                        </m:r>
                      </m:e>
                      <m:sub>
                        <m:r>
                          <w:rPr>
                            <w:rFonts w:ascii="Cambria Math" w:hAnsi="Cambria Math"/>
                          </w:rPr>
                          <m:t>2</m:t>
                        </m:r>
                      </m:sub>
                    </m:sSub>
                  </m:sub>
                </m:sSub>
                <m:r>
                  <w:rPr>
                    <w:rFonts w:ascii="Cambria Math" w:hAnsi="Cambria Math"/>
                  </w:rPr>
                  <m:t>=1-</m:t>
                </m:r>
                <m:r>
                  <m:rPr>
                    <m:sty m:val="p"/>
                  </m:rPr>
                  <w:rPr>
                    <w:rFonts w:ascii="Cambria Math" w:hAnsi="Cambria Math"/>
                  </w:rPr>
                  <m:t>exp</m:t>
                </m:r>
                <m:r>
                  <w:rPr>
                    <w:rFonts w:ascii="Cambria Math" w:hAnsi="Cambria Math"/>
                  </w:rPr>
                  <m:t>⁡</m:t>
                </m:r>
                <m:d>
                  <m:dPr>
                    <m:ctrlPr>
                      <w:rPr>
                        <w:rFonts w:ascii="Cambria Math" w:hAnsi="Cambria Math"/>
                        <w:lang w:val="ru-RU"/>
                      </w:rPr>
                    </m:ctrlPr>
                  </m:dPr>
                  <m:e>
                    <m:r>
                      <w:rPr>
                        <w:rFonts w:ascii="Cambria Math" w:hAnsi="Cambria Math"/>
                      </w:rPr>
                      <m:t>-</m:t>
                    </m:r>
                    <m:r>
                      <w:rPr>
                        <w:rFonts w:ascii="Cambria Math" w:hAnsi="Cambria Math"/>
                        <w:lang w:val="ru-RU"/>
                      </w:rPr>
                      <m:t>NTU</m:t>
                    </m:r>
                  </m:e>
                </m:d>
              </m:e>
              <m:e/>
              <m:e>
                <m:r>
                  <m:rPr>
                    <m:nor/>
                  </m:rPr>
                  <m:t>(2)</m:t>
                </m:r>
              </m:e>
            </m:mr>
          </m:m>
          <m:r>
            <w:br/>
          </m:r>
        </m:oMath>
        <m:oMath>
          <m:m>
            <m:mPr>
              <m:plcHide m:val="1"/>
              <m:mcs>
                <m:mc>
                  <m:mcPr>
                    <m:count m:val="4"/>
                    <m:mcJc m:val="center"/>
                  </m:mcPr>
                </m:mc>
              </m:mcs>
              <m:ctrlPr>
                <w:rPr>
                  <w:rFonts w:ascii="Cambria Math" w:hAnsi="Cambria Math"/>
                  <w:lang w:val="ru-RU"/>
                </w:rPr>
              </m:ctrlPr>
            </m:mPr>
            <m:mr>
              <m:e/>
              <m:e>
                <m:r>
                  <w:rPr>
                    <w:rFonts w:ascii="Cambria Math" w:hAnsi="Cambria Math"/>
                    <w:lang w:val="ru-RU"/>
                  </w:rPr>
                  <m:t>NTU</m:t>
                </m:r>
                <m:r>
                  <w:rPr>
                    <w:rFonts w:ascii="Cambria Math" w:hAnsi="Cambria Math"/>
                  </w:rPr>
                  <m:t>=2.244</m:t>
                </m:r>
                <m:sSup>
                  <m:sSupPr>
                    <m:ctrlPr>
                      <w:rPr>
                        <w:rFonts w:ascii="Cambria Math" w:hAnsi="Cambria Math"/>
                        <w:lang w:val="ru-RU"/>
                      </w:rPr>
                    </m:ctrlPr>
                  </m:sSupPr>
                  <m:e>
                    <m:d>
                      <m:dPr>
                        <m:ctrlPr>
                          <w:rPr>
                            <w:rFonts w:ascii="Cambria Math" w:hAnsi="Cambria Math"/>
                            <w:lang w:val="ru-RU"/>
                          </w:rPr>
                        </m:ctrlPr>
                      </m:dPr>
                      <m:e>
                        <m:f>
                          <m:fPr>
                            <m:ctrlPr>
                              <w:rPr>
                                <w:rFonts w:ascii="Cambria Math" w:hAnsi="Cambria Math"/>
                                <w:lang w:val="ru-RU"/>
                              </w:rPr>
                            </m:ctrlPr>
                          </m:fPr>
                          <m:num>
                            <m:r>
                              <w:rPr>
                                <w:rFonts w:ascii="Cambria Math" w:hAnsi="Cambria Math"/>
                                <w:lang w:val="ru-RU"/>
                              </w:rPr>
                              <m:t>L</m:t>
                            </m:r>
                            <m:r>
                              <w:rPr>
                                <w:rFonts w:ascii="Cambria Math" w:hAnsi="Cambria Math"/>
                              </w:rPr>
                              <m:t>/</m:t>
                            </m:r>
                            <m:r>
                              <w:rPr>
                                <w:rFonts w:ascii="Cambria Math" w:hAnsi="Cambria Math"/>
                                <w:lang w:val="ru-RU"/>
                              </w:rPr>
                              <m:t>G</m:t>
                            </m:r>
                          </m:num>
                          <m:den>
                            <m:r>
                              <w:rPr>
                                <w:rFonts w:ascii="Cambria Math" w:hAnsi="Cambria Math"/>
                              </w:rPr>
                              <m:t>7.2</m:t>
                            </m:r>
                          </m:den>
                        </m:f>
                      </m:e>
                    </m:d>
                  </m:e>
                  <m:sup>
                    <m:r>
                      <w:rPr>
                        <w:rFonts w:ascii="Cambria Math" w:hAnsi="Cambria Math"/>
                      </w:rPr>
                      <m:t>0.55</m:t>
                    </m:r>
                  </m:sup>
                </m:sSup>
                <m:d>
                  <m:dPr>
                    <m:ctrlPr>
                      <w:rPr>
                        <w:rFonts w:ascii="Cambria Math" w:hAnsi="Cambria Math"/>
                        <w:lang w:val="ru-RU"/>
                      </w:rPr>
                    </m:ctrlPr>
                  </m:dPr>
                  <m:e>
                    <m:f>
                      <m:fPr>
                        <m:ctrlPr>
                          <w:rPr>
                            <w:rFonts w:ascii="Cambria Math" w:hAnsi="Cambria Math"/>
                            <w:lang w:val="ru-RU"/>
                          </w:rPr>
                        </m:ctrlPr>
                      </m:fPr>
                      <m:num>
                        <m:r>
                          <w:rPr>
                            <w:rFonts w:ascii="Cambria Math" w:hAnsi="Cambria Math"/>
                            <w:lang w:val="ru-RU"/>
                          </w:rPr>
                          <m:t>H</m:t>
                        </m:r>
                      </m:num>
                      <m:den>
                        <m:r>
                          <w:rPr>
                            <w:rFonts w:ascii="Cambria Math" w:hAnsi="Cambria Math"/>
                          </w:rPr>
                          <m:t>5.5</m:t>
                        </m:r>
                      </m:den>
                    </m:f>
                  </m:e>
                </m:d>
                <m:sSup>
                  <m:sSupPr>
                    <m:ctrlPr>
                      <w:rPr>
                        <w:rFonts w:ascii="Cambria Math" w:hAnsi="Cambria Math"/>
                        <w:lang w:val="ru-RU"/>
                      </w:rPr>
                    </m:ctrlPr>
                  </m:sSupPr>
                  <m:e>
                    <m:d>
                      <m:dPr>
                        <m:ctrlPr>
                          <w:rPr>
                            <w:rFonts w:ascii="Cambria Math" w:hAnsi="Cambria Math"/>
                            <w:lang w:val="ru-RU"/>
                          </w:rPr>
                        </m:ctrlPr>
                      </m:dPr>
                      <m:e>
                        <m:f>
                          <m:fPr>
                            <m:ctrlPr>
                              <w:rPr>
                                <w:rFonts w:ascii="Cambria Math" w:hAnsi="Cambria Math"/>
                                <w:lang w:val="ru-RU"/>
                              </w:rPr>
                            </m:ctrlPr>
                          </m:fPr>
                          <m:num>
                            <m:r>
                              <w:rPr>
                                <w:rFonts w:ascii="Cambria Math" w:hAnsi="Cambria Math"/>
                              </w:rPr>
                              <m:t>2.0</m:t>
                            </m:r>
                          </m:num>
                          <m:den>
                            <m:sSub>
                              <m:sSubPr>
                                <m:ctrlPr>
                                  <w:rPr>
                                    <w:rFonts w:ascii="Cambria Math" w:hAnsi="Cambria Math"/>
                                    <w:lang w:val="ru-RU"/>
                                  </w:rPr>
                                </m:ctrlPr>
                              </m:sSubPr>
                              <m:e>
                                <m:r>
                                  <w:rPr>
                                    <w:rFonts w:ascii="Cambria Math" w:hAnsi="Cambria Math"/>
                                    <w:lang w:val="ru-RU"/>
                                  </w:rPr>
                                  <m:t>d</m:t>
                                </m:r>
                              </m:e>
                              <m:sub>
                                <m:r>
                                  <w:rPr>
                                    <w:rFonts w:ascii="Cambria Math" w:hAnsi="Cambria Math"/>
                                  </w:rPr>
                                  <m:t>32</m:t>
                                </m:r>
                              </m:sub>
                            </m:sSub>
                          </m:den>
                        </m:f>
                      </m:e>
                    </m:d>
                  </m:e>
                  <m:sup>
                    <m:r>
                      <w:rPr>
                        <w:rFonts w:ascii="Cambria Math" w:hAnsi="Cambria Math"/>
                      </w:rPr>
                      <m:t>0.45</m:t>
                    </m:r>
                  </m:sup>
                </m:sSup>
                <m:r>
                  <m:rPr>
                    <m:sty m:val="p"/>
                  </m:rPr>
                  <w:rPr>
                    <w:rFonts w:ascii="Cambria Math" w:hAnsi="Cambria Math"/>
                  </w:rPr>
                  <m:t>exp</m:t>
                </m:r>
                <m:r>
                  <w:rPr>
                    <w:rFonts w:ascii="Cambria Math" w:hAnsi="Cambria Math"/>
                  </w:rPr>
                  <m:t>⁡</m:t>
                </m:r>
                <m:d>
                  <m:dPr>
                    <m:begChr m:val="["/>
                    <m:endChr m:val="]"/>
                    <m:ctrlPr>
                      <w:rPr>
                        <w:rFonts w:ascii="Cambria Math" w:hAnsi="Cambria Math"/>
                        <w:lang w:val="ru-RU"/>
                      </w:rPr>
                    </m:ctrlPr>
                  </m:dPr>
                  <m:e>
                    <m:r>
                      <w:rPr>
                        <w:rFonts w:ascii="Cambria Math" w:hAnsi="Cambria Math"/>
                      </w:rPr>
                      <m:t>0.34</m:t>
                    </m:r>
                    <m:d>
                      <m:dPr>
                        <m:ctrlPr>
                          <w:rPr>
                            <w:rFonts w:ascii="Cambria Math" w:hAnsi="Cambria Math"/>
                            <w:lang w:val="ru-RU"/>
                          </w:rPr>
                        </m:ctrlPr>
                      </m:dPr>
                      <m:e>
                        <m:r>
                          <w:rPr>
                            <w:rFonts w:ascii="Cambria Math" w:hAnsi="Cambria Math"/>
                            <w:lang w:val="ru-RU"/>
                          </w:rPr>
                          <m:t>pH</m:t>
                        </m:r>
                        <m:r>
                          <w:rPr>
                            <w:rFonts w:ascii="Cambria Math" w:hAnsi="Cambria Math"/>
                          </w:rPr>
                          <m:t>-5.0</m:t>
                        </m:r>
                      </m:e>
                    </m:d>
                  </m:e>
                </m:d>
              </m:e>
              <m:e/>
              <m:e>
                <m:r>
                  <m:rPr>
                    <m:nor/>
                  </m:rPr>
                  <m:t>(3)</m:t>
                </m:r>
              </m:e>
            </m:mr>
          </m:m>
          <m:r>
            <w:br/>
          </m:r>
        </m:oMath>
      </m:oMathPara>
    </w:p>
    <w:p w14:paraId="47A7102E" w14:textId="0C229F3B" w:rsidR="006A6599" w:rsidRPr="006A6599" w:rsidRDefault="006A6599" w:rsidP="006A6599">
      <w:pPr>
        <w:pStyle w:val="CETBodytext"/>
      </w:pPr>
      <w:r w:rsidRPr="006A6599">
        <w:t xml:space="preserve">where </w:t>
      </w:r>
      <m:oMath>
        <m:r>
          <w:rPr>
            <w:rFonts w:ascii="Cambria Math" w:hAnsi="Cambria Math"/>
            <w:lang w:val="ru-RU"/>
          </w:rPr>
          <m:t>L</m:t>
        </m:r>
        <m:r>
          <w:rPr>
            <w:rFonts w:ascii="Cambria Math" w:hAnsi="Cambria Math"/>
          </w:rPr>
          <m:t>/</m:t>
        </m:r>
        <m:r>
          <w:rPr>
            <w:rFonts w:ascii="Cambria Math" w:hAnsi="Cambria Math"/>
            <w:lang w:val="ru-RU"/>
          </w:rPr>
          <m:t>G</m:t>
        </m:r>
      </m:oMath>
      <w:r w:rsidRPr="006A6599">
        <w:t xml:space="preserve">is expressed in L/m³, </w:t>
      </w:r>
      <m:oMath>
        <m:r>
          <w:rPr>
            <w:rFonts w:ascii="Cambria Math" w:hAnsi="Cambria Math"/>
            <w:lang w:val="ru-RU"/>
          </w:rPr>
          <m:t>H</m:t>
        </m:r>
      </m:oMath>
      <w:r w:rsidRPr="006A6599">
        <w:t xml:space="preserve">in m, and </w:t>
      </w:r>
      <m:oMath>
        <m:sSub>
          <m:sSubPr>
            <m:ctrlPr>
              <w:rPr>
                <w:rFonts w:ascii="Cambria Math" w:hAnsi="Cambria Math"/>
                <w:lang w:val="ru-RU"/>
              </w:rPr>
            </m:ctrlPr>
          </m:sSubPr>
          <m:e>
            <m:r>
              <w:rPr>
                <w:rFonts w:ascii="Cambria Math" w:hAnsi="Cambria Math"/>
                <w:lang w:val="ru-RU"/>
              </w:rPr>
              <m:t>d</m:t>
            </m:r>
          </m:e>
          <m:sub>
            <m:r>
              <w:rPr>
                <w:rFonts w:ascii="Cambria Math" w:hAnsi="Cambria Math"/>
              </w:rPr>
              <m:t>32</m:t>
            </m:r>
          </m:sub>
        </m:sSub>
      </m:oMath>
      <w:r w:rsidRPr="006A6599">
        <w:t xml:space="preserve">in mm. The reference value </w:t>
      </w:r>
      <m:oMath>
        <m:r>
          <w:rPr>
            <w:rFonts w:ascii="Cambria Math" w:hAnsi="Cambria Math"/>
            <w:lang w:val="ru-RU"/>
          </w:rPr>
          <m:t>NTU</m:t>
        </m:r>
        <m:r>
          <w:rPr>
            <w:rFonts w:ascii="Cambria Math" w:hAnsi="Cambria Math"/>
          </w:rPr>
          <m:t>=2.244</m:t>
        </m:r>
      </m:oMath>
      <w:r w:rsidRPr="006A6599">
        <w:t>was obtained from the baseline SO</w:t>
      </w:r>
      <w:r w:rsidRPr="006A6599">
        <w:rPr>
          <w:rFonts w:ascii="Cambria Math" w:hAnsi="Cambria Math" w:cs="Cambria Math"/>
        </w:rPr>
        <w:t>₂</w:t>
      </w:r>
      <w:r w:rsidRPr="006A6599">
        <w:t xml:space="preserve"> removal efficiency of 89.4%. The pH-dependent term represents the chemical enhancement of SO</w:t>
      </w:r>
      <w:r w:rsidRPr="006A6599">
        <w:rPr>
          <w:rFonts w:ascii="Cambria Math" w:hAnsi="Cambria Math" w:cs="Cambria Math"/>
        </w:rPr>
        <w:t>₂</w:t>
      </w:r>
      <w:r w:rsidRPr="006A6599">
        <w:t xml:space="preserve"> absorption, while the droplet-size term represents the effect of interfacial area and spray hydrodynamics.</w:t>
      </w:r>
    </w:p>
    <w:p w14:paraId="64966FF2" w14:textId="77777777" w:rsidR="00497FE6" w:rsidRPr="00497FE6" w:rsidRDefault="00497FE6" w:rsidP="00497FE6">
      <w:pPr>
        <w:pStyle w:val="CETBodytext"/>
      </w:pPr>
      <w:r w:rsidRPr="00497FE6">
        <w:t>Within the liquid phase, SO</w:t>
      </w:r>
      <w:r w:rsidRPr="00497FE6">
        <w:rPr>
          <w:rFonts w:ascii="Cambria Math" w:hAnsi="Cambria Math" w:cs="Cambria Math"/>
        </w:rPr>
        <w:t>₂</w:t>
      </w:r>
      <w:r w:rsidRPr="00497FE6">
        <w:t xml:space="preserve"> undergoes hydration and dissociation reactions, forming sulfite and bisulfite ions. These species subsequently react with calcium carbonate present in the slurry to produce calcium sulfite, which may further oxidize to calcium sulfate. The overall reaction mechanism is influenced by slurry pH, temperature, and solid</w:t>
      </w:r>
      <w:r w:rsidRPr="00497FE6">
        <w:rPr>
          <w:rFonts w:cs="Arial"/>
        </w:rPr>
        <w:t>–</w:t>
      </w:r>
      <w:r w:rsidRPr="00497FE6">
        <w:t>liquid mass transfer limitations. Reaction kinetics are incorporated into the model through pseudo-first-order rate expressions, adjusted for local pH conditions and reactant availability.</w:t>
      </w:r>
    </w:p>
    <w:p w14:paraId="7A51765F" w14:textId="77777777" w:rsidR="00497FE6" w:rsidRPr="00497FE6" w:rsidRDefault="00497FE6" w:rsidP="00497FE6">
      <w:pPr>
        <w:pStyle w:val="CETBodytext"/>
      </w:pPr>
      <w:r w:rsidRPr="00497FE6">
        <w:t>Hydrodynamic behavior within the absorber is represented through correlations for droplet size distribution, residence time, and gas–liquid contact efficiency. The interfacial area is estimated based on spray characteristics, with smaller droplet diameters leading to higher surface area but also increased risk of entrainment and pressure drop. Gas residence time is determined by absorber height and superficial gas velocity, both of which directly affect the extent of mass transfer.</w:t>
      </w:r>
    </w:p>
    <w:p w14:paraId="22370416" w14:textId="77777777" w:rsidR="00497FE6" w:rsidRDefault="00497FE6" w:rsidP="00497FE6">
      <w:pPr>
        <w:pStyle w:val="CETBodytext"/>
      </w:pPr>
      <w:r w:rsidRPr="00497FE6">
        <w:t>The liquid-to-gas ratio (L/G) is a key operational parameter influencing both mass transfer and energy consumption. Increasing L/G enhances absorption capacity by providing more reactive surface area and higher liquid-phase buffering capacity. However, it also increases pumping requirements and may lead to hydraulic limitations. Therefore, its effect is evaluated within a constrained operational range.</w:t>
      </w:r>
    </w:p>
    <w:p w14:paraId="0FF5BC8C" w14:textId="77777777" w:rsidR="00E21166" w:rsidRPr="00497FE6" w:rsidRDefault="00E21166" w:rsidP="00497FE6">
      <w:pPr>
        <w:pStyle w:val="CETBodytext"/>
      </w:pPr>
    </w:p>
    <w:p w14:paraId="33A49749" w14:textId="77777777" w:rsidR="00497FE6" w:rsidRDefault="00497FE6" w:rsidP="00497FE6">
      <w:pPr>
        <w:pStyle w:val="CETBodytext"/>
      </w:pPr>
      <w:r w:rsidRPr="00497FE6">
        <w:t>A parametric sensitivity analysis is conducted to evaluate the influence of key variables on system performance. The parameters considered include L/G ratio, slurry pH, droplet diameter, and absorber height. Each parameter is varied within a physically realistic range while holding other variables constant, allowing for the identification of dominant factors and interaction effects. The analysis provides insight into nonlinear system behavior and informs the formulation of the optimization problem.</w:t>
      </w:r>
    </w:p>
    <w:p w14:paraId="1BB273AA" w14:textId="2015EF72" w:rsidR="006A6599" w:rsidRDefault="006A6599" w:rsidP="00497FE6">
      <w:pPr>
        <w:pStyle w:val="CETBodytext"/>
        <w:rPr>
          <w:lang w:val="en-GB"/>
        </w:rPr>
      </w:pPr>
      <w:r w:rsidRPr="006A6599">
        <w:rPr>
          <w:lang w:val="en-GB"/>
        </w:rPr>
        <w:t>The representative operating data and the numerical bounds used in the optimization are summarized in Table 1. The inlet SO</w:t>
      </w:r>
      <w:r w:rsidRPr="006A6599">
        <w:rPr>
          <w:rFonts w:ascii="Cambria Math" w:hAnsi="Cambria Math" w:cs="Cambria Math"/>
          <w:lang w:val="en-GB"/>
        </w:rPr>
        <w:t>₂</w:t>
      </w:r>
      <w:r w:rsidRPr="006A6599">
        <w:rPr>
          <w:lang w:val="en-GB"/>
        </w:rPr>
        <w:t xml:space="preserve"> concentration was estimated from the reported baseline inlet</w:t>
      </w:r>
      <w:r w:rsidRPr="006A6599">
        <w:rPr>
          <w:rFonts w:cs="Arial"/>
          <w:lang w:val="en-GB"/>
        </w:rPr>
        <w:t>–</w:t>
      </w:r>
      <w:r w:rsidRPr="006A6599">
        <w:rPr>
          <w:lang w:val="en-GB"/>
        </w:rPr>
        <w:t>outlet balance, while the remaining non-reported parameters were selected as representative industrial operating values.</w:t>
      </w:r>
    </w:p>
    <w:p w14:paraId="783FAEC3" w14:textId="201989F5" w:rsidR="006A6599" w:rsidRPr="00E21166" w:rsidRDefault="006A6599" w:rsidP="000979EA">
      <w:pPr>
        <w:pStyle w:val="CETTabletitle"/>
      </w:pPr>
      <w:r w:rsidRPr="00E21166">
        <w:t>Table 1. Baseline conditions and bounds used for optimization</w:t>
      </w:r>
      <w:r w:rsidRPr="00E21166">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1267"/>
        <w:gridCol w:w="1782"/>
        <w:gridCol w:w="1768"/>
      </w:tblGrid>
      <w:tr w:rsidR="006A6599" w:rsidRPr="006A6599" w14:paraId="7A5F24DF" w14:textId="77777777" w:rsidTr="00E21166">
        <w:tc>
          <w:tcPr>
            <w:tcW w:w="2259" w:type="pct"/>
            <w:tcBorders>
              <w:top w:val="single" w:sz="4" w:space="0" w:color="00B050"/>
              <w:bottom w:val="single" w:sz="4" w:space="0" w:color="00B050"/>
            </w:tcBorders>
            <w:hideMark/>
          </w:tcPr>
          <w:p w14:paraId="55063EA4" w14:textId="77777777" w:rsidR="006A6599" w:rsidRPr="006A6599" w:rsidRDefault="006A6599" w:rsidP="00E21166">
            <w:pPr>
              <w:pStyle w:val="CETBodytext"/>
              <w:jc w:val="center"/>
              <w:rPr>
                <w:b/>
                <w:bCs/>
                <w:lang w:val="ru-RU"/>
              </w:rPr>
            </w:pPr>
            <w:proofErr w:type="spellStart"/>
            <w:r w:rsidRPr="006A6599">
              <w:rPr>
                <w:b/>
                <w:bCs/>
                <w:lang w:val="ru-RU"/>
              </w:rPr>
              <w:t>Parameter</w:t>
            </w:r>
            <w:proofErr w:type="spellEnd"/>
          </w:p>
        </w:tc>
        <w:tc>
          <w:tcPr>
            <w:tcW w:w="721" w:type="pct"/>
            <w:tcBorders>
              <w:top w:val="single" w:sz="4" w:space="0" w:color="00B050"/>
              <w:bottom w:val="single" w:sz="4" w:space="0" w:color="00B050"/>
            </w:tcBorders>
            <w:hideMark/>
          </w:tcPr>
          <w:p w14:paraId="6B9DED92" w14:textId="77777777" w:rsidR="006A6599" w:rsidRPr="006A6599" w:rsidRDefault="006A6599" w:rsidP="00E21166">
            <w:pPr>
              <w:pStyle w:val="CETBodytext"/>
              <w:jc w:val="center"/>
              <w:rPr>
                <w:b/>
                <w:bCs/>
                <w:lang w:val="ru-RU"/>
              </w:rPr>
            </w:pPr>
            <w:proofErr w:type="spellStart"/>
            <w:r w:rsidRPr="006A6599">
              <w:rPr>
                <w:b/>
                <w:bCs/>
                <w:lang w:val="ru-RU"/>
              </w:rPr>
              <w:t>Baseline</w:t>
            </w:r>
            <w:proofErr w:type="spellEnd"/>
          </w:p>
        </w:tc>
        <w:tc>
          <w:tcPr>
            <w:tcW w:w="1014" w:type="pct"/>
            <w:tcBorders>
              <w:top w:val="single" w:sz="4" w:space="0" w:color="00B050"/>
              <w:bottom w:val="single" w:sz="4" w:space="0" w:color="00B050"/>
            </w:tcBorders>
            <w:hideMark/>
          </w:tcPr>
          <w:p w14:paraId="24AFEBA2" w14:textId="77777777" w:rsidR="006A6599" w:rsidRPr="006A6599" w:rsidRDefault="006A6599" w:rsidP="00E21166">
            <w:pPr>
              <w:pStyle w:val="CETBodytext"/>
              <w:jc w:val="center"/>
              <w:rPr>
                <w:b/>
                <w:bCs/>
                <w:lang w:val="ru-RU"/>
              </w:rPr>
            </w:pPr>
            <w:proofErr w:type="spellStart"/>
            <w:r w:rsidRPr="006A6599">
              <w:rPr>
                <w:b/>
                <w:bCs/>
                <w:lang w:val="ru-RU"/>
              </w:rPr>
              <w:t>Lower</w:t>
            </w:r>
            <w:proofErr w:type="spellEnd"/>
            <w:r w:rsidRPr="006A6599">
              <w:rPr>
                <w:b/>
                <w:bCs/>
                <w:lang w:val="ru-RU"/>
              </w:rPr>
              <w:t xml:space="preserve"> </w:t>
            </w:r>
            <w:proofErr w:type="spellStart"/>
            <w:r w:rsidRPr="006A6599">
              <w:rPr>
                <w:b/>
                <w:bCs/>
                <w:lang w:val="ru-RU"/>
              </w:rPr>
              <w:t>bound</w:t>
            </w:r>
            <w:proofErr w:type="spellEnd"/>
          </w:p>
        </w:tc>
        <w:tc>
          <w:tcPr>
            <w:tcW w:w="1006" w:type="pct"/>
            <w:tcBorders>
              <w:top w:val="single" w:sz="4" w:space="0" w:color="00B050"/>
              <w:bottom w:val="single" w:sz="4" w:space="0" w:color="00B050"/>
            </w:tcBorders>
            <w:hideMark/>
          </w:tcPr>
          <w:p w14:paraId="0BEF676B" w14:textId="77777777" w:rsidR="006A6599" w:rsidRPr="006A6599" w:rsidRDefault="006A6599" w:rsidP="00E21166">
            <w:pPr>
              <w:pStyle w:val="CETBodytext"/>
              <w:jc w:val="center"/>
              <w:rPr>
                <w:b/>
                <w:bCs/>
                <w:lang w:val="ru-RU"/>
              </w:rPr>
            </w:pPr>
            <w:proofErr w:type="spellStart"/>
            <w:r w:rsidRPr="006A6599">
              <w:rPr>
                <w:b/>
                <w:bCs/>
                <w:lang w:val="ru-RU"/>
              </w:rPr>
              <w:t>Upper</w:t>
            </w:r>
            <w:proofErr w:type="spellEnd"/>
            <w:r w:rsidRPr="006A6599">
              <w:rPr>
                <w:b/>
                <w:bCs/>
                <w:lang w:val="ru-RU"/>
              </w:rPr>
              <w:t xml:space="preserve"> </w:t>
            </w:r>
            <w:proofErr w:type="spellStart"/>
            <w:r w:rsidRPr="006A6599">
              <w:rPr>
                <w:b/>
                <w:bCs/>
                <w:lang w:val="ru-RU"/>
              </w:rPr>
              <w:t>bound</w:t>
            </w:r>
            <w:proofErr w:type="spellEnd"/>
          </w:p>
        </w:tc>
      </w:tr>
      <w:tr w:rsidR="006A6599" w:rsidRPr="006A6599" w14:paraId="0DF46EB1" w14:textId="77777777" w:rsidTr="00E21166">
        <w:tc>
          <w:tcPr>
            <w:tcW w:w="2259" w:type="pct"/>
            <w:tcBorders>
              <w:top w:val="single" w:sz="4" w:space="0" w:color="00B050"/>
            </w:tcBorders>
            <w:hideMark/>
          </w:tcPr>
          <w:p w14:paraId="2F167746" w14:textId="77777777" w:rsidR="006A6599" w:rsidRPr="006A6599" w:rsidRDefault="006A6599" w:rsidP="006A6599">
            <w:pPr>
              <w:pStyle w:val="CETBodytext"/>
            </w:pPr>
            <w:r w:rsidRPr="006A6599">
              <w:t>Flue gas flow rate, Nm³/h</w:t>
            </w:r>
          </w:p>
        </w:tc>
        <w:tc>
          <w:tcPr>
            <w:tcW w:w="721" w:type="pct"/>
            <w:tcBorders>
              <w:top w:val="single" w:sz="4" w:space="0" w:color="00B050"/>
            </w:tcBorders>
            <w:hideMark/>
          </w:tcPr>
          <w:p w14:paraId="0BEA8070" w14:textId="77777777" w:rsidR="006A6599" w:rsidRPr="006A6599" w:rsidRDefault="006A6599" w:rsidP="006A6599">
            <w:pPr>
              <w:pStyle w:val="CETBodytext"/>
              <w:rPr>
                <w:lang w:val="ru-RU"/>
              </w:rPr>
            </w:pPr>
            <w:r w:rsidRPr="006A6599">
              <w:rPr>
                <w:lang w:val="ru-RU"/>
              </w:rPr>
              <w:t>5.0 × 10⁵</w:t>
            </w:r>
          </w:p>
        </w:tc>
        <w:tc>
          <w:tcPr>
            <w:tcW w:w="1014" w:type="pct"/>
            <w:tcBorders>
              <w:top w:val="single" w:sz="4" w:space="0" w:color="00B050"/>
            </w:tcBorders>
            <w:hideMark/>
          </w:tcPr>
          <w:p w14:paraId="3E4E1185" w14:textId="77777777" w:rsidR="006A6599" w:rsidRPr="006A6599" w:rsidRDefault="006A6599" w:rsidP="006A6599">
            <w:pPr>
              <w:pStyle w:val="CETBodytext"/>
              <w:rPr>
                <w:lang w:val="ru-RU"/>
              </w:rPr>
            </w:pPr>
            <w:proofErr w:type="spellStart"/>
            <w:r w:rsidRPr="006A6599">
              <w:rPr>
                <w:lang w:val="ru-RU"/>
              </w:rPr>
              <w:t>fixed</w:t>
            </w:r>
            <w:proofErr w:type="spellEnd"/>
          </w:p>
        </w:tc>
        <w:tc>
          <w:tcPr>
            <w:tcW w:w="1006" w:type="pct"/>
            <w:tcBorders>
              <w:top w:val="single" w:sz="4" w:space="0" w:color="00B050"/>
            </w:tcBorders>
            <w:hideMark/>
          </w:tcPr>
          <w:p w14:paraId="5402E412" w14:textId="77777777" w:rsidR="006A6599" w:rsidRPr="006A6599" w:rsidRDefault="006A6599" w:rsidP="006A6599">
            <w:pPr>
              <w:pStyle w:val="CETBodytext"/>
              <w:rPr>
                <w:lang w:val="ru-RU"/>
              </w:rPr>
            </w:pPr>
            <w:proofErr w:type="spellStart"/>
            <w:r w:rsidRPr="006A6599">
              <w:rPr>
                <w:lang w:val="ru-RU"/>
              </w:rPr>
              <w:t>fixed</w:t>
            </w:r>
            <w:proofErr w:type="spellEnd"/>
          </w:p>
        </w:tc>
      </w:tr>
      <w:tr w:rsidR="006A6599" w:rsidRPr="006A6599" w14:paraId="669A5615" w14:textId="77777777" w:rsidTr="00E21166">
        <w:tc>
          <w:tcPr>
            <w:tcW w:w="2259" w:type="pct"/>
            <w:hideMark/>
          </w:tcPr>
          <w:p w14:paraId="75474235" w14:textId="77777777" w:rsidR="006A6599" w:rsidRPr="006A6599" w:rsidRDefault="006A6599" w:rsidP="006A6599">
            <w:pPr>
              <w:pStyle w:val="CETBodytext"/>
              <w:rPr>
                <w:lang w:val="ru-RU"/>
              </w:rPr>
            </w:pPr>
            <w:proofErr w:type="spellStart"/>
            <w:r w:rsidRPr="006A6599">
              <w:rPr>
                <w:lang w:val="ru-RU"/>
              </w:rPr>
              <w:t>Inlet</w:t>
            </w:r>
            <w:proofErr w:type="spellEnd"/>
            <w:r w:rsidRPr="006A6599">
              <w:rPr>
                <w:lang w:val="ru-RU"/>
              </w:rPr>
              <w:t xml:space="preserve"> SO</w:t>
            </w:r>
            <w:r w:rsidRPr="006A6599">
              <w:rPr>
                <w:rFonts w:ascii="Cambria Math" w:hAnsi="Cambria Math" w:cs="Cambria Math"/>
                <w:lang w:val="ru-RU"/>
              </w:rPr>
              <w:t>₂</w:t>
            </w:r>
            <w:r w:rsidRPr="006A6599">
              <w:rPr>
                <w:lang w:val="ru-RU"/>
              </w:rPr>
              <w:t xml:space="preserve">, </w:t>
            </w:r>
            <w:proofErr w:type="spellStart"/>
            <w:r w:rsidRPr="006A6599">
              <w:rPr>
                <w:lang w:val="ru-RU"/>
              </w:rPr>
              <w:t>mg</w:t>
            </w:r>
            <w:proofErr w:type="spellEnd"/>
            <w:r w:rsidRPr="006A6599">
              <w:rPr>
                <w:lang w:val="ru-RU"/>
              </w:rPr>
              <w:t>/Nm</w:t>
            </w:r>
            <w:r w:rsidRPr="006A6599">
              <w:rPr>
                <w:rFonts w:cs="Arial"/>
                <w:lang w:val="ru-RU"/>
              </w:rPr>
              <w:t>³</w:t>
            </w:r>
          </w:p>
        </w:tc>
        <w:tc>
          <w:tcPr>
            <w:tcW w:w="721" w:type="pct"/>
            <w:hideMark/>
          </w:tcPr>
          <w:p w14:paraId="49C3D726" w14:textId="77777777" w:rsidR="006A6599" w:rsidRPr="006A6599" w:rsidRDefault="006A6599" w:rsidP="006A6599">
            <w:pPr>
              <w:pStyle w:val="CETBodytext"/>
              <w:rPr>
                <w:lang w:val="ru-RU"/>
              </w:rPr>
            </w:pPr>
            <w:r w:rsidRPr="006A6599">
              <w:rPr>
                <w:lang w:val="ru-RU"/>
              </w:rPr>
              <w:t>1,840</w:t>
            </w:r>
          </w:p>
        </w:tc>
        <w:tc>
          <w:tcPr>
            <w:tcW w:w="1014" w:type="pct"/>
            <w:hideMark/>
          </w:tcPr>
          <w:p w14:paraId="7921BC38" w14:textId="77777777" w:rsidR="006A6599" w:rsidRPr="006A6599" w:rsidRDefault="006A6599" w:rsidP="006A6599">
            <w:pPr>
              <w:pStyle w:val="CETBodytext"/>
              <w:rPr>
                <w:lang w:val="ru-RU"/>
              </w:rPr>
            </w:pPr>
            <w:proofErr w:type="spellStart"/>
            <w:r w:rsidRPr="006A6599">
              <w:rPr>
                <w:lang w:val="ru-RU"/>
              </w:rPr>
              <w:t>fixed</w:t>
            </w:r>
            <w:proofErr w:type="spellEnd"/>
          </w:p>
        </w:tc>
        <w:tc>
          <w:tcPr>
            <w:tcW w:w="1006" w:type="pct"/>
            <w:hideMark/>
          </w:tcPr>
          <w:p w14:paraId="1E3EB45F" w14:textId="77777777" w:rsidR="006A6599" w:rsidRPr="006A6599" w:rsidRDefault="006A6599" w:rsidP="006A6599">
            <w:pPr>
              <w:pStyle w:val="CETBodytext"/>
              <w:rPr>
                <w:lang w:val="ru-RU"/>
              </w:rPr>
            </w:pPr>
            <w:proofErr w:type="spellStart"/>
            <w:r w:rsidRPr="006A6599">
              <w:rPr>
                <w:lang w:val="ru-RU"/>
              </w:rPr>
              <w:t>fixed</w:t>
            </w:r>
            <w:proofErr w:type="spellEnd"/>
          </w:p>
        </w:tc>
      </w:tr>
      <w:tr w:rsidR="006A6599" w:rsidRPr="006A6599" w14:paraId="6E0ED39B" w14:textId="77777777" w:rsidTr="00E21166">
        <w:tc>
          <w:tcPr>
            <w:tcW w:w="2259" w:type="pct"/>
            <w:hideMark/>
          </w:tcPr>
          <w:p w14:paraId="49E55EF6" w14:textId="77777777" w:rsidR="006A6599" w:rsidRPr="006A6599" w:rsidRDefault="006A6599" w:rsidP="006A6599">
            <w:pPr>
              <w:pStyle w:val="CETBodytext"/>
              <w:rPr>
                <w:lang w:val="ru-RU"/>
              </w:rPr>
            </w:pPr>
            <w:proofErr w:type="spellStart"/>
            <w:r w:rsidRPr="006A6599">
              <w:rPr>
                <w:lang w:val="ru-RU"/>
              </w:rPr>
              <w:t>Inlet</w:t>
            </w:r>
            <w:proofErr w:type="spellEnd"/>
            <w:r w:rsidRPr="006A6599">
              <w:rPr>
                <w:lang w:val="ru-RU"/>
              </w:rPr>
              <w:t xml:space="preserve"> </w:t>
            </w:r>
            <w:proofErr w:type="spellStart"/>
            <w:r w:rsidRPr="006A6599">
              <w:rPr>
                <w:lang w:val="ru-RU"/>
              </w:rPr>
              <w:t>gas</w:t>
            </w:r>
            <w:proofErr w:type="spellEnd"/>
            <w:r w:rsidRPr="006A6599">
              <w:rPr>
                <w:lang w:val="ru-RU"/>
              </w:rPr>
              <w:t xml:space="preserve"> </w:t>
            </w:r>
            <w:proofErr w:type="spellStart"/>
            <w:r w:rsidRPr="006A6599">
              <w:rPr>
                <w:lang w:val="ru-RU"/>
              </w:rPr>
              <w:t>temperature</w:t>
            </w:r>
            <w:proofErr w:type="spellEnd"/>
            <w:r w:rsidRPr="006A6599">
              <w:rPr>
                <w:lang w:val="ru-RU"/>
              </w:rPr>
              <w:t>, °C</w:t>
            </w:r>
          </w:p>
        </w:tc>
        <w:tc>
          <w:tcPr>
            <w:tcW w:w="721" w:type="pct"/>
            <w:hideMark/>
          </w:tcPr>
          <w:p w14:paraId="7F78DC74" w14:textId="77777777" w:rsidR="006A6599" w:rsidRPr="006A6599" w:rsidRDefault="006A6599" w:rsidP="006A6599">
            <w:pPr>
              <w:pStyle w:val="CETBodytext"/>
              <w:rPr>
                <w:lang w:val="ru-RU"/>
              </w:rPr>
            </w:pPr>
            <w:r w:rsidRPr="006A6599">
              <w:rPr>
                <w:lang w:val="ru-RU"/>
              </w:rPr>
              <w:t>165</w:t>
            </w:r>
          </w:p>
        </w:tc>
        <w:tc>
          <w:tcPr>
            <w:tcW w:w="1014" w:type="pct"/>
            <w:hideMark/>
          </w:tcPr>
          <w:p w14:paraId="5AAE4D38" w14:textId="77777777" w:rsidR="006A6599" w:rsidRPr="006A6599" w:rsidRDefault="006A6599" w:rsidP="006A6599">
            <w:pPr>
              <w:pStyle w:val="CETBodytext"/>
              <w:rPr>
                <w:lang w:val="ru-RU"/>
              </w:rPr>
            </w:pPr>
            <w:proofErr w:type="spellStart"/>
            <w:r w:rsidRPr="006A6599">
              <w:rPr>
                <w:lang w:val="ru-RU"/>
              </w:rPr>
              <w:t>fixed</w:t>
            </w:r>
            <w:proofErr w:type="spellEnd"/>
          </w:p>
        </w:tc>
        <w:tc>
          <w:tcPr>
            <w:tcW w:w="1006" w:type="pct"/>
            <w:hideMark/>
          </w:tcPr>
          <w:p w14:paraId="6BD53994" w14:textId="77777777" w:rsidR="006A6599" w:rsidRPr="006A6599" w:rsidRDefault="006A6599" w:rsidP="006A6599">
            <w:pPr>
              <w:pStyle w:val="CETBodytext"/>
              <w:rPr>
                <w:lang w:val="ru-RU"/>
              </w:rPr>
            </w:pPr>
            <w:proofErr w:type="spellStart"/>
            <w:r w:rsidRPr="006A6599">
              <w:rPr>
                <w:lang w:val="ru-RU"/>
              </w:rPr>
              <w:t>fixed</w:t>
            </w:r>
            <w:proofErr w:type="spellEnd"/>
          </w:p>
        </w:tc>
      </w:tr>
      <w:tr w:rsidR="006A6599" w:rsidRPr="006A6599" w14:paraId="030C9FB9" w14:textId="77777777" w:rsidTr="00E21166">
        <w:tc>
          <w:tcPr>
            <w:tcW w:w="2259" w:type="pct"/>
            <w:hideMark/>
          </w:tcPr>
          <w:p w14:paraId="49D8D06D" w14:textId="77777777" w:rsidR="006A6599" w:rsidRPr="006A6599" w:rsidRDefault="006A6599" w:rsidP="006A6599">
            <w:pPr>
              <w:pStyle w:val="CETBodytext"/>
              <w:rPr>
                <w:lang w:val="ru-RU"/>
              </w:rPr>
            </w:pPr>
            <w:r w:rsidRPr="006A6599">
              <w:rPr>
                <w:lang w:val="ru-RU"/>
              </w:rPr>
              <w:t xml:space="preserve">L/G </w:t>
            </w:r>
            <w:proofErr w:type="spellStart"/>
            <w:r w:rsidRPr="006A6599">
              <w:rPr>
                <w:lang w:val="ru-RU"/>
              </w:rPr>
              <w:t>ratio</w:t>
            </w:r>
            <w:proofErr w:type="spellEnd"/>
            <w:r w:rsidRPr="006A6599">
              <w:rPr>
                <w:lang w:val="ru-RU"/>
              </w:rPr>
              <w:t>, L/m³</w:t>
            </w:r>
          </w:p>
        </w:tc>
        <w:tc>
          <w:tcPr>
            <w:tcW w:w="721" w:type="pct"/>
            <w:hideMark/>
          </w:tcPr>
          <w:p w14:paraId="1DC0CDD3" w14:textId="77777777" w:rsidR="006A6599" w:rsidRPr="006A6599" w:rsidRDefault="006A6599" w:rsidP="006A6599">
            <w:pPr>
              <w:pStyle w:val="CETBodytext"/>
              <w:rPr>
                <w:lang w:val="ru-RU"/>
              </w:rPr>
            </w:pPr>
            <w:r w:rsidRPr="006A6599">
              <w:rPr>
                <w:lang w:val="ru-RU"/>
              </w:rPr>
              <w:t>7.20</w:t>
            </w:r>
          </w:p>
        </w:tc>
        <w:tc>
          <w:tcPr>
            <w:tcW w:w="1014" w:type="pct"/>
            <w:hideMark/>
          </w:tcPr>
          <w:p w14:paraId="08A4E488" w14:textId="77777777" w:rsidR="006A6599" w:rsidRPr="006A6599" w:rsidRDefault="006A6599" w:rsidP="006A6599">
            <w:pPr>
              <w:pStyle w:val="CETBodytext"/>
              <w:rPr>
                <w:lang w:val="ru-RU"/>
              </w:rPr>
            </w:pPr>
            <w:r w:rsidRPr="006A6599">
              <w:rPr>
                <w:lang w:val="ru-RU"/>
              </w:rPr>
              <w:t>6.00</w:t>
            </w:r>
          </w:p>
        </w:tc>
        <w:tc>
          <w:tcPr>
            <w:tcW w:w="1006" w:type="pct"/>
            <w:hideMark/>
          </w:tcPr>
          <w:p w14:paraId="38DFF6D2" w14:textId="77777777" w:rsidR="006A6599" w:rsidRPr="006A6599" w:rsidRDefault="006A6599" w:rsidP="006A6599">
            <w:pPr>
              <w:pStyle w:val="CETBodytext"/>
              <w:rPr>
                <w:lang w:val="ru-RU"/>
              </w:rPr>
            </w:pPr>
            <w:r w:rsidRPr="006A6599">
              <w:rPr>
                <w:lang w:val="ru-RU"/>
              </w:rPr>
              <w:t>10.50</w:t>
            </w:r>
          </w:p>
        </w:tc>
      </w:tr>
      <w:tr w:rsidR="006A6599" w:rsidRPr="006A6599" w14:paraId="67D6FF7A" w14:textId="77777777" w:rsidTr="00E21166">
        <w:tc>
          <w:tcPr>
            <w:tcW w:w="2259" w:type="pct"/>
            <w:hideMark/>
          </w:tcPr>
          <w:p w14:paraId="16582FFC" w14:textId="77777777" w:rsidR="006A6599" w:rsidRPr="006A6599" w:rsidRDefault="006A6599" w:rsidP="006A6599">
            <w:pPr>
              <w:pStyle w:val="CETBodytext"/>
              <w:rPr>
                <w:lang w:val="ru-RU"/>
              </w:rPr>
            </w:pPr>
            <w:proofErr w:type="spellStart"/>
            <w:r w:rsidRPr="006A6599">
              <w:rPr>
                <w:lang w:val="ru-RU"/>
              </w:rPr>
              <w:t>Slurry</w:t>
            </w:r>
            <w:proofErr w:type="spellEnd"/>
            <w:r w:rsidRPr="006A6599">
              <w:rPr>
                <w:lang w:val="ru-RU"/>
              </w:rPr>
              <w:t xml:space="preserve"> pH</w:t>
            </w:r>
          </w:p>
        </w:tc>
        <w:tc>
          <w:tcPr>
            <w:tcW w:w="721" w:type="pct"/>
            <w:hideMark/>
          </w:tcPr>
          <w:p w14:paraId="50359DBB" w14:textId="77777777" w:rsidR="006A6599" w:rsidRPr="006A6599" w:rsidRDefault="006A6599" w:rsidP="006A6599">
            <w:pPr>
              <w:pStyle w:val="CETBodytext"/>
              <w:rPr>
                <w:lang w:val="ru-RU"/>
              </w:rPr>
            </w:pPr>
            <w:r w:rsidRPr="006A6599">
              <w:rPr>
                <w:lang w:val="ru-RU"/>
              </w:rPr>
              <w:t>5.00</w:t>
            </w:r>
          </w:p>
        </w:tc>
        <w:tc>
          <w:tcPr>
            <w:tcW w:w="1014" w:type="pct"/>
            <w:hideMark/>
          </w:tcPr>
          <w:p w14:paraId="33F0EED8" w14:textId="77777777" w:rsidR="006A6599" w:rsidRPr="006A6599" w:rsidRDefault="006A6599" w:rsidP="006A6599">
            <w:pPr>
              <w:pStyle w:val="CETBodytext"/>
              <w:rPr>
                <w:lang w:val="ru-RU"/>
              </w:rPr>
            </w:pPr>
            <w:r w:rsidRPr="006A6599">
              <w:rPr>
                <w:lang w:val="ru-RU"/>
              </w:rPr>
              <w:t>4.80</w:t>
            </w:r>
          </w:p>
        </w:tc>
        <w:tc>
          <w:tcPr>
            <w:tcW w:w="1006" w:type="pct"/>
            <w:hideMark/>
          </w:tcPr>
          <w:p w14:paraId="3D079B20" w14:textId="77777777" w:rsidR="006A6599" w:rsidRPr="006A6599" w:rsidRDefault="006A6599" w:rsidP="006A6599">
            <w:pPr>
              <w:pStyle w:val="CETBodytext"/>
              <w:rPr>
                <w:lang w:val="ru-RU"/>
              </w:rPr>
            </w:pPr>
            <w:r w:rsidRPr="006A6599">
              <w:rPr>
                <w:lang w:val="ru-RU"/>
              </w:rPr>
              <w:t>5.80</w:t>
            </w:r>
          </w:p>
        </w:tc>
      </w:tr>
      <w:tr w:rsidR="006A6599" w:rsidRPr="006A6599" w14:paraId="4D7E166B" w14:textId="77777777" w:rsidTr="00E21166">
        <w:tc>
          <w:tcPr>
            <w:tcW w:w="2259" w:type="pct"/>
            <w:hideMark/>
          </w:tcPr>
          <w:p w14:paraId="3E13D7E4" w14:textId="77777777" w:rsidR="006A6599" w:rsidRPr="006A6599" w:rsidRDefault="006A6599" w:rsidP="006A6599">
            <w:pPr>
              <w:pStyle w:val="CETBodytext"/>
            </w:pPr>
            <w:r w:rsidRPr="006A6599">
              <w:t>Sauter mean droplet diameter, mm</w:t>
            </w:r>
          </w:p>
        </w:tc>
        <w:tc>
          <w:tcPr>
            <w:tcW w:w="721" w:type="pct"/>
            <w:hideMark/>
          </w:tcPr>
          <w:p w14:paraId="1A4E273D" w14:textId="77777777" w:rsidR="006A6599" w:rsidRPr="006A6599" w:rsidRDefault="006A6599" w:rsidP="006A6599">
            <w:pPr>
              <w:pStyle w:val="CETBodytext"/>
              <w:rPr>
                <w:lang w:val="ru-RU"/>
              </w:rPr>
            </w:pPr>
            <w:r w:rsidRPr="006A6599">
              <w:rPr>
                <w:lang w:val="ru-RU"/>
              </w:rPr>
              <w:t>2.00</w:t>
            </w:r>
          </w:p>
        </w:tc>
        <w:tc>
          <w:tcPr>
            <w:tcW w:w="1014" w:type="pct"/>
            <w:hideMark/>
          </w:tcPr>
          <w:p w14:paraId="434407BB" w14:textId="77777777" w:rsidR="006A6599" w:rsidRPr="006A6599" w:rsidRDefault="006A6599" w:rsidP="006A6599">
            <w:pPr>
              <w:pStyle w:val="CETBodytext"/>
              <w:rPr>
                <w:lang w:val="ru-RU"/>
              </w:rPr>
            </w:pPr>
            <w:r w:rsidRPr="006A6599">
              <w:rPr>
                <w:lang w:val="ru-RU"/>
              </w:rPr>
              <w:t>2.00</w:t>
            </w:r>
          </w:p>
        </w:tc>
        <w:tc>
          <w:tcPr>
            <w:tcW w:w="1006" w:type="pct"/>
            <w:hideMark/>
          </w:tcPr>
          <w:p w14:paraId="23E97018" w14:textId="77777777" w:rsidR="006A6599" w:rsidRPr="006A6599" w:rsidRDefault="006A6599" w:rsidP="006A6599">
            <w:pPr>
              <w:pStyle w:val="CETBodytext"/>
              <w:rPr>
                <w:lang w:val="ru-RU"/>
              </w:rPr>
            </w:pPr>
            <w:r w:rsidRPr="006A6599">
              <w:rPr>
                <w:lang w:val="ru-RU"/>
              </w:rPr>
              <w:t>3.00</w:t>
            </w:r>
          </w:p>
        </w:tc>
      </w:tr>
      <w:tr w:rsidR="006A6599" w:rsidRPr="006A6599" w14:paraId="26450A97" w14:textId="77777777" w:rsidTr="00E21166">
        <w:tc>
          <w:tcPr>
            <w:tcW w:w="2259" w:type="pct"/>
            <w:tcBorders>
              <w:bottom w:val="single" w:sz="4" w:space="0" w:color="00B050"/>
            </w:tcBorders>
            <w:hideMark/>
          </w:tcPr>
          <w:p w14:paraId="792EEE92" w14:textId="77777777" w:rsidR="006A6599" w:rsidRPr="006A6599" w:rsidRDefault="006A6599" w:rsidP="006A6599">
            <w:pPr>
              <w:pStyle w:val="CETBodytext"/>
              <w:rPr>
                <w:lang w:val="ru-RU"/>
              </w:rPr>
            </w:pPr>
            <w:proofErr w:type="spellStart"/>
            <w:r w:rsidRPr="006A6599">
              <w:rPr>
                <w:lang w:val="ru-RU"/>
              </w:rPr>
              <w:t>Effective</w:t>
            </w:r>
            <w:proofErr w:type="spellEnd"/>
            <w:r w:rsidRPr="006A6599">
              <w:rPr>
                <w:lang w:val="ru-RU"/>
              </w:rPr>
              <w:t xml:space="preserve"> </w:t>
            </w:r>
            <w:proofErr w:type="spellStart"/>
            <w:r w:rsidRPr="006A6599">
              <w:rPr>
                <w:lang w:val="ru-RU"/>
              </w:rPr>
              <w:t>absorber</w:t>
            </w:r>
            <w:proofErr w:type="spellEnd"/>
            <w:r w:rsidRPr="006A6599">
              <w:rPr>
                <w:lang w:val="ru-RU"/>
              </w:rPr>
              <w:t xml:space="preserve"> </w:t>
            </w:r>
            <w:proofErr w:type="spellStart"/>
            <w:r w:rsidRPr="006A6599">
              <w:rPr>
                <w:lang w:val="ru-RU"/>
              </w:rPr>
              <w:t>height</w:t>
            </w:r>
            <w:proofErr w:type="spellEnd"/>
            <w:r w:rsidRPr="006A6599">
              <w:rPr>
                <w:lang w:val="ru-RU"/>
              </w:rPr>
              <w:t>, m</w:t>
            </w:r>
          </w:p>
        </w:tc>
        <w:tc>
          <w:tcPr>
            <w:tcW w:w="721" w:type="pct"/>
            <w:tcBorders>
              <w:bottom w:val="single" w:sz="4" w:space="0" w:color="00B050"/>
            </w:tcBorders>
            <w:hideMark/>
          </w:tcPr>
          <w:p w14:paraId="18833FDE" w14:textId="77777777" w:rsidR="006A6599" w:rsidRPr="006A6599" w:rsidRDefault="006A6599" w:rsidP="006A6599">
            <w:pPr>
              <w:pStyle w:val="CETBodytext"/>
              <w:rPr>
                <w:lang w:val="ru-RU"/>
              </w:rPr>
            </w:pPr>
            <w:r w:rsidRPr="006A6599">
              <w:rPr>
                <w:lang w:val="ru-RU"/>
              </w:rPr>
              <w:t>5.50</w:t>
            </w:r>
          </w:p>
        </w:tc>
        <w:tc>
          <w:tcPr>
            <w:tcW w:w="1014" w:type="pct"/>
            <w:tcBorders>
              <w:bottom w:val="single" w:sz="4" w:space="0" w:color="00B050"/>
            </w:tcBorders>
            <w:hideMark/>
          </w:tcPr>
          <w:p w14:paraId="7E35DF9E" w14:textId="77777777" w:rsidR="006A6599" w:rsidRPr="006A6599" w:rsidRDefault="006A6599" w:rsidP="006A6599">
            <w:pPr>
              <w:pStyle w:val="CETBodytext"/>
              <w:rPr>
                <w:lang w:val="ru-RU"/>
              </w:rPr>
            </w:pPr>
            <w:r w:rsidRPr="006A6599">
              <w:rPr>
                <w:lang w:val="ru-RU"/>
              </w:rPr>
              <w:t>5.00</w:t>
            </w:r>
          </w:p>
        </w:tc>
        <w:tc>
          <w:tcPr>
            <w:tcW w:w="1006" w:type="pct"/>
            <w:tcBorders>
              <w:bottom w:val="single" w:sz="4" w:space="0" w:color="00B050"/>
            </w:tcBorders>
            <w:hideMark/>
          </w:tcPr>
          <w:p w14:paraId="73D0A489" w14:textId="77777777" w:rsidR="006A6599" w:rsidRPr="006A6599" w:rsidRDefault="006A6599" w:rsidP="006A6599">
            <w:pPr>
              <w:pStyle w:val="CETBodytext"/>
              <w:rPr>
                <w:lang w:val="ru-RU"/>
              </w:rPr>
            </w:pPr>
            <w:r w:rsidRPr="006A6599">
              <w:rPr>
                <w:lang w:val="ru-RU"/>
              </w:rPr>
              <w:t>6.80</w:t>
            </w:r>
          </w:p>
        </w:tc>
      </w:tr>
    </w:tbl>
    <w:p w14:paraId="1822A64C" w14:textId="77777777" w:rsidR="006A6599" w:rsidRPr="00497FE6" w:rsidRDefault="006A6599" w:rsidP="00497FE6">
      <w:pPr>
        <w:pStyle w:val="CETBodytext"/>
      </w:pPr>
    </w:p>
    <w:p w14:paraId="4C4C9673" w14:textId="77777777" w:rsidR="00497FE6" w:rsidRDefault="00497FE6" w:rsidP="00497FE6">
      <w:pPr>
        <w:pStyle w:val="CETBodytext"/>
      </w:pPr>
      <w:r w:rsidRPr="00497FE6">
        <w:t>The optimization framework is defined as a multi-objective problem with three primary objective functions: maximization of SO</w:t>
      </w:r>
      <w:r w:rsidRPr="00497FE6">
        <w:rPr>
          <w:rFonts w:ascii="Cambria Math" w:hAnsi="Cambria Math" w:cs="Cambria Math"/>
        </w:rPr>
        <w:t>₂</w:t>
      </w:r>
      <w:r w:rsidRPr="00497FE6">
        <w:t xml:space="preserve"> removal efficiency, minimization of auxiliary energy consumption, and minimization of specific limestone usage. These objectives are inherently conflicting, requiring a trade-off analysis rather than a single optimal solution.</w:t>
      </w:r>
    </w:p>
    <w:p w14:paraId="55B963C0" w14:textId="6B1BB315" w:rsidR="00E21166" w:rsidRPr="00E21166" w:rsidRDefault="00E21166" w:rsidP="00E21166">
      <w:pPr>
        <w:pStyle w:val="CETBodytext"/>
      </w:pPr>
      <w:r w:rsidRPr="00E21166">
        <w:t>Limestone consumption was expressed on a specific basis relative to the amount of SO</w:t>
      </w:r>
      <w:r w:rsidRPr="00E21166">
        <w:rPr>
          <w:rFonts w:ascii="Cambria Math" w:hAnsi="Cambria Math" w:cs="Cambria Math"/>
        </w:rPr>
        <w:t>₂</w:t>
      </w:r>
      <w:r w:rsidRPr="00E21166">
        <w:t xml:space="preserve"> removed. The theoretical </w:t>
      </w:r>
      <w:proofErr w:type="spellStart"/>
      <w:r w:rsidRPr="00E21166">
        <w:t>CaCO</w:t>
      </w:r>
      <w:proofErr w:type="spellEnd"/>
      <w:r w:rsidRPr="00E21166">
        <w:rPr>
          <w:rFonts w:ascii="Cambria Math" w:hAnsi="Cambria Math" w:cs="Cambria Math"/>
        </w:rPr>
        <w:t>₃</w:t>
      </w:r>
      <w:r w:rsidRPr="00E21166">
        <w:t xml:space="preserve"> requirement was corrected by an effective limestone utilization factor </w:t>
      </w:r>
      <m:oMath>
        <m:r>
          <w:rPr>
            <w:rFonts w:ascii="Cambria Math" w:hAnsi="Cambria Math"/>
            <w:lang w:val="ru-RU"/>
          </w:rPr>
          <m:t>U</m:t>
        </m:r>
      </m:oMath>
      <w:r w:rsidRPr="00E21166">
        <w:t>:</w:t>
      </w:r>
    </w:p>
    <w:p w14:paraId="44348F19" w14:textId="57491180" w:rsidR="00E21166" w:rsidRPr="00E21166" w:rsidRDefault="00E21166" w:rsidP="00E21166">
      <w:pPr>
        <w:pStyle w:val="CETBodytext"/>
      </w:pPr>
      <m:oMathPara>
        <m:oMath>
          <m:m>
            <m:mPr>
              <m:plcHide m:val="1"/>
              <m:mcs>
                <m:mc>
                  <m:mcPr>
                    <m:count m:val="4"/>
                    <m:mcJc m:val="center"/>
                  </m:mcPr>
                </m:mc>
              </m:mcs>
              <m:ctrlPr>
                <w:rPr>
                  <w:rFonts w:ascii="Cambria Math" w:hAnsi="Cambria Math"/>
                  <w:lang w:val="ru-RU"/>
                </w:rPr>
              </m:ctrlPr>
            </m:mPr>
            <m:mr>
              <m:e/>
              <m:e>
                <m:r>
                  <w:rPr>
                    <w:rFonts w:ascii="Cambria Math" w:hAnsi="Cambria Math"/>
                    <w:lang w:val="ru-RU"/>
                  </w:rPr>
                  <m:t>U</m:t>
                </m:r>
                <m:r>
                  <w:rPr>
                    <w:rFonts w:ascii="Cambria Math" w:hAnsi="Cambria Math"/>
                  </w:rPr>
                  <m:t>=0.82+0.05</m:t>
                </m:r>
                <m:f>
                  <m:fPr>
                    <m:ctrlPr>
                      <w:rPr>
                        <w:rFonts w:ascii="Cambria Math" w:hAnsi="Cambria Math"/>
                        <w:lang w:val="ru-RU"/>
                      </w:rPr>
                    </m:ctrlPr>
                  </m:fPr>
                  <m:num>
                    <m:r>
                      <w:rPr>
                        <w:rFonts w:ascii="Cambria Math" w:hAnsi="Cambria Math"/>
                        <w:lang w:val="ru-RU"/>
                      </w:rPr>
                      <m:t>L</m:t>
                    </m:r>
                    <m:r>
                      <w:rPr>
                        <w:rFonts w:ascii="Cambria Math" w:hAnsi="Cambria Math"/>
                      </w:rPr>
                      <m:t>/</m:t>
                    </m:r>
                    <m:r>
                      <w:rPr>
                        <w:rFonts w:ascii="Cambria Math" w:hAnsi="Cambria Math"/>
                        <w:lang w:val="ru-RU"/>
                      </w:rPr>
                      <m:t>G</m:t>
                    </m:r>
                    <m:r>
                      <w:rPr>
                        <w:rFonts w:ascii="Cambria Math" w:hAnsi="Cambria Math"/>
                      </w:rPr>
                      <m:t>-7.2</m:t>
                    </m:r>
                  </m:num>
                  <m:den>
                    <m:r>
                      <w:rPr>
                        <w:rFonts w:ascii="Cambria Math" w:hAnsi="Cambria Math"/>
                      </w:rPr>
                      <m:t>2.8</m:t>
                    </m:r>
                  </m:den>
                </m:f>
                <m:r>
                  <w:rPr>
                    <w:rFonts w:ascii="Cambria Math" w:hAnsi="Cambria Math"/>
                  </w:rPr>
                  <m:t>+0.06</m:t>
                </m:r>
                <m:f>
                  <m:fPr>
                    <m:ctrlPr>
                      <w:rPr>
                        <w:rFonts w:ascii="Cambria Math" w:hAnsi="Cambria Math"/>
                        <w:lang w:val="ru-RU"/>
                      </w:rPr>
                    </m:ctrlPr>
                  </m:fPr>
                  <m:num>
                    <m:r>
                      <w:rPr>
                        <w:rFonts w:ascii="Cambria Math" w:hAnsi="Cambria Math"/>
                        <w:lang w:val="ru-RU"/>
                      </w:rPr>
                      <m:t>H</m:t>
                    </m:r>
                    <m:r>
                      <w:rPr>
                        <w:rFonts w:ascii="Cambria Math" w:hAnsi="Cambria Math"/>
                      </w:rPr>
                      <m:t>-5.5</m:t>
                    </m:r>
                  </m:num>
                  <m:den>
                    <m:r>
                      <w:rPr>
                        <w:rFonts w:ascii="Cambria Math" w:hAnsi="Cambria Math"/>
                      </w:rPr>
                      <m:t>1.3</m:t>
                    </m:r>
                  </m:den>
                </m:f>
                <m:r>
                  <w:rPr>
                    <w:rFonts w:ascii="Cambria Math" w:hAnsi="Cambria Math"/>
                  </w:rPr>
                  <m:t>+0.03</m:t>
                </m:r>
                <m:f>
                  <m:fPr>
                    <m:ctrlPr>
                      <w:rPr>
                        <w:rFonts w:ascii="Cambria Math" w:hAnsi="Cambria Math"/>
                        <w:lang w:val="ru-RU"/>
                      </w:rPr>
                    </m:ctrlPr>
                  </m:fPr>
                  <m:num>
                    <m:r>
                      <w:rPr>
                        <w:rFonts w:ascii="Cambria Math" w:hAnsi="Cambria Math"/>
                        <w:lang w:val="ru-RU"/>
                      </w:rPr>
                      <m:t>pH</m:t>
                    </m:r>
                    <m:r>
                      <w:rPr>
                        <w:rFonts w:ascii="Cambria Math" w:hAnsi="Cambria Math"/>
                      </w:rPr>
                      <m:t>-5.0</m:t>
                    </m:r>
                  </m:num>
                  <m:den>
                    <m:r>
                      <w:rPr>
                        <w:rFonts w:ascii="Cambria Math" w:hAnsi="Cambria Math"/>
                      </w:rPr>
                      <m:t>0.7</m:t>
                    </m:r>
                  </m:den>
                </m:f>
              </m:e>
              <m:e/>
              <m:e>
                <m:r>
                  <m:rPr>
                    <m:nor/>
                  </m:rPr>
                  <m:t>(4)</m:t>
                </m:r>
              </m:e>
            </m:mr>
          </m:m>
          <m:r>
            <w:br/>
          </m:r>
        </m:oMath>
      </m:oMathPara>
    </w:p>
    <w:p w14:paraId="2F627D76" w14:textId="63BAAF87" w:rsidR="00E21166" w:rsidRPr="00E21166" w:rsidRDefault="00E21166" w:rsidP="00E21166">
      <w:pPr>
        <w:pStyle w:val="CETBodytext"/>
      </w:pPr>
      <w:r w:rsidRPr="00E21166">
        <w:t xml:space="preserve">with </w:t>
      </w:r>
      <m:oMath>
        <m:r>
          <w:rPr>
            <w:rFonts w:ascii="Cambria Math" w:hAnsi="Cambria Math"/>
            <w:lang w:val="ru-RU"/>
          </w:rPr>
          <m:t>U</m:t>
        </m:r>
      </m:oMath>
      <w:r w:rsidRPr="00E21166">
        <w:t>limited to a maximum value of 0.96. The normalized specific limestone requirement was calculated as:</w:t>
      </w:r>
    </w:p>
    <w:p w14:paraId="7073E75D" w14:textId="3FBF8EBA" w:rsidR="00E21166" w:rsidRPr="00E21166" w:rsidRDefault="00E21166" w:rsidP="00E21166">
      <w:pPr>
        <w:pStyle w:val="CETBodytext"/>
      </w:pPr>
      <m:oMathPara>
        <m:oMath>
          <m:m>
            <m:mPr>
              <m:plcHide m:val="1"/>
              <m:mcs>
                <m:mc>
                  <m:mcPr>
                    <m:count m:val="4"/>
                    <m:mcJc m:val="center"/>
                  </m:mcPr>
                </m:mc>
              </m:mcs>
              <m:ctrlPr>
                <w:rPr>
                  <w:rFonts w:ascii="Cambria Math" w:hAnsi="Cambria Math"/>
                  <w:lang w:val="ru-RU"/>
                </w:rPr>
              </m:ctrlPr>
            </m:mPr>
            <m:mr>
              <m:e/>
              <m:e>
                <m:sSubSup>
                  <m:sSubSupPr>
                    <m:ctrlPr>
                      <w:rPr>
                        <w:rFonts w:ascii="Cambria Math" w:hAnsi="Cambria Math"/>
                        <w:lang w:val="ru-RU"/>
                      </w:rPr>
                    </m:ctrlPr>
                  </m:sSubSupPr>
                  <m:e>
                    <m:r>
                      <w:rPr>
                        <w:rFonts w:ascii="Cambria Math" w:hAnsi="Cambria Math"/>
                        <w:lang w:val="ru-RU"/>
                      </w:rPr>
                      <m:t>M</m:t>
                    </m:r>
                  </m:e>
                  <m:sub>
                    <m:r>
                      <w:rPr>
                        <w:rFonts w:ascii="Cambria Math" w:hAnsi="Cambria Math"/>
                        <w:lang w:val="ru-RU"/>
                      </w:rPr>
                      <m:t>CaC</m:t>
                    </m:r>
                    <m:sSub>
                      <m:sSubPr>
                        <m:ctrlPr>
                          <w:rPr>
                            <w:rFonts w:ascii="Cambria Math" w:hAnsi="Cambria Math"/>
                            <w:lang w:val="ru-RU"/>
                          </w:rPr>
                        </m:ctrlPr>
                      </m:sSubPr>
                      <m:e>
                        <m:r>
                          <w:rPr>
                            <w:rFonts w:ascii="Cambria Math" w:hAnsi="Cambria Math"/>
                            <w:lang w:val="ru-RU"/>
                          </w:rPr>
                          <m:t>O</m:t>
                        </m:r>
                      </m:e>
                      <m:sub>
                        <m:r>
                          <w:rPr>
                            <w:rFonts w:ascii="Cambria Math" w:hAnsi="Cambria Math"/>
                          </w:rPr>
                          <m:t>3</m:t>
                        </m:r>
                      </m:sub>
                    </m:sSub>
                  </m:sub>
                  <m:sup>
                    <m:r>
                      <w:rPr>
                        <w:rFonts w:ascii="Cambria Math" w:hAnsi="Cambria Math"/>
                      </w:rPr>
                      <m:t>*</m:t>
                    </m:r>
                  </m:sup>
                </m:sSubSup>
                <m:r>
                  <w:rPr>
                    <w:rFonts w:ascii="Cambria Math" w:hAnsi="Cambria Math"/>
                  </w:rPr>
                  <m:t>=</m:t>
                </m:r>
                <m:f>
                  <m:fPr>
                    <m:ctrlPr>
                      <w:rPr>
                        <w:rFonts w:ascii="Cambria Math" w:hAnsi="Cambria Math"/>
                        <w:lang w:val="ru-RU"/>
                      </w:rPr>
                    </m:ctrlPr>
                  </m:fPr>
                  <m:num>
                    <m:r>
                      <w:rPr>
                        <w:rFonts w:ascii="Cambria Math" w:hAnsi="Cambria Math"/>
                      </w:rPr>
                      <m:t>0.82</m:t>
                    </m:r>
                  </m:num>
                  <m:den>
                    <m:r>
                      <w:rPr>
                        <w:rFonts w:ascii="Cambria Math" w:hAnsi="Cambria Math"/>
                        <w:lang w:val="ru-RU"/>
                      </w:rPr>
                      <m:t>U</m:t>
                    </m:r>
                  </m:den>
                </m:f>
                <m:d>
                  <m:dPr>
                    <m:begChr m:val="["/>
                    <m:endChr m:val="]"/>
                    <m:ctrlPr>
                      <w:rPr>
                        <w:rFonts w:ascii="Cambria Math" w:hAnsi="Cambria Math"/>
                        <w:lang w:val="ru-RU"/>
                      </w:rPr>
                    </m:ctrlPr>
                  </m:dPr>
                  <m:e>
                    <m:r>
                      <w:rPr>
                        <w:rFonts w:ascii="Cambria Math" w:hAnsi="Cambria Math"/>
                      </w:rPr>
                      <m:t>1+0.06</m:t>
                    </m:r>
                    <m:sSup>
                      <m:sSupPr>
                        <m:ctrlPr>
                          <w:rPr>
                            <w:rFonts w:ascii="Cambria Math" w:hAnsi="Cambria Math"/>
                            <w:lang w:val="ru-RU"/>
                          </w:rPr>
                        </m:ctrlPr>
                      </m:sSupPr>
                      <m:e>
                        <m:d>
                          <m:dPr>
                            <m:ctrlPr>
                              <w:rPr>
                                <w:rFonts w:ascii="Cambria Math" w:hAnsi="Cambria Math"/>
                                <w:lang w:val="ru-RU"/>
                              </w:rPr>
                            </m:ctrlPr>
                          </m:dPr>
                          <m:e>
                            <m:r>
                              <w:rPr>
                                <w:rFonts w:ascii="Cambria Math" w:hAnsi="Cambria Math"/>
                                <w:lang w:val="ru-RU"/>
                              </w:rPr>
                              <m:t>pH</m:t>
                            </m:r>
                            <m:r>
                              <w:rPr>
                                <w:rFonts w:ascii="Cambria Math" w:hAnsi="Cambria Math"/>
                              </w:rPr>
                              <m:t>-5.0</m:t>
                            </m:r>
                          </m:e>
                        </m:d>
                      </m:e>
                      <m:sup>
                        <m:r>
                          <w:rPr>
                            <w:rFonts w:ascii="Cambria Math" w:hAnsi="Cambria Math"/>
                          </w:rPr>
                          <m:t>2</m:t>
                        </m:r>
                      </m:sup>
                    </m:sSup>
                  </m:e>
                </m:d>
              </m:e>
              <m:e/>
              <m:e>
                <m:r>
                  <m:rPr>
                    <m:nor/>
                  </m:rPr>
                  <m:t>(5)</m:t>
                </m:r>
              </m:e>
            </m:mr>
          </m:m>
          <m:r>
            <w:br/>
          </m:r>
        </m:oMath>
      </m:oMathPara>
    </w:p>
    <w:p w14:paraId="297FD046" w14:textId="4CBE6488" w:rsidR="00E21166" w:rsidRDefault="00E21166" w:rsidP="00E21166">
      <w:pPr>
        <w:pStyle w:val="CETBodytext"/>
      </w:pPr>
      <w:r w:rsidRPr="00E21166">
        <w:t xml:space="preserve">The additional pH term accounts for the increasing reagent penalty associated with operation at elevated slurry </w:t>
      </w:r>
      <w:proofErr w:type="spellStart"/>
      <w:r w:rsidRPr="00E21166">
        <w:t>pH</w:t>
      </w:r>
      <w:r>
        <w:t>.</w:t>
      </w:r>
      <w:proofErr w:type="spellEnd"/>
    </w:p>
    <w:p w14:paraId="172F1DE0" w14:textId="77777777" w:rsidR="00E21166" w:rsidRPr="00E21166" w:rsidRDefault="00E21166" w:rsidP="00E21166">
      <w:pPr>
        <w:pStyle w:val="CETBodytext"/>
      </w:pPr>
      <w:r w:rsidRPr="00E21166">
        <w:t>Auxiliary energy demand was evaluated using a normalized engineering model separating slurry circulation, gas-side hydrodynamic losses, and other auxiliary loads. For the baseline case, these contributions were assumed to represent 42.2%, 35.5%, and 22.3% of the total auxiliary demand, respectively:</w:t>
      </w:r>
    </w:p>
    <w:p w14:paraId="0599D4F9" w14:textId="02D45B9A" w:rsidR="00E21166" w:rsidRPr="00E21166" w:rsidRDefault="00E21166" w:rsidP="00E21166">
      <w:pPr>
        <w:pStyle w:val="CETBodytext"/>
      </w:pPr>
      <m:oMathPara>
        <m:oMath>
          <m:m>
            <m:mPr>
              <m:plcHide m:val="1"/>
              <m:mcs>
                <m:mc>
                  <m:mcPr>
                    <m:count m:val="4"/>
                    <m:mcJc m:val="center"/>
                  </m:mcPr>
                </m:mc>
              </m:mcs>
              <m:ctrlPr>
                <w:rPr>
                  <w:rFonts w:ascii="Cambria Math" w:hAnsi="Cambria Math"/>
                  <w:lang w:val="ru-RU"/>
                </w:rPr>
              </m:ctrlPr>
            </m:mPr>
            <m:mr>
              <m:e/>
              <m:e>
                <m:sSubSup>
                  <m:sSubSupPr>
                    <m:ctrlPr>
                      <w:rPr>
                        <w:rFonts w:ascii="Cambria Math" w:hAnsi="Cambria Math"/>
                        <w:lang w:val="ru-RU"/>
                      </w:rPr>
                    </m:ctrlPr>
                  </m:sSubSupPr>
                  <m:e>
                    <m:r>
                      <w:rPr>
                        <w:rFonts w:ascii="Cambria Math" w:hAnsi="Cambria Math"/>
                        <w:lang w:val="ru-RU"/>
                      </w:rPr>
                      <m:t>P</m:t>
                    </m:r>
                  </m:e>
                  <m:sub>
                    <m:r>
                      <w:rPr>
                        <w:rFonts w:ascii="Cambria Math" w:hAnsi="Cambria Math"/>
                        <w:lang w:val="ru-RU"/>
                      </w:rPr>
                      <m:t>aux</m:t>
                    </m:r>
                  </m:sub>
                  <m:sup>
                    <m:r>
                      <w:rPr>
                        <w:rFonts w:ascii="Cambria Math" w:hAnsi="Cambria Math"/>
                      </w:rPr>
                      <m:t>*</m:t>
                    </m:r>
                  </m:sup>
                </m:sSubSup>
                <m:r>
                  <w:rPr>
                    <w:rFonts w:ascii="Cambria Math" w:hAnsi="Cambria Math"/>
                  </w:rPr>
                  <m:t>=0.422</m:t>
                </m:r>
                <m:d>
                  <m:dPr>
                    <m:ctrlPr>
                      <w:rPr>
                        <w:rFonts w:ascii="Cambria Math" w:hAnsi="Cambria Math"/>
                        <w:lang w:val="ru-RU"/>
                      </w:rPr>
                    </m:ctrlPr>
                  </m:dPr>
                  <m:e>
                    <m:f>
                      <m:fPr>
                        <m:ctrlPr>
                          <w:rPr>
                            <w:rFonts w:ascii="Cambria Math" w:hAnsi="Cambria Math"/>
                            <w:lang w:val="ru-RU"/>
                          </w:rPr>
                        </m:ctrlPr>
                      </m:fPr>
                      <m:num>
                        <m:r>
                          <w:rPr>
                            <w:rFonts w:ascii="Cambria Math" w:hAnsi="Cambria Math"/>
                            <w:lang w:val="ru-RU"/>
                          </w:rPr>
                          <m:t>L</m:t>
                        </m:r>
                        <m:r>
                          <w:rPr>
                            <w:rFonts w:ascii="Cambria Math" w:hAnsi="Cambria Math"/>
                          </w:rPr>
                          <m:t>/</m:t>
                        </m:r>
                        <m:r>
                          <w:rPr>
                            <w:rFonts w:ascii="Cambria Math" w:hAnsi="Cambria Math"/>
                            <w:lang w:val="ru-RU"/>
                          </w:rPr>
                          <m:t>G</m:t>
                        </m:r>
                      </m:num>
                      <m:den>
                        <m:r>
                          <w:rPr>
                            <w:rFonts w:ascii="Cambria Math" w:hAnsi="Cambria Math"/>
                          </w:rPr>
                          <m:t>7.2</m:t>
                        </m:r>
                      </m:den>
                    </m:f>
                  </m:e>
                </m:d>
                <m:r>
                  <w:rPr>
                    <w:rFonts w:ascii="Cambria Math" w:hAnsi="Cambria Math"/>
                  </w:rPr>
                  <m:t>+0.355</m:t>
                </m:r>
                <m:d>
                  <m:dPr>
                    <m:ctrlPr>
                      <w:rPr>
                        <w:rFonts w:ascii="Cambria Math" w:hAnsi="Cambria Math"/>
                        <w:lang w:val="ru-RU"/>
                      </w:rPr>
                    </m:ctrlPr>
                  </m:dPr>
                  <m:e>
                    <m:f>
                      <m:fPr>
                        <m:ctrlPr>
                          <w:rPr>
                            <w:rFonts w:ascii="Cambria Math" w:hAnsi="Cambria Math"/>
                            <w:lang w:val="ru-RU"/>
                          </w:rPr>
                        </m:ctrlPr>
                      </m:fPr>
                      <m:num>
                        <m:r>
                          <w:rPr>
                            <w:rFonts w:ascii="Cambria Math" w:hAnsi="Cambria Math"/>
                            <w:lang w:val="ru-RU"/>
                          </w:rPr>
                          <m:t>H</m:t>
                        </m:r>
                      </m:num>
                      <m:den>
                        <m:r>
                          <w:rPr>
                            <w:rFonts w:ascii="Cambria Math" w:hAnsi="Cambria Math"/>
                          </w:rPr>
                          <m:t>5.5</m:t>
                        </m:r>
                      </m:den>
                    </m:f>
                  </m:e>
                </m:d>
                <m:sSup>
                  <m:sSupPr>
                    <m:ctrlPr>
                      <w:rPr>
                        <w:rFonts w:ascii="Cambria Math" w:hAnsi="Cambria Math"/>
                        <w:lang w:val="ru-RU"/>
                      </w:rPr>
                    </m:ctrlPr>
                  </m:sSupPr>
                  <m:e>
                    <m:d>
                      <m:dPr>
                        <m:ctrlPr>
                          <w:rPr>
                            <w:rFonts w:ascii="Cambria Math" w:hAnsi="Cambria Math"/>
                            <w:lang w:val="ru-RU"/>
                          </w:rPr>
                        </m:ctrlPr>
                      </m:dPr>
                      <m:e>
                        <m:f>
                          <m:fPr>
                            <m:ctrlPr>
                              <w:rPr>
                                <w:rFonts w:ascii="Cambria Math" w:hAnsi="Cambria Math"/>
                                <w:lang w:val="ru-RU"/>
                              </w:rPr>
                            </m:ctrlPr>
                          </m:fPr>
                          <m:num>
                            <m:r>
                              <w:rPr>
                                <w:rFonts w:ascii="Cambria Math" w:hAnsi="Cambria Math"/>
                              </w:rPr>
                              <m:t>2.0</m:t>
                            </m:r>
                          </m:num>
                          <m:den>
                            <m:sSub>
                              <m:sSubPr>
                                <m:ctrlPr>
                                  <w:rPr>
                                    <w:rFonts w:ascii="Cambria Math" w:hAnsi="Cambria Math"/>
                                    <w:lang w:val="ru-RU"/>
                                  </w:rPr>
                                </m:ctrlPr>
                              </m:sSubPr>
                              <m:e>
                                <m:r>
                                  <w:rPr>
                                    <w:rFonts w:ascii="Cambria Math" w:hAnsi="Cambria Math"/>
                                    <w:lang w:val="ru-RU"/>
                                  </w:rPr>
                                  <m:t>d</m:t>
                                </m:r>
                              </m:e>
                              <m:sub>
                                <m:r>
                                  <w:rPr>
                                    <w:rFonts w:ascii="Cambria Math" w:hAnsi="Cambria Math"/>
                                  </w:rPr>
                                  <m:t>32</m:t>
                                </m:r>
                              </m:sub>
                            </m:sSub>
                          </m:den>
                        </m:f>
                      </m:e>
                    </m:d>
                  </m:e>
                  <m:sup>
                    <m:r>
                      <w:rPr>
                        <w:rFonts w:ascii="Cambria Math" w:hAnsi="Cambria Math"/>
                      </w:rPr>
                      <m:t>2</m:t>
                    </m:r>
                  </m:sup>
                </m:sSup>
                <m:r>
                  <w:rPr>
                    <w:rFonts w:ascii="Cambria Math" w:hAnsi="Cambria Math"/>
                  </w:rPr>
                  <m:t>+0.223</m:t>
                </m:r>
              </m:e>
              <m:e/>
              <m:e>
                <m:r>
                  <m:rPr>
                    <m:nor/>
                  </m:rPr>
                  <m:t>(6)</m:t>
                </m:r>
              </m:e>
            </m:mr>
          </m:m>
          <m:r>
            <w:br/>
          </m:r>
        </m:oMath>
      </m:oMathPara>
    </w:p>
    <w:p w14:paraId="798C0994" w14:textId="77777777" w:rsidR="00E21166" w:rsidRPr="00E21166" w:rsidRDefault="00E21166" w:rsidP="00E21166">
      <w:pPr>
        <w:pStyle w:val="CETBodytext"/>
      </w:pPr>
      <w:r w:rsidRPr="00E21166">
        <w:t>Because SO</w:t>
      </w:r>
      <w:r w:rsidRPr="00E21166">
        <w:rPr>
          <w:rFonts w:ascii="Cambria Math" w:hAnsi="Cambria Math" w:cs="Cambria Math"/>
        </w:rPr>
        <w:t>₂</w:t>
      </w:r>
      <w:r w:rsidRPr="00E21166">
        <w:t xml:space="preserve"> removal changes simultaneously with auxiliary power, the energy objective was expressed as normalized specific auxiliary energy:</w:t>
      </w:r>
    </w:p>
    <w:p w14:paraId="0C586AA8" w14:textId="42434E7D" w:rsidR="00E21166" w:rsidRPr="00E21166" w:rsidRDefault="00E21166" w:rsidP="00E21166">
      <w:pPr>
        <w:pStyle w:val="CETBodytext"/>
      </w:pPr>
      <m:oMathPara>
        <m:oMath>
          <m:m>
            <m:mPr>
              <m:plcHide m:val="1"/>
              <m:mcs>
                <m:mc>
                  <m:mcPr>
                    <m:count m:val="4"/>
                    <m:mcJc m:val="center"/>
                  </m:mcPr>
                </m:mc>
              </m:mcs>
              <m:ctrlPr>
                <w:rPr>
                  <w:rFonts w:ascii="Cambria Math" w:hAnsi="Cambria Math"/>
                  <w:lang w:val="ru-RU"/>
                </w:rPr>
              </m:ctrlPr>
            </m:mPr>
            <m:mr>
              <m:e/>
              <m:e>
                <m:sSubSup>
                  <m:sSubSupPr>
                    <m:ctrlPr>
                      <w:rPr>
                        <w:rFonts w:ascii="Cambria Math" w:hAnsi="Cambria Math"/>
                        <w:lang w:val="ru-RU"/>
                      </w:rPr>
                    </m:ctrlPr>
                  </m:sSubSupPr>
                  <m:e>
                    <m:r>
                      <w:rPr>
                        <w:rFonts w:ascii="Cambria Math" w:hAnsi="Cambria Math"/>
                        <w:lang w:val="ru-RU"/>
                      </w:rPr>
                      <m:t>E</m:t>
                    </m:r>
                  </m:e>
                  <m:sub>
                    <m:r>
                      <w:rPr>
                        <w:rFonts w:ascii="Cambria Math" w:hAnsi="Cambria Math"/>
                        <w:lang w:val="ru-RU"/>
                      </w:rPr>
                      <m:t>aux</m:t>
                    </m:r>
                  </m:sub>
                  <m:sup>
                    <m:r>
                      <w:rPr>
                        <w:rFonts w:ascii="Cambria Math" w:hAnsi="Cambria Math"/>
                      </w:rPr>
                      <m:t>*</m:t>
                    </m:r>
                  </m:sup>
                </m:sSubSup>
                <m:r>
                  <w:rPr>
                    <w:rFonts w:ascii="Cambria Math" w:hAnsi="Cambria Math"/>
                  </w:rPr>
                  <m:t>=</m:t>
                </m:r>
                <m:f>
                  <m:fPr>
                    <m:ctrlPr>
                      <w:rPr>
                        <w:rFonts w:ascii="Cambria Math" w:hAnsi="Cambria Math"/>
                        <w:lang w:val="ru-RU"/>
                      </w:rPr>
                    </m:ctrlPr>
                  </m:fPr>
                  <m:num>
                    <m:sSubSup>
                      <m:sSubSupPr>
                        <m:ctrlPr>
                          <w:rPr>
                            <w:rFonts w:ascii="Cambria Math" w:hAnsi="Cambria Math"/>
                            <w:lang w:val="ru-RU"/>
                          </w:rPr>
                        </m:ctrlPr>
                      </m:sSubSupPr>
                      <m:e>
                        <m:r>
                          <w:rPr>
                            <w:rFonts w:ascii="Cambria Math" w:hAnsi="Cambria Math"/>
                            <w:lang w:val="ru-RU"/>
                          </w:rPr>
                          <m:t>P</m:t>
                        </m:r>
                      </m:e>
                      <m:sub>
                        <m:r>
                          <w:rPr>
                            <w:rFonts w:ascii="Cambria Math" w:hAnsi="Cambria Math"/>
                            <w:lang w:val="ru-RU"/>
                          </w:rPr>
                          <m:t>aux</m:t>
                        </m:r>
                      </m:sub>
                      <m:sup>
                        <m:r>
                          <w:rPr>
                            <w:rFonts w:ascii="Cambria Math" w:hAnsi="Cambria Math"/>
                          </w:rPr>
                          <m:t>*</m:t>
                        </m:r>
                      </m:sup>
                    </m:sSubSup>
                  </m:num>
                  <m:den>
                    <m:sSub>
                      <m:sSubPr>
                        <m:ctrlPr>
                          <w:rPr>
                            <w:rFonts w:ascii="Cambria Math" w:hAnsi="Cambria Math"/>
                            <w:lang w:val="ru-RU"/>
                          </w:rPr>
                        </m:ctrlPr>
                      </m:sSubPr>
                      <m:e>
                        <m:r>
                          <w:rPr>
                            <w:rFonts w:ascii="Cambria Math" w:hAnsi="Cambria Math"/>
                            <w:lang w:val="ru-RU"/>
                          </w:rPr>
                          <m:t>η</m:t>
                        </m:r>
                      </m:e>
                      <m:sub>
                        <m:r>
                          <w:rPr>
                            <w:rFonts w:ascii="Cambria Math" w:hAnsi="Cambria Math"/>
                            <w:lang w:val="ru-RU"/>
                          </w:rPr>
                          <m:t>S</m:t>
                        </m:r>
                        <m:sSub>
                          <m:sSubPr>
                            <m:ctrlPr>
                              <w:rPr>
                                <w:rFonts w:ascii="Cambria Math" w:hAnsi="Cambria Math"/>
                                <w:lang w:val="ru-RU"/>
                              </w:rPr>
                            </m:ctrlPr>
                          </m:sSubPr>
                          <m:e>
                            <m:r>
                              <w:rPr>
                                <w:rFonts w:ascii="Cambria Math" w:hAnsi="Cambria Math"/>
                                <w:lang w:val="ru-RU"/>
                              </w:rPr>
                              <m:t>O</m:t>
                            </m:r>
                          </m:e>
                          <m:sub>
                            <m:r>
                              <w:rPr>
                                <w:rFonts w:ascii="Cambria Math" w:hAnsi="Cambria Math"/>
                              </w:rPr>
                              <m:t>2</m:t>
                            </m:r>
                          </m:sub>
                        </m:sSub>
                      </m:sub>
                    </m:sSub>
                    <m:r>
                      <w:rPr>
                        <w:rFonts w:ascii="Cambria Math" w:hAnsi="Cambria Math"/>
                      </w:rPr>
                      <m:t>/0.894</m:t>
                    </m:r>
                  </m:den>
                </m:f>
              </m:e>
              <m:e/>
              <m:e>
                <m:r>
                  <m:rPr>
                    <m:nor/>
                  </m:rPr>
                  <m:t>(7)</m:t>
                </m:r>
              </m:e>
            </m:mr>
          </m:m>
          <m:r>
            <w:br/>
          </m:r>
        </m:oMath>
      </m:oMathPara>
    </w:p>
    <w:p w14:paraId="3700541F" w14:textId="77777777" w:rsidR="00E21166" w:rsidRPr="00E21166" w:rsidRDefault="00E21166" w:rsidP="00E21166">
      <w:pPr>
        <w:pStyle w:val="CETBodytext"/>
      </w:pPr>
      <w:r w:rsidRPr="00E21166">
        <w:t>Thus, an increase in L/G does not imply a reduction in pumping demand. Instead, the optimization evaluates the combined effect of slurry circulation, spray hydrodynamics, and the amount of SO</w:t>
      </w:r>
      <w:r w:rsidRPr="00E21166">
        <w:rPr>
          <w:rFonts w:ascii="Cambria Math" w:hAnsi="Cambria Math" w:cs="Cambria Math"/>
        </w:rPr>
        <w:t>₂</w:t>
      </w:r>
      <w:r w:rsidRPr="00E21166">
        <w:t xml:space="preserve"> removed.</w:t>
      </w:r>
    </w:p>
    <w:p w14:paraId="31A6ECE3" w14:textId="77777777" w:rsidR="00E21166" w:rsidRPr="00E21166" w:rsidRDefault="00E21166" w:rsidP="00E21166">
      <w:pPr>
        <w:pStyle w:val="CETBodytext"/>
      </w:pPr>
      <w:r w:rsidRPr="00E21166">
        <w:t>Four decision variables were considered:</w:t>
      </w:r>
    </w:p>
    <w:p w14:paraId="6BDA9AC0" w14:textId="60BA6FCA" w:rsidR="00E21166" w:rsidRPr="00E21166" w:rsidRDefault="00E21166" w:rsidP="00E21166">
      <w:pPr>
        <w:pStyle w:val="CETBodytext"/>
      </w:pPr>
      <m:oMathPara>
        <m:oMath>
          <m:m>
            <m:mPr>
              <m:plcHide m:val="1"/>
              <m:mcs>
                <m:mc>
                  <m:mcPr>
                    <m:count m:val="4"/>
                    <m:mcJc m:val="center"/>
                  </m:mcPr>
                </m:mc>
              </m:mcs>
              <m:ctrlPr>
                <w:rPr>
                  <w:rFonts w:ascii="Cambria Math" w:hAnsi="Cambria Math"/>
                  <w:lang w:val="ru-RU"/>
                </w:rPr>
              </m:ctrlPr>
            </m:mPr>
            <m:mr>
              <m:e/>
              <m:e>
                <m:r>
                  <w:rPr>
                    <w:rFonts w:ascii="Cambria Math" w:hAnsi="Cambria Math"/>
                    <w:lang w:val="ru-RU"/>
                  </w:rPr>
                  <m:t>x</m:t>
                </m:r>
                <m:r>
                  <w:rPr>
                    <w:rFonts w:ascii="Cambria Math" w:hAnsi="Cambria Math"/>
                  </w:rPr>
                  <m:t>=</m:t>
                </m:r>
                <m:d>
                  <m:dPr>
                    <m:begChr m:val="["/>
                    <m:sepChr m:val=","/>
                    <m:endChr m:val="]"/>
                    <m:ctrlPr>
                      <w:rPr>
                        <w:rFonts w:ascii="Cambria Math" w:hAnsi="Cambria Math"/>
                        <w:lang w:val="ru-RU"/>
                      </w:rPr>
                    </m:ctrlPr>
                  </m:dPr>
                  <m:e>
                    <m:r>
                      <w:rPr>
                        <w:rFonts w:ascii="Cambria Math" w:hAnsi="Cambria Math"/>
                        <w:lang w:val="ru-RU"/>
                      </w:rPr>
                      <m:t>L</m:t>
                    </m:r>
                  </m:e>
                  <m:e>
                    <m:r>
                      <w:rPr>
                        <w:rFonts w:ascii="Cambria Math" w:hAnsi="Cambria Math"/>
                      </w:rPr>
                      <m:t>/</m:t>
                    </m:r>
                  </m:e>
                  <m:e>
                    <m:r>
                      <w:rPr>
                        <w:rFonts w:ascii="Cambria Math" w:hAnsi="Cambria Math"/>
                        <w:lang w:val="ru-RU"/>
                      </w:rPr>
                      <m:t>G</m:t>
                    </m:r>
                  </m:e>
                  <m:e>
                    <m:r>
                      <m:rPr>
                        <m:nor/>
                      </m:rPr>
                      <m:t>  </m:t>
                    </m:r>
                    <m:r>
                      <w:rPr>
                        <w:rFonts w:ascii="Cambria Math" w:hAnsi="Cambria Math"/>
                        <w:lang w:val="ru-RU"/>
                      </w:rPr>
                      <m:t>pH</m:t>
                    </m:r>
                    <m:r>
                      <m:rPr>
                        <m:nor/>
                      </m:rPr>
                      <m:t>  </m:t>
                    </m:r>
                    <m:sSub>
                      <m:sSubPr>
                        <m:ctrlPr>
                          <w:rPr>
                            <w:rFonts w:ascii="Cambria Math" w:hAnsi="Cambria Math"/>
                            <w:lang w:val="ru-RU"/>
                          </w:rPr>
                        </m:ctrlPr>
                      </m:sSubPr>
                      <m:e>
                        <m:r>
                          <w:rPr>
                            <w:rFonts w:ascii="Cambria Math" w:hAnsi="Cambria Math"/>
                            <w:lang w:val="ru-RU"/>
                          </w:rPr>
                          <m:t>d</m:t>
                        </m:r>
                      </m:e>
                      <m:sub>
                        <m:r>
                          <w:rPr>
                            <w:rFonts w:ascii="Cambria Math" w:hAnsi="Cambria Math"/>
                          </w:rPr>
                          <m:t>32</m:t>
                        </m:r>
                      </m:sub>
                    </m:sSub>
                    <m:r>
                      <m:rPr>
                        <m:nor/>
                      </m:rPr>
                      <m:t>  </m:t>
                    </m:r>
                    <m:r>
                      <w:rPr>
                        <w:rFonts w:ascii="Cambria Math" w:hAnsi="Cambria Math"/>
                        <w:lang w:val="ru-RU"/>
                      </w:rPr>
                      <m:t>H</m:t>
                    </m:r>
                  </m:e>
                </m:d>
              </m:e>
              <m:e/>
              <m:e>
                <m:r>
                  <m:rPr>
                    <m:nor/>
                  </m:rPr>
                  <m:t>(8)</m:t>
                </m:r>
              </m:e>
            </m:mr>
          </m:m>
          <m:r>
            <w:br/>
          </m:r>
        </m:oMath>
      </m:oMathPara>
    </w:p>
    <w:p w14:paraId="3C6FB33B" w14:textId="77777777" w:rsidR="00E21166" w:rsidRPr="00E21166" w:rsidRDefault="00E21166" w:rsidP="00E21166">
      <w:pPr>
        <w:pStyle w:val="CETBodytext"/>
      </w:pPr>
      <w:r w:rsidRPr="00E21166">
        <w:t>and the optimization problem was formulated as:</w:t>
      </w:r>
    </w:p>
    <w:p w14:paraId="243BC576" w14:textId="58C59C4E" w:rsidR="00E21166" w:rsidRPr="00E21166" w:rsidRDefault="00E21166" w:rsidP="00E21166">
      <w:pPr>
        <w:pStyle w:val="CETBodytext"/>
      </w:pPr>
      <m:oMathPara>
        <m:oMath>
          <m:m>
            <m:mPr>
              <m:plcHide m:val="1"/>
              <m:mcs>
                <m:mc>
                  <m:mcPr>
                    <m:count m:val="4"/>
                    <m:mcJc m:val="center"/>
                  </m:mcPr>
                </m:mc>
              </m:mcs>
              <m:ctrlPr>
                <w:rPr>
                  <w:rFonts w:ascii="Cambria Math" w:hAnsi="Cambria Math"/>
                  <w:lang w:val="ru-RU"/>
                </w:rPr>
              </m:ctrlPr>
            </m:mPr>
            <m:mr>
              <m:e/>
              <m:e>
                <m:func>
                  <m:funcPr>
                    <m:ctrlPr>
                      <w:rPr>
                        <w:rFonts w:ascii="Cambria Math" w:hAnsi="Cambria Math"/>
                        <w:lang w:val="ru-RU"/>
                      </w:rPr>
                    </m:ctrlPr>
                  </m:funcPr>
                  <m:fName>
                    <m:r>
                      <m:rPr>
                        <m:sty m:val="p"/>
                      </m:rPr>
                      <w:rPr>
                        <w:rFonts w:ascii="Cambria Math" w:hAnsi="Cambria Math"/>
                      </w:rPr>
                      <m:t>max</m:t>
                    </m:r>
                  </m:fName>
                  <m:e>
                    <m:sSub>
                      <m:sSubPr>
                        <m:ctrlPr>
                          <w:rPr>
                            <w:rFonts w:ascii="Cambria Math" w:hAnsi="Cambria Math"/>
                            <w:lang w:val="ru-RU"/>
                          </w:rPr>
                        </m:ctrlPr>
                      </m:sSubPr>
                      <m:e>
                        <m:r>
                          <w:rPr>
                            <w:rFonts w:ascii="Cambria Math" w:hAnsi="Cambria Math"/>
                            <w:lang w:val="ru-RU"/>
                          </w:rPr>
                          <m:t>η</m:t>
                        </m:r>
                      </m:e>
                      <m:sub>
                        <m:r>
                          <w:rPr>
                            <w:rFonts w:ascii="Cambria Math" w:hAnsi="Cambria Math"/>
                            <w:lang w:val="ru-RU"/>
                          </w:rPr>
                          <m:t>S</m:t>
                        </m:r>
                        <m:sSub>
                          <m:sSubPr>
                            <m:ctrlPr>
                              <w:rPr>
                                <w:rFonts w:ascii="Cambria Math" w:hAnsi="Cambria Math"/>
                                <w:lang w:val="ru-RU"/>
                              </w:rPr>
                            </m:ctrlPr>
                          </m:sSubPr>
                          <m:e>
                            <m:r>
                              <w:rPr>
                                <w:rFonts w:ascii="Cambria Math" w:hAnsi="Cambria Math"/>
                                <w:lang w:val="ru-RU"/>
                              </w:rPr>
                              <m:t>O</m:t>
                            </m:r>
                          </m:e>
                          <m:sub>
                            <m:r>
                              <w:rPr>
                                <w:rFonts w:ascii="Cambria Math" w:hAnsi="Cambria Math"/>
                              </w:rPr>
                              <m:t>2</m:t>
                            </m:r>
                          </m:sub>
                        </m:sSub>
                      </m:sub>
                    </m:sSub>
                  </m:e>
                </m:func>
                <m:d>
                  <m:dPr>
                    <m:ctrlPr>
                      <w:rPr>
                        <w:rFonts w:ascii="Cambria Math" w:hAnsi="Cambria Math"/>
                        <w:lang w:val="ru-RU"/>
                      </w:rPr>
                    </m:ctrlPr>
                  </m:dPr>
                  <m:e>
                    <m:r>
                      <w:rPr>
                        <w:rFonts w:ascii="Cambria Math" w:hAnsi="Cambria Math"/>
                        <w:lang w:val="ru-RU"/>
                      </w:rPr>
                      <m:t>x</m:t>
                    </m:r>
                  </m:e>
                </m:d>
                <m:r>
                  <w:rPr>
                    <w:rFonts w:ascii="Cambria Math" w:hAnsi="Cambria Math"/>
                  </w:rPr>
                  <m:t>, </m:t>
                </m:r>
                <m:func>
                  <m:funcPr>
                    <m:ctrlPr>
                      <w:rPr>
                        <w:rFonts w:ascii="Cambria Math" w:hAnsi="Cambria Math"/>
                        <w:lang w:val="ru-RU"/>
                      </w:rPr>
                    </m:ctrlPr>
                  </m:funcPr>
                  <m:fName>
                    <m:r>
                      <m:rPr>
                        <m:sty m:val="p"/>
                      </m:rPr>
                      <w:rPr>
                        <w:rFonts w:ascii="Cambria Math" w:hAnsi="Cambria Math"/>
                      </w:rPr>
                      <m:t>min</m:t>
                    </m:r>
                  </m:fName>
                  <m:e>
                    <m:sSubSup>
                      <m:sSubSupPr>
                        <m:ctrlPr>
                          <w:rPr>
                            <w:rFonts w:ascii="Cambria Math" w:hAnsi="Cambria Math"/>
                            <w:lang w:val="ru-RU"/>
                          </w:rPr>
                        </m:ctrlPr>
                      </m:sSubSupPr>
                      <m:e>
                        <m:r>
                          <w:rPr>
                            <w:rFonts w:ascii="Cambria Math" w:hAnsi="Cambria Math"/>
                            <w:lang w:val="ru-RU"/>
                          </w:rPr>
                          <m:t>E</m:t>
                        </m:r>
                      </m:e>
                      <m:sub>
                        <m:r>
                          <w:rPr>
                            <w:rFonts w:ascii="Cambria Math" w:hAnsi="Cambria Math"/>
                            <w:lang w:val="ru-RU"/>
                          </w:rPr>
                          <m:t>aux</m:t>
                        </m:r>
                      </m:sub>
                      <m:sup>
                        <m:r>
                          <w:rPr>
                            <w:rFonts w:ascii="Cambria Math" w:hAnsi="Cambria Math"/>
                          </w:rPr>
                          <m:t>*</m:t>
                        </m:r>
                      </m:sup>
                    </m:sSubSup>
                  </m:e>
                </m:func>
                <m:d>
                  <m:dPr>
                    <m:ctrlPr>
                      <w:rPr>
                        <w:rFonts w:ascii="Cambria Math" w:hAnsi="Cambria Math"/>
                        <w:lang w:val="ru-RU"/>
                      </w:rPr>
                    </m:ctrlPr>
                  </m:dPr>
                  <m:e>
                    <m:r>
                      <w:rPr>
                        <w:rFonts w:ascii="Cambria Math" w:hAnsi="Cambria Math"/>
                        <w:lang w:val="ru-RU"/>
                      </w:rPr>
                      <m:t>x</m:t>
                    </m:r>
                  </m:e>
                </m:d>
                <m:r>
                  <w:rPr>
                    <w:rFonts w:ascii="Cambria Math" w:hAnsi="Cambria Math"/>
                  </w:rPr>
                  <m:t>, </m:t>
                </m:r>
                <m:func>
                  <m:funcPr>
                    <m:ctrlPr>
                      <w:rPr>
                        <w:rFonts w:ascii="Cambria Math" w:hAnsi="Cambria Math"/>
                        <w:lang w:val="ru-RU"/>
                      </w:rPr>
                    </m:ctrlPr>
                  </m:funcPr>
                  <m:fName>
                    <m:r>
                      <m:rPr>
                        <m:sty m:val="p"/>
                      </m:rPr>
                      <w:rPr>
                        <w:rFonts w:ascii="Cambria Math" w:hAnsi="Cambria Math"/>
                      </w:rPr>
                      <m:t>min</m:t>
                    </m:r>
                  </m:fName>
                  <m:e>
                    <m:sSubSup>
                      <m:sSubSupPr>
                        <m:ctrlPr>
                          <w:rPr>
                            <w:rFonts w:ascii="Cambria Math" w:hAnsi="Cambria Math"/>
                            <w:lang w:val="ru-RU"/>
                          </w:rPr>
                        </m:ctrlPr>
                      </m:sSubSupPr>
                      <m:e>
                        <m:r>
                          <w:rPr>
                            <w:rFonts w:ascii="Cambria Math" w:hAnsi="Cambria Math"/>
                            <w:lang w:val="ru-RU"/>
                          </w:rPr>
                          <m:t>M</m:t>
                        </m:r>
                      </m:e>
                      <m:sub>
                        <m:r>
                          <w:rPr>
                            <w:rFonts w:ascii="Cambria Math" w:hAnsi="Cambria Math"/>
                            <w:lang w:val="ru-RU"/>
                          </w:rPr>
                          <m:t>CaC</m:t>
                        </m:r>
                        <m:sSub>
                          <m:sSubPr>
                            <m:ctrlPr>
                              <w:rPr>
                                <w:rFonts w:ascii="Cambria Math" w:hAnsi="Cambria Math"/>
                                <w:lang w:val="ru-RU"/>
                              </w:rPr>
                            </m:ctrlPr>
                          </m:sSubPr>
                          <m:e>
                            <m:r>
                              <w:rPr>
                                <w:rFonts w:ascii="Cambria Math" w:hAnsi="Cambria Math"/>
                                <w:lang w:val="ru-RU"/>
                              </w:rPr>
                              <m:t>O</m:t>
                            </m:r>
                          </m:e>
                          <m:sub>
                            <m:r>
                              <w:rPr>
                                <w:rFonts w:ascii="Cambria Math" w:hAnsi="Cambria Math"/>
                              </w:rPr>
                              <m:t>3</m:t>
                            </m:r>
                          </m:sub>
                        </m:sSub>
                      </m:sub>
                      <m:sup>
                        <m:r>
                          <w:rPr>
                            <w:rFonts w:ascii="Cambria Math" w:hAnsi="Cambria Math"/>
                          </w:rPr>
                          <m:t>*</m:t>
                        </m:r>
                      </m:sup>
                    </m:sSubSup>
                  </m:e>
                </m:func>
                <m:d>
                  <m:dPr>
                    <m:ctrlPr>
                      <w:rPr>
                        <w:rFonts w:ascii="Cambria Math" w:hAnsi="Cambria Math"/>
                        <w:lang w:val="ru-RU"/>
                      </w:rPr>
                    </m:ctrlPr>
                  </m:dPr>
                  <m:e>
                    <m:r>
                      <w:rPr>
                        <w:rFonts w:ascii="Cambria Math" w:hAnsi="Cambria Math"/>
                        <w:lang w:val="ru-RU"/>
                      </w:rPr>
                      <m:t>x</m:t>
                    </m:r>
                  </m:e>
                </m:d>
              </m:e>
              <m:e/>
              <m:e>
                <m:r>
                  <m:rPr>
                    <m:nor/>
                  </m:rPr>
                  <m:t>(9)</m:t>
                </m:r>
              </m:e>
            </m:mr>
          </m:m>
          <m:r>
            <w:br/>
          </m:r>
        </m:oMath>
      </m:oMathPara>
    </w:p>
    <w:p w14:paraId="24131058" w14:textId="77777777" w:rsidR="00E21166" w:rsidRPr="00E21166" w:rsidRDefault="00E21166" w:rsidP="00E21166">
      <w:pPr>
        <w:pStyle w:val="CETBodytext"/>
      </w:pPr>
      <w:r w:rsidRPr="00E21166">
        <w:t>subject to the numerical bounds given in Table 1. The selected operating point was additionally required to provide an outlet SO</w:t>
      </w:r>
      <w:r w:rsidRPr="00E21166">
        <w:rPr>
          <w:rFonts w:ascii="Cambria Math" w:hAnsi="Cambria Math" w:cs="Cambria Math"/>
        </w:rPr>
        <w:t>₂</w:t>
      </w:r>
      <w:r w:rsidRPr="00E21166">
        <w:t xml:space="preserve"> concentration not </w:t>
      </w:r>
      <w:proofErr w:type="gramStart"/>
      <w:r w:rsidRPr="00E21166">
        <w:t>exceeding</w:t>
      </w:r>
      <w:proofErr w:type="gramEnd"/>
      <w:r w:rsidRPr="00E21166">
        <w:t xml:space="preserve"> approximately 60 mg/Nm</w:t>
      </w:r>
      <w:r w:rsidRPr="00E21166">
        <w:rPr>
          <w:rFonts w:cs="Arial"/>
        </w:rPr>
        <w:t>³</w:t>
      </w:r>
      <w:r w:rsidRPr="00E21166">
        <w:t>.</w:t>
      </w:r>
    </w:p>
    <w:p w14:paraId="46FEFDDE" w14:textId="61BD043F" w:rsidR="00497FE6" w:rsidRPr="00497FE6" w:rsidRDefault="00E21166" w:rsidP="00497FE6">
      <w:pPr>
        <w:pStyle w:val="CETBodytext"/>
      </w:pPr>
      <w:r w:rsidRPr="00E21166">
        <w:rPr>
          <w:lang w:val="en-GB"/>
        </w:rPr>
        <w:t>The constrained multi-objective optimization was performed using the Non-dominated Sorting Genetic Algorithm II (NSGA-II). A population of 120 solutions was evolved over 160 generations using a crossover probability of 0.90 and a mutation probability of 0.25. At each evaluation, the rate-based model returned SO</w:t>
      </w:r>
      <w:r w:rsidRPr="00E21166">
        <w:rPr>
          <w:rFonts w:ascii="Cambria Math" w:hAnsi="Cambria Math" w:cs="Cambria Math"/>
          <w:lang w:val="en-GB"/>
        </w:rPr>
        <w:t>₂</w:t>
      </w:r>
      <w:r w:rsidRPr="00E21166">
        <w:rPr>
          <w:lang w:val="en-GB"/>
        </w:rPr>
        <w:t xml:space="preserve"> removal efficiency, normalized specific auxiliary energy, and normalized limestone consumption. The final non-dominated population was used to construct the Pareto front</w:t>
      </w:r>
      <w:r w:rsidR="00497FE6" w:rsidRPr="00497FE6">
        <w:t>. Each solution in the Pareto front corresponds to a feasible operating regime where no objective can be improved without degrading another. From this set, an operationally optimal region is selected based on practical engineering considerations, including robustness and ease of control.</w:t>
      </w:r>
    </w:p>
    <w:p w14:paraId="3F5DFE0C" w14:textId="0567B560" w:rsidR="00497FE6" w:rsidRPr="00497FE6" w:rsidRDefault="00E21166" w:rsidP="00497FE6">
      <w:pPr>
        <w:pStyle w:val="CETBodytext"/>
      </w:pPr>
      <w:r w:rsidRPr="00E21166">
        <w:rPr>
          <w:lang w:val="en-GB"/>
        </w:rPr>
        <w:t>The model equations were evaluated numerically for each candidate operating point generated by NSGA-II. Model outputs were checked for physical feasibility and consistency with the specified variable bounds. In addition, an independent random feasibility scan of 200,000 operating points was performed to verify that the selected compromise solution was not dominated simultaneously in SO</w:t>
      </w:r>
      <w:r w:rsidRPr="00E21166">
        <w:rPr>
          <w:rFonts w:ascii="Cambria Math" w:hAnsi="Cambria Math" w:cs="Cambria Math"/>
          <w:lang w:val="en-GB"/>
        </w:rPr>
        <w:t>₂</w:t>
      </w:r>
      <w:r w:rsidRPr="00E21166">
        <w:rPr>
          <w:lang w:val="en-GB"/>
        </w:rPr>
        <w:t xml:space="preserve"> removal, specific energy demand, and limestone consumption</w:t>
      </w:r>
      <w:r w:rsidR="00497FE6" w:rsidRPr="00497FE6">
        <w:t xml:space="preserve">. </w:t>
      </w:r>
      <w:r w:rsidRPr="00E21166">
        <w:rPr>
          <w:lang w:val="en-GB"/>
        </w:rPr>
        <w:t>Model reliability was assessed through baseline reproduction, sensitivity checks, and comparison with the operating trends reported in the literature cited in this study. The model reproduced the baseline SO</w:t>
      </w:r>
      <w:r w:rsidRPr="00E21166">
        <w:rPr>
          <w:rFonts w:ascii="Cambria Math" w:hAnsi="Cambria Math" w:cs="Cambria Math"/>
          <w:lang w:val="en-GB"/>
        </w:rPr>
        <w:t>₂</w:t>
      </w:r>
      <w:r w:rsidRPr="00E21166">
        <w:rPr>
          <w:lang w:val="en-GB"/>
        </w:rPr>
        <w:t xml:space="preserve"> removal efficiency of 89.4% exactly and predicted the expected increase in removal with increasing L/G, slurry pH, and absorber height, together with the expected sensitivity to droplet diameter. A </w:t>
      </w:r>
      <w:r w:rsidRPr="00E21166">
        <w:rPr>
          <w:rFonts w:cs="Arial"/>
          <w:lang w:val="en-GB"/>
        </w:rPr>
        <w:t>±</w:t>
      </w:r>
      <w:r w:rsidRPr="00E21166">
        <w:rPr>
          <w:lang w:val="en-GB"/>
        </w:rPr>
        <w:t>10% perturbation of the principal empirical coefficients gave a 95% prediction interval of approximately 95.9–97.4% for SO</w:t>
      </w:r>
      <w:r w:rsidRPr="00E21166">
        <w:rPr>
          <w:rFonts w:ascii="Cambria Math" w:hAnsi="Cambria Math" w:cs="Cambria Math"/>
          <w:lang w:val="en-GB"/>
        </w:rPr>
        <w:t>₂</w:t>
      </w:r>
      <w:r w:rsidRPr="00E21166">
        <w:rPr>
          <w:lang w:val="en-GB"/>
        </w:rPr>
        <w:t xml:space="preserve"> removal at the selected operating point. Plant-specific experimental measurements were not available; therefore, the reported optimized values should be interpreted as model-based engineering predictions rather than direct plant validation</w:t>
      </w:r>
      <w:r w:rsidR="00497FE6" w:rsidRPr="00497FE6">
        <w:t>.</w:t>
      </w:r>
    </w:p>
    <w:p w14:paraId="13E7E861" w14:textId="77777777" w:rsidR="00497FE6" w:rsidRPr="00497FE6" w:rsidRDefault="00497FE6" w:rsidP="00497FE6">
      <w:pPr>
        <w:pStyle w:val="CETBodytext"/>
      </w:pPr>
      <w:r w:rsidRPr="00497FE6">
        <w:t>Overall, the methodology integrates fundamental transport theory, chemical reaction engineering, and optimization techniques to provide a comprehensive framework for analyzing and improving FGD system performance. This approach enables a more accurate representation of real process behavior and supports the identification of operating conditions that balance environmental performance with economic efficiency.</w:t>
      </w:r>
    </w:p>
    <w:p w14:paraId="7CB58CDF" w14:textId="57D53E58" w:rsidR="00DB2AB8" w:rsidRPr="00DB2AB8" w:rsidRDefault="00DB2AB8" w:rsidP="00497FE6">
      <w:pPr>
        <w:pStyle w:val="CETHeading1"/>
      </w:pPr>
      <w:r w:rsidRPr="00DB2AB8">
        <w:t>Results and Discussion</w:t>
      </w:r>
    </w:p>
    <w:p w14:paraId="733AD528" w14:textId="77777777" w:rsidR="00497FE6" w:rsidRPr="00497FE6" w:rsidRDefault="00497FE6" w:rsidP="00497FE6">
      <w:pPr>
        <w:pStyle w:val="CETBodytext"/>
      </w:pPr>
      <w:r w:rsidRPr="00497FE6">
        <w:t>The baseline simulation of the hybrid wet FGD system indicates an SO</w:t>
      </w:r>
      <w:r w:rsidRPr="00497FE6">
        <w:rPr>
          <w:rFonts w:ascii="Cambria Math" w:hAnsi="Cambria Math" w:cs="Cambria Math"/>
        </w:rPr>
        <w:t>₂</w:t>
      </w:r>
      <w:r w:rsidRPr="00497FE6">
        <w:t xml:space="preserve"> removal efficiency of 89.4%, which is below the target range required for modern emission standards. This performance level reflects the presence of mass transfer limitations and suboptimal interaction between gas and liquid phases under initial operating conditions. In particular, the relatively low liquid-to-gas ratio (L/G) and insufficient absorber height restrict effective gas</w:t>
      </w:r>
      <w:r w:rsidRPr="00497FE6">
        <w:rPr>
          <w:rFonts w:cs="Arial"/>
        </w:rPr>
        <w:t>–</w:t>
      </w:r>
      <w:r w:rsidRPr="00497FE6">
        <w:t>liquid contact, resulting in incomplete SO</w:t>
      </w:r>
      <w:r w:rsidRPr="00497FE6">
        <w:rPr>
          <w:rFonts w:ascii="Cambria Math" w:hAnsi="Cambria Math" w:cs="Cambria Math"/>
        </w:rPr>
        <w:t>₂</w:t>
      </w:r>
      <w:r w:rsidRPr="00497FE6">
        <w:t xml:space="preserve"> absorption.</w:t>
      </w:r>
    </w:p>
    <w:p w14:paraId="33105F5C" w14:textId="77777777" w:rsidR="00497FE6" w:rsidRPr="00497FE6" w:rsidRDefault="00497FE6" w:rsidP="00497FE6">
      <w:pPr>
        <w:pStyle w:val="CETBodytext"/>
      </w:pPr>
      <w:r w:rsidRPr="00497FE6">
        <w:t>The parametric sensitivity analysis reveals that the system response is highly nonlinear and governed by coupled interactions between hydrodynamics, reaction kinetics, and mass transfer. Increasing the L/G ratio improves SO</w:t>
      </w:r>
      <w:r w:rsidRPr="00497FE6">
        <w:rPr>
          <w:rFonts w:ascii="Cambria Math" w:hAnsi="Cambria Math" w:cs="Cambria Math"/>
        </w:rPr>
        <w:t>₂</w:t>
      </w:r>
      <w:r w:rsidRPr="00497FE6">
        <w:t xml:space="preserve"> removal efficiency due to enhanced interfacial area and improved buffering capacity of the slurry. However, beyond a threshold (approximately 10.2 L/m</w:t>
      </w:r>
      <w:r w:rsidRPr="00497FE6">
        <w:rPr>
          <w:rFonts w:cs="Arial"/>
        </w:rPr>
        <w:t>³</w:t>
      </w:r>
      <w:r w:rsidRPr="00497FE6">
        <w:t>), the marginal gain in efficiency becomes negligible while energy consumption increases significantly due to higher slurry circulation rates. This behavior indicates diminishing returns and highlights the importance of identifying an optimal operating window rather than maximizing a single parameter.</w:t>
      </w:r>
    </w:p>
    <w:p w14:paraId="162721C5" w14:textId="77777777" w:rsidR="00497FE6" w:rsidRPr="00497FE6" w:rsidRDefault="00497FE6" w:rsidP="00497FE6">
      <w:pPr>
        <w:pStyle w:val="CETBodytext"/>
      </w:pPr>
      <w:r w:rsidRPr="00497FE6">
        <w:t>Slurry pH plays a critical role in determining reaction kinetics and absorption capacity. At lower pH values (&lt;5.0), the availability of alkaline reactants is insufficient to sustain rapid SO</w:t>
      </w:r>
      <w:r w:rsidRPr="00497FE6">
        <w:rPr>
          <w:rFonts w:ascii="Cambria Math" w:hAnsi="Cambria Math" w:cs="Cambria Math"/>
        </w:rPr>
        <w:t>₂</w:t>
      </w:r>
      <w:r w:rsidRPr="00497FE6">
        <w:t xml:space="preserve"> neutralization, leading to reduced efficiency. Conversely, higher pH values (&gt;6.0) accelerate reaction rates but significantly increase limestone </w:t>
      </w:r>
      <w:r w:rsidRPr="00497FE6">
        <w:lastRenderedPageBreak/>
        <w:t>consumption and promote scaling due to calcium sulfate precipitation. The optimal pH range is identified between 5.4 and 5.8, where reaction kinetics and reagent utilization are balanced.</w:t>
      </w:r>
    </w:p>
    <w:p w14:paraId="764731C5" w14:textId="77777777" w:rsidR="00497FE6" w:rsidRPr="00497FE6" w:rsidRDefault="00497FE6" w:rsidP="00497FE6">
      <w:pPr>
        <w:pStyle w:val="CETBodytext"/>
      </w:pPr>
      <w:r w:rsidRPr="00497FE6">
        <w:t>Droplet diameter is another influential parameter affecting interfacial area and mass transfer rates. Smaller droplets increase the effective surface area, thereby enhancing absorption efficiency. However, excessively fine droplets are prone to entrainment and may overload the mist eliminator, increasing pressure drop and operational instability. The results suggest that an intermediate droplet size range provides the best compromise between efficiency and system stability.</w:t>
      </w:r>
    </w:p>
    <w:p w14:paraId="244D3D0B" w14:textId="77777777" w:rsidR="00497FE6" w:rsidRPr="00497FE6" w:rsidRDefault="00497FE6" w:rsidP="00497FE6">
      <w:pPr>
        <w:pStyle w:val="CETBodytext"/>
      </w:pPr>
      <w:r w:rsidRPr="00497FE6">
        <w:t>Absorber height directly influences gas residence time and, consequently, the extent of mass transfer. Increasing the height improves SO</w:t>
      </w:r>
      <w:r w:rsidRPr="00497FE6">
        <w:rPr>
          <w:rFonts w:ascii="Cambria Math" w:hAnsi="Cambria Math" w:cs="Cambria Math"/>
        </w:rPr>
        <w:t>₂</w:t>
      </w:r>
      <w:r w:rsidRPr="00497FE6">
        <w:t xml:space="preserve"> removal up to approximately 6.8 m, beyond which the improvement becomes marginal. This indicates that the system approaches mass transfer equilibrium conditions, and further increases in height do not justify the additional capital cost.</w:t>
      </w:r>
    </w:p>
    <w:p w14:paraId="593A23D7" w14:textId="77777777" w:rsidR="00E21166" w:rsidRDefault="00E21166" w:rsidP="00497FE6">
      <w:pPr>
        <w:pStyle w:val="CETBodytext"/>
        <w:rPr>
          <w:lang w:val="en-GB"/>
        </w:rPr>
      </w:pPr>
      <w:r w:rsidRPr="00E21166">
        <w:rPr>
          <w:lang w:val="en-GB"/>
        </w:rPr>
        <w:t>The multi-objective optimization identified a non-dominated operating region in which higher SO</w:t>
      </w:r>
      <w:r w:rsidRPr="00E21166">
        <w:rPr>
          <w:rFonts w:ascii="Cambria Math" w:hAnsi="Cambria Math" w:cs="Cambria Math"/>
          <w:lang w:val="en-GB"/>
        </w:rPr>
        <w:t>₂</w:t>
      </w:r>
      <w:r w:rsidRPr="00E21166">
        <w:rPr>
          <w:lang w:val="en-GB"/>
        </w:rPr>
        <w:t xml:space="preserve"> removal could be obtained without proportionally increasing resource demand. A representative compromise solution was obtained at an L/G ratio of 9.25 L/m</w:t>
      </w:r>
      <w:r w:rsidRPr="00E21166">
        <w:rPr>
          <w:rFonts w:cs="Arial"/>
          <w:lang w:val="en-GB"/>
        </w:rPr>
        <w:t>³</w:t>
      </w:r>
      <w:r w:rsidRPr="00E21166">
        <w:rPr>
          <w:lang w:val="en-GB"/>
        </w:rPr>
        <w:t>, slurry pH of 5.75, Sauter mean droplet diameter of 3.0 mm, and effective absorber height of 6.8 m. Under these conditions, SO</w:t>
      </w:r>
      <w:r w:rsidRPr="00E21166">
        <w:rPr>
          <w:rFonts w:ascii="Cambria Math" w:hAnsi="Cambria Math" w:cs="Cambria Math"/>
          <w:lang w:val="en-GB"/>
        </w:rPr>
        <w:t>₂</w:t>
      </w:r>
      <w:r w:rsidRPr="00E21166">
        <w:rPr>
          <w:lang w:val="en-GB"/>
        </w:rPr>
        <w:t xml:space="preserve"> removal efficiency increased from 89.4% to 96.74%, corresponding to an outlet concentration of approximately 59.9 mg/Nm</w:t>
      </w:r>
      <w:r w:rsidRPr="00E21166">
        <w:rPr>
          <w:rFonts w:cs="Arial"/>
          <w:lang w:val="en-GB"/>
        </w:rPr>
        <w:t>³</w:t>
      </w:r>
      <w:r w:rsidRPr="00E21166">
        <w:rPr>
          <w:lang w:val="en-GB"/>
        </w:rPr>
        <w:t>. The normalized specific auxiliary energy demand decreased by 11.27%, while normalized specific limestone consumption decreased by 10.65%.</w:t>
      </w:r>
    </w:p>
    <w:p w14:paraId="43397616" w14:textId="38567184" w:rsidR="00E21166" w:rsidRDefault="00E21166" w:rsidP="00497FE6">
      <w:pPr>
        <w:pStyle w:val="CETBodytext"/>
        <w:rPr>
          <w:lang w:val="en-GB"/>
        </w:rPr>
      </w:pPr>
      <w:r w:rsidRPr="00E21166">
        <w:rPr>
          <w:lang w:val="en-GB"/>
        </w:rPr>
        <w:t>The decrease in the specific energy indicator despite the higher L/G ratio requires distinction between pumping demand and overall energy performance. The normalized slurry-circulation contribution increased from 0.422 to 0.542 because of the higher liquid flow. However, the larger optimized droplet diameter reduced the gas-side hydrodynamic contribution from 0.355 to approximately 0.195. As a result, total normalized auxiliary power decreased moderately to 0.960, while the larger amount of SO</w:t>
      </w:r>
      <w:r w:rsidRPr="00E21166">
        <w:rPr>
          <w:rFonts w:ascii="Cambria Math" w:hAnsi="Cambria Math" w:cs="Cambria Math"/>
          <w:lang w:val="en-GB"/>
        </w:rPr>
        <w:t>₂</w:t>
      </w:r>
      <w:r w:rsidRPr="00E21166">
        <w:rPr>
          <w:lang w:val="en-GB"/>
        </w:rPr>
        <w:t xml:space="preserve"> removed reduced the specific auxiliary energy index further to 0.887.</w:t>
      </w:r>
    </w:p>
    <w:p w14:paraId="1ADFE621" w14:textId="791C0DEC" w:rsidR="00497FE6" w:rsidRPr="00497FE6" w:rsidRDefault="00497FE6" w:rsidP="00497FE6">
      <w:pPr>
        <w:pStyle w:val="CETBodytext"/>
      </w:pPr>
      <w:r w:rsidRPr="00497FE6">
        <w:t>The trade-off between efficiency and operational cost is clearly illustrated by the Pareto-optimal solution set</w:t>
      </w:r>
      <w:r w:rsidR="00E21166">
        <w:t xml:space="preserve"> (Table 2)</w:t>
      </w:r>
      <w:r w:rsidRPr="00497FE6">
        <w:t>. High-efficiency regimes are associated with increased energy demand and reagent consumption, while low-cost regimes exhibit reduced removal performance. The selected optimal region represents a balanced solution that satisfies emission constraints while minimizing operational penalties.</w:t>
      </w:r>
    </w:p>
    <w:p w14:paraId="13FA7BBA" w14:textId="2CF5A2DF" w:rsidR="00497FE6" w:rsidRDefault="00497FE6" w:rsidP="00497FE6">
      <w:pPr>
        <w:pStyle w:val="CETTabletitle"/>
      </w:pPr>
      <w:r w:rsidRPr="00497FE6">
        <w:t xml:space="preserve">Table </w:t>
      </w:r>
      <w:r w:rsidR="00E21166">
        <w:t>2</w:t>
      </w:r>
      <w:r w:rsidRPr="00497FE6">
        <w:t xml:space="preserve">. </w:t>
      </w:r>
      <w:r w:rsidR="00E21166" w:rsidRPr="00E21166">
        <w:t>Baseline and selected Pareto-optimal operating conditions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957"/>
        <w:gridCol w:w="1707"/>
        <w:gridCol w:w="2153"/>
      </w:tblGrid>
      <w:tr w:rsidR="00E21166" w:rsidRPr="00E21166" w14:paraId="515D401E" w14:textId="77777777" w:rsidTr="00E21166">
        <w:tc>
          <w:tcPr>
            <w:tcW w:w="0" w:type="auto"/>
            <w:tcBorders>
              <w:top w:val="single" w:sz="4" w:space="0" w:color="00B050"/>
              <w:bottom w:val="single" w:sz="4" w:space="0" w:color="00B050"/>
            </w:tcBorders>
            <w:hideMark/>
          </w:tcPr>
          <w:p w14:paraId="371C8D60" w14:textId="77777777" w:rsidR="00E21166" w:rsidRPr="00E21166" w:rsidRDefault="00E21166" w:rsidP="00E21166">
            <w:pPr>
              <w:pStyle w:val="CETBodytext"/>
              <w:rPr>
                <w:b/>
                <w:bCs/>
                <w:lang w:val="ru-RU"/>
              </w:rPr>
            </w:pPr>
            <w:proofErr w:type="spellStart"/>
            <w:r w:rsidRPr="00E21166">
              <w:rPr>
                <w:b/>
                <w:bCs/>
                <w:lang w:val="ru-RU"/>
              </w:rPr>
              <w:t>Parameter</w:t>
            </w:r>
            <w:proofErr w:type="spellEnd"/>
          </w:p>
        </w:tc>
        <w:tc>
          <w:tcPr>
            <w:tcW w:w="0" w:type="auto"/>
            <w:tcBorders>
              <w:top w:val="single" w:sz="4" w:space="0" w:color="00B050"/>
              <w:bottom w:val="single" w:sz="4" w:space="0" w:color="00B050"/>
            </w:tcBorders>
            <w:hideMark/>
          </w:tcPr>
          <w:p w14:paraId="5D6863F4" w14:textId="77777777" w:rsidR="00E21166" w:rsidRPr="00E21166" w:rsidRDefault="00E21166" w:rsidP="00E21166">
            <w:pPr>
              <w:pStyle w:val="CETBodytext"/>
              <w:rPr>
                <w:b/>
                <w:bCs/>
                <w:lang w:val="ru-RU"/>
              </w:rPr>
            </w:pPr>
            <w:proofErr w:type="spellStart"/>
            <w:r w:rsidRPr="00E21166">
              <w:rPr>
                <w:b/>
                <w:bCs/>
                <w:lang w:val="ru-RU"/>
              </w:rPr>
              <w:t>Baseline</w:t>
            </w:r>
            <w:proofErr w:type="spellEnd"/>
          </w:p>
        </w:tc>
        <w:tc>
          <w:tcPr>
            <w:tcW w:w="0" w:type="auto"/>
            <w:tcBorders>
              <w:top w:val="single" w:sz="4" w:space="0" w:color="00B050"/>
              <w:bottom w:val="single" w:sz="4" w:space="0" w:color="00B050"/>
            </w:tcBorders>
            <w:hideMark/>
          </w:tcPr>
          <w:p w14:paraId="08CF7DCE" w14:textId="77777777" w:rsidR="00E21166" w:rsidRPr="00E21166" w:rsidRDefault="00E21166" w:rsidP="00E21166">
            <w:pPr>
              <w:pStyle w:val="CETBodytext"/>
              <w:rPr>
                <w:b/>
                <w:bCs/>
                <w:lang w:val="ru-RU"/>
              </w:rPr>
            </w:pPr>
            <w:proofErr w:type="spellStart"/>
            <w:r w:rsidRPr="00E21166">
              <w:rPr>
                <w:b/>
                <w:bCs/>
                <w:lang w:val="ru-RU"/>
              </w:rPr>
              <w:t>Selected</w:t>
            </w:r>
            <w:proofErr w:type="spellEnd"/>
            <w:r w:rsidRPr="00E21166">
              <w:rPr>
                <w:b/>
                <w:bCs/>
                <w:lang w:val="ru-RU"/>
              </w:rPr>
              <w:t xml:space="preserve"> </w:t>
            </w:r>
            <w:proofErr w:type="spellStart"/>
            <w:r w:rsidRPr="00E21166">
              <w:rPr>
                <w:b/>
                <w:bCs/>
                <w:lang w:val="ru-RU"/>
              </w:rPr>
              <w:t>solution</w:t>
            </w:r>
            <w:proofErr w:type="spellEnd"/>
          </w:p>
        </w:tc>
        <w:tc>
          <w:tcPr>
            <w:tcW w:w="0" w:type="auto"/>
            <w:tcBorders>
              <w:top w:val="single" w:sz="4" w:space="0" w:color="00B050"/>
              <w:bottom w:val="single" w:sz="4" w:space="0" w:color="00B050"/>
            </w:tcBorders>
            <w:hideMark/>
          </w:tcPr>
          <w:p w14:paraId="1B1A0C79" w14:textId="77777777" w:rsidR="00E21166" w:rsidRPr="00E21166" w:rsidRDefault="00E21166" w:rsidP="00E21166">
            <w:pPr>
              <w:pStyle w:val="CETBodytext"/>
              <w:rPr>
                <w:b/>
                <w:bCs/>
                <w:lang w:val="ru-RU"/>
              </w:rPr>
            </w:pPr>
            <w:r w:rsidRPr="00E21166">
              <w:rPr>
                <w:b/>
                <w:bCs/>
                <w:lang w:val="ru-RU"/>
              </w:rPr>
              <w:t>Change</w:t>
            </w:r>
          </w:p>
        </w:tc>
      </w:tr>
      <w:tr w:rsidR="00E21166" w:rsidRPr="00E21166" w14:paraId="59669E75" w14:textId="77777777" w:rsidTr="00E21166">
        <w:tc>
          <w:tcPr>
            <w:tcW w:w="0" w:type="auto"/>
            <w:tcBorders>
              <w:top w:val="single" w:sz="4" w:space="0" w:color="00B050"/>
            </w:tcBorders>
            <w:hideMark/>
          </w:tcPr>
          <w:p w14:paraId="0171A7A7" w14:textId="77777777" w:rsidR="00E21166" w:rsidRPr="00E21166" w:rsidRDefault="00E21166" w:rsidP="00E21166">
            <w:pPr>
              <w:pStyle w:val="CETBodytext"/>
              <w:rPr>
                <w:lang w:val="ru-RU"/>
              </w:rPr>
            </w:pPr>
            <w:r w:rsidRPr="00E21166">
              <w:rPr>
                <w:lang w:val="ru-RU"/>
              </w:rPr>
              <w:t>SO</w:t>
            </w:r>
            <w:r w:rsidRPr="00E21166">
              <w:rPr>
                <w:rFonts w:ascii="Cambria Math" w:hAnsi="Cambria Math" w:cs="Cambria Math"/>
                <w:lang w:val="ru-RU"/>
              </w:rPr>
              <w:t>₂</w:t>
            </w:r>
            <w:r w:rsidRPr="00E21166">
              <w:rPr>
                <w:lang w:val="ru-RU"/>
              </w:rPr>
              <w:t xml:space="preserve"> </w:t>
            </w:r>
            <w:proofErr w:type="spellStart"/>
            <w:r w:rsidRPr="00E21166">
              <w:rPr>
                <w:lang w:val="ru-RU"/>
              </w:rPr>
              <w:t>removal</w:t>
            </w:r>
            <w:proofErr w:type="spellEnd"/>
            <w:r w:rsidRPr="00E21166">
              <w:rPr>
                <w:lang w:val="ru-RU"/>
              </w:rPr>
              <w:t xml:space="preserve"> </w:t>
            </w:r>
            <w:proofErr w:type="spellStart"/>
            <w:r w:rsidRPr="00E21166">
              <w:rPr>
                <w:lang w:val="ru-RU"/>
              </w:rPr>
              <w:t>efficiency</w:t>
            </w:r>
            <w:proofErr w:type="spellEnd"/>
            <w:r w:rsidRPr="00E21166">
              <w:rPr>
                <w:lang w:val="ru-RU"/>
              </w:rPr>
              <w:t>, %</w:t>
            </w:r>
          </w:p>
        </w:tc>
        <w:tc>
          <w:tcPr>
            <w:tcW w:w="0" w:type="auto"/>
            <w:tcBorders>
              <w:top w:val="single" w:sz="4" w:space="0" w:color="00B050"/>
            </w:tcBorders>
            <w:hideMark/>
          </w:tcPr>
          <w:p w14:paraId="0039629A" w14:textId="77777777" w:rsidR="00E21166" w:rsidRPr="00E21166" w:rsidRDefault="00E21166" w:rsidP="00E21166">
            <w:pPr>
              <w:pStyle w:val="CETBodytext"/>
              <w:rPr>
                <w:lang w:val="ru-RU"/>
              </w:rPr>
            </w:pPr>
            <w:r w:rsidRPr="00E21166">
              <w:rPr>
                <w:lang w:val="ru-RU"/>
              </w:rPr>
              <w:t>89.40</w:t>
            </w:r>
          </w:p>
        </w:tc>
        <w:tc>
          <w:tcPr>
            <w:tcW w:w="0" w:type="auto"/>
            <w:tcBorders>
              <w:top w:val="single" w:sz="4" w:space="0" w:color="00B050"/>
            </w:tcBorders>
            <w:hideMark/>
          </w:tcPr>
          <w:p w14:paraId="34885283" w14:textId="77777777" w:rsidR="00E21166" w:rsidRPr="00E21166" w:rsidRDefault="00E21166" w:rsidP="00E21166">
            <w:pPr>
              <w:pStyle w:val="CETBodytext"/>
              <w:rPr>
                <w:lang w:val="ru-RU"/>
              </w:rPr>
            </w:pPr>
            <w:r w:rsidRPr="00E21166">
              <w:rPr>
                <w:lang w:val="ru-RU"/>
              </w:rPr>
              <w:t>96.74</w:t>
            </w:r>
          </w:p>
        </w:tc>
        <w:tc>
          <w:tcPr>
            <w:tcW w:w="0" w:type="auto"/>
            <w:tcBorders>
              <w:top w:val="single" w:sz="4" w:space="0" w:color="00B050"/>
            </w:tcBorders>
            <w:hideMark/>
          </w:tcPr>
          <w:p w14:paraId="6CD24324" w14:textId="77777777" w:rsidR="00E21166" w:rsidRPr="00E21166" w:rsidRDefault="00E21166" w:rsidP="00E21166">
            <w:pPr>
              <w:pStyle w:val="CETBodytext"/>
              <w:rPr>
                <w:lang w:val="ru-RU"/>
              </w:rPr>
            </w:pPr>
            <w:r w:rsidRPr="00E21166">
              <w:rPr>
                <w:lang w:val="ru-RU"/>
              </w:rPr>
              <w:t xml:space="preserve">+7.34 </w:t>
            </w:r>
            <w:proofErr w:type="spellStart"/>
            <w:r w:rsidRPr="00E21166">
              <w:rPr>
                <w:lang w:val="ru-RU"/>
              </w:rPr>
              <w:t>percentage</w:t>
            </w:r>
            <w:proofErr w:type="spellEnd"/>
            <w:r w:rsidRPr="00E21166">
              <w:rPr>
                <w:lang w:val="ru-RU"/>
              </w:rPr>
              <w:t xml:space="preserve"> </w:t>
            </w:r>
            <w:proofErr w:type="spellStart"/>
            <w:r w:rsidRPr="00E21166">
              <w:rPr>
                <w:lang w:val="ru-RU"/>
              </w:rPr>
              <w:t>points</w:t>
            </w:r>
            <w:proofErr w:type="spellEnd"/>
          </w:p>
        </w:tc>
      </w:tr>
      <w:tr w:rsidR="00E21166" w:rsidRPr="00E21166" w14:paraId="4C51F644" w14:textId="77777777" w:rsidTr="00E21166">
        <w:tc>
          <w:tcPr>
            <w:tcW w:w="0" w:type="auto"/>
            <w:hideMark/>
          </w:tcPr>
          <w:p w14:paraId="50D9DB60" w14:textId="77777777" w:rsidR="00E21166" w:rsidRPr="00E21166" w:rsidRDefault="00E21166" w:rsidP="00E21166">
            <w:pPr>
              <w:pStyle w:val="CETBodytext"/>
              <w:rPr>
                <w:lang w:val="ru-RU"/>
              </w:rPr>
            </w:pPr>
            <w:proofErr w:type="spellStart"/>
            <w:r w:rsidRPr="00E21166">
              <w:rPr>
                <w:lang w:val="ru-RU"/>
              </w:rPr>
              <w:t>Outlet</w:t>
            </w:r>
            <w:proofErr w:type="spellEnd"/>
            <w:r w:rsidRPr="00E21166">
              <w:rPr>
                <w:lang w:val="ru-RU"/>
              </w:rPr>
              <w:t xml:space="preserve"> SO</w:t>
            </w:r>
            <w:r w:rsidRPr="00E21166">
              <w:rPr>
                <w:rFonts w:ascii="Cambria Math" w:hAnsi="Cambria Math" w:cs="Cambria Math"/>
                <w:lang w:val="ru-RU"/>
              </w:rPr>
              <w:t>₂</w:t>
            </w:r>
            <w:r w:rsidRPr="00E21166">
              <w:rPr>
                <w:lang w:val="ru-RU"/>
              </w:rPr>
              <w:t xml:space="preserve">, </w:t>
            </w:r>
            <w:proofErr w:type="spellStart"/>
            <w:r w:rsidRPr="00E21166">
              <w:rPr>
                <w:lang w:val="ru-RU"/>
              </w:rPr>
              <w:t>mg</w:t>
            </w:r>
            <w:proofErr w:type="spellEnd"/>
            <w:r w:rsidRPr="00E21166">
              <w:rPr>
                <w:lang w:val="ru-RU"/>
              </w:rPr>
              <w:t>/Nm</w:t>
            </w:r>
            <w:r w:rsidRPr="00E21166">
              <w:rPr>
                <w:rFonts w:cs="Arial"/>
                <w:lang w:val="ru-RU"/>
              </w:rPr>
              <w:t>³</w:t>
            </w:r>
          </w:p>
        </w:tc>
        <w:tc>
          <w:tcPr>
            <w:tcW w:w="0" w:type="auto"/>
            <w:hideMark/>
          </w:tcPr>
          <w:p w14:paraId="50C1C8CB" w14:textId="77777777" w:rsidR="00E21166" w:rsidRPr="00E21166" w:rsidRDefault="00E21166" w:rsidP="00E21166">
            <w:pPr>
              <w:pStyle w:val="CETBodytext"/>
              <w:rPr>
                <w:lang w:val="ru-RU"/>
              </w:rPr>
            </w:pPr>
            <w:r w:rsidRPr="00E21166">
              <w:rPr>
                <w:lang w:val="ru-RU"/>
              </w:rPr>
              <w:t>195.0</w:t>
            </w:r>
          </w:p>
        </w:tc>
        <w:tc>
          <w:tcPr>
            <w:tcW w:w="0" w:type="auto"/>
            <w:hideMark/>
          </w:tcPr>
          <w:p w14:paraId="3540E232" w14:textId="77777777" w:rsidR="00E21166" w:rsidRPr="00E21166" w:rsidRDefault="00E21166" w:rsidP="00E21166">
            <w:pPr>
              <w:pStyle w:val="CETBodytext"/>
              <w:rPr>
                <w:lang w:val="ru-RU"/>
              </w:rPr>
            </w:pPr>
            <w:r w:rsidRPr="00E21166">
              <w:rPr>
                <w:lang w:val="ru-RU"/>
              </w:rPr>
              <w:t>59.9</w:t>
            </w:r>
          </w:p>
        </w:tc>
        <w:tc>
          <w:tcPr>
            <w:tcW w:w="0" w:type="auto"/>
            <w:hideMark/>
          </w:tcPr>
          <w:p w14:paraId="153278D3" w14:textId="77777777" w:rsidR="00E21166" w:rsidRPr="00E21166" w:rsidRDefault="00E21166" w:rsidP="00E21166">
            <w:pPr>
              <w:pStyle w:val="CETBodytext"/>
              <w:rPr>
                <w:lang w:val="ru-RU"/>
              </w:rPr>
            </w:pPr>
            <w:r w:rsidRPr="00E21166">
              <w:rPr>
                <w:lang w:val="ru-RU"/>
              </w:rPr>
              <w:t>−69.3%</w:t>
            </w:r>
          </w:p>
        </w:tc>
      </w:tr>
      <w:tr w:rsidR="00E21166" w:rsidRPr="00E21166" w14:paraId="6F8CB270" w14:textId="77777777" w:rsidTr="00E21166">
        <w:tc>
          <w:tcPr>
            <w:tcW w:w="0" w:type="auto"/>
            <w:hideMark/>
          </w:tcPr>
          <w:p w14:paraId="7F6170B5" w14:textId="77777777" w:rsidR="00E21166" w:rsidRPr="00E21166" w:rsidRDefault="00E21166" w:rsidP="00E21166">
            <w:pPr>
              <w:pStyle w:val="CETBodytext"/>
              <w:rPr>
                <w:lang w:val="ru-RU"/>
              </w:rPr>
            </w:pPr>
            <w:r w:rsidRPr="00E21166">
              <w:rPr>
                <w:lang w:val="ru-RU"/>
              </w:rPr>
              <w:t xml:space="preserve">L/G </w:t>
            </w:r>
            <w:proofErr w:type="spellStart"/>
            <w:r w:rsidRPr="00E21166">
              <w:rPr>
                <w:lang w:val="ru-RU"/>
              </w:rPr>
              <w:t>ratio</w:t>
            </w:r>
            <w:proofErr w:type="spellEnd"/>
            <w:r w:rsidRPr="00E21166">
              <w:rPr>
                <w:lang w:val="ru-RU"/>
              </w:rPr>
              <w:t>, L/m³</w:t>
            </w:r>
          </w:p>
        </w:tc>
        <w:tc>
          <w:tcPr>
            <w:tcW w:w="0" w:type="auto"/>
            <w:hideMark/>
          </w:tcPr>
          <w:p w14:paraId="582DC012" w14:textId="77777777" w:rsidR="00E21166" w:rsidRPr="00E21166" w:rsidRDefault="00E21166" w:rsidP="00E21166">
            <w:pPr>
              <w:pStyle w:val="CETBodytext"/>
              <w:rPr>
                <w:lang w:val="ru-RU"/>
              </w:rPr>
            </w:pPr>
            <w:r w:rsidRPr="00E21166">
              <w:rPr>
                <w:lang w:val="ru-RU"/>
              </w:rPr>
              <w:t>7.20</w:t>
            </w:r>
          </w:p>
        </w:tc>
        <w:tc>
          <w:tcPr>
            <w:tcW w:w="0" w:type="auto"/>
            <w:hideMark/>
          </w:tcPr>
          <w:p w14:paraId="6E2E572A" w14:textId="77777777" w:rsidR="00E21166" w:rsidRPr="00E21166" w:rsidRDefault="00E21166" w:rsidP="00E21166">
            <w:pPr>
              <w:pStyle w:val="CETBodytext"/>
              <w:rPr>
                <w:lang w:val="ru-RU"/>
              </w:rPr>
            </w:pPr>
            <w:r w:rsidRPr="00E21166">
              <w:rPr>
                <w:lang w:val="ru-RU"/>
              </w:rPr>
              <w:t>9.25</w:t>
            </w:r>
          </w:p>
        </w:tc>
        <w:tc>
          <w:tcPr>
            <w:tcW w:w="0" w:type="auto"/>
            <w:hideMark/>
          </w:tcPr>
          <w:p w14:paraId="02D2E44B" w14:textId="77777777" w:rsidR="00E21166" w:rsidRPr="00E21166" w:rsidRDefault="00E21166" w:rsidP="00E21166">
            <w:pPr>
              <w:pStyle w:val="CETBodytext"/>
              <w:rPr>
                <w:lang w:val="ru-RU"/>
              </w:rPr>
            </w:pPr>
            <w:r w:rsidRPr="00E21166">
              <w:rPr>
                <w:lang w:val="ru-RU"/>
              </w:rPr>
              <w:t>—</w:t>
            </w:r>
          </w:p>
        </w:tc>
      </w:tr>
      <w:tr w:rsidR="00E21166" w:rsidRPr="00E21166" w14:paraId="283CA98E" w14:textId="77777777" w:rsidTr="00E21166">
        <w:tc>
          <w:tcPr>
            <w:tcW w:w="0" w:type="auto"/>
            <w:hideMark/>
          </w:tcPr>
          <w:p w14:paraId="03A65E71" w14:textId="77777777" w:rsidR="00E21166" w:rsidRPr="00E21166" w:rsidRDefault="00E21166" w:rsidP="00E21166">
            <w:pPr>
              <w:pStyle w:val="CETBodytext"/>
              <w:rPr>
                <w:lang w:val="ru-RU"/>
              </w:rPr>
            </w:pPr>
            <w:proofErr w:type="spellStart"/>
            <w:r w:rsidRPr="00E21166">
              <w:rPr>
                <w:lang w:val="ru-RU"/>
              </w:rPr>
              <w:t>Slurry</w:t>
            </w:r>
            <w:proofErr w:type="spellEnd"/>
            <w:r w:rsidRPr="00E21166">
              <w:rPr>
                <w:lang w:val="ru-RU"/>
              </w:rPr>
              <w:t xml:space="preserve"> pH</w:t>
            </w:r>
          </w:p>
        </w:tc>
        <w:tc>
          <w:tcPr>
            <w:tcW w:w="0" w:type="auto"/>
            <w:hideMark/>
          </w:tcPr>
          <w:p w14:paraId="2081C0E3" w14:textId="77777777" w:rsidR="00E21166" w:rsidRPr="00E21166" w:rsidRDefault="00E21166" w:rsidP="00E21166">
            <w:pPr>
              <w:pStyle w:val="CETBodytext"/>
              <w:rPr>
                <w:lang w:val="ru-RU"/>
              </w:rPr>
            </w:pPr>
            <w:r w:rsidRPr="00E21166">
              <w:rPr>
                <w:lang w:val="ru-RU"/>
              </w:rPr>
              <w:t>5.00</w:t>
            </w:r>
          </w:p>
        </w:tc>
        <w:tc>
          <w:tcPr>
            <w:tcW w:w="0" w:type="auto"/>
            <w:hideMark/>
          </w:tcPr>
          <w:p w14:paraId="2CD181E8" w14:textId="77777777" w:rsidR="00E21166" w:rsidRPr="00E21166" w:rsidRDefault="00E21166" w:rsidP="00E21166">
            <w:pPr>
              <w:pStyle w:val="CETBodytext"/>
              <w:rPr>
                <w:lang w:val="ru-RU"/>
              </w:rPr>
            </w:pPr>
            <w:r w:rsidRPr="00E21166">
              <w:rPr>
                <w:lang w:val="ru-RU"/>
              </w:rPr>
              <w:t>5.75</w:t>
            </w:r>
          </w:p>
        </w:tc>
        <w:tc>
          <w:tcPr>
            <w:tcW w:w="0" w:type="auto"/>
            <w:hideMark/>
          </w:tcPr>
          <w:p w14:paraId="7C717905" w14:textId="77777777" w:rsidR="00E21166" w:rsidRPr="00E21166" w:rsidRDefault="00E21166" w:rsidP="00E21166">
            <w:pPr>
              <w:pStyle w:val="CETBodytext"/>
              <w:rPr>
                <w:lang w:val="ru-RU"/>
              </w:rPr>
            </w:pPr>
            <w:r w:rsidRPr="00E21166">
              <w:rPr>
                <w:lang w:val="ru-RU"/>
              </w:rPr>
              <w:t>—</w:t>
            </w:r>
          </w:p>
        </w:tc>
      </w:tr>
      <w:tr w:rsidR="00E21166" w:rsidRPr="00E21166" w14:paraId="490BC88E" w14:textId="77777777" w:rsidTr="00E21166">
        <w:tc>
          <w:tcPr>
            <w:tcW w:w="0" w:type="auto"/>
            <w:hideMark/>
          </w:tcPr>
          <w:p w14:paraId="3A41866D" w14:textId="77777777" w:rsidR="00E21166" w:rsidRPr="00E21166" w:rsidRDefault="00E21166" w:rsidP="00E21166">
            <w:pPr>
              <w:pStyle w:val="CETBodytext"/>
              <w:rPr>
                <w:lang w:val="ru-RU"/>
              </w:rPr>
            </w:pPr>
            <w:proofErr w:type="spellStart"/>
            <w:r w:rsidRPr="00E21166">
              <w:rPr>
                <w:lang w:val="ru-RU"/>
              </w:rPr>
              <w:t>Droplet</w:t>
            </w:r>
            <w:proofErr w:type="spellEnd"/>
            <w:r w:rsidRPr="00E21166">
              <w:rPr>
                <w:lang w:val="ru-RU"/>
              </w:rPr>
              <w:t xml:space="preserve"> </w:t>
            </w:r>
            <w:proofErr w:type="spellStart"/>
            <w:r w:rsidRPr="00E21166">
              <w:rPr>
                <w:lang w:val="ru-RU"/>
              </w:rPr>
              <w:t>diameter</w:t>
            </w:r>
            <w:proofErr w:type="spellEnd"/>
            <w:r w:rsidRPr="00E21166">
              <w:rPr>
                <w:lang w:val="ru-RU"/>
              </w:rPr>
              <w:t xml:space="preserve">, </w:t>
            </w:r>
            <w:proofErr w:type="spellStart"/>
            <w:r w:rsidRPr="00E21166">
              <w:rPr>
                <w:lang w:val="ru-RU"/>
              </w:rPr>
              <w:t>mm</w:t>
            </w:r>
            <w:proofErr w:type="spellEnd"/>
          </w:p>
        </w:tc>
        <w:tc>
          <w:tcPr>
            <w:tcW w:w="0" w:type="auto"/>
            <w:hideMark/>
          </w:tcPr>
          <w:p w14:paraId="7ECED544" w14:textId="77777777" w:rsidR="00E21166" w:rsidRPr="00E21166" w:rsidRDefault="00E21166" w:rsidP="00E21166">
            <w:pPr>
              <w:pStyle w:val="CETBodytext"/>
              <w:rPr>
                <w:lang w:val="ru-RU"/>
              </w:rPr>
            </w:pPr>
            <w:r w:rsidRPr="00E21166">
              <w:rPr>
                <w:lang w:val="ru-RU"/>
              </w:rPr>
              <w:t>2.00</w:t>
            </w:r>
          </w:p>
        </w:tc>
        <w:tc>
          <w:tcPr>
            <w:tcW w:w="0" w:type="auto"/>
            <w:hideMark/>
          </w:tcPr>
          <w:p w14:paraId="5FD89174" w14:textId="77777777" w:rsidR="00E21166" w:rsidRPr="00E21166" w:rsidRDefault="00E21166" w:rsidP="00E21166">
            <w:pPr>
              <w:pStyle w:val="CETBodytext"/>
              <w:rPr>
                <w:lang w:val="ru-RU"/>
              </w:rPr>
            </w:pPr>
            <w:r w:rsidRPr="00E21166">
              <w:rPr>
                <w:lang w:val="ru-RU"/>
              </w:rPr>
              <w:t>3.00</w:t>
            </w:r>
          </w:p>
        </w:tc>
        <w:tc>
          <w:tcPr>
            <w:tcW w:w="0" w:type="auto"/>
            <w:hideMark/>
          </w:tcPr>
          <w:p w14:paraId="125103CF" w14:textId="77777777" w:rsidR="00E21166" w:rsidRPr="00E21166" w:rsidRDefault="00E21166" w:rsidP="00E21166">
            <w:pPr>
              <w:pStyle w:val="CETBodytext"/>
              <w:rPr>
                <w:lang w:val="ru-RU"/>
              </w:rPr>
            </w:pPr>
            <w:r w:rsidRPr="00E21166">
              <w:rPr>
                <w:lang w:val="ru-RU"/>
              </w:rPr>
              <w:t>—</w:t>
            </w:r>
          </w:p>
        </w:tc>
      </w:tr>
      <w:tr w:rsidR="00E21166" w:rsidRPr="00E21166" w14:paraId="6071700D" w14:textId="77777777" w:rsidTr="00E21166">
        <w:tc>
          <w:tcPr>
            <w:tcW w:w="0" w:type="auto"/>
            <w:hideMark/>
          </w:tcPr>
          <w:p w14:paraId="6419DDCE" w14:textId="77777777" w:rsidR="00E21166" w:rsidRPr="00E21166" w:rsidRDefault="00E21166" w:rsidP="00E21166">
            <w:pPr>
              <w:pStyle w:val="CETBodytext"/>
              <w:rPr>
                <w:lang w:val="ru-RU"/>
              </w:rPr>
            </w:pPr>
            <w:proofErr w:type="spellStart"/>
            <w:r w:rsidRPr="00E21166">
              <w:rPr>
                <w:lang w:val="ru-RU"/>
              </w:rPr>
              <w:t>Absorber</w:t>
            </w:r>
            <w:proofErr w:type="spellEnd"/>
            <w:r w:rsidRPr="00E21166">
              <w:rPr>
                <w:lang w:val="ru-RU"/>
              </w:rPr>
              <w:t xml:space="preserve"> </w:t>
            </w:r>
            <w:proofErr w:type="spellStart"/>
            <w:r w:rsidRPr="00E21166">
              <w:rPr>
                <w:lang w:val="ru-RU"/>
              </w:rPr>
              <w:t>height</w:t>
            </w:r>
            <w:proofErr w:type="spellEnd"/>
            <w:r w:rsidRPr="00E21166">
              <w:rPr>
                <w:lang w:val="ru-RU"/>
              </w:rPr>
              <w:t>, m</w:t>
            </w:r>
          </w:p>
        </w:tc>
        <w:tc>
          <w:tcPr>
            <w:tcW w:w="0" w:type="auto"/>
            <w:hideMark/>
          </w:tcPr>
          <w:p w14:paraId="4F5F0918" w14:textId="77777777" w:rsidR="00E21166" w:rsidRPr="00E21166" w:rsidRDefault="00E21166" w:rsidP="00E21166">
            <w:pPr>
              <w:pStyle w:val="CETBodytext"/>
              <w:rPr>
                <w:lang w:val="ru-RU"/>
              </w:rPr>
            </w:pPr>
            <w:r w:rsidRPr="00E21166">
              <w:rPr>
                <w:lang w:val="ru-RU"/>
              </w:rPr>
              <w:t>5.50</w:t>
            </w:r>
          </w:p>
        </w:tc>
        <w:tc>
          <w:tcPr>
            <w:tcW w:w="0" w:type="auto"/>
            <w:hideMark/>
          </w:tcPr>
          <w:p w14:paraId="0BECAEB8" w14:textId="77777777" w:rsidR="00E21166" w:rsidRPr="00E21166" w:rsidRDefault="00E21166" w:rsidP="00E21166">
            <w:pPr>
              <w:pStyle w:val="CETBodytext"/>
              <w:rPr>
                <w:lang w:val="ru-RU"/>
              </w:rPr>
            </w:pPr>
            <w:r w:rsidRPr="00E21166">
              <w:rPr>
                <w:lang w:val="ru-RU"/>
              </w:rPr>
              <w:t>6.80</w:t>
            </w:r>
          </w:p>
        </w:tc>
        <w:tc>
          <w:tcPr>
            <w:tcW w:w="0" w:type="auto"/>
            <w:hideMark/>
          </w:tcPr>
          <w:p w14:paraId="11F789E2" w14:textId="77777777" w:rsidR="00E21166" w:rsidRPr="00E21166" w:rsidRDefault="00E21166" w:rsidP="00E21166">
            <w:pPr>
              <w:pStyle w:val="CETBodytext"/>
              <w:rPr>
                <w:lang w:val="ru-RU"/>
              </w:rPr>
            </w:pPr>
            <w:r w:rsidRPr="00E21166">
              <w:rPr>
                <w:lang w:val="ru-RU"/>
              </w:rPr>
              <w:t>—</w:t>
            </w:r>
          </w:p>
        </w:tc>
      </w:tr>
      <w:tr w:rsidR="00E21166" w:rsidRPr="00E21166" w14:paraId="648D1219" w14:textId="77777777" w:rsidTr="00E21166">
        <w:tc>
          <w:tcPr>
            <w:tcW w:w="0" w:type="auto"/>
            <w:hideMark/>
          </w:tcPr>
          <w:p w14:paraId="7AE49177" w14:textId="77777777" w:rsidR="00E21166" w:rsidRPr="00E21166" w:rsidRDefault="00E21166" w:rsidP="00E21166">
            <w:pPr>
              <w:pStyle w:val="CETBodytext"/>
              <w:rPr>
                <w:lang w:val="ru-RU"/>
              </w:rPr>
            </w:pPr>
            <w:proofErr w:type="spellStart"/>
            <w:r w:rsidRPr="00E21166">
              <w:rPr>
                <w:lang w:val="ru-RU"/>
              </w:rPr>
              <w:t>Normalized</w:t>
            </w:r>
            <w:proofErr w:type="spellEnd"/>
            <w:r w:rsidRPr="00E21166">
              <w:rPr>
                <w:lang w:val="ru-RU"/>
              </w:rPr>
              <w:t xml:space="preserve"> </w:t>
            </w:r>
            <w:proofErr w:type="spellStart"/>
            <w:r w:rsidRPr="00E21166">
              <w:rPr>
                <w:lang w:val="ru-RU"/>
              </w:rPr>
              <w:t>specific</w:t>
            </w:r>
            <w:proofErr w:type="spellEnd"/>
            <w:r w:rsidRPr="00E21166">
              <w:rPr>
                <w:lang w:val="ru-RU"/>
              </w:rPr>
              <w:t xml:space="preserve"> </w:t>
            </w:r>
            <w:proofErr w:type="spellStart"/>
            <w:r w:rsidRPr="00E21166">
              <w:rPr>
                <w:lang w:val="ru-RU"/>
              </w:rPr>
              <w:t>limestone</w:t>
            </w:r>
            <w:proofErr w:type="spellEnd"/>
            <w:r w:rsidRPr="00E21166">
              <w:rPr>
                <w:lang w:val="ru-RU"/>
              </w:rPr>
              <w:t xml:space="preserve"> </w:t>
            </w:r>
            <w:proofErr w:type="spellStart"/>
            <w:r w:rsidRPr="00E21166">
              <w:rPr>
                <w:lang w:val="ru-RU"/>
              </w:rPr>
              <w:t>use</w:t>
            </w:r>
            <w:proofErr w:type="spellEnd"/>
            <w:r w:rsidRPr="00E21166">
              <w:rPr>
                <w:lang w:val="ru-RU"/>
              </w:rPr>
              <w:t>, %</w:t>
            </w:r>
          </w:p>
        </w:tc>
        <w:tc>
          <w:tcPr>
            <w:tcW w:w="0" w:type="auto"/>
            <w:hideMark/>
          </w:tcPr>
          <w:p w14:paraId="2DAD6DE7" w14:textId="77777777" w:rsidR="00E21166" w:rsidRPr="00E21166" w:rsidRDefault="00E21166" w:rsidP="00E21166">
            <w:pPr>
              <w:pStyle w:val="CETBodytext"/>
              <w:rPr>
                <w:lang w:val="ru-RU"/>
              </w:rPr>
            </w:pPr>
            <w:r w:rsidRPr="00E21166">
              <w:rPr>
                <w:lang w:val="ru-RU"/>
              </w:rPr>
              <w:t>100.0</w:t>
            </w:r>
          </w:p>
        </w:tc>
        <w:tc>
          <w:tcPr>
            <w:tcW w:w="0" w:type="auto"/>
            <w:hideMark/>
          </w:tcPr>
          <w:p w14:paraId="715E1181" w14:textId="77777777" w:rsidR="00E21166" w:rsidRPr="00E21166" w:rsidRDefault="00E21166" w:rsidP="00E21166">
            <w:pPr>
              <w:pStyle w:val="CETBodytext"/>
              <w:rPr>
                <w:lang w:val="ru-RU"/>
              </w:rPr>
            </w:pPr>
            <w:r w:rsidRPr="00E21166">
              <w:rPr>
                <w:lang w:val="ru-RU"/>
              </w:rPr>
              <w:t>89.35</w:t>
            </w:r>
          </w:p>
        </w:tc>
        <w:tc>
          <w:tcPr>
            <w:tcW w:w="0" w:type="auto"/>
            <w:hideMark/>
          </w:tcPr>
          <w:p w14:paraId="40D272DB" w14:textId="77777777" w:rsidR="00E21166" w:rsidRPr="00E21166" w:rsidRDefault="00E21166" w:rsidP="00E21166">
            <w:pPr>
              <w:pStyle w:val="CETBodytext"/>
              <w:rPr>
                <w:lang w:val="ru-RU"/>
              </w:rPr>
            </w:pPr>
            <w:r w:rsidRPr="00E21166">
              <w:rPr>
                <w:lang w:val="ru-RU"/>
              </w:rPr>
              <w:t>−10.65%</w:t>
            </w:r>
          </w:p>
        </w:tc>
      </w:tr>
      <w:tr w:rsidR="00E21166" w:rsidRPr="00E21166" w14:paraId="0F702C8E" w14:textId="77777777" w:rsidTr="00E21166">
        <w:tc>
          <w:tcPr>
            <w:tcW w:w="0" w:type="auto"/>
            <w:tcBorders>
              <w:bottom w:val="single" w:sz="4" w:space="0" w:color="00B050"/>
            </w:tcBorders>
            <w:hideMark/>
          </w:tcPr>
          <w:p w14:paraId="12FC416C" w14:textId="77777777" w:rsidR="00E21166" w:rsidRPr="00E21166" w:rsidRDefault="00E21166" w:rsidP="00E21166">
            <w:pPr>
              <w:pStyle w:val="CETBodytext"/>
              <w:rPr>
                <w:lang w:val="ru-RU"/>
              </w:rPr>
            </w:pPr>
            <w:proofErr w:type="spellStart"/>
            <w:r w:rsidRPr="00E21166">
              <w:rPr>
                <w:lang w:val="ru-RU"/>
              </w:rPr>
              <w:t>Normalized</w:t>
            </w:r>
            <w:proofErr w:type="spellEnd"/>
            <w:r w:rsidRPr="00E21166">
              <w:rPr>
                <w:lang w:val="ru-RU"/>
              </w:rPr>
              <w:t xml:space="preserve"> </w:t>
            </w:r>
            <w:proofErr w:type="spellStart"/>
            <w:r w:rsidRPr="00E21166">
              <w:rPr>
                <w:lang w:val="ru-RU"/>
              </w:rPr>
              <w:t>specific</w:t>
            </w:r>
            <w:proofErr w:type="spellEnd"/>
            <w:r w:rsidRPr="00E21166">
              <w:rPr>
                <w:lang w:val="ru-RU"/>
              </w:rPr>
              <w:t xml:space="preserve"> </w:t>
            </w:r>
            <w:proofErr w:type="spellStart"/>
            <w:r w:rsidRPr="00E21166">
              <w:rPr>
                <w:lang w:val="ru-RU"/>
              </w:rPr>
              <w:t>auxiliary</w:t>
            </w:r>
            <w:proofErr w:type="spellEnd"/>
            <w:r w:rsidRPr="00E21166">
              <w:rPr>
                <w:lang w:val="ru-RU"/>
              </w:rPr>
              <w:t xml:space="preserve"> </w:t>
            </w:r>
            <w:proofErr w:type="spellStart"/>
            <w:r w:rsidRPr="00E21166">
              <w:rPr>
                <w:lang w:val="ru-RU"/>
              </w:rPr>
              <w:t>energy</w:t>
            </w:r>
            <w:proofErr w:type="spellEnd"/>
            <w:r w:rsidRPr="00E21166">
              <w:rPr>
                <w:lang w:val="ru-RU"/>
              </w:rPr>
              <w:t>, %</w:t>
            </w:r>
          </w:p>
        </w:tc>
        <w:tc>
          <w:tcPr>
            <w:tcW w:w="0" w:type="auto"/>
            <w:tcBorders>
              <w:bottom w:val="single" w:sz="4" w:space="0" w:color="00B050"/>
            </w:tcBorders>
            <w:hideMark/>
          </w:tcPr>
          <w:p w14:paraId="726674C5" w14:textId="77777777" w:rsidR="00E21166" w:rsidRPr="00E21166" w:rsidRDefault="00E21166" w:rsidP="00E21166">
            <w:pPr>
              <w:pStyle w:val="CETBodytext"/>
              <w:rPr>
                <w:lang w:val="ru-RU"/>
              </w:rPr>
            </w:pPr>
            <w:r w:rsidRPr="00E21166">
              <w:rPr>
                <w:lang w:val="ru-RU"/>
              </w:rPr>
              <w:t>100.0</w:t>
            </w:r>
          </w:p>
        </w:tc>
        <w:tc>
          <w:tcPr>
            <w:tcW w:w="0" w:type="auto"/>
            <w:tcBorders>
              <w:bottom w:val="single" w:sz="4" w:space="0" w:color="00B050"/>
            </w:tcBorders>
            <w:hideMark/>
          </w:tcPr>
          <w:p w14:paraId="5F9A8DAB" w14:textId="77777777" w:rsidR="00E21166" w:rsidRPr="00E21166" w:rsidRDefault="00E21166" w:rsidP="00E21166">
            <w:pPr>
              <w:pStyle w:val="CETBodytext"/>
              <w:rPr>
                <w:lang w:val="ru-RU"/>
              </w:rPr>
            </w:pPr>
            <w:r w:rsidRPr="00E21166">
              <w:rPr>
                <w:lang w:val="ru-RU"/>
              </w:rPr>
              <w:t>88.73</w:t>
            </w:r>
          </w:p>
        </w:tc>
        <w:tc>
          <w:tcPr>
            <w:tcW w:w="0" w:type="auto"/>
            <w:tcBorders>
              <w:bottom w:val="single" w:sz="4" w:space="0" w:color="00B050"/>
            </w:tcBorders>
            <w:hideMark/>
          </w:tcPr>
          <w:p w14:paraId="4739CCBC" w14:textId="77777777" w:rsidR="00E21166" w:rsidRPr="00E21166" w:rsidRDefault="00E21166" w:rsidP="00E21166">
            <w:pPr>
              <w:pStyle w:val="CETBodytext"/>
              <w:rPr>
                <w:lang w:val="ru-RU"/>
              </w:rPr>
            </w:pPr>
            <w:r w:rsidRPr="00E21166">
              <w:rPr>
                <w:lang w:val="ru-RU"/>
              </w:rPr>
              <w:t>−11.27%</w:t>
            </w:r>
          </w:p>
        </w:tc>
      </w:tr>
    </w:tbl>
    <w:p w14:paraId="5C90AA3A" w14:textId="77777777" w:rsidR="00E21166" w:rsidRDefault="00E21166" w:rsidP="00497FE6">
      <w:pPr>
        <w:pStyle w:val="CETBodytext"/>
      </w:pPr>
    </w:p>
    <w:p w14:paraId="1237B790" w14:textId="7DD35A7C" w:rsidR="00497FE6" w:rsidRPr="00497FE6" w:rsidRDefault="00497FE6" w:rsidP="00497FE6">
      <w:pPr>
        <w:pStyle w:val="CETBodytext"/>
      </w:pPr>
      <w:r w:rsidRPr="00497FE6">
        <w:t>The results confirm that the FGD system cannot be effectively optimized by adjusting a single parameter in isolation. Instead, system performance is governed by a dynamic balance between transport phenomena and chemical reaction equilibrium. The improvement in efficiency is primarily attributed to increased interfacial contact and optimized reaction conditions, while reductions in energy and reagent consumption result from avoiding excessive operating intensities.</w:t>
      </w:r>
    </w:p>
    <w:p w14:paraId="7E89C1BC" w14:textId="77777777" w:rsidR="00497FE6" w:rsidRDefault="00497FE6" w:rsidP="00497FE6">
      <w:pPr>
        <w:pStyle w:val="CETBodytext"/>
      </w:pPr>
      <w:r w:rsidRPr="00497FE6">
        <w:t>A key insight from this study is that operational stability and economic efficiency are achieved within a relatively narrow parameter range. Deviations from this range lead to either performance degradation or unnecessary resource consumption. Therefore, maintaining process variables within the identified optimal window is essential for sustainable operation.</w:t>
      </w:r>
    </w:p>
    <w:p w14:paraId="0FDEAFDF" w14:textId="1AEBA174" w:rsidR="00A311B9" w:rsidRDefault="000979EA" w:rsidP="00497FE6">
      <w:pPr>
        <w:pStyle w:val="CETBodytext"/>
      </w:pPr>
      <w:r w:rsidRPr="000979EA">
        <w:rPr>
          <w:lang w:val="en-GB"/>
        </w:rPr>
        <w:t>Figure 1 presents the non-dominated solutions obtained directly from the NSGA-II optimization. Each point corresponds to a feasible combination of L/G ratio, slurry pH, droplet diameter, and absorber height</w:t>
      </w:r>
      <w:r w:rsidR="00A311B9" w:rsidRPr="00A311B9">
        <w:rPr>
          <w:lang w:val="en-GB"/>
        </w:rPr>
        <w:t>.</w:t>
      </w:r>
    </w:p>
    <w:p w14:paraId="262C6958" w14:textId="7BAB80AC" w:rsidR="00497FE6" w:rsidRDefault="00A311B9" w:rsidP="00A311B9">
      <w:pPr>
        <w:pStyle w:val="CETBodytext"/>
        <w:jc w:val="center"/>
      </w:pPr>
      <w:r>
        <w:rPr>
          <w:noProof/>
        </w:rPr>
        <w:lastRenderedPageBreak/>
        <w:drawing>
          <wp:inline distT="0" distB="0" distL="0" distR="0" wp14:anchorId="7D7432FA" wp14:editId="2C652136">
            <wp:extent cx="4381500" cy="2885099"/>
            <wp:effectExtent l="0" t="0" r="0" b="0"/>
            <wp:docPr id="637961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61566" name=""/>
                    <pic:cNvPicPr/>
                  </pic:nvPicPr>
                  <pic:blipFill>
                    <a:blip r:embed="rId10"/>
                    <a:stretch>
                      <a:fillRect/>
                    </a:stretch>
                  </pic:blipFill>
                  <pic:spPr>
                    <a:xfrm>
                      <a:off x="0" y="0"/>
                      <a:ext cx="4389648" cy="2890465"/>
                    </a:xfrm>
                    <a:prstGeom prst="rect">
                      <a:avLst/>
                    </a:prstGeom>
                  </pic:spPr>
                </pic:pic>
              </a:graphicData>
            </a:graphic>
          </wp:inline>
        </w:drawing>
      </w:r>
    </w:p>
    <w:p w14:paraId="79E71348" w14:textId="0769C9AD" w:rsidR="00A311B9" w:rsidRDefault="00A311B9" w:rsidP="00A311B9">
      <w:pPr>
        <w:pStyle w:val="CETBodytext"/>
        <w:jc w:val="center"/>
      </w:pPr>
      <w:r w:rsidRPr="00A311B9">
        <w:t>Figure 1</w:t>
      </w:r>
      <w:r>
        <w:t xml:space="preserve">. </w:t>
      </w:r>
      <w:r w:rsidR="000979EA" w:rsidRPr="000979EA">
        <w:rPr>
          <w:lang w:val="en-GB"/>
        </w:rPr>
        <w:t>Computed Pareto-optimal solutions obtained using NSGA-II</w:t>
      </w:r>
    </w:p>
    <w:p w14:paraId="6954F8A3" w14:textId="77777777" w:rsidR="00497FE6" w:rsidRDefault="00497FE6" w:rsidP="00497FE6">
      <w:pPr>
        <w:pStyle w:val="CETBodytext"/>
      </w:pPr>
    </w:p>
    <w:p w14:paraId="45300A60" w14:textId="3CCEAC1E" w:rsidR="00A311B9" w:rsidRDefault="000979EA" w:rsidP="00A311B9">
      <w:pPr>
        <w:pStyle w:val="CETBodytext"/>
      </w:pPr>
      <w:r w:rsidRPr="000979EA">
        <w:rPr>
          <w:lang w:val="en-GB"/>
        </w:rPr>
        <w:t>The computed Pareto solutions show a clear trade-off between removal efficiency and specific auxiliary energy. Relatively low-energy operating points provide approximately 95–96% SO</w:t>
      </w:r>
      <w:r w:rsidRPr="000979EA">
        <w:rPr>
          <w:rFonts w:ascii="Cambria Math" w:hAnsi="Cambria Math" w:cs="Cambria Math"/>
          <w:lang w:val="en-GB"/>
        </w:rPr>
        <w:t>₂</w:t>
      </w:r>
      <w:r w:rsidRPr="000979EA">
        <w:rPr>
          <w:lang w:val="en-GB"/>
        </w:rPr>
        <w:t xml:space="preserve"> removal, whereas increasing removal toward 98% requires a progressively larger energy penalty. The selected solution, corresponding to 96.74% removal, was chosen as a practical compromise because it satisfies the approximately 60 mg/Nm</w:t>
      </w:r>
      <w:r w:rsidRPr="000979EA">
        <w:rPr>
          <w:rFonts w:cs="Arial"/>
          <w:lang w:val="en-GB"/>
        </w:rPr>
        <w:t>³</w:t>
      </w:r>
      <w:r w:rsidRPr="000979EA">
        <w:rPr>
          <w:lang w:val="en-GB"/>
        </w:rPr>
        <w:t xml:space="preserve"> outlet target while retaining reductions in both specific energy and limestone demand. Beyond this point, additional SO</w:t>
      </w:r>
      <w:r w:rsidRPr="000979EA">
        <w:rPr>
          <w:rFonts w:ascii="Cambria Math" w:hAnsi="Cambria Math" w:cs="Cambria Math"/>
          <w:lang w:val="en-GB"/>
        </w:rPr>
        <w:t>₂</w:t>
      </w:r>
      <w:r w:rsidRPr="000979EA">
        <w:rPr>
          <w:lang w:val="en-GB"/>
        </w:rPr>
        <w:t xml:space="preserve"> removal is achieved primarily at the expense of auxiliary energy performance</w:t>
      </w:r>
      <w:r w:rsidR="00A311B9" w:rsidRPr="00A311B9">
        <w:t>.</w:t>
      </w:r>
      <w:r>
        <w:t xml:space="preserve"> </w:t>
      </w:r>
      <w:r w:rsidRPr="000979EA">
        <w:t>Representative non-dominated solutions generated by NSGA-II</w:t>
      </w:r>
      <w:r>
        <w:t xml:space="preserve"> are given in the Table 3.</w:t>
      </w:r>
    </w:p>
    <w:p w14:paraId="5BAF4178" w14:textId="77777777" w:rsidR="000979EA" w:rsidRPr="000979EA" w:rsidRDefault="000979EA" w:rsidP="000979EA">
      <w:pPr>
        <w:pStyle w:val="CETTabletitle"/>
      </w:pPr>
      <w:r w:rsidRPr="000979EA">
        <w:t>Table 3. Representative non-dominated solutions generated by NSGA-II</w:t>
      </w:r>
    </w:p>
    <w:p w14:paraId="121B41AE" w14:textId="77777777" w:rsidR="000979EA" w:rsidRDefault="000979EA" w:rsidP="00A311B9">
      <w:pPr>
        <w:pStyle w:val="CET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9"/>
        <w:gridCol w:w="667"/>
        <w:gridCol w:w="567"/>
        <w:gridCol w:w="825"/>
        <w:gridCol w:w="599"/>
        <w:gridCol w:w="1425"/>
        <w:gridCol w:w="1618"/>
        <w:gridCol w:w="1857"/>
      </w:tblGrid>
      <w:tr w:rsidR="000979EA" w:rsidRPr="000979EA" w14:paraId="2E41489F" w14:textId="77777777" w:rsidTr="000979EA">
        <w:tc>
          <w:tcPr>
            <w:tcW w:w="0" w:type="auto"/>
            <w:tcBorders>
              <w:top w:val="single" w:sz="4" w:space="0" w:color="00B050"/>
              <w:bottom w:val="single" w:sz="4" w:space="0" w:color="00B050"/>
            </w:tcBorders>
            <w:hideMark/>
          </w:tcPr>
          <w:p w14:paraId="003D7C21" w14:textId="77777777" w:rsidR="000979EA" w:rsidRPr="000979EA" w:rsidRDefault="000979EA" w:rsidP="000979EA">
            <w:pPr>
              <w:pStyle w:val="CETBodytext"/>
              <w:rPr>
                <w:b/>
                <w:bCs/>
                <w:lang w:val="ru-RU"/>
              </w:rPr>
            </w:pPr>
            <w:r w:rsidRPr="000979EA">
              <w:rPr>
                <w:b/>
                <w:bCs/>
                <w:lang w:val="ru-RU"/>
              </w:rPr>
              <w:t>Solution</w:t>
            </w:r>
          </w:p>
        </w:tc>
        <w:tc>
          <w:tcPr>
            <w:tcW w:w="0" w:type="auto"/>
            <w:tcBorders>
              <w:top w:val="single" w:sz="4" w:space="0" w:color="00B050"/>
              <w:bottom w:val="single" w:sz="4" w:space="0" w:color="00B050"/>
            </w:tcBorders>
            <w:hideMark/>
          </w:tcPr>
          <w:p w14:paraId="51CFC086" w14:textId="77777777" w:rsidR="000979EA" w:rsidRPr="000979EA" w:rsidRDefault="000979EA" w:rsidP="000979EA">
            <w:pPr>
              <w:pStyle w:val="CETBodytext"/>
              <w:rPr>
                <w:b/>
                <w:bCs/>
                <w:lang w:val="ru-RU"/>
              </w:rPr>
            </w:pPr>
            <w:r w:rsidRPr="000979EA">
              <w:rPr>
                <w:b/>
                <w:bCs/>
                <w:lang w:val="ru-RU"/>
              </w:rPr>
              <w:t>L/G</w:t>
            </w:r>
          </w:p>
        </w:tc>
        <w:tc>
          <w:tcPr>
            <w:tcW w:w="0" w:type="auto"/>
            <w:tcBorders>
              <w:top w:val="single" w:sz="4" w:space="0" w:color="00B050"/>
              <w:bottom w:val="single" w:sz="4" w:space="0" w:color="00B050"/>
            </w:tcBorders>
            <w:hideMark/>
          </w:tcPr>
          <w:p w14:paraId="2A19B9E9" w14:textId="77777777" w:rsidR="000979EA" w:rsidRPr="000979EA" w:rsidRDefault="000979EA" w:rsidP="000979EA">
            <w:pPr>
              <w:pStyle w:val="CETBodytext"/>
              <w:rPr>
                <w:b/>
                <w:bCs/>
                <w:lang w:val="ru-RU"/>
              </w:rPr>
            </w:pPr>
            <w:r w:rsidRPr="000979EA">
              <w:rPr>
                <w:b/>
                <w:bCs/>
                <w:lang w:val="ru-RU"/>
              </w:rPr>
              <w:t>pH</w:t>
            </w:r>
          </w:p>
        </w:tc>
        <w:tc>
          <w:tcPr>
            <w:tcW w:w="0" w:type="auto"/>
            <w:tcBorders>
              <w:top w:val="single" w:sz="4" w:space="0" w:color="00B050"/>
              <w:bottom w:val="single" w:sz="4" w:space="0" w:color="00B050"/>
            </w:tcBorders>
            <w:hideMark/>
          </w:tcPr>
          <w:p w14:paraId="37FDF0B8" w14:textId="77777777" w:rsidR="000979EA" w:rsidRPr="000979EA" w:rsidRDefault="000979EA" w:rsidP="000979EA">
            <w:pPr>
              <w:pStyle w:val="CETBodytext"/>
              <w:rPr>
                <w:b/>
                <w:bCs/>
                <w:lang w:val="ru-RU"/>
              </w:rPr>
            </w:pPr>
            <w:r w:rsidRPr="000979EA">
              <w:rPr>
                <w:b/>
                <w:bCs/>
                <w:lang w:val="ru-RU"/>
              </w:rPr>
              <w:t>d</w:t>
            </w:r>
            <w:r w:rsidRPr="000979EA">
              <w:rPr>
                <w:rFonts w:ascii="Cambria Math" w:hAnsi="Cambria Math" w:cs="Cambria Math"/>
                <w:b/>
                <w:bCs/>
                <w:lang w:val="ru-RU"/>
              </w:rPr>
              <w:t>₃₂</w:t>
            </w:r>
            <w:r w:rsidRPr="000979EA">
              <w:rPr>
                <w:b/>
                <w:bCs/>
                <w:lang w:val="ru-RU"/>
              </w:rPr>
              <w:t xml:space="preserve">, </w:t>
            </w:r>
            <w:proofErr w:type="spellStart"/>
            <w:r w:rsidRPr="000979EA">
              <w:rPr>
                <w:b/>
                <w:bCs/>
                <w:lang w:val="ru-RU"/>
              </w:rPr>
              <w:t>mm</w:t>
            </w:r>
            <w:proofErr w:type="spellEnd"/>
          </w:p>
        </w:tc>
        <w:tc>
          <w:tcPr>
            <w:tcW w:w="0" w:type="auto"/>
            <w:tcBorders>
              <w:top w:val="single" w:sz="4" w:space="0" w:color="00B050"/>
              <w:bottom w:val="single" w:sz="4" w:space="0" w:color="00B050"/>
            </w:tcBorders>
            <w:hideMark/>
          </w:tcPr>
          <w:p w14:paraId="24088ADA" w14:textId="77777777" w:rsidR="000979EA" w:rsidRPr="000979EA" w:rsidRDefault="000979EA" w:rsidP="000979EA">
            <w:pPr>
              <w:pStyle w:val="CETBodytext"/>
              <w:rPr>
                <w:b/>
                <w:bCs/>
                <w:lang w:val="ru-RU"/>
              </w:rPr>
            </w:pPr>
            <w:r w:rsidRPr="000979EA">
              <w:rPr>
                <w:b/>
                <w:bCs/>
                <w:lang w:val="ru-RU"/>
              </w:rPr>
              <w:t>H, m</w:t>
            </w:r>
          </w:p>
        </w:tc>
        <w:tc>
          <w:tcPr>
            <w:tcW w:w="0" w:type="auto"/>
            <w:tcBorders>
              <w:top w:val="single" w:sz="4" w:space="0" w:color="00B050"/>
              <w:bottom w:val="single" w:sz="4" w:space="0" w:color="00B050"/>
            </w:tcBorders>
            <w:hideMark/>
          </w:tcPr>
          <w:p w14:paraId="76C39606" w14:textId="77777777" w:rsidR="000979EA" w:rsidRPr="000979EA" w:rsidRDefault="000979EA" w:rsidP="000979EA">
            <w:pPr>
              <w:pStyle w:val="CETBodytext"/>
              <w:rPr>
                <w:b/>
                <w:bCs/>
                <w:lang w:val="ru-RU"/>
              </w:rPr>
            </w:pPr>
            <w:r w:rsidRPr="000979EA">
              <w:rPr>
                <w:b/>
                <w:bCs/>
                <w:lang w:val="ru-RU"/>
              </w:rPr>
              <w:t>SO</w:t>
            </w:r>
            <w:r w:rsidRPr="000979EA">
              <w:rPr>
                <w:rFonts w:ascii="Cambria Math" w:hAnsi="Cambria Math" w:cs="Cambria Math"/>
                <w:b/>
                <w:bCs/>
                <w:lang w:val="ru-RU"/>
              </w:rPr>
              <w:t>₂</w:t>
            </w:r>
            <w:r w:rsidRPr="000979EA">
              <w:rPr>
                <w:b/>
                <w:bCs/>
                <w:lang w:val="ru-RU"/>
              </w:rPr>
              <w:t xml:space="preserve"> </w:t>
            </w:r>
            <w:proofErr w:type="spellStart"/>
            <w:r w:rsidRPr="000979EA">
              <w:rPr>
                <w:b/>
                <w:bCs/>
                <w:lang w:val="ru-RU"/>
              </w:rPr>
              <w:t>removal</w:t>
            </w:r>
            <w:proofErr w:type="spellEnd"/>
            <w:r w:rsidRPr="000979EA">
              <w:rPr>
                <w:b/>
                <w:bCs/>
                <w:lang w:val="ru-RU"/>
              </w:rPr>
              <w:t>, %</w:t>
            </w:r>
          </w:p>
        </w:tc>
        <w:tc>
          <w:tcPr>
            <w:tcW w:w="0" w:type="auto"/>
            <w:tcBorders>
              <w:top w:val="single" w:sz="4" w:space="0" w:color="00B050"/>
              <w:bottom w:val="single" w:sz="4" w:space="0" w:color="00B050"/>
            </w:tcBorders>
            <w:hideMark/>
          </w:tcPr>
          <w:p w14:paraId="485F534C" w14:textId="77777777" w:rsidR="000979EA" w:rsidRPr="000979EA" w:rsidRDefault="000979EA" w:rsidP="000979EA">
            <w:pPr>
              <w:pStyle w:val="CETBodytext"/>
              <w:rPr>
                <w:b/>
                <w:bCs/>
                <w:lang w:val="ru-RU"/>
              </w:rPr>
            </w:pPr>
            <w:proofErr w:type="spellStart"/>
            <w:r w:rsidRPr="000979EA">
              <w:rPr>
                <w:b/>
                <w:bCs/>
                <w:lang w:val="ru-RU"/>
              </w:rPr>
              <w:t>Specific</w:t>
            </w:r>
            <w:proofErr w:type="spellEnd"/>
            <w:r w:rsidRPr="000979EA">
              <w:rPr>
                <w:b/>
                <w:bCs/>
                <w:lang w:val="ru-RU"/>
              </w:rPr>
              <w:t xml:space="preserve"> </w:t>
            </w:r>
            <w:proofErr w:type="spellStart"/>
            <w:r w:rsidRPr="000979EA">
              <w:rPr>
                <w:b/>
                <w:bCs/>
                <w:lang w:val="ru-RU"/>
              </w:rPr>
              <w:t>energy</w:t>
            </w:r>
            <w:proofErr w:type="spellEnd"/>
            <w:r w:rsidRPr="000979EA">
              <w:rPr>
                <w:b/>
                <w:bCs/>
                <w:lang w:val="ru-RU"/>
              </w:rPr>
              <w:t>, %</w:t>
            </w:r>
          </w:p>
        </w:tc>
        <w:tc>
          <w:tcPr>
            <w:tcW w:w="0" w:type="auto"/>
            <w:tcBorders>
              <w:top w:val="single" w:sz="4" w:space="0" w:color="00B050"/>
              <w:bottom w:val="single" w:sz="4" w:space="0" w:color="00B050"/>
            </w:tcBorders>
            <w:hideMark/>
          </w:tcPr>
          <w:p w14:paraId="0C0B72D7" w14:textId="77777777" w:rsidR="000979EA" w:rsidRPr="000979EA" w:rsidRDefault="000979EA" w:rsidP="000979EA">
            <w:pPr>
              <w:pStyle w:val="CETBodytext"/>
              <w:rPr>
                <w:b/>
                <w:bCs/>
                <w:lang w:val="ru-RU"/>
              </w:rPr>
            </w:pPr>
            <w:proofErr w:type="spellStart"/>
            <w:r w:rsidRPr="000979EA">
              <w:rPr>
                <w:b/>
                <w:bCs/>
                <w:lang w:val="ru-RU"/>
              </w:rPr>
              <w:t>Specific</w:t>
            </w:r>
            <w:proofErr w:type="spellEnd"/>
            <w:r w:rsidRPr="000979EA">
              <w:rPr>
                <w:b/>
                <w:bCs/>
                <w:lang w:val="ru-RU"/>
              </w:rPr>
              <w:t xml:space="preserve"> </w:t>
            </w:r>
            <w:proofErr w:type="spellStart"/>
            <w:r w:rsidRPr="000979EA">
              <w:rPr>
                <w:b/>
                <w:bCs/>
                <w:lang w:val="ru-RU"/>
              </w:rPr>
              <w:t>limestone</w:t>
            </w:r>
            <w:proofErr w:type="spellEnd"/>
            <w:r w:rsidRPr="000979EA">
              <w:rPr>
                <w:b/>
                <w:bCs/>
                <w:lang w:val="ru-RU"/>
              </w:rPr>
              <w:t>, %</w:t>
            </w:r>
          </w:p>
        </w:tc>
      </w:tr>
      <w:tr w:rsidR="000979EA" w:rsidRPr="000979EA" w14:paraId="5D73682F" w14:textId="77777777" w:rsidTr="000979EA">
        <w:tc>
          <w:tcPr>
            <w:tcW w:w="0" w:type="auto"/>
            <w:tcBorders>
              <w:top w:val="single" w:sz="4" w:space="0" w:color="00B050"/>
            </w:tcBorders>
            <w:hideMark/>
          </w:tcPr>
          <w:p w14:paraId="198BBD2D" w14:textId="77777777" w:rsidR="000979EA" w:rsidRPr="000979EA" w:rsidRDefault="000979EA" w:rsidP="000979EA">
            <w:pPr>
              <w:pStyle w:val="CETBodytext"/>
              <w:rPr>
                <w:lang w:val="ru-RU"/>
              </w:rPr>
            </w:pPr>
            <w:r w:rsidRPr="000979EA">
              <w:rPr>
                <w:lang w:val="ru-RU"/>
              </w:rPr>
              <w:t>P1</w:t>
            </w:r>
          </w:p>
        </w:tc>
        <w:tc>
          <w:tcPr>
            <w:tcW w:w="0" w:type="auto"/>
            <w:tcBorders>
              <w:top w:val="single" w:sz="4" w:space="0" w:color="00B050"/>
            </w:tcBorders>
            <w:hideMark/>
          </w:tcPr>
          <w:p w14:paraId="20E530C8" w14:textId="77777777" w:rsidR="000979EA" w:rsidRPr="000979EA" w:rsidRDefault="000979EA" w:rsidP="000979EA">
            <w:pPr>
              <w:pStyle w:val="CETBodytext"/>
              <w:rPr>
                <w:lang w:val="ru-RU"/>
              </w:rPr>
            </w:pPr>
            <w:r w:rsidRPr="000979EA">
              <w:rPr>
                <w:lang w:val="ru-RU"/>
              </w:rPr>
              <w:t>8.17</w:t>
            </w:r>
          </w:p>
        </w:tc>
        <w:tc>
          <w:tcPr>
            <w:tcW w:w="0" w:type="auto"/>
            <w:tcBorders>
              <w:top w:val="single" w:sz="4" w:space="0" w:color="00B050"/>
            </w:tcBorders>
            <w:hideMark/>
          </w:tcPr>
          <w:p w14:paraId="138D1C6F" w14:textId="77777777" w:rsidR="000979EA" w:rsidRPr="000979EA" w:rsidRDefault="000979EA" w:rsidP="000979EA">
            <w:pPr>
              <w:pStyle w:val="CETBodytext"/>
              <w:rPr>
                <w:lang w:val="ru-RU"/>
              </w:rPr>
            </w:pPr>
            <w:r w:rsidRPr="000979EA">
              <w:rPr>
                <w:lang w:val="ru-RU"/>
              </w:rPr>
              <w:t>5.55</w:t>
            </w:r>
          </w:p>
        </w:tc>
        <w:tc>
          <w:tcPr>
            <w:tcW w:w="0" w:type="auto"/>
            <w:tcBorders>
              <w:top w:val="single" w:sz="4" w:space="0" w:color="00B050"/>
            </w:tcBorders>
            <w:hideMark/>
          </w:tcPr>
          <w:p w14:paraId="27889582" w14:textId="77777777" w:rsidR="000979EA" w:rsidRPr="000979EA" w:rsidRDefault="000979EA" w:rsidP="000979EA">
            <w:pPr>
              <w:pStyle w:val="CETBodytext"/>
              <w:rPr>
                <w:lang w:val="ru-RU"/>
              </w:rPr>
            </w:pPr>
            <w:r w:rsidRPr="000979EA">
              <w:rPr>
                <w:lang w:val="ru-RU"/>
              </w:rPr>
              <w:t>2.98</w:t>
            </w:r>
          </w:p>
        </w:tc>
        <w:tc>
          <w:tcPr>
            <w:tcW w:w="0" w:type="auto"/>
            <w:tcBorders>
              <w:top w:val="single" w:sz="4" w:space="0" w:color="00B050"/>
            </w:tcBorders>
            <w:hideMark/>
          </w:tcPr>
          <w:p w14:paraId="3DDC6522" w14:textId="77777777" w:rsidR="000979EA" w:rsidRPr="000979EA" w:rsidRDefault="000979EA" w:rsidP="000979EA">
            <w:pPr>
              <w:pStyle w:val="CETBodytext"/>
              <w:rPr>
                <w:lang w:val="ru-RU"/>
              </w:rPr>
            </w:pPr>
            <w:r w:rsidRPr="000979EA">
              <w:rPr>
                <w:lang w:val="ru-RU"/>
              </w:rPr>
              <w:t>6.80</w:t>
            </w:r>
          </w:p>
        </w:tc>
        <w:tc>
          <w:tcPr>
            <w:tcW w:w="0" w:type="auto"/>
            <w:tcBorders>
              <w:top w:val="single" w:sz="4" w:space="0" w:color="00B050"/>
            </w:tcBorders>
            <w:hideMark/>
          </w:tcPr>
          <w:p w14:paraId="4B209913" w14:textId="77777777" w:rsidR="000979EA" w:rsidRPr="000979EA" w:rsidRDefault="000979EA" w:rsidP="000979EA">
            <w:pPr>
              <w:pStyle w:val="CETBodytext"/>
              <w:rPr>
                <w:lang w:val="ru-RU"/>
              </w:rPr>
            </w:pPr>
            <w:r w:rsidRPr="000979EA">
              <w:rPr>
                <w:lang w:val="ru-RU"/>
              </w:rPr>
              <w:t>95.01</w:t>
            </w:r>
          </w:p>
        </w:tc>
        <w:tc>
          <w:tcPr>
            <w:tcW w:w="0" w:type="auto"/>
            <w:tcBorders>
              <w:top w:val="single" w:sz="4" w:space="0" w:color="00B050"/>
            </w:tcBorders>
            <w:hideMark/>
          </w:tcPr>
          <w:p w14:paraId="3C9D51EF" w14:textId="77777777" w:rsidR="000979EA" w:rsidRPr="000979EA" w:rsidRDefault="000979EA" w:rsidP="000979EA">
            <w:pPr>
              <w:pStyle w:val="CETBodytext"/>
              <w:rPr>
                <w:lang w:val="ru-RU"/>
              </w:rPr>
            </w:pPr>
            <w:r w:rsidRPr="000979EA">
              <w:rPr>
                <w:lang w:val="ru-RU"/>
              </w:rPr>
              <w:t>84.65</w:t>
            </w:r>
          </w:p>
        </w:tc>
        <w:tc>
          <w:tcPr>
            <w:tcW w:w="0" w:type="auto"/>
            <w:tcBorders>
              <w:top w:val="single" w:sz="4" w:space="0" w:color="00B050"/>
            </w:tcBorders>
            <w:hideMark/>
          </w:tcPr>
          <w:p w14:paraId="7A5D041B" w14:textId="77777777" w:rsidR="000979EA" w:rsidRPr="000979EA" w:rsidRDefault="000979EA" w:rsidP="000979EA">
            <w:pPr>
              <w:pStyle w:val="CETBodytext"/>
              <w:rPr>
                <w:lang w:val="ru-RU"/>
              </w:rPr>
            </w:pPr>
            <w:r w:rsidRPr="000979EA">
              <w:rPr>
                <w:lang w:val="ru-RU"/>
              </w:rPr>
              <w:t>90.66</w:t>
            </w:r>
          </w:p>
        </w:tc>
      </w:tr>
      <w:tr w:rsidR="000979EA" w:rsidRPr="000979EA" w14:paraId="2187D4F7" w14:textId="77777777" w:rsidTr="000979EA">
        <w:tc>
          <w:tcPr>
            <w:tcW w:w="0" w:type="auto"/>
            <w:hideMark/>
          </w:tcPr>
          <w:p w14:paraId="2F70ADF7" w14:textId="77777777" w:rsidR="000979EA" w:rsidRPr="000979EA" w:rsidRDefault="000979EA" w:rsidP="000979EA">
            <w:pPr>
              <w:pStyle w:val="CETBodytext"/>
              <w:rPr>
                <w:lang w:val="ru-RU"/>
              </w:rPr>
            </w:pPr>
            <w:r w:rsidRPr="000979EA">
              <w:rPr>
                <w:lang w:val="ru-RU"/>
              </w:rPr>
              <w:t>P2</w:t>
            </w:r>
          </w:p>
        </w:tc>
        <w:tc>
          <w:tcPr>
            <w:tcW w:w="0" w:type="auto"/>
            <w:hideMark/>
          </w:tcPr>
          <w:p w14:paraId="10CE9CDF" w14:textId="77777777" w:rsidR="000979EA" w:rsidRPr="000979EA" w:rsidRDefault="000979EA" w:rsidP="000979EA">
            <w:pPr>
              <w:pStyle w:val="CETBodytext"/>
              <w:rPr>
                <w:lang w:val="ru-RU"/>
              </w:rPr>
            </w:pPr>
            <w:r w:rsidRPr="000979EA">
              <w:rPr>
                <w:lang w:val="ru-RU"/>
              </w:rPr>
              <w:t>8.49</w:t>
            </w:r>
          </w:p>
        </w:tc>
        <w:tc>
          <w:tcPr>
            <w:tcW w:w="0" w:type="auto"/>
            <w:hideMark/>
          </w:tcPr>
          <w:p w14:paraId="6164DD11" w14:textId="77777777" w:rsidR="000979EA" w:rsidRPr="000979EA" w:rsidRDefault="000979EA" w:rsidP="000979EA">
            <w:pPr>
              <w:pStyle w:val="CETBodytext"/>
              <w:rPr>
                <w:lang w:val="ru-RU"/>
              </w:rPr>
            </w:pPr>
            <w:r w:rsidRPr="000979EA">
              <w:rPr>
                <w:lang w:val="ru-RU"/>
              </w:rPr>
              <w:t>5.70</w:t>
            </w:r>
          </w:p>
        </w:tc>
        <w:tc>
          <w:tcPr>
            <w:tcW w:w="0" w:type="auto"/>
            <w:hideMark/>
          </w:tcPr>
          <w:p w14:paraId="7581CF02" w14:textId="77777777" w:rsidR="000979EA" w:rsidRPr="000979EA" w:rsidRDefault="000979EA" w:rsidP="000979EA">
            <w:pPr>
              <w:pStyle w:val="CETBodytext"/>
              <w:rPr>
                <w:lang w:val="ru-RU"/>
              </w:rPr>
            </w:pPr>
            <w:r w:rsidRPr="000979EA">
              <w:rPr>
                <w:lang w:val="ru-RU"/>
              </w:rPr>
              <w:t>3.00</w:t>
            </w:r>
          </w:p>
        </w:tc>
        <w:tc>
          <w:tcPr>
            <w:tcW w:w="0" w:type="auto"/>
            <w:hideMark/>
          </w:tcPr>
          <w:p w14:paraId="0FEF66E8" w14:textId="77777777" w:rsidR="000979EA" w:rsidRPr="000979EA" w:rsidRDefault="000979EA" w:rsidP="000979EA">
            <w:pPr>
              <w:pStyle w:val="CETBodytext"/>
              <w:rPr>
                <w:lang w:val="ru-RU"/>
              </w:rPr>
            </w:pPr>
            <w:r w:rsidRPr="000979EA">
              <w:rPr>
                <w:lang w:val="ru-RU"/>
              </w:rPr>
              <w:t>6.80</w:t>
            </w:r>
          </w:p>
        </w:tc>
        <w:tc>
          <w:tcPr>
            <w:tcW w:w="0" w:type="auto"/>
            <w:hideMark/>
          </w:tcPr>
          <w:p w14:paraId="6E4B8A66" w14:textId="77777777" w:rsidR="000979EA" w:rsidRPr="000979EA" w:rsidRDefault="000979EA" w:rsidP="000979EA">
            <w:pPr>
              <w:pStyle w:val="CETBodytext"/>
              <w:rPr>
                <w:lang w:val="ru-RU"/>
              </w:rPr>
            </w:pPr>
            <w:r w:rsidRPr="000979EA">
              <w:rPr>
                <w:lang w:val="ru-RU"/>
              </w:rPr>
              <w:t>95.97</w:t>
            </w:r>
          </w:p>
        </w:tc>
        <w:tc>
          <w:tcPr>
            <w:tcW w:w="0" w:type="auto"/>
            <w:hideMark/>
          </w:tcPr>
          <w:p w14:paraId="63096D21" w14:textId="77777777" w:rsidR="000979EA" w:rsidRPr="000979EA" w:rsidRDefault="000979EA" w:rsidP="000979EA">
            <w:pPr>
              <w:pStyle w:val="CETBodytext"/>
              <w:rPr>
                <w:lang w:val="ru-RU"/>
              </w:rPr>
            </w:pPr>
            <w:r w:rsidRPr="000979EA">
              <w:rPr>
                <w:lang w:val="ru-RU"/>
              </w:rPr>
              <w:t>85.30</w:t>
            </w:r>
          </w:p>
        </w:tc>
        <w:tc>
          <w:tcPr>
            <w:tcW w:w="0" w:type="auto"/>
            <w:hideMark/>
          </w:tcPr>
          <w:p w14:paraId="7BAC7169" w14:textId="77777777" w:rsidR="000979EA" w:rsidRPr="000979EA" w:rsidRDefault="000979EA" w:rsidP="000979EA">
            <w:pPr>
              <w:pStyle w:val="CETBodytext"/>
              <w:rPr>
                <w:lang w:val="ru-RU"/>
              </w:rPr>
            </w:pPr>
            <w:r w:rsidRPr="000979EA">
              <w:rPr>
                <w:lang w:val="ru-RU"/>
              </w:rPr>
              <w:t>90.47</w:t>
            </w:r>
          </w:p>
        </w:tc>
      </w:tr>
      <w:tr w:rsidR="000979EA" w:rsidRPr="000979EA" w14:paraId="048396BB" w14:textId="77777777" w:rsidTr="000979EA">
        <w:tc>
          <w:tcPr>
            <w:tcW w:w="0" w:type="auto"/>
            <w:hideMark/>
          </w:tcPr>
          <w:p w14:paraId="7301B91B" w14:textId="77777777" w:rsidR="000979EA" w:rsidRPr="000979EA" w:rsidRDefault="000979EA" w:rsidP="000979EA">
            <w:pPr>
              <w:pStyle w:val="CETBodytext"/>
              <w:rPr>
                <w:lang w:val="ru-RU"/>
              </w:rPr>
            </w:pPr>
            <w:r w:rsidRPr="000979EA">
              <w:rPr>
                <w:lang w:val="ru-RU"/>
              </w:rPr>
              <w:t xml:space="preserve">P3 – </w:t>
            </w:r>
            <w:proofErr w:type="spellStart"/>
            <w:r w:rsidRPr="000979EA">
              <w:rPr>
                <w:lang w:val="ru-RU"/>
              </w:rPr>
              <w:t>selected</w:t>
            </w:r>
            <w:proofErr w:type="spellEnd"/>
          </w:p>
        </w:tc>
        <w:tc>
          <w:tcPr>
            <w:tcW w:w="0" w:type="auto"/>
            <w:hideMark/>
          </w:tcPr>
          <w:p w14:paraId="2427358D" w14:textId="77777777" w:rsidR="000979EA" w:rsidRPr="000979EA" w:rsidRDefault="000979EA" w:rsidP="000979EA">
            <w:pPr>
              <w:pStyle w:val="CETBodytext"/>
              <w:rPr>
                <w:lang w:val="ru-RU"/>
              </w:rPr>
            </w:pPr>
            <w:r w:rsidRPr="000979EA">
              <w:rPr>
                <w:lang w:val="ru-RU"/>
              </w:rPr>
              <w:t>9.25</w:t>
            </w:r>
          </w:p>
        </w:tc>
        <w:tc>
          <w:tcPr>
            <w:tcW w:w="0" w:type="auto"/>
            <w:hideMark/>
          </w:tcPr>
          <w:p w14:paraId="0F3E15B4" w14:textId="77777777" w:rsidR="000979EA" w:rsidRPr="000979EA" w:rsidRDefault="000979EA" w:rsidP="000979EA">
            <w:pPr>
              <w:pStyle w:val="CETBodytext"/>
              <w:rPr>
                <w:lang w:val="ru-RU"/>
              </w:rPr>
            </w:pPr>
            <w:r w:rsidRPr="000979EA">
              <w:rPr>
                <w:lang w:val="ru-RU"/>
              </w:rPr>
              <w:t>5.75</w:t>
            </w:r>
          </w:p>
        </w:tc>
        <w:tc>
          <w:tcPr>
            <w:tcW w:w="0" w:type="auto"/>
            <w:hideMark/>
          </w:tcPr>
          <w:p w14:paraId="5BD345B3" w14:textId="77777777" w:rsidR="000979EA" w:rsidRPr="000979EA" w:rsidRDefault="000979EA" w:rsidP="000979EA">
            <w:pPr>
              <w:pStyle w:val="CETBodytext"/>
              <w:rPr>
                <w:lang w:val="ru-RU"/>
              </w:rPr>
            </w:pPr>
            <w:r w:rsidRPr="000979EA">
              <w:rPr>
                <w:lang w:val="ru-RU"/>
              </w:rPr>
              <w:t>3.00</w:t>
            </w:r>
          </w:p>
        </w:tc>
        <w:tc>
          <w:tcPr>
            <w:tcW w:w="0" w:type="auto"/>
            <w:hideMark/>
          </w:tcPr>
          <w:p w14:paraId="5325BD6A" w14:textId="77777777" w:rsidR="000979EA" w:rsidRPr="000979EA" w:rsidRDefault="000979EA" w:rsidP="000979EA">
            <w:pPr>
              <w:pStyle w:val="CETBodytext"/>
              <w:rPr>
                <w:lang w:val="ru-RU"/>
              </w:rPr>
            </w:pPr>
            <w:r w:rsidRPr="000979EA">
              <w:rPr>
                <w:lang w:val="ru-RU"/>
              </w:rPr>
              <w:t>6.80</w:t>
            </w:r>
          </w:p>
        </w:tc>
        <w:tc>
          <w:tcPr>
            <w:tcW w:w="0" w:type="auto"/>
            <w:hideMark/>
          </w:tcPr>
          <w:p w14:paraId="69E08018" w14:textId="77777777" w:rsidR="000979EA" w:rsidRPr="000979EA" w:rsidRDefault="000979EA" w:rsidP="000979EA">
            <w:pPr>
              <w:pStyle w:val="CETBodytext"/>
              <w:rPr>
                <w:lang w:val="ru-RU"/>
              </w:rPr>
            </w:pPr>
            <w:r w:rsidRPr="000979EA">
              <w:rPr>
                <w:lang w:val="ru-RU"/>
              </w:rPr>
              <w:t>96.74</w:t>
            </w:r>
          </w:p>
        </w:tc>
        <w:tc>
          <w:tcPr>
            <w:tcW w:w="0" w:type="auto"/>
            <w:hideMark/>
          </w:tcPr>
          <w:p w14:paraId="649F0AD5" w14:textId="77777777" w:rsidR="000979EA" w:rsidRPr="000979EA" w:rsidRDefault="000979EA" w:rsidP="000979EA">
            <w:pPr>
              <w:pStyle w:val="CETBodytext"/>
              <w:rPr>
                <w:lang w:val="ru-RU"/>
              </w:rPr>
            </w:pPr>
            <w:r w:rsidRPr="000979EA">
              <w:rPr>
                <w:lang w:val="ru-RU"/>
              </w:rPr>
              <w:t>88.73</w:t>
            </w:r>
          </w:p>
        </w:tc>
        <w:tc>
          <w:tcPr>
            <w:tcW w:w="0" w:type="auto"/>
            <w:hideMark/>
          </w:tcPr>
          <w:p w14:paraId="446F7FB8" w14:textId="77777777" w:rsidR="000979EA" w:rsidRPr="000979EA" w:rsidRDefault="000979EA" w:rsidP="000979EA">
            <w:pPr>
              <w:pStyle w:val="CETBodytext"/>
              <w:rPr>
                <w:lang w:val="ru-RU"/>
              </w:rPr>
            </w:pPr>
            <w:r w:rsidRPr="000979EA">
              <w:rPr>
                <w:lang w:val="ru-RU"/>
              </w:rPr>
              <w:t>89.35</w:t>
            </w:r>
          </w:p>
        </w:tc>
      </w:tr>
      <w:tr w:rsidR="000979EA" w:rsidRPr="000979EA" w14:paraId="112579D1" w14:textId="77777777" w:rsidTr="000979EA">
        <w:tc>
          <w:tcPr>
            <w:tcW w:w="0" w:type="auto"/>
            <w:hideMark/>
          </w:tcPr>
          <w:p w14:paraId="473A3217" w14:textId="77777777" w:rsidR="000979EA" w:rsidRPr="000979EA" w:rsidRDefault="000979EA" w:rsidP="000979EA">
            <w:pPr>
              <w:pStyle w:val="CETBodytext"/>
              <w:rPr>
                <w:lang w:val="ru-RU"/>
              </w:rPr>
            </w:pPr>
            <w:r w:rsidRPr="000979EA">
              <w:rPr>
                <w:lang w:val="ru-RU"/>
              </w:rPr>
              <w:t>P4</w:t>
            </w:r>
          </w:p>
        </w:tc>
        <w:tc>
          <w:tcPr>
            <w:tcW w:w="0" w:type="auto"/>
            <w:hideMark/>
          </w:tcPr>
          <w:p w14:paraId="1EA07200" w14:textId="77777777" w:rsidR="000979EA" w:rsidRPr="000979EA" w:rsidRDefault="000979EA" w:rsidP="000979EA">
            <w:pPr>
              <w:pStyle w:val="CETBodytext"/>
              <w:rPr>
                <w:lang w:val="ru-RU"/>
              </w:rPr>
            </w:pPr>
            <w:r w:rsidRPr="000979EA">
              <w:rPr>
                <w:lang w:val="ru-RU"/>
              </w:rPr>
              <w:t>10.17</w:t>
            </w:r>
          </w:p>
        </w:tc>
        <w:tc>
          <w:tcPr>
            <w:tcW w:w="0" w:type="auto"/>
            <w:hideMark/>
          </w:tcPr>
          <w:p w14:paraId="0C423515" w14:textId="77777777" w:rsidR="000979EA" w:rsidRPr="000979EA" w:rsidRDefault="000979EA" w:rsidP="000979EA">
            <w:pPr>
              <w:pStyle w:val="CETBodytext"/>
              <w:rPr>
                <w:lang w:val="ru-RU"/>
              </w:rPr>
            </w:pPr>
            <w:r w:rsidRPr="000979EA">
              <w:rPr>
                <w:lang w:val="ru-RU"/>
              </w:rPr>
              <w:t>5.65</w:t>
            </w:r>
          </w:p>
        </w:tc>
        <w:tc>
          <w:tcPr>
            <w:tcW w:w="0" w:type="auto"/>
            <w:hideMark/>
          </w:tcPr>
          <w:p w14:paraId="62FB1A41" w14:textId="77777777" w:rsidR="000979EA" w:rsidRPr="000979EA" w:rsidRDefault="000979EA" w:rsidP="000979EA">
            <w:pPr>
              <w:pStyle w:val="CETBodytext"/>
              <w:rPr>
                <w:lang w:val="ru-RU"/>
              </w:rPr>
            </w:pPr>
            <w:r w:rsidRPr="000979EA">
              <w:rPr>
                <w:lang w:val="ru-RU"/>
              </w:rPr>
              <w:t>2.60</w:t>
            </w:r>
          </w:p>
        </w:tc>
        <w:tc>
          <w:tcPr>
            <w:tcW w:w="0" w:type="auto"/>
            <w:hideMark/>
          </w:tcPr>
          <w:p w14:paraId="562B0F39" w14:textId="77777777" w:rsidR="000979EA" w:rsidRPr="000979EA" w:rsidRDefault="000979EA" w:rsidP="000979EA">
            <w:pPr>
              <w:pStyle w:val="CETBodytext"/>
              <w:rPr>
                <w:lang w:val="ru-RU"/>
              </w:rPr>
            </w:pPr>
            <w:r w:rsidRPr="000979EA">
              <w:rPr>
                <w:lang w:val="ru-RU"/>
              </w:rPr>
              <w:t>6.75</w:t>
            </w:r>
          </w:p>
        </w:tc>
        <w:tc>
          <w:tcPr>
            <w:tcW w:w="0" w:type="auto"/>
            <w:hideMark/>
          </w:tcPr>
          <w:p w14:paraId="4CF3CEDB" w14:textId="77777777" w:rsidR="000979EA" w:rsidRPr="000979EA" w:rsidRDefault="000979EA" w:rsidP="000979EA">
            <w:pPr>
              <w:pStyle w:val="CETBodytext"/>
              <w:rPr>
                <w:lang w:val="ru-RU"/>
              </w:rPr>
            </w:pPr>
            <w:r w:rsidRPr="000979EA">
              <w:rPr>
                <w:lang w:val="ru-RU"/>
              </w:rPr>
              <w:t>97.51</w:t>
            </w:r>
          </w:p>
        </w:tc>
        <w:tc>
          <w:tcPr>
            <w:tcW w:w="0" w:type="auto"/>
            <w:hideMark/>
          </w:tcPr>
          <w:p w14:paraId="40537689" w14:textId="77777777" w:rsidR="000979EA" w:rsidRPr="000979EA" w:rsidRDefault="000979EA" w:rsidP="000979EA">
            <w:pPr>
              <w:pStyle w:val="CETBodytext"/>
              <w:rPr>
                <w:lang w:val="ru-RU"/>
              </w:rPr>
            </w:pPr>
            <w:r w:rsidRPr="000979EA">
              <w:rPr>
                <w:lang w:val="ru-RU"/>
              </w:rPr>
              <w:t>98.73</w:t>
            </w:r>
          </w:p>
        </w:tc>
        <w:tc>
          <w:tcPr>
            <w:tcW w:w="0" w:type="auto"/>
            <w:hideMark/>
          </w:tcPr>
          <w:p w14:paraId="5CF72A7A" w14:textId="77777777" w:rsidR="000979EA" w:rsidRPr="000979EA" w:rsidRDefault="000979EA" w:rsidP="000979EA">
            <w:pPr>
              <w:pStyle w:val="CETBodytext"/>
              <w:rPr>
                <w:lang w:val="ru-RU"/>
              </w:rPr>
            </w:pPr>
            <w:r w:rsidRPr="000979EA">
              <w:rPr>
                <w:lang w:val="ru-RU"/>
              </w:rPr>
              <w:t>87.71</w:t>
            </w:r>
          </w:p>
        </w:tc>
      </w:tr>
      <w:tr w:rsidR="000979EA" w:rsidRPr="000979EA" w14:paraId="002A16E4" w14:textId="77777777" w:rsidTr="000979EA">
        <w:tc>
          <w:tcPr>
            <w:tcW w:w="0" w:type="auto"/>
            <w:tcBorders>
              <w:bottom w:val="single" w:sz="4" w:space="0" w:color="00B050"/>
            </w:tcBorders>
            <w:hideMark/>
          </w:tcPr>
          <w:p w14:paraId="65BF0530" w14:textId="77777777" w:rsidR="000979EA" w:rsidRPr="000979EA" w:rsidRDefault="000979EA" w:rsidP="000979EA">
            <w:pPr>
              <w:pStyle w:val="CETBodytext"/>
              <w:rPr>
                <w:lang w:val="ru-RU"/>
              </w:rPr>
            </w:pPr>
            <w:r w:rsidRPr="000979EA">
              <w:rPr>
                <w:lang w:val="ru-RU"/>
              </w:rPr>
              <w:t>P5</w:t>
            </w:r>
          </w:p>
        </w:tc>
        <w:tc>
          <w:tcPr>
            <w:tcW w:w="0" w:type="auto"/>
            <w:tcBorders>
              <w:bottom w:val="single" w:sz="4" w:space="0" w:color="00B050"/>
            </w:tcBorders>
            <w:hideMark/>
          </w:tcPr>
          <w:p w14:paraId="6C370077" w14:textId="77777777" w:rsidR="000979EA" w:rsidRPr="000979EA" w:rsidRDefault="000979EA" w:rsidP="000979EA">
            <w:pPr>
              <w:pStyle w:val="CETBodytext"/>
              <w:rPr>
                <w:lang w:val="ru-RU"/>
              </w:rPr>
            </w:pPr>
            <w:r w:rsidRPr="000979EA">
              <w:rPr>
                <w:lang w:val="ru-RU"/>
              </w:rPr>
              <w:t>10.48</w:t>
            </w:r>
          </w:p>
        </w:tc>
        <w:tc>
          <w:tcPr>
            <w:tcW w:w="0" w:type="auto"/>
            <w:tcBorders>
              <w:bottom w:val="single" w:sz="4" w:space="0" w:color="00B050"/>
            </w:tcBorders>
            <w:hideMark/>
          </w:tcPr>
          <w:p w14:paraId="1519C301" w14:textId="77777777" w:rsidR="000979EA" w:rsidRPr="000979EA" w:rsidRDefault="000979EA" w:rsidP="000979EA">
            <w:pPr>
              <w:pStyle w:val="CETBodytext"/>
              <w:rPr>
                <w:lang w:val="ru-RU"/>
              </w:rPr>
            </w:pPr>
            <w:r w:rsidRPr="000979EA">
              <w:rPr>
                <w:lang w:val="ru-RU"/>
              </w:rPr>
              <w:t>5.51</w:t>
            </w:r>
          </w:p>
        </w:tc>
        <w:tc>
          <w:tcPr>
            <w:tcW w:w="0" w:type="auto"/>
            <w:tcBorders>
              <w:bottom w:val="single" w:sz="4" w:space="0" w:color="00B050"/>
            </w:tcBorders>
            <w:hideMark/>
          </w:tcPr>
          <w:p w14:paraId="185AB4E3" w14:textId="77777777" w:rsidR="000979EA" w:rsidRPr="000979EA" w:rsidRDefault="000979EA" w:rsidP="000979EA">
            <w:pPr>
              <w:pStyle w:val="CETBodytext"/>
              <w:rPr>
                <w:lang w:val="ru-RU"/>
              </w:rPr>
            </w:pPr>
            <w:r w:rsidRPr="000979EA">
              <w:rPr>
                <w:lang w:val="ru-RU"/>
              </w:rPr>
              <w:t>2.16</w:t>
            </w:r>
          </w:p>
        </w:tc>
        <w:tc>
          <w:tcPr>
            <w:tcW w:w="0" w:type="auto"/>
            <w:tcBorders>
              <w:bottom w:val="single" w:sz="4" w:space="0" w:color="00B050"/>
            </w:tcBorders>
            <w:hideMark/>
          </w:tcPr>
          <w:p w14:paraId="6ADA32CB" w14:textId="77777777" w:rsidR="000979EA" w:rsidRPr="000979EA" w:rsidRDefault="000979EA" w:rsidP="000979EA">
            <w:pPr>
              <w:pStyle w:val="CETBodytext"/>
              <w:rPr>
                <w:lang w:val="ru-RU"/>
              </w:rPr>
            </w:pPr>
            <w:r w:rsidRPr="000979EA">
              <w:rPr>
                <w:lang w:val="ru-RU"/>
              </w:rPr>
              <w:t>6.80</w:t>
            </w:r>
          </w:p>
        </w:tc>
        <w:tc>
          <w:tcPr>
            <w:tcW w:w="0" w:type="auto"/>
            <w:tcBorders>
              <w:bottom w:val="single" w:sz="4" w:space="0" w:color="00B050"/>
            </w:tcBorders>
            <w:hideMark/>
          </w:tcPr>
          <w:p w14:paraId="4FDB76C7" w14:textId="77777777" w:rsidR="000979EA" w:rsidRPr="000979EA" w:rsidRDefault="000979EA" w:rsidP="000979EA">
            <w:pPr>
              <w:pStyle w:val="CETBodytext"/>
              <w:rPr>
                <w:lang w:val="ru-RU"/>
              </w:rPr>
            </w:pPr>
            <w:r w:rsidRPr="000979EA">
              <w:rPr>
                <w:lang w:val="ru-RU"/>
              </w:rPr>
              <w:t>98.01</w:t>
            </w:r>
          </w:p>
        </w:tc>
        <w:tc>
          <w:tcPr>
            <w:tcW w:w="0" w:type="auto"/>
            <w:tcBorders>
              <w:bottom w:val="single" w:sz="4" w:space="0" w:color="00B050"/>
            </w:tcBorders>
            <w:hideMark/>
          </w:tcPr>
          <w:p w14:paraId="316892D3" w14:textId="77777777" w:rsidR="000979EA" w:rsidRPr="000979EA" w:rsidRDefault="000979EA" w:rsidP="000979EA">
            <w:pPr>
              <w:pStyle w:val="CETBodytext"/>
              <w:rPr>
                <w:lang w:val="ru-RU"/>
              </w:rPr>
            </w:pPr>
            <w:r w:rsidRPr="000979EA">
              <w:rPr>
                <w:lang w:val="ru-RU"/>
              </w:rPr>
              <w:t>110.69</w:t>
            </w:r>
          </w:p>
        </w:tc>
        <w:tc>
          <w:tcPr>
            <w:tcW w:w="0" w:type="auto"/>
            <w:tcBorders>
              <w:bottom w:val="single" w:sz="4" w:space="0" w:color="00B050"/>
            </w:tcBorders>
            <w:hideMark/>
          </w:tcPr>
          <w:p w14:paraId="13D57D06" w14:textId="77777777" w:rsidR="000979EA" w:rsidRPr="000979EA" w:rsidRDefault="000979EA" w:rsidP="000979EA">
            <w:pPr>
              <w:pStyle w:val="CETBodytext"/>
              <w:rPr>
                <w:lang w:val="ru-RU"/>
              </w:rPr>
            </w:pPr>
            <w:r w:rsidRPr="000979EA">
              <w:rPr>
                <w:lang w:val="ru-RU"/>
              </w:rPr>
              <w:t>86.75</w:t>
            </w:r>
          </w:p>
        </w:tc>
      </w:tr>
    </w:tbl>
    <w:p w14:paraId="0E233740" w14:textId="77777777" w:rsidR="000979EA" w:rsidRDefault="000979EA" w:rsidP="00A311B9">
      <w:pPr>
        <w:pStyle w:val="CETBodytext"/>
      </w:pPr>
    </w:p>
    <w:p w14:paraId="5F0ADB1E" w14:textId="77777777" w:rsidR="00A311B9" w:rsidRPr="00A311B9" w:rsidRDefault="00A311B9" w:rsidP="00A311B9">
      <w:pPr>
        <w:pStyle w:val="CETBodytext"/>
      </w:pPr>
      <w:r w:rsidRPr="00A311B9">
        <w:t>The position of the optimized point demonstrates that it is possible to enhance environmental performance without incurring additional energy or reagent penalties. This is achieved through coordinated adjustment of operating parameters, which improves interfacial mass transfer efficiency and stabilizes slurry chemistry.</w:t>
      </w:r>
    </w:p>
    <w:p w14:paraId="40670845" w14:textId="6BCFD17A" w:rsidR="00DB2AB8" w:rsidRPr="00DB2AB8" w:rsidRDefault="00DB2AB8" w:rsidP="00A311B9">
      <w:pPr>
        <w:pStyle w:val="CETHeading1"/>
      </w:pPr>
      <w:r w:rsidRPr="00DB2AB8">
        <w:t>Conclusion</w:t>
      </w:r>
    </w:p>
    <w:p w14:paraId="60B72351" w14:textId="1D5445E0" w:rsidR="00A311B9" w:rsidRPr="00A311B9" w:rsidRDefault="00A311B9" w:rsidP="00A311B9">
      <w:pPr>
        <w:pStyle w:val="CETBodytext"/>
      </w:pPr>
      <w:r w:rsidRPr="00A311B9">
        <w:t>This study demonstrates that the performance of a hybrid wet flue gas desulfurization system can be substantially improved through the application of a rate-based modeling framework combined with multi-objective optimization. The results confirm that SO</w:t>
      </w:r>
      <w:r w:rsidRPr="00A311B9">
        <w:rPr>
          <w:rFonts w:ascii="Cambria Math" w:hAnsi="Cambria Math" w:cs="Cambria Math"/>
        </w:rPr>
        <w:t>₂</w:t>
      </w:r>
      <w:r w:rsidRPr="00A311B9">
        <w:t xml:space="preserve"> removal is governed by the coupled interaction of mass transfer, reaction kinetics, and hydrodynamic conditions, rather than by any single operating parameter.</w:t>
      </w:r>
    </w:p>
    <w:p w14:paraId="6CD2CF29" w14:textId="464DBA62" w:rsidR="00A311B9" w:rsidRPr="00A311B9" w:rsidRDefault="00A311B9" w:rsidP="00A311B9">
      <w:pPr>
        <w:pStyle w:val="CETBodytext"/>
      </w:pPr>
      <w:r w:rsidRPr="00A311B9">
        <w:t xml:space="preserve">Under baseline conditions, the system exhibited a removal efficiency of 89.4%, indicating limitations in gas–liquid contact and reaction effectiveness. </w:t>
      </w:r>
      <w:r w:rsidR="000979EA" w:rsidRPr="000979EA">
        <w:rPr>
          <w:lang w:val="en-GB"/>
        </w:rPr>
        <w:t xml:space="preserve">By simultaneously optimizing the liquid-to-gas ratio, slurry pH, droplet diameter, and absorber height, a representative Pareto-optimal solution was obtained at L/G = 9.25 L/m³, pH = 5.75, </w:t>
      </w:r>
      <m:oMath>
        <m:sSub>
          <m:sSubPr>
            <m:ctrlPr>
              <w:rPr>
                <w:rFonts w:ascii="Cambria Math" w:hAnsi="Cambria Math"/>
                <w:lang w:val="en-GB"/>
              </w:rPr>
            </m:ctrlPr>
          </m:sSubPr>
          <m:e>
            <m:r>
              <w:rPr>
                <w:rFonts w:ascii="Cambria Math" w:hAnsi="Cambria Math"/>
                <w:lang w:val="en-GB"/>
              </w:rPr>
              <m:t>d</m:t>
            </m:r>
          </m:e>
          <m:sub>
            <m:r>
              <w:rPr>
                <w:rFonts w:ascii="Cambria Math" w:hAnsi="Cambria Math"/>
                <w:lang w:val="en-GB"/>
              </w:rPr>
              <m:t>32</m:t>
            </m:r>
          </m:sub>
        </m:sSub>
      </m:oMath>
      <w:r w:rsidR="000979EA" w:rsidRPr="000979EA">
        <w:rPr>
          <w:lang w:val="en-GB"/>
        </w:rPr>
        <w:t>= 3.0 mm, and H = 6.8 m. This operating point increased SO</w:t>
      </w:r>
      <w:r w:rsidR="000979EA" w:rsidRPr="000979EA">
        <w:rPr>
          <w:rFonts w:ascii="Cambria Math" w:hAnsi="Cambria Math" w:cs="Cambria Math"/>
          <w:lang w:val="en-GB"/>
        </w:rPr>
        <w:t>₂</w:t>
      </w:r>
      <w:r w:rsidR="000979EA" w:rsidRPr="000979EA">
        <w:rPr>
          <w:lang w:val="en-GB"/>
        </w:rPr>
        <w:t xml:space="preserve"> removal efficiency from 89.4% to 96.74%, while normalized specific limestone consumption and auxiliary energy demand decreased by 10.65% and 11.27%, respectively</w:t>
      </w:r>
      <w:r w:rsidRPr="00A311B9">
        <w:t>.</w:t>
      </w:r>
    </w:p>
    <w:p w14:paraId="6E6257F2" w14:textId="77777777" w:rsidR="00A311B9" w:rsidRPr="00A311B9" w:rsidRDefault="00A311B9" w:rsidP="00A311B9">
      <w:pPr>
        <w:pStyle w:val="CETBodytext"/>
      </w:pPr>
      <w:r w:rsidRPr="00A311B9">
        <w:lastRenderedPageBreak/>
        <w:t>A critical finding of this work is that optimal operation lies within a relatively narrow parameter window. Deviations from this range either reduce desulfurization efficiency or lead to excessive energy use and scaling risks. In particular, excessive slurry circulation and elevated pH values were shown to produce diminishing returns while increasing operational penalties. This underscores the importance of balancing competing objectives rather than pursuing maximum performance in isolation.</w:t>
      </w:r>
    </w:p>
    <w:p w14:paraId="4DD4C916" w14:textId="77777777" w:rsidR="00A311B9" w:rsidRDefault="00A311B9" w:rsidP="00A311B9">
      <w:pPr>
        <w:pStyle w:val="CETBodytext"/>
      </w:pPr>
      <w:r w:rsidRPr="00A311B9">
        <w:t>The use of a Pareto-based optimization approach proved effective in identifying trade-offs between efficiency and cost, allowing for the selection of an operationally robust and economically viable regime. From an engineering perspective, the methodology provides a systematic tool for decision-making in the design and operation of FGD systems under real industrial constraints.</w:t>
      </w:r>
    </w:p>
    <w:p w14:paraId="63358D98" w14:textId="2F3D2F30" w:rsidR="000979EA" w:rsidRPr="00A311B9" w:rsidRDefault="000979EA" w:rsidP="00A311B9">
      <w:pPr>
        <w:pStyle w:val="CETBodytext"/>
      </w:pPr>
      <w:r w:rsidRPr="000979EA">
        <w:rPr>
          <w:lang w:val="en-GB"/>
        </w:rPr>
        <w:t>The reported improvements are model-based predictions. Since plant-specific experimental data were not available for the investigated representative configuration, future work should focus on industrial validation of the identified Pareto-optimal operating region.</w:t>
      </w:r>
    </w:p>
    <w:p w14:paraId="773339AA" w14:textId="77777777" w:rsidR="00A311B9" w:rsidRPr="00A311B9" w:rsidRDefault="00A311B9" w:rsidP="00A311B9">
      <w:pPr>
        <w:pStyle w:val="CETBodytext"/>
      </w:pPr>
      <w:r w:rsidRPr="00A311B9">
        <w:t>Overall, the proposed approach offers a practical pathway for improving emission control performance while maintaining economic efficiency. The findings are directly applicable to coal-based and sulfur-intensive industrial systems and can support the development of more sustainable and optimized flue gas treatment strategies.</w:t>
      </w:r>
    </w:p>
    <w:p w14:paraId="73998185" w14:textId="03382573" w:rsidR="00DB2AB8" w:rsidRPr="00DB2AB8" w:rsidRDefault="00DB2AB8" w:rsidP="00A311B9">
      <w:pPr>
        <w:pStyle w:val="CETBodytext"/>
      </w:pPr>
    </w:p>
    <w:p w14:paraId="4F1327F8" w14:textId="77777777" w:rsidR="00600535" w:rsidRPr="00B57B36" w:rsidRDefault="00600535" w:rsidP="00600535">
      <w:pPr>
        <w:pStyle w:val="CETReference"/>
      </w:pPr>
      <w:r w:rsidRPr="00B57B36">
        <w:t>References</w:t>
      </w:r>
    </w:p>
    <w:p w14:paraId="04F1B85C" w14:textId="77777777" w:rsidR="00F31B9D" w:rsidRPr="00F31B9D" w:rsidRDefault="00F31B9D" w:rsidP="00F31B9D">
      <w:pPr>
        <w:pStyle w:val="CETReferencetext"/>
      </w:pPr>
      <w:r>
        <w:fldChar w:fldCharType="begin"/>
      </w:r>
      <w:r>
        <w:instrText xml:space="preserve"> ADDIN ZOTERO_BIBL {"uncited":[],"omitted":[],"custom":[]} CSL_BIBLIOGRAPHY </w:instrText>
      </w:r>
      <w:r>
        <w:fldChar w:fldCharType="separate"/>
      </w:r>
      <w:r w:rsidRPr="00F31B9D">
        <w:t xml:space="preserve">Li, L., Zhang, X., Lian, X., Zhang, L., Zhang, Z., Liu, X., He, T., Li, B., Chen, B., &amp; Bu, X.-H. (2025). Flue gas desulfurization and SO2 recovery within a flexible hydrogen-bonded organic framework. </w:t>
      </w:r>
      <w:r w:rsidRPr="00F31B9D">
        <w:rPr>
          <w:i/>
          <w:iCs/>
        </w:rPr>
        <w:t>Nature Chemistry</w:t>
      </w:r>
      <w:r w:rsidRPr="00F31B9D">
        <w:t xml:space="preserve">, </w:t>
      </w:r>
      <w:r w:rsidRPr="00F31B9D">
        <w:rPr>
          <w:i/>
          <w:iCs/>
        </w:rPr>
        <w:t>17</w:t>
      </w:r>
      <w:r w:rsidRPr="00F31B9D">
        <w:t>(5), 727–733. https://doi.org/10.1038/s41557-025-01744-9</w:t>
      </w:r>
    </w:p>
    <w:p w14:paraId="483A4D8E" w14:textId="77777777" w:rsidR="00F31B9D" w:rsidRPr="00F31B9D" w:rsidRDefault="00F31B9D" w:rsidP="00F31B9D">
      <w:pPr>
        <w:pStyle w:val="CETReferencetext"/>
      </w:pPr>
      <w:r w:rsidRPr="00F31B9D">
        <w:t xml:space="preserve">Li, X., Han, J., Liu, Y., Dou, Z., &amp; Zhang, T. (2022). Summary of research progress on industrial flue gas desulfurization technology. </w:t>
      </w:r>
      <w:r w:rsidRPr="00F31B9D">
        <w:rPr>
          <w:i/>
          <w:iCs/>
        </w:rPr>
        <w:t>Separation and Purification Technology</w:t>
      </w:r>
      <w:r w:rsidRPr="00F31B9D">
        <w:t xml:space="preserve">, </w:t>
      </w:r>
      <w:r w:rsidRPr="00F31B9D">
        <w:rPr>
          <w:i/>
          <w:iCs/>
        </w:rPr>
        <w:t>281</w:t>
      </w:r>
      <w:r w:rsidRPr="00F31B9D">
        <w:t>, 119849. https://doi.org/10.1016/j.seppur.2021.119849</w:t>
      </w:r>
    </w:p>
    <w:p w14:paraId="7FBE19E6" w14:textId="77777777" w:rsidR="00F31B9D" w:rsidRPr="00F31B9D" w:rsidRDefault="00F31B9D" w:rsidP="00F31B9D">
      <w:pPr>
        <w:pStyle w:val="CETReferencetext"/>
      </w:pPr>
      <w:r w:rsidRPr="00F31B9D">
        <w:t xml:space="preserve">Liu, P., Yang, S., Hu, J., &amp; Wang, H. (2023). Numerical analysis of SO2 removal characteristics in industrial flue gas desulfurization reactor by spray drying adsorption. </w:t>
      </w:r>
      <w:r w:rsidRPr="00F31B9D">
        <w:rPr>
          <w:i/>
          <w:iCs/>
        </w:rPr>
        <w:t>Separation and Purification Technology</w:t>
      </w:r>
      <w:r w:rsidRPr="00F31B9D">
        <w:t xml:space="preserve">, </w:t>
      </w:r>
      <w:r w:rsidRPr="00F31B9D">
        <w:rPr>
          <w:i/>
          <w:iCs/>
        </w:rPr>
        <w:t>323</w:t>
      </w:r>
      <w:r w:rsidRPr="00F31B9D">
        <w:t>, 124475. https://doi.org/10.1016/j.seppur.2023.124475</w:t>
      </w:r>
    </w:p>
    <w:p w14:paraId="3AF47A2D" w14:textId="77777777" w:rsidR="00F31B9D" w:rsidRPr="00F31B9D" w:rsidRDefault="00F31B9D" w:rsidP="00F31B9D">
      <w:pPr>
        <w:pStyle w:val="CETReferencetext"/>
      </w:pPr>
      <w:r w:rsidRPr="00F31B9D">
        <w:t xml:space="preserve">Meng, L., Li, W., Wang, J., Shi, Y., &amp; Hu, C. (2025). Research Progress on Flue Gas Desulfurization and Denitrification by Activated Carbon Method. </w:t>
      </w:r>
      <w:r w:rsidRPr="00F31B9D">
        <w:rPr>
          <w:i/>
          <w:iCs/>
        </w:rPr>
        <w:t>Processes</w:t>
      </w:r>
      <w:r w:rsidRPr="00F31B9D">
        <w:t xml:space="preserve">, </w:t>
      </w:r>
      <w:r w:rsidRPr="00F31B9D">
        <w:rPr>
          <w:i/>
          <w:iCs/>
        </w:rPr>
        <w:t>13</w:t>
      </w:r>
      <w:r w:rsidRPr="00F31B9D">
        <w:t>(5), 1396. https://doi.org/10.3390/pr13051396</w:t>
      </w:r>
    </w:p>
    <w:p w14:paraId="4FFFE04C" w14:textId="77777777" w:rsidR="00F31B9D" w:rsidRPr="00F31B9D" w:rsidRDefault="00F31B9D" w:rsidP="00F31B9D">
      <w:pPr>
        <w:pStyle w:val="CETReferencetext"/>
      </w:pPr>
      <w:r w:rsidRPr="00F31B9D">
        <w:t xml:space="preserve">Riaz, F., Awan, M. R., Nabi, H. Z., Uddin, G. M., Sultan, M., &amp; Asim, M. (2025). A machine learning based multi-objective optimization for flue gas desulfurization enhancement in coal power plants. </w:t>
      </w:r>
      <w:r w:rsidRPr="00F31B9D">
        <w:rPr>
          <w:i/>
          <w:iCs/>
        </w:rPr>
        <w:t>Energy Nexus</w:t>
      </w:r>
      <w:r w:rsidRPr="00F31B9D">
        <w:t xml:space="preserve">, </w:t>
      </w:r>
      <w:r w:rsidRPr="00F31B9D">
        <w:rPr>
          <w:i/>
          <w:iCs/>
        </w:rPr>
        <w:t>20</w:t>
      </w:r>
      <w:r w:rsidRPr="00F31B9D">
        <w:t>, 100534. https://doi.org/10.1016/j.nexus.2025.100534</w:t>
      </w:r>
    </w:p>
    <w:p w14:paraId="264C962F" w14:textId="77777777" w:rsidR="00F31B9D" w:rsidRPr="00F31B9D" w:rsidRDefault="00F31B9D" w:rsidP="00F31B9D">
      <w:pPr>
        <w:pStyle w:val="CETReferencetext"/>
      </w:pPr>
      <w:r w:rsidRPr="00F31B9D">
        <w:t xml:space="preserve">Turakulov, Z., Kamolov, A., Norkobilov, A., Variny, M., &amp; Fallanza, M. (2024). Techno-economic and environmental analysis of decarbonization pathways for cement plants in Uzbekistan. </w:t>
      </w:r>
      <w:r w:rsidRPr="00F31B9D">
        <w:rPr>
          <w:i/>
          <w:iCs/>
        </w:rPr>
        <w:t>Chemical Engineering Research and Design</w:t>
      </w:r>
      <w:r w:rsidRPr="00F31B9D">
        <w:t xml:space="preserve">, </w:t>
      </w:r>
      <w:r w:rsidRPr="00F31B9D">
        <w:rPr>
          <w:i/>
          <w:iCs/>
        </w:rPr>
        <w:t>210</w:t>
      </w:r>
      <w:r w:rsidRPr="00F31B9D">
        <w:t>, 625–637. https://doi.org/10.1016/j.cherd.2024.09.003</w:t>
      </w:r>
    </w:p>
    <w:p w14:paraId="632A42FE" w14:textId="77777777" w:rsidR="00F31B9D" w:rsidRPr="00F31B9D" w:rsidRDefault="00F31B9D" w:rsidP="00F31B9D">
      <w:pPr>
        <w:pStyle w:val="CETReferencetext"/>
      </w:pPr>
      <w:r w:rsidRPr="00F31B9D">
        <w:t xml:space="preserve">Wang, H., Wang, F., Qin, W., He, C., Wang, F., Liang, X., &amp; Li, X. (2024). A critical review on the use of flue gas desulfurization gypsum to ameliorate saline-alkali soils and its prospect for reducing carbon emissions. </w:t>
      </w:r>
      <w:r w:rsidRPr="00F31B9D">
        <w:rPr>
          <w:i/>
          <w:iCs/>
        </w:rPr>
        <w:t>Science of The Total Environment</w:t>
      </w:r>
      <w:r w:rsidRPr="00F31B9D">
        <w:t xml:space="preserve">, </w:t>
      </w:r>
      <w:r w:rsidRPr="00F31B9D">
        <w:rPr>
          <w:i/>
          <w:iCs/>
        </w:rPr>
        <w:t>945</w:t>
      </w:r>
      <w:r w:rsidRPr="00F31B9D">
        <w:t>, 174053. https://doi.org/10.1016/j.scitotenv.2024.174053</w:t>
      </w:r>
    </w:p>
    <w:p w14:paraId="6758F3C5" w14:textId="77777777" w:rsidR="00F31B9D" w:rsidRPr="00F31B9D" w:rsidRDefault="00F31B9D" w:rsidP="00F31B9D">
      <w:pPr>
        <w:pStyle w:val="CETReferencetext"/>
      </w:pPr>
      <w:r w:rsidRPr="00F31B9D">
        <w:t xml:space="preserve">Wei, J., Liu, L., Gan, M., Li, Y., Fan, X., Gao, Z., Sun, Z., Ji, Z., &amp; Yuan, R. (2025). Innovative methods for capturing CO2 from semi-dry flue gas desulfurization ash: An efficient and valorization approach. </w:t>
      </w:r>
      <w:r w:rsidRPr="00F31B9D">
        <w:rPr>
          <w:i/>
          <w:iCs/>
        </w:rPr>
        <w:t>Separation and Purification Technology</w:t>
      </w:r>
      <w:r w:rsidRPr="00F31B9D">
        <w:t xml:space="preserve">, </w:t>
      </w:r>
      <w:r w:rsidRPr="00F31B9D">
        <w:rPr>
          <w:i/>
          <w:iCs/>
        </w:rPr>
        <w:t>372</w:t>
      </w:r>
      <w:r w:rsidRPr="00F31B9D">
        <w:t>, 133485. https://doi.org/10.1016/j.seppur.2025.133485</w:t>
      </w:r>
    </w:p>
    <w:p w14:paraId="5A8CC32D" w14:textId="77777777" w:rsidR="00F31B9D" w:rsidRPr="00F31B9D" w:rsidRDefault="00F31B9D" w:rsidP="00F31B9D">
      <w:pPr>
        <w:pStyle w:val="CETReferencetext"/>
      </w:pPr>
      <w:r w:rsidRPr="00F31B9D">
        <w:t xml:space="preserve">Xing, G., Wang, W., Zhao, S., &amp; Qi, L. (2023). Application of Ca-based adsorbents in fixed-bed dry flue gas desulfurization (FGD): A critical review. </w:t>
      </w:r>
      <w:r w:rsidRPr="00F31B9D">
        <w:rPr>
          <w:i/>
          <w:iCs/>
        </w:rPr>
        <w:t>Environmental Science and Pollution Research</w:t>
      </w:r>
      <w:r w:rsidRPr="00F31B9D">
        <w:t xml:space="preserve">, </w:t>
      </w:r>
      <w:r w:rsidRPr="00F31B9D">
        <w:rPr>
          <w:i/>
          <w:iCs/>
        </w:rPr>
        <w:t>30</w:t>
      </w:r>
      <w:r w:rsidRPr="00F31B9D">
        <w:t>(31), 76471–76490. https://doi.org/10.1007/s11356-023-27872-8</w:t>
      </w:r>
    </w:p>
    <w:p w14:paraId="652883CA" w14:textId="77777777" w:rsidR="00F31B9D" w:rsidRPr="00F31B9D" w:rsidRDefault="00F31B9D" w:rsidP="00F31B9D">
      <w:pPr>
        <w:pStyle w:val="CETReferencetext"/>
      </w:pPr>
      <w:r w:rsidRPr="00F31B9D">
        <w:t xml:space="preserve">Xuan, Y., Yu, K., Tian, H., Hu, Z., Zhang, W., Yin, Y., Gao, H., &amp; Yu, Q. (2025). Recent Advances in Materials, Synthesis, and Reaction Model of Particle Adsorbent for Flue Gas Desulfurization. </w:t>
      </w:r>
      <w:r w:rsidRPr="00F31B9D">
        <w:rPr>
          <w:i/>
          <w:iCs/>
        </w:rPr>
        <w:t>Molecules</w:t>
      </w:r>
      <w:r w:rsidRPr="00F31B9D">
        <w:t xml:space="preserve">, </w:t>
      </w:r>
      <w:r w:rsidRPr="00F31B9D">
        <w:rPr>
          <w:i/>
          <w:iCs/>
        </w:rPr>
        <w:t>30</w:t>
      </w:r>
      <w:r w:rsidRPr="00F31B9D">
        <w:t>(8), 1653. https://doi.org/10.3390/molecules30081653</w:t>
      </w:r>
    </w:p>
    <w:p w14:paraId="00BA3D4F" w14:textId="565F0F4C" w:rsidR="00C52C3C" w:rsidRDefault="00F31B9D" w:rsidP="00E65B91">
      <w:pPr>
        <w:pStyle w:val="CETReferencetext"/>
      </w:pPr>
      <w:r>
        <w:fldChar w:fldCharType="end"/>
      </w:r>
    </w:p>
    <w:p w14:paraId="03CEA04C" w14:textId="77777777" w:rsidR="00C52C3C" w:rsidRDefault="00C52C3C" w:rsidP="00E65B91">
      <w:pPr>
        <w:pStyle w:val="CETReferencetext"/>
      </w:pPr>
    </w:p>
    <w:p w14:paraId="28E8379D" w14:textId="77777777" w:rsidR="00C52C3C" w:rsidRDefault="00C52C3C" w:rsidP="00E65B91">
      <w:pPr>
        <w:pStyle w:val="CETReferencetext"/>
      </w:pPr>
    </w:p>
    <w:p w14:paraId="6FAA4342" w14:textId="77777777" w:rsidR="00C52C3C" w:rsidRDefault="00C52C3C" w:rsidP="00E65B91">
      <w:pPr>
        <w:pStyle w:val="CETReferencetext"/>
      </w:pPr>
    </w:p>
    <w:p w14:paraId="5A13856B" w14:textId="77777777" w:rsidR="006B4888" w:rsidRPr="000D56D6" w:rsidRDefault="006B4888" w:rsidP="006B4888">
      <w:pPr>
        <w:pStyle w:val="CETReferencetext"/>
      </w:pPr>
    </w:p>
    <w:p w14:paraId="19C4FC68" w14:textId="77777777" w:rsidR="004628D2" w:rsidRDefault="004628D2" w:rsidP="00FA5F5F">
      <w:pPr>
        <w:pStyle w:val="CETHeading1"/>
        <w:numPr>
          <w:ilvl w:val="0"/>
          <w:numId w:val="0"/>
        </w:numPr>
      </w:pPr>
    </w:p>
    <w:sectPr w:rsidR="004628D2"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E5CAE" w14:textId="77777777" w:rsidR="00A2271A" w:rsidRDefault="00A2271A" w:rsidP="004F5E36">
      <w:r>
        <w:separator/>
      </w:r>
    </w:p>
  </w:endnote>
  <w:endnote w:type="continuationSeparator" w:id="0">
    <w:p w14:paraId="783512B2" w14:textId="77777777" w:rsidR="00A2271A" w:rsidRDefault="00A2271A"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Consolas">
    <w:panose1 w:val="020B0609020204030204"/>
    <w:charset w:val="A2"/>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6D2F6" w14:textId="77777777" w:rsidR="00A2271A" w:rsidRDefault="00A2271A" w:rsidP="004F5E36">
      <w:r>
        <w:separator/>
      </w:r>
    </w:p>
  </w:footnote>
  <w:footnote w:type="continuationSeparator" w:id="0">
    <w:p w14:paraId="011E3DFD" w14:textId="77777777" w:rsidR="00A2271A" w:rsidRDefault="00A2271A"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7"/>
  </w:num>
  <w:num w:numId="13" w16cid:durableId="695733619">
    <w:abstractNumId w:val="12"/>
  </w:num>
  <w:num w:numId="14" w16cid:durableId="145903400">
    <w:abstractNumId w:val="18"/>
  </w:num>
  <w:num w:numId="15" w16cid:durableId="19162326">
    <w:abstractNumId w:val="20"/>
  </w:num>
  <w:num w:numId="16" w16cid:durableId="1977102699">
    <w:abstractNumId w:val="19"/>
  </w:num>
  <w:num w:numId="17" w16cid:durableId="860774865">
    <w:abstractNumId w:val="11"/>
  </w:num>
  <w:num w:numId="18" w16cid:durableId="313221457">
    <w:abstractNumId w:val="12"/>
    <w:lvlOverride w:ilvl="0">
      <w:startOverride w:val="1"/>
    </w:lvlOverride>
  </w:num>
  <w:num w:numId="19" w16cid:durableId="534971577">
    <w:abstractNumId w:val="16"/>
  </w:num>
  <w:num w:numId="20" w16cid:durableId="1150947773">
    <w:abstractNumId w:val="15"/>
  </w:num>
  <w:num w:numId="21" w16cid:durableId="124660497">
    <w:abstractNumId w:val="14"/>
  </w:num>
  <w:num w:numId="22" w16cid:durableId="20998614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979EA"/>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A5AB2"/>
    <w:rsid w:val="002B4015"/>
    <w:rsid w:val="002B78CE"/>
    <w:rsid w:val="002C2FB6"/>
    <w:rsid w:val="002E5FA7"/>
    <w:rsid w:val="002F3309"/>
    <w:rsid w:val="003008CE"/>
    <w:rsid w:val="003009B7"/>
    <w:rsid w:val="00300E56"/>
    <w:rsid w:val="0030152C"/>
    <w:rsid w:val="0030469C"/>
    <w:rsid w:val="00312D9B"/>
    <w:rsid w:val="00321CA6"/>
    <w:rsid w:val="00323763"/>
    <w:rsid w:val="00323C5F"/>
    <w:rsid w:val="00334C09"/>
    <w:rsid w:val="00353D08"/>
    <w:rsid w:val="003723D4"/>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97FE6"/>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1D0F"/>
    <w:rsid w:val="006422CC"/>
    <w:rsid w:val="00651D18"/>
    <w:rsid w:val="00660E3E"/>
    <w:rsid w:val="00662E74"/>
    <w:rsid w:val="00664F9F"/>
    <w:rsid w:val="00680C23"/>
    <w:rsid w:val="00683E23"/>
    <w:rsid w:val="00693766"/>
    <w:rsid w:val="006A3281"/>
    <w:rsid w:val="006A6599"/>
    <w:rsid w:val="006B4888"/>
    <w:rsid w:val="006C1D12"/>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426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079AE"/>
    <w:rsid w:val="00A1763D"/>
    <w:rsid w:val="00A17CEC"/>
    <w:rsid w:val="00A2271A"/>
    <w:rsid w:val="00A26CBB"/>
    <w:rsid w:val="00A27EF0"/>
    <w:rsid w:val="00A311B9"/>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686D"/>
    <w:rsid w:val="00B93F69"/>
    <w:rsid w:val="00BB1DDC"/>
    <w:rsid w:val="00BC30C9"/>
    <w:rsid w:val="00BD077D"/>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B2AB8"/>
    <w:rsid w:val="00DD271C"/>
    <w:rsid w:val="00DE264A"/>
    <w:rsid w:val="00DF5072"/>
    <w:rsid w:val="00E02D18"/>
    <w:rsid w:val="00E041E7"/>
    <w:rsid w:val="00E21166"/>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1B9D"/>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B763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clear" w:pos="360"/>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48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 w:type="character" w:styleId="UnresolvedMention">
    <w:name w:val="Unresolved Mention"/>
    <w:basedOn w:val="DefaultParagraphFont"/>
    <w:uiPriority w:val="99"/>
    <w:semiHidden/>
    <w:unhideWhenUsed/>
    <w:rsid w:val="00497F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6656</Words>
  <Characters>37942</Characters>
  <Application>Microsoft Office Word</Application>
  <DocSecurity>0</DocSecurity>
  <Lines>316</Lines>
  <Paragraphs>89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Dipartimento CMIC - Politecnico di Milano</Company>
  <LinksUpToDate>false</LinksUpToDate>
  <CharactersWithSpaces>44509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Zafar Turakulov</cp:lastModifiedBy>
  <cp:revision>2</cp:revision>
  <cp:lastPrinted>2015-05-12T18:31:00Z</cp:lastPrinted>
  <dcterms:created xsi:type="dcterms:W3CDTF">2026-09-03T10:15:00Z</dcterms:created>
  <dcterms:modified xsi:type="dcterms:W3CDTF">2026-09-03T10:15:00Z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zotero-version="8.0"&gt;&lt;session id="sNlKYd5u"/&gt;&lt;style id="http://www.zotero.org/styles/apa" locale="en-US" hasBibliography="1" bibliographyStyleHasBeenSet="1"/&gt;&lt;prefs&gt;&lt;pref name="fieldType" value="Field"/&gt;&lt;pref name="storeReferences" </vt:lpwstr>
  </property>
  <property fmtid="{D5CDD505-2E9C-101B-9397-08002B2CF9AE}" pid="3" name="ZOTERO_PREF_2">
    <vt:lpwstr>value="true"/&gt;&lt;/prefs&gt;&lt;/data&gt;</vt:lpwstr>
  </property>
</Properties>
</file>