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DD1D" w14:textId="77777777" w:rsidR="00D820F7" w:rsidRDefault="00D820F7" w:rsidP="00D820F7">
      <w:pPr>
        <w:pStyle w:val="CETTitle"/>
      </w:pPr>
      <w:r w:rsidRPr="00794188">
        <w:t>From Innovative Materials to Sustainable Product Design: a Traceable Method to Compare and Select Semi-Quantitative Sustainability Tools</w:t>
      </w:r>
    </w:p>
    <w:p w14:paraId="50F34D38" w14:textId="77777777" w:rsidR="00D820F7" w:rsidRPr="00CD6412" w:rsidRDefault="00D820F7" w:rsidP="00D820F7">
      <w:pPr>
        <w:pStyle w:val="CETAuthors"/>
        <w:rPr>
          <w:lang w:val="it-IT"/>
        </w:rPr>
      </w:pPr>
      <w:r>
        <w:rPr>
          <w:lang w:val="it-IT"/>
        </w:rPr>
        <w:t>Andrea Mio</w:t>
      </w:r>
      <w:r w:rsidRPr="00C472AB">
        <w:rPr>
          <w:vertAlign w:val="superscript"/>
          <w:lang w:val="it-IT"/>
        </w:rPr>
        <w:t>1</w:t>
      </w:r>
      <w:r>
        <w:rPr>
          <w:lang w:val="it-IT"/>
        </w:rPr>
        <w:t>, Sabrina Pricl</w:t>
      </w:r>
      <w:r w:rsidRPr="00C472AB">
        <w:rPr>
          <w:vertAlign w:val="superscript"/>
          <w:lang w:val="it-IT"/>
        </w:rPr>
        <w:t>1</w:t>
      </w:r>
      <w:r>
        <w:rPr>
          <w:lang w:val="it-IT"/>
        </w:rPr>
        <w:t xml:space="preserve">, </w:t>
      </w:r>
      <w:r w:rsidRPr="00027803">
        <w:rPr>
          <w:lang w:val="it-IT"/>
        </w:rPr>
        <w:t>Tianran Ding</w:t>
      </w:r>
      <w:r w:rsidRPr="00B14761">
        <w:rPr>
          <w:vertAlign w:val="superscript"/>
          <w:lang w:val="it-IT"/>
        </w:rPr>
        <w:t>2</w:t>
      </w:r>
      <w:r w:rsidRPr="00027803">
        <w:rPr>
          <w:lang w:val="it-IT"/>
        </w:rPr>
        <w:t>, Lisa Pizzol</w:t>
      </w:r>
      <w:r w:rsidRPr="00883489">
        <w:rPr>
          <w:vertAlign w:val="superscript"/>
          <w:lang w:val="it-IT"/>
        </w:rPr>
        <w:t>3</w:t>
      </w:r>
      <w:r w:rsidRPr="00027803">
        <w:rPr>
          <w:lang w:val="it-IT"/>
        </w:rPr>
        <w:t>, Sarah Devecchi</w:t>
      </w:r>
      <w:r w:rsidRPr="00883489">
        <w:rPr>
          <w:vertAlign w:val="superscript"/>
          <w:lang w:val="it-IT"/>
        </w:rPr>
        <w:t>3</w:t>
      </w:r>
      <w:r w:rsidRPr="00027803">
        <w:rPr>
          <w:lang w:val="it-IT"/>
        </w:rPr>
        <w:t>, Alex Zabeo</w:t>
      </w:r>
      <w:r w:rsidRPr="00CC0A9C">
        <w:rPr>
          <w:vertAlign w:val="superscript"/>
          <w:lang w:val="it-IT"/>
        </w:rPr>
        <w:t>3</w:t>
      </w:r>
      <w:r w:rsidRPr="00027803">
        <w:rPr>
          <w:lang w:val="it-IT"/>
        </w:rPr>
        <w:t>, Martina</w:t>
      </w:r>
      <w:r>
        <w:rPr>
          <w:lang w:val="it-IT"/>
        </w:rPr>
        <w:t xml:space="preserve"> </w:t>
      </w:r>
      <w:r w:rsidRPr="00027803">
        <w:rPr>
          <w:lang w:val="it-IT"/>
        </w:rPr>
        <w:t>Menegaldo</w:t>
      </w:r>
      <w:r w:rsidRPr="00035AA7">
        <w:rPr>
          <w:vertAlign w:val="superscript"/>
          <w:lang w:val="it-IT"/>
        </w:rPr>
        <w:t>4</w:t>
      </w:r>
      <w:r w:rsidRPr="00027803">
        <w:rPr>
          <w:lang w:val="it-IT"/>
        </w:rPr>
        <w:t>, Elena Semenzin</w:t>
      </w:r>
      <w:r w:rsidRPr="00035AA7">
        <w:rPr>
          <w:vertAlign w:val="superscript"/>
          <w:lang w:val="it-IT"/>
        </w:rPr>
        <w:t>4</w:t>
      </w:r>
      <w:r w:rsidRPr="00027803">
        <w:rPr>
          <w:lang w:val="it-IT"/>
        </w:rPr>
        <w:t>, Sonia</w:t>
      </w:r>
      <w:r>
        <w:rPr>
          <w:lang w:val="it-IT"/>
        </w:rPr>
        <w:t xml:space="preserve"> </w:t>
      </w:r>
      <w:r w:rsidRPr="00027803">
        <w:rPr>
          <w:lang w:val="it-IT"/>
        </w:rPr>
        <w:t>Martel Martin</w:t>
      </w:r>
      <w:r w:rsidRPr="009806C0">
        <w:rPr>
          <w:vertAlign w:val="superscript"/>
          <w:lang w:val="it-IT"/>
        </w:rPr>
        <w:t>5</w:t>
      </w:r>
      <w:r w:rsidRPr="00027803">
        <w:rPr>
          <w:lang w:val="it-IT"/>
        </w:rPr>
        <w:t>, Maria Emilia Inigo Martinez</w:t>
      </w:r>
      <w:r w:rsidRPr="009806C0">
        <w:rPr>
          <w:vertAlign w:val="superscript"/>
          <w:lang w:val="it-IT"/>
        </w:rPr>
        <w:t>5</w:t>
      </w:r>
      <w:r>
        <w:rPr>
          <w:lang w:val="it-IT"/>
        </w:rPr>
        <w:t xml:space="preserve">, </w:t>
      </w:r>
      <w:r w:rsidRPr="00CD6412">
        <w:rPr>
          <w:lang w:val="it-IT"/>
        </w:rPr>
        <w:t>Erik Laurini</w:t>
      </w:r>
      <w:r w:rsidRPr="00C472AB">
        <w:rPr>
          <w:vertAlign w:val="superscript"/>
          <w:lang w:val="it-IT"/>
        </w:rPr>
        <w:t>1</w:t>
      </w:r>
      <w:r w:rsidR="003111CA">
        <w:rPr>
          <w:vertAlign w:val="superscript"/>
          <w:lang w:val="it-IT"/>
        </w:rPr>
        <w:t>,*</w:t>
      </w:r>
    </w:p>
    <w:p w14:paraId="20E63337" w14:textId="77777777" w:rsidR="00D820F7" w:rsidRDefault="00D820F7" w:rsidP="00D820F7">
      <w:pPr>
        <w:pStyle w:val="CETAddress"/>
      </w:pPr>
      <w:r w:rsidRPr="00866FBB">
        <w:rPr>
          <w:vertAlign w:val="superscript"/>
        </w:rPr>
        <w:t>1</w:t>
      </w:r>
      <w:r>
        <w:rPr>
          <w:vertAlign w:val="superscript"/>
        </w:rPr>
        <w:t xml:space="preserve"> </w:t>
      </w:r>
      <w:r>
        <w:t>Molecular Biology and Nanotechnology Laboratory (MolBNL@UniTS), Department of Engineering and Architecture, University of Trieste, Piazzale Europa 1, 34127 Trieste, Italy</w:t>
      </w:r>
    </w:p>
    <w:p w14:paraId="3A477E9A" w14:textId="77777777" w:rsidR="00D820F7" w:rsidRDefault="00D820F7" w:rsidP="00D820F7">
      <w:pPr>
        <w:pStyle w:val="CETAddress"/>
      </w:pPr>
      <w:r w:rsidRPr="00B14761">
        <w:rPr>
          <w:vertAlign w:val="superscript"/>
        </w:rPr>
        <w:t>2</w:t>
      </w:r>
      <w:r w:rsidRPr="00B14761">
        <w:rPr>
          <w:rFonts w:cs="Arial"/>
          <w:noProof w:val="0"/>
          <w:color w:val="707070"/>
          <w:sz w:val="18"/>
        </w:rPr>
        <w:t xml:space="preserve"> </w:t>
      </w:r>
      <w:r w:rsidRPr="00B14761">
        <w:t>Environmental Research &amp; Innovation Department, Luxembourg Institute of Science and Technology (LIST), 41, rue du Brill, 4362 Belvaux, Luxembourg</w:t>
      </w:r>
    </w:p>
    <w:p w14:paraId="63D0A792" w14:textId="77777777" w:rsidR="00D820F7" w:rsidRDefault="00D820F7" w:rsidP="00D820F7">
      <w:pPr>
        <w:pStyle w:val="CETAddress"/>
        <w:rPr>
          <w:lang w:val="it-IT"/>
        </w:rPr>
      </w:pPr>
      <w:r w:rsidRPr="00883489">
        <w:rPr>
          <w:vertAlign w:val="superscript"/>
          <w:lang w:val="it-IT"/>
        </w:rPr>
        <w:t>3</w:t>
      </w:r>
      <w:r w:rsidRPr="00883489">
        <w:rPr>
          <w:rFonts w:ascii="Source Sans Pro" w:hAnsi="Source Sans Pro"/>
          <w:noProof w:val="0"/>
          <w:sz w:val="23"/>
          <w:szCs w:val="23"/>
          <w:shd w:val="clear" w:color="auto" w:fill="FFFFFF"/>
          <w:lang w:val="it-IT"/>
        </w:rPr>
        <w:t xml:space="preserve"> </w:t>
      </w:r>
      <w:r w:rsidRPr="00883489">
        <w:rPr>
          <w:lang w:val="it-IT"/>
        </w:rPr>
        <w:t>GreenDecision SRL, Cannaregio 5904, 30121 Venezia (VE), Italy</w:t>
      </w:r>
    </w:p>
    <w:p w14:paraId="56B96CC5" w14:textId="77777777" w:rsidR="00D820F7" w:rsidRDefault="00D820F7" w:rsidP="00D820F7">
      <w:pPr>
        <w:pStyle w:val="CETAddress"/>
      </w:pPr>
      <w:r w:rsidRPr="00035AA7">
        <w:rPr>
          <w:vertAlign w:val="superscript"/>
        </w:rPr>
        <w:t>4</w:t>
      </w:r>
      <w:r>
        <w:rPr>
          <w:vertAlign w:val="superscript"/>
        </w:rPr>
        <w:t xml:space="preserve"> </w:t>
      </w:r>
      <w:r w:rsidRPr="00035AA7">
        <w:t>Department of Environmental Sciences, Informatics and Statistics, Ca’ Foscari University of Venice, Scientific Campus, via Torino 155, Mestre, Venice, 30172, Italy</w:t>
      </w:r>
    </w:p>
    <w:p w14:paraId="228EAE84" w14:textId="77777777" w:rsidR="004260E0" w:rsidRDefault="00D820F7" w:rsidP="00D820F7">
      <w:pPr>
        <w:pStyle w:val="CETAddress"/>
      </w:pPr>
      <w:r w:rsidRPr="009806C0">
        <w:rPr>
          <w:vertAlign w:val="superscript"/>
        </w:rPr>
        <w:t>5</w:t>
      </w:r>
      <w:r>
        <w:t xml:space="preserve"> </w:t>
      </w:r>
      <w:r w:rsidRPr="009806C0">
        <w:t>International Research Center in Critical Raw Materials for Advanced Industrial Technologies (ICCRAM), Universidad de Burgos, Centro de I+D+I. Plaza Misael Bañuelos, s/n, 09001 Burgos, Spain</w:t>
      </w:r>
    </w:p>
    <w:p w14:paraId="56C9B579" w14:textId="77777777" w:rsidR="004260E0" w:rsidRDefault="00F30A81">
      <w:pPr>
        <w:pStyle w:val="CETemail"/>
        <w:jc w:val="center"/>
      </w:pPr>
      <w:r>
        <w:t>[</w:t>
      </w:r>
      <w:r w:rsidR="003111CA">
        <w:t>corresponding author: erik.laurini@dia.units.it</w:t>
      </w:r>
      <w:r>
        <w:t>]</w:t>
      </w:r>
    </w:p>
    <w:p w14:paraId="1343D3A7" w14:textId="77777777" w:rsidR="004260E0" w:rsidRDefault="00F30A81">
      <w:pPr>
        <w:pStyle w:val="CETBodytext"/>
      </w:pPr>
      <w:r>
        <w:t>Safe and Sustainable by Design (</w:t>
      </w:r>
      <w:proofErr w:type="spellStart"/>
      <w:r>
        <w:t>SSbD</w:t>
      </w:r>
      <w:proofErr w:type="spellEnd"/>
      <w:r>
        <w:t xml:space="preserve">) implementation at Technology Readiness Levels (TRLs) 3-6 requires sustainability tools that are rapid enough for screening and robust enough to guide design and </w:t>
      </w:r>
      <w:r w:rsidR="00DC1B55">
        <w:t xml:space="preserve">a </w:t>
      </w:r>
      <w:r w:rsidR="00DC1B55" w:rsidRPr="00DC1B55">
        <w:rPr>
          <w:lang w:val="en-GB"/>
        </w:rPr>
        <w:t>stepwise selection approach</w:t>
      </w:r>
      <w:r>
        <w:t xml:space="preserve">. Yet the selection of </w:t>
      </w:r>
      <w:r w:rsidR="00DC1B55">
        <w:t>semi-quantitative</w:t>
      </w:r>
      <w:r>
        <w:t xml:space="preserve"> methods is often performed ad hoc, reducing transparency and making case-to-case comparison difficult. A case-adapted framework combining the TRAAC pillars - Transparency, Reliability, Accessibility, Applicability and Completeness - with a multi-criteria decision analysis (MCDA) workflow was therefore developed within SUNRISE </w:t>
      </w:r>
      <w:r w:rsidR="00F50434">
        <w:t xml:space="preserve">European Project </w:t>
      </w:r>
      <w:r>
        <w:t xml:space="preserve">to support systematic </w:t>
      </w:r>
      <w:r w:rsidR="00DC1B55">
        <w:t>semi-quantitative</w:t>
      </w:r>
      <w:r>
        <w:t xml:space="preserve"> method</w:t>
      </w:r>
      <w:r w:rsidR="00DC1B55">
        <w:t>s</w:t>
      </w:r>
      <w:r>
        <w:t xml:space="preserve"> selection. Six candidate methods were assessed: Benefit Assessment Matrix (BAM), Circular Transition Indicators (CTI), Evaluation Matrix (EM), Multi-Perspective Application Selection (MPAS), Socio-Economic Life-Cycle-Based Framework (SELCBF) and Screening Sustainability Assessment (SSA). Expert scorecards were built across 31 criteria, and stakeholder priorities were represented through weighting scenarios defined on a discrete 0.00-1.00 scale. A Monte Carlo</w:t>
      </w:r>
      <w:r w:rsidR="00DC1B55">
        <w:t xml:space="preserve"> (MC)</w:t>
      </w:r>
      <w:r>
        <w:t xml:space="preserve"> exploration of 100,000 weighting combinations was used to test ranking robustness. MPAS and SSA achieved the highest baseline scores (14.97 and 14.94), while BAM and CTI formed a second group (14.64 each).</w:t>
      </w:r>
    </w:p>
    <w:p w14:paraId="2C1B6857" w14:textId="77777777" w:rsidR="004260E0" w:rsidRDefault="00F30A81">
      <w:pPr>
        <w:pStyle w:val="CETHeading1"/>
      </w:pPr>
      <w:r>
        <w:t>Introduction</w:t>
      </w:r>
    </w:p>
    <w:p w14:paraId="327E8DB3" w14:textId="2B49F30F" w:rsidR="004260E0" w:rsidRPr="00A1732A" w:rsidRDefault="00F30A81">
      <w:pPr>
        <w:pStyle w:val="CETBodytext"/>
      </w:pPr>
      <w:r w:rsidRPr="00A1732A">
        <w:t>The effective implementation of Safe and Sustainable by Design (SSbD) principles at intermediate Technology Readiness Levels (TRLs) requires context-appropriate sustainability assessment methods, but current selection practices often lack structure, transparency and case-specific adaptability. In this scenario, SUNRISE is a European research project supporting the implementation of the SSbD concept for advanced materials and industrial innovation, in line with the European framework established for SSbD chemicals and materials (European Commission, 2022). The project aims to develop three-level practical methods (qualitative, semi-quantitative and quantitative), homogeneous selection criteria and decision-support tools to help researchers, companies and other stakeholders integrate safety and sustainability considerations from the early stages of design, particularly under conditions of limited data availability and uncertainty. During the development of the semi-quantitative setting, the connection with the different assessment levels is particularly relevant because semi-quantitative methods are expected to bridge the gap between early indicative qualitative signals and later extensive quantitative assessments, while remaining usable by companies with heterogeneous expertise and data availability. Accordingly, the semi-quantitative landscape consolidated in the project comprises Benefit Assessment Matrix (BAM), Circular Transition Indicators (CTI), Evaluation Matrix (EM), Multi-Perspective Application Selection (MPAS), Socio-Economic Life-Cycle-Based Framework (SELCBF) and Screening Sustainability Assessment (SSA). These methods convert mixed evidence, such as ordinal scales, expert judgement and sparse numerical information, into interpretable outputs for early design choices and stepwise decisions. Their main strengths are communicability, spreadsheet-friendliness and speed, while recurrent limitations</w:t>
      </w:r>
      <w:r w:rsidR="003569D9" w:rsidRPr="00A1732A">
        <w:t xml:space="preserve"> include data availability, narrow applications, judgement bias, sensitivity to weighting and limited native uncertainty propagation.</w:t>
      </w:r>
    </w:p>
    <w:p w14:paraId="3C0ED96E" w14:textId="77777777" w:rsidR="004260E0" w:rsidRDefault="003142BC">
      <w:pPr>
        <w:pStyle w:val="CETBodytext"/>
      </w:pPr>
      <w:r w:rsidRPr="003142BC">
        <w:lastRenderedPageBreak/>
        <w:t>The contribution of this paper is both methodological and practical. It proposes a Multi-Criteria Decision Analysis (MCDA) framework grounded in the TRAAC approach, originally conceived as a structured set of quality dimensions for evaluating the suitability of assessment methods in terms of Transparency, Reliability, Accessibility, Applicability and Completeness</w:t>
      </w:r>
      <w:r>
        <w:t xml:space="preserve"> </w:t>
      </w:r>
      <w:r w:rsidR="000A77E4">
        <w:t>(Shandilya et al., 2023)</w:t>
      </w:r>
      <w:r w:rsidRPr="003142BC">
        <w:t xml:space="preserve">. The framework is then used to support the selection of semi-quantitative sustainability assessment methods, to </w:t>
      </w:r>
      <w:proofErr w:type="spellStart"/>
      <w:r w:rsidRPr="003142BC">
        <w:t>analyse</w:t>
      </w:r>
      <w:proofErr w:type="spellEnd"/>
      <w:r w:rsidRPr="003142BC">
        <w:t xml:space="preserve"> their performance under a broad range of stakeholder preference scenarios, and to </w:t>
      </w:r>
      <w:proofErr w:type="spellStart"/>
      <w:r w:rsidRPr="003142BC">
        <w:t>reorganise</w:t>
      </w:r>
      <w:proofErr w:type="spellEnd"/>
      <w:r w:rsidRPr="003142BC">
        <w:t xml:space="preserve"> the available indicators into preliminary building blocks for future integrated semi-quantitative </w:t>
      </w:r>
      <w:proofErr w:type="spellStart"/>
      <w:r w:rsidRPr="003142BC">
        <w:t>SSbD</w:t>
      </w:r>
      <w:proofErr w:type="spellEnd"/>
      <w:r w:rsidRPr="003142BC">
        <w:t xml:space="preserve"> implementation</w:t>
      </w:r>
      <w:r w:rsidR="00F30A81">
        <w:t>.</w:t>
      </w:r>
    </w:p>
    <w:p w14:paraId="20B81CCA" w14:textId="77777777" w:rsidR="004260E0" w:rsidRDefault="00F30A81">
      <w:pPr>
        <w:pStyle w:val="CETHeading1"/>
      </w:pPr>
      <w:r>
        <w:t>Materials and methods</w:t>
      </w:r>
    </w:p>
    <w:p w14:paraId="52354454" w14:textId="77777777" w:rsidR="004260E0" w:rsidRDefault="00F30A81">
      <w:pPr>
        <w:pStyle w:val="CETheadingx"/>
      </w:pPr>
      <w:r>
        <w:t>Candidate methods and TRAAC-based comparison framework</w:t>
      </w:r>
    </w:p>
    <w:p w14:paraId="608B2746" w14:textId="77777777" w:rsidR="004260E0" w:rsidRPr="00A1732A" w:rsidRDefault="00F30A81">
      <w:pPr>
        <w:pStyle w:val="CETBodytext"/>
      </w:pPr>
      <w:r w:rsidRPr="00A1732A">
        <w:t>Six methods were identified as the most widespread, as they represent complementary semi-quantitative logics for sustainability assessment. BAM (Hong et al., 2023) was considered as a stepwise selection-compatible matrix focused on benefit evidence. CTI (WBCSD, 2025) was selected because of its strong circularity and loop-based metrics. EM (Mio et al., 2018; Resen et al., 2023) was used as a generic criteria-by-alternatives MCDA structure. MPAS (Piccinno et al., 2016; Sudheshwar et al., 2023) was included as a decision-oriented framework for emerging materials under uncertainty. SELCBF (Stoycheva et al., 2022) extends screening towards socio-economic life-cycle aspects, whereas SSA (Menegaldo et al., 2025) provides a broad questionnaire-based SSbD hotspotting workflow. The framework was organised around five TRAAC pillars, i.e., Transparency, Reliability, Accessibility, Applicability and Completeness (Table 1), implemented through a criterion-level scoring system and expert justification. In the adopted structure, 31 criteria were distributed across the five pillars, with Completeness covering the widest range of sustainability aspects. These criteria were selected iteratively to provide non-overlapping coverage of the five TRAAC dimensions while retaining only properties that could be documented from method papers, technical guidance and representative applications. In this way, criteria selection balanced breadth and auditability: a criterion was retained only when it was relevant for discriminating among tools and could be judged on accessible evidence. This structure was designed to remain auditable while still allowing case-specific interpretation through weighting scenarios.</w:t>
      </w:r>
    </w:p>
    <w:p w14:paraId="556EA3B0" w14:textId="77777777" w:rsidR="004260E0" w:rsidRDefault="00F30A81">
      <w:pPr>
        <w:pStyle w:val="CETTabletitle"/>
      </w:pPr>
      <w:r>
        <w:t>Table 1: TRAAC pillars adopted in the comparison framework and their main assessment focus</w:t>
      </w:r>
      <w:r w:rsidR="00935BAB">
        <w:t>.</w:t>
      </w:r>
    </w:p>
    <w:tbl>
      <w:tblPr>
        <w:tblStyle w:val="TableGrid"/>
        <w:tblW w:w="9013" w:type="dxa"/>
        <w:tblBorders>
          <w:left w:val="none" w:sz="0" w:space="0" w:color="auto"/>
          <w:right w:val="none" w:sz="0" w:space="0" w:color="auto"/>
          <w:insideV w:val="none" w:sz="0" w:space="0" w:color="auto"/>
        </w:tblBorders>
        <w:tblLook w:val="04A0" w:firstRow="1" w:lastRow="0" w:firstColumn="1" w:lastColumn="0" w:noHBand="0" w:noVBand="1"/>
      </w:tblPr>
      <w:tblGrid>
        <w:gridCol w:w="1239"/>
        <w:gridCol w:w="1171"/>
        <w:gridCol w:w="6603"/>
      </w:tblGrid>
      <w:tr w:rsidR="00B05367" w:rsidRPr="00B05367" w14:paraId="454DA29A" w14:textId="77777777" w:rsidTr="00B05367">
        <w:trPr>
          <w:trHeight w:val="20"/>
          <w:tblHeader/>
        </w:trPr>
        <w:tc>
          <w:tcPr>
            <w:tcW w:w="1239" w:type="dxa"/>
            <w:shd w:val="clear" w:color="auto" w:fill="EEF4E4"/>
            <w:vAlign w:val="center"/>
          </w:tcPr>
          <w:p w14:paraId="108A6910" w14:textId="77777777" w:rsidR="00B05367" w:rsidRPr="00B05367" w:rsidRDefault="00B05367" w:rsidP="00B05367">
            <w:pPr>
              <w:pStyle w:val="CETBodytext"/>
              <w:jc w:val="center"/>
              <w:rPr>
                <w:b/>
                <w:sz w:val="16"/>
                <w:szCs w:val="18"/>
              </w:rPr>
            </w:pPr>
            <w:r w:rsidRPr="003111CA">
              <w:rPr>
                <w:b/>
                <w:sz w:val="16"/>
                <w:szCs w:val="18"/>
              </w:rPr>
              <w:t>Pillar</w:t>
            </w:r>
          </w:p>
        </w:tc>
        <w:tc>
          <w:tcPr>
            <w:tcW w:w="1171" w:type="dxa"/>
            <w:shd w:val="clear" w:color="auto" w:fill="EEF4E4"/>
            <w:vAlign w:val="center"/>
          </w:tcPr>
          <w:p w14:paraId="28ED4149" w14:textId="77777777" w:rsidR="00B05367" w:rsidRPr="00B05367" w:rsidRDefault="00B05367" w:rsidP="00B05367">
            <w:pPr>
              <w:pStyle w:val="CETBodytext"/>
              <w:jc w:val="center"/>
              <w:rPr>
                <w:b/>
                <w:sz w:val="16"/>
                <w:szCs w:val="18"/>
              </w:rPr>
            </w:pPr>
            <w:r w:rsidRPr="003111CA">
              <w:rPr>
                <w:b/>
                <w:sz w:val="16"/>
                <w:szCs w:val="18"/>
              </w:rPr>
              <w:t>Criteria (n)</w:t>
            </w:r>
          </w:p>
        </w:tc>
        <w:tc>
          <w:tcPr>
            <w:tcW w:w="6603" w:type="dxa"/>
            <w:shd w:val="clear" w:color="auto" w:fill="EEF4E4"/>
            <w:vAlign w:val="center"/>
          </w:tcPr>
          <w:p w14:paraId="30EE6962" w14:textId="77777777" w:rsidR="00B05367" w:rsidRPr="00B05367" w:rsidRDefault="00B05367" w:rsidP="00B05367">
            <w:pPr>
              <w:pStyle w:val="CETBodytext"/>
              <w:jc w:val="center"/>
              <w:rPr>
                <w:b/>
                <w:sz w:val="16"/>
                <w:szCs w:val="18"/>
              </w:rPr>
            </w:pPr>
            <w:r w:rsidRPr="003111CA">
              <w:rPr>
                <w:b/>
                <w:sz w:val="16"/>
                <w:szCs w:val="18"/>
              </w:rPr>
              <w:t>Main assessment focus</w:t>
            </w:r>
          </w:p>
        </w:tc>
      </w:tr>
      <w:tr w:rsidR="00B05367" w:rsidRPr="00B05367" w14:paraId="7D4A43A6" w14:textId="77777777" w:rsidTr="00B05367">
        <w:trPr>
          <w:trHeight w:val="20"/>
        </w:trPr>
        <w:tc>
          <w:tcPr>
            <w:tcW w:w="1239" w:type="dxa"/>
            <w:vAlign w:val="center"/>
          </w:tcPr>
          <w:p w14:paraId="4E63CB28" w14:textId="77777777" w:rsidR="00B05367" w:rsidRPr="00B05367" w:rsidRDefault="00B05367" w:rsidP="00B05367">
            <w:pPr>
              <w:jc w:val="center"/>
              <w:rPr>
                <w:sz w:val="16"/>
                <w:szCs w:val="18"/>
              </w:rPr>
            </w:pPr>
            <w:r w:rsidRPr="003111CA">
              <w:rPr>
                <w:sz w:val="16"/>
                <w:szCs w:val="18"/>
              </w:rPr>
              <w:t>Transparency</w:t>
            </w:r>
          </w:p>
        </w:tc>
        <w:tc>
          <w:tcPr>
            <w:tcW w:w="1171" w:type="dxa"/>
            <w:vAlign w:val="center"/>
          </w:tcPr>
          <w:p w14:paraId="657595DF" w14:textId="77777777" w:rsidR="00B05367" w:rsidRPr="00B05367" w:rsidRDefault="00B05367" w:rsidP="00B05367">
            <w:pPr>
              <w:jc w:val="center"/>
              <w:rPr>
                <w:sz w:val="16"/>
                <w:szCs w:val="18"/>
              </w:rPr>
            </w:pPr>
            <w:r w:rsidRPr="003111CA">
              <w:rPr>
                <w:sz w:val="16"/>
                <w:szCs w:val="18"/>
              </w:rPr>
              <w:t>2</w:t>
            </w:r>
          </w:p>
        </w:tc>
        <w:tc>
          <w:tcPr>
            <w:tcW w:w="6603" w:type="dxa"/>
            <w:vAlign w:val="center"/>
          </w:tcPr>
          <w:p w14:paraId="6B036BC5" w14:textId="77777777" w:rsidR="00B05367" w:rsidRPr="00B05367" w:rsidRDefault="00B05367" w:rsidP="003374F0">
            <w:pPr>
              <w:jc w:val="left"/>
              <w:rPr>
                <w:sz w:val="16"/>
                <w:szCs w:val="18"/>
              </w:rPr>
            </w:pPr>
            <w:r>
              <w:rPr>
                <w:sz w:val="16"/>
                <w:szCs w:val="18"/>
              </w:rPr>
              <w:t>A</w:t>
            </w:r>
            <w:r w:rsidRPr="003111CA">
              <w:rPr>
                <w:sz w:val="16"/>
                <w:szCs w:val="18"/>
              </w:rPr>
              <w:t>vailability of the method and communication of assumptions, strengths and limitations</w:t>
            </w:r>
          </w:p>
        </w:tc>
      </w:tr>
      <w:tr w:rsidR="00B05367" w:rsidRPr="00B05367" w14:paraId="4B9AB787" w14:textId="77777777" w:rsidTr="00B05367">
        <w:trPr>
          <w:trHeight w:val="20"/>
        </w:trPr>
        <w:tc>
          <w:tcPr>
            <w:tcW w:w="1239" w:type="dxa"/>
            <w:vAlign w:val="center"/>
          </w:tcPr>
          <w:p w14:paraId="2512247A" w14:textId="77777777" w:rsidR="00B05367" w:rsidRPr="00B05367" w:rsidRDefault="00B05367" w:rsidP="00B05367">
            <w:pPr>
              <w:jc w:val="center"/>
              <w:rPr>
                <w:sz w:val="16"/>
                <w:szCs w:val="18"/>
              </w:rPr>
            </w:pPr>
            <w:r w:rsidRPr="003111CA">
              <w:rPr>
                <w:sz w:val="16"/>
                <w:szCs w:val="18"/>
              </w:rPr>
              <w:t>Reliability</w:t>
            </w:r>
          </w:p>
        </w:tc>
        <w:tc>
          <w:tcPr>
            <w:tcW w:w="1171" w:type="dxa"/>
            <w:vAlign w:val="center"/>
          </w:tcPr>
          <w:p w14:paraId="440E28D2" w14:textId="77777777" w:rsidR="00B05367" w:rsidRPr="00B05367" w:rsidRDefault="00B05367" w:rsidP="00B05367">
            <w:pPr>
              <w:jc w:val="center"/>
              <w:rPr>
                <w:sz w:val="16"/>
                <w:szCs w:val="18"/>
              </w:rPr>
            </w:pPr>
            <w:r w:rsidRPr="003111CA">
              <w:rPr>
                <w:sz w:val="16"/>
                <w:szCs w:val="18"/>
              </w:rPr>
              <w:t>3</w:t>
            </w:r>
          </w:p>
        </w:tc>
        <w:tc>
          <w:tcPr>
            <w:tcW w:w="6603" w:type="dxa"/>
            <w:vAlign w:val="center"/>
          </w:tcPr>
          <w:p w14:paraId="6E40EB95" w14:textId="77777777" w:rsidR="00B05367" w:rsidRPr="00B05367" w:rsidRDefault="00B05367" w:rsidP="003374F0">
            <w:pPr>
              <w:jc w:val="left"/>
              <w:rPr>
                <w:sz w:val="16"/>
                <w:szCs w:val="18"/>
              </w:rPr>
            </w:pPr>
            <w:r w:rsidRPr="003111CA">
              <w:rPr>
                <w:sz w:val="16"/>
                <w:szCs w:val="18"/>
              </w:rPr>
              <w:t>Testing or validation evidence, data quality and treatment of uncertainty</w:t>
            </w:r>
          </w:p>
        </w:tc>
      </w:tr>
      <w:tr w:rsidR="00B05367" w:rsidRPr="00B05367" w14:paraId="1B635709" w14:textId="77777777" w:rsidTr="00B05367">
        <w:trPr>
          <w:trHeight w:val="20"/>
        </w:trPr>
        <w:tc>
          <w:tcPr>
            <w:tcW w:w="1239" w:type="dxa"/>
            <w:vAlign w:val="center"/>
          </w:tcPr>
          <w:p w14:paraId="097F8E63" w14:textId="77777777" w:rsidR="00B05367" w:rsidRPr="00B05367" w:rsidRDefault="00B05367" w:rsidP="00B05367">
            <w:pPr>
              <w:jc w:val="center"/>
              <w:rPr>
                <w:sz w:val="16"/>
                <w:szCs w:val="18"/>
              </w:rPr>
            </w:pPr>
            <w:r w:rsidRPr="003111CA">
              <w:rPr>
                <w:sz w:val="16"/>
                <w:szCs w:val="18"/>
              </w:rPr>
              <w:t>Accessibility</w:t>
            </w:r>
          </w:p>
        </w:tc>
        <w:tc>
          <w:tcPr>
            <w:tcW w:w="1171" w:type="dxa"/>
            <w:vAlign w:val="center"/>
          </w:tcPr>
          <w:p w14:paraId="7D86255B" w14:textId="77777777" w:rsidR="00B05367" w:rsidRPr="00B05367" w:rsidRDefault="00B05367" w:rsidP="00B05367">
            <w:pPr>
              <w:jc w:val="center"/>
              <w:rPr>
                <w:sz w:val="16"/>
                <w:szCs w:val="18"/>
              </w:rPr>
            </w:pPr>
            <w:r w:rsidRPr="003111CA">
              <w:rPr>
                <w:sz w:val="16"/>
                <w:szCs w:val="18"/>
              </w:rPr>
              <w:t>3</w:t>
            </w:r>
          </w:p>
        </w:tc>
        <w:tc>
          <w:tcPr>
            <w:tcW w:w="6603" w:type="dxa"/>
            <w:vAlign w:val="center"/>
          </w:tcPr>
          <w:p w14:paraId="1E541982" w14:textId="77777777" w:rsidR="00B05367" w:rsidRPr="00B05367" w:rsidRDefault="00B05367" w:rsidP="003374F0">
            <w:pPr>
              <w:jc w:val="left"/>
              <w:rPr>
                <w:sz w:val="16"/>
                <w:szCs w:val="18"/>
              </w:rPr>
            </w:pPr>
            <w:r w:rsidRPr="003111CA">
              <w:rPr>
                <w:sz w:val="16"/>
                <w:szCs w:val="18"/>
              </w:rPr>
              <w:t>Ease of use, guidance availability and implementation burden</w:t>
            </w:r>
          </w:p>
        </w:tc>
      </w:tr>
      <w:tr w:rsidR="00B05367" w:rsidRPr="00B05367" w14:paraId="4B350DDA" w14:textId="77777777" w:rsidTr="00B05367">
        <w:trPr>
          <w:trHeight w:val="20"/>
        </w:trPr>
        <w:tc>
          <w:tcPr>
            <w:tcW w:w="1239" w:type="dxa"/>
            <w:vAlign w:val="center"/>
          </w:tcPr>
          <w:p w14:paraId="4D0EC0B2" w14:textId="77777777" w:rsidR="00B05367" w:rsidRPr="00B05367" w:rsidRDefault="00B05367" w:rsidP="00B05367">
            <w:pPr>
              <w:jc w:val="center"/>
              <w:rPr>
                <w:sz w:val="16"/>
                <w:szCs w:val="18"/>
              </w:rPr>
            </w:pPr>
            <w:r w:rsidRPr="003111CA">
              <w:rPr>
                <w:sz w:val="16"/>
                <w:szCs w:val="18"/>
              </w:rPr>
              <w:t>Applicability</w:t>
            </w:r>
          </w:p>
        </w:tc>
        <w:tc>
          <w:tcPr>
            <w:tcW w:w="1171" w:type="dxa"/>
            <w:vAlign w:val="center"/>
          </w:tcPr>
          <w:p w14:paraId="4A0350FE" w14:textId="77777777" w:rsidR="00B05367" w:rsidRPr="00B05367" w:rsidRDefault="00B05367" w:rsidP="00B05367">
            <w:pPr>
              <w:jc w:val="center"/>
              <w:rPr>
                <w:sz w:val="16"/>
                <w:szCs w:val="18"/>
              </w:rPr>
            </w:pPr>
            <w:r w:rsidRPr="003111CA">
              <w:rPr>
                <w:sz w:val="16"/>
                <w:szCs w:val="18"/>
              </w:rPr>
              <w:t>3</w:t>
            </w:r>
          </w:p>
        </w:tc>
        <w:tc>
          <w:tcPr>
            <w:tcW w:w="6603" w:type="dxa"/>
            <w:vAlign w:val="center"/>
          </w:tcPr>
          <w:p w14:paraId="7C47026D" w14:textId="77777777" w:rsidR="00B05367" w:rsidRPr="00B05367" w:rsidRDefault="00B05367" w:rsidP="003374F0">
            <w:pPr>
              <w:jc w:val="left"/>
              <w:rPr>
                <w:sz w:val="16"/>
                <w:szCs w:val="18"/>
              </w:rPr>
            </w:pPr>
            <w:r w:rsidRPr="003111CA">
              <w:rPr>
                <w:sz w:val="16"/>
                <w:szCs w:val="18"/>
              </w:rPr>
              <w:t>Fit with intended context, stepwise selection compatibility and developer support</w:t>
            </w:r>
          </w:p>
        </w:tc>
      </w:tr>
      <w:tr w:rsidR="00A1732A" w:rsidRPr="00A1732A" w14:paraId="4F1820AB" w14:textId="77777777" w:rsidTr="00B05367">
        <w:trPr>
          <w:trHeight w:val="20"/>
        </w:trPr>
        <w:tc>
          <w:tcPr>
            <w:tcW w:w="1239" w:type="dxa"/>
            <w:vAlign w:val="center"/>
          </w:tcPr>
          <w:p w14:paraId="4D614095" w14:textId="77777777" w:rsidR="00B05367" w:rsidRPr="00A1732A" w:rsidRDefault="00B05367" w:rsidP="00B05367">
            <w:pPr>
              <w:jc w:val="center"/>
              <w:rPr>
                <w:sz w:val="16"/>
                <w:szCs w:val="18"/>
              </w:rPr>
            </w:pPr>
            <w:r w:rsidRPr="00A1732A">
              <w:rPr>
                <w:sz w:val="16"/>
                <w:szCs w:val="18"/>
              </w:rPr>
              <w:t>Completeness</w:t>
            </w:r>
          </w:p>
        </w:tc>
        <w:tc>
          <w:tcPr>
            <w:tcW w:w="1171" w:type="dxa"/>
            <w:vAlign w:val="center"/>
          </w:tcPr>
          <w:p w14:paraId="26F76C8C" w14:textId="77777777" w:rsidR="00B05367" w:rsidRPr="00A1732A" w:rsidRDefault="00B05367" w:rsidP="00B05367">
            <w:pPr>
              <w:jc w:val="center"/>
              <w:rPr>
                <w:sz w:val="16"/>
                <w:szCs w:val="18"/>
              </w:rPr>
            </w:pPr>
            <w:r w:rsidRPr="00A1732A">
              <w:rPr>
                <w:sz w:val="16"/>
                <w:szCs w:val="18"/>
              </w:rPr>
              <w:t>20</w:t>
            </w:r>
          </w:p>
        </w:tc>
        <w:tc>
          <w:tcPr>
            <w:tcW w:w="6603" w:type="dxa"/>
            <w:vAlign w:val="center"/>
          </w:tcPr>
          <w:p w14:paraId="7D0BF738" w14:textId="77777777" w:rsidR="007B402C" w:rsidRPr="00A1732A" w:rsidRDefault="00000000" w:rsidP="003374F0">
            <w:pPr>
              <w:jc w:val="left"/>
              <w:rPr>
                <w:sz w:val="16"/>
                <w:szCs w:val="18"/>
              </w:rPr>
            </w:pPr>
            <w:r w:rsidRPr="00A1732A">
              <w:rPr>
                <w:sz w:val="16"/>
                <w:szCs w:val="18"/>
              </w:rPr>
              <w:t>Breadth of sustainability coverage across innovation and life-cycle aspects</w:t>
            </w:r>
          </w:p>
        </w:tc>
      </w:tr>
    </w:tbl>
    <w:p w14:paraId="6BAA2D97" w14:textId="77777777" w:rsidR="004260E0" w:rsidRPr="00A1732A" w:rsidRDefault="00F30A81">
      <w:pPr>
        <w:pStyle w:val="CETheadingx"/>
      </w:pPr>
      <w:r w:rsidRPr="00A1732A">
        <w:t>Scoring, weighting and scenario analysis</w:t>
      </w:r>
    </w:p>
    <w:p w14:paraId="7AA3E227" w14:textId="77777777" w:rsidR="002F00CE" w:rsidRPr="00A1732A" w:rsidRDefault="00F30A81" w:rsidP="005F3AFA">
      <w:pPr>
        <w:pStyle w:val="CETBodytext"/>
      </w:pPr>
      <w:r w:rsidRPr="00A1732A">
        <w:t>Each TRAAC criterion was scored by experts on a discrete four-level scoring system (0.00, 0.33, 0.67 and 1.00), chosen to keep judgments transparent while avoiding a false impression of precision. The scale was applied criterion by criterion, and every numerical assignment was accompanied by a short written justification identifying the evidence source and clarifying whether the tool genuinely performs a given function or merely imports external evidence. This point was essential because many semi-quantitative tools classify, or aggregate information produced elsewhere rather than calculating the underlying indicator internally. The scoring structure therefore operated at three nested levels. First, criterion-level scores captured specific properties such as validation, public guidance, handling of uncertainty, data-gap management and breadth of sustainability coverage. Second, criterion scores were averaged within the five TRAAC pillars to provide a readable profile for each tool. Third, the pillar scores were summed up to derive an overall expert baseline. In practical terms, this means that a high overall result could only be achieved by combining methodological clarity with adequate reliability, usability and breadth, rather than excelling in one dimension alone. Stakeholder weighting was then introduced to transform the expert baseline into a context-sensitive decision tool. The same four-point discrete scale was used for weights (0.00 = not relevant, 0.33 = low relevance, 0.67 = moderate relevance, 1.00 = high relevance), allowing companies to express which criteria should matter most in a specific case study. Weights were assigned at criterion level rather than only at pillar level, so that users could privilege specific properties within the same TRAAC dimension according to strategy, data readiness and implementation constraints. Weighted scores were obtained by multiplying the expert score of each criterion by the corresponding stakeholder weight and then aggregating the results across the full criterion set. When all weights are equal to 1.00, the calculation collapses to the expert baseline; when weights differ, the ranking changes in a fully traceable way (Figure 1).</w:t>
      </w:r>
    </w:p>
    <w:p w14:paraId="7C27EC5F" w14:textId="7EDB00F6" w:rsidR="005A4111" w:rsidRDefault="003374F0" w:rsidP="005F3AFA">
      <w:pPr>
        <w:pStyle w:val="CETBodytext"/>
        <w:jc w:val="center"/>
      </w:pPr>
      <w:r>
        <w:rPr>
          <w:noProof/>
        </w:rPr>
        <w:lastRenderedPageBreak/>
        <w:drawing>
          <wp:inline distT="0" distB="0" distL="0" distR="0" wp14:anchorId="2B289EA4" wp14:editId="59373809">
            <wp:extent cx="4130040" cy="1984871"/>
            <wp:effectExtent l="0" t="0" r="3810" b="0"/>
            <wp:docPr id="1599087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786" cy="2005895"/>
                    </a:xfrm>
                    <a:prstGeom prst="rect">
                      <a:avLst/>
                    </a:prstGeom>
                    <a:noFill/>
                    <a:ln>
                      <a:noFill/>
                    </a:ln>
                  </pic:spPr>
                </pic:pic>
              </a:graphicData>
            </a:graphic>
          </wp:inline>
        </w:drawing>
      </w:r>
    </w:p>
    <w:p w14:paraId="22A4029B" w14:textId="77777777" w:rsidR="00614091" w:rsidRDefault="00614091" w:rsidP="005F3AFA">
      <w:pPr>
        <w:pStyle w:val="CETCaption"/>
      </w:pPr>
      <w:r>
        <w:t>Figure 1: Decision flowchart for the selection of the most suitable semi-quantitative tool</w:t>
      </w:r>
    </w:p>
    <w:p w14:paraId="0904C529" w14:textId="77777777" w:rsidR="004260E0" w:rsidRDefault="00F30A81" w:rsidP="005F3AFA">
      <w:pPr>
        <w:pStyle w:val="CETBodytext"/>
      </w:pPr>
      <w:r>
        <w:t>To examine how strongly ranking outcomes depend on stakeholder preferences, the weighting framework was explored through 100,000 Monte Carlo</w:t>
      </w:r>
      <w:r w:rsidR="005A4111">
        <w:t xml:space="preserve"> (MC)</w:t>
      </w:r>
      <w:r>
        <w:t xml:space="preserve"> scenarios. In each scenario, a value from the four-point weighting scale was randomly assigned to every criterion, thereby emulating a broad ensemble of plausible industrial profiles. This analysis served two purposes: first, to stress-test the scorecards against many possible user priorities; and second, to identify whether some tools dominate only because of structural scoring choices rather than because of genuinely broader suitability. The first MC run revealed overly uniform high scores on some criteria, which compressed discrimination among tools. A targeted recalibration was therefore performed only where evidence was weaker or where the tool relied mainly on external calculations. The final scenario analysis was run on this recalibrated baseline.</w:t>
      </w:r>
    </w:p>
    <w:p w14:paraId="170C6900" w14:textId="77777777" w:rsidR="004260E0" w:rsidRDefault="00F30A81">
      <w:pPr>
        <w:pStyle w:val="CETheadingx"/>
      </w:pPr>
      <w:r>
        <w:t>Expert evaluation workflow and decision logic</w:t>
      </w:r>
    </w:p>
    <w:p w14:paraId="5224D3D4" w14:textId="77777777" w:rsidR="004260E0" w:rsidRPr="00A1732A" w:rsidRDefault="00F30A81" w:rsidP="005F3AFA">
      <w:pPr>
        <w:pStyle w:val="CETBodytext"/>
      </w:pPr>
      <w:r w:rsidRPr="00A1732A">
        <w:t>The expert appraisal was designed as a traceable two-stage workflow rather than as a simple scoring exercise. For each candidate tool, assessors first delimited the literature references used for the evaluation, including method papers, technical guidance, available manuals and representative applications. Only after this documentary perimeter had been clarified was the tool evaluated against the TRAAC criteria. This reduced ambiguity and ensured that tools were judged on what could actually be demonstrated from accessible evidence rather than on assumed capabilities. A second key element was the justification field associated with every criterion. Experts did not assign a number in isolation: each score had to be accompanied by a short written note identifying the supporting source and clarifying whether the criterion was fully met, partially met or only indirectly addressed through external modules. This point is particularly important for semi-quantitative tools, because many of them aggregate or classify indicators that are calculated elsewhere. The scorecards therefore function as auditable short reports, not just as matrices. Once the criterion-level judgements were completed, the scores were aggregated into pillar averages and then into an overall expert baseline. In operational terms, the expert baseline answers the question: which tool appears methodologically strongest if all criteria are considered equally relevant? The second stage then starts from this baseline and asks a different question: which tool becomes preferable once an industrial user specifies what matters most in the case at hand? In this sense, weighting does not replace expert judgement, but reinterprets the same auditable baseline in light of case-specific priorities. The framework is therefore deliberately dual: experts guarantee comparability and auditability, while stakeholders introduce contextual relevance. From a decision-making perspective, this structure has an important practical consequence. Users are not forced to choose between a purely expert-driven ranking and a fully subjective preference exercise. Instead, the framework combines both: the expert scorecards constrain the assessment to well-documented judgements, and the weighting sheet allows companies to prioritize the shortlist elements according to strategy, data readiness, implementation constraints and the type of sustainability question they want the semi-quantitative tool to answer.</w:t>
      </w:r>
    </w:p>
    <w:p w14:paraId="69DF5A02" w14:textId="77777777" w:rsidR="004260E0" w:rsidRDefault="00F30A81">
      <w:pPr>
        <w:pStyle w:val="CETHeading1"/>
      </w:pPr>
      <w:r>
        <w:t>Results and discussion</w:t>
      </w:r>
    </w:p>
    <w:p w14:paraId="388CF171" w14:textId="77777777" w:rsidR="004260E0" w:rsidRDefault="00F30A81">
      <w:pPr>
        <w:pStyle w:val="CETheadingx"/>
      </w:pPr>
      <w:r>
        <w:t>Expert baseline ranking and condensed interpretation</w:t>
      </w:r>
    </w:p>
    <w:p w14:paraId="1217596A" w14:textId="77777777" w:rsidR="004260E0" w:rsidRPr="005A4111" w:rsidRDefault="00F30A81" w:rsidP="005A4111">
      <w:pPr>
        <w:pStyle w:val="CETBodytext"/>
      </w:pPr>
      <w:r w:rsidRPr="005A4111">
        <w:t xml:space="preserve">The recalibrated expert baseline shows a clear but not absolute hierarchy. MPAS obtained the highest total score (14.97), closely followed by SSA (14.94). BAM and CTI formed a second cluster at 14.64, while EM reached 12.95 and SELCBF 8.97. This outcome confirms that the most competitive </w:t>
      </w:r>
      <w:r w:rsidR="00026DDB" w:rsidRPr="005A4111">
        <w:t>semi-quantitative</w:t>
      </w:r>
      <w:r w:rsidRPr="005A4111">
        <w:t xml:space="preserve"> tools are those combining broad coverage with practical usability, rather than methods that are only theoretically </w:t>
      </w:r>
      <w:r w:rsidRPr="005A4111">
        <w:lastRenderedPageBreak/>
        <w:t>comprehensive</w:t>
      </w:r>
      <w:r w:rsidR="003202C7">
        <w:t xml:space="preserve"> (Table 2)</w:t>
      </w:r>
      <w:r w:rsidRPr="005A4111">
        <w:t>.</w:t>
      </w:r>
      <w:r w:rsidR="003111CA">
        <w:t xml:space="preserve"> </w:t>
      </w:r>
      <w:r w:rsidRPr="005A4111">
        <w:t xml:space="preserve">MPAS performed strongly because it aligns well with </w:t>
      </w:r>
      <w:r w:rsidR="00DC1B55" w:rsidRPr="005A4111">
        <w:t>stepwise</w:t>
      </w:r>
      <w:r w:rsidRPr="005A4111">
        <w:t xml:space="preserve"> decision processes and handles heterogeneous early-stage evidence in a structured way. SSA reached a similar overall level from a broader screening perspective, benefiting from wide coverage and straightforward communication. BAM and CTI remain highly relevant but more targeted: BAM is particularly attractive when structured benefit evidence already exists, while CTI is most competitive when circularity and resource-loop </w:t>
      </w:r>
      <w:proofErr w:type="spellStart"/>
      <w:r w:rsidRPr="005A4111">
        <w:t>optimisation</w:t>
      </w:r>
      <w:proofErr w:type="spellEnd"/>
      <w:r w:rsidRPr="005A4111">
        <w:t xml:space="preserve"> are central. EM retains value as a generic MCDA scaffold, whereas SELCBF was </w:t>
      </w:r>
      <w:proofErr w:type="spellStart"/>
      <w:r w:rsidRPr="005A4111">
        <w:t>penalised</w:t>
      </w:r>
      <w:proofErr w:type="spellEnd"/>
      <w:r w:rsidRPr="005A4111">
        <w:t xml:space="preserve"> mainly by its dependence on strong external socio-economic datasets.</w:t>
      </w:r>
    </w:p>
    <w:p w14:paraId="24CDF76C" w14:textId="77777777" w:rsidR="004260E0" w:rsidRDefault="00F30A81">
      <w:pPr>
        <w:pStyle w:val="CETTabletitle"/>
      </w:pPr>
      <w:r>
        <w:t>Table</w:t>
      </w:r>
      <w:r w:rsidR="003202C7">
        <w:t xml:space="preserve"> 2</w:t>
      </w:r>
      <w:r>
        <w:t xml:space="preserve">: Condensed synthesis of the six shortlisted </w:t>
      </w:r>
      <w:r w:rsidR="00026DDB">
        <w:t>semi-quantitative</w:t>
      </w:r>
      <w:r>
        <w:t xml:space="preserve"> methods under the recalibrated expert basel</w:t>
      </w:r>
      <w:r w:rsidR="003202C7">
        <w:t>i</w:t>
      </w:r>
      <w:r>
        <w:t>ne</w:t>
      </w:r>
      <w:r w:rsidR="00FB71C6">
        <w:t>.</w:t>
      </w:r>
    </w:p>
    <w:tbl>
      <w:tblPr>
        <w:tblStyle w:val="TableGrid"/>
        <w:tblW w:w="9013" w:type="dxa"/>
        <w:tblBorders>
          <w:left w:val="none" w:sz="0" w:space="0" w:color="auto"/>
          <w:right w:val="none" w:sz="0" w:space="0" w:color="auto"/>
          <w:insideV w:val="none" w:sz="0" w:space="0" w:color="auto"/>
        </w:tblBorders>
        <w:tblLook w:val="04A0" w:firstRow="1" w:lastRow="0" w:firstColumn="1" w:lastColumn="0" w:noHBand="0" w:noVBand="1"/>
      </w:tblPr>
      <w:tblGrid>
        <w:gridCol w:w="846"/>
        <w:gridCol w:w="3782"/>
        <w:gridCol w:w="4385"/>
      </w:tblGrid>
      <w:tr w:rsidR="00B05367" w:rsidRPr="00B05367" w14:paraId="4FC831B0" w14:textId="77777777" w:rsidTr="0094084A">
        <w:trPr>
          <w:trHeight w:val="20"/>
          <w:tblHeader/>
        </w:trPr>
        <w:tc>
          <w:tcPr>
            <w:tcW w:w="846" w:type="dxa"/>
            <w:shd w:val="clear" w:color="auto" w:fill="EEF4E4"/>
            <w:vAlign w:val="center"/>
          </w:tcPr>
          <w:p w14:paraId="0C99C1C1" w14:textId="77777777" w:rsidR="00B05367" w:rsidRPr="00B05367" w:rsidRDefault="00B05367" w:rsidP="00B05367">
            <w:pPr>
              <w:pStyle w:val="CETBodytext"/>
              <w:jc w:val="center"/>
              <w:rPr>
                <w:b/>
                <w:sz w:val="16"/>
                <w:szCs w:val="18"/>
              </w:rPr>
            </w:pPr>
            <w:r w:rsidRPr="003111CA">
              <w:rPr>
                <w:b/>
                <w:sz w:val="16"/>
                <w:szCs w:val="18"/>
              </w:rPr>
              <w:t>Tool</w:t>
            </w:r>
          </w:p>
        </w:tc>
        <w:tc>
          <w:tcPr>
            <w:tcW w:w="3782" w:type="dxa"/>
            <w:shd w:val="clear" w:color="auto" w:fill="EEF4E4"/>
            <w:vAlign w:val="center"/>
          </w:tcPr>
          <w:p w14:paraId="01AAC296" w14:textId="77777777" w:rsidR="00B05367" w:rsidRPr="00B05367" w:rsidRDefault="00B05367" w:rsidP="00B05367">
            <w:pPr>
              <w:pStyle w:val="CETBodytext"/>
              <w:jc w:val="center"/>
              <w:rPr>
                <w:b/>
                <w:sz w:val="16"/>
                <w:szCs w:val="18"/>
              </w:rPr>
            </w:pPr>
            <w:r w:rsidRPr="003111CA">
              <w:rPr>
                <w:b/>
                <w:sz w:val="16"/>
                <w:szCs w:val="18"/>
              </w:rPr>
              <w:t>Dominant strengths</w:t>
            </w:r>
          </w:p>
        </w:tc>
        <w:tc>
          <w:tcPr>
            <w:tcW w:w="4385" w:type="dxa"/>
            <w:shd w:val="clear" w:color="auto" w:fill="EEF4E4"/>
            <w:vAlign w:val="center"/>
          </w:tcPr>
          <w:p w14:paraId="0EF7B42F" w14:textId="77777777" w:rsidR="00B05367" w:rsidRPr="00B05367" w:rsidRDefault="00B05367" w:rsidP="00B05367">
            <w:pPr>
              <w:pStyle w:val="CETBodytext"/>
              <w:jc w:val="center"/>
              <w:rPr>
                <w:b/>
                <w:sz w:val="16"/>
                <w:szCs w:val="18"/>
              </w:rPr>
            </w:pPr>
            <w:r w:rsidRPr="003111CA">
              <w:rPr>
                <w:b/>
                <w:sz w:val="16"/>
                <w:szCs w:val="18"/>
              </w:rPr>
              <w:t>Main limitation in the present setup</w:t>
            </w:r>
          </w:p>
        </w:tc>
      </w:tr>
      <w:tr w:rsidR="00B05367" w:rsidRPr="00B05367" w14:paraId="482D5D99" w14:textId="77777777" w:rsidTr="0094084A">
        <w:trPr>
          <w:trHeight w:val="20"/>
        </w:trPr>
        <w:tc>
          <w:tcPr>
            <w:tcW w:w="846" w:type="dxa"/>
            <w:vAlign w:val="center"/>
          </w:tcPr>
          <w:p w14:paraId="4E2709C6" w14:textId="77777777" w:rsidR="00B05367" w:rsidRPr="00B05367" w:rsidRDefault="00B05367" w:rsidP="00B05367">
            <w:pPr>
              <w:jc w:val="center"/>
              <w:rPr>
                <w:sz w:val="16"/>
                <w:szCs w:val="18"/>
              </w:rPr>
            </w:pPr>
            <w:r w:rsidRPr="003111CA">
              <w:rPr>
                <w:sz w:val="16"/>
                <w:szCs w:val="18"/>
              </w:rPr>
              <w:t>MPAS</w:t>
            </w:r>
          </w:p>
        </w:tc>
        <w:tc>
          <w:tcPr>
            <w:tcW w:w="3782" w:type="dxa"/>
            <w:vAlign w:val="center"/>
          </w:tcPr>
          <w:p w14:paraId="4AAECCCB" w14:textId="77777777" w:rsidR="00B05367" w:rsidRPr="00B05367" w:rsidRDefault="00B05367" w:rsidP="00B05367">
            <w:pPr>
              <w:rPr>
                <w:sz w:val="16"/>
                <w:szCs w:val="18"/>
              </w:rPr>
            </w:pPr>
            <w:r w:rsidRPr="003111CA">
              <w:rPr>
                <w:sz w:val="16"/>
                <w:szCs w:val="18"/>
              </w:rPr>
              <w:t>Stepwise selection fit; accessible workflow; robust under varied preferences</w:t>
            </w:r>
          </w:p>
        </w:tc>
        <w:tc>
          <w:tcPr>
            <w:tcW w:w="4385" w:type="dxa"/>
            <w:vAlign w:val="center"/>
          </w:tcPr>
          <w:p w14:paraId="2EF355BF" w14:textId="77777777" w:rsidR="00B05367" w:rsidRPr="00B05367" w:rsidRDefault="00B05367" w:rsidP="00B05367">
            <w:pPr>
              <w:rPr>
                <w:sz w:val="16"/>
                <w:szCs w:val="18"/>
              </w:rPr>
            </w:pPr>
            <w:r w:rsidRPr="003111CA">
              <w:rPr>
                <w:sz w:val="16"/>
                <w:szCs w:val="18"/>
              </w:rPr>
              <w:t>Needs clear rubrics and disciplined handling of data gaps</w:t>
            </w:r>
          </w:p>
        </w:tc>
      </w:tr>
      <w:tr w:rsidR="00B05367" w:rsidRPr="00B05367" w14:paraId="4B2E29A7" w14:textId="77777777" w:rsidTr="0094084A">
        <w:trPr>
          <w:trHeight w:val="20"/>
        </w:trPr>
        <w:tc>
          <w:tcPr>
            <w:tcW w:w="846" w:type="dxa"/>
            <w:vAlign w:val="center"/>
          </w:tcPr>
          <w:p w14:paraId="0F6C8EED" w14:textId="77777777" w:rsidR="00B05367" w:rsidRPr="00B05367" w:rsidRDefault="00B05367" w:rsidP="00B05367">
            <w:pPr>
              <w:jc w:val="center"/>
              <w:rPr>
                <w:sz w:val="16"/>
                <w:szCs w:val="18"/>
              </w:rPr>
            </w:pPr>
            <w:r w:rsidRPr="003111CA">
              <w:rPr>
                <w:sz w:val="16"/>
                <w:szCs w:val="18"/>
              </w:rPr>
              <w:t>SSA</w:t>
            </w:r>
          </w:p>
        </w:tc>
        <w:tc>
          <w:tcPr>
            <w:tcW w:w="3782" w:type="dxa"/>
            <w:vAlign w:val="center"/>
          </w:tcPr>
          <w:p w14:paraId="52B3D37E" w14:textId="77777777" w:rsidR="00B05367" w:rsidRPr="00B05367" w:rsidRDefault="00B05367" w:rsidP="00B05367">
            <w:pPr>
              <w:rPr>
                <w:sz w:val="16"/>
                <w:szCs w:val="18"/>
              </w:rPr>
            </w:pPr>
            <w:r w:rsidRPr="003111CA">
              <w:rPr>
                <w:sz w:val="16"/>
                <w:szCs w:val="18"/>
              </w:rPr>
              <w:t>Broad life-cycle hotspot screening; easy communication</w:t>
            </w:r>
          </w:p>
        </w:tc>
        <w:tc>
          <w:tcPr>
            <w:tcW w:w="4385" w:type="dxa"/>
            <w:vAlign w:val="center"/>
          </w:tcPr>
          <w:p w14:paraId="57C567DB" w14:textId="77777777" w:rsidR="00B05367" w:rsidRPr="00B05367" w:rsidRDefault="00B05367" w:rsidP="00B05367">
            <w:pPr>
              <w:rPr>
                <w:sz w:val="16"/>
                <w:szCs w:val="18"/>
              </w:rPr>
            </w:pPr>
            <w:r w:rsidRPr="003111CA">
              <w:rPr>
                <w:sz w:val="16"/>
                <w:szCs w:val="18"/>
              </w:rPr>
              <w:t>Several outputs remain proxy-based or questionnaire-driven</w:t>
            </w:r>
          </w:p>
        </w:tc>
      </w:tr>
      <w:tr w:rsidR="00B05367" w:rsidRPr="00B05367" w14:paraId="432FD7CE" w14:textId="77777777" w:rsidTr="0094084A">
        <w:trPr>
          <w:trHeight w:val="20"/>
        </w:trPr>
        <w:tc>
          <w:tcPr>
            <w:tcW w:w="846" w:type="dxa"/>
            <w:vAlign w:val="center"/>
          </w:tcPr>
          <w:p w14:paraId="4500D77D" w14:textId="77777777" w:rsidR="00B05367" w:rsidRPr="00B05367" w:rsidRDefault="00B05367" w:rsidP="00B05367">
            <w:pPr>
              <w:jc w:val="center"/>
              <w:rPr>
                <w:sz w:val="16"/>
                <w:szCs w:val="18"/>
              </w:rPr>
            </w:pPr>
            <w:r w:rsidRPr="003111CA">
              <w:rPr>
                <w:sz w:val="16"/>
                <w:szCs w:val="18"/>
              </w:rPr>
              <w:t>BAM</w:t>
            </w:r>
          </w:p>
        </w:tc>
        <w:tc>
          <w:tcPr>
            <w:tcW w:w="3782" w:type="dxa"/>
            <w:vAlign w:val="center"/>
          </w:tcPr>
          <w:p w14:paraId="4C57BEDC" w14:textId="77777777" w:rsidR="00B05367" w:rsidRPr="00B05367" w:rsidRDefault="00B05367" w:rsidP="00B05367">
            <w:pPr>
              <w:rPr>
                <w:sz w:val="16"/>
                <w:szCs w:val="18"/>
              </w:rPr>
            </w:pPr>
            <w:r w:rsidRPr="003111CA">
              <w:rPr>
                <w:sz w:val="16"/>
                <w:szCs w:val="18"/>
              </w:rPr>
              <w:t>Transparent benefit matrix and stage-wise logic</w:t>
            </w:r>
          </w:p>
        </w:tc>
        <w:tc>
          <w:tcPr>
            <w:tcW w:w="4385" w:type="dxa"/>
            <w:vAlign w:val="center"/>
          </w:tcPr>
          <w:p w14:paraId="5D41DFB4" w14:textId="77777777" w:rsidR="00B05367" w:rsidRPr="00B05367" w:rsidRDefault="00B05367" w:rsidP="00B05367">
            <w:pPr>
              <w:rPr>
                <w:sz w:val="16"/>
                <w:szCs w:val="18"/>
              </w:rPr>
            </w:pPr>
            <w:r w:rsidRPr="003111CA">
              <w:rPr>
                <w:sz w:val="16"/>
                <w:szCs w:val="18"/>
              </w:rPr>
              <w:t>Many quantitative dimensions depend on imported evidence</w:t>
            </w:r>
          </w:p>
        </w:tc>
      </w:tr>
      <w:tr w:rsidR="00B05367" w:rsidRPr="00B05367" w14:paraId="31A59CB1" w14:textId="77777777" w:rsidTr="0094084A">
        <w:trPr>
          <w:trHeight w:val="20"/>
        </w:trPr>
        <w:tc>
          <w:tcPr>
            <w:tcW w:w="846" w:type="dxa"/>
            <w:vAlign w:val="center"/>
          </w:tcPr>
          <w:p w14:paraId="1D76C464" w14:textId="77777777" w:rsidR="00B05367" w:rsidRPr="00B05367" w:rsidRDefault="00B05367" w:rsidP="00B05367">
            <w:pPr>
              <w:jc w:val="center"/>
              <w:rPr>
                <w:sz w:val="16"/>
                <w:szCs w:val="18"/>
              </w:rPr>
            </w:pPr>
            <w:r w:rsidRPr="003111CA">
              <w:rPr>
                <w:sz w:val="16"/>
                <w:szCs w:val="18"/>
              </w:rPr>
              <w:t>CTI</w:t>
            </w:r>
          </w:p>
        </w:tc>
        <w:tc>
          <w:tcPr>
            <w:tcW w:w="3782" w:type="dxa"/>
            <w:vAlign w:val="center"/>
          </w:tcPr>
          <w:p w14:paraId="7058FFE6" w14:textId="77777777" w:rsidR="00B05367" w:rsidRPr="00B05367" w:rsidRDefault="00B05367" w:rsidP="00B05367">
            <w:pPr>
              <w:rPr>
                <w:sz w:val="16"/>
                <w:szCs w:val="18"/>
              </w:rPr>
            </w:pPr>
            <w:r w:rsidRPr="003111CA">
              <w:rPr>
                <w:sz w:val="16"/>
                <w:szCs w:val="18"/>
              </w:rPr>
              <w:t>Strong circularity and resource-loop perspective</w:t>
            </w:r>
          </w:p>
        </w:tc>
        <w:tc>
          <w:tcPr>
            <w:tcW w:w="4385" w:type="dxa"/>
            <w:vAlign w:val="center"/>
          </w:tcPr>
          <w:p w14:paraId="215E1703" w14:textId="77777777" w:rsidR="00B05367" w:rsidRPr="00B05367" w:rsidRDefault="00B05367" w:rsidP="00B05367">
            <w:pPr>
              <w:rPr>
                <w:sz w:val="16"/>
                <w:szCs w:val="18"/>
              </w:rPr>
            </w:pPr>
            <w:r w:rsidRPr="003111CA">
              <w:rPr>
                <w:sz w:val="16"/>
                <w:szCs w:val="18"/>
              </w:rPr>
              <w:t>Narrower unless complemented by other environmental/economic modules</w:t>
            </w:r>
          </w:p>
        </w:tc>
      </w:tr>
      <w:tr w:rsidR="00B05367" w:rsidRPr="00B05367" w14:paraId="31A4F8A8" w14:textId="77777777" w:rsidTr="0094084A">
        <w:trPr>
          <w:trHeight w:val="20"/>
        </w:trPr>
        <w:tc>
          <w:tcPr>
            <w:tcW w:w="846" w:type="dxa"/>
            <w:vAlign w:val="center"/>
          </w:tcPr>
          <w:p w14:paraId="3978FA88" w14:textId="77777777" w:rsidR="00B05367" w:rsidRPr="00B05367" w:rsidRDefault="00B05367" w:rsidP="00B05367">
            <w:pPr>
              <w:jc w:val="center"/>
              <w:rPr>
                <w:sz w:val="16"/>
                <w:szCs w:val="18"/>
              </w:rPr>
            </w:pPr>
            <w:r w:rsidRPr="003111CA">
              <w:rPr>
                <w:sz w:val="16"/>
                <w:szCs w:val="18"/>
              </w:rPr>
              <w:t>EM</w:t>
            </w:r>
          </w:p>
        </w:tc>
        <w:tc>
          <w:tcPr>
            <w:tcW w:w="3782" w:type="dxa"/>
            <w:vAlign w:val="center"/>
          </w:tcPr>
          <w:p w14:paraId="71301124" w14:textId="77777777" w:rsidR="00B05367" w:rsidRPr="00B05367" w:rsidRDefault="00B05367" w:rsidP="00B05367">
            <w:pPr>
              <w:rPr>
                <w:sz w:val="16"/>
                <w:szCs w:val="18"/>
              </w:rPr>
            </w:pPr>
            <w:r w:rsidRPr="003111CA">
              <w:rPr>
                <w:sz w:val="16"/>
                <w:szCs w:val="18"/>
              </w:rPr>
              <w:t>Communicable generic MCDA structure</w:t>
            </w:r>
          </w:p>
        </w:tc>
        <w:tc>
          <w:tcPr>
            <w:tcW w:w="4385" w:type="dxa"/>
            <w:vAlign w:val="center"/>
          </w:tcPr>
          <w:p w14:paraId="5C0E74D5" w14:textId="77777777" w:rsidR="00B05367" w:rsidRPr="00B05367" w:rsidRDefault="00B05367" w:rsidP="00B05367">
            <w:pPr>
              <w:rPr>
                <w:sz w:val="16"/>
                <w:szCs w:val="18"/>
              </w:rPr>
            </w:pPr>
            <w:r w:rsidRPr="003111CA">
              <w:rPr>
                <w:sz w:val="16"/>
                <w:szCs w:val="18"/>
              </w:rPr>
              <w:t>Limited embedded sustainability content</w:t>
            </w:r>
          </w:p>
        </w:tc>
      </w:tr>
      <w:tr w:rsidR="00B05367" w:rsidRPr="00B05367" w14:paraId="5A398B6E" w14:textId="77777777" w:rsidTr="0094084A">
        <w:trPr>
          <w:trHeight w:val="20"/>
        </w:trPr>
        <w:tc>
          <w:tcPr>
            <w:tcW w:w="846" w:type="dxa"/>
            <w:vAlign w:val="center"/>
          </w:tcPr>
          <w:p w14:paraId="20E40060" w14:textId="77777777" w:rsidR="00B05367" w:rsidRPr="00B05367" w:rsidRDefault="00B05367" w:rsidP="00B05367">
            <w:pPr>
              <w:jc w:val="center"/>
              <w:rPr>
                <w:sz w:val="16"/>
                <w:szCs w:val="18"/>
              </w:rPr>
            </w:pPr>
            <w:r w:rsidRPr="003111CA">
              <w:rPr>
                <w:sz w:val="16"/>
                <w:szCs w:val="18"/>
              </w:rPr>
              <w:t>SELCBF</w:t>
            </w:r>
          </w:p>
        </w:tc>
        <w:tc>
          <w:tcPr>
            <w:tcW w:w="3782" w:type="dxa"/>
            <w:vAlign w:val="center"/>
          </w:tcPr>
          <w:p w14:paraId="65EF3751" w14:textId="77777777" w:rsidR="00B05367" w:rsidRPr="00B05367" w:rsidRDefault="00B05367" w:rsidP="00B05367">
            <w:pPr>
              <w:rPr>
                <w:sz w:val="16"/>
                <w:szCs w:val="18"/>
              </w:rPr>
            </w:pPr>
            <w:r w:rsidRPr="003111CA">
              <w:rPr>
                <w:sz w:val="16"/>
                <w:szCs w:val="18"/>
              </w:rPr>
              <w:t>Explicit socio-economic life-cycle lens</w:t>
            </w:r>
          </w:p>
        </w:tc>
        <w:tc>
          <w:tcPr>
            <w:tcW w:w="4385" w:type="dxa"/>
            <w:vAlign w:val="center"/>
          </w:tcPr>
          <w:p w14:paraId="252A1377" w14:textId="77777777" w:rsidR="00B05367" w:rsidRPr="00B05367" w:rsidRDefault="00B05367" w:rsidP="00B05367">
            <w:pPr>
              <w:rPr>
                <w:sz w:val="16"/>
                <w:szCs w:val="18"/>
              </w:rPr>
            </w:pPr>
            <w:r w:rsidRPr="003111CA">
              <w:rPr>
                <w:sz w:val="16"/>
                <w:szCs w:val="18"/>
              </w:rPr>
              <w:t>Strong dependence on robust external datasets and modules</w:t>
            </w:r>
          </w:p>
        </w:tc>
      </w:tr>
    </w:tbl>
    <w:p w14:paraId="6CA6D493" w14:textId="77777777" w:rsidR="004260E0" w:rsidRDefault="00F30A81">
      <w:pPr>
        <w:pStyle w:val="CETheadingx"/>
      </w:pPr>
      <w:r>
        <w:t>Robustness under stakeholder weighting scenarios</w:t>
      </w:r>
    </w:p>
    <w:p w14:paraId="5735EE88" w14:textId="77777777" w:rsidR="00F03956" w:rsidRDefault="00F30A81" w:rsidP="005F3AFA">
      <w:pPr>
        <w:pStyle w:val="CETBodytext"/>
      </w:pPr>
      <w:r>
        <w:t>The MC exploration adds a robustness dimension that cannot be obtained from a single expert ranking. Instead of asking only which tool scores highest on average, the analysis asks whether that position is maintained when stakeholder priorities change substantially. Under the recalibrated baseline, SSA emerges as the most frequently top-ranked tool, accounting for roughly one third of all simulated weighting profiles, while MPAS shows a very similar behaviour and recurrently occupies first or second position. BAM and CTI remain competitive under a substantial share of scenarios, whereas EM and SELCBF only rarely become the best option</w:t>
      </w:r>
      <w:r w:rsidR="00EE3042">
        <w:t xml:space="preserve"> (Figure 2)</w:t>
      </w:r>
      <w:r>
        <w:t>. This pattern indicates that the leading positions are not random artefacts but remain resilient across a broad preference space.</w:t>
      </w:r>
      <w:r w:rsidR="003111CA">
        <w:t xml:space="preserve"> </w:t>
      </w:r>
    </w:p>
    <w:p w14:paraId="4B0CBD3C" w14:textId="77777777" w:rsidR="00F03956" w:rsidRDefault="00F03956" w:rsidP="005F3AFA">
      <w:pPr>
        <w:pStyle w:val="CETBodytext"/>
      </w:pPr>
    </w:p>
    <w:p w14:paraId="42C47ADE" w14:textId="77777777" w:rsidR="00F03956" w:rsidRDefault="00F03956" w:rsidP="00F03956">
      <w:pPr>
        <w:pStyle w:val="CETBodytext"/>
        <w:jc w:val="center"/>
      </w:pPr>
      <w:r>
        <w:rPr>
          <w:noProof/>
        </w:rPr>
        <w:drawing>
          <wp:inline distT="0" distB="0" distL="0" distR="0" wp14:anchorId="4C58E9FB" wp14:editId="0A1513C9">
            <wp:extent cx="5577310" cy="1061049"/>
            <wp:effectExtent l="0" t="0" r="4445" b="6350"/>
            <wp:docPr id="550979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79390" name="Picture 1"/>
                    <pic:cNvPicPr/>
                  </pic:nvPicPr>
                  <pic:blipFill>
                    <a:blip r:embed="rId9"/>
                    <a:stretch>
                      <a:fillRect/>
                    </a:stretch>
                  </pic:blipFill>
                  <pic:spPr>
                    <a:xfrm>
                      <a:off x="0" y="0"/>
                      <a:ext cx="5836050" cy="1110273"/>
                    </a:xfrm>
                    <a:prstGeom prst="rect">
                      <a:avLst/>
                    </a:prstGeom>
                  </pic:spPr>
                </pic:pic>
              </a:graphicData>
            </a:graphic>
          </wp:inline>
        </w:drawing>
      </w:r>
    </w:p>
    <w:p w14:paraId="06AA68D9" w14:textId="77777777" w:rsidR="00F03956" w:rsidRDefault="00F03956" w:rsidP="00F03956">
      <w:pPr>
        <w:pStyle w:val="CETCaption"/>
      </w:pPr>
      <w:r w:rsidRPr="00EE3042">
        <w:rPr>
          <w:lang w:val="en-US"/>
        </w:rPr>
        <w:t>Figure 2:</w:t>
      </w:r>
      <w:r>
        <w:t xml:space="preserve"> </w:t>
      </w:r>
      <w:r w:rsidRPr="00412B08">
        <w:t>First-place frequencies before and after recalibration in the Monte Carlo analysis.</w:t>
      </w:r>
    </w:p>
    <w:p w14:paraId="52850A46" w14:textId="77777777" w:rsidR="00935BAB" w:rsidRDefault="00F30A81" w:rsidP="005F3AFA">
      <w:pPr>
        <w:pStyle w:val="CETBodytext"/>
      </w:pPr>
      <w:r>
        <w:t>Robustness, however, does not mean universal superiority. The rank distributions show that tools occupy different strategic niches. SSA is favoured when weighting profiles stress Completeness and Reliability, because its questionnaire structure spans many life</w:t>
      </w:r>
      <w:r w:rsidR="00C7319B">
        <w:t xml:space="preserve"> </w:t>
      </w:r>
      <w:r>
        <w:t xml:space="preserve">cycle </w:t>
      </w:r>
      <w:r w:rsidR="00C7319B">
        <w:t xml:space="preserve">stages </w:t>
      </w:r>
      <w:r>
        <w:t xml:space="preserve">and innovation dimensions and performs well as a broad early hotspotting device. MPAS tends to benefit from stronger emphasis on Applicability and Accessibility, reflecting its </w:t>
      </w:r>
      <w:r w:rsidR="00DC1B55">
        <w:t>stepwise selection</w:t>
      </w:r>
      <w:r>
        <w:t xml:space="preserve"> logic, practical workflow and good fit with heterogeneous early-stage evidence. CTI becomes more attractive when circularity-oriented priorities are dominant, BAM when structured decision matrices and externally generated evidence are already available,</w:t>
      </w:r>
      <w:r w:rsidR="00EE3042">
        <w:t xml:space="preserve"> </w:t>
      </w:r>
      <w:r w:rsidR="00EE3042" w:rsidRPr="00EE3042">
        <w:t>EM may instead appeal in contexts where transparency, simplicity and rapid interpretability are valued more than broad assessment coverage</w:t>
      </w:r>
      <w:r w:rsidR="00EE3042">
        <w:t>,</w:t>
      </w:r>
      <w:r>
        <w:t xml:space="preserve"> and SELCBF only in more specific profiles that explicitly reward socio-economic breadth</w:t>
      </w:r>
      <w:r w:rsidR="00EE3042">
        <w:t xml:space="preserve"> (Table 3).</w:t>
      </w:r>
      <w:r w:rsidR="003111CA">
        <w:t xml:space="preserve"> </w:t>
      </w:r>
      <w:r>
        <w:t xml:space="preserve">This interpretation is important for industrial use. A company that needs a broad </w:t>
      </w:r>
      <w:r w:rsidR="00C7319B">
        <w:t>initial</w:t>
      </w:r>
      <w:r>
        <w:t xml:space="preserve"> screening under partial information may legitimately converge towards SSA or MPAS, whereas a company primarily interested in circularity communication or resource-loop analysis may obtain CTI as the most coherent option even if its global average score is lower. Likewise, BAM can become preferable when the user already has external environmental or hazard evidence and needs a transparent </w:t>
      </w:r>
      <w:r w:rsidR="00026DDB">
        <w:t>stepwise selection</w:t>
      </w:r>
      <w:r>
        <w:t xml:space="preserve"> matrix to </w:t>
      </w:r>
      <w:proofErr w:type="spellStart"/>
      <w:r>
        <w:t>organise</w:t>
      </w:r>
      <w:proofErr w:type="spellEnd"/>
      <w:r>
        <w:t xml:space="preserve"> it. In this sense, the robustness analysis does not eliminate plurality; instead, it clarifies which conclusions are stable and which remain conditional on strategic preferences.</w:t>
      </w:r>
      <w:r w:rsidR="003111CA">
        <w:t xml:space="preserve"> </w:t>
      </w:r>
      <w:r>
        <w:t xml:space="preserve">A further methodological insight is that the MC stress test </w:t>
      </w:r>
      <w:r>
        <w:lastRenderedPageBreak/>
        <w:t xml:space="preserve">also validated the recalibration step. In the initial run, some criteria had been interpreted too generously for tools that mainly classify imported evidence, which caused artificial dominance in the </w:t>
      </w:r>
      <w:r w:rsidR="00EE3042">
        <w:t>first-place</w:t>
      </w:r>
      <w:r>
        <w:t xml:space="preserve"> frequencies. After recalibration</w:t>
      </w:r>
      <w:r w:rsidR="00614091">
        <w:t xml:space="preserve"> </w:t>
      </w:r>
      <w:r w:rsidR="00614091" w:rsidRPr="00EE3042">
        <w:t>(Figure 2)</w:t>
      </w:r>
      <w:r w:rsidRPr="00EE3042">
        <w:t>, the ranking</w:t>
      </w:r>
      <w:r>
        <w:t xml:space="preserve"> landscape became more balanced while preserving the separation between the upper and lower tiers. This is a useful signal for future SSbD applications: when semi-quantitative tools are compared, robustness analysis should be used not only to represent stakeholder diversity but also to diagnose score inflation and improve the discriminating power of the framework.</w:t>
      </w:r>
    </w:p>
    <w:p w14:paraId="54E7F72B" w14:textId="77777777" w:rsidR="004260E0" w:rsidRPr="00935BAB" w:rsidRDefault="00F30A81" w:rsidP="00935BAB">
      <w:pPr>
        <w:pStyle w:val="CETTabletitle"/>
      </w:pPr>
      <w:r w:rsidRPr="00935BAB">
        <w:t xml:space="preserve">Table </w:t>
      </w:r>
      <w:r w:rsidR="00EE3042" w:rsidRPr="00935BAB">
        <w:t>3</w:t>
      </w:r>
      <w:r w:rsidRPr="00935BAB">
        <w:t>: Qualitative reading of the stakeholder-weighting profiles associated with the best performance of the main shortlisted tools</w:t>
      </w:r>
      <w:r w:rsidR="00935BAB" w:rsidRPr="00935BAB">
        <w:t>.</w:t>
      </w:r>
    </w:p>
    <w:tbl>
      <w:tblPr>
        <w:tblStyle w:val="TableGrid"/>
        <w:tblW w:w="9013" w:type="dxa"/>
        <w:tblBorders>
          <w:left w:val="none" w:sz="0" w:space="0" w:color="auto"/>
          <w:right w:val="none" w:sz="0" w:space="0" w:color="auto"/>
          <w:insideV w:val="none" w:sz="0" w:space="0" w:color="auto"/>
        </w:tblBorders>
        <w:tblLook w:val="04A0" w:firstRow="1" w:lastRow="0" w:firstColumn="1" w:lastColumn="0" w:noHBand="0" w:noVBand="1"/>
      </w:tblPr>
      <w:tblGrid>
        <w:gridCol w:w="846"/>
        <w:gridCol w:w="3782"/>
        <w:gridCol w:w="4385"/>
      </w:tblGrid>
      <w:tr w:rsidR="004260E0" w:rsidRPr="00B05367" w14:paraId="508A04B3" w14:textId="77777777" w:rsidTr="00B05367">
        <w:trPr>
          <w:trHeight w:val="20"/>
          <w:tblHeader/>
        </w:trPr>
        <w:tc>
          <w:tcPr>
            <w:tcW w:w="846" w:type="dxa"/>
            <w:shd w:val="clear" w:color="auto" w:fill="EEF4E4"/>
            <w:vAlign w:val="center"/>
          </w:tcPr>
          <w:p w14:paraId="6202215C" w14:textId="77777777" w:rsidR="004260E0" w:rsidRPr="00B05367" w:rsidRDefault="00F30A81" w:rsidP="00B05367">
            <w:pPr>
              <w:pStyle w:val="CETBodytext"/>
              <w:jc w:val="center"/>
              <w:rPr>
                <w:b/>
                <w:sz w:val="16"/>
                <w:szCs w:val="18"/>
              </w:rPr>
            </w:pPr>
            <w:r w:rsidRPr="00B05367">
              <w:rPr>
                <w:b/>
                <w:sz w:val="16"/>
                <w:szCs w:val="18"/>
              </w:rPr>
              <w:t>Tool</w:t>
            </w:r>
          </w:p>
        </w:tc>
        <w:tc>
          <w:tcPr>
            <w:tcW w:w="3782" w:type="dxa"/>
            <w:shd w:val="clear" w:color="auto" w:fill="EEF4E4"/>
            <w:vAlign w:val="center"/>
          </w:tcPr>
          <w:p w14:paraId="06C6A01D" w14:textId="77777777" w:rsidR="004260E0" w:rsidRPr="00B05367" w:rsidRDefault="00F30A81" w:rsidP="00B05367">
            <w:pPr>
              <w:pStyle w:val="CETBodytext"/>
              <w:jc w:val="center"/>
              <w:rPr>
                <w:b/>
                <w:sz w:val="16"/>
                <w:szCs w:val="18"/>
              </w:rPr>
            </w:pPr>
            <w:r w:rsidRPr="00B05367">
              <w:rPr>
                <w:b/>
                <w:sz w:val="16"/>
                <w:szCs w:val="18"/>
              </w:rPr>
              <w:t>Weighting profile that tends to favour it</w:t>
            </w:r>
          </w:p>
        </w:tc>
        <w:tc>
          <w:tcPr>
            <w:tcW w:w="4385" w:type="dxa"/>
            <w:shd w:val="clear" w:color="auto" w:fill="EEF4E4"/>
            <w:vAlign w:val="center"/>
          </w:tcPr>
          <w:p w14:paraId="0CF93C46" w14:textId="77777777" w:rsidR="004260E0" w:rsidRPr="00B05367" w:rsidRDefault="00F30A81" w:rsidP="00B05367">
            <w:pPr>
              <w:pStyle w:val="CETBodytext"/>
              <w:jc w:val="center"/>
              <w:rPr>
                <w:b/>
                <w:sz w:val="16"/>
                <w:szCs w:val="18"/>
              </w:rPr>
            </w:pPr>
            <w:r w:rsidRPr="00B05367">
              <w:rPr>
                <w:b/>
                <w:sz w:val="16"/>
                <w:szCs w:val="18"/>
              </w:rPr>
              <w:t>Practical interpretation</w:t>
            </w:r>
          </w:p>
        </w:tc>
      </w:tr>
      <w:tr w:rsidR="004260E0" w:rsidRPr="00B05367" w14:paraId="68149E7A" w14:textId="77777777" w:rsidTr="00B05367">
        <w:trPr>
          <w:trHeight w:val="20"/>
        </w:trPr>
        <w:tc>
          <w:tcPr>
            <w:tcW w:w="846" w:type="dxa"/>
            <w:vAlign w:val="center"/>
          </w:tcPr>
          <w:p w14:paraId="59E31480" w14:textId="77777777" w:rsidR="004260E0" w:rsidRPr="00B05367" w:rsidRDefault="00F30A81" w:rsidP="003111CA">
            <w:pPr>
              <w:jc w:val="center"/>
              <w:rPr>
                <w:sz w:val="16"/>
                <w:szCs w:val="18"/>
              </w:rPr>
            </w:pPr>
            <w:r w:rsidRPr="00B05367">
              <w:rPr>
                <w:sz w:val="16"/>
                <w:szCs w:val="18"/>
              </w:rPr>
              <w:t>SSA</w:t>
            </w:r>
          </w:p>
        </w:tc>
        <w:tc>
          <w:tcPr>
            <w:tcW w:w="3782" w:type="dxa"/>
            <w:vAlign w:val="center"/>
          </w:tcPr>
          <w:p w14:paraId="77966BA8" w14:textId="77777777" w:rsidR="004260E0" w:rsidRPr="00B05367" w:rsidRDefault="00F30A81" w:rsidP="003111CA">
            <w:pPr>
              <w:rPr>
                <w:sz w:val="16"/>
                <w:szCs w:val="18"/>
              </w:rPr>
            </w:pPr>
            <w:r w:rsidRPr="00B05367">
              <w:rPr>
                <w:sz w:val="16"/>
                <w:szCs w:val="18"/>
              </w:rPr>
              <w:t>Higher emphasis on Completeness and Reliability</w:t>
            </w:r>
          </w:p>
        </w:tc>
        <w:tc>
          <w:tcPr>
            <w:tcW w:w="4385" w:type="dxa"/>
            <w:vAlign w:val="center"/>
          </w:tcPr>
          <w:p w14:paraId="60AD0138" w14:textId="1D105966" w:rsidR="004260E0" w:rsidRPr="00B05367" w:rsidRDefault="00F30A81" w:rsidP="003111CA">
            <w:pPr>
              <w:rPr>
                <w:sz w:val="16"/>
                <w:szCs w:val="18"/>
              </w:rPr>
            </w:pPr>
            <w:r w:rsidRPr="00B05367">
              <w:rPr>
                <w:sz w:val="16"/>
                <w:szCs w:val="18"/>
              </w:rPr>
              <w:t>Broad early-screening option when many sustainability dimensions must be scanned at once</w:t>
            </w:r>
          </w:p>
        </w:tc>
      </w:tr>
      <w:tr w:rsidR="004260E0" w:rsidRPr="00B05367" w14:paraId="6C9ECD3F" w14:textId="77777777" w:rsidTr="00B05367">
        <w:trPr>
          <w:trHeight w:val="20"/>
        </w:trPr>
        <w:tc>
          <w:tcPr>
            <w:tcW w:w="846" w:type="dxa"/>
            <w:vAlign w:val="center"/>
          </w:tcPr>
          <w:p w14:paraId="7A10A60D" w14:textId="77777777" w:rsidR="004260E0" w:rsidRPr="00B05367" w:rsidRDefault="00F30A81" w:rsidP="003111CA">
            <w:pPr>
              <w:jc w:val="center"/>
              <w:rPr>
                <w:sz w:val="16"/>
                <w:szCs w:val="18"/>
              </w:rPr>
            </w:pPr>
            <w:r w:rsidRPr="00B05367">
              <w:rPr>
                <w:sz w:val="16"/>
                <w:szCs w:val="18"/>
              </w:rPr>
              <w:t>MPAS</w:t>
            </w:r>
          </w:p>
        </w:tc>
        <w:tc>
          <w:tcPr>
            <w:tcW w:w="3782" w:type="dxa"/>
            <w:vAlign w:val="center"/>
          </w:tcPr>
          <w:p w14:paraId="6BBF4AF7" w14:textId="77777777" w:rsidR="004260E0" w:rsidRPr="00B05367" w:rsidRDefault="00F30A81" w:rsidP="003111CA">
            <w:pPr>
              <w:rPr>
                <w:sz w:val="16"/>
                <w:szCs w:val="18"/>
              </w:rPr>
            </w:pPr>
            <w:r w:rsidRPr="00B05367">
              <w:rPr>
                <w:sz w:val="16"/>
                <w:szCs w:val="18"/>
              </w:rPr>
              <w:t>Higher emphasis on Applicability and Accessibility</w:t>
            </w:r>
          </w:p>
        </w:tc>
        <w:tc>
          <w:tcPr>
            <w:tcW w:w="4385" w:type="dxa"/>
            <w:vAlign w:val="center"/>
          </w:tcPr>
          <w:p w14:paraId="24ABC484" w14:textId="7EAF1046" w:rsidR="004260E0" w:rsidRPr="00B05367" w:rsidRDefault="00F30A81" w:rsidP="003111CA">
            <w:pPr>
              <w:rPr>
                <w:sz w:val="16"/>
                <w:szCs w:val="18"/>
              </w:rPr>
            </w:pPr>
            <w:r w:rsidRPr="00B05367">
              <w:rPr>
                <w:sz w:val="16"/>
                <w:szCs w:val="18"/>
              </w:rPr>
              <w:t xml:space="preserve">Strong fit for </w:t>
            </w:r>
            <w:r w:rsidR="00026DDB" w:rsidRPr="00B05367">
              <w:rPr>
                <w:sz w:val="16"/>
                <w:szCs w:val="18"/>
              </w:rPr>
              <w:t>stepwise</w:t>
            </w:r>
            <w:r w:rsidRPr="00B05367">
              <w:rPr>
                <w:sz w:val="16"/>
                <w:szCs w:val="18"/>
              </w:rPr>
              <w:t xml:space="preserve"> decisions under heterogeneous evidence and practical constraints</w:t>
            </w:r>
          </w:p>
        </w:tc>
      </w:tr>
      <w:tr w:rsidR="004260E0" w:rsidRPr="00B05367" w14:paraId="69459E5C" w14:textId="77777777" w:rsidTr="00B05367">
        <w:trPr>
          <w:trHeight w:val="20"/>
        </w:trPr>
        <w:tc>
          <w:tcPr>
            <w:tcW w:w="846" w:type="dxa"/>
            <w:vAlign w:val="center"/>
          </w:tcPr>
          <w:p w14:paraId="2334ED2A" w14:textId="77777777" w:rsidR="004260E0" w:rsidRPr="00B05367" w:rsidRDefault="00F30A81" w:rsidP="003111CA">
            <w:pPr>
              <w:jc w:val="center"/>
              <w:rPr>
                <w:sz w:val="16"/>
                <w:szCs w:val="18"/>
              </w:rPr>
            </w:pPr>
            <w:r w:rsidRPr="00B05367">
              <w:rPr>
                <w:sz w:val="16"/>
                <w:szCs w:val="18"/>
              </w:rPr>
              <w:t>CTI</w:t>
            </w:r>
          </w:p>
        </w:tc>
        <w:tc>
          <w:tcPr>
            <w:tcW w:w="3782" w:type="dxa"/>
            <w:vAlign w:val="center"/>
          </w:tcPr>
          <w:p w14:paraId="407B20BA" w14:textId="77777777" w:rsidR="004260E0" w:rsidRPr="00B05367" w:rsidRDefault="00F30A81" w:rsidP="003111CA">
            <w:pPr>
              <w:rPr>
                <w:sz w:val="16"/>
                <w:szCs w:val="18"/>
              </w:rPr>
            </w:pPr>
            <w:r w:rsidRPr="00B05367">
              <w:rPr>
                <w:sz w:val="16"/>
                <w:szCs w:val="18"/>
              </w:rPr>
              <w:t>Stronger circularity-oriented priorities</w:t>
            </w:r>
          </w:p>
        </w:tc>
        <w:tc>
          <w:tcPr>
            <w:tcW w:w="4385" w:type="dxa"/>
            <w:vAlign w:val="center"/>
          </w:tcPr>
          <w:p w14:paraId="4EA34973" w14:textId="15412181" w:rsidR="004260E0" w:rsidRPr="00B05367" w:rsidRDefault="00F30A81" w:rsidP="003111CA">
            <w:pPr>
              <w:rPr>
                <w:sz w:val="16"/>
                <w:szCs w:val="18"/>
              </w:rPr>
            </w:pPr>
            <w:r w:rsidRPr="00B05367">
              <w:rPr>
                <w:sz w:val="16"/>
                <w:szCs w:val="18"/>
              </w:rPr>
              <w:t>Useful when resource loops and circular transition questions dominate the decision</w:t>
            </w:r>
          </w:p>
        </w:tc>
      </w:tr>
      <w:tr w:rsidR="004260E0" w:rsidRPr="00B05367" w14:paraId="51872C24" w14:textId="77777777" w:rsidTr="00B05367">
        <w:trPr>
          <w:trHeight w:val="20"/>
        </w:trPr>
        <w:tc>
          <w:tcPr>
            <w:tcW w:w="846" w:type="dxa"/>
            <w:vAlign w:val="center"/>
          </w:tcPr>
          <w:p w14:paraId="2ED92A9B" w14:textId="77777777" w:rsidR="004260E0" w:rsidRPr="00B05367" w:rsidRDefault="00F30A81" w:rsidP="003111CA">
            <w:pPr>
              <w:jc w:val="center"/>
              <w:rPr>
                <w:sz w:val="16"/>
                <w:szCs w:val="18"/>
              </w:rPr>
            </w:pPr>
            <w:r w:rsidRPr="00B05367">
              <w:rPr>
                <w:sz w:val="16"/>
                <w:szCs w:val="18"/>
              </w:rPr>
              <w:t>BAM</w:t>
            </w:r>
          </w:p>
        </w:tc>
        <w:tc>
          <w:tcPr>
            <w:tcW w:w="3782" w:type="dxa"/>
            <w:vAlign w:val="center"/>
          </w:tcPr>
          <w:p w14:paraId="5C444776" w14:textId="77777777" w:rsidR="004260E0" w:rsidRPr="00B05367" w:rsidRDefault="00F30A81" w:rsidP="003111CA">
            <w:pPr>
              <w:rPr>
                <w:sz w:val="16"/>
                <w:szCs w:val="18"/>
              </w:rPr>
            </w:pPr>
            <w:r w:rsidRPr="00B05367">
              <w:rPr>
                <w:sz w:val="16"/>
                <w:szCs w:val="18"/>
              </w:rPr>
              <w:t>Need for transparent staged matrix plus external evidence already available</w:t>
            </w:r>
          </w:p>
        </w:tc>
        <w:tc>
          <w:tcPr>
            <w:tcW w:w="4385" w:type="dxa"/>
            <w:vAlign w:val="center"/>
          </w:tcPr>
          <w:p w14:paraId="42765AD3" w14:textId="633577C8" w:rsidR="004260E0" w:rsidRPr="00B05367" w:rsidRDefault="00F30A81" w:rsidP="003111CA">
            <w:pPr>
              <w:rPr>
                <w:sz w:val="16"/>
                <w:szCs w:val="18"/>
              </w:rPr>
            </w:pPr>
            <w:r w:rsidRPr="00B05367">
              <w:rPr>
                <w:sz w:val="16"/>
                <w:szCs w:val="18"/>
              </w:rPr>
              <w:t>Suitable for structuring externally produced environmental or risk information in a decision matrix</w:t>
            </w:r>
          </w:p>
        </w:tc>
      </w:tr>
      <w:tr w:rsidR="00EE3042" w:rsidRPr="00B05367" w14:paraId="025933B0" w14:textId="77777777" w:rsidTr="00B05367">
        <w:trPr>
          <w:trHeight w:val="20"/>
        </w:trPr>
        <w:tc>
          <w:tcPr>
            <w:tcW w:w="846" w:type="dxa"/>
            <w:vAlign w:val="center"/>
          </w:tcPr>
          <w:p w14:paraId="49B5329A" w14:textId="77777777" w:rsidR="00EE3042" w:rsidRPr="00B05367" w:rsidRDefault="00EE3042" w:rsidP="003111CA">
            <w:pPr>
              <w:jc w:val="center"/>
              <w:rPr>
                <w:sz w:val="16"/>
                <w:szCs w:val="18"/>
              </w:rPr>
            </w:pPr>
            <w:r w:rsidRPr="00B05367">
              <w:rPr>
                <w:sz w:val="16"/>
                <w:szCs w:val="18"/>
              </w:rPr>
              <w:t>EM</w:t>
            </w:r>
          </w:p>
        </w:tc>
        <w:tc>
          <w:tcPr>
            <w:tcW w:w="3782" w:type="dxa"/>
            <w:vAlign w:val="center"/>
          </w:tcPr>
          <w:p w14:paraId="47630966" w14:textId="77777777" w:rsidR="00EE3042" w:rsidRPr="00B05367" w:rsidRDefault="006F6AF4" w:rsidP="003111CA">
            <w:pPr>
              <w:rPr>
                <w:sz w:val="16"/>
                <w:szCs w:val="18"/>
              </w:rPr>
            </w:pPr>
            <w:r w:rsidRPr="00B05367">
              <w:rPr>
                <w:sz w:val="16"/>
                <w:szCs w:val="18"/>
              </w:rPr>
              <w:t>Preference for simplicity and transparency</w:t>
            </w:r>
          </w:p>
        </w:tc>
        <w:tc>
          <w:tcPr>
            <w:tcW w:w="4385" w:type="dxa"/>
            <w:vAlign w:val="center"/>
          </w:tcPr>
          <w:p w14:paraId="3D6C6486" w14:textId="38A313A5" w:rsidR="00EE3042" w:rsidRPr="00B05367" w:rsidRDefault="006F6AF4" w:rsidP="003111CA">
            <w:pPr>
              <w:rPr>
                <w:sz w:val="16"/>
                <w:szCs w:val="18"/>
              </w:rPr>
            </w:pPr>
            <w:r w:rsidRPr="00B05367">
              <w:rPr>
                <w:sz w:val="16"/>
                <w:szCs w:val="18"/>
              </w:rPr>
              <w:t>Useful for quick and easy comparative appraisal</w:t>
            </w:r>
          </w:p>
        </w:tc>
      </w:tr>
      <w:tr w:rsidR="00EE3042" w:rsidRPr="00B05367" w14:paraId="63230584" w14:textId="77777777" w:rsidTr="00B05367">
        <w:trPr>
          <w:trHeight w:val="20"/>
        </w:trPr>
        <w:tc>
          <w:tcPr>
            <w:tcW w:w="846" w:type="dxa"/>
            <w:vAlign w:val="center"/>
          </w:tcPr>
          <w:p w14:paraId="33209399" w14:textId="77777777" w:rsidR="00EE3042" w:rsidRPr="00B05367" w:rsidRDefault="00EE3042" w:rsidP="003111CA">
            <w:pPr>
              <w:jc w:val="center"/>
              <w:rPr>
                <w:sz w:val="16"/>
                <w:szCs w:val="18"/>
              </w:rPr>
            </w:pPr>
            <w:r w:rsidRPr="00B05367">
              <w:rPr>
                <w:sz w:val="16"/>
                <w:szCs w:val="18"/>
              </w:rPr>
              <w:t>SELC</w:t>
            </w:r>
            <w:r w:rsidR="00042ACC" w:rsidRPr="00B05367">
              <w:rPr>
                <w:sz w:val="16"/>
                <w:szCs w:val="18"/>
              </w:rPr>
              <w:t>B</w:t>
            </w:r>
            <w:r w:rsidRPr="00B05367">
              <w:rPr>
                <w:sz w:val="16"/>
                <w:szCs w:val="18"/>
              </w:rPr>
              <w:t>F</w:t>
            </w:r>
          </w:p>
        </w:tc>
        <w:tc>
          <w:tcPr>
            <w:tcW w:w="3782" w:type="dxa"/>
            <w:vAlign w:val="center"/>
          </w:tcPr>
          <w:p w14:paraId="03CB11F4" w14:textId="77777777" w:rsidR="00EE3042" w:rsidRPr="00B05367" w:rsidRDefault="006F6AF4" w:rsidP="003111CA">
            <w:pPr>
              <w:rPr>
                <w:sz w:val="16"/>
                <w:szCs w:val="18"/>
              </w:rPr>
            </w:pPr>
            <w:r w:rsidRPr="00B05367">
              <w:rPr>
                <w:sz w:val="16"/>
                <w:szCs w:val="18"/>
              </w:rPr>
              <w:t>Stronger emphasis on socio-economic aspects</w:t>
            </w:r>
          </w:p>
        </w:tc>
        <w:tc>
          <w:tcPr>
            <w:tcW w:w="4385" w:type="dxa"/>
            <w:vAlign w:val="center"/>
          </w:tcPr>
          <w:p w14:paraId="207C7F0E" w14:textId="77777777" w:rsidR="00EE3042" w:rsidRPr="00B05367" w:rsidRDefault="006F6AF4" w:rsidP="003111CA">
            <w:pPr>
              <w:rPr>
                <w:sz w:val="16"/>
                <w:szCs w:val="18"/>
              </w:rPr>
            </w:pPr>
            <w:r w:rsidRPr="00B05367">
              <w:rPr>
                <w:sz w:val="16"/>
                <w:szCs w:val="18"/>
              </w:rPr>
              <w:t>Useful when socio-economic aspects are included as a complementary perspective</w:t>
            </w:r>
          </w:p>
        </w:tc>
      </w:tr>
    </w:tbl>
    <w:p w14:paraId="51977317" w14:textId="77777777" w:rsidR="004260E0" w:rsidRDefault="00F30A81">
      <w:pPr>
        <w:pStyle w:val="CETheadingx"/>
      </w:pPr>
      <w:r>
        <w:t>Guidance for industrial tool selection</w:t>
      </w:r>
    </w:p>
    <w:p w14:paraId="3A2726E7" w14:textId="77777777" w:rsidR="004260E0" w:rsidRDefault="00F30A81" w:rsidP="005F3AFA">
      <w:pPr>
        <w:pStyle w:val="CETBodytext"/>
      </w:pPr>
      <w:r>
        <w:t xml:space="preserve">The framework becomes operational for industry when the weighting scenarios are interpreted as a map of </w:t>
      </w:r>
      <w:r w:rsidR="00C7319B">
        <w:t>case studies</w:t>
      </w:r>
      <w:r>
        <w:t xml:space="preserve"> rather than as an abstract sensitivity test. In practice, the user first defines the decision context: broad early screening, </w:t>
      </w:r>
      <w:r w:rsidR="00026DDB">
        <w:t>stepwise filtering</w:t>
      </w:r>
      <w:r>
        <w:t>, circularity-oriented redesign, or socio-economic complementarity. The next step is to identify which TRAAC pillars are strategically dominant. For example, a company with scarce data but a need for broad hotspotting will tend to privilege Completeness and basic Reliability, whereas a company focused on deployment constraints may give more importance to Applicability and Accessibility.</w:t>
      </w:r>
    </w:p>
    <w:p w14:paraId="0B0C34D4" w14:textId="77777777" w:rsidR="004260E0" w:rsidRDefault="00F30A81" w:rsidP="005F3AFA">
      <w:pPr>
        <w:pStyle w:val="CETBodytext"/>
      </w:pPr>
      <w:r>
        <w:t xml:space="preserve">In this reading, SSA is particularly attractive when the user needs a rapid, broad and communicable </w:t>
      </w:r>
      <w:r w:rsidR="00C7319B">
        <w:t>initial</w:t>
      </w:r>
      <w:r>
        <w:t xml:space="preserve"> assessment across many sustainability dimensions, accepting that several detailed indicators will still have to be supported by external evidence. MPAS becomes especially useful when the industrial decision is embedded in a </w:t>
      </w:r>
      <w:r w:rsidR="00026DDB">
        <w:t xml:space="preserve">stepwise </w:t>
      </w:r>
      <w:r>
        <w:t xml:space="preserve">or portfolio-selection process and when heterogeneous information must be organised into a practical </w:t>
      </w:r>
      <w:r w:rsidR="00C7319B">
        <w:t>screening</w:t>
      </w:r>
      <w:r>
        <w:t xml:space="preserve"> logic. CTI is a natural candidate when the core objective is to understand circular flows </w:t>
      </w:r>
      <w:proofErr w:type="spellStart"/>
      <w:r>
        <w:t>optimisation</w:t>
      </w:r>
      <w:proofErr w:type="spellEnd"/>
      <w:r>
        <w:t>, while BAM is relevant when the company already has external evidence and wants to structure it in a transparent benefit-oriented matrix.</w:t>
      </w:r>
      <w:r w:rsidR="00EE3042">
        <w:t xml:space="preserve"> </w:t>
      </w:r>
      <w:r w:rsidR="00EE3042" w:rsidRPr="00EE3042">
        <w:t xml:space="preserve">EM may still represent a useful option when the priority is to maintain a simple and transparent evaluation structure, especially in contexts where ease of use and rapid interpretability are valued over broad methodological coverage. Similarly, SELCBF can provide added value when socio-economic aspects are intended as a complementary perspective within the assessment, even if its narrower scope makes it less suitable as a stand-alone method for broad semi-quantitative </w:t>
      </w:r>
      <w:proofErr w:type="spellStart"/>
      <w:r w:rsidR="00EE3042" w:rsidRPr="00EE3042">
        <w:t>SSbD</w:t>
      </w:r>
      <w:proofErr w:type="spellEnd"/>
      <w:r w:rsidR="00EE3042" w:rsidRPr="00EE3042">
        <w:t xml:space="preserve"> screening</w:t>
      </w:r>
      <w:r w:rsidR="00EE3042">
        <w:t xml:space="preserve"> (Table 4).</w:t>
      </w:r>
    </w:p>
    <w:p w14:paraId="6E535260" w14:textId="77777777" w:rsidR="00F03956" w:rsidRDefault="00F03956" w:rsidP="005F3AFA">
      <w:pPr>
        <w:pStyle w:val="CETBodytext"/>
      </w:pPr>
    </w:p>
    <w:p w14:paraId="0D8C10E8" w14:textId="77777777" w:rsidR="00F03956" w:rsidRDefault="00F03956" w:rsidP="00F03956">
      <w:pPr>
        <w:spacing w:after="60"/>
        <w:rPr>
          <w:i/>
        </w:rPr>
      </w:pPr>
      <w:r>
        <w:rPr>
          <w:i/>
        </w:rPr>
        <w:t>Table 4: Practical reading of the framework for industrial tool pre-selection based on decision context and weighting priorities</w:t>
      </w:r>
    </w:p>
    <w:tbl>
      <w:tblPr>
        <w:tblStyle w:val="TableGrid"/>
        <w:tblW w:w="9013" w:type="dxa"/>
        <w:tblBorders>
          <w:left w:val="none" w:sz="0" w:space="0" w:color="auto"/>
          <w:right w:val="none" w:sz="0" w:space="0" w:color="auto"/>
          <w:insideV w:val="none" w:sz="0" w:space="0" w:color="auto"/>
        </w:tblBorders>
        <w:tblLook w:val="04A0" w:firstRow="1" w:lastRow="0" w:firstColumn="1" w:lastColumn="0" w:noHBand="0" w:noVBand="1"/>
      </w:tblPr>
      <w:tblGrid>
        <w:gridCol w:w="3828"/>
        <w:gridCol w:w="2976"/>
        <w:gridCol w:w="2209"/>
      </w:tblGrid>
      <w:tr w:rsidR="00F03956" w:rsidRPr="00B05367" w14:paraId="6978257C" w14:textId="77777777" w:rsidTr="0094084A">
        <w:trPr>
          <w:trHeight w:val="20"/>
          <w:tblHeader/>
        </w:trPr>
        <w:tc>
          <w:tcPr>
            <w:tcW w:w="3828" w:type="dxa"/>
            <w:shd w:val="clear" w:color="auto" w:fill="EEF4E4"/>
            <w:vAlign w:val="center"/>
          </w:tcPr>
          <w:p w14:paraId="51715AA3" w14:textId="77777777" w:rsidR="00F03956" w:rsidRPr="00B05367" w:rsidRDefault="00F03956" w:rsidP="0094084A">
            <w:pPr>
              <w:pStyle w:val="CETBodytext"/>
              <w:jc w:val="center"/>
              <w:rPr>
                <w:b/>
                <w:sz w:val="16"/>
                <w:szCs w:val="18"/>
              </w:rPr>
            </w:pPr>
            <w:r w:rsidRPr="00B05367">
              <w:rPr>
                <w:b/>
                <w:sz w:val="16"/>
                <w:szCs w:val="18"/>
              </w:rPr>
              <w:t>Industrial need or context</w:t>
            </w:r>
          </w:p>
        </w:tc>
        <w:tc>
          <w:tcPr>
            <w:tcW w:w="2976" w:type="dxa"/>
            <w:shd w:val="clear" w:color="auto" w:fill="EEF4E4"/>
            <w:vAlign w:val="center"/>
          </w:tcPr>
          <w:p w14:paraId="04AF0E90" w14:textId="77777777" w:rsidR="00F03956" w:rsidRPr="00B05367" w:rsidRDefault="00F03956" w:rsidP="0094084A">
            <w:pPr>
              <w:pStyle w:val="CETBodytext"/>
              <w:jc w:val="center"/>
              <w:rPr>
                <w:b/>
                <w:sz w:val="16"/>
                <w:szCs w:val="18"/>
              </w:rPr>
            </w:pPr>
            <w:r w:rsidRPr="00B05367">
              <w:rPr>
                <w:b/>
                <w:sz w:val="16"/>
                <w:szCs w:val="18"/>
              </w:rPr>
              <w:t>TRAAC emphasis typically implied</w:t>
            </w:r>
          </w:p>
        </w:tc>
        <w:tc>
          <w:tcPr>
            <w:tcW w:w="2209" w:type="dxa"/>
            <w:shd w:val="clear" w:color="auto" w:fill="EEF4E4"/>
            <w:vAlign w:val="center"/>
          </w:tcPr>
          <w:p w14:paraId="4ACE5AA4" w14:textId="77777777" w:rsidR="00F03956" w:rsidRPr="00B05367" w:rsidRDefault="00F03956" w:rsidP="0094084A">
            <w:pPr>
              <w:pStyle w:val="CETBodytext"/>
              <w:jc w:val="center"/>
              <w:rPr>
                <w:b/>
                <w:sz w:val="16"/>
                <w:szCs w:val="18"/>
              </w:rPr>
            </w:pPr>
            <w:r w:rsidRPr="00B05367">
              <w:rPr>
                <w:b/>
                <w:sz w:val="16"/>
                <w:szCs w:val="18"/>
              </w:rPr>
              <w:t>Tools most likely to fit</w:t>
            </w:r>
          </w:p>
        </w:tc>
      </w:tr>
      <w:tr w:rsidR="00F03956" w:rsidRPr="00B05367" w14:paraId="53CE26F1" w14:textId="77777777" w:rsidTr="0094084A">
        <w:trPr>
          <w:trHeight w:val="20"/>
        </w:trPr>
        <w:tc>
          <w:tcPr>
            <w:tcW w:w="3828" w:type="dxa"/>
            <w:vAlign w:val="center"/>
          </w:tcPr>
          <w:p w14:paraId="4142F311" w14:textId="77777777" w:rsidR="00F03956" w:rsidRPr="00B05367" w:rsidRDefault="00F03956" w:rsidP="003374F0">
            <w:pPr>
              <w:jc w:val="left"/>
              <w:rPr>
                <w:sz w:val="16"/>
                <w:szCs w:val="18"/>
              </w:rPr>
            </w:pPr>
            <w:r w:rsidRPr="00B05367">
              <w:rPr>
                <w:sz w:val="16"/>
                <w:szCs w:val="18"/>
              </w:rPr>
              <w:t>Rapid broad screening under partial information</w:t>
            </w:r>
          </w:p>
        </w:tc>
        <w:tc>
          <w:tcPr>
            <w:tcW w:w="2976" w:type="dxa"/>
            <w:vAlign w:val="center"/>
          </w:tcPr>
          <w:p w14:paraId="4073B808" w14:textId="77777777" w:rsidR="00F03956" w:rsidRPr="00B05367" w:rsidRDefault="00F03956" w:rsidP="0094084A">
            <w:pPr>
              <w:rPr>
                <w:sz w:val="16"/>
                <w:szCs w:val="18"/>
              </w:rPr>
            </w:pPr>
            <w:r w:rsidRPr="00B05367">
              <w:rPr>
                <w:sz w:val="16"/>
                <w:szCs w:val="18"/>
              </w:rPr>
              <w:t>Completeness + basic Reliability</w:t>
            </w:r>
          </w:p>
        </w:tc>
        <w:tc>
          <w:tcPr>
            <w:tcW w:w="2209" w:type="dxa"/>
            <w:vAlign w:val="center"/>
          </w:tcPr>
          <w:p w14:paraId="3267D11D" w14:textId="77777777" w:rsidR="00F03956" w:rsidRPr="00B05367" w:rsidRDefault="00F03956" w:rsidP="003374F0">
            <w:pPr>
              <w:jc w:val="center"/>
              <w:rPr>
                <w:sz w:val="16"/>
                <w:szCs w:val="18"/>
              </w:rPr>
            </w:pPr>
            <w:r w:rsidRPr="00B05367">
              <w:rPr>
                <w:sz w:val="16"/>
                <w:szCs w:val="18"/>
              </w:rPr>
              <w:t>SSA, MPAS</w:t>
            </w:r>
          </w:p>
        </w:tc>
      </w:tr>
      <w:tr w:rsidR="00F03956" w:rsidRPr="00B05367" w14:paraId="33B08458" w14:textId="77777777" w:rsidTr="0094084A">
        <w:trPr>
          <w:trHeight w:val="20"/>
        </w:trPr>
        <w:tc>
          <w:tcPr>
            <w:tcW w:w="3828" w:type="dxa"/>
            <w:vAlign w:val="center"/>
          </w:tcPr>
          <w:p w14:paraId="26B8CA7D" w14:textId="77777777" w:rsidR="00F03956" w:rsidRPr="00B05367" w:rsidRDefault="00F03956" w:rsidP="003374F0">
            <w:pPr>
              <w:jc w:val="left"/>
              <w:rPr>
                <w:sz w:val="16"/>
                <w:szCs w:val="18"/>
              </w:rPr>
            </w:pPr>
            <w:r w:rsidRPr="00B05367">
              <w:rPr>
                <w:sz w:val="16"/>
                <w:szCs w:val="18"/>
              </w:rPr>
              <w:t>Stepwise filtering with heterogeneous evidence</w:t>
            </w:r>
          </w:p>
        </w:tc>
        <w:tc>
          <w:tcPr>
            <w:tcW w:w="2976" w:type="dxa"/>
            <w:vAlign w:val="center"/>
          </w:tcPr>
          <w:p w14:paraId="1A3CD635" w14:textId="77777777" w:rsidR="00F03956" w:rsidRPr="00B05367" w:rsidRDefault="00F03956" w:rsidP="0094084A">
            <w:pPr>
              <w:rPr>
                <w:sz w:val="16"/>
                <w:szCs w:val="18"/>
              </w:rPr>
            </w:pPr>
            <w:r w:rsidRPr="00B05367">
              <w:rPr>
                <w:sz w:val="16"/>
                <w:szCs w:val="18"/>
              </w:rPr>
              <w:t>Applicability + Accessibility</w:t>
            </w:r>
          </w:p>
        </w:tc>
        <w:tc>
          <w:tcPr>
            <w:tcW w:w="2209" w:type="dxa"/>
            <w:vAlign w:val="center"/>
          </w:tcPr>
          <w:p w14:paraId="2AF27CF5" w14:textId="77777777" w:rsidR="00F03956" w:rsidRPr="00B05367" w:rsidRDefault="00F03956" w:rsidP="003374F0">
            <w:pPr>
              <w:jc w:val="center"/>
              <w:rPr>
                <w:sz w:val="16"/>
                <w:szCs w:val="18"/>
              </w:rPr>
            </w:pPr>
            <w:r w:rsidRPr="00B05367">
              <w:rPr>
                <w:sz w:val="16"/>
                <w:szCs w:val="18"/>
              </w:rPr>
              <w:t>MPAS, BAM</w:t>
            </w:r>
          </w:p>
        </w:tc>
      </w:tr>
      <w:tr w:rsidR="00F03956" w:rsidRPr="00B05367" w14:paraId="322C2962" w14:textId="77777777" w:rsidTr="0094084A">
        <w:trPr>
          <w:trHeight w:val="20"/>
        </w:trPr>
        <w:tc>
          <w:tcPr>
            <w:tcW w:w="3828" w:type="dxa"/>
            <w:vAlign w:val="center"/>
          </w:tcPr>
          <w:p w14:paraId="15D1E66F" w14:textId="77777777" w:rsidR="00F03956" w:rsidRPr="00B05367" w:rsidRDefault="00F03956" w:rsidP="003374F0">
            <w:pPr>
              <w:jc w:val="left"/>
              <w:rPr>
                <w:sz w:val="16"/>
                <w:szCs w:val="18"/>
              </w:rPr>
            </w:pPr>
            <w:r w:rsidRPr="00B05367">
              <w:rPr>
                <w:sz w:val="16"/>
                <w:szCs w:val="18"/>
              </w:rPr>
              <w:t>Circularity-focused design or resource-loop optimisation</w:t>
            </w:r>
          </w:p>
        </w:tc>
        <w:tc>
          <w:tcPr>
            <w:tcW w:w="2976" w:type="dxa"/>
            <w:vAlign w:val="center"/>
          </w:tcPr>
          <w:p w14:paraId="3081E839" w14:textId="77777777" w:rsidR="00F03956" w:rsidRPr="00B05367" w:rsidRDefault="00F03956" w:rsidP="0094084A">
            <w:pPr>
              <w:rPr>
                <w:sz w:val="16"/>
                <w:szCs w:val="18"/>
              </w:rPr>
            </w:pPr>
            <w:r w:rsidRPr="00B05367">
              <w:rPr>
                <w:sz w:val="16"/>
                <w:szCs w:val="18"/>
              </w:rPr>
              <w:t>Applicability + circularity-specific evidence</w:t>
            </w:r>
          </w:p>
        </w:tc>
        <w:tc>
          <w:tcPr>
            <w:tcW w:w="2209" w:type="dxa"/>
            <w:vAlign w:val="center"/>
          </w:tcPr>
          <w:p w14:paraId="02B69985" w14:textId="77777777" w:rsidR="00F03956" w:rsidRPr="00B05367" w:rsidRDefault="00F03956" w:rsidP="003374F0">
            <w:pPr>
              <w:jc w:val="center"/>
              <w:rPr>
                <w:sz w:val="16"/>
                <w:szCs w:val="18"/>
              </w:rPr>
            </w:pPr>
            <w:r w:rsidRPr="00B05367">
              <w:rPr>
                <w:sz w:val="16"/>
                <w:szCs w:val="18"/>
              </w:rPr>
              <w:t>CTI</w:t>
            </w:r>
          </w:p>
        </w:tc>
      </w:tr>
      <w:tr w:rsidR="00F03956" w:rsidRPr="00B05367" w14:paraId="43531CD0" w14:textId="77777777" w:rsidTr="0094084A">
        <w:trPr>
          <w:trHeight w:val="20"/>
        </w:trPr>
        <w:tc>
          <w:tcPr>
            <w:tcW w:w="3828" w:type="dxa"/>
            <w:vAlign w:val="center"/>
          </w:tcPr>
          <w:p w14:paraId="633C5291" w14:textId="77777777" w:rsidR="00F03956" w:rsidRPr="00B05367" w:rsidRDefault="00F03956" w:rsidP="003374F0">
            <w:pPr>
              <w:jc w:val="left"/>
              <w:rPr>
                <w:sz w:val="16"/>
                <w:szCs w:val="18"/>
              </w:rPr>
            </w:pPr>
            <w:r w:rsidRPr="00B05367">
              <w:rPr>
                <w:sz w:val="16"/>
                <w:szCs w:val="18"/>
              </w:rPr>
              <w:t>Need to organise external evidence in a transparent matrix</w:t>
            </w:r>
          </w:p>
        </w:tc>
        <w:tc>
          <w:tcPr>
            <w:tcW w:w="2976" w:type="dxa"/>
            <w:vAlign w:val="center"/>
          </w:tcPr>
          <w:p w14:paraId="1C387DD6" w14:textId="77777777" w:rsidR="00F03956" w:rsidRPr="00B05367" w:rsidRDefault="00F03956" w:rsidP="0094084A">
            <w:pPr>
              <w:rPr>
                <w:sz w:val="16"/>
                <w:szCs w:val="18"/>
              </w:rPr>
            </w:pPr>
            <w:r w:rsidRPr="00B05367">
              <w:rPr>
                <w:sz w:val="16"/>
                <w:szCs w:val="18"/>
              </w:rPr>
              <w:t>Transparency + staged decision logic</w:t>
            </w:r>
          </w:p>
        </w:tc>
        <w:tc>
          <w:tcPr>
            <w:tcW w:w="2209" w:type="dxa"/>
            <w:vAlign w:val="center"/>
          </w:tcPr>
          <w:p w14:paraId="3E404991" w14:textId="77777777" w:rsidR="00F03956" w:rsidRPr="00B05367" w:rsidRDefault="00F03956" w:rsidP="003374F0">
            <w:pPr>
              <w:jc w:val="center"/>
              <w:rPr>
                <w:sz w:val="16"/>
                <w:szCs w:val="18"/>
              </w:rPr>
            </w:pPr>
            <w:r w:rsidRPr="00B05367">
              <w:rPr>
                <w:sz w:val="16"/>
                <w:szCs w:val="18"/>
              </w:rPr>
              <w:t>BAM</w:t>
            </w:r>
          </w:p>
        </w:tc>
      </w:tr>
      <w:tr w:rsidR="00F03956" w:rsidRPr="00B05367" w14:paraId="7C9543B2" w14:textId="77777777" w:rsidTr="0094084A">
        <w:trPr>
          <w:trHeight w:val="20"/>
        </w:trPr>
        <w:tc>
          <w:tcPr>
            <w:tcW w:w="3828" w:type="dxa"/>
            <w:vAlign w:val="center"/>
          </w:tcPr>
          <w:p w14:paraId="668528EF" w14:textId="77777777" w:rsidR="00F03956" w:rsidRPr="00B05367" w:rsidRDefault="00F03956" w:rsidP="003374F0">
            <w:pPr>
              <w:jc w:val="left"/>
              <w:rPr>
                <w:sz w:val="16"/>
                <w:szCs w:val="18"/>
              </w:rPr>
            </w:pPr>
            <w:r w:rsidRPr="00B05367">
              <w:rPr>
                <w:sz w:val="16"/>
                <w:szCs w:val="18"/>
              </w:rPr>
              <w:t>Generic communicable matrix for preliminary comparison</w:t>
            </w:r>
          </w:p>
        </w:tc>
        <w:tc>
          <w:tcPr>
            <w:tcW w:w="2976" w:type="dxa"/>
            <w:vAlign w:val="center"/>
          </w:tcPr>
          <w:p w14:paraId="1D803CB5" w14:textId="77777777" w:rsidR="00F03956" w:rsidRPr="00B05367" w:rsidRDefault="00F03956" w:rsidP="0094084A">
            <w:pPr>
              <w:rPr>
                <w:sz w:val="16"/>
                <w:szCs w:val="18"/>
              </w:rPr>
            </w:pPr>
            <w:r w:rsidRPr="00B05367">
              <w:rPr>
                <w:sz w:val="16"/>
                <w:szCs w:val="18"/>
              </w:rPr>
              <w:t>Accessibility + simplicity</w:t>
            </w:r>
          </w:p>
        </w:tc>
        <w:tc>
          <w:tcPr>
            <w:tcW w:w="2209" w:type="dxa"/>
            <w:vAlign w:val="center"/>
          </w:tcPr>
          <w:p w14:paraId="5BA5A419" w14:textId="77777777" w:rsidR="00F03956" w:rsidRPr="00B05367" w:rsidRDefault="00F03956" w:rsidP="003374F0">
            <w:pPr>
              <w:jc w:val="center"/>
              <w:rPr>
                <w:sz w:val="16"/>
                <w:szCs w:val="18"/>
              </w:rPr>
            </w:pPr>
            <w:r w:rsidRPr="00B05367">
              <w:rPr>
                <w:sz w:val="16"/>
                <w:szCs w:val="18"/>
              </w:rPr>
              <w:t>EM</w:t>
            </w:r>
          </w:p>
        </w:tc>
      </w:tr>
      <w:tr w:rsidR="00F03956" w:rsidRPr="00B05367" w14:paraId="6DB0AF8B" w14:textId="77777777" w:rsidTr="0094084A">
        <w:trPr>
          <w:trHeight w:val="20"/>
        </w:trPr>
        <w:tc>
          <w:tcPr>
            <w:tcW w:w="3828" w:type="dxa"/>
            <w:vAlign w:val="center"/>
          </w:tcPr>
          <w:p w14:paraId="05530418" w14:textId="77777777" w:rsidR="00F03956" w:rsidRPr="00B05367" w:rsidRDefault="00F03956" w:rsidP="003374F0">
            <w:pPr>
              <w:jc w:val="left"/>
              <w:rPr>
                <w:sz w:val="16"/>
                <w:szCs w:val="18"/>
              </w:rPr>
            </w:pPr>
            <w:r w:rsidRPr="00B05367">
              <w:rPr>
                <w:sz w:val="16"/>
                <w:szCs w:val="18"/>
              </w:rPr>
              <w:t>Socio-economic complement to wider sustainability screening</w:t>
            </w:r>
          </w:p>
        </w:tc>
        <w:tc>
          <w:tcPr>
            <w:tcW w:w="2976" w:type="dxa"/>
            <w:vAlign w:val="center"/>
          </w:tcPr>
          <w:p w14:paraId="5CD0CCEE" w14:textId="77777777" w:rsidR="00F03956" w:rsidRPr="00B05367" w:rsidRDefault="00F03956" w:rsidP="0094084A">
            <w:pPr>
              <w:rPr>
                <w:sz w:val="16"/>
                <w:szCs w:val="18"/>
              </w:rPr>
            </w:pPr>
            <w:r w:rsidRPr="00B05367">
              <w:rPr>
                <w:sz w:val="16"/>
                <w:szCs w:val="18"/>
              </w:rPr>
              <w:t>Completeness with socio-economic emphasis</w:t>
            </w:r>
          </w:p>
        </w:tc>
        <w:tc>
          <w:tcPr>
            <w:tcW w:w="2209" w:type="dxa"/>
            <w:vAlign w:val="center"/>
          </w:tcPr>
          <w:p w14:paraId="5152B9DA" w14:textId="77777777" w:rsidR="00F03956" w:rsidRPr="00B05367" w:rsidRDefault="00F03956" w:rsidP="003374F0">
            <w:pPr>
              <w:jc w:val="center"/>
              <w:rPr>
                <w:sz w:val="16"/>
                <w:szCs w:val="18"/>
              </w:rPr>
            </w:pPr>
            <w:r w:rsidRPr="00B05367">
              <w:rPr>
                <w:sz w:val="16"/>
                <w:szCs w:val="18"/>
              </w:rPr>
              <w:t>SELCBF (mainly as complementary option)</w:t>
            </w:r>
          </w:p>
        </w:tc>
      </w:tr>
    </w:tbl>
    <w:p w14:paraId="2E4B4F0C" w14:textId="77777777" w:rsidR="00F03956" w:rsidRPr="00F03956" w:rsidRDefault="00F03956" w:rsidP="005F3AFA">
      <w:pPr>
        <w:pStyle w:val="CETBodytext"/>
        <w:rPr>
          <w:lang w:val="en-GB"/>
        </w:rPr>
      </w:pPr>
    </w:p>
    <w:p w14:paraId="1A245A40" w14:textId="77777777" w:rsidR="004260E0" w:rsidRDefault="00F30A81" w:rsidP="005F3AFA">
      <w:pPr>
        <w:pStyle w:val="CETBodytext"/>
      </w:pPr>
      <w:r>
        <w:t xml:space="preserve">The main value of the scenario analysis is therefore not to produce a single winner, but to reduce mismatch between tool choice and decision need. A firm that overemphasises generic completeness may adopt a tool that is difficult to implement; conversely, a firm that focuses only on usability may overlook relevant sustainability dimensions. By linking weighting profiles to tool suitability, the framework encourages an explicit </w:t>
      </w:r>
      <w:r w:rsidR="00C47270">
        <w:t xml:space="preserve">involvement of </w:t>
      </w:r>
      <w:r>
        <w:t>technical teams, sustainability experts and decision-makers before the tool is selected.</w:t>
      </w:r>
    </w:p>
    <w:p w14:paraId="7FA70963" w14:textId="77777777" w:rsidR="004260E0" w:rsidRDefault="00F30A81" w:rsidP="005F3AFA">
      <w:pPr>
        <w:pStyle w:val="CETBodytext"/>
      </w:pPr>
      <w:r>
        <w:lastRenderedPageBreak/>
        <w:t xml:space="preserve">From an implementation viewpoint, the proposed workflow can be translated into a simple industrial selection protocol. First, the company fills in the weighting sheet criterion by criterion. Second, the resulting weighted ranking is inspected together with the pillar profile of the leading tools. Third, the selection is validated qualitatively by checking whether the highest-ranked tool is coherent with the intended </w:t>
      </w:r>
      <w:r w:rsidR="00C47270">
        <w:t>case study</w:t>
      </w:r>
      <w:r>
        <w:t>, internal competencies and available data streams. If the top two tools remain close, both can be retained for a short parallel pilot. This makes the framework conservative enough for industrial use while preserving transparency.</w:t>
      </w:r>
    </w:p>
    <w:p w14:paraId="46200763" w14:textId="77777777" w:rsidR="004260E0" w:rsidRDefault="00F30A81">
      <w:pPr>
        <w:pStyle w:val="CETHeading1"/>
      </w:pPr>
      <w:r>
        <w:t>Conclusions</w:t>
      </w:r>
    </w:p>
    <w:p w14:paraId="55C83482" w14:textId="7B52B0DC" w:rsidR="004260E0" w:rsidRDefault="004F5A5B">
      <w:pPr>
        <w:pStyle w:val="CETBodytext"/>
      </w:pPr>
      <w:r w:rsidRPr="004F5A5B">
        <w:t xml:space="preserve">Overall, the proposed TRAAC-based MCDA framework proved effective in translating a heterogeneous set of semi-quantitative methods into a comparable and auditable expert baseline. Among the assessed tools, MPAS and SSA showed the strongest general-purpose performance, combining high baseline scores (14.97 and 14.94, respectively) with robust </w:t>
      </w:r>
      <w:proofErr w:type="spellStart"/>
      <w:r w:rsidRPr="004F5A5B">
        <w:t>behaviour</w:t>
      </w:r>
      <w:proofErr w:type="spellEnd"/>
      <w:r w:rsidRPr="004F5A5B">
        <w:t xml:space="preserve"> across 100,000 weighting scenarios. Beyond ranking alone, the scenario analysis also showed that tool suitability depends on the decision context: SSA and MPAS are better suited to broad preliminary assessment, MPAS and BAM are more consistent with stepwise implementation pathways, and CTI becomes more relevant when circularity is </w:t>
      </w:r>
      <w:proofErr w:type="spellStart"/>
      <w:r w:rsidRPr="004F5A5B">
        <w:t>prioritised</w:t>
      </w:r>
      <w:proofErr w:type="spellEnd"/>
      <w:r w:rsidRPr="004F5A5B">
        <w:t xml:space="preserve">. These findings support the use of the framework as a transparent basis for semi-quantitative tool selection and for its future integration with more quantitative </w:t>
      </w:r>
      <w:proofErr w:type="spellStart"/>
      <w:r w:rsidRPr="004F5A5B">
        <w:t>SSbD</w:t>
      </w:r>
      <w:proofErr w:type="spellEnd"/>
      <w:r w:rsidRPr="004F5A5B">
        <w:t xml:space="preserve"> components</w:t>
      </w:r>
      <w:r w:rsidR="00F30A81">
        <w:t>.</w:t>
      </w:r>
    </w:p>
    <w:p w14:paraId="7C934D5E" w14:textId="77777777" w:rsidR="004260E0" w:rsidRDefault="00F30A81">
      <w:pPr>
        <w:pStyle w:val="CETHeading1"/>
      </w:pPr>
      <w:r>
        <w:t>Nomenclature</w:t>
      </w:r>
    </w:p>
    <w:p w14:paraId="3A0C0FCD" w14:textId="77777777" w:rsidR="004260E0" w:rsidRDefault="00F30A81">
      <w:pPr>
        <w:pStyle w:val="CETBodytext"/>
      </w:pPr>
      <w:r>
        <w:t>BAM - Benefit Assessment Matrix; CTI - Circular Transition Indicators; EM - Evaluation Matrix; MC - Monte Carlo; MCDA - Multi-Criteria Decision Analysis; MPAS - Multi-Perspective Application Selection; SELCBF - Socio-Economic Life-Cycle-Based Framework; SSA - Screening Sustainability Assessment; SSbD - Safe and Sustainable by Design; TRAAC - Transparency, Reliability, Accessibility, Applicability and Completeness; TRL - Technology Readiness Level.</w:t>
      </w:r>
    </w:p>
    <w:p w14:paraId="7C4BB28F" w14:textId="77777777" w:rsidR="008207E5" w:rsidRDefault="008207E5" w:rsidP="008C4CE8">
      <w:pPr>
        <w:pStyle w:val="CETAcknowledgementstitle"/>
        <w:spacing w:before="0"/>
      </w:pPr>
    </w:p>
    <w:p w14:paraId="781AC213" w14:textId="2E57E07C" w:rsidR="008C4CE8" w:rsidRDefault="008207E5" w:rsidP="008C4CE8">
      <w:pPr>
        <w:pStyle w:val="CETAcknowledgementstitle"/>
        <w:spacing w:before="0"/>
      </w:pPr>
      <w:r>
        <w:t>A</w:t>
      </w:r>
      <w:r w:rsidR="00F30A81">
        <w:t>cknowledgments</w:t>
      </w:r>
    </w:p>
    <w:p w14:paraId="1C7167C1" w14:textId="2891B007" w:rsidR="004260E0" w:rsidRPr="008C4CE8" w:rsidRDefault="00F30A81" w:rsidP="008C4CE8">
      <w:pPr>
        <w:pStyle w:val="CETAcknowledgementstitle"/>
        <w:spacing w:before="0"/>
        <w:rPr>
          <w:b w:val="0"/>
          <w:bCs/>
        </w:rPr>
      </w:pPr>
      <w:r w:rsidRPr="008C4CE8">
        <w:rPr>
          <w:b w:val="0"/>
          <w:bCs/>
        </w:rPr>
        <w:t xml:space="preserve">This work was developed in the framework of the SUNRISE project, funded by the European Union's Horizon Europe research and innovation programme under Grant Agreement No. 101137324. </w:t>
      </w:r>
    </w:p>
    <w:p w14:paraId="45A62377" w14:textId="77777777" w:rsidR="004260E0" w:rsidRPr="00FF0B60" w:rsidRDefault="00F30A81" w:rsidP="00FB71C6">
      <w:pPr>
        <w:pStyle w:val="CETHeading1"/>
      </w:pPr>
      <w:r>
        <w:t>References</w:t>
      </w:r>
    </w:p>
    <w:p w14:paraId="11AB6998" w14:textId="77777777" w:rsidR="004260E0" w:rsidRPr="00A1732A" w:rsidRDefault="00F30A81">
      <w:pPr>
        <w:pStyle w:val="CETReferencetext"/>
      </w:pPr>
      <w:r w:rsidRPr="00A1732A">
        <w:t>European Commission, 2022, Commission Recommendation of 8.12.2022 Establishing a European Assessment Framework for 'Safe and Sustainable by Design' Chemicals and Materials, C(2022) 8854 final.</w:t>
      </w:r>
    </w:p>
    <w:p w14:paraId="77FEAC21" w14:textId="77777777" w:rsidR="004260E0" w:rsidRPr="00A1732A" w:rsidRDefault="00F30A81">
      <w:pPr>
        <w:pStyle w:val="CETReferencetext"/>
      </w:pPr>
      <w:r w:rsidRPr="00A1732A">
        <w:t>Hong, H., Som, C., Nowack, B., 2023, Development of a Benefit Assessment Matrix for Nanomaterials and Nano-enabled Products - Toward Safe and Sustainable by Design, Sustainability, 15, 2321.</w:t>
      </w:r>
    </w:p>
    <w:p w14:paraId="001E6BDF" w14:textId="77777777" w:rsidR="004260E0" w:rsidRDefault="00F30A81">
      <w:pPr>
        <w:pStyle w:val="CETReferencetext"/>
      </w:pPr>
      <w:r w:rsidRPr="00FF0B60">
        <w:t>Menegaldo, M., Giubilato, E., Pizzol, L., Zabeo, A., Badetti, E., Semenzin, E., 2025, Screening Sustainability Assessment of Innovative Bio-based Solutions for Art Restoration within the EC SSbD Framework, Cleaner Environmental Systems, 19, 100381.</w:t>
      </w:r>
    </w:p>
    <w:p w14:paraId="2A1D037C" w14:textId="77777777" w:rsidR="00223974" w:rsidRDefault="00223974">
      <w:pPr>
        <w:pStyle w:val="CETReferencetext"/>
      </w:pPr>
      <w:r w:rsidRPr="00223974">
        <w:t xml:space="preserve">Mio, A., </w:t>
      </w:r>
      <w:proofErr w:type="spellStart"/>
      <w:r w:rsidRPr="00223974">
        <w:t>Limleamthong</w:t>
      </w:r>
      <w:proofErr w:type="spellEnd"/>
      <w:r w:rsidRPr="00223974">
        <w:t xml:space="preserve">, P., Guillén-Gosálbez, G., </w:t>
      </w:r>
      <w:proofErr w:type="spellStart"/>
      <w:r w:rsidRPr="00223974">
        <w:t>Fermeglia</w:t>
      </w:r>
      <w:proofErr w:type="spellEnd"/>
      <w:r w:rsidRPr="00223974">
        <w:t>, M., 2018, Sustainability Evaluation of Alternative Routes for Fine Chemicals Production in an Early Stage of Process Design Adopting Process Simulation along with Data Envelopment Analysis, Industrial &amp; Engineering Chemistry Research, 57, 7946-7960</w:t>
      </w:r>
      <w:r>
        <w:t>.</w:t>
      </w:r>
    </w:p>
    <w:p w14:paraId="361B6BBD" w14:textId="77777777" w:rsidR="004260E0" w:rsidRPr="00FF0B60" w:rsidRDefault="00F30A81">
      <w:pPr>
        <w:pStyle w:val="CETReferencetext"/>
      </w:pPr>
      <w:r w:rsidRPr="00FF0B60">
        <w:t>Piccinno, F., Hischier, R., Saba, A., Mitrano, D., Seeger, S., Som, C., 2016, Multi-Perspective Application Selection: A Method to Identify Sustainable Applications for New Materials Using the Example of Cellulose Nanofiber Reinforced Composites, Journal of Cleaner Production, 112, 1199-1210.</w:t>
      </w:r>
    </w:p>
    <w:p w14:paraId="550102A8" w14:textId="77777777" w:rsidR="004260E0" w:rsidRPr="00FF0B60" w:rsidRDefault="00F30A81">
      <w:pPr>
        <w:pStyle w:val="CETReferencetext"/>
      </w:pPr>
      <w:r w:rsidRPr="00FF0B60">
        <w:t>Shandilya, N., Barreau, M.-S., Suarez-Merino, B., Porcari, A., Pimponi, D., Jensen, K.A., Fransman, W., Franken, R., 2023, TRAAC Framework to Improve Regulatory Acceptance and Wider Usability of Tools and Methods for Safe Innovation and Sustainability of Manufactured Nanomaterials, NanoImpact, 30, 100461.</w:t>
      </w:r>
    </w:p>
    <w:p w14:paraId="22CFCE6F" w14:textId="77777777" w:rsidR="004260E0" w:rsidRPr="00FF0B60" w:rsidRDefault="00F30A81">
      <w:pPr>
        <w:pStyle w:val="CETReferencetext"/>
      </w:pPr>
      <w:r w:rsidRPr="00FF0B60">
        <w:t>Stoycheva, S., Zabeo, A., Pizzol, L., Hristozov, D., 2022, Socio-Economic Life Cycle-Based Framework for Safe and Sustainable Design of Engineered Nanomaterials and Nano-Enabled Products, Sustainability, 14, 5734.</w:t>
      </w:r>
    </w:p>
    <w:p w14:paraId="192F4547" w14:textId="77777777" w:rsidR="004260E0" w:rsidRPr="00FF0B60" w:rsidRDefault="00F30A81">
      <w:pPr>
        <w:pStyle w:val="CETReferencetext"/>
      </w:pPr>
      <w:r w:rsidRPr="00FF0B60">
        <w:t>Sudheshwar, A., Malinverno, N., Hischier, R., Som, C., 2023, Identifying Sustainable Applications for Printed Electronics Using the Multi-Perspective Application Selection Approach, Journal of Cleaner Production, 383, 135532.</w:t>
      </w:r>
    </w:p>
    <w:p w14:paraId="45817D2C" w14:textId="77777777" w:rsidR="000A77E4" w:rsidRPr="00A1732A" w:rsidRDefault="00FF0B60" w:rsidP="00FF0B60">
      <w:pPr>
        <w:pStyle w:val="CETReferencetext"/>
      </w:pPr>
      <w:r w:rsidRPr="00A1732A">
        <w:t>Resen, E.J., Abdulrazzaq, M.S., Abbood, H.Q., 2023, Environmental Impact Assessment for Industrial Organizations Using Rapid Impact Assessment Matrix, Ecological Engineering &amp; Environmental Technology, 24, 94-108.</w:t>
      </w:r>
    </w:p>
    <w:p w14:paraId="13ABECA9" w14:textId="77777777" w:rsidR="004260E0" w:rsidRDefault="00F30A81" w:rsidP="00FF0B60">
      <w:pPr>
        <w:pStyle w:val="CETReferencetext"/>
      </w:pPr>
      <w:r w:rsidRPr="00FF0B60">
        <w:t>WBCSD, 2025, Circular Transition Indicators (CTI), World Business Council for Sustainable Development.</w:t>
      </w:r>
    </w:p>
    <w:sectPr w:rsidR="004260E0"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49F21" w14:textId="77777777" w:rsidR="000475ED" w:rsidRDefault="000475ED" w:rsidP="004F5E36">
      <w:r>
        <w:separator/>
      </w:r>
    </w:p>
  </w:endnote>
  <w:endnote w:type="continuationSeparator" w:id="0">
    <w:p w14:paraId="3A29D8D4" w14:textId="77777777" w:rsidR="000475ED" w:rsidRDefault="000475ED"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6DE18" w14:textId="77777777" w:rsidR="000475ED" w:rsidRDefault="000475ED" w:rsidP="004F5E36">
      <w:r>
        <w:separator/>
      </w:r>
    </w:p>
  </w:footnote>
  <w:footnote w:type="continuationSeparator" w:id="0">
    <w:p w14:paraId="7513D894" w14:textId="77777777" w:rsidR="000475ED" w:rsidRDefault="000475ED"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6DDB"/>
    <w:rsid w:val="0003148D"/>
    <w:rsid w:val="00031EEC"/>
    <w:rsid w:val="000337A2"/>
    <w:rsid w:val="00042ACC"/>
    <w:rsid w:val="000475ED"/>
    <w:rsid w:val="00051566"/>
    <w:rsid w:val="000562A9"/>
    <w:rsid w:val="00062A9A"/>
    <w:rsid w:val="00065058"/>
    <w:rsid w:val="00086C39"/>
    <w:rsid w:val="000A03B2"/>
    <w:rsid w:val="000A77E4"/>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282D"/>
    <w:rsid w:val="001B65C1"/>
    <w:rsid w:val="001C260F"/>
    <w:rsid w:val="001C33F1"/>
    <w:rsid w:val="001C684B"/>
    <w:rsid w:val="001D0CFB"/>
    <w:rsid w:val="001D21AF"/>
    <w:rsid w:val="001D53FC"/>
    <w:rsid w:val="001E0341"/>
    <w:rsid w:val="001F42A5"/>
    <w:rsid w:val="001F7B9D"/>
    <w:rsid w:val="00201C93"/>
    <w:rsid w:val="002224B4"/>
    <w:rsid w:val="00223974"/>
    <w:rsid w:val="002447EF"/>
    <w:rsid w:val="00251550"/>
    <w:rsid w:val="00263B05"/>
    <w:rsid w:val="0027221A"/>
    <w:rsid w:val="00275B61"/>
    <w:rsid w:val="00280FAF"/>
    <w:rsid w:val="00282656"/>
    <w:rsid w:val="00296B83"/>
    <w:rsid w:val="002B4015"/>
    <w:rsid w:val="002B78CE"/>
    <w:rsid w:val="002C2FB6"/>
    <w:rsid w:val="002E5FA7"/>
    <w:rsid w:val="002F00CE"/>
    <w:rsid w:val="002F3309"/>
    <w:rsid w:val="003008CE"/>
    <w:rsid w:val="003009B7"/>
    <w:rsid w:val="00300E56"/>
    <w:rsid w:val="0030152C"/>
    <w:rsid w:val="0030469C"/>
    <w:rsid w:val="003111CA"/>
    <w:rsid w:val="003142BC"/>
    <w:rsid w:val="003202C7"/>
    <w:rsid w:val="00321CA6"/>
    <w:rsid w:val="00323763"/>
    <w:rsid w:val="00323C5F"/>
    <w:rsid w:val="0032438D"/>
    <w:rsid w:val="00334C09"/>
    <w:rsid w:val="003374F0"/>
    <w:rsid w:val="003569D9"/>
    <w:rsid w:val="003723D4"/>
    <w:rsid w:val="00381905"/>
    <w:rsid w:val="00384CC8"/>
    <w:rsid w:val="003871FD"/>
    <w:rsid w:val="003A1E30"/>
    <w:rsid w:val="003A2829"/>
    <w:rsid w:val="003A7D1C"/>
    <w:rsid w:val="003B304B"/>
    <w:rsid w:val="003B3146"/>
    <w:rsid w:val="003D147F"/>
    <w:rsid w:val="003D1E02"/>
    <w:rsid w:val="003F015E"/>
    <w:rsid w:val="003F4829"/>
    <w:rsid w:val="00400414"/>
    <w:rsid w:val="00412B08"/>
    <w:rsid w:val="0041446B"/>
    <w:rsid w:val="004260E0"/>
    <w:rsid w:val="0044071E"/>
    <w:rsid w:val="00443172"/>
    <w:rsid w:val="0044329C"/>
    <w:rsid w:val="00453E24"/>
    <w:rsid w:val="004566ED"/>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A5B"/>
    <w:rsid w:val="004F5E36"/>
    <w:rsid w:val="00507B47"/>
    <w:rsid w:val="00507BEF"/>
    <w:rsid w:val="00507CC9"/>
    <w:rsid w:val="005119A5"/>
    <w:rsid w:val="005278B7"/>
    <w:rsid w:val="00532016"/>
    <w:rsid w:val="005346C8"/>
    <w:rsid w:val="00543E7D"/>
    <w:rsid w:val="005473CD"/>
    <w:rsid w:val="00547A68"/>
    <w:rsid w:val="005531C9"/>
    <w:rsid w:val="00570C43"/>
    <w:rsid w:val="00592274"/>
    <w:rsid w:val="005A4111"/>
    <w:rsid w:val="005A4F6B"/>
    <w:rsid w:val="005B2110"/>
    <w:rsid w:val="005B61E6"/>
    <w:rsid w:val="005C77E1"/>
    <w:rsid w:val="005D668A"/>
    <w:rsid w:val="005D6A2F"/>
    <w:rsid w:val="005E0592"/>
    <w:rsid w:val="005E1A82"/>
    <w:rsid w:val="005E651A"/>
    <w:rsid w:val="005E794C"/>
    <w:rsid w:val="005F0A28"/>
    <w:rsid w:val="005F0E5E"/>
    <w:rsid w:val="005F3AFA"/>
    <w:rsid w:val="00600535"/>
    <w:rsid w:val="00610CD6"/>
    <w:rsid w:val="00614091"/>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11C"/>
    <w:rsid w:val="006C5579"/>
    <w:rsid w:val="006D6E8B"/>
    <w:rsid w:val="006D7209"/>
    <w:rsid w:val="006E0133"/>
    <w:rsid w:val="006E737D"/>
    <w:rsid w:val="006F6AF4"/>
    <w:rsid w:val="00707DD1"/>
    <w:rsid w:val="00713973"/>
    <w:rsid w:val="00720A24"/>
    <w:rsid w:val="0072384C"/>
    <w:rsid w:val="00732386"/>
    <w:rsid w:val="0073514D"/>
    <w:rsid w:val="007447F3"/>
    <w:rsid w:val="0075499F"/>
    <w:rsid w:val="007617CC"/>
    <w:rsid w:val="00765DF0"/>
    <w:rsid w:val="007661C8"/>
    <w:rsid w:val="0077098D"/>
    <w:rsid w:val="00785BF9"/>
    <w:rsid w:val="007931FA"/>
    <w:rsid w:val="007A4861"/>
    <w:rsid w:val="007A7BBA"/>
    <w:rsid w:val="007B0C50"/>
    <w:rsid w:val="007B402C"/>
    <w:rsid w:val="007B48F9"/>
    <w:rsid w:val="007C1A43"/>
    <w:rsid w:val="007D0951"/>
    <w:rsid w:val="007D6514"/>
    <w:rsid w:val="007F0852"/>
    <w:rsid w:val="007F27C8"/>
    <w:rsid w:val="007F3C5D"/>
    <w:rsid w:val="0080013E"/>
    <w:rsid w:val="00813288"/>
    <w:rsid w:val="008168FC"/>
    <w:rsid w:val="008207E5"/>
    <w:rsid w:val="00830996"/>
    <w:rsid w:val="008314D7"/>
    <w:rsid w:val="008345F1"/>
    <w:rsid w:val="00865B07"/>
    <w:rsid w:val="008667EA"/>
    <w:rsid w:val="0087637F"/>
    <w:rsid w:val="00892AD5"/>
    <w:rsid w:val="008A1512"/>
    <w:rsid w:val="008C1B04"/>
    <w:rsid w:val="008C4CE8"/>
    <w:rsid w:val="008D32B9"/>
    <w:rsid w:val="008D433B"/>
    <w:rsid w:val="008D4A16"/>
    <w:rsid w:val="008E209A"/>
    <w:rsid w:val="008E45BC"/>
    <w:rsid w:val="008E566E"/>
    <w:rsid w:val="0090161A"/>
    <w:rsid w:val="00901EB6"/>
    <w:rsid w:val="009041F8"/>
    <w:rsid w:val="00904C62"/>
    <w:rsid w:val="00922BA8"/>
    <w:rsid w:val="00924DAC"/>
    <w:rsid w:val="00927058"/>
    <w:rsid w:val="00935BAB"/>
    <w:rsid w:val="00942750"/>
    <w:rsid w:val="009450CE"/>
    <w:rsid w:val="009459BB"/>
    <w:rsid w:val="00947179"/>
    <w:rsid w:val="00951307"/>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32A"/>
    <w:rsid w:val="00A1763D"/>
    <w:rsid w:val="00A17CEC"/>
    <w:rsid w:val="00A26CBB"/>
    <w:rsid w:val="00A27EF0"/>
    <w:rsid w:val="00A33E77"/>
    <w:rsid w:val="00A42361"/>
    <w:rsid w:val="00A50B20"/>
    <w:rsid w:val="00A51390"/>
    <w:rsid w:val="00A60D13"/>
    <w:rsid w:val="00A6221A"/>
    <w:rsid w:val="00A7223D"/>
    <w:rsid w:val="00A72745"/>
    <w:rsid w:val="00A76EFC"/>
    <w:rsid w:val="00A87D50"/>
    <w:rsid w:val="00A91010"/>
    <w:rsid w:val="00A97F29"/>
    <w:rsid w:val="00AA702E"/>
    <w:rsid w:val="00AA7D26"/>
    <w:rsid w:val="00AB0964"/>
    <w:rsid w:val="00AB3BA8"/>
    <w:rsid w:val="00AB5011"/>
    <w:rsid w:val="00AC680C"/>
    <w:rsid w:val="00AC7368"/>
    <w:rsid w:val="00AD0278"/>
    <w:rsid w:val="00AD16B9"/>
    <w:rsid w:val="00AE377D"/>
    <w:rsid w:val="00AF0EBA"/>
    <w:rsid w:val="00B02C8A"/>
    <w:rsid w:val="00B05367"/>
    <w:rsid w:val="00B17FBD"/>
    <w:rsid w:val="00B315A6"/>
    <w:rsid w:val="00B31813"/>
    <w:rsid w:val="00B33365"/>
    <w:rsid w:val="00B57B36"/>
    <w:rsid w:val="00B57E6F"/>
    <w:rsid w:val="00B802BA"/>
    <w:rsid w:val="00B837D9"/>
    <w:rsid w:val="00B8686D"/>
    <w:rsid w:val="00B93F69"/>
    <w:rsid w:val="00BB1DDC"/>
    <w:rsid w:val="00BC30C9"/>
    <w:rsid w:val="00BD077D"/>
    <w:rsid w:val="00BE3E58"/>
    <w:rsid w:val="00C01616"/>
    <w:rsid w:val="00C0162B"/>
    <w:rsid w:val="00C065DD"/>
    <w:rsid w:val="00C068ED"/>
    <w:rsid w:val="00C208E9"/>
    <w:rsid w:val="00C22E0C"/>
    <w:rsid w:val="00C345B1"/>
    <w:rsid w:val="00C40142"/>
    <w:rsid w:val="00C47270"/>
    <w:rsid w:val="00C52C3C"/>
    <w:rsid w:val="00C57182"/>
    <w:rsid w:val="00C57863"/>
    <w:rsid w:val="00C640AF"/>
    <w:rsid w:val="00C655FD"/>
    <w:rsid w:val="00C73136"/>
    <w:rsid w:val="00C7319B"/>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20F7"/>
    <w:rsid w:val="00D836C5"/>
    <w:rsid w:val="00D84576"/>
    <w:rsid w:val="00DA1399"/>
    <w:rsid w:val="00DA24C6"/>
    <w:rsid w:val="00DA4D7B"/>
    <w:rsid w:val="00DC1B55"/>
    <w:rsid w:val="00DD271C"/>
    <w:rsid w:val="00DE264A"/>
    <w:rsid w:val="00DE5445"/>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E3042"/>
    <w:rsid w:val="00EF06D9"/>
    <w:rsid w:val="00EF0982"/>
    <w:rsid w:val="00F03956"/>
    <w:rsid w:val="00F126A5"/>
    <w:rsid w:val="00F262E2"/>
    <w:rsid w:val="00F3049E"/>
    <w:rsid w:val="00F30A81"/>
    <w:rsid w:val="00F30C64"/>
    <w:rsid w:val="00F32BA2"/>
    <w:rsid w:val="00F32CDB"/>
    <w:rsid w:val="00F3348F"/>
    <w:rsid w:val="00F37280"/>
    <w:rsid w:val="00F41EE4"/>
    <w:rsid w:val="00F50434"/>
    <w:rsid w:val="00F565FE"/>
    <w:rsid w:val="00F63A70"/>
    <w:rsid w:val="00F63D8C"/>
    <w:rsid w:val="00F7534E"/>
    <w:rsid w:val="00F93EDF"/>
    <w:rsid w:val="00FA1802"/>
    <w:rsid w:val="00FA21D0"/>
    <w:rsid w:val="00FA4D57"/>
    <w:rsid w:val="00FA5F5F"/>
    <w:rsid w:val="00FB71C6"/>
    <w:rsid w:val="00FB730C"/>
    <w:rsid w:val="00FC2695"/>
    <w:rsid w:val="00FC3E03"/>
    <w:rsid w:val="00FC3FC1"/>
    <w:rsid w:val="00FF0B6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249A39"/>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paragraph" w:styleId="Revision">
    <w:name w:val="Revision"/>
    <w:hidden/>
    <w:uiPriority w:val="99"/>
    <w:semiHidden/>
    <w:rsid w:val="00F50434"/>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6</Pages>
  <Words>4115</Words>
  <Characters>23459</Characters>
  <Application>Microsoft Office Word</Application>
  <DocSecurity>0</DocSecurity>
  <Lines>195</Lines>
  <Paragraphs>55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27519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LAURINI ERIK</cp:lastModifiedBy>
  <cp:revision>19</cp:revision>
  <cp:lastPrinted>2015-05-12T18:31:00Z</cp:lastPrinted>
  <dcterms:created xsi:type="dcterms:W3CDTF">2026-04-29T12:59:00Z</dcterms:created>
  <dcterms:modified xsi:type="dcterms:W3CDTF">2026-07-10T12:44:00Z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