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782FDD">
        <w:trPr>
          <w:trHeight w:val="852"/>
          <w:jc w:val="center"/>
        </w:trPr>
        <w:tc>
          <w:tcPr>
            <w:tcW w:w="6940" w:type="dxa"/>
            <w:vMerge w:val="restart"/>
            <w:tcBorders>
              <w:right w:val="single" w:sz="4" w:space="0" w:color="auto"/>
            </w:tcBorders>
          </w:tcPr>
          <w:p w14:paraId="38C3D2BA" w14:textId="7CD5168D"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782FDD">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782FDD">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29A78FE" w14:textId="52E92B91" w:rsidR="00782FDD" w:rsidRPr="00782FDD" w:rsidRDefault="00823BEC" w:rsidP="00782FDD">
      <w:pPr>
        <w:pStyle w:val="CETTitle"/>
        <w:rPr>
          <w:lang w:val="en-US"/>
        </w:rPr>
      </w:pPr>
      <w:r w:rsidRPr="00782FDD">
        <w:rPr>
          <w:lang w:val="en-US"/>
        </w:rPr>
        <w:t xml:space="preserve">Synthesis </w:t>
      </w:r>
      <w:r>
        <w:rPr>
          <w:lang w:val="en-US"/>
        </w:rPr>
        <w:t>o</w:t>
      </w:r>
      <w:r w:rsidRPr="00782FDD">
        <w:rPr>
          <w:lang w:val="en-US"/>
        </w:rPr>
        <w:t xml:space="preserve">f Acrylic Acid </w:t>
      </w:r>
      <w:r>
        <w:rPr>
          <w:lang w:val="en-US"/>
        </w:rPr>
        <w:t>a</w:t>
      </w:r>
      <w:r w:rsidRPr="00782FDD">
        <w:rPr>
          <w:lang w:val="en-US"/>
        </w:rPr>
        <w:t>nd Monoammoniu</w:t>
      </w:r>
      <w:r>
        <w:rPr>
          <w:lang w:val="en-US"/>
        </w:rPr>
        <w:t xml:space="preserve">m </w:t>
      </w:r>
      <w:r w:rsidR="00AA6D2D">
        <w:rPr>
          <w:lang w:val="en-US"/>
        </w:rPr>
        <w:t>Phosphate</w:t>
      </w:r>
      <w:r w:rsidRPr="00782FDD">
        <w:rPr>
          <w:lang w:val="en-US"/>
        </w:rPr>
        <w:t xml:space="preserve"> Derivatives </w:t>
      </w:r>
      <w:r>
        <w:rPr>
          <w:lang w:val="en-US"/>
        </w:rPr>
        <w:t>a</w:t>
      </w:r>
      <w:r w:rsidRPr="00782FDD">
        <w:rPr>
          <w:lang w:val="en-US"/>
        </w:rPr>
        <w:t xml:space="preserve">nd Their Application </w:t>
      </w:r>
      <w:r>
        <w:rPr>
          <w:lang w:val="en-US"/>
        </w:rPr>
        <w:t>i</w:t>
      </w:r>
      <w:r w:rsidRPr="00782FDD">
        <w:rPr>
          <w:lang w:val="en-US"/>
        </w:rPr>
        <w:t xml:space="preserve">n Modification </w:t>
      </w:r>
      <w:r>
        <w:rPr>
          <w:lang w:val="en-US"/>
        </w:rPr>
        <w:t>o</w:t>
      </w:r>
      <w:r w:rsidRPr="00782FDD">
        <w:rPr>
          <w:lang w:val="en-US"/>
        </w:rPr>
        <w:t>f Polyolefins</w:t>
      </w:r>
    </w:p>
    <w:p w14:paraId="0488FED2" w14:textId="000C4145" w:rsidR="00B57E6F" w:rsidRPr="00B57B36" w:rsidRDefault="00782FDD" w:rsidP="00B57E6F">
      <w:pPr>
        <w:pStyle w:val="CETAuthors"/>
      </w:pPr>
      <w:r>
        <w:t>Sunnatilla Erkinovich Abdurazakov</w:t>
      </w:r>
      <w:r>
        <w:rPr>
          <w:vertAlign w:val="superscript"/>
        </w:rPr>
        <w:t>a</w:t>
      </w:r>
      <w:r w:rsidRPr="00B57B36">
        <w:rPr>
          <w:vertAlign w:val="superscript"/>
        </w:rPr>
        <w:t>,</w:t>
      </w:r>
      <w:r w:rsidRPr="00B57B36">
        <w:t>*,</w:t>
      </w:r>
      <w:r>
        <w:t xml:space="preserve"> Aytura Sitdi</w:t>
      </w:r>
      <w:r w:rsidR="0000537F">
        <w:t>k</w:t>
      </w:r>
      <w:r>
        <w:t>ovna Maksumova</w:t>
      </w:r>
      <w:r>
        <w:rPr>
          <w:vertAlign w:val="superscript"/>
        </w:rPr>
        <w:t>a</w:t>
      </w:r>
      <w:r w:rsidRPr="00B57B36">
        <w:t xml:space="preserve">, </w:t>
      </w:r>
      <w:r>
        <w:t>Erkin Rustamovich Toraev</w:t>
      </w:r>
      <w:r w:rsidRPr="00B57B36">
        <w:rPr>
          <w:vertAlign w:val="superscript"/>
        </w:rPr>
        <w:t>b</w:t>
      </w:r>
      <w:r w:rsidRPr="00B57B36">
        <w:t xml:space="preserve"> </w:t>
      </w:r>
      <w:r w:rsidR="00B57E6F" w:rsidRPr="00B57B36">
        <w:t xml:space="preserve"> </w:t>
      </w:r>
    </w:p>
    <w:p w14:paraId="6B2D21B3" w14:textId="4ADDD336" w:rsidR="00B57E6F" w:rsidRPr="00EF277F" w:rsidRDefault="00B57E6F" w:rsidP="00B57E6F">
      <w:pPr>
        <w:pStyle w:val="CETAddress"/>
      </w:pPr>
      <w:r w:rsidRPr="00EF277F">
        <w:rPr>
          <w:vertAlign w:val="superscript"/>
        </w:rPr>
        <w:t>a</w:t>
      </w:r>
      <w:r w:rsidR="00EF277F" w:rsidRPr="00EF277F">
        <w:t>Department of Organic Synthesis Technology</w:t>
      </w:r>
      <w:r w:rsidR="00EF277F">
        <w:t xml:space="preserve">, </w:t>
      </w:r>
      <w:r w:rsidR="00EF277F" w:rsidRPr="00EF277F">
        <w:rPr>
          <w:rFonts w:cs="Arial"/>
          <w:color w:val="000000"/>
          <w:shd w:val="clear" w:color="auto" w:fill="FFFFFF"/>
        </w:rPr>
        <w:t>The Tashkent Institute of Chemical Technology</w:t>
      </w:r>
      <w:r w:rsidR="00EF277F">
        <w:rPr>
          <w:rFonts w:cs="Arial"/>
          <w:color w:val="000000"/>
          <w:shd w:val="clear" w:color="auto" w:fill="FFFFFF"/>
        </w:rPr>
        <w:t>, Tashkent, Uzbekistan</w:t>
      </w:r>
    </w:p>
    <w:p w14:paraId="65DC3228" w14:textId="5FBB4610" w:rsidR="00A14F32" w:rsidRPr="00A14F32" w:rsidRDefault="00B57E6F" w:rsidP="00A14F32">
      <w:pPr>
        <w:pStyle w:val="CETAddress"/>
        <w:rPr>
          <w:lang w:val="en-US"/>
        </w:rPr>
      </w:pPr>
      <w:r w:rsidRPr="00B57B36">
        <w:rPr>
          <w:vertAlign w:val="superscript"/>
        </w:rPr>
        <w:t>b</w:t>
      </w:r>
      <w:r w:rsidR="00A14F32">
        <w:t>Laboratory of Basic Organic Synthesis Technology,</w:t>
      </w:r>
      <w:r w:rsidRPr="00B57B36">
        <w:t xml:space="preserve"> </w:t>
      </w:r>
      <w:hyperlink r:id="rId10" w:tooltip="Tashkent Research Institute of Chemical Technology (TRIICT)" w:history="1">
        <w:r w:rsidR="00A14F32" w:rsidRPr="00A14F32">
          <w:rPr>
            <w:rStyle w:val="afffc"/>
            <w:color w:val="auto"/>
            <w:u w:val="none"/>
            <w:lang w:val="en-US"/>
          </w:rPr>
          <w:t>Tashkent Research Institute of Chemical Technology</w:t>
        </w:r>
      </w:hyperlink>
      <w:r w:rsidR="00A14F32">
        <w:t>,</w:t>
      </w:r>
      <w:r w:rsidR="00A14F32" w:rsidRPr="00A14F32">
        <w:rPr>
          <w:rFonts w:ascii="Helvetica" w:hAnsi="Helvetica"/>
          <w:color w:val="333333"/>
          <w:shd w:val="clear" w:color="auto" w:fill="FFFFFF"/>
        </w:rPr>
        <w:t xml:space="preserve"> </w:t>
      </w:r>
      <w:r w:rsidR="00A14F32">
        <w:rPr>
          <w:rFonts w:ascii="Helvetica" w:hAnsi="Helvetica"/>
          <w:color w:val="333333"/>
          <w:shd w:val="clear" w:color="auto" w:fill="FFFFFF"/>
        </w:rPr>
        <w:t>Tashkent region, Uzbekistan</w:t>
      </w:r>
    </w:p>
    <w:p w14:paraId="73F1267A" w14:textId="3AF39690" w:rsidR="00B57E6F" w:rsidRPr="00EE3523" w:rsidRDefault="002004CF" w:rsidP="00B57E6F">
      <w:pPr>
        <w:pStyle w:val="CETemail"/>
        <w:rPr>
          <w:color w:val="FF0000"/>
        </w:rPr>
      </w:pPr>
      <w:r w:rsidRPr="002004CF">
        <w:t>sunnatillaerkinovich@gmail.com</w:t>
      </w:r>
    </w:p>
    <w:p w14:paraId="5E4D2D00" w14:textId="7347F92D" w:rsidR="006A735D" w:rsidRPr="00F079AA" w:rsidRDefault="006A735D" w:rsidP="00585AC9">
      <w:pPr>
        <w:pStyle w:val="CETBodytext"/>
        <w:rPr>
          <w:lang w:val="uz-Cyrl-UZ"/>
        </w:rPr>
      </w:pPr>
      <w:r w:rsidRPr="00F079AA">
        <w:rPr>
          <w:lang w:eastAsia="ru-RU"/>
        </w:rPr>
        <w:t>The demand for environmentally friendly flame retardants is increasing</w:t>
      </w:r>
      <w:r w:rsidR="00151507">
        <w:rPr>
          <w:lang w:eastAsia="ru-RU"/>
        </w:rPr>
        <w:t xml:space="preserve"> because</w:t>
      </w:r>
      <w:r w:rsidRPr="00F079AA">
        <w:rPr>
          <w:lang w:eastAsia="ru-RU"/>
        </w:rPr>
        <w:t xml:space="preserve"> halogenated flame retardants are harmful to the environment and cause </w:t>
      </w:r>
      <w:r w:rsidR="00D8243D">
        <w:rPr>
          <w:lang w:eastAsia="ru-RU"/>
        </w:rPr>
        <w:t>the production of</w:t>
      </w:r>
      <w:r w:rsidRPr="00F079AA">
        <w:rPr>
          <w:lang w:eastAsia="ru-RU"/>
        </w:rPr>
        <w:t xml:space="preserve"> toxic gases. Increasing environmental requirements and fire safety standards </w:t>
      </w:r>
      <w:r w:rsidR="00D85EE2">
        <w:rPr>
          <w:lang w:eastAsia="ru-RU"/>
        </w:rPr>
        <w:t>necessitate replacing</w:t>
      </w:r>
      <w:r>
        <w:rPr>
          <w:lang w:eastAsia="ru-RU"/>
        </w:rPr>
        <w:t xml:space="preserve"> </w:t>
      </w:r>
      <w:r w:rsidRPr="00F079AA">
        <w:rPr>
          <w:lang w:eastAsia="ru-RU"/>
        </w:rPr>
        <w:t>halogenated flame-retardants with halogen-free flame-retardants. Therefore, the development of halogen-free flame-retardant</w:t>
      </w:r>
      <w:r w:rsidR="006D2F49" w:rsidRPr="006D2F49">
        <w:rPr>
          <w:lang w:eastAsia="ru-RU"/>
        </w:rPr>
        <w:t xml:space="preserve"> (</w:t>
      </w:r>
      <w:r w:rsidR="006D2F49">
        <w:rPr>
          <w:lang w:eastAsia="ru-RU"/>
        </w:rPr>
        <w:t>FR</w:t>
      </w:r>
      <w:r w:rsidR="006D2F49" w:rsidRPr="006D2F49">
        <w:rPr>
          <w:lang w:eastAsia="ru-RU"/>
        </w:rPr>
        <w:t>)</w:t>
      </w:r>
      <w:r w:rsidRPr="00F079AA">
        <w:rPr>
          <w:lang w:eastAsia="ru-RU"/>
        </w:rPr>
        <w:t xml:space="preserve"> systems for polyolefin materials such as polypropylene (PP) and polyethylene (PE) is urgent. Improving fire resistance while maintaining mechanical properties is a complex task. Phosphorus compounds, in combination with organic modifiers, are promising in solving this problem. In particular, monoammonium phosphate modified with acrylic acid can improve compatibility with the polymer and increase its mechanical properties.</w:t>
      </w:r>
      <w:r>
        <w:rPr>
          <w:lang w:eastAsia="ru-RU"/>
        </w:rPr>
        <w:t xml:space="preserve"> </w:t>
      </w:r>
      <w:r w:rsidRPr="00F079AA">
        <w:rPr>
          <w:lang w:eastAsia="ru-RU"/>
        </w:rPr>
        <w:t xml:space="preserve">In this </w:t>
      </w:r>
      <w:r>
        <w:rPr>
          <w:lang w:eastAsia="ru-RU"/>
        </w:rPr>
        <w:t>study</w:t>
      </w:r>
      <w:r w:rsidRPr="00F079AA">
        <w:rPr>
          <w:lang w:eastAsia="ru-RU"/>
        </w:rPr>
        <w:t>, a new halogen-free flame retardant was synthesized based on acrylic acid and monoammonium phosphate. The synthesis was carried out through condensation and neutralization reactions.</w:t>
      </w:r>
      <w:r>
        <w:rPr>
          <w:lang w:eastAsia="ru-RU"/>
        </w:rPr>
        <w:t xml:space="preserve"> </w:t>
      </w:r>
      <w:r w:rsidRPr="00F079AA">
        <w:rPr>
          <w:lang w:val="uz-Cyrl-UZ"/>
        </w:rPr>
        <w:t xml:space="preserve">The results showed that in </w:t>
      </w:r>
      <w:r w:rsidRPr="00F079AA">
        <w:rPr>
          <w:lang w:eastAsia="ru-RU"/>
        </w:rPr>
        <w:t>the FTIR spectrum of the synthesized product</w:t>
      </w:r>
      <w:r w:rsidRPr="00F079AA">
        <w:rPr>
          <w:lang w:val="uz-Cyrl-UZ"/>
        </w:rPr>
        <w:t xml:space="preserve">, the absorption line characteristic of the valence vibrations of the -C=C-COOR </w:t>
      </w:r>
      <w:r w:rsidRPr="00F079AA">
        <w:rPr>
          <w:lang w:eastAsia="ru-RU"/>
        </w:rPr>
        <w:t>functional group</w:t>
      </w:r>
      <w:r w:rsidRPr="00F079AA">
        <w:rPr>
          <w:lang w:val="uz-Cyrl-UZ"/>
        </w:rPr>
        <w:t xml:space="preserve"> </w:t>
      </w:r>
      <w:r>
        <w:rPr>
          <w:lang w:val="uz-Cyrl-UZ"/>
        </w:rPr>
        <w:t>was</w:t>
      </w:r>
      <w:r w:rsidRPr="00F079AA">
        <w:rPr>
          <w:lang w:val="uz-Cyrl-UZ"/>
        </w:rPr>
        <w:t xml:space="preserve"> observed at </w:t>
      </w:r>
      <w:r w:rsidRPr="00F079AA">
        <w:t xml:space="preserve">1722,51 </w:t>
      </w:r>
      <w:r w:rsidRPr="00F079AA">
        <w:rPr>
          <w:lang w:val="uz-Cyrl-UZ"/>
        </w:rPr>
        <w:t>cm-1.</w:t>
      </w:r>
      <w:r>
        <w:t xml:space="preserve"> </w:t>
      </w:r>
      <w:r w:rsidRPr="00F079AA">
        <w:rPr>
          <w:lang w:eastAsia="ru-RU"/>
        </w:rPr>
        <w:t xml:space="preserve">Overall, the addition of the synthesized flame retardant significantly improved the mechanical performance of the composites, with tensile strength increasing by 5–12% and elongation at break improving by 20–50%. </w:t>
      </w:r>
    </w:p>
    <w:p w14:paraId="1D1E3370" w14:textId="727EE939" w:rsidR="00951855" w:rsidRPr="00927A4F" w:rsidRDefault="006361E8" w:rsidP="00585AC9">
      <w:pPr>
        <w:pStyle w:val="CETHeading1"/>
      </w:pPr>
      <w:r w:rsidRPr="00927A4F">
        <w:t>Introduction</w:t>
      </w:r>
    </w:p>
    <w:p w14:paraId="073B0530" w14:textId="17F8E9FB" w:rsidR="00BF307F" w:rsidRDefault="006C0A12" w:rsidP="00BF307F">
      <w:pPr>
        <w:pStyle w:val="CETBodytext"/>
      </w:pPr>
      <w:r w:rsidRPr="007D6CA2">
        <w:rPr>
          <w:lang w:val="en-GB"/>
        </w:rPr>
        <w:t xml:space="preserve">Fire safety is of great importance due to the widespread use of polymers in the national economy. The production volume of various types of flame-retardant polymer products in the global market is growing rapidly. In recent years, countries around the world have proposed new legislative measures and strategies to protect human life and property. The scientific and economic aspects of flame resistance, fire safety standards, and new technologies are constantly developing. </w:t>
      </w:r>
      <w:r w:rsidR="002F29D9" w:rsidRPr="007D6CA2">
        <w:fldChar w:fldCharType="begin"/>
      </w:r>
      <w:r w:rsidR="00A002A6">
        <w:instrText xml:space="preserve"> ADDIN ZOTERO_ITEM CSL_CITATION {"citationID":"fY3pZ5Mf","properties":{"unsorted":false,"formattedCitation":"(Vahabi et al., 2021)","plainCitation":"(Vahabi et al., 2021)","noteIndex":0},"citationItems":[{"id":"3Txwt9wb/0QhQGy8w","uris":["http://zotero.org/users/local/rujaF4EP/items/WTGLVUX5"],"itemData":{"id":82,"type":"article-journal","abstract":"Fire safety has become a major concern due to the ubiquitous use of polymers. The development of flame retardant polymer materials has consequently experienced a huge growth in market size. New strategies and legislation have also been proposed to save lives and property. The science and economics of flame retardancy, fire regulations, and new technologies are under permanent evolution. This review paper focuses on revisiting and classifying recent developments in the knowledge and technology of flame retardant polymer materials and demonstrating the qualitative and quantitative analyses carried out on their flame retardant properties. In particular, it comprehensively addresses the progress made and the future prospects for designing precise structures via innovative technologies, particularly 3D printing - as the state-of-the-art manufacturing methodology providing innovative features in this realm of research - and their flame retardancy performances. Indeed, the strategies driving the technologies of innovative flame retardant polymer materials and 3D printing technology are approaching a practical juncture in the near future.","container-title":"Materials Science and Engineering: R: Reports","DOI":"10.1016/j.mser.2020.100604","ISSN":"0927796X","journalAbbreviation":"Materials Science and Engineering: R: Reports","language":"en","page":"100604","source":"DOI.org (Crossref)","title":"Flame retardant polymer materials: An update and the future for 3D printing developments","title-short":"Flame retardant polymer materials","volume":"144","author":[{"family":"Vahabi","given":"Henri"},{"family":"Laoutid","given":"Fouad"},{"family":"Mehrpouya","given":"Mehrshad"},{"family":"Saeb","given":"Mohammad Reza"},{"family":"Dubois","given":"Philippe"}],"issued":{"date-parts":[["2021",4]]}}}],"schema":"https://github.com/citation-style-language/schema/raw/master/csl-citation.json"} </w:instrText>
      </w:r>
      <w:r w:rsidR="002F29D9" w:rsidRPr="007D6CA2">
        <w:fldChar w:fldCharType="separate"/>
      </w:r>
      <w:r w:rsidR="00A002A6" w:rsidRPr="00A002A6">
        <w:rPr>
          <w:rFonts w:cs="Arial"/>
        </w:rPr>
        <w:t>(Vahabi et al., 2021)</w:t>
      </w:r>
      <w:r w:rsidR="002F29D9" w:rsidRPr="007D6CA2">
        <w:fldChar w:fldCharType="end"/>
      </w:r>
      <w:r w:rsidR="002F29D9" w:rsidRPr="007D6CA2">
        <w:t>.</w:t>
      </w:r>
      <w:r w:rsidR="00170BFE" w:rsidRPr="007D6CA2">
        <w:t xml:space="preserve"> </w:t>
      </w:r>
      <w:r w:rsidRPr="007D6CA2">
        <w:t xml:space="preserve">These polymer composites are characterized by light weight, high efficiency, and high mechanical properties and are widely used in industries such as aerospace, automotive, marine, and construction. As a result, great attention is being paid to the production of flame-retardant polymer composites </w:t>
      </w:r>
      <w:r w:rsidR="002F29D9" w:rsidRPr="007D6CA2">
        <w:fldChar w:fldCharType="begin"/>
      </w:r>
      <w:r w:rsidR="00A002A6">
        <w:instrText xml:space="preserve"> ADDIN ZOTERO_ITEM CSL_CITATION {"citationID":"NTnNVJIF","properties":{"unsorted":false,"formattedCitation":"(Murad et al., 2025)","plainCitation":"(Murad et al., 2025)","noteIndex":0},"citationItems":[{"id":"3Txwt9wb/WwhtAvxT","uris":["http://zotero.org/users/local/rujaF4EP/items/P5UZ6UFI"],"itemData":{"id":137,"type":"article-journal","abstract":"Abstract\n            Fiber-reinforced polymer composites (FRPCs) are very commonly used in numerous applications. However, their susceptibility to flames during service has raised a serious safety concern for human health, environment, economy, and property. Significant attention is given to the development of flame-retardant (FR) fiber composites due to their considerable role in enhancing fire and explosion safety. This review examines the fire propagation mechanism on composite materials and synergistic effects of different additives on mechanical, thermal, chemical, and structural integrity of FR FRPCs. Several methods for improving the flame retardancy of polymeric composite materials and their impact on various composite parameters are critically analyzed. The various methods of examining the flammability of fiber composites have been discussed in detail. By optimizing the type and concentration of additives, it is possible to develop next-generation FR fiber composites that offer robust performance across diverse industrial applications. Finally, a synopsis of the most recent advancements in FRPC FR technology is given, along with an overview of the opportunities and difficulties associated with sustainable flame retardancy approaches. It is expected that the insights gained from this research will provide a foundation for future innovations in FR materials, contributing to improved safety and material performance in fire-prone environments.","container-title":"Advanced Composites and Hybrid Materials","DOI":"10.1007/s42114-024-01111-1","ISSN":"2522-0128, 2522-0136","issue":"1","journalAbbreviation":"Adv Compos Hybrid Mater","language":"en","page":"31","source":"DOI.org (Crossref)","title":"Flame-retardant fiber composites: synergistic effects of additives on mechanical, thermal, chemical, and structural properties","title-short":"Flame-retardant fiber composites","volume":"8","author":[{"family":"Murad","given":"Md Shafinur"},{"family":"Hamzat","given":"Abdulhammed K."},{"family":"Asmatulu","given":"Eylem"},{"family":"Asmatulu","given":"Ramazan"}],"issued":{"date-parts":[["2025",2]]}}}],"schema":"https://github.com/citation-style-language/schema/raw/master/csl-citation.json"} </w:instrText>
      </w:r>
      <w:r w:rsidR="002F29D9" w:rsidRPr="007D6CA2">
        <w:fldChar w:fldCharType="separate"/>
      </w:r>
      <w:r w:rsidR="00A002A6" w:rsidRPr="00A002A6">
        <w:rPr>
          <w:rFonts w:cs="Arial"/>
        </w:rPr>
        <w:t>(Murad et al., 2025)</w:t>
      </w:r>
      <w:r w:rsidR="002F29D9" w:rsidRPr="007D6CA2">
        <w:fldChar w:fldCharType="end"/>
      </w:r>
      <w:r w:rsidR="002F29D9" w:rsidRPr="007D6CA2">
        <w:t xml:space="preserve">. </w:t>
      </w:r>
      <w:r w:rsidRPr="007D6CA2">
        <w:t xml:space="preserve">Depending on the type of flame-retardant chemicals and their working principle, the following flame-retardant fillers are widely used in polymer composites: halogen-based, metal oxide and hydroxide-based, boron and phosphorus-based, synergistic, and intumescent-based </w:t>
      </w:r>
      <w:r w:rsidR="002F29D9" w:rsidRPr="007D6CA2">
        <w:fldChar w:fldCharType="begin"/>
      </w:r>
      <w:r w:rsidR="00A002A6">
        <w:instrText xml:space="preserve"> ADDIN ZOTERO_ITEM CSL_CITATION {"citationID":"UzgWcIuj","properties":{"unsorted":false,"formattedCitation":"(Hasnat et al., 2023)","plainCitation":"(Hasnat et al., 2023)","noteIndex":0},"citationItems":[{"id":"3Txwt9wb/e355qz7z","uris":["http://zotero.org/users/local/rujaF4EP/items/7E6CTECQ"],"itemData":{"id":115,"type":"article-journal","abstract":"Fire accidents occur frequently and pose a great threat to high-rise buildings with ﬂammable construction materials. Recently, researchers have been doing signiﬁcant work on this topic to improve the ﬂame retardancy of composites by adding inorganic metal hydroxide, such as magnesium hydroxide (MH), due to its higher thermal decomposition temperature and low toxicity. Research on ﬂame retardant polymer composites with magnesium hydroxide is rapidly moving toward a more sustainable and safer future. This article provides a comprehensive review of the research trend along with the most cited publications. Most cited articles were chosen to observe the developments. The data collected from the Scopus database in the second week of March 2023 were also categorised to present country-wise improvement, the subject areas involved, and the author’s contribution to the topic. Some issues and challenges have also been highlighted from the analysis. By observing the research direction and highly cited articles, some of the further study scopes are also pointed out to develop ﬁre-rated polymer composites for use as sustainable cladding materials for highrise buildings.","container-title":"Fire","DOI":"10.3390/fire6050180","ISSN":"2571-6255","issue":"5","journalAbbreviation":"Fire","language":"en","page":"180","source":"DOI.org (Crossref)","title":"Flame Retardant Polymer Composite and Recent Inclusion of Magnesium Hydroxide Filler Material: A Bibliometric Analysis towards Further Study Scope","title-short":"Flame Retardant Polymer Composite and Recent Inclusion of Magnesium Hydroxide Filler Material","volume":"6","author":[{"family":"Hasnat","given":"Md Rayhan"},{"family":"Hassan","given":"Md Kamrul"},{"family":"Saha","given":"Swapan"}],"issued":{"date-parts":[["2023",4,27]]}}}],"schema":"https://github.com/citation-style-language/schema/raw/master/csl-citation.json"} </w:instrText>
      </w:r>
      <w:r w:rsidR="002F29D9" w:rsidRPr="007D6CA2">
        <w:fldChar w:fldCharType="separate"/>
      </w:r>
      <w:r w:rsidR="00A002A6" w:rsidRPr="00A002A6">
        <w:rPr>
          <w:rFonts w:cs="Arial"/>
        </w:rPr>
        <w:t>(Hasnat et al., 2023)</w:t>
      </w:r>
      <w:r w:rsidR="002F29D9" w:rsidRPr="007D6CA2">
        <w:fldChar w:fldCharType="end"/>
      </w:r>
      <w:r w:rsidR="002F29D9" w:rsidRPr="007D6CA2">
        <w:t>.</w:t>
      </w:r>
      <w:r w:rsidR="00170BFE" w:rsidRPr="007D6CA2">
        <w:t xml:space="preserve"> </w:t>
      </w:r>
      <w:r w:rsidRPr="007D6CA2">
        <w:t xml:space="preserve">As </w:t>
      </w:r>
      <w:r w:rsidRPr="006C0A12">
        <w:t xml:space="preserve">safety standards </w:t>
      </w:r>
      <w:r>
        <w:t>are</w:t>
      </w:r>
      <w:r w:rsidRPr="006C0A12">
        <w:t xml:space="preserve"> increasingly stringent and the demand for high-performance polymer materials increases, researchers and industry experts are working on high-quality flame</w:t>
      </w:r>
      <w:r>
        <w:t>-</w:t>
      </w:r>
      <w:r w:rsidRPr="006C0A12">
        <w:t>retardant polymer composites</w:t>
      </w:r>
      <w:r>
        <w:t xml:space="preserve"> </w:t>
      </w:r>
      <w:r w:rsidR="002F29D9" w:rsidRPr="00170BFE">
        <w:fldChar w:fldCharType="begin"/>
      </w:r>
      <w:r w:rsidR="00A002A6">
        <w:instrText xml:space="preserve"> ADDIN ZOTERO_ITEM CSL_CITATION {"citationID":"tfkCPbnS","properties":{"unsorted":false,"formattedCitation":"(Murad et al., 2025)","plainCitation":"(Murad et al., 2025)","noteIndex":0},"citationItems":[{"id":"3Txwt9wb/WwhtAvxT","uris":["http://zotero.org/users/local/rujaF4EP/items/P5UZ6UFI"],"itemData":{"id":137,"type":"article-journal","abstract":"Abstract\n            Fiber-reinforced polymer composites (FRPCs) are very commonly used in numerous applications. However, their susceptibility to flames during service has raised a serious safety concern for human health, environment, economy, and property. Significant attention is given to the development of flame-retardant (FR) fiber composites due to their considerable role in enhancing fire and explosion safety. This review examines the fire propagation mechanism on composite materials and synergistic effects of different additives on mechanical, thermal, chemical, and structural integrity of FR FRPCs. Several methods for improving the flame retardancy of polymeric composite materials and their impact on various composite parameters are critically analyzed. The various methods of examining the flammability of fiber composites have been discussed in detail. By optimizing the type and concentration of additives, it is possible to develop next-generation FR fiber composites that offer robust performance across diverse industrial applications. Finally, a synopsis of the most recent advancements in FRPC FR technology is given, along with an overview of the opportunities and difficulties associated with sustainable flame retardancy approaches. It is expected that the insights gained from this research will provide a foundation for future innovations in FR materials, contributing to improved safety and material performance in fire-prone environments.","container-title":"Advanced Composites and Hybrid Materials","DOI":"10.1007/s42114-024-01111-1","ISSN":"2522-0128, 2522-0136","issue":"1","journalAbbreviation":"Adv Compos Hybrid Mater","language":"en","page":"31","source":"DOI.org (Crossref)","title":"Flame-retardant fiber composites: synergistic effects of additives on mechanical, thermal, chemical, and structural properties","title-short":"Flame-retardant fiber composites","volume":"8","author":[{"family":"Murad","given":"Md Shafinur"},{"family":"Hamzat","given":"Abdulhammed K."},{"family":"Asmatulu","given":"Eylem"},{"family":"Asmatulu","given":"Ramazan"}],"issued":{"date-parts":[["2025",2]]}}}],"schema":"https://github.com/citation-style-language/schema/raw/master/csl-citation.json"} </w:instrText>
      </w:r>
      <w:r w:rsidR="002F29D9" w:rsidRPr="00170BFE">
        <w:fldChar w:fldCharType="separate"/>
      </w:r>
      <w:r w:rsidR="00A002A6" w:rsidRPr="00A002A6">
        <w:rPr>
          <w:rFonts w:cs="Arial"/>
        </w:rPr>
        <w:t>(Murad et al., 2025)</w:t>
      </w:r>
      <w:r w:rsidR="002F29D9" w:rsidRPr="00170BFE">
        <w:fldChar w:fldCharType="end"/>
      </w:r>
      <w:r w:rsidR="002F29D9" w:rsidRPr="00170BFE">
        <w:t xml:space="preserve">. </w:t>
      </w:r>
      <w:r w:rsidRPr="006C0A12">
        <w:t>Studies show that approximately 50</w:t>
      </w:r>
      <w:r w:rsidR="006F06BC">
        <w:t xml:space="preserve"> </w:t>
      </w:r>
      <w:r w:rsidRPr="006C0A12">
        <w:t>% of electrical fires are caused by burning polymer cables. As a result, halogenated flame retardants are expected to be replaced by halogen-free flame retardants in the near future due to the increasing attention of environmental organizations to environmental issues, and polyvinyl chloride (PVC)-based cables are expected to be gradually replaced by polyolefin (PO)-based cables</w:t>
      </w:r>
      <w:r>
        <w:t xml:space="preserve"> </w:t>
      </w:r>
      <w:r w:rsidR="002F29D9" w:rsidRPr="00170BFE">
        <w:fldChar w:fldCharType="begin"/>
      </w:r>
      <w:r w:rsidR="00A002A6">
        <w:instrText xml:space="preserve"> ADDIN ZOTERO_ITEM CSL_CITATION {"citationID":"uDR3mcKD","properties":{"unsorted":false,"formattedCitation":"(Li et al., 2022)","plainCitation":"(Li et al., 2022)","noteIndex":0},"citationItems":[{"id":"3Txwt9wb/SZk6khey","uris":["http://zotero.org/users/local/rujaF4EP/items/MC5ATB2Y"],"itemData":{"id":93,"type":"article-journal","abstract":"With the continuous advancements of urbanization, the demand for power cables is increasing to replace overhead lines for energy transmission and distribution. Due to undesirable scenarios, e.g., the short circuit or poor contact, the cables can cause ﬁre. The cable sheath has a signiﬁcant effect on ﬁre expansion. Thus, it is of great signiﬁcance to carry out research on ﬂameretardant modiﬁcation for cable sheath material to prevent ﬁre accidents. With the continuous environmental concern, polyoleﬁn (PO) is expected to gradually replace polyvinyl chloride (PVC) for cable sheath material. Moreover, the halogen-free ﬂame retardants (FRs), which are the focus of this paper, will replace the ones with halogen gradually. The halogen-free FRs used in PO cable sheath material can be divided into inorganic ﬂame retardant, organic ﬂame retardant, and intumescent ﬂame retardant (IFR). However, most FRs will cause severe damage to the mechanical properties of the PO cable sheath material, mainly reﬂected in the elongation at break and tensile strength. Therefore, the cooperative modiﬁcation of PO materials for ﬂame retardancy and mechanical properties has become a research hotspot. For this review, about 240 works from the literature related to FRs used in PO materials were investigated. It is shown that the simultaneous improvement for ﬂame retardancy and mechanical properties mainly focuses on surface treatment technology, nanotechnology, and the cooperative effect of multiple FRs. The principle is mainly to improve the compatibility of FRs with PO polymers and/or increase the efﬁciency of FRs.","container-title":"Polymers","DOI":"10.3390/polym14142876","ISSN":"2073-4360","issue":"14","journalAbbreviation":"Polymers","language":"en","page":"2876","source":"DOI.org (Crossref)","title":"Recent Advances in Halogen-Free Flame Retardants for Polyolefin Cable Sheath Materials","volume":"14","author":[{"family":"Li","given":"Yan"},{"family":"Qi","given":"Leijie"},{"family":"Liu","given":"Yifan"},{"family":"Qiao","given":"Junjie"},{"family":"Wang","given":"Maotao"},{"family":"Liu","given":"Xinyue"},{"family":"Li","given":"Shasha"}],"issued":{"date-parts":[["2022",7,15]]}}}],"schema":"https://github.com/citation-style-language/schema/raw/master/csl-citation.json"} </w:instrText>
      </w:r>
      <w:r w:rsidR="002F29D9" w:rsidRPr="00170BFE">
        <w:fldChar w:fldCharType="separate"/>
      </w:r>
      <w:r w:rsidR="00A002A6" w:rsidRPr="00A002A6">
        <w:rPr>
          <w:rFonts w:cs="Arial"/>
        </w:rPr>
        <w:t>(Li et al., 2022)</w:t>
      </w:r>
      <w:r w:rsidR="002F29D9" w:rsidRPr="00170BFE">
        <w:fldChar w:fldCharType="end"/>
      </w:r>
      <w:r w:rsidR="002F29D9" w:rsidRPr="00170BFE">
        <w:t xml:space="preserve">. </w:t>
      </w:r>
      <w:r w:rsidRPr="006C0A12">
        <w:t xml:space="preserve">Unmodified polymer materials do not have sufficient </w:t>
      </w:r>
      <w:r w:rsidR="006F06BC">
        <w:t>flame-retardant</w:t>
      </w:r>
      <w:r w:rsidRPr="006C0A12">
        <w:t xml:space="preserve"> properties. For example, the limiting oxygen index (LOI) of common plastics such as polyethylene </w:t>
      </w:r>
      <w:r w:rsidRPr="006C0A12">
        <w:lastRenderedPageBreak/>
        <w:t>(PE) and polypropylene (PP) is only 17.0–18.0%. Therefore, PP and PE are considered to be easily flammable or combustible materials</w:t>
      </w:r>
      <w:r>
        <w:t xml:space="preserve"> </w:t>
      </w:r>
      <w:r w:rsidR="002F29D9" w:rsidRPr="00695671">
        <w:fldChar w:fldCharType="begin"/>
      </w:r>
      <w:r w:rsidR="00A002A6">
        <w:instrText xml:space="preserve"> ADDIN ZOTERO_ITEM CSL_CITATION {"citationID":"S9dC5D0y","properties":{"unsorted":false,"formattedCitation":"(Gao et al., 2020)","plainCitation":"(Gao et al., 2020)","noteIndex":0},"citationItems":[{"id":"3Txwt9wb/k6EIfghL","uris":["http://zotero.org/users/local/rujaF4EP/items/KYQ6WDWQ"],"itemData":{"id":141,"type":"article-journal","container-title":"Composites Communications","DOI":"10.1016/j.coco.2019.12.007","ISSN":"24522139","journalAbbreviation":"Composites Communications","language":"en","page":"170-176","source":"DOI.org (Crossref)","title":"Flame retardant effect and mechanism of nanosized NiO as synergist in PLA/APP/CSi-MCA composites","volume":"17","author":[{"family":"Gao","given":"Doudou"},{"family":"Wen","given":"Xin"},{"family":"Guan","given":"Yanyan"},{"family":"Czerwonko","given":"Wojciech"},{"family":"Li","given":"Yunhui"},{"family":"Gao","given":"Ying"},{"family":"Mijowska","given":"Ewa"},{"family":"Tang","given":"Tao"}],"issued":{"date-parts":[["2020",2]]}}}],"schema":"https://github.com/citation-style-language/schema/raw/master/csl-citation.json"} </w:instrText>
      </w:r>
      <w:r w:rsidR="002F29D9" w:rsidRPr="00695671">
        <w:fldChar w:fldCharType="separate"/>
      </w:r>
      <w:r w:rsidR="00A002A6" w:rsidRPr="00A002A6">
        <w:rPr>
          <w:rFonts w:cs="Arial"/>
        </w:rPr>
        <w:t>(Gao et al., 2020)</w:t>
      </w:r>
      <w:r w:rsidR="002F29D9" w:rsidRPr="00695671">
        <w:fldChar w:fldCharType="end"/>
      </w:r>
      <w:r w:rsidR="002F29D9" w:rsidRPr="00695671">
        <w:t xml:space="preserve">. </w:t>
      </w:r>
      <w:r w:rsidRPr="006C0A12">
        <w:t xml:space="preserve">Although some polymer compositions contain </w:t>
      </w:r>
      <w:r>
        <w:t>flame-retardant</w:t>
      </w:r>
      <w:r w:rsidRPr="006C0A12">
        <w:t xml:space="preserve"> elements such as sulfur, nitrogen, fluorine, and silicon, which </w:t>
      </w:r>
      <w:r w:rsidR="00BF307F">
        <w:t>provide</w:t>
      </w:r>
      <w:r w:rsidRPr="006C0A12">
        <w:t xml:space="preserve"> </w:t>
      </w:r>
      <w:r>
        <w:t>flame-retardant</w:t>
      </w:r>
      <w:r w:rsidRPr="006C0A12">
        <w:t xml:space="preserve"> properties, </w:t>
      </w:r>
      <w:r w:rsidR="00BF307F">
        <w:t xml:space="preserve">they </w:t>
      </w:r>
      <w:r w:rsidRPr="006C0A12">
        <w:t>do not meet fire safety requirements for industrial use. Polymers are widely used in the construction industry due to their corrosion resistance, light weight, and other important properties</w:t>
      </w:r>
      <w:r>
        <w:t xml:space="preserve"> </w:t>
      </w:r>
      <w:r w:rsidR="002F29D9" w:rsidRPr="00695671">
        <w:fldChar w:fldCharType="begin"/>
      </w:r>
      <w:r w:rsidR="00A002A6">
        <w:instrText xml:space="preserve"> ADDIN ZOTERO_ITEM CSL_CITATION {"citationID":"CVvLuM5o","properties":{"unsorted":false,"formattedCitation":"(Shen et al., 2021)","plainCitation":"(Shen et al., 2021)","noteIndex":0},"citationItems":[{"id":"3Txwt9wb/AXjTcS3t","uris":["http://zotero.org/users/local/rujaF4EP/items/G29V76Z8"],"itemData":{"id":100,"type":"article-journal","abstract":"Against the background of people’s increasing awareness of personal safety and property safety, the ﬂame retardancy (FR) of materials has increasingly become the focus of attention in the ﬁeld of construction engineering. A variety of materials have been developed in research and production in this ﬁeld. Polymers have many advantages, such as their light weight, low water absorption, high ﬂexibility, good chemical corrosion resistance, high speciﬁc strength, high speciﬁc modulus and low thermal conductivity, and are often applied to the ﬁeld of construction engineering. However, the FR of unmodiﬁed polymer is not ideal, and new methods to make it more ﬂame retardant are needed to enhance the FR. This article primarily introduces the ﬂame-retardant mechanism of ﬁre retardancy. It summarizes the preparation of polymer ﬂame-retardant materials by adding different ﬂame-retardant agents, and the application and research progress related to polymer ﬂame-retardant materials in construction engineering.","container-title":"Polymers","DOI":"10.3390/polym14010082","ISSN":"2073-4360","issue":"1","journalAbbreviation":"Polymers","language":"en","page":"82","source":"DOI.org (Crossref)","title":"The Flame-Retardant Mechanisms and Preparation of Polymer Composites and Their Potential Application in Construction Engineering","volume":"14","author":[{"family":"Shen","given":"Jingjing"},{"family":"Liang","given":"Jianwei"},{"family":"Lin","given":"Xinfeng"},{"family":"Lin","given":"Hongjian"},{"family":"Yu","given":"Jing"},{"family":"Wang","given":"Shifang"}],"issued":{"date-parts":[["2021",12,27]]}}}],"schema":"https://github.com/citation-style-language/schema/raw/master/csl-citation.json"} </w:instrText>
      </w:r>
      <w:r w:rsidR="002F29D9" w:rsidRPr="00695671">
        <w:fldChar w:fldCharType="separate"/>
      </w:r>
      <w:r w:rsidR="00A002A6" w:rsidRPr="00A002A6">
        <w:rPr>
          <w:rFonts w:cs="Arial"/>
        </w:rPr>
        <w:t>(Shen et al., 2021)</w:t>
      </w:r>
      <w:r w:rsidR="002F29D9" w:rsidRPr="00695671">
        <w:fldChar w:fldCharType="end"/>
      </w:r>
      <w:r w:rsidR="002F29D9" w:rsidRPr="00695671">
        <w:t>.</w:t>
      </w:r>
      <w:r w:rsidR="00D57639" w:rsidRPr="00695671">
        <w:t xml:space="preserve"> </w:t>
      </w:r>
      <w:r w:rsidR="00BF307F">
        <w:t>Based on the analysis of the aforementioned studies, it can be concluded that the synthesis of novel reactive compounds—particularly those containing nitrogen and phosphorus with low heat release and smoke generation characteristics—represents one of the most promising directions for the development of effective flame-retardant systems.</w:t>
      </w:r>
    </w:p>
    <w:p w14:paraId="0B45D35E" w14:textId="670D66A5" w:rsidR="00951855" w:rsidRPr="005305FE" w:rsidRDefault="005305FE" w:rsidP="005305FE">
      <w:pPr>
        <w:pStyle w:val="CETHeading1"/>
      </w:pPr>
      <w:r w:rsidRPr="005305FE">
        <w:t>METHODOLOGY</w:t>
      </w:r>
    </w:p>
    <w:p w14:paraId="6C9E3DBD" w14:textId="056F6D3E" w:rsidR="00251A01" w:rsidRDefault="00251A01" w:rsidP="00251A01">
      <w:pPr>
        <w:pStyle w:val="CETBodytext"/>
        <w:rPr>
          <w:lang w:eastAsia="ru-RU"/>
        </w:rPr>
      </w:pPr>
      <w:r w:rsidRPr="00251A01">
        <w:rPr>
          <w:lang w:eastAsia="ru-RU"/>
        </w:rPr>
        <w:t>The experimental part of this study involved the synthesis of the flame-retardant additive, its incorporation into polyolefin composites, and the evaluation of the properties of the resulting materials. Initially, an N–P-containing flame retardant incorporating phosphorus and nitrogen was synthesized. In the subsequent stage, the synthesized N–P flame retardant was used to prepare ethylene-vinyl acetate (EVA)/PE and EVA/PP-based polymer composites in combination with conventional flame-retardant additives, including ammonium polyphosphate (APP), aluminum trihydroxide (ATH), and calcium carbonate (CaCO</w:t>
      </w:r>
      <w:r w:rsidRPr="00251A01">
        <w:rPr>
          <w:rFonts w:ascii="Cambria Math" w:hAnsi="Cambria Math" w:cs="Cambria Math"/>
          <w:lang w:eastAsia="ru-RU"/>
        </w:rPr>
        <w:t>₃</w:t>
      </w:r>
      <w:r w:rsidRPr="00251A01">
        <w:rPr>
          <w:lang w:eastAsia="ru-RU"/>
        </w:rPr>
        <w:t>). The flame-retardant properties of the prepared composites were evaluated using UL-94 and LOI tests; their mechanical properties were assessed by tensile strength and elongation at break.</w:t>
      </w:r>
    </w:p>
    <w:p w14:paraId="4B7E6682" w14:textId="77777777" w:rsidR="00251A01" w:rsidRPr="002E5F4F" w:rsidRDefault="00251A01" w:rsidP="002E5F4F">
      <w:pPr>
        <w:pStyle w:val="CETBodytext"/>
        <w:spacing w:before="120" w:after="120"/>
        <w:rPr>
          <w:b/>
        </w:rPr>
      </w:pPr>
      <w:r w:rsidRPr="002E5F4F">
        <w:rPr>
          <w:b/>
        </w:rPr>
        <w:t>2.1. Synthesis of the N–P flame-retardant additive</w:t>
      </w:r>
    </w:p>
    <w:p w14:paraId="16C8EBFF" w14:textId="7376FEC7" w:rsidR="009D002E" w:rsidRPr="009D002E" w:rsidRDefault="009D002E" w:rsidP="009D002E">
      <w:pPr>
        <w:pStyle w:val="CETBodytext"/>
        <w:rPr>
          <w:lang w:eastAsia="ru-RU"/>
        </w:rPr>
      </w:pPr>
      <w:r w:rsidRPr="009D002E">
        <w:rPr>
          <w:lang w:eastAsia="ru-RU"/>
        </w:rPr>
        <w:t xml:space="preserve">The flame-retardant compound was synthesized using the following chemicals: monoammonium phosphate (CAS No. 7722-76-1, melting point 155 °C), acrylic acid (CAS No. 79-10-7, boiling point 141 °C), and technical ethanol, which was purified by distillation at atmospheric pressure (boiling point 76–79 °C). The synthesis was carried out using standard laboratory equipment, including a three-neck round-bottom flask made of borosilicate glass (Boro 3.3), a Dean–Stark apparatus, beakers, a condenser, a receiver, an electric heating plate, and a thermometer (GOST-126464). Initially, analytically pure reagents were accurately weighed using an analytical balance according to the required stoichiometric ratios. Subsequently, the reagents were dissolved in appropriate solvents as follows: 20 g of monoammonium </w:t>
      </w:r>
      <w:r w:rsidR="00923DB9">
        <w:rPr>
          <w:lang w:eastAsia="ru-RU"/>
        </w:rPr>
        <w:t xml:space="preserve">phosphate was dissolved in 54 </w:t>
      </w:r>
      <w:r w:rsidR="00BF240C">
        <w:rPr>
          <w:lang w:eastAsia="ru-RU"/>
        </w:rPr>
        <w:t>mL</w:t>
      </w:r>
      <w:r w:rsidRPr="009D002E">
        <w:rPr>
          <w:lang w:eastAsia="ru-RU"/>
        </w:rPr>
        <w:t xml:space="preserve"> of water, while 12 mL of acrylic acid was dissolv</w:t>
      </w:r>
      <w:r w:rsidR="00923DB9">
        <w:rPr>
          <w:lang w:eastAsia="ru-RU"/>
        </w:rPr>
        <w:t xml:space="preserve">ed in 21 </w:t>
      </w:r>
      <w:r w:rsidR="00BF240C">
        <w:rPr>
          <w:lang w:eastAsia="ru-RU"/>
        </w:rPr>
        <w:t>mL</w:t>
      </w:r>
      <w:r w:rsidRPr="009D002E">
        <w:rPr>
          <w:lang w:eastAsia="ru-RU"/>
        </w:rPr>
        <w:t xml:space="preserve"> of ethanol. The prepared solutions wer</w:t>
      </w:r>
      <w:r w:rsidR="00923DB9">
        <w:rPr>
          <w:lang w:eastAsia="ru-RU"/>
        </w:rPr>
        <w:t xml:space="preserve">e then transferred into a 250 </w:t>
      </w:r>
      <w:r w:rsidR="00BF240C">
        <w:rPr>
          <w:lang w:eastAsia="ru-RU"/>
        </w:rPr>
        <w:t>mL</w:t>
      </w:r>
      <w:r w:rsidRPr="009D002E">
        <w:rPr>
          <w:lang w:eastAsia="ru-RU"/>
        </w:rPr>
        <w:t xml:space="preserve"> three-neck round-bottom flask. The Dean–Stark apparatus, condenser, and thermometer were connected to the flask, and the reaction mixture was heated using an electric plate. The reaction was conducted at a temperature range of 100–110 °C. The evolution of reaction water commenced at approximately 100 °C. The total reaction time was 90 minutes. At the completion of the reaction, a white crystalline precipitate was formed. The product was isolated and purified by sequential washing with ethanol followed by acetone. The overall reaction yield was determined to be 88</w:t>
      </w:r>
      <w:r w:rsidRPr="00C352BA">
        <w:rPr>
          <w:lang w:eastAsia="ru-RU"/>
        </w:rPr>
        <w:t>%</w:t>
      </w:r>
      <w:r w:rsidR="00D24E34" w:rsidRPr="00C352BA">
        <w:rPr>
          <w:lang w:eastAsia="ru-RU"/>
        </w:rPr>
        <w:t xml:space="preserve"> by </w:t>
      </w:r>
      <w:r w:rsidR="00D24E34" w:rsidRPr="00C352BA">
        <w:t>equation (1)</w:t>
      </w:r>
      <w:r w:rsidRPr="00C352BA">
        <w:rPr>
          <w:lang w:eastAsia="ru-RU"/>
        </w:rPr>
        <w:t xml:space="preserve">. </w:t>
      </w:r>
      <w:r w:rsidRPr="009D002E">
        <w:rPr>
          <w:lang w:eastAsia="ru-RU"/>
        </w:rPr>
        <w:t>The reaction pathway can be represented schematically as follows:</w:t>
      </w:r>
    </w:p>
    <w:p w14:paraId="56E3DE21" w14:textId="78372C8C" w:rsidR="00793237" w:rsidRPr="00810398" w:rsidRDefault="00793237" w:rsidP="00807983">
      <w:pPr>
        <w:pStyle w:val="CETEquation"/>
        <w:rPr>
          <w:color w:val="FF0000"/>
          <w:lang w:val="uz-Cyrl-UZ"/>
        </w:rPr>
      </w:pPr>
      <w:r w:rsidRPr="00810398">
        <w:rPr>
          <w:noProof/>
          <w:lang w:val="ru-RU" w:eastAsia="ru-RU"/>
        </w:rPr>
        <mc:AlternateContent>
          <mc:Choice Requires="wps">
            <w:drawing>
              <wp:anchor distT="0" distB="0" distL="114300" distR="114300" simplePos="0" relativeHeight="251659264" behindDoc="0" locked="0" layoutInCell="1" allowOverlap="1" wp14:anchorId="7ECD8E72" wp14:editId="707BBEC6">
                <wp:simplePos x="0" y="0"/>
                <wp:positionH relativeFrom="column">
                  <wp:posOffset>1567536</wp:posOffset>
                </wp:positionH>
                <wp:positionV relativeFrom="paragraph">
                  <wp:posOffset>135680</wp:posOffset>
                </wp:positionV>
                <wp:extent cx="435428" cy="0"/>
                <wp:effectExtent l="0" t="76200" r="22225" b="95250"/>
                <wp:wrapNone/>
                <wp:docPr id="2" name="Прямая со стрелкой 2"/>
                <wp:cNvGraphicFramePr/>
                <a:graphic xmlns:a="http://schemas.openxmlformats.org/drawingml/2006/main">
                  <a:graphicData uri="http://schemas.microsoft.com/office/word/2010/wordprocessingShape">
                    <wps:wsp>
                      <wps:cNvCnPr/>
                      <wps:spPr>
                        <a:xfrm>
                          <a:off x="0" y="0"/>
                          <a:ext cx="43542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185E319" id="_x0000_t32" coordsize="21600,21600" o:spt="32" o:oned="t" path="m,l21600,21600e" filled="f">
                <v:path arrowok="t" fillok="f" o:connecttype="none"/>
                <o:lock v:ext="edit" shapetype="t"/>
              </v:shapetype>
              <v:shape id="Прямая со стрелкой 2" o:spid="_x0000_s1026" type="#_x0000_t32" style="position:absolute;margin-left:123.45pt;margin-top:10.7pt;width:34.3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" strokecolor="black [3040]">
                <v:stroke endarrow="block"/>
              </v:shape>
            </w:pict>
          </mc:Fallback>
        </mc:AlternateContent>
      </w:r>
      <w:r w:rsidRPr="00810398">
        <w:rPr>
          <w:lang w:val="en-US"/>
        </w:rPr>
        <w:t>CH</w:t>
      </w:r>
      <w:r w:rsidRPr="00810398">
        <w:rPr>
          <w:vertAlign w:val="subscript"/>
          <w:lang w:val="en-US"/>
        </w:rPr>
        <w:t>2</w:t>
      </w:r>
      <w:r w:rsidRPr="00810398">
        <w:rPr>
          <w:lang w:val="en-US"/>
        </w:rPr>
        <w:t xml:space="preserve">=CH-COOH </w:t>
      </w:r>
      <w:r w:rsidRPr="00810398">
        <w:rPr>
          <w:b/>
          <w:bCs/>
          <w:lang w:val="en-US"/>
        </w:rPr>
        <w:t>+</w:t>
      </w:r>
      <w:r w:rsidRPr="00810398">
        <w:rPr>
          <w:lang w:val="en-US"/>
        </w:rPr>
        <w:t xml:space="preserve"> NH</w:t>
      </w:r>
      <w:r w:rsidRPr="00810398">
        <w:rPr>
          <w:vertAlign w:val="subscript"/>
          <w:lang w:val="en-US"/>
        </w:rPr>
        <w:t>4</w:t>
      </w:r>
      <w:r w:rsidRPr="00810398">
        <w:rPr>
          <w:lang w:val="en-US"/>
        </w:rPr>
        <w:t>H</w:t>
      </w:r>
      <w:r w:rsidRPr="00810398">
        <w:rPr>
          <w:vertAlign w:val="subscript"/>
          <w:lang w:val="en-US"/>
        </w:rPr>
        <w:t>2</w:t>
      </w:r>
      <w:r w:rsidRPr="00810398">
        <w:rPr>
          <w:lang w:val="en-US"/>
        </w:rPr>
        <w:t>PO</w:t>
      </w:r>
      <w:r w:rsidRPr="00810398">
        <w:rPr>
          <w:vertAlign w:val="subscript"/>
          <w:lang w:val="en-US"/>
        </w:rPr>
        <w:t xml:space="preserve">4 </w:t>
      </w:r>
      <w:r w:rsidRPr="00810398">
        <w:rPr>
          <w:lang w:val="en-US"/>
        </w:rPr>
        <w:t xml:space="preserve">                  CH</w:t>
      </w:r>
      <w:r w:rsidRPr="00810398">
        <w:rPr>
          <w:vertAlign w:val="subscript"/>
          <w:lang w:val="en-US"/>
        </w:rPr>
        <w:t>2</w:t>
      </w:r>
      <w:r w:rsidR="00975C43">
        <w:rPr>
          <w:lang w:val="en-US"/>
        </w:rPr>
        <w:t>=CH</w:t>
      </w:r>
      <w:r w:rsidRPr="00810398">
        <w:rPr>
          <w:lang w:val="en-US"/>
        </w:rPr>
        <w:t>-COOPO</w:t>
      </w:r>
      <w:r w:rsidRPr="00810398">
        <w:rPr>
          <w:vertAlign w:val="subscript"/>
          <w:lang w:val="en-US"/>
        </w:rPr>
        <w:t>2</w:t>
      </w:r>
      <w:r w:rsidRPr="00810398">
        <w:rPr>
          <w:lang w:val="en-US"/>
        </w:rPr>
        <w:t>OHNH</w:t>
      </w:r>
      <w:r w:rsidRPr="00810398">
        <w:rPr>
          <w:vertAlign w:val="subscript"/>
          <w:lang w:val="en-US"/>
        </w:rPr>
        <w:t>4</w:t>
      </w:r>
      <w:r w:rsidRPr="00810398">
        <w:rPr>
          <w:lang w:val="en-US"/>
        </w:rPr>
        <w:t xml:space="preserve"> </w:t>
      </w:r>
      <w:r w:rsidRPr="00810398">
        <w:rPr>
          <w:b/>
          <w:bCs/>
          <w:lang w:val="en-US"/>
        </w:rPr>
        <w:t>+</w:t>
      </w:r>
      <w:r w:rsidRPr="00810398">
        <w:rPr>
          <w:lang w:val="en-US"/>
        </w:rPr>
        <w:t xml:space="preserve"> H</w:t>
      </w:r>
      <w:r w:rsidRPr="00810398">
        <w:rPr>
          <w:vertAlign w:val="subscript"/>
          <w:lang w:val="en-US"/>
        </w:rPr>
        <w:t>2</w:t>
      </w:r>
      <w:r w:rsidRPr="00810398">
        <w:rPr>
          <w:lang w:val="en-US"/>
        </w:rPr>
        <w:t>O</w:t>
      </w:r>
      <w:r w:rsidR="00087889">
        <w:rPr>
          <w:lang w:val="en-US"/>
        </w:rPr>
        <w:t xml:space="preserve">                              (1)</w:t>
      </w:r>
    </w:p>
    <w:p w14:paraId="05D54621" w14:textId="6DB6B679" w:rsidR="00F84B1A" w:rsidRDefault="00F84B1A" w:rsidP="00AF3C9F">
      <w:pPr>
        <w:pStyle w:val="CETBodytext"/>
      </w:pPr>
      <w:r>
        <w:t>To determine the structure, elemental composition, and thermal stability of the synthesized material, the FTIR spectrometer (SHIMADZU IRAffinity-1S), the scanning electron microscope (Jeol JSM-IT210), and the SHIMADZU TRAPEZIUMX testing system were used.</w:t>
      </w:r>
    </w:p>
    <w:p w14:paraId="305DB2B3" w14:textId="77777777" w:rsidR="00251A01" w:rsidRPr="00251A01" w:rsidRDefault="00251A01" w:rsidP="00251A01">
      <w:pPr>
        <w:pStyle w:val="CETBodytext"/>
        <w:spacing w:before="120" w:after="120"/>
        <w:rPr>
          <w:b/>
        </w:rPr>
      </w:pPr>
      <w:r w:rsidRPr="00251A01">
        <w:rPr>
          <w:b/>
        </w:rPr>
        <w:t>2.2. Preparation and Characterization of Flame-Retardant Polymer Composites</w:t>
      </w:r>
    </w:p>
    <w:p w14:paraId="159D37C6" w14:textId="77777777" w:rsidR="00251A01" w:rsidRPr="00251A01" w:rsidRDefault="00251A01" w:rsidP="00251A01">
      <w:pPr>
        <w:pStyle w:val="CETBodytext"/>
      </w:pPr>
      <w:r w:rsidRPr="00251A01">
        <w:t>Before preparing the polymer composites, the polymer matrix components, namely EVA, PE, and PP, as well as the flame-retardant components, including the synthesized ammonium acrylate phosphate flame-retardant, APP, ATH, and CaCO</w:t>
      </w:r>
      <w:r w:rsidRPr="00251A01">
        <w:rPr>
          <w:rFonts w:ascii="Cambria Math" w:hAnsi="Cambria Math" w:cs="Cambria Math"/>
        </w:rPr>
        <w:t>₃</w:t>
      </w:r>
      <w:r w:rsidRPr="00251A01">
        <w:t xml:space="preserve">, were dried at 40–80 °C for 2–4 h. The dried components were weighed according to the predetermined formulations using an analytical balance and subjected to preliminary dry mixing for 5 min. The compositions of the prepared composites are presented in Table 2. </w:t>
      </w:r>
    </w:p>
    <w:p w14:paraId="4B7169FD" w14:textId="77777777" w:rsidR="00251A01" w:rsidRPr="00251A01" w:rsidRDefault="00251A01" w:rsidP="00251A01">
      <w:pPr>
        <w:pStyle w:val="CETBodytext"/>
      </w:pPr>
      <w:r w:rsidRPr="00251A01">
        <w:t>The resulting mixtures were subsequently processed using a laboratory two-roll mill (RT-100D Two Roll Mill). The EVA/PE composites were melt-mixed at 140-165 °C, whereas the EVA/PP composites were processed at 155–185 °C for a total mixing time of 10 min. During the initial mixing stage, the polymer matrix was melted for 3 min. Subsequently, APP, ATH, CaCO</w:t>
      </w:r>
      <w:r w:rsidRPr="00251A01">
        <w:rPr>
          <w:rFonts w:ascii="Cambria Math" w:hAnsi="Cambria Math" w:cs="Cambria Math"/>
        </w:rPr>
        <w:t>₃</w:t>
      </w:r>
      <w:r w:rsidRPr="00251A01">
        <w:t>, and the synthesized ammonium acrylate phosphate flame retardant were gradually incorporated into the molten polymer matrix. Mixing was continued for an additional 7 min to ensure uniform dispersion of the flame-retardant components throughout the polymer matrix. The same mixing procedure was applied to all formulations.</w:t>
      </w:r>
    </w:p>
    <w:p w14:paraId="58FBFE8D" w14:textId="77777777" w:rsidR="00251A01" w:rsidRPr="00251A01" w:rsidRDefault="00251A01" w:rsidP="00251A01">
      <w:pPr>
        <w:pStyle w:val="CETBodytext"/>
      </w:pPr>
      <w:r w:rsidRPr="00251A01">
        <w:t>Upon completion of the mixing process, the resulting composite materials were removed from the two-roll mill and cooled to room temperature. The obtained composites were subsequently used to prepare standard specimens for UL-94, limiting oxygen index (LOI), and mechanical testing.</w:t>
      </w:r>
    </w:p>
    <w:p w14:paraId="566159C9" w14:textId="77777777" w:rsidR="00251A01" w:rsidRPr="00251A01" w:rsidRDefault="00251A01" w:rsidP="00251A01">
      <w:pPr>
        <w:pStyle w:val="CETBodytext"/>
      </w:pPr>
      <w:r w:rsidRPr="00251A01">
        <w:lastRenderedPageBreak/>
        <w:t xml:space="preserve">The vertical flammability characteristics of the polymer composites were evaluated using the vertical burning test in accordance with the UL-94 standard. The limiting oxygen index (LOI) of the composites was determined in accordance with ASTM D2863. The mechanical properties of the polymer composites were evaluated using a Universal Testing Machine (UTM) in accordance with ASTM D638. Type V dumbbell-shaped specimens were used for the tensile tests. Before testing, the specimens were conditioned at </w:t>
      </w:r>
      <w:r w:rsidRPr="00251A01">
        <w:rPr>
          <w:bCs/>
        </w:rPr>
        <w:t>23 ± 2 °C and 50 ± 5% relative humidity for 48 h</w:t>
      </w:r>
      <w:r w:rsidRPr="00251A01">
        <w:t xml:space="preserve">. The tensile tests were then conducted under the same environmental conditions at a </w:t>
      </w:r>
      <w:r w:rsidRPr="00251A01">
        <w:rPr>
          <w:bCs/>
        </w:rPr>
        <w:t>crosshead speed of 50 mm/min</w:t>
      </w:r>
      <w:r w:rsidRPr="00251A01">
        <w:t xml:space="preserve">. The values obtained from the tested specimens are presented in </w:t>
      </w:r>
      <w:r w:rsidRPr="00251A01">
        <w:rPr>
          <w:bCs/>
        </w:rPr>
        <w:t>Table 2</w:t>
      </w:r>
      <w:r w:rsidRPr="00251A01">
        <w:t xml:space="preserve">.  </w:t>
      </w:r>
    </w:p>
    <w:p w14:paraId="73770802" w14:textId="61F02465" w:rsidR="00951855" w:rsidRPr="007760CB" w:rsidRDefault="00951855" w:rsidP="00F84B1A">
      <w:pPr>
        <w:pStyle w:val="CETHeading1"/>
      </w:pPr>
      <w:r w:rsidRPr="007760CB">
        <w:t>Results and discussion</w:t>
      </w:r>
    </w:p>
    <w:p w14:paraId="387B29D7" w14:textId="48178B6D" w:rsidR="00951855" w:rsidRPr="002F29D9" w:rsidRDefault="00951855" w:rsidP="00807983">
      <w:pPr>
        <w:pStyle w:val="CETheadingx"/>
      </w:pPr>
      <w:r w:rsidRPr="002F29D9">
        <w:rPr>
          <w:lang w:val="uz-Cyrl-UZ"/>
        </w:rPr>
        <w:t xml:space="preserve">Characterization of </w:t>
      </w:r>
      <w:r w:rsidRPr="002F29D9">
        <w:t xml:space="preserve">Ammonium acrylate phosphate </w:t>
      </w:r>
      <w:r w:rsidR="00D24E34">
        <w:t>flame-retardant</w:t>
      </w:r>
      <w:r w:rsidRPr="002F29D9">
        <w:t xml:space="preserve"> </w:t>
      </w:r>
    </w:p>
    <w:p w14:paraId="6800F359" w14:textId="3C8D079E" w:rsidR="00951855" w:rsidRDefault="00951855" w:rsidP="00A239B2">
      <w:pPr>
        <w:pStyle w:val="CETBodytext"/>
        <w:rPr>
          <w:b/>
          <w:bCs/>
          <w:shd w:val="clear" w:color="auto" w:fill="FFFFFF"/>
        </w:rPr>
      </w:pPr>
      <w:r w:rsidRPr="00A239B2">
        <w:rPr>
          <w:b/>
          <w:bCs/>
          <w:shd w:val="clear" w:color="auto" w:fill="FFFFFF"/>
        </w:rPr>
        <w:t>Infrared (IR) spectroscopy</w:t>
      </w:r>
    </w:p>
    <w:p w14:paraId="3590E68F" w14:textId="55B0E26D" w:rsidR="00951855" w:rsidRPr="00E44614" w:rsidRDefault="007D6CA2" w:rsidP="007D6CA2">
      <w:pPr>
        <w:pStyle w:val="CETBodytext"/>
        <w:rPr>
          <w:rFonts w:cs="Arial"/>
          <w:szCs w:val="18"/>
        </w:rPr>
      </w:pPr>
      <w:r w:rsidRPr="007D6CA2">
        <w:t>In Figure 1, in the IR spectrum of acrylic acid, an absorption line was observed in the region of 1712.86 cm-1, which corresponds to the valence vibrations of the C=C-COOH bond, the valence vibrations of the -C=C- bond were observed in the region of 1427.39 cm-1, and the valence vibrations of the -OH bond were observed in the region of 978.92 cm-1.</w:t>
      </w:r>
    </w:p>
    <w:p w14:paraId="12E9CDED" w14:textId="77777777" w:rsidR="00951855" w:rsidRPr="00E44614" w:rsidRDefault="00951855" w:rsidP="007D6CA2">
      <w:pPr>
        <w:pStyle w:val="CETCaption"/>
        <w:rPr>
          <w:lang w:val="en-US"/>
        </w:rPr>
      </w:pPr>
      <w:r w:rsidRPr="00E44614">
        <w:rPr>
          <w:noProof/>
          <w:lang w:val="ru-RU" w:eastAsia="ru-RU"/>
        </w:rPr>
        <w:drawing>
          <wp:inline distT="0" distB="0" distL="0" distR="0" wp14:anchorId="475D3B54" wp14:editId="6FB431BE">
            <wp:extent cx="3335601" cy="2163972"/>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98429" cy="2204732"/>
                    </a:xfrm>
                    <a:prstGeom prst="rect">
                      <a:avLst/>
                    </a:prstGeom>
                  </pic:spPr>
                </pic:pic>
              </a:graphicData>
            </a:graphic>
          </wp:inline>
        </w:drawing>
      </w:r>
    </w:p>
    <w:p w14:paraId="2E8DA5A3" w14:textId="196F7D4A" w:rsidR="00951855" w:rsidRPr="006B76D3" w:rsidRDefault="00951855" w:rsidP="006B76D3">
      <w:pPr>
        <w:pStyle w:val="CETCaption"/>
        <w:rPr>
          <w:lang w:val="en-US"/>
        </w:rPr>
      </w:pPr>
      <w:r w:rsidRPr="006B76D3">
        <w:rPr>
          <w:lang w:val="en-US"/>
        </w:rPr>
        <w:t>Figure 1:</w:t>
      </w:r>
      <w:r w:rsidR="007D6CA2">
        <w:rPr>
          <w:lang w:val="en-US"/>
        </w:rPr>
        <w:t xml:space="preserve"> </w:t>
      </w:r>
      <w:r w:rsidR="007D6CA2" w:rsidRPr="007D6CA2">
        <w:rPr>
          <w:lang w:val="en-US"/>
        </w:rPr>
        <w:t>IR spectrum of acrylic acid</w:t>
      </w:r>
    </w:p>
    <w:p w14:paraId="7C87C8DD" w14:textId="371917D2" w:rsidR="00951855" w:rsidRPr="00E44614" w:rsidRDefault="007D6CA2" w:rsidP="007D6CA2">
      <w:pPr>
        <w:pStyle w:val="CETBodytext"/>
        <w:rPr>
          <w:rFonts w:cs="Arial"/>
          <w:b/>
          <w:bCs/>
          <w:szCs w:val="18"/>
        </w:rPr>
      </w:pPr>
      <w:r w:rsidRPr="007D6CA2">
        <w:t xml:space="preserve">In Figure 2, in the IR spectrum of </w:t>
      </w:r>
      <w:r w:rsidR="00BF240C">
        <w:t xml:space="preserve">the </w:t>
      </w:r>
      <w:r w:rsidRPr="007D6CA2">
        <w:t>monoammonium phosphate salt, an absorption line characteristic of the stretching vibrations of the NH4+ group was observed in the region of 3249 cm-1. The stretching vibrations of the H2PO4- group were observed in the region of 1102 cm-1, the stretching vibrations of the P=O bond in the region of 1288 cm-1, and the stretching vibrations of the -OH bond in the region of 918 cm-1.</w:t>
      </w:r>
    </w:p>
    <w:p w14:paraId="0031C7D7" w14:textId="77777777" w:rsidR="00951855" w:rsidRPr="00E44614" w:rsidRDefault="00951855" w:rsidP="007D6CA2">
      <w:pPr>
        <w:pStyle w:val="CETCaption"/>
        <w:rPr>
          <w:noProof/>
        </w:rPr>
      </w:pPr>
      <w:r w:rsidRPr="00E44614">
        <w:rPr>
          <w:noProof/>
          <w:lang w:val="ru-RU" w:eastAsia="ru-RU"/>
        </w:rPr>
        <w:drawing>
          <wp:inline distT="0" distB="0" distL="0" distR="0" wp14:anchorId="1DBFE074" wp14:editId="6B56ADA8">
            <wp:extent cx="3934460" cy="2271094"/>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52272" cy="2281376"/>
                    </a:xfrm>
                    <a:prstGeom prst="rect">
                      <a:avLst/>
                    </a:prstGeom>
                  </pic:spPr>
                </pic:pic>
              </a:graphicData>
            </a:graphic>
          </wp:inline>
        </w:drawing>
      </w:r>
    </w:p>
    <w:p w14:paraId="10CC38D5" w14:textId="6B838BF0" w:rsidR="00951855" w:rsidRPr="00CB620C" w:rsidRDefault="007D6CA2" w:rsidP="007D6CA2">
      <w:pPr>
        <w:pStyle w:val="CETCaption"/>
      </w:pPr>
      <w:r w:rsidRPr="007D6CA2">
        <w:rPr>
          <w:lang w:val="en-US"/>
        </w:rPr>
        <w:t>Figure 2</w:t>
      </w:r>
      <w:r>
        <w:rPr>
          <w:lang w:val="en-US"/>
        </w:rPr>
        <w:t>:</w:t>
      </w:r>
      <w:r w:rsidRPr="007D6CA2">
        <w:rPr>
          <w:lang w:val="en-US"/>
        </w:rPr>
        <w:t xml:space="preserve"> IR spectrum of monoammonium phosphate</w:t>
      </w:r>
    </w:p>
    <w:p w14:paraId="58E2DFF3" w14:textId="40188DFC" w:rsidR="00951855" w:rsidRDefault="001F1801" w:rsidP="00CB620C">
      <w:pPr>
        <w:pStyle w:val="CETBodytext"/>
      </w:pPr>
      <w:r w:rsidRPr="007D6CA2">
        <w:lastRenderedPageBreak/>
        <w:t xml:space="preserve">In Figure </w:t>
      </w:r>
      <w:r w:rsidR="00A239B2">
        <w:t>3</w:t>
      </w:r>
      <w:r w:rsidRPr="007D6CA2">
        <w:t xml:space="preserve">, </w:t>
      </w:r>
      <w:r>
        <w:t>i</w:t>
      </w:r>
      <w:r w:rsidRPr="001F1801">
        <w:t>n the IR spectrum of the synthesized</w:t>
      </w:r>
      <w:r w:rsidR="00CE3CA7" w:rsidRPr="003C478E">
        <w:rPr>
          <w:color w:val="FF0000"/>
        </w:rPr>
        <w:t xml:space="preserve"> </w:t>
      </w:r>
      <w:r w:rsidR="00CE3CA7" w:rsidRPr="00C352BA">
        <w:t>ammonium</w:t>
      </w:r>
      <w:r w:rsidR="00CE3CA7" w:rsidRPr="003C478E">
        <w:rPr>
          <w:color w:val="FF0000"/>
        </w:rPr>
        <w:t xml:space="preserve"> </w:t>
      </w:r>
      <w:r w:rsidR="00CE3CA7" w:rsidRPr="00CE3CA7">
        <w:t xml:space="preserve">acrylate phosphate </w:t>
      </w:r>
      <w:r w:rsidR="00CE3CA7">
        <w:t>flame-retardant,</w:t>
      </w:r>
      <w:r w:rsidR="00CE3CA7" w:rsidRPr="00CE3CA7">
        <w:t xml:space="preserve"> </w:t>
      </w:r>
      <w:r w:rsidRPr="001F1801">
        <w:t xml:space="preserve"> an absorption line characteristic of the stretching vibrations of the NH4+ group was observed in the region of 3118.06 cm-1. The stretching vibrations of the -C=C-COOR bond of the complex ester connected by the double bond were observed in the region of 1722.51 cm-1, the stretching vibrations of the P=O bond in the region of 1282.72 cm-1, the stretching vibrations of the HPO4-2 bond in the region of 1098.51 cm-1, and the stretching vibrations of the -C-O-P- bond in the region of 932.62 cm-1.</w:t>
      </w:r>
      <w:r w:rsidR="00D24E34">
        <w:t xml:space="preserve"> </w:t>
      </w:r>
      <w:r w:rsidR="00CE3CA7">
        <w:t xml:space="preserve"> </w:t>
      </w:r>
    </w:p>
    <w:p w14:paraId="12B649CC" w14:textId="77777777" w:rsidR="00951855" w:rsidRPr="00E44614" w:rsidRDefault="00951855" w:rsidP="007963D9">
      <w:pPr>
        <w:spacing w:line="240" w:lineRule="auto"/>
        <w:jc w:val="left"/>
        <w:rPr>
          <w:rFonts w:cs="Arial"/>
          <w:b/>
          <w:bCs/>
          <w:szCs w:val="18"/>
          <w:lang w:val="en-US"/>
        </w:rPr>
      </w:pPr>
      <w:r w:rsidRPr="00E44614">
        <w:rPr>
          <w:rFonts w:cs="Arial"/>
          <w:noProof/>
          <w:szCs w:val="18"/>
          <w:lang w:val="ru-RU" w:eastAsia="ru-RU"/>
        </w:rPr>
        <w:drawing>
          <wp:inline distT="0" distB="0" distL="0" distR="0" wp14:anchorId="13F714E1" wp14:editId="62558E7F">
            <wp:extent cx="4484944" cy="240574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0438"/>
                    <a:stretch/>
                  </pic:blipFill>
                  <pic:spPr bwMode="auto">
                    <a:xfrm>
                      <a:off x="0" y="0"/>
                      <a:ext cx="4517037" cy="2422958"/>
                    </a:xfrm>
                    <a:prstGeom prst="rect">
                      <a:avLst/>
                    </a:prstGeom>
                    <a:ln>
                      <a:noFill/>
                    </a:ln>
                    <a:extLst>
                      <a:ext uri="{53640926-AAD7-44D8-BBD7-CCE9431645EC}">
                        <a14:shadowObscured xmlns:a14="http://schemas.microsoft.com/office/drawing/2010/main"/>
                      </a:ext>
                    </a:extLst>
                  </pic:spPr>
                </pic:pic>
              </a:graphicData>
            </a:graphic>
          </wp:inline>
        </w:drawing>
      </w:r>
    </w:p>
    <w:p w14:paraId="7639DEF6" w14:textId="04CF5BBB" w:rsidR="00951855" w:rsidRPr="00E44614" w:rsidRDefault="004B3DEB" w:rsidP="00CB620C">
      <w:pPr>
        <w:pStyle w:val="CETCaption"/>
        <w:rPr>
          <w:lang w:val="en-US"/>
        </w:rPr>
      </w:pPr>
      <w:r w:rsidRPr="004B3DEB">
        <w:rPr>
          <w:lang w:val="en-US"/>
        </w:rPr>
        <w:t>Figure 3</w:t>
      </w:r>
      <w:r>
        <w:rPr>
          <w:lang w:val="en-US"/>
        </w:rPr>
        <w:t>:</w:t>
      </w:r>
      <w:r w:rsidRPr="004B3DEB">
        <w:rPr>
          <w:lang w:val="en-US"/>
        </w:rPr>
        <w:t xml:space="preserve"> IR spectrum of a product synthesized from acrylic acid and monoammonium phosphate</w:t>
      </w:r>
    </w:p>
    <w:p w14:paraId="252B8AFD" w14:textId="71889268" w:rsidR="00951855" w:rsidRPr="00296600" w:rsidRDefault="00951855" w:rsidP="00296600">
      <w:pPr>
        <w:pStyle w:val="CETBodytext"/>
        <w:rPr>
          <w:b/>
          <w:bCs/>
          <w:shd w:val="clear" w:color="auto" w:fill="FFFFFF"/>
        </w:rPr>
      </w:pPr>
      <w:r w:rsidRPr="00296600">
        <w:rPr>
          <w:b/>
          <w:bCs/>
          <w:shd w:val="clear" w:color="auto" w:fill="FFFFFF"/>
        </w:rPr>
        <w:t>Thermogravimetric Analysis (TGA)</w:t>
      </w:r>
    </w:p>
    <w:p w14:paraId="127FDD10" w14:textId="77777777" w:rsidR="00951855" w:rsidRPr="00E44614" w:rsidRDefault="00951855" w:rsidP="00951855">
      <w:pPr>
        <w:spacing w:line="240" w:lineRule="auto"/>
        <w:rPr>
          <w:rFonts w:cs="Arial"/>
          <w:b/>
          <w:bCs/>
          <w:szCs w:val="18"/>
          <w:lang w:val="en-US"/>
        </w:rPr>
      </w:pPr>
    </w:p>
    <w:p w14:paraId="7C5845F2" w14:textId="6CF9E30E" w:rsidR="00951855" w:rsidRDefault="00DD4735" w:rsidP="00DD4735">
      <w:pPr>
        <w:pStyle w:val="CETBodytext"/>
      </w:pPr>
      <w:r>
        <w:t xml:space="preserve">Figure 4 presents the analysis of the thermogravimetric analysis (TGA) curve of </w:t>
      </w:r>
      <w:bookmarkStart w:id="1" w:name="_GoBack"/>
      <w:r w:rsidRPr="00C352BA">
        <w:t xml:space="preserve">the synthesized </w:t>
      </w:r>
      <w:r w:rsidR="004E5B89" w:rsidRPr="00C352BA">
        <w:t>ammonium acrylate phosphate flame-retardant</w:t>
      </w:r>
      <w:r w:rsidRPr="00C352BA">
        <w:t xml:space="preserve">. Three intensive decomposition temperature ranges were observed in the TGA curve of the thermogram. The process occurred in three stages: </w:t>
      </w:r>
      <w:r w:rsidR="006E2074" w:rsidRPr="00C352BA">
        <w:t xml:space="preserve">The first mass-loss stage occurred in the temperature range of </w:t>
      </w:r>
      <w:r w:rsidR="006E2074" w:rsidRPr="00C352BA">
        <w:rPr>
          <w:rStyle w:val="afffe"/>
          <w:b w:val="0"/>
        </w:rPr>
        <w:t>31.48–285.45 °C</w:t>
      </w:r>
      <w:r w:rsidR="006E2074" w:rsidRPr="00C352BA">
        <w:t xml:space="preserve"> with a weight loss of approximately </w:t>
      </w:r>
      <w:r w:rsidR="00373293" w:rsidRPr="00C352BA">
        <w:t>1.310 mg (</w:t>
      </w:r>
      <w:r w:rsidR="006E2074" w:rsidRPr="00C352BA">
        <w:rPr>
          <w:rStyle w:val="afffe"/>
          <w:b w:val="0"/>
        </w:rPr>
        <w:t>16.</w:t>
      </w:r>
      <w:r w:rsidR="00373293" w:rsidRPr="00C352BA">
        <w:rPr>
          <w:rStyle w:val="afffe"/>
          <w:b w:val="0"/>
        </w:rPr>
        <w:t xml:space="preserve">639 </w:t>
      </w:r>
      <w:r w:rsidR="006E2074" w:rsidRPr="00C352BA">
        <w:rPr>
          <w:rStyle w:val="afffe"/>
          <w:b w:val="0"/>
        </w:rPr>
        <w:t>%</w:t>
      </w:r>
      <w:r w:rsidR="00373293" w:rsidRPr="00C352BA">
        <w:rPr>
          <w:rStyle w:val="afffe"/>
          <w:b w:val="0"/>
        </w:rPr>
        <w:t>)</w:t>
      </w:r>
      <w:r w:rsidR="006E2074" w:rsidRPr="00C352BA">
        <w:rPr>
          <w:b/>
        </w:rPr>
        <w:t>.</w:t>
      </w:r>
      <w:r w:rsidR="006E2074" w:rsidRPr="00C352BA">
        <w:t xml:space="preserve"> This weight loss is attributed not only to the evaporation of physically adsorbed moisture and residual volatile compounds but also to the initial thermal decomposition of thermally unstable phosphorus-containing structures. The broad temperature interval suggests that partial cleavage of weak chemical bonds and possible decomposition or hydrolysis </w:t>
      </w:r>
      <w:r w:rsidR="00F75793" w:rsidRPr="00C352BA">
        <w:t>of phosphate-containing groups may</w:t>
      </w:r>
      <w:r w:rsidR="006E2074" w:rsidRPr="00C352BA">
        <w:t xml:space="preserve"> contribute to the observed mass loss.</w:t>
      </w:r>
      <w:r w:rsidR="002609FD" w:rsidRPr="00C352BA">
        <w:t xml:space="preserve"> </w:t>
      </w:r>
      <w:r w:rsidRPr="00C352BA">
        <w:t xml:space="preserve">The </w:t>
      </w:r>
      <w:bookmarkEnd w:id="1"/>
      <w:r>
        <w:t xml:space="preserve">second decomposition of the sample was in the temperature range of 285.45-506.97 </w:t>
      </w:r>
      <w:r w:rsidR="0052772B">
        <w:t>°C</w:t>
      </w:r>
      <w:r w:rsidR="00E94CFC">
        <w:t>,</w:t>
      </w:r>
      <w:r>
        <w:t xml:space="preserve"> and the decomposition of organic residues or hydroxyl groups occurred. In this case, the sample lost 1.400 mg (17.782 %) of mass. The third decomposition was in the temperature range of 506.97-801.87 </w:t>
      </w:r>
      <w:r w:rsidR="0052772B">
        <w:t>°C</w:t>
      </w:r>
      <w:r w:rsidR="003577C6">
        <w:t>,</w:t>
      </w:r>
      <w:r>
        <w:t xml:space="preserve"> and the complete decomposition of the main organic substance occurred. In this case, the sample lost 3.951 mg (50.184 %) of mass.</w:t>
      </w:r>
      <w:r w:rsidR="000E4ED5">
        <w:t xml:space="preserve"> </w:t>
      </w:r>
      <w:r>
        <w:t xml:space="preserve">In the DSC thermogram, the liquefaction of the synthesized sample began at a temperature of 195.19 </w:t>
      </w:r>
      <w:r w:rsidR="0052772B">
        <w:t>°C</w:t>
      </w:r>
      <w:r>
        <w:t xml:space="preserve"> and ended at a temperature of 220.22 </w:t>
      </w:r>
      <w:r w:rsidR="0052772B">
        <w:t>°C</w:t>
      </w:r>
      <w:r>
        <w:t>, i.e., a strong exothermic peak was observed. The maximum value of the peak was recorded at T</w:t>
      </w:r>
      <w:r w:rsidRPr="00DD4735">
        <w:rPr>
          <w:vertAlign w:val="subscript"/>
        </w:rPr>
        <w:t>peak</w:t>
      </w:r>
      <w:r>
        <w:t xml:space="preserve">=206.03 </w:t>
      </w:r>
      <w:r w:rsidR="0052772B">
        <w:t>°C</w:t>
      </w:r>
      <w:r>
        <w:t>. The magnitude of the heat effect for this process was ΔH= -434.13 J/g</w:t>
      </w:r>
      <w:r w:rsidR="0052772B">
        <w:t>,</w:t>
      </w:r>
      <w:r>
        <w:t xml:space="preserve"> and the signal intensity was -3.85 </w:t>
      </w:r>
      <w:r w:rsidR="0052772B">
        <w:t>µ</w:t>
      </w:r>
      <w:r>
        <w:t xml:space="preserve">V/mg. The wide endothermic-exothermic change observed in the range of 285.45-506.97 </w:t>
      </w:r>
      <w:r w:rsidR="0052772B">
        <w:t>°C</w:t>
      </w:r>
      <w:r>
        <w:t xml:space="preserve"> can be explained by the thermal decomposition of the obtained organic substance and the dissociation of hydroxyl groups in the component. In the range of 506.97-801.78 </w:t>
      </w:r>
      <w:r w:rsidR="0052772B">
        <w:t>°C</w:t>
      </w:r>
      <w:r>
        <w:t>, an increasing exothermic phenomenon was recorded, which corresponds to the combustion of the organic substance and the recrystallization of the residue. DSC analysis confirmed the presence of a three-step thermal process in the sample, and TGA results further substantiated it.</w:t>
      </w:r>
    </w:p>
    <w:p w14:paraId="092E029E" w14:textId="77777777" w:rsidR="00714F75" w:rsidRDefault="00714F75" w:rsidP="00714F75">
      <w:pPr>
        <w:pStyle w:val="CETBodytext"/>
      </w:pPr>
    </w:p>
    <w:p w14:paraId="18B22251" w14:textId="7260409E" w:rsidR="00F93916" w:rsidRPr="00E44614" w:rsidRDefault="00F93916" w:rsidP="00B548E7">
      <w:pPr>
        <w:spacing w:line="240" w:lineRule="auto"/>
        <w:rPr>
          <w:rFonts w:cs="Arial"/>
          <w:szCs w:val="18"/>
          <w:lang w:val="en-US"/>
        </w:rPr>
      </w:pPr>
      <w:r>
        <w:rPr>
          <w:noProof/>
          <w:lang w:val="ru-RU" w:eastAsia="ru-RU"/>
        </w:rPr>
        <w:lastRenderedPageBreak/>
        <w:drawing>
          <wp:inline distT="0" distB="0" distL="0" distR="0" wp14:anchorId="719BDB9E" wp14:editId="6C9285FF">
            <wp:extent cx="4064000" cy="2833283"/>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85079" cy="2847979"/>
                    </a:xfrm>
                    <a:prstGeom prst="rect">
                      <a:avLst/>
                    </a:prstGeom>
                  </pic:spPr>
                </pic:pic>
              </a:graphicData>
            </a:graphic>
          </wp:inline>
        </w:drawing>
      </w:r>
    </w:p>
    <w:p w14:paraId="55D281A5" w14:textId="352A443C" w:rsidR="00B548E7" w:rsidRDefault="003577C6" w:rsidP="00714F75">
      <w:pPr>
        <w:pStyle w:val="CETCaption"/>
        <w:rPr>
          <w:lang w:val="en-US"/>
        </w:rPr>
      </w:pPr>
      <w:r w:rsidRPr="003577C6">
        <w:rPr>
          <w:lang w:val="en-US"/>
        </w:rPr>
        <w:t>Figure 4</w:t>
      </w:r>
      <w:r>
        <w:rPr>
          <w:lang w:val="en-US"/>
        </w:rPr>
        <w:t>:</w:t>
      </w:r>
      <w:r w:rsidRPr="003577C6">
        <w:rPr>
          <w:lang w:val="en-US"/>
        </w:rPr>
        <w:t xml:space="preserve"> Differential thermogravimetric analysis of N-P flame</w:t>
      </w:r>
      <w:r w:rsidR="005A2763">
        <w:rPr>
          <w:lang w:val="en-US"/>
        </w:rPr>
        <w:t>-</w:t>
      </w:r>
      <w:r w:rsidRPr="003577C6">
        <w:rPr>
          <w:lang w:val="en-US"/>
        </w:rPr>
        <w:t>retardant synthesized based on acrylic acid and monoammonium phosphate.</w:t>
      </w:r>
    </w:p>
    <w:p w14:paraId="4DE51B7C" w14:textId="0BC7F643" w:rsidR="00951855" w:rsidRPr="00E44614" w:rsidRDefault="00701D2A" w:rsidP="00714F75">
      <w:pPr>
        <w:pStyle w:val="CETBodytext"/>
      </w:pPr>
      <w:r w:rsidRPr="00701D2A">
        <w:t xml:space="preserve">In general, within the temperature range of </w:t>
      </w:r>
      <w:r>
        <w:t>31.48-801.87 °C</w:t>
      </w:r>
      <w:r w:rsidRPr="00701D2A">
        <w:t>, the initial mass of the sample was 7.873 mg, the mass loss of the sample was 6.661 mg (84.605%), and the final residual mass was 1.212 mg (15.395%), which took 79.78 minutes. The analysis of the thermogravimetric analysis curve and the differential thermal analysis curve can be seen in Table 1.</w:t>
      </w:r>
    </w:p>
    <w:p w14:paraId="123DA4F6" w14:textId="3659B493" w:rsidR="00951855" w:rsidRPr="00714F75" w:rsidRDefault="00701D2A" w:rsidP="00714F75">
      <w:pPr>
        <w:pStyle w:val="CETTabletitle"/>
        <w:rPr>
          <w:lang w:val="en-US"/>
        </w:rPr>
      </w:pPr>
      <w:r w:rsidRPr="00701D2A">
        <w:rPr>
          <w:lang w:val="en-US"/>
        </w:rPr>
        <w:t>Table 1: Analysis of TGA parameters of the salt obtained as a result of the chemical reaction</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067"/>
        <w:gridCol w:w="1616"/>
        <w:gridCol w:w="848"/>
        <w:gridCol w:w="1551"/>
        <w:gridCol w:w="1463"/>
        <w:gridCol w:w="2242"/>
      </w:tblGrid>
      <w:tr w:rsidR="00951855" w:rsidRPr="00E44614" w14:paraId="35456320" w14:textId="77777777" w:rsidTr="009B78DB">
        <w:tc>
          <w:tcPr>
            <w:tcW w:w="1074" w:type="dxa"/>
            <w:tcBorders>
              <w:top w:val="single" w:sz="12" w:space="0" w:color="008000"/>
              <w:bottom w:val="single" w:sz="6" w:space="0" w:color="008000"/>
            </w:tcBorders>
            <w:shd w:val="clear" w:color="auto" w:fill="FFFFFF"/>
            <w:vAlign w:val="center"/>
          </w:tcPr>
          <w:p w14:paraId="61EE1E06" w14:textId="77777777" w:rsidR="00951855" w:rsidRPr="00E44614" w:rsidRDefault="00951855" w:rsidP="006D5215">
            <w:pPr>
              <w:pStyle w:val="CETBodytext"/>
              <w:rPr>
                <w:lang w:val="en-GB"/>
              </w:rPr>
            </w:pPr>
            <w:r w:rsidRPr="00E44614">
              <w:t>№</w:t>
            </w:r>
          </w:p>
        </w:tc>
        <w:tc>
          <w:tcPr>
            <w:tcW w:w="1620" w:type="dxa"/>
            <w:tcBorders>
              <w:top w:val="single" w:sz="12" w:space="0" w:color="008000"/>
              <w:bottom w:val="single" w:sz="6" w:space="0" w:color="008000"/>
            </w:tcBorders>
            <w:shd w:val="clear" w:color="auto" w:fill="FFFFFF"/>
            <w:vAlign w:val="center"/>
          </w:tcPr>
          <w:p w14:paraId="0702AFEA" w14:textId="52442881" w:rsidR="00951855" w:rsidRPr="00E44614" w:rsidRDefault="00701D2A" w:rsidP="006D5215">
            <w:pPr>
              <w:pStyle w:val="CETBodytext"/>
              <w:rPr>
                <w:lang w:val="en-GB"/>
              </w:rPr>
            </w:pPr>
            <w:r>
              <w:t>Temperature (</w:t>
            </w:r>
            <w:r w:rsidR="00951855" w:rsidRPr="00E44614">
              <w:rPr>
                <w:vertAlign w:val="superscript"/>
                <w:lang w:val="uz-Cyrl-UZ"/>
              </w:rPr>
              <w:t>о</w:t>
            </w:r>
            <w:r w:rsidR="00951855" w:rsidRPr="00E44614">
              <w:t>C)</w:t>
            </w:r>
          </w:p>
        </w:tc>
        <w:tc>
          <w:tcPr>
            <w:tcW w:w="850" w:type="dxa"/>
            <w:tcBorders>
              <w:top w:val="single" w:sz="12" w:space="0" w:color="008000"/>
              <w:bottom w:val="single" w:sz="6" w:space="0" w:color="008000"/>
            </w:tcBorders>
            <w:shd w:val="clear" w:color="auto" w:fill="FFFFFF"/>
            <w:vAlign w:val="center"/>
          </w:tcPr>
          <w:p w14:paraId="0D234E6C" w14:textId="3877CD11" w:rsidR="00951855" w:rsidRPr="00E44614" w:rsidRDefault="00701D2A" w:rsidP="006D5215">
            <w:pPr>
              <w:pStyle w:val="CETBodytext"/>
            </w:pPr>
            <w:r>
              <w:t>Time</w:t>
            </w:r>
            <w:r w:rsidR="00951855" w:rsidRPr="00E44614">
              <w:t>,</w:t>
            </w:r>
          </w:p>
          <w:p w14:paraId="1E84315F" w14:textId="7CE55245" w:rsidR="00951855" w:rsidRPr="00E44614" w:rsidRDefault="00701D2A" w:rsidP="006D5215">
            <w:pPr>
              <w:pStyle w:val="CETBodytext"/>
              <w:rPr>
                <w:lang w:val="en-GB"/>
              </w:rPr>
            </w:pPr>
            <w:r>
              <w:t>m</w:t>
            </w:r>
            <w:r w:rsidR="00951855" w:rsidRPr="00E44614">
              <w:t>in</w:t>
            </w:r>
            <w:r>
              <w:t>ute</w:t>
            </w:r>
          </w:p>
        </w:tc>
        <w:tc>
          <w:tcPr>
            <w:tcW w:w="1559" w:type="dxa"/>
            <w:tcBorders>
              <w:top w:val="single" w:sz="12" w:space="0" w:color="008000"/>
              <w:bottom w:val="single" w:sz="6" w:space="0" w:color="008000"/>
            </w:tcBorders>
            <w:shd w:val="clear" w:color="auto" w:fill="FFFFFF"/>
            <w:vAlign w:val="center"/>
          </w:tcPr>
          <w:p w14:paraId="5066BC76" w14:textId="401F5569" w:rsidR="00951855" w:rsidRPr="00E44614" w:rsidRDefault="00701D2A" w:rsidP="006D5215">
            <w:pPr>
              <w:pStyle w:val="CETBodytext"/>
              <w:rPr>
                <w:lang w:val="en-GB"/>
              </w:rPr>
            </w:pPr>
            <w:r w:rsidRPr="00701D2A">
              <w:t xml:space="preserve">Lost mass </w:t>
            </w:r>
            <w:r w:rsidR="00951855" w:rsidRPr="00E44614">
              <w:t>(mg)</w:t>
            </w:r>
          </w:p>
        </w:tc>
        <w:tc>
          <w:tcPr>
            <w:tcW w:w="1470" w:type="dxa"/>
            <w:tcBorders>
              <w:top w:val="single" w:sz="12" w:space="0" w:color="008000"/>
              <w:bottom w:val="single" w:sz="6" w:space="0" w:color="008000"/>
            </w:tcBorders>
            <w:shd w:val="clear" w:color="auto" w:fill="FFFFFF"/>
            <w:vAlign w:val="center"/>
          </w:tcPr>
          <w:p w14:paraId="1058E87E" w14:textId="59B42F0F" w:rsidR="00951855" w:rsidRPr="00E44614" w:rsidRDefault="00701D2A" w:rsidP="006D5215">
            <w:pPr>
              <w:pStyle w:val="CETBodytext"/>
              <w:rPr>
                <w:lang w:val="en-GB"/>
              </w:rPr>
            </w:pPr>
            <w:r w:rsidRPr="00701D2A">
              <w:t xml:space="preserve">Lost mass </w:t>
            </w:r>
            <w:r w:rsidR="00951855" w:rsidRPr="00E44614">
              <w:t>(%)</w:t>
            </w:r>
          </w:p>
        </w:tc>
        <w:tc>
          <w:tcPr>
            <w:tcW w:w="2254" w:type="dxa"/>
            <w:tcBorders>
              <w:top w:val="single" w:sz="12" w:space="0" w:color="008000"/>
              <w:bottom w:val="single" w:sz="6" w:space="0" w:color="008000"/>
            </w:tcBorders>
            <w:shd w:val="clear" w:color="auto" w:fill="FFFFFF"/>
            <w:vAlign w:val="center"/>
          </w:tcPr>
          <w:p w14:paraId="3DDBD349" w14:textId="6D6C55EC" w:rsidR="00951855" w:rsidRPr="00E44614" w:rsidRDefault="00701D2A" w:rsidP="006D5215">
            <w:pPr>
              <w:pStyle w:val="CETBodytext"/>
              <w:rPr>
                <w:lang w:val="en-GB"/>
              </w:rPr>
            </w:pPr>
            <w:r w:rsidRPr="00701D2A">
              <w:t>Average rate of mass loss (mg/min)</w:t>
            </w:r>
          </w:p>
        </w:tc>
      </w:tr>
      <w:tr w:rsidR="00951855" w:rsidRPr="00E44614" w14:paraId="4FDA90DC" w14:textId="77777777" w:rsidTr="009B78DB">
        <w:tc>
          <w:tcPr>
            <w:tcW w:w="1074" w:type="dxa"/>
            <w:shd w:val="clear" w:color="auto" w:fill="FFFFFF"/>
          </w:tcPr>
          <w:p w14:paraId="41F880AA" w14:textId="77777777" w:rsidR="00951855" w:rsidRPr="00E44614" w:rsidRDefault="00951855" w:rsidP="006D5215">
            <w:pPr>
              <w:pStyle w:val="CETBodytext"/>
              <w:rPr>
                <w:lang w:val="en-GB"/>
              </w:rPr>
            </w:pPr>
            <w:r w:rsidRPr="00E44614">
              <w:rPr>
                <w:lang w:val="en-GB"/>
              </w:rPr>
              <w:t>1</w:t>
            </w:r>
          </w:p>
        </w:tc>
        <w:tc>
          <w:tcPr>
            <w:tcW w:w="1620" w:type="dxa"/>
            <w:shd w:val="clear" w:color="auto" w:fill="FFFFFF"/>
          </w:tcPr>
          <w:p w14:paraId="756CE2E1" w14:textId="77777777" w:rsidR="00951855" w:rsidRPr="00E44614" w:rsidRDefault="00951855" w:rsidP="006D5215">
            <w:pPr>
              <w:pStyle w:val="CETBodytext"/>
              <w:rPr>
                <w:lang w:val="en-GB"/>
              </w:rPr>
            </w:pPr>
            <w:r w:rsidRPr="00E44614">
              <w:t>31,48-285,45</w:t>
            </w:r>
          </w:p>
        </w:tc>
        <w:tc>
          <w:tcPr>
            <w:tcW w:w="850" w:type="dxa"/>
            <w:shd w:val="clear" w:color="auto" w:fill="FFFFFF"/>
          </w:tcPr>
          <w:p w14:paraId="6D48CBDE" w14:textId="77777777" w:rsidR="00951855" w:rsidRPr="00E44614" w:rsidRDefault="00951855" w:rsidP="006D5215">
            <w:pPr>
              <w:pStyle w:val="CETBodytext"/>
              <w:rPr>
                <w:lang w:val="en-GB"/>
              </w:rPr>
            </w:pPr>
            <w:r w:rsidRPr="00E44614">
              <w:t>26</w:t>
            </w:r>
            <w:r w:rsidRPr="00E44614">
              <w:rPr>
                <w:lang w:val="uz-Latn-UZ"/>
              </w:rPr>
              <w:t>,76</w:t>
            </w:r>
          </w:p>
        </w:tc>
        <w:tc>
          <w:tcPr>
            <w:tcW w:w="1559" w:type="dxa"/>
            <w:shd w:val="clear" w:color="auto" w:fill="FFFFFF"/>
          </w:tcPr>
          <w:p w14:paraId="1CC206DA" w14:textId="77777777" w:rsidR="00951855" w:rsidRPr="00E44614" w:rsidRDefault="00951855" w:rsidP="006D5215">
            <w:pPr>
              <w:pStyle w:val="CETBodytext"/>
              <w:rPr>
                <w:lang w:val="en-GB"/>
              </w:rPr>
            </w:pPr>
            <w:r w:rsidRPr="00E44614">
              <w:t>1,310</w:t>
            </w:r>
          </w:p>
        </w:tc>
        <w:tc>
          <w:tcPr>
            <w:tcW w:w="1470" w:type="dxa"/>
            <w:shd w:val="clear" w:color="auto" w:fill="FFFFFF"/>
          </w:tcPr>
          <w:p w14:paraId="5A8D8EC5" w14:textId="77777777" w:rsidR="00951855" w:rsidRPr="00E44614" w:rsidRDefault="00951855" w:rsidP="006D5215">
            <w:pPr>
              <w:pStyle w:val="CETBodytext"/>
              <w:rPr>
                <w:lang w:val="en-GB"/>
              </w:rPr>
            </w:pPr>
            <w:r w:rsidRPr="00E44614">
              <w:t>16,639</w:t>
            </w:r>
          </w:p>
        </w:tc>
        <w:tc>
          <w:tcPr>
            <w:tcW w:w="2254" w:type="dxa"/>
            <w:shd w:val="clear" w:color="auto" w:fill="FFFFFF"/>
          </w:tcPr>
          <w:p w14:paraId="03AAF08A" w14:textId="77777777" w:rsidR="00951855" w:rsidRPr="00E44614" w:rsidRDefault="00951855" w:rsidP="006D5215">
            <w:pPr>
              <w:pStyle w:val="CETBodytext"/>
              <w:rPr>
                <w:lang w:val="en-GB"/>
              </w:rPr>
            </w:pPr>
            <w:r w:rsidRPr="00E44614">
              <w:t>0,049</w:t>
            </w:r>
          </w:p>
        </w:tc>
      </w:tr>
      <w:tr w:rsidR="00951855" w:rsidRPr="00E44614" w14:paraId="353081F9" w14:textId="77777777" w:rsidTr="009B78DB">
        <w:tc>
          <w:tcPr>
            <w:tcW w:w="1074" w:type="dxa"/>
            <w:shd w:val="clear" w:color="auto" w:fill="FFFFFF"/>
          </w:tcPr>
          <w:p w14:paraId="0EF420A4" w14:textId="77777777" w:rsidR="00951855" w:rsidRPr="00E44614" w:rsidRDefault="00951855" w:rsidP="006D5215">
            <w:pPr>
              <w:pStyle w:val="CETBodytext"/>
              <w:rPr>
                <w:lang w:val="en-GB"/>
              </w:rPr>
            </w:pPr>
            <w:r w:rsidRPr="00E44614">
              <w:rPr>
                <w:lang w:val="en-GB"/>
              </w:rPr>
              <w:t>2</w:t>
            </w:r>
          </w:p>
        </w:tc>
        <w:tc>
          <w:tcPr>
            <w:tcW w:w="1620" w:type="dxa"/>
            <w:shd w:val="clear" w:color="auto" w:fill="FFFFFF"/>
          </w:tcPr>
          <w:p w14:paraId="4694E974" w14:textId="77777777" w:rsidR="00951855" w:rsidRPr="00E44614" w:rsidRDefault="00951855" w:rsidP="006D5215">
            <w:pPr>
              <w:pStyle w:val="CETBodytext"/>
              <w:rPr>
                <w:lang w:val="en-GB"/>
              </w:rPr>
            </w:pPr>
            <w:r w:rsidRPr="00E44614">
              <w:t>285,45-506,97</w:t>
            </w:r>
          </w:p>
        </w:tc>
        <w:tc>
          <w:tcPr>
            <w:tcW w:w="850" w:type="dxa"/>
            <w:shd w:val="clear" w:color="auto" w:fill="FFFFFF"/>
          </w:tcPr>
          <w:p w14:paraId="59CCD19E" w14:textId="77777777" w:rsidR="00951855" w:rsidRPr="00E44614" w:rsidRDefault="00951855" w:rsidP="006D5215">
            <w:pPr>
              <w:pStyle w:val="CETBodytext"/>
              <w:rPr>
                <w:lang w:val="en-GB"/>
              </w:rPr>
            </w:pPr>
            <w:r w:rsidRPr="00E44614">
              <w:t>22,62</w:t>
            </w:r>
          </w:p>
        </w:tc>
        <w:tc>
          <w:tcPr>
            <w:tcW w:w="1559" w:type="dxa"/>
            <w:shd w:val="clear" w:color="auto" w:fill="FFFFFF"/>
          </w:tcPr>
          <w:p w14:paraId="2192895F" w14:textId="77777777" w:rsidR="00951855" w:rsidRPr="00E44614" w:rsidRDefault="00951855" w:rsidP="006D5215">
            <w:pPr>
              <w:pStyle w:val="CETBodytext"/>
              <w:rPr>
                <w:lang w:val="en-GB"/>
              </w:rPr>
            </w:pPr>
            <w:r w:rsidRPr="00E44614">
              <w:t>1,400</w:t>
            </w:r>
          </w:p>
        </w:tc>
        <w:tc>
          <w:tcPr>
            <w:tcW w:w="1470" w:type="dxa"/>
            <w:shd w:val="clear" w:color="auto" w:fill="FFFFFF"/>
          </w:tcPr>
          <w:p w14:paraId="0DACB55E" w14:textId="77777777" w:rsidR="00951855" w:rsidRPr="00E44614" w:rsidRDefault="00951855" w:rsidP="006D5215">
            <w:pPr>
              <w:pStyle w:val="CETBodytext"/>
              <w:rPr>
                <w:lang w:val="en-GB"/>
              </w:rPr>
            </w:pPr>
            <w:r w:rsidRPr="00E44614">
              <w:t>17,782</w:t>
            </w:r>
          </w:p>
        </w:tc>
        <w:tc>
          <w:tcPr>
            <w:tcW w:w="2254" w:type="dxa"/>
            <w:shd w:val="clear" w:color="auto" w:fill="FFFFFF"/>
          </w:tcPr>
          <w:p w14:paraId="35B67EF0" w14:textId="77777777" w:rsidR="00951855" w:rsidRPr="00E44614" w:rsidRDefault="00951855" w:rsidP="006D5215">
            <w:pPr>
              <w:pStyle w:val="CETBodytext"/>
              <w:rPr>
                <w:lang w:val="en-GB"/>
              </w:rPr>
            </w:pPr>
            <w:r w:rsidRPr="00E44614">
              <w:t>0,062</w:t>
            </w:r>
          </w:p>
        </w:tc>
      </w:tr>
      <w:tr w:rsidR="00951855" w:rsidRPr="00E44614" w14:paraId="73D2EA96" w14:textId="77777777" w:rsidTr="009B78DB">
        <w:tc>
          <w:tcPr>
            <w:tcW w:w="1074" w:type="dxa"/>
            <w:shd w:val="clear" w:color="auto" w:fill="FFFFFF"/>
          </w:tcPr>
          <w:p w14:paraId="20F6FD8F" w14:textId="77777777" w:rsidR="00951855" w:rsidRPr="00E44614" w:rsidRDefault="00951855" w:rsidP="006D5215">
            <w:pPr>
              <w:pStyle w:val="CETBodytext"/>
              <w:rPr>
                <w:color w:val="00B0F0"/>
                <w:lang w:val="en-GB"/>
              </w:rPr>
            </w:pPr>
            <w:r w:rsidRPr="00E44614">
              <w:rPr>
                <w:lang w:val="en-GB"/>
              </w:rPr>
              <w:t>3</w:t>
            </w:r>
          </w:p>
        </w:tc>
        <w:tc>
          <w:tcPr>
            <w:tcW w:w="1620" w:type="dxa"/>
            <w:shd w:val="clear" w:color="auto" w:fill="FFFFFF"/>
          </w:tcPr>
          <w:p w14:paraId="3E6A1118" w14:textId="77777777" w:rsidR="00951855" w:rsidRPr="00E44614" w:rsidRDefault="00951855" w:rsidP="006D5215">
            <w:pPr>
              <w:pStyle w:val="CETBodytext"/>
              <w:rPr>
                <w:color w:val="00B0F0"/>
                <w:lang w:val="en-GB"/>
              </w:rPr>
            </w:pPr>
            <w:r w:rsidRPr="00E44614">
              <w:t>506.97-801,87</w:t>
            </w:r>
          </w:p>
        </w:tc>
        <w:tc>
          <w:tcPr>
            <w:tcW w:w="850" w:type="dxa"/>
            <w:shd w:val="clear" w:color="auto" w:fill="FFFFFF"/>
          </w:tcPr>
          <w:p w14:paraId="061E9DC3" w14:textId="77777777" w:rsidR="00951855" w:rsidRPr="00E44614" w:rsidRDefault="00951855" w:rsidP="006D5215">
            <w:pPr>
              <w:pStyle w:val="CETBodytext"/>
              <w:rPr>
                <w:color w:val="00B0F0"/>
                <w:lang w:val="en-GB"/>
              </w:rPr>
            </w:pPr>
            <w:r w:rsidRPr="00E44614">
              <w:t>30,4</w:t>
            </w:r>
          </w:p>
        </w:tc>
        <w:tc>
          <w:tcPr>
            <w:tcW w:w="1559" w:type="dxa"/>
            <w:shd w:val="clear" w:color="auto" w:fill="FFFFFF"/>
          </w:tcPr>
          <w:p w14:paraId="5F9705B9" w14:textId="77777777" w:rsidR="00951855" w:rsidRPr="00E44614" w:rsidRDefault="00951855" w:rsidP="006D5215">
            <w:pPr>
              <w:pStyle w:val="CETBodytext"/>
              <w:rPr>
                <w:color w:val="00B0F0"/>
                <w:lang w:val="en-GB"/>
              </w:rPr>
            </w:pPr>
            <w:r w:rsidRPr="00E44614">
              <w:t>3,951</w:t>
            </w:r>
          </w:p>
        </w:tc>
        <w:tc>
          <w:tcPr>
            <w:tcW w:w="1470" w:type="dxa"/>
            <w:shd w:val="clear" w:color="auto" w:fill="FFFFFF"/>
          </w:tcPr>
          <w:p w14:paraId="3FC379C7" w14:textId="77777777" w:rsidR="00951855" w:rsidRPr="00E44614" w:rsidRDefault="00951855" w:rsidP="006D5215">
            <w:pPr>
              <w:pStyle w:val="CETBodytext"/>
              <w:rPr>
                <w:color w:val="00B0F0"/>
                <w:lang w:val="en-GB"/>
              </w:rPr>
            </w:pPr>
            <w:r w:rsidRPr="00E44614">
              <w:t>50,184</w:t>
            </w:r>
          </w:p>
        </w:tc>
        <w:tc>
          <w:tcPr>
            <w:tcW w:w="2254" w:type="dxa"/>
            <w:shd w:val="clear" w:color="auto" w:fill="FFFFFF"/>
          </w:tcPr>
          <w:p w14:paraId="49238C87" w14:textId="77777777" w:rsidR="00951855" w:rsidRPr="00E44614" w:rsidRDefault="00951855" w:rsidP="006D5215">
            <w:pPr>
              <w:pStyle w:val="CETBodytext"/>
              <w:rPr>
                <w:color w:val="00B0F0"/>
                <w:lang w:val="en-GB"/>
              </w:rPr>
            </w:pPr>
            <w:r w:rsidRPr="00E44614">
              <w:t>0,13</w:t>
            </w:r>
          </w:p>
        </w:tc>
      </w:tr>
      <w:tr w:rsidR="00951855" w:rsidRPr="00E44614" w14:paraId="38966A1F" w14:textId="77777777" w:rsidTr="009B78DB">
        <w:tc>
          <w:tcPr>
            <w:tcW w:w="2694" w:type="dxa"/>
            <w:gridSpan w:val="2"/>
            <w:shd w:val="clear" w:color="auto" w:fill="FFFFFF"/>
          </w:tcPr>
          <w:p w14:paraId="7D7E6AA2" w14:textId="45E27A57" w:rsidR="00951855" w:rsidRPr="00E44614" w:rsidRDefault="00701D2A" w:rsidP="006D5215">
            <w:pPr>
              <w:pStyle w:val="CETBodytext"/>
              <w:rPr>
                <w:lang w:val="en-GB"/>
              </w:rPr>
            </w:pPr>
            <w:r>
              <w:rPr>
                <w:lang w:val="en-GB"/>
              </w:rPr>
              <w:t>Total</w:t>
            </w:r>
          </w:p>
        </w:tc>
        <w:tc>
          <w:tcPr>
            <w:tcW w:w="850" w:type="dxa"/>
            <w:shd w:val="clear" w:color="auto" w:fill="FFFFFF"/>
          </w:tcPr>
          <w:p w14:paraId="75CDC9A6" w14:textId="77777777" w:rsidR="00951855" w:rsidRPr="00E44614" w:rsidRDefault="00951855" w:rsidP="006D5215">
            <w:pPr>
              <w:pStyle w:val="CETBodytext"/>
              <w:rPr>
                <w:lang w:val="en-GB"/>
              </w:rPr>
            </w:pPr>
            <w:r w:rsidRPr="00E44614">
              <w:t>79.78</w:t>
            </w:r>
          </w:p>
        </w:tc>
        <w:tc>
          <w:tcPr>
            <w:tcW w:w="1559" w:type="dxa"/>
            <w:shd w:val="clear" w:color="auto" w:fill="FFFFFF"/>
          </w:tcPr>
          <w:p w14:paraId="72BDEECC" w14:textId="77777777" w:rsidR="00951855" w:rsidRPr="00E44614" w:rsidRDefault="00951855" w:rsidP="006D5215">
            <w:pPr>
              <w:pStyle w:val="CETBodytext"/>
              <w:rPr>
                <w:lang w:val="en-GB"/>
              </w:rPr>
            </w:pPr>
            <w:r w:rsidRPr="00E44614">
              <w:t>6,661</w:t>
            </w:r>
          </w:p>
        </w:tc>
        <w:tc>
          <w:tcPr>
            <w:tcW w:w="1470" w:type="dxa"/>
            <w:shd w:val="clear" w:color="auto" w:fill="FFFFFF"/>
          </w:tcPr>
          <w:p w14:paraId="7B7EEDEF" w14:textId="77777777" w:rsidR="00951855" w:rsidRPr="00E44614" w:rsidRDefault="00951855" w:rsidP="006D5215">
            <w:pPr>
              <w:pStyle w:val="CETBodytext"/>
              <w:rPr>
                <w:lang w:val="en-GB"/>
              </w:rPr>
            </w:pPr>
            <w:bookmarkStart w:id="2" w:name="_Hlk228348869"/>
            <w:r w:rsidRPr="00E44614">
              <w:t>84,605</w:t>
            </w:r>
            <w:bookmarkEnd w:id="2"/>
          </w:p>
        </w:tc>
        <w:tc>
          <w:tcPr>
            <w:tcW w:w="2254" w:type="dxa"/>
            <w:shd w:val="clear" w:color="auto" w:fill="FFFFFF"/>
          </w:tcPr>
          <w:p w14:paraId="4F7AE455" w14:textId="77777777" w:rsidR="00951855" w:rsidRPr="00E44614" w:rsidRDefault="00951855" w:rsidP="006D5215">
            <w:pPr>
              <w:pStyle w:val="CETBodytext"/>
              <w:rPr>
                <w:lang w:val="en-GB"/>
              </w:rPr>
            </w:pPr>
            <w:r w:rsidRPr="00E44614">
              <w:t>0,241</w:t>
            </w:r>
          </w:p>
        </w:tc>
      </w:tr>
    </w:tbl>
    <w:p w14:paraId="759D5FDC" w14:textId="31737FFF" w:rsidR="002F29D9" w:rsidRDefault="002F29D9" w:rsidP="00951855">
      <w:pPr>
        <w:spacing w:line="240" w:lineRule="auto"/>
        <w:rPr>
          <w:rFonts w:cs="Arial"/>
          <w:color w:val="000000" w:themeColor="text1"/>
          <w:szCs w:val="18"/>
          <w:lang w:val="en-US"/>
        </w:rPr>
      </w:pPr>
    </w:p>
    <w:p w14:paraId="15CCE038" w14:textId="6D7DDCB5" w:rsidR="00951855" w:rsidRPr="00296600" w:rsidRDefault="00951855" w:rsidP="00296600">
      <w:pPr>
        <w:pStyle w:val="CETBodytext"/>
        <w:rPr>
          <w:rFonts w:eastAsiaTheme="majorEastAsia"/>
          <w:b/>
          <w:bCs/>
        </w:rPr>
      </w:pPr>
      <w:r w:rsidRPr="00296600">
        <w:rPr>
          <w:rFonts w:eastAsiaTheme="majorEastAsia"/>
          <w:b/>
          <w:bCs/>
        </w:rPr>
        <w:t>Scanning Electron Microscope</w:t>
      </w:r>
    </w:p>
    <w:p w14:paraId="6FC28FA5" w14:textId="77777777" w:rsidR="00951855" w:rsidRPr="00E44614" w:rsidRDefault="00951855" w:rsidP="006D5215">
      <w:pPr>
        <w:pStyle w:val="CETBodytext"/>
        <w:rPr>
          <w:rFonts w:eastAsiaTheme="majorEastAsia"/>
        </w:rPr>
      </w:pPr>
    </w:p>
    <w:p w14:paraId="160D9BD7" w14:textId="6495C0A3" w:rsidR="00951855" w:rsidRDefault="00701D2A" w:rsidP="006D5215">
      <w:pPr>
        <w:pStyle w:val="CETBodytext"/>
      </w:pPr>
      <w:r w:rsidRPr="00701D2A">
        <w:t xml:space="preserve">The result of elemental analysis </w:t>
      </w:r>
      <w:r w:rsidR="00240F55">
        <w:t>shows</w:t>
      </w:r>
      <w:r w:rsidRPr="00701D2A">
        <w:t xml:space="preserve"> that the synthesized substance contained 37.79% carbon, 8.34% nitrogen, 42.87% oxygen, and 11.01% phosphorus. No other trace elements were detected in the synthesized substance.</w:t>
      </w:r>
    </w:p>
    <w:p w14:paraId="48358D9C" w14:textId="77777777" w:rsidR="00901A15" w:rsidRPr="00E44614" w:rsidRDefault="00901A15" w:rsidP="00951855">
      <w:pPr>
        <w:spacing w:line="240" w:lineRule="auto"/>
        <w:rPr>
          <w:rFonts w:cs="Arial"/>
          <w:szCs w:val="18"/>
          <w:lang w:val="en-US"/>
        </w:rPr>
      </w:pPr>
    </w:p>
    <w:p w14:paraId="08C4E60B" w14:textId="013C3B33" w:rsidR="00BB3E78" w:rsidRDefault="00BB3E78" w:rsidP="00BB3E78">
      <w:pPr>
        <w:spacing w:line="240" w:lineRule="auto"/>
        <w:jc w:val="left"/>
        <w:rPr>
          <w:rFonts w:cs="Arial"/>
          <w:szCs w:val="18"/>
          <w:lang w:val="en-US"/>
        </w:rPr>
      </w:pPr>
      <w:r>
        <w:rPr>
          <w:noProof/>
          <w:lang w:val="ru-RU" w:eastAsia="ru-RU"/>
        </w:rPr>
        <w:drawing>
          <wp:inline distT="0" distB="0" distL="0" distR="0" wp14:anchorId="48386738" wp14:editId="79B103F6">
            <wp:extent cx="4533077" cy="163830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17179" cy="1668695"/>
                    </a:xfrm>
                    <a:prstGeom prst="rect">
                      <a:avLst/>
                    </a:prstGeom>
                  </pic:spPr>
                </pic:pic>
              </a:graphicData>
            </a:graphic>
          </wp:inline>
        </w:drawing>
      </w:r>
    </w:p>
    <w:p w14:paraId="7EB7C739" w14:textId="03B8A1E2" w:rsidR="004F26B7" w:rsidRDefault="004F26B7" w:rsidP="00BB3E78">
      <w:pPr>
        <w:spacing w:line="240" w:lineRule="auto"/>
        <w:jc w:val="left"/>
        <w:rPr>
          <w:rFonts w:cs="Arial"/>
          <w:szCs w:val="18"/>
          <w:lang w:val="en-US"/>
        </w:rPr>
      </w:pPr>
    </w:p>
    <w:p w14:paraId="5D26FBD8" w14:textId="3B9875C5" w:rsidR="006D2F49" w:rsidRDefault="006D2F49" w:rsidP="00BB3E78">
      <w:pPr>
        <w:spacing w:line="240" w:lineRule="auto"/>
        <w:jc w:val="left"/>
        <w:rPr>
          <w:rFonts w:cs="Arial"/>
          <w:szCs w:val="18"/>
          <w:lang w:val="en-US"/>
        </w:rPr>
      </w:pPr>
    </w:p>
    <w:p w14:paraId="62EADA69" w14:textId="66C9D1CC" w:rsidR="006D2F49" w:rsidRDefault="006D2F49" w:rsidP="00BB3E78">
      <w:pPr>
        <w:spacing w:line="240" w:lineRule="auto"/>
        <w:jc w:val="left"/>
        <w:rPr>
          <w:rFonts w:cs="Arial"/>
          <w:szCs w:val="18"/>
          <w:lang w:val="en-US"/>
        </w:rPr>
      </w:pPr>
    </w:p>
    <w:p w14:paraId="67826F46" w14:textId="11F3CD6A" w:rsidR="006D2F49" w:rsidRDefault="006D2F49" w:rsidP="00BB3E78">
      <w:pPr>
        <w:spacing w:line="240" w:lineRule="auto"/>
        <w:jc w:val="left"/>
        <w:rPr>
          <w:rFonts w:cs="Arial"/>
          <w:szCs w:val="18"/>
          <w:lang w:val="en-US"/>
        </w:rPr>
      </w:pP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560"/>
        <w:gridCol w:w="1275"/>
        <w:gridCol w:w="1701"/>
        <w:gridCol w:w="1701"/>
      </w:tblGrid>
      <w:tr w:rsidR="00345887" w:rsidRPr="00E44614" w14:paraId="39C93BA1" w14:textId="77777777" w:rsidTr="00086D7C">
        <w:tc>
          <w:tcPr>
            <w:tcW w:w="1560" w:type="dxa"/>
            <w:tcBorders>
              <w:top w:val="single" w:sz="12" w:space="0" w:color="008000"/>
              <w:bottom w:val="single" w:sz="6" w:space="0" w:color="008000"/>
            </w:tcBorders>
            <w:shd w:val="clear" w:color="auto" w:fill="FFFFFF"/>
            <w:vAlign w:val="center"/>
          </w:tcPr>
          <w:p w14:paraId="47D77A17" w14:textId="1E0D532C" w:rsidR="00345887" w:rsidRPr="00E44614" w:rsidRDefault="00345887" w:rsidP="00C12AB4">
            <w:pPr>
              <w:pStyle w:val="CETBodytext"/>
              <w:spacing w:line="240" w:lineRule="auto"/>
              <w:rPr>
                <w:rFonts w:cs="Arial"/>
                <w:szCs w:val="18"/>
                <w:lang w:val="en-GB"/>
              </w:rPr>
            </w:pPr>
            <w:r>
              <w:rPr>
                <w:rFonts w:cs="Arial"/>
                <w:b/>
                <w:bCs/>
                <w:color w:val="000000" w:themeColor="text1"/>
                <w:szCs w:val="18"/>
              </w:rPr>
              <w:lastRenderedPageBreak/>
              <w:t>Element</w:t>
            </w:r>
          </w:p>
        </w:tc>
        <w:tc>
          <w:tcPr>
            <w:tcW w:w="1275" w:type="dxa"/>
            <w:tcBorders>
              <w:top w:val="single" w:sz="12" w:space="0" w:color="008000"/>
              <w:bottom w:val="single" w:sz="6" w:space="0" w:color="008000"/>
            </w:tcBorders>
            <w:shd w:val="clear" w:color="auto" w:fill="FFFFFF"/>
            <w:vAlign w:val="center"/>
          </w:tcPr>
          <w:p w14:paraId="5DE4DD35" w14:textId="63B8F1D7" w:rsidR="00345887" w:rsidRPr="00345887" w:rsidRDefault="00345887" w:rsidP="00226E7C">
            <w:pPr>
              <w:pStyle w:val="CETBodytext"/>
              <w:spacing w:line="240" w:lineRule="auto"/>
              <w:jc w:val="left"/>
              <w:rPr>
                <w:rFonts w:cs="Arial"/>
                <w:b/>
                <w:bCs/>
                <w:szCs w:val="18"/>
                <w:lang w:val="en-GB"/>
              </w:rPr>
            </w:pPr>
            <w:r w:rsidRPr="00345887">
              <w:rPr>
                <w:rFonts w:cs="Arial"/>
                <w:b/>
                <w:bCs/>
                <w:szCs w:val="18"/>
                <w:lang w:val="en-GB"/>
              </w:rPr>
              <w:t>Line</w:t>
            </w:r>
          </w:p>
        </w:tc>
        <w:tc>
          <w:tcPr>
            <w:tcW w:w="1701" w:type="dxa"/>
            <w:tcBorders>
              <w:top w:val="single" w:sz="12" w:space="0" w:color="008000"/>
              <w:bottom w:val="single" w:sz="6" w:space="0" w:color="008000"/>
            </w:tcBorders>
            <w:shd w:val="clear" w:color="auto" w:fill="FFFFFF"/>
            <w:vAlign w:val="center"/>
          </w:tcPr>
          <w:p w14:paraId="3007185D" w14:textId="1D8EFFF4" w:rsidR="00345887" w:rsidRPr="00E44614" w:rsidRDefault="00345887" w:rsidP="00226E7C">
            <w:pPr>
              <w:pStyle w:val="CETBodytext"/>
              <w:spacing w:line="240" w:lineRule="auto"/>
              <w:ind w:right="-1"/>
              <w:jc w:val="right"/>
              <w:rPr>
                <w:rFonts w:cs="Arial"/>
                <w:szCs w:val="18"/>
                <w:lang w:val="en-GB"/>
              </w:rPr>
            </w:pPr>
            <w:r>
              <w:rPr>
                <w:rFonts w:cs="Arial"/>
                <w:b/>
                <w:bCs/>
                <w:color w:val="000000" w:themeColor="text1"/>
                <w:szCs w:val="18"/>
              </w:rPr>
              <w:t>Mass %</w:t>
            </w:r>
          </w:p>
        </w:tc>
        <w:tc>
          <w:tcPr>
            <w:tcW w:w="1701" w:type="dxa"/>
            <w:tcBorders>
              <w:top w:val="single" w:sz="12" w:space="0" w:color="008000"/>
              <w:bottom w:val="single" w:sz="6" w:space="0" w:color="008000"/>
            </w:tcBorders>
            <w:shd w:val="clear" w:color="auto" w:fill="FFFFFF"/>
            <w:vAlign w:val="center"/>
          </w:tcPr>
          <w:p w14:paraId="1B3E8706" w14:textId="20A2924F" w:rsidR="00345887" w:rsidRPr="00E44614" w:rsidRDefault="00345887" w:rsidP="00226E7C">
            <w:pPr>
              <w:pStyle w:val="CETBodytext"/>
              <w:spacing w:line="240" w:lineRule="auto"/>
              <w:ind w:right="-1"/>
              <w:jc w:val="right"/>
              <w:rPr>
                <w:rFonts w:cs="Arial"/>
                <w:szCs w:val="18"/>
                <w:lang w:val="en-GB"/>
              </w:rPr>
            </w:pPr>
            <w:r>
              <w:rPr>
                <w:rFonts w:cs="Arial"/>
                <w:b/>
                <w:bCs/>
                <w:color w:val="000000" w:themeColor="text1"/>
                <w:szCs w:val="18"/>
              </w:rPr>
              <w:t>Atom %</w:t>
            </w:r>
          </w:p>
        </w:tc>
      </w:tr>
      <w:tr w:rsidR="00345887" w:rsidRPr="00E44614" w14:paraId="1EECF967" w14:textId="77777777" w:rsidTr="00086D7C">
        <w:tc>
          <w:tcPr>
            <w:tcW w:w="1560" w:type="dxa"/>
            <w:shd w:val="clear" w:color="auto" w:fill="FFFFFF"/>
          </w:tcPr>
          <w:p w14:paraId="65C014E3" w14:textId="16C45E93" w:rsidR="00345887" w:rsidRPr="00E44614" w:rsidRDefault="00345887" w:rsidP="00345887">
            <w:pPr>
              <w:pStyle w:val="CETBodytext"/>
              <w:spacing w:line="240" w:lineRule="auto"/>
              <w:rPr>
                <w:rFonts w:cs="Arial"/>
                <w:szCs w:val="18"/>
                <w:lang w:val="en-GB"/>
              </w:rPr>
            </w:pPr>
            <w:r>
              <w:rPr>
                <w:rFonts w:cs="Arial"/>
                <w:szCs w:val="18"/>
                <w:lang w:val="en-GB"/>
              </w:rPr>
              <w:t>C</w:t>
            </w:r>
          </w:p>
        </w:tc>
        <w:tc>
          <w:tcPr>
            <w:tcW w:w="1275" w:type="dxa"/>
            <w:shd w:val="clear" w:color="auto" w:fill="FFFFFF"/>
          </w:tcPr>
          <w:p w14:paraId="14EE4779" w14:textId="4B1BD326" w:rsidR="00345887" w:rsidRPr="00E44614" w:rsidRDefault="00345887" w:rsidP="00226E7C">
            <w:pPr>
              <w:pStyle w:val="CETBodytext"/>
              <w:spacing w:line="240" w:lineRule="auto"/>
              <w:jc w:val="left"/>
              <w:rPr>
                <w:rFonts w:cs="Arial"/>
                <w:szCs w:val="18"/>
                <w:lang w:val="en-GB"/>
              </w:rPr>
            </w:pPr>
            <w:r>
              <w:rPr>
                <w:rFonts w:cs="Arial"/>
                <w:szCs w:val="18"/>
                <w:lang w:val="en-GB"/>
              </w:rPr>
              <w:t>K</w:t>
            </w:r>
          </w:p>
        </w:tc>
        <w:tc>
          <w:tcPr>
            <w:tcW w:w="1701" w:type="dxa"/>
            <w:shd w:val="clear" w:color="auto" w:fill="FFFFFF"/>
          </w:tcPr>
          <w:p w14:paraId="14389BDD" w14:textId="00A58650" w:rsidR="00345887" w:rsidRPr="00E44614" w:rsidRDefault="00345887" w:rsidP="00226E7C">
            <w:pPr>
              <w:pStyle w:val="CETBodytext"/>
              <w:spacing w:line="240" w:lineRule="auto"/>
              <w:ind w:right="-1"/>
              <w:jc w:val="right"/>
              <w:rPr>
                <w:rFonts w:cs="Arial"/>
                <w:szCs w:val="18"/>
                <w:lang w:val="en-GB"/>
              </w:rPr>
            </w:pPr>
            <w:r>
              <w:rPr>
                <w:rFonts w:cs="Arial"/>
                <w:szCs w:val="18"/>
                <w:lang w:val="en-GB"/>
              </w:rPr>
              <w:t>37.79±0.18</w:t>
            </w:r>
          </w:p>
        </w:tc>
        <w:tc>
          <w:tcPr>
            <w:tcW w:w="1701" w:type="dxa"/>
            <w:shd w:val="clear" w:color="auto" w:fill="FFFFFF"/>
          </w:tcPr>
          <w:p w14:paraId="5AC03BE2" w14:textId="65D8E272" w:rsidR="00345887" w:rsidRPr="00E44614" w:rsidRDefault="00345887" w:rsidP="00226E7C">
            <w:pPr>
              <w:pStyle w:val="CETBodytext"/>
              <w:spacing w:line="240" w:lineRule="auto"/>
              <w:ind w:right="-1"/>
              <w:jc w:val="right"/>
              <w:rPr>
                <w:rFonts w:cs="Arial"/>
                <w:szCs w:val="18"/>
                <w:lang w:val="en-GB"/>
              </w:rPr>
            </w:pPr>
            <w:r>
              <w:rPr>
                <w:rFonts w:cs="Arial"/>
                <w:szCs w:val="18"/>
                <w:lang w:val="en-GB"/>
              </w:rPr>
              <w:t>46.43±0.22</w:t>
            </w:r>
          </w:p>
        </w:tc>
      </w:tr>
      <w:tr w:rsidR="00345887" w:rsidRPr="00E44614" w14:paraId="2BD23FFE" w14:textId="77777777" w:rsidTr="00086D7C">
        <w:tc>
          <w:tcPr>
            <w:tcW w:w="1560" w:type="dxa"/>
            <w:shd w:val="clear" w:color="auto" w:fill="FFFFFF"/>
          </w:tcPr>
          <w:p w14:paraId="25AE0E7A" w14:textId="066CDD83" w:rsidR="00345887" w:rsidRPr="00E44614" w:rsidRDefault="00345887" w:rsidP="00345887">
            <w:pPr>
              <w:pStyle w:val="CETBodytext"/>
              <w:spacing w:line="240" w:lineRule="auto"/>
              <w:rPr>
                <w:rFonts w:cs="Arial"/>
                <w:szCs w:val="18"/>
                <w:lang w:val="en-GB"/>
              </w:rPr>
            </w:pPr>
            <w:r>
              <w:rPr>
                <w:rFonts w:cs="Arial"/>
                <w:szCs w:val="18"/>
                <w:lang w:val="en-GB"/>
              </w:rPr>
              <w:t>N</w:t>
            </w:r>
          </w:p>
        </w:tc>
        <w:tc>
          <w:tcPr>
            <w:tcW w:w="1275" w:type="dxa"/>
            <w:shd w:val="clear" w:color="auto" w:fill="FFFFFF"/>
          </w:tcPr>
          <w:p w14:paraId="216E19AA" w14:textId="05802516" w:rsidR="00345887" w:rsidRPr="00E44614" w:rsidRDefault="00345887" w:rsidP="00226E7C">
            <w:pPr>
              <w:pStyle w:val="CETBodytext"/>
              <w:spacing w:line="240" w:lineRule="auto"/>
              <w:jc w:val="left"/>
              <w:rPr>
                <w:rFonts w:cs="Arial"/>
                <w:szCs w:val="18"/>
                <w:lang w:val="en-GB"/>
              </w:rPr>
            </w:pPr>
            <w:r>
              <w:rPr>
                <w:rFonts w:cs="Arial"/>
                <w:szCs w:val="18"/>
                <w:lang w:val="en-GB"/>
              </w:rPr>
              <w:t>K</w:t>
            </w:r>
          </w:p>
        </w:tc>
        <w:tc>
          <w:tcPr>
            <w:tcW w:w="1701" w:type="dxa"/>
            <w:shd w:val="clear" w:color="auto" w:fill="FFFFFF"/>
          </w:tcPr>
          <w:p w14:paraId="17DB6334" w14:textId="1798AB28" w:rsidR="00345887" w:rsidRPr="00E44614" w:rsidRDefault="00345887" w:rsidP="00226E7C">
            <w:pPr>
              <w:pStyle w:val="CETBodytext"/>
              <w:spacing w:line="240" w:lineRule="auto"/>
              <w:ind w:right="-1"/>
              <w:jc w:val="right"/>
              <w:rPr>
                <w:rFonts w:cs="Arial"/>
                <w:szCs w:val="18"/>
                <w:lang w:val="en-GB"/>
              </w:rPr>
            </w:pPr>
            <w:r>
              <w:rPr>
                <w:rFonts w:cs="Arial"/>
                <w:szCs w:val="18"/>
                <w:lang w:val="en-GB"/>
              </w:rPr>
              <w:t>8.34±0.23</w:t>
            </w:r>
          </w:p>
        </w:tc>
        <w:tc>
          <w:tcPr>
            <w:tcW w:w="1701" w:type="dxa"/>
            <w:shd w:val="clear" w:color="auto" w:fill="FFFFFF"/>
          </w:tcPr>
          <w:p w14:paraId="56799090" w14:textId="61F1AB0A" w:rsidR="00345887" w:rsidRPr="00E44614" w:rsidRDefault="00345887" w:rsidP="00226E7C">
            <w:pPr>
              <w:pStyle w:val="CETBodytext"/>
              <w:spacing w:line="240" w:lineRule="auto"/>
              <w:ind w:right="-1"/>
              <w:jc w:val="right"/>
              <w:rPr>
                <w:rFonts w:cs="Arial"/>
                <w:szCs w:val="18"/>
                <w:lang w:val="en-GB"/>
              </w:rPr>
            </w:pPr>
            <w:r>
              <w:rPr>
                <w:rFonts w:cs="Arial"/>
                <w:szCs w:val="18"/>
                <w:lang w:val="en-GB"/>
              </w:rPr>
              <w:t>8.78±0.24</w:t>
            </w:r>
          </w:p>
        </w:tc>
      </w:tr>
      <w:tr w:rsidR="00345887" w:rsidRPr="00345887" w14:paraId="5D516426" w14:textId="77777777" w:rsidTr="00086D7C">
        <w:tc>
          <w:tcPr>
            <w:tcW w:w="1560" w:type="dxa"/>
            <w:shd w:val="clear" w:color="auto" w:fill="FFFFFF"/>
          </w:tcPr>
          <w:p w14:paraId="28875563" w14:textId="197A8F3C" w:rsidR="00345887" w:rsidRPr="00345887" w:rsidRDefault="00345887" w:rsidP="00345887">
            <w:pPr>
              <w:pStyle w:val="CETBodytext"/>
              <w:spacing w:line="240" w:lineRule="auto"/>
              <w:rPr>
                <w:rFonts w:cs="Arial"/>
                <w:szCs w:val="18"/>
                <w:lang w:val="en-GB"/>
              </w:rPr>
            </w:pPr>
            <w:r w:rsidRPr="00345887">
              <w:rPr>
                <w:rFonts w:cs="Arial"/>
                <w:szCs w:val="18"/>
                <w:lang w:val="en-GB"/>
              </w:rPr>
              <w:t>O</w:t>
            </w:r>
          </w:p>
        </w:tc>
        <w:tc>
          <w:tcPr>
            <w:tcW w:w="1275" w:type="dxa"/>
            <w:shd w:val="clear" w:color="auto" w:fill="FFFFFF"/>
          </w:tcPr>
          <w:p w14:paraId="6AE38410" w14:textId="201B6D06" w:rsidR="00345887" w:rsidRPr="00345887" w:rsidRDefault="00345887" w:rsidP="00226E7C">
            <w:pPr>
              <w:pStyle w:val="CETBodytext"/>
              <w:spacing w:line="240" w:lineRule="auto"/>
              <w:jc w:val="left"/>
              <w:rPr>
                <w:rFonts w:cs="Arial"/>
                <w:szCs w:val="18"/>
                <w:lang w:val="en-GB"/>
              </w:rPr>
            </w:pPr>
            <w:r>
              <w:rPr>
                <w:rFonts w:cs="Arial"/>
                <w:szCs w:val="18"/>
                <w:lang w:val="en-GB"/>
              </w:rPr>
              <w:t>K</w:t>
            </w:r>
          </w:p>
        </w:tc>
        <w:tc>
          <w:tcPr>
            <w:tcW w:w="1701" w:type="dxa"/>
            <w:shd w:val="clear" w:color="auto" w:fill="FFFFFF"/>
          </w:tcPr>
          <w:p w14:paraId="354E567F" w14:textId="079493C3" w:rsidR="00345887" w:rsidRPr="00345887" w:rsidRDefault="00345887" w:rsidP="00226E7C">
            <w:pPr>
              <w:pStyle w:val="CETBodytext"/>
              <w:spacing w:line="240" w:lineRule="auto"/>
              <w:ind w:right="-1"/>
              <w:jc w:val="right"/>
              <w:rPr>
                <w:rFonts w:cs="Arial"/>
                <w:szCs w:val="18"/>
                <w:lang w:val="en-GB"/>
              </w:rPr>
            </w:pPr>
            <w:r>
              <w:rPr>
                <w:rFonts w:cs="Arial"/>
                <w:szCs w:val="18"/>
                <w:lang w:val="en-GB"/>
              </w:rPr>
              <w:t>42.87±0.29</w:t>
            </w:r>
          </w:p>
        </w:tc>
        <w:tc>
          <w:tcPr>
            <w:tcW w:w="1701" w:type="dxa"/>
            <w:shd w:val="clear" w:color="auto" w:fill="FFFFFF"/>
          </w:tcPr>
          <w:p w14:paraId="19590335" w14:textId="0049F2FB" w:rsidR="00345887" w:rsidRPr="00345887" w:rsidRDefault="00345887" w:rsidP="00226E7C">
            <w:pPr>
              <w:pStyle w:val="CETBodytext"/>
              <w:spacing w:line="240" w:lineRule="auto"/>
              <w:ind w:right="-1"/>
              <w:jc w:val="right"/>
              <w:rPr>
                <w:rFonts w:cs="Arial"/>
                <w:szCs w:val="18"/>
                <w:lang w:val="en-GB"/>
              </w:rPr>
            </w:pPr>
            <w:r>
              <w:rPr>
                <w:rFonts w:cs="Arial"/>
                <w:szCs w:val="18"/>
                <w:lang w:val="en-GB"/>
              </w:rPr>
              <w:t>39.54±0.27</w:t>
            </w:r>
          </w:p>
        </w:tc>
      </w:tr>
      <w:tr w:rsidR="00345887" w:rsidRPr="00345887" w14:paraId="680EB1B5" w14:textId="77777777" w:rsidTr="00086D7C">
        <w:tc>
          <w:tcPr>
            <w:tcW w:w="1560" w:type="dxa"/>
            <w:shd w:val="clear" w:color="auto" w:fill="FFFFFF"/>
          </w:tcPr>
          <w:p w14:paraId="68865AF6" w14:textId="0DD59D75" w:rsidR="00345887" w:rsidRPr="00345887" w:rsidRDefault="00345887" w:rsidP="00345887">
            <w:pPr>
              <w:pStyle w:val="CETBodytext"/>
              <w:spacing w:line="240" w:lineRule="auto"/>
              <w:rPr>
                <w:rFonts w:cs="Arial"/>
                <w:szCs w:val="18"/>
                <w:lang w:val="en-GB"/>
              </w:rPr>
            </w:pPr>
            <w:r w:rsidRPr="00345887">
              <w:rPr>
                <w:rFonts w:cs="Arial"/>
                <w:szCs w:val="18"/>
                <w:lang w:val="en-GB"/>
              </w:rPr>
              <w:t>P</w:t>
            </w:r>
          </w:p>
        </w:tc>
        <w:tc>
          <w:tcPr>
            <w:tcW w:w="1275" w:type="dxa"/>
            <w:shd w:val="clear" w:color="auto" w:fill="FFFFFF"/>
          </w:tcPr>
          <w:p w14:paraId="055C80E3" w14:textId="57324337" w:rsidR="00345887" w:rsidRPr="00345887" w:rsidRDefault="00345887" w:rsidP="00226E7C">
            <w:pPr>
              <w:pStyle w:val="CETBodytext"/>
              <w:spacing w:line="240" w:lineRule="auto"/>
              <w:jc w:val="left"/>
              <w:rPr>
                <w:rFonts w:cs="Arial"/>
                <w:szCs w:val="18"/>
              </w:rPr>
            </w:pPr>
            <w:r>
              <w:rPr>
                <w:rFonts w:cs="Arial"/>
                <w:szCs w:val="18"/>
              </w:rPr>
              <w:t>K</w:t>
            </w:r>
          </w:p>
        </w:tc>
        <w:tc>
          <w:tcPr>
            <w:tcW w:w="1701" w:type="dxa"/>
            <w:shd w:val="clear" w:color="auto" w:fill="FFFFFF"/>
          </w:tcPr>
          <w:p w14:paraId="48C93F0F" w14:textId="6D5DE439" w:rsidR="00345887" w:rsidRPr="00345887" w:rsidRDefault="00345887" w:rsidP="00226E7C">
            <w:pPr>
              <w:pStyle w:val="CETBodytext"/>
              <w:spacing w:line="240" w:lineRule="auto"/>
              <w:ind w:right="-1"/>
              <w:jc w:val="right"/>
              <w:rPr>
                <w:rFonts w:cs="Arial"/>
                <w:szCs w:val="18"/>
              </w:rPr>
            </w:pPr>
            <w:r>
              <w:rPr>
                <w:rFonts w:cs="Arial"/>
                <w:szCs w:val="18"/>
                <w:lang w:val="en-GB"/>
              </w:rPr>
              <w:t>11.01±0.07</w:t>
            </w:r>
          </w:p>
        </w:tc>
        <w:tc>
          <w:tcPr>
            <w:tcW w:w="1701" w:type="dxa"/>
            <w:shd w:val="clear" w:color="auto" w:fill="FFFFFF"/>
          </w:tcPr>
          <w:p w14:paraId="6B84FDEF" w14:textId="13FB176F" w:rsidR="00345887" w:rsidRPr="00345887" w:rsidRDefault="00345887" w:rsidP="00226E7C">
            <w:pPr>
              <w:pStyle w:val="CETBodytext"/>
              <w:spacing w:line="240" w:lineRule="auto"/>
              <w:ind w:right="-1"/>
              <w:jc w:val="right"/>
              <w:rPr>
                <w:rFonts w:cs="Arial"/>
                <w:szCs w:val="18"/>
              </w:rPr>
            </w:pPr>
            <w:r>
              <w:rPr>
                <w:rFonts w:cs="Arial"/>
                <w:szCs w:val="18"/>
                <w:lang w:val="en-GB"/>
              </w:rPr>
              <w:t>5.24±0.03</w:t>
            </w:r>
          </w:p>
        </w:tc>
      </w:tr>
      <w:tr w:rsidR="00345887" w:rsidRPr="00345887" w14:paraId="43170F8C" w14:textId="77777777" w:rsidTr="00086D7C">
        <w:tc>
          <w:tcPr>
            <w:tcW w:w="1560" w:type="dxa"/>
            <w:shd w:val="clear" w:color="auto" w:fill="FFFFFF"/>
          </w:tcPr>
          <w:p w14:paraId="2B490960" w14:textId="635C4B76" w:rsidR="00345887" w:rsidRPr="00345887" w:rsidRDefault="00345887" w:rsidP="00345887">
            <w:pPr>
              <w:pStyle w:val="CETBodytext"/>
              <w:spacing w:line="240" w:lineRule="auto"/>
              <w:rPr>
                <w:rFonts w:cs="Arial"/>
                <w:szCs w:val="18"/>
                <w:lang w:val="en-GB"/>
              </w:rPr>
            </w:pPr>
            <w:r w:rsidRPr="00345887">
              <w:rPr>
                <w:rFonts w:cs="Arial"/>
                <w:szCs w:val="18"/>
                <w:lang w:val="en-GB"/>
              </w:rPr>
              <w:t>Total</w:t>
            </w:r>
          </w:p>
        </w:tc>
        <w:tc>
          <w:tcPr>
            <w:tcW w:w="1275" w:type="dxa"/>
            <w:shd w:val="clear" w:color="auto" w:fill="FFFFFF"/>
          </w:tcPr>
          <w:p w14:paraId="2BF96B50" w14:textId="77777777" w:rsidR="00345887" w:rsidRPr="00345887" w:rsidRDefault="00345887" w:rsidP="00226E7C">
            <w:pPr>
              <w:pStyle w:val="CETBodytext"/>
              <w:spacing w:line="240" w:lineRule="auto"/>
              <w:jc w:val="left"/>
              <w:rPr>
                <w:rFonts w:cs="Arial"/>
                <w:szCs w:val="18"/>
              </w:rPr>
            </w:pPr>
          </w:p>
        </w:tc>
        <w:tc>
          <w:tcPr>
            <w:tcW w:w="1701" w:type="dxa"/>
            <w:shd w:val="clear" w:color="auto" w:fill="FFFFFF"/>
          </w:tcPr>
          <w:p w14:paraId="1A96A1D3" w14:textId="31043164" w:rsidR="00345887" w:rsidRPr="00345887" w:rsidRDefault="00345887" w:rsidP="00226E7C">
            <w:pPr>
              <w:pStyle w:val="CETBodytext"/>
              <w:spacing w:line="240" w:lineRule="auto"/>
              <w:ind w:right="-1"/>
              <w:jc w:val="right"/>
              <w:rPr>
                <w:rFonts w:cs="Arial"/>
                <w:szCs w:val="18"/>
              </w:rPr>
            </w:pPr>
            <w:r>
              <w:rPr>
                <w:rFonts w:cs="Arial"/>
                <w:szCs w:val="18"/>
              </w:rPr>
              <w:t xml:space="preserve">            100</w:t>
            </w:r>
          </w:p>
        </w:tc>
        <w:tc>
          <w:tcPr>
            <w:tcW w:w="1701" w:type="dxa"/>
            <w:shd w:val="clear" w:color="auto" w:fill="FFFFFF"/>
          </w:tcPr>
          <w:p w14:paraId="1FCAD340" w14:textId="11A4EA91" w:rsidR="00345887" w:rsidRPr="00345887" w:rsidRDefault="00345887" w:rsidP="00226E7C">
            <w:pPr>
              <w:pStyle w:val="CETBodytext"/>
              <w:spacing w:line="240" w:lineRule="auto"/>
              <w:ind w:right="-1"/>
              <w:jc w:val="right"/>
              <w:rPr>
                <w:rFonts w:cs="Arial"/>
                <w:szCs w:val="18"/>
              </w:rPr>
            </w:pPr>
            <w:r>
              <w:rPr>
                <w:rFonts w:cs="Arial"/>
                <w:szCs w:val="18"/>
              </w:rPr>
              <w:t xml:space="preserve">            100</w:t>
            </w:r>
          </w:p>
        </w:tc>
      </w:tr>
    </w:tbl>
    <w:p w14:paraId="6B59267B" w14:textId="3FA20025" w:rsidR="00951855" w:rsidRPr="00E44614" w:rsidRDefault="007A31ED" w:rsidP="00086D7C">
      <w:pPr>
        <w:pStyle w:val="CETCaption"/>
        <w:rPr>
          <w:lang w:val="en-US"/>
        </w:rPr>
      </w:pPr>
      <w:r w:rsidRPr="007A31ED">
        <w:rPr>
          <w:lang w:val="en-US"/>
        </w:rPr>
        <w:t>Figure 5</w:t>
      </w:r>
      <w:r>
        <w:rPr>
          <w:lang w:val="en-US"/>
        </w:rPr>
        <w:t>:</w:t>
      </w:r>
      <w:r w:rsidRPr="007A31ED">
        <w:rPr>
          <w:lang w:val="en-US"/>
        </w:rPr>
        <w:t xml:space="preserve"> Results of elemental analysis of a product based on acrylic acid and monoammonium phosphate</w:t>
      </w:r>
    </w:p>
    <w:p w14:paraId="1991A690" w14:textId="522D443A" w:rsidR="00D018D0" w:rsidRPr="001C55F0" w:rsidRDefault="003F2C3E" w:rsidP="00D018D0">
      <w:pPr>
        <w:pStyle w:val="CETBodytext"/>
        <w:rPr>
          <w:rFonts w:cs="Arial"/>
        </w:rPr>
      </w:pPr>
      <w:r w:rsidRPr="003F2C3E">
        <w:t>Polyolefins are blended with various copolymers, including copolymers such as ethylene-vinyl acetate (EVA) and ethylene-vinyl alcohol (EVOH). Such polymer blends are typically used to improve thermal, mechanical, and electrical properties. EVA is typically blended with various grades of polyethylene (PE) and polypropylene (PP). These copolymers are widely used for the sheathing and insulation of electrical cables. The main goal of this study was to reduce the toughness problem in the polymer</w:t>
      </w:r>
      <w:r>
        <w:t xml:space="preserve"> </w:t>
      </w:r>
      <w:r w:rsidR="0011354B" w:rsidRPr="00EA0EA5">
        <w:fldChar w:fldCharType="begin"/>
      </w:r>
      <w:r w:rsidR="00A002A6">
        <w:instrText xml:space="preserve"> ADDIN ZOTERO_ITEM CSL_CITATION {"citationID":"RfUTz5VF","properties":{"unsorted":false,"formattedCitation":"(Alosime and Basfar, 2023)","plainCitation":"(Alosime and Basfar, 2023)","noteIndex":0},"citationItems":[{"id":"3Txwt9wb/c2QhvPNa","uris":["http://zotero.org/users/local/rujaF4EP/items/X9QYEPCV"],"itemData":{"id":148,"type":"article-journal","abstract":"Because of their high filler loadings, commercial-grade clean flame-retardant materials have unstable mechanical properties. To address this issue, intumescent polymers can be used to develop clean flame retardants with very low levels of smoke and toxicity generation. An intumescent flame retardant (IFR) system composed of red phosphorus (RP), zinc borate (ZB), and a terpolymer of ethylene, butyl acrylate, and maleic anhydride (EBM) was used to prepare EVA (ethylene-vinyl acetate) and EVA/LLDPE (linear low-density polyethylene) composites; their mechanical and flammability properties were systematically investigated. The limiting oxygen index (LOI) of the EVA/LLDPE (as base material) composite containing RP and ZB mixed with nonhalogenated flame retardant, mainly magnesium hydroxide (MH) and coadditives, including processing aids and thermal stabilizers, was established. RP was found to have little effect on the tensile properties of EVA/LLDPE 118W/120 phr flame-retardant (MH + RP) composites. There was a minute difference in the effective trend of RP between tensile strength and elongation at break. Following the addition of ZB, the elongation at break of the composites gradually decreased with increasing RP content and then leveled off when the RP content was over 10 phr. Mechanical properties (elongation at break and tensile strength) can be best maintained at below 10 phr content of RP. The mechanical properties decreased with lower amounts of EBM content. In addition, flame retardancy increased when the EBM content decreased. The findings further revealed that MH and RP have poor compatibility, yielding poor mechanical properties. The LOI greatly increased with RP content, even though the total content of flame retardants (main + intumescent flame retardant) was the same in all formulations. Only over 5 phr RP content formulations passed V-0 of the UL-94 test. When under 5 phr, the RP content formulations did not pass V-0 of the UL-94 test.","container-title":"Molecules","DOI":"10.3390/molecules28031023","ISSN":"1420-3049","issue":"3","journalAbbreviation":"Molecules","language":"en","page":"1023","source":"DOI.org (Crossref)","title":"A Systematic Investigation on the Influence of Intumescent Flame Retardants on the Properties of Ethylene Vinyl Acetate (EVA)/Liner Low Density Polyethylene (LLDPE) Blends","volume":"28","author":[{"family":"Alosime","given":"Eid M."},{"family":"Basfar","given":"Ahmed A."}],"issued":{"date-parts":[["2023",1,19]]}}}],"schema":"https://github.com/citation-style-language/schema/raw/master/csl-citation.json"} </w:instrText>
      </w:r>
      <w:r w:rsidR="0011354B" w:rsidRPr="00EA0EA5">
        <w:fldChar w:fldCharType="separate"/>
      </w:r>
      <w:r w:rsidR="00A002A6" w:rsidRPr="00A002A6">
        <w:rPr>
          <w:rFonts w:cs="Arial"/>
        </w:rPr>
        <w:t>(Alosime and Basfar, 2023)</w:t>
      </w:r>
      <w:r w:rsidR="0011354B" w:rsidRPr="00EA0EA5">
        <w:fldChar w:fldCharType="end"/>
      </w:r>
      <w:r w:rsidR="0011354B" w:rsidRPr="00EA0EA5">
        <w:t xml:space="preserve">. </w:t>
      </w:r>
      <w:r w:rsidRPr="003F2C3E">
        <w:t xml:space="preserve">In this study, blending EVA with isotactic polypropylene (PP) increased the elongation at break of PP by more than 4 times, but in </w:t>
      </w:r>
      <w:r w:rsidRPr="001C55F0">
        <w:rPr>
          <w:rFonts w:cs="Arial"/>
        </w:rPr>
        <w:t xml:space="preserve">this case, the mechanical properties of the material decreased. When EVA was blended with a polypropylene/ethylene copolymer instead of </w:t>
      </w:r>
      <w:r w:rsidR="006D2F49" w:rsidRPr="001C55F0">
        <w:rPr>
          <w:rFonts w:cs="Arial"/>
        </w:rPr>
        <w:t xml:space="preserve">an </w:t>
      </w:r>
      <w:r w:rsidRPr="001C55F0">
        <w:rPr>
          <w:rFonts w:cs="Arial"/>
        </w:rPr>
        <w:t>i-PP homopolymer, the same amount of EVA gave an even more significant improvement: the elongation at break increased by 4 times. These results show that choosing the right type of polymer can significantly improve the mechanical properties of EVA without increasing its synergistic effect</w:t>
      </w:r>
      <w:r w:rsidR="0011354B" w:rsidRPr="001C55F0">
        <w:rPr>
          <w:rFonts w:cs="Arial"/>
        </w:rPr>
        <w:t xml:space="preserve"> </w:t>
      </w:r>
      <w:r w:rsidR="0011354B" w:rsidRPr="001C55F0">
        <w:rPr>
          <w:rFonts w:cs="Arial"/>
        </w:rPr>
        <w:fldChar w:fldCharType="begin"/>
      </w:r>
      <w:r w:rsidR="00A002A6" w:rsidRPr="001C55F0">
        <w:rPr>
          <w:rFonts w:cs="Arial"/>
        </w:rPr>
        <w:instrText xml:space="preserve"> ADDIN ZOTERO_ITEM CSL_CITATION {"citationID":"ke6FpYVk","properties":{"unsorted":false,"formattedCitation":"(Castro-Landinez et al., 2021)","plainCitation":"(Castro-Landinez et al., 2021)","noteIndex":0},"citationItems":[{"id":"3Txwt9wb/ScBqlOGK","uris":["http://zotero.org/users/local/rujaF4EP/items/H8M2VY3N"],"itemData":{"id":144,"type":"article-journal","abstract":"This research reports the influence of polar monomer contents in ethylene vinyl acetate copolymer (EVA) and ethylene vinyl alcohol copolymer (EVOH) on the morphology, mechanical and barrier properties of polypropylene/ethylene copolymer (PP) reinforced with organically modified montmorillonite (MMT). PP/EVA and PP/EVOH (75/25 wt %) blends were reinforced with 3 wt % MMT in an internal mixer system. Samples were compression-molded into films of 300μ μm. The structural characterization was made using X-ray diffraction (XRD), scanning electron microscopy (SEM) and transmission electron microscopy (TEM), the mechanical properties were obtained by tension tests and the barrier properties by oxygen transmission rate (OTR). XRD patterns showed a combination of intercalated/exfoliated morphologies for the MMT, with higher d-001 interplanar distance increments for the blends with higher content of polar functional groups. SEM and TEM micrographs complement the results of the XRD analysis and show differences in the morphologies depending on the miscibility of the polyolefin and the polar monomer copolymer. Mechanical properties and oxygen permeability of composites exhibited a higher improvement, by the addition of MMT, for higher intermolecular interactions and most miscible polymeric system of the EVA. These results show that the higher the number of interactions, given by the VA or OH polar functional groups, the morphology and the miscibility between polyolefin and copolymer imply dispersion improvements of the nanocomposites and, in consequence, a higher improvement on the mechanical and barrier properties of the composite material.","container-title":"Polymers","DOI":"10.3390/polym13050705","ISSN":"2073-4360","issue":"5","journalAbbreviation":"Polymers","language":"en","page":"705","source":"DOI.org (Crossref)","title":"Polypropylene/Ethylene—And Polar—Monomer-Based Copolymers/Montmorillonite Nanocomposites: Morphology, Mechanical Properties, and Oxygen Permeability","title-short":"Polypropylene/Ethylene—And Polar—Monomer-Based Copolymers/Montmorillonite Nanocomposites","volume":"13","author":[{"family":"Castro-Landinez","given":"Juan Felipe"},{"family":"Salcedo-Galan","given":"Felipe"},{"family":"Medina-Perilla","given":"Jorge Alberto"}],"issued":{"date-parts":[["2021",2,26]]}}}],"schema":"https://github.com/citation-style-language/schema/raw/master/csl-citation.json"} </w:instrText>
      </w:r>
      <w:r w:rsidR="0011354B" w:rsidRPr="001C55F0">
        <w:rPr>
          <w:rFonts w:cs="Arial"/>
        </w:rPr>
        <w:fldChar w:fldCharType="separate"/>
      </w:r>
      <w:r w:rsidR="00A002A6" w:rsidRPr="001C55F0">
        <w:rPr>
          <w:rFonts w:cs="Arial"/>
        </w:rPr>
        <w:t>(Castro-Landinez et al., 2021)</w:t>
      </w:r>
      <w:r w:rsidR="0011354B" w:rsidRPr="001C55F0">
        <w:rPr>
          <w:rFonts w:cs="Arial"/>
        </w:rPr>
        <w:fldChar w:fldCharType="end"/>
      </w:r>
      <w:r w:rsidR="0011354B" w:rsidRPr="001C55F0">
        <w:rPr>
          <w:rFonts w:cs="Arial"/>
        </w:rPr>
        <w:t xml:space="preserve">. </w:t>
      </w:r>
      <w:r w:rsidR="0011354B" w:rsidRPr="001C55F0">
        <w:rPr>
          <w:rFonts w:cs="Arial"/>
        </w:rPr>
        <w:fldChar w:fldCharType="begin"/>
      </w:r>
      <w:r w:rsidR="00537610" w:rsidRPr="001C55F0">
        <w:rPr>
          <w:rFonts w:cs="Arial"/>
        </w:rPr>
        <w:instrText xml:space="preserve"> ADDIN ZOTERO_ITEM CSL_CITATION {"citationID":"ngmQs4TB","properties":{"unsorted":false,"formattedCitation":"(Pham, 2021)","plainCitation":"(Pham, 2021)","noteIndex":0},"citationItems":[{"id":"3Txwt9wb/66cok5Ro","uris":["http://zotero.org/users/local/rujaF4EP/items/CI465VIP"],"itemData":{"id":146,"type":"article-journal","abstract":"Low-density polyethylene (LDPE) and ethylene vinyl acetate copolymer (EVA), which are non-polar and polar polymers, are immiscible and form a polyphase system. In this study, LDPE was mixed with 2.5%, 5%, 7.5%, 10%, 12.5% Ethylene-vinyl acetate (EVA-28) with a medium content of vinyl acetate (28% VA), respectively by injection molding machine and LDPE. Tensile strength and flexural strength were tested according to ASTM D638-02 standard and ISO 178 standard. The results showed that adding EVA-28 increased the elongation at break of the LDPE/2.5% EVA, LDPE/5% EVA and LDPE/10% EVA blend samples. In addition, the tensile and flexural strength of the LDPE/EVA blend decreases gradually as the EVA-28 content in the blend increases. The hardness decreases with the increasing EVA-28 content. EVA-28 spherical particles appeared scattered on the surface of the LDPE matrix, in the highest EVA-28 percent sample (12.5% EVA-28), the number of particles appeared to be quite a lot, and was dispersed quite evenly on the surface. The LDPE/EVA-28 blend achieved a higher elongation at the break than LDPE, in which 10% EVA-28 gives the highest elongation at break.","container-title":"Polymers","DOI":"10.3390/polym13142352","ISSN":"2073-4360","issue":"14","journalAbbreviation":"Polymers","language":"en","page":"2352","source":"DOI.org (Crossref)","title":"Characterization of Low-Density Polyethylene and LDPE-Based/Ethylene-Vinyl Acetate with Medium Content of Vinyl Acetate","volume":"13","author":[{"family":"Pham","given":"Nga Thi-Hong"}],"issued":{"date-parts":[["2021",7,18]]}}}],"schema":"https://github.com/citation-style-language/schema/raw/master/csl-citation.json"} </w:instrText>
      </w:r>
      <w:r w:rsidR="0011354B" w:rsidRPr="001C55F0">
        <w:rPr>
          <w:rFonts w:cs="Arial"/>
        </w:rPr>
        <w:fldChar w:fldCharType="separate"/>
      </w:r>
      <w:r w:rsidR="00A002A6" w:rsidRPr="001C55F0">
        <w:rPr>
          <w:rFonts w:cs="Arial"/>
        </w:rPr>
        <w:t>(Pham, 2021)</w:t>
      </w:r>
      <w:r w:rsidR="0011354B" w:rsidRPr="001C55F0">
        <w:rPr>
          <w:rFonts w:cs="Arial"/>
        </w:rPr>
        <w:fldChar w:fldCharType="end"/>
      </w:r>
      <w:r w:rsidR="0011354B" w:rsidRPr="001C55F0">
        <w:rPr>
          <w:rFonts w:cs="Arial"/>
        </w:rPr>
        <w:t xml:space="preserve"> </w:t>
      </w:r>
      <w:r w:rsidRPr="001C55F0">
        <w:rPr>
          <w:rFonts w:cs="Arial"/>
        </w:rPr>
        <w:t xml:space="preserve">also found in their study that adding EVA-28 polymer to LDPE/EVA in different proportions increased the elongation at break of the samples. As the amount of EVA-28 increased, the tensile and flexural strength and stiffness also decreased. </w:t>
      </w:r>
      <w:r w:rsidR="0011354B" w:rsidRPr="001C55F0">
        <w:rPr>
          <w:rFonts w:cs="Arial"/>
        </w:rPr>
        <w:fldChar w:fldCharType="begin"/>
      </w:r>
      <w:r w:rsidR="00537610" w:rsidRPr="001C55F0">
        <w:rPr>
          <w:rFonts w:cs="Arial"/>
        </w:rPr>
        <w:instrText xml:space="preserve"> ADDIN ZOTERO_ITEM CSL_CITATION {"citationID":"w6yEEPgl","properties":{"unsorted":false,"formattedCitation":"(Sanchez-Olivares et al., 2019)","plainCitation":"(Sanchez-Olivares et al., 2019)","dontUpdate":true,"noteIndex":0},"citationItems":[{"id":"3Txwt9wb/wlrzMOWl","uris":["http://zotero.org/users/local/rujaF4EP/items/QSAX67NV"],"itemData":{"id":153,"type":"article-journal","abstract":"The high flame-retardant loading required for ethylene-vinyl acetate copolymer blends with polyethylene (EVA-PE) employed for insulation and sheathing of electric cables represents a significant limitation in processability and final mechanical properties. In this work, melamine triazine (TRZ) and modified bentonite clay have been investigated in combination with aluminum trihydroxide (ATH) for the production of EVA-PE composites with excellent fire safety and improved mechanical properties. Optimized formulations with only 120 parts per hundred resin (phr) of ATH can achieve self-extinguishing behavior according to the UL94 classification (V0 rating), as well as reduced combustion kinetics and smoke production. Mechanical property evaluation shows reduced stiffness and improved elongation at break with respect to commonly employed EVA-PE/ATH composites. The reduction in filler content also provides improved processability and cost reductions. The results presented here allow for a viable and halogen-free strategy for the preparation of high performing EVA-PE composites.","container-title":"Materials","DOI":"10.3390/ma12152393","ISSN":"1996-1944","issue":"15","journalAbbreviation":"Materials","language":"en","page":"2393","source":"DOI.org (Crossref)","title":"Improving Mechanical Properties and Reaction to Fire of EVA/LLDPE Blends for Cable Applications with Melamine Triazine and Bentonite Clay","volume":"12","author":[{"family":"Sanchez-Olivares","given":"Guadalupe"},{"family":"Sanchez-Solis","given":"Antonio"},{"family":"Manero","given":"Octavio"},{"family":"Pérez-Chávez","given":"Ricardo"},{"family":"Jaramillo","given":"Mario"},{"family":"Alongi","given":"Jenny"},{"family":"Carosio","given":"Federico"}],"issued":{"date-parts":[["2019",7,26]]}}}],"schema":"https://github.com/citation-style-language/schema/raw/master/csl-citation.json"} </w:instrText>
      </w:r>
      <w:r w:rsidR="0011354B" w:rsidRPr="001C55F0">
        <w:rPr>
          <w:rFonts w:cs="Arial"/>
        </w:rPr>
        <w:fldChar w:fldCharType="separate"/>
      </w:r>
      <w:r w:rsidR="0011354B" w:rsidRPr="001C55F0">
        <w:rPr>
          <w:rFonts w:cs="Arial"/>
        </w:rPr>
        <w:t>Sanchez-Olivares et al.</w:t>
      </w:r>
      <w:r w:rsidR="00D018D0" w:rsidRPr="001C55F0">
        <w:rPr>
          <w:rFonts w:cs="Arial"/>
        </w:rPr>
        <w:t xml:space="preserve"> (</w:t>
      </w:r>
      <w:r w:rsidR="0011354B" w:rsidRPr="001C55F0">
        <w:rPr>
          <w:rFonts w:cs="Arial"/>
        </w:rPr>
        <w:t>2019</w:t>
      </w:r>
      <w:r w:rsidR="0011354B" w:rsidRPr="001C55F0">
        <w:rPr>
          <w:rFonts w:cs="Arial"/>
        </w:rPr>
        <w:fldChar w:fldCharType="end"/>
      </w:r>
      <w:r w:rsidR="00D018D0" w:rsidRPr="001C55F0">
        <w:rPr>
          <w:rFonts w:cs="Arial"/>
        </w:rPr>
        <w:t>)</w:t>
      </w:r>
      <w:r w:rsidR="006D2F49" w:rsidRPr="001C55F0">
        <w:rPr>
          <w:rFonts w:cs="Arial"/>
        </w:rPr>
        <w:t>,</w:t>
      </w:r>
      <w:r w:rsidR="0011354B" w:rsidRPr="001C55F0">
        <w:rPr>
          <w:rFonts w:cs="Arial"/>
        </w:rPr>
        <w:t xml:space="preserve"> </w:t>
      </w:r>
      <w:r w:rsidR="00D018D0" w:rsidRPr="001C55F0">
        <w:rPr>
          <w:rFonts w:cs="Arial"/>
        </w:rPr>
        <w:t>in their study, used melamine triazine and bentonite clay as new flame-retardant additives to the EVA/PE polymer system. When these additives were added, the effectiveness of the protective layer that forms aluminum hydroxide during the combustion process was increased. Samples containing melamine triazine and bentonite clay showed good results in several properties and outperformed commonly used industrial samples.</w:t>
      </w:r>
      <w:r w:rsidR="003F0BFA" w:rsidRPr="001C55F0">
        <w:rPr>
          <w:rFonts w:cs="Arial"/>
        </w:rPr>
        <w:t xml:space="preserve"> This scientific research used </w:t>
      </w:r>
      <w:r w:rsidR="006D2F49" w:rsidRPr="001C55F0">
        <w:rPr>
          <w:rFonts w:cs="Arial"/>
        </w:rPr>
        <w:t xml:space="preserve">ammonium acrylate phosphate </w:t>
      </w:r>
      <w:r w:rsidR="00EB28A0" w:rsidRPr="001C55F0">
        <w:rPr>
          <w:rFonts w:cs="Arial"/>
        </w:rPr>
        <w:t>flame-retardant</w:t>
      </w:r>
      <w:r w:rsidR="003F0BFA" w:rsidRPr="001C55F0">
        <w:rPr>
          <w:rFonts w:cs="Arial"/>
        </w:rPr>
        <w:t xml:space="preserve">, </w:t>
      </w:r>
      <w:r w:rsidR="00C576C7" w:rsidRPr="001C55F0">
        <w:rPr>
          <w:rFonts w:cs="Arial"/>
        </w:rPr>
        <w:t xml:space="preserve">ammonium polyphosphate </w:t>
      </w:r>
      <w:r w:rsidR="003F0BFA" w:rsidRPr="001C55F0">
        <w:rPr>
          <w:rFonts w:cs="Arial"/>
        </w:rPr>
        <w:t>(</w:t>
      </w:r>
      <w:r w:rsidR="00C576C7" w:rsidRPr="001C55F0">
        <w:rPr>
          <w:rFonts w:cs="Arial"/>
        </w:rPr>
        <w:t>APP</w:t>
      </w:r>
      <w:r w:rsidR="003F0BFA" w:rsidRPr="001C55F0">
        <w:rPr>
          <w:rFonts w:cs="Arial"/>
        </w:rPr>
        <w:t xml:space="preserve">), </w:t>
      </w:r>
      <w:r w:rsidR="00C576C7" w:rsidRPr="001C55F0">
        <w:rPr>
          <w:rFonts w:cs="Arial"/>
        </w:rPr>
        <w:t>aluminum trihydroxide (</w:t>
      </w:r>
      <w:r w:rsidR="003F0BFA" w:rsidRPr="001C55F0">
        <w:rPr>
          <w:rFonts w:cs="Arial"/>
        </w:rPr>
        <w:t>ATH</w:t>
      </w:r>
      <w:r w:rsidR="00C576C7" w:rsidRPr="001C55F0">
        <w:rPr>
          <w:rFonts w:cs="Arial"/>
        </w:rPr>
        <w:t>)</w:t>
      </w:r>
      <w:r w:rsidR="006D2F49" w:rsidRPr="001C55F0">
        <w:rPr>
          <w:rFonts w:cs="Arial"/>
        </w:rPr>
        <w:t>,</w:t>
      </w:r>
      <w:r w:rsidR="003F0BFA" w:rsidRPr="001C55F0">
        <w:rPr>
          <w:rFonts w:cs="Arial"/>
        </w:rPr>
        <w:t xml:space="preserve"> </w:t>
      </w:r>
      <w:r w:rsidR="00FB0EB3" w:rsidRPr="001C55F0">
        <w:rPr>
          <w:rFonts w:cs="Arial"/>
          <w:lang w:eastAsia="ru-RU"/>
        </w:rPr>
        <w:t>calcium carbonate (CaCO</w:t>
      </w:r>
      <w:r w:rsidR="00FB0EB3" w:rsidRPr="001C55F0">
        <w:rPr>
          <w:rFonts w:ascii="Cambria Math" w:hAnsi="Cambria Math" w:cs="Cambria Math"/>
          <w:lang w:eastAsia="ru-RU"/>
        </w:rPr>
        <w:t>₃</w:t>
      </w:r>
      <w:r w:rsidR="00FB0EB3" w:rsidRPr="001C55F0">
        <w:rPr>
          <w:rFonts w:cs="Arial"/>
          <w:lang w:eastAsia="ru-RU"/>
        </w:rPr>
        <w:t>),</w:t>
      </w:r>
      <w:r w:rsidR="00FB0EB3" w:rsidRPr="001C55F0">
        <w:rPr>
          <w:rFonts w:cs="Arial"/>
          <w:lang w:eastAsia="ru-RU"/>
        </w:rPr>
        <w:t xml:space="preserve"> </w:t>
      </w:r>
      <w:r w:rsidR="003F0BFA" w:rsidRPr="001C55F0">
        <w:rPr>
          <w:rFonts w:cs="Arial"/>
        </w:rPr>
        <w:t xml:space="preserve">and </w:t>
      </w:r>
      <w:r w:rsidR="00B20D30" w:rsidRPr="001C55F0">
        <w:rPr>
          <w:rFonts w:cs="Arial"/>
        </w:rPr>
        <w:t>polyolefin (</w:t>
      </w:r>
      <w:r w:rsidR="003F0BFA" w:rsidRPr="001C55F0">
        <w:rPr>
          <w:rFonts w:cs="Arial"/>
        </w:rPr>
        <w:t>PO</w:t>
      </w:r>
      <w:r w:rsidR="00B20D30" w:rsidRPr="001C55F0">
        <w:rPr>
          <w:rFonts w:cs="Arial"/>
        </w:rPr>
        <w:t>)</w:t>
      </w:r>
      <w:r w:rsidR="003F0BFA" w:rsidRPr="001C55F0">
        <w:rPr>
          <w:rFonts w:cs="Arial"/>
        </w:rPr>
        <w:t xml:space="preserve"> substances. The results are presented in Table 2.</w:t>
      </w:r>
      <w:r w:rsidR="006D2F49" w:rsidRPr="001C55F0">
        <w:rPr>
          <w:rFonts w:cs="Arial"/>
        </w:rPr>
        <w:t xml:space="preserve"> </w:t>
      </w:r>
    </w:p>
    <w:p w14:paraId="130C0CE0" w14:textId="221D7E85" w:rsidR="00951855" w:rsidRPr="00086D7C" w:rsidRDefault="00783584" w:rsidP="00D018D0">
      <w:pPr>
        <w:pStyle w:val="CETTabletitle"/>
      </w:pPr>
      <w:r>
        <w:rPr>
          <w:lang w:val="en-US"/>
        </w:rPr>
        <w:t>Table 2</w:t>
      </w:r>
      <w:r w:rsidR="006D5215" w:rsidRPr="00D018D0">
        <w:t>:</w:t>
      </w:r>
      <w:r w:rsidR="00951855" w:rsidRPr="00D018D0">
        <w:t xml:space="preserve"> Examples of </w:t>
      </w:r>
      <w:r w:rsidR="00C43731" w:rsidRPr="00D018D0">
        <w:t>N-P</w:t>
      </w:r>
      <w:r w:rsidR="00951855" w:rsidRPr="00D018D0">
        <w:t xml:space="preserve"> as adjuvants </w:t>
      </w:r>
      <w:r w:rsidR="00975C43">
        <w:t>with conventional flame-retardants in polyolefin</w:t>
      </w:r>
      <w:r w:rsidR="00951855" w:rsidRPr="00086D7C">
        <w:t xml:space="preserve"> composites.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701"/>
        <w:gridCol w:w="1418"/>
        <w:gridCol w:w="1560"/>
        <w:gridCol w:w="1843"/>
        <w:gridCol w:w="1275"/>
      </w:tblGrid>
      <w:tr w:rsidR="006D5215" w:rsidRPr="006D5215" w14:paraId="214315F8" w14:textId="77777777" w:rsidTr="006E7493">
        <w:tc>
          <w:tcPr>
            <w:tcW w:w="1701" w:type="dxa"/>
            <w:tcBorders>
              <w:top w:val="single" w:sz="12" w:space="0" w:color="008000"/>
              <w:bottom w:val="single" w:sz="6" w:space="0" w:color="008000"/>
            </w:tcBorders>
            <w:shd w:val="clear" w:color="auto" w:fill="FFFFFF"/>
          </w:tcPr>
          <w:p w14:paraId="25D8C335" w14:textId="77777777" w:rsidR="00951855" w:rsidRPr="006D5215" w:rsidRDefault="00951855" w:rsidP="006D5215">
            <w:pPr>
              <w:pStyle w:val="CETBodytext"/>
            </w:pPr>
            <w:r w:rsidRPr="006D5215">
              <w:t>PO matrix</w:t>
            </w:r>
          </w:p>
        </w:tc>
        <w:tc>
          <w:tcPr>
            <w:tcW w:w="1418" w:type="dxa"/>
            <w:tcBorders>
              <w:top w:val="single" w:sz="12" w:space="0" w:color="008000"/>
              <w:bottom w:val="single" w:sz="6" w:space="0" w:color="008000"/>
            </w:tcBorders>
            <w:shd w:val="clear" w:color="auto" w:fill="FFFFFF"/>
          </w:tcPr>
          <w:p w14:paraId="07C58566" w14:textId="666CABE3" w:rsidR="00951855" w:rsidRPr="006D5215" w:rsidRDefault="00C43731" w:rsidP="002E7C94">
            <w:pPr>
              <w:pStyle w:val="CETBodytext"/>
              <w:jc w:val="left"/>
            </w:pPr>
            <w:r>
              <w:t xml:space="preserve">N-P </w:t>
            </w:r>
            <w:r w:rsidR="002E7C94">
              <w:t>flame retardant</w:t>
            </w:r>
            <w:r w:rsidR="00E54FD2">
              <w:t xml:space="preserve"> </w:t>
            </w:r>
            <w:r w:rsidRPr="006D5215">
              <w:t>(</w:t>
            </w:r>
            <w:r w:rsidR="00951855" w:rsidRPr="006D5215">
              <w:t>wt. %)</w:t>
            </w:r>
          </w:p>
        </w:tc>
        <w:tc>
          <w:tcPr>
            <w:tcW w:w="1560" w:type="dxa"/>
            <w:tcBorders>
              <w:top w:val="single" w:sz="12" w:space="0" w:color="008000"/>
              <w:bottom w:val="single" w:sz="6" w:space="0" w:color="008000"/>
            </w:tcBorders>
            <w:shd w:val="clear" w:color="auto" w:fill="FFFFFF"/>
          </w:tcPr>
          <w:p w14:paraId="3F9B55EC" w14:textId="77777777" w:rsidR="00951855" w:rsidRPr="006D5215" w:rsidRDefault="00951855" w:rsidP="006E7493">
            <w:pPr>
              <w:pStyle w:val="CETBodytext"/>
              <w:jc w:val="left"/>
            </w:pPr>
            <w:r w:rsidRPr="006D5215">
              <w:t>Other flame retardants (wt. %)</w:t>
            </w:r>
          </w:p>
        </w:tc>
        <w:tc>
          <w:tcPr>
            <w:tcW w:w="1843" w:type="dxa"/>
            <w:tcBorders>
              <w:top w:val="single" w:sz="12" w:space="0" w:color="008000"/>
              <w:bottom w:val="single" w:sz="6" w:space="0" w:color="008000"/>
            </w:tcBorders>
            <w:shd w:val="clear" w:color="auto" w:fill="FFFFFF"/>
          </w:tcPr>
          <w:p w14:paraId="453C1D98" w14:textId="77777777" w:rsidR="00951855" w:rsidRPr="006D5215" w:rsidRDefault="00951855" w:rsidP="006D5215">
            <w:pPr>
              <w:pStyle w:val="CETBodytext"/>
            </w:pPr>
            <w:r w:rsidRPr="006D5215">
              <w:t>Flame retardancy</w:t>
            </w:r>
          </w:p>
        </w:tc>
        <w:tc>
          <w:tcPr>
            <w:tcW w:w="1275" w:type="dxa"/>
            <w:tcBorders>
              <w:top w:val="single" w:sz="12" w:space="0" w:color="008000"/>
              <w:bottom w:val="single" w:sz="6" w:space="0" w:color="008000"/>
            </w:tcBorders>
            <w:shd w:val="clear" w:color="auto" w:fill="FFFFFF"/>
          </w:tcPr>
          <w:p w14:paraId="2E482869" w14:textId="77777777" w:rsidR="00951855" w:rsidRPr="006D5215" w:rsidRDefault="00951855" w:rsidP="006D5215">
            <w:pPr>
              <w:pStyle w:val="CETBodytext"/>
            </w:pPr>
            <w:r w:rsidRPr="006D5215">
              <w:t>Mechanical property</w:t>
            </w:r>
          </w:p>
        </w:tc>
      </w:tr>
      <w:tr w:rsidR="005D29DF" w:rsidRPr="005D29DF" w14:paraId="08245FD4" w14:textId="77777777" w:rsidTr="006E7493">
        <w:tc>
          <w:tcPr>
            <w:tcW w:w="1701" w:type="dxa"/>
            <w:shd w:val="clear" w:color="auto" w:fill="FFFFFF"/>
          </w:tcPr>
          <w:p w14:paraId="280FFD47" w14:textId="77777777" w:rsidR="00DB5E9A" w:rsidRPr="00F347DB" w:rsidRDefault="00DB5E9A" w:rsidP="00DB5E9A">
            <w:pPr>
              <w:pStyle w:val="CETBodytext"/>
            </w:pPr>
            <w:r w:rsidRPr="00F347DB">
              <w:t>EVA/PE</w:t>
            </w:r>
          </w:p>
          <w:p w14:paraId="3B814673" w14:textId="77777777" w:rsidR="00DB5E9A" w:rsidRPr="00F347DB" w:rsidRDefault="00DB5E9A" w:rsidP="00DB5E9A">
            <w:pPr>
              <w:pStyle w:val="CETBodytext"/>
            </w:pPr>
            <w:r w:rsidRPr="00F347DB">
              <w:t>(30/70 %)</w:t>
            </w:r>
          </w:p>
          <w:p w14:paraId="343FE16F" w14:textId="176659ED" w:rsidR="00D13C96" w:rsidRPr="00F347DB" w:rsidRDefault="00D13C96" w:rsidP="00DB5E9A">
            <w:pPr>
              <w:pStyle w:val="CETBodytext"/>
            </w:pPr>
            <w:r w:rsidRPr="00F347DB">
              <w:t>(pure plymer)</w:t>
            </w:r>
          </w:p>
        </w:tc>
        <w:tc>
          <w:tcPr>
            <w:tcW w:w="1418" w:type="dxa"/>
            <w:shd w:val="clear" w:color="auto" w:fill="FFFFFF"/>
          </w:tcPr>
          <w:p w14:paraId="11B82BD4" w14:textId="7B834FC1" w:rsidR="00DB5E9A" w:rsidRPr="00F347DB" w:rsidRDefault="000326C6" w:rsidP="00DB5E9A">
            <w:pPr>
              <w:pStyle w:val="CETBodytext"/>
            </w:pPr>
            <w:r w:rsidRPr="00F347DB">
              <w:t>-</w:t>
            </w:r>
          </w:p>
        </w:tc>
        <w:tc>
          <w:tcPr>
            <w:tcW w:w="1560" w:type="dxa"/>
            <w:shd w:val="clear" w:color="auto" w:fill="FFFFFF"/>
          </w:tcPr>
          <w:p w14:paraId="65FD6553" w14:textId="77978CA8" w:rsidR="00DB5E9A" w:rsidRPr="00F347DB" w:rsidRDefault="000326C6" w:rsidP="000326C6">
            <w:pPr>
              <w:pStyle w:val="CETBodytext"/>
              <w:jc w:val="left"/>
            </w:pPr>
            <w:r w:rsidRPr="00F347DB">
              <w:t>-</w:t>
            </w:r>
          </w:p>
        </w:tc>
        <w:tc>
          <w:tcPr>
            <w:tcW w:w="1843" w:type="dxa"/>
            <w:shd w:val="clear" w:color="auto" w:fill="FFFFFF"/>
          </w:tcPr>
          <w:p w14:paraId="67AFA68E" w14:textId="56872CF1" w:rsidR="00DB5E9A" w:rsidRPr="00F347DB" w:rsidRDefault="00DB5E9A" w:rsidP="00DB5E9A">
            <w:pPr>
              <w:pStyle w:val="CETBodytext"/>
            </w:pPr>
            <w:r w:rsidRPr="00F347DB">
              <w:t xml:space="preserve">UL-94 (1.2 mm): </w:t>
            </w:r>
            <w:r w:rsidR="005F47A8" w:rsidRPr="00F347DB">
              <w:t>V-2</w:t>
            </w:r>
          </w:p>
          <w:p w14:paraId="3C55338B" w14:textId="212AFC89" w:rsidR="00DB5E9A" w:rsidRPr="00F347DB" w:rsidRDefault="00DB5E9A" w:rsidP="00F347DB">
            <w:pPr>
              <w:pStyle w:val="CETBodytext"/>
            </w:pPr>
            <w:r w:rsidRPr="00F347DB">
              <w:t xml:space="preserve">LOI: </w:t>
            </w:r>
            <w:r w:rsidR="00F347DB">
              <w:rPr>
                <w:lang w:val="ru-RU"/>
              </w:rPr>
              <w:t>21</w:t>
            </w:r>
            <w:r w:rsidRPr="00F347DB">
              <w:t xml:space="preserve"> %</w:t>
            </w:r>
          </w:p>
        </w:tc>
        <w:tc>
          <w:tcPr>
            <w:tcW w:w="1275" w:type="dxa"/>
            <w:shd w:val="clear" w:color="auto" w:fill="FFFFFF"/>
          </w:tcPr>
          <w:p w14:paraId="79AF4572" w14:textId="568F3BCB" w:rsidR="00DB5E9A" w:rsidRPr="00F347DB" w:rsidRDefault="00DB5E9A" w:rsidP="00DB5E9A">
            <w:pPr>
              <w:pStyle w:val="CETBodytext"/>
            </w:pPr>
            <w:r w:rsidRPr="00F347DB">
              <w:t>σ</w:t>
            </w:r>
            <w:r w:rsidRPr="00F347DB">
              <w:rPr>
                <w:vertAlign w:val="subscript"/>
              </w:rPr>
              <w:t xml:space="preserve">t </w:t>
            </w:r>
            <w:r w:rsidRPr="00F347DB">
              <w:t xml:space="preserve">: 11.2 MPa </w:t>
            </w:r>
          </w:p>
          <w:p w14:paraId="45CA978A" w14:textId="47A2AF2E" w:rsidR="00DB5E9A" w:rsidRPr="00F347DB" w:rsidRDefault="00DB5E9A" w:rsidP="00DB5E9A">
            <w:pPr>
              <w:pStyle w:val="CETBodytext"/>
            </w:pPr>
            <w:r w:rsidRPr="00F347DB">
              <w:t>ε</w:t>
            </w:r>
            <w:r w:rsidRPr="00F347DB">
              <w:rPr>
                <w:vertAlign w:val="subscript"/>
              </w:rPr>
              <w:t xml:space="preserve">b </w:t>
            </w:r>
            <w:r w:rsidRPr="00F347DB">
              <w:t xml:space="preserve">: 312.5 % </w:t>
            </w:r>
          </w:p>
        </w:tc>
      </w:tr>
      <w:tr w:rsidR="005D29DF" w:rsidRPr="005D29DF" w14:paraId="443FAA6F" w14:textId="77777777" w:rsidTr="006E7493">
        <w:tc>
          <w:tcPr>
            <w:tcW w:w="1701" w:type="dxa"/>
            <w:shd w:val="clear" w:color="auto" w:fill="FFFFFF"/>
          </w:tcPr>
          <w:p w14:paraId="293263B5" w14:textId="77777777" w:rsidR="00DB5E9A" w:rsidRPr="00F347DB" w:rsidRDefault="00DB5E9A" w:rsidP="00DB5E9A">
            <w:pPr>
              <w:pStyle w:val="CETBodytext"/>
            </w:pPr>
            <w:r w:rsidRPr="00F347DB">
              <w:t>EVA/PE</w:t>
            </w:r>
          </w:p>
          <w:p w14:paraId="7B51A484" w14:textId="77777777" w:rsidR="00DB5E9A" w:rsidRPr="00F347DB" w:rsidRDefault="00DB5E9A" w:rsidP="005D29DF">
            <w:pPr>
              <w:pStyle w:val="CETBodytext"/>
            </w:pPr>
            <w:r w:rsidRPr="00F347DB">
              <w:t>(</w:t>
            </w:r>
            <w:r w:rsidR="00652B32" w:rsidRPr="00F347DB">
              <w:t>26/2</w:t>
            </w:r>
            <w:r w:rsidR="005D29DF" w:rsidRPr="00F347DB">
              <w:t>4</w:t>
            </w:r>
            <w:r w:rsidRPr="00F347DB">
              <w:t xml:space="preserve"> %)</w:t>
            </w:r>
          </w:p>
          <w:p w14:paraId="732F595E" w14:textId="074D7A56" w:rsidR="00D13C96" w:rsidRPr="00F347DB" w:rsidRDefault="005F47A8" w:rsidP="005D29DF">
            <w:pPr>
              <w:pStyle w:val="CETBodytext"/>
            </w:pPr>
            <w:r w:rsidRPr="00F347DB">
              <w:t>(control formulation</w:t>
            </w:r>
            <w:r w:rsidR="00D13C96" w:rsidRPr="00F347DB">
              <w:t>)</w:t>
            </w:r>
          </w:p>
        </w:tc>
        <w:tc>
          <w:tcPr>
            <w:tcW w:w="1418" w:type="dxa"/>
            <w:shd w:val="clear" w:color="auto" w:fill="FFFFFF"/>
          </w:tcPr>
          <w:p w14:paraId="7A846C66" w14:textId="0BFBF874" w:rsidR="00DB5E9A" w:rsidRPr="00F347DB" w:rsidRDefault="000326C6" w:rsidP="00DB5E9A">
            <w:pPr>
              <w:pStyle w:val="CETBodytext"/>
            </w:pPr>
            <w:r w:rsidRPr="00F347DB">
              <w:t>-</w:t>
            </w:r>
          </w:p>
        </w:tc>
        <w:tc>
          <w:tcPr>
            <w:tcW w:w="1560" w:type="dxa"/>
            <w:shd w:val="clear" w:color="auto" w:fill="FFFFFF"/>
          </w:tcPr>
          <w:p w14:paraId="4A1B3345" w14:textId="6A9CEA25" w:rsidR="00DB5E9A" w:rsidRPr="00F347DB" w:rsidRDefault="00652B32" w:rsidP="00DB5E9A">
            <w:pPr>
              <w:pStyle w:val="CETBodytext"/>
            </w:pPr>
            <w:r w:rsidRPr="00F347DB">
              <w:t>ATH (3</w:t>
            </w:r>
            <w:r w:rsidR="005D29DF" w:rsidRPr="00F347DB">
              <w:t>7</w:t>
            </w:r>
            <w:r w:rsidR="00DB5E9A" w:rsidRPr="00F347DB">
              <w:t>.0)</w:t>
            </w:r>
          </w:p>
          <w:p w14:paraId="108AB4FD" w14:textId="77777777" w:rsidR="00DB5E9A" w:rsidRPr="00F347DB" w:rsidRDefault="00DB5E9A" w:rsidP="00DB5E9A">
            <w:pPr>
              <w:pStyle w:val="CETBodytext"/>
            </w:pPr>
            <w:r w:rsidRPr="00F347DB">
              <w:t>CaCO</w:t>
            </w:r>
            <w:r w:rsidRPr="00F347DB">
              <w:rPr>
                <w:vertAlign w:val="subscript"/>
              </w:rPr>
              <w:t xml:space="preserve">3 </w:t>
            </w:r>
            <w:r w:rsidRPr="00F347DB">
              <w:t>(7.0)</w:t>
            </w:r>
          </w:p>
          <w:p w14:paraId="453F6BA2" w14:textId="1A2198B7" w:rsidR="00DB5E9A" w:rsidRPr="00F347DB" w:rsidRDefault="00DB5E9A" w:rsidP="00652B32">
            <w:pPr>
              <w:pStyle w:val="CETBodytext"/>
            </w:pPr>
            <w:r w:rsidRPr="00F347DB">
              <w:t>APP (</w:t>
            </w:r>
            <w:r w:rsidR="00652B32" w:rsidRPr="00F347DB">
              <w:t>6</w:t>
            </w:r>
            <w:r w:rsidRPr="00F347DB">
              <w:t>.0)</w:t>
            </w:r>
          </w:p>
        </w:tc>
        <w:tc>
          <w:tcPr>
            <w:tcW w:w="1843" w:type="dxa"/>
            <w:shd w:val="clear" w:color="auto" w:fill="FFFFFF"/>
          </w:tcPr>
          <w:p w14:paraId="2DE3184C" w14:textId="77777777" w:rsidR="00DB5E9A" w:rsidRPr="00F347DB" w:rsidRDefault="00DB5E9A" w:rsidP="00DB5E9A">
            <w:pPr>
              <w:pStyle w:val="CETBodytext"/>
            </w:pPr>
            <w:r w:rsidRPr="00F347DB">
              <w:t>UL-94 (1.2 mm): V-2</w:t>
            </w:r>
          </w:p>
          <w:p w14:paraId="2D10F2F4" w14:textId="02C1E9F7" w:rsidR="00DB5E9A" w:rsidRPr="00F347DB" w:rsidRDefault="00DB5E9A" w:rsidP="00652B32">
            <w:pPr>
              <w:pStyle w:val="CETBodytext"/>
            </w:pPr>
            <w:r w:rsidRPr="00F347DB">
              <w:t>LOI: 2</w:t>
            </w:r>
            <w:r w:rsidR="00652B32" w:rsidRPr="00F347DB">
              <w:t>3</w:t>
            </w:r>
            <w:r w:rsidRPr="00F347DB">
              <w:t>.6 %</w:t>
            </w:r>
          </w:p>
        </w:tc>
        <w:tc>
          <w:tcPr>
            <w:tcW w:w="1275" w:type="dxa"/>
            <w:shd w:val="clear" w:color="auto" w:fill="FFFFFF"/>
          </w:tcPr>
          <w:p w14:paraId="2011FBB7" w14:textId="1722C834" w:rsidR="00DB5E9A" w:rsidRPr="00F347DB" w:rsidRDefault="00DB5E9A" w:rsidP="00DB5E9A">
            <w:pPr>
              <w:pStyle w:val="CETBodytext"/>
            </w:pPr>
            <w:r w:rsidRPr="00F347DB">
              <w:t>σ</w:t>
            </w:r>
            <w:r w:rsidRPr="00F347DB">
              <w:rPr>
                <w:vertAlign w:val="subscript"/>
              </w:rPr>
              <w:t xml:space="preserve">t </w:t>
            </w:r>
            <w:r w:rsidRPr="00F347DB">
              <w:t xml:space="preserve">: </w:t>
            </w:r>
            <w:r w:rsidR="00652B32" w:rsidRPr="00F347DB">
              <w:t>11.4</w:t>
            </w:r>
            <w:r w:rsidRPr="00F347DB">
              <w:t xml:space="preserve"> MPa </w:t>
            </w:r>
          </w:p>
          <w:p w14:paraId="7E4550F4" w14:textId="071D1379" w:rsidR="00DB5E9A" w:rsidRPr="00F347DB" w:rsidRDefault="00DB5E9A" w:rsidP="007C5092">
            <w:pPr>
              <w:pStyle w:val="CETBodytext"/>
            </w:pPr>
            <w:r w:rsidRPr="00F347DB">
              <w:t>ε</w:t>
            </w:r>
            <w:r w:rsidRPr="00F347DB">
              <w:rPr>
                <w:vertAlign w:val="subscript"/>
              </w:rPr>
              <w:t xml:space="preserve">b </w:t>
            </w:r>
            <w:r w:rsidRPr="00F347DB">
              <w:t>: 7</w:t>
            </w:r>
            <w:r w:rsidR="007C5092" w:rsidRPr="00F347DB">
              <w:rPr>
                <w:lang w:val="ru-RU"/>
              </w:rPr>
              <w:t>2</w:t>
            </w:r>
            <w:r w:rsidRPr="00F347DB">
              <w:t>.</w:t>
            </w:r>
            <w:r w:rsidR="00652B32" w:rsidRPr="00F347DB">
              <w:t>6</w:t>
            </w:r>
            <w:r w:rsidRPr="00F347DB">
              <w:t xml:space="preserve"> % </w:t>
            </w:r>
          </w:p>
        </w:tc>
      </w:tr>
      <w:tr w:rsidR="00DB5E9A" w:rsidRPr="006D5215" w14:paraId="06DFEBF8" w14:textId="77777777" w:rsidTr="006E7493">
        <w:tc>
          <w:tcPr>
            <w:tcW w:w="1701" w:type="dxa"/>
            <w:shd w:val="clear" w:color="auto" w:fill="FFFFFF"/>
          </w:tcPr>
          <w:p w14:paraId="67556016" w14:textId="77777777" w:rsidR="00DB5E9A" w:rsidRPr="006D5215" w:rsidRDefault="00DB5E9A" w:rsidP="00DB5E9A">
            <w:pPr>
              <w:pStyle w:val="CETBodytext"/>
            </w:pPr>
            <w:r w:rsidRPr="006D5215">
              <w:t>EVA/PE</w:t>
            </w:r>
          </w:p>
          <w:p w14:paraId="1A0091E9" w14:textId="51540767" w:rsidR="00DB5E9A" w:rsidRPr="006D5215" w:rsidRDefault="00DB5E9A" w:rsidP="00DB5E9A">
            <w:pPr>
              <w:pStyle w:val="CETBodytext"/>
            </w:pPr>
            <w:r w:rsidRPr="006D5215">
              <w:t>(30/10 %)</w:t>
            </w:r>
          </w:p>
        </w:tc>
        <w:tc>
          <w:tcPr>
            <w:tcW w:w="1418" w:type="dxa"/>
            <w:shd w:val="clear" w:color="auto" w:fill="FFFFFF"/>
          </w:tcPr>
          <w:p w14:paraId="22EA577C" w14:textId="1FACEB56" w:rsidR="00DB5E9A" w:rsidRPr="006D5215" w:rsidRDefault="00DB5E9A" w:rsidP="00DB5E9A">
            <w:pPr>
              <w:pStyle w:val="CETBodytext"/>
            </w:pPr>
            <w:r w:rsidRPr="006D5215">
              <w:t>5.0</w:t>
            </w:r>
          </w:p>
        </w:tc>
        <w:tc>
          <w:tcPr>
            <w:tcW w:w="1560" w:type="dxa"/>
            <w:shd w:val="clear" w:color="auto" w:fill="FFFFFF"/>
          </w:tcPr>
          <w:p w14:paraId="47CD11D1" w14:textId="77777777" w:rsidR="00DB5E9A" w:rsidRPr="006D5215" w:rsidRDefault="00DB5E9A" w:rsidP="00DB5E9A">
            <w:pPr>
              <w:pStyle w:val="CETBodytext"/>
            </w:pPr>
            <w:r w:rsidRPr="006D5215">
              <w:t>ATH (40.0)</w:t>
            </w:r>
          </w:p>
          <w:p w14:paraId="21315505" w14:textId="77777777" w:rsidR="00DB5E9A" w:rsidRPr="006D5215" w:rsidRDefault="00DB5E9A" w:rsidP="00DB5E9A">
            <w:pPr>
              <w:pStyle w:val="CETBodytext"/>
            </w:pPr>
            <w:r w:rsidRPr="006D5215">
              <w:t>CaCO</w:t>
            </w:r>
            <w:r w:rsidRPr="006D5215">
              <w:rPr>
                <w:vertAlign w:val="subscript"/>
              </w:rPr>
              <w:t xml:space="preserve">3 </w:t>
            </w:r>
            <w:r w:rsidRPr="006D5215">
              <w:t>(7.0)</w:t>
            </w:r>
          </w:p>
          <w:p w14:paraId="132B0099" w14:textId="7C976F56" w:rsidR="00DB5E9A" w:rsidRPr="006D5215" w:rsidRDefault="00DB5E9A" w:rsidP="00DB5E9A">
            <w:pPr>
              <w:pStyle w:val="CETBodytext"/>
            </w:pPr>
            <w:r w:rsidRPr="006D5215">
              <w:t>APP (8.0)</w:t>
            </w:r>
          </w:p>
        </w:tc>
        <w:tc>
          <w:tcPr>
            <w:tcW w:w="1843" w:type="dxa"/>
            <w:shd w:val="clear" w:color="auto" w:fill="FFFFFF"/>
          </w:tcPr>
          <w:p w14:paraId="5897443B" w14:textId="77777777" w:rsidR="00DB5E9A" w:rsidRPr="006D5215" w:rsidRDefault="00DB5E9A" w:rsidP="00DB5E9A">
            <w:pPr>
              <w:pStyle w:val="CETBodytext"/>
            </w:pPr>
            <w:r w:rsidRPr="006D5215">
              <w:t>UL-94 (1.2 mm): V-2</w:t>
            </w:r>
          </w:p>
          <w:p w14:paraId="73C2AB2C" w14:textId="3E216D5E" w:rsidR="00DB5E9A" w:rsidRPr="006D5215" w:rsidRDefault="00DB5E9A" w:rsidP="00DB5E9A">
            <w:pPr>
              <w:pStyle w:val="CETBodytext"/>
            </w:pPr>
            <w:r w:rsidRPr="006D5215">
              <w:t>LOI: 24.6 %</w:t>
            </w:r>
          </w:p>
        </w:tc>
        <w:tc>
          <w:tcPr>
            <w:tcW w:w="1275" w:type="dxa"/>
            <w:shd w:val="clear" w:color="auto" w:fill="FFFFFF"/>
          </w:tcPr>
          <w:p w14:paraId="236D7223" w14:textId="77777777" w:rsidR="00DB5E9A" w:rsidRPr="006D5215" w:rsidRDefault="00DB5E9A" w:rsidP="00DB5E9A">
            <w:pPr>
              <w:pStyle w:val="CETBodytext"/>
            </w:pPr>
            <w:r w:rsidRPr="006D5215">
              <w:t>σ</w:t>
            </w:r>
            <w:r w:rsidRPr="006D5215">
              <w:rPr>
                <w:vertAlign w:val="subscript"/>
              </w:rPr>
              <w:t xml:space="preserve">t </w:t>
            </w:r>
            <w:r w:rsidRPr="006D5215">
              <w:t xml:space="preserve">: 5.6 MPa </w:t>
            </w:r>
          </w:p>
          <w:p w14:paraId="0E2D9CAA" w14:textId="38C06B07" w:rsidR="00DB5E9A" w:rsidRPr="006D5215" w:rsidRDefault="00DB5E9A" w:rsidP="00DB5E9A">
            <w:pPr>
              <w:pStyle w:val="CETBodytext"/>
            </w:pPr>
            <w:r w:rsidRPr="006D5215">
              <w:t>ε</w:t>
            </w:r>
            <w:r w:rsidRPr="006D5215">
              <w:rPr>
                <w:vertAlign w:val="subscript"/>
              </w:rPr>
              <w:t xml:space="preserve">b </w:t>
            </w:r>
            <w:r w:rsidRPr="006D5215">
              <w:t xml:space="preserve">: 75.3 % </w:t>
            </w:r>
          </w:p>
        </w:tc>
      </w:tr>
      <w:tr w:rsidR="00DB5E9A" w:rsidRPr="006D5215" w14:paraId="7D0B1ACF" w14:textId="77777777" w:rsidTr="006E7493">
        <w:tc>
          <w:tcPr>
            <w:tcW w:w="1701" w:type="dxa"/>
            <w:shd w:val="clear" w:color="auto" w:fill="FFFFFF"/>
          </w:tcPr>
          <w:p w14:paraId="767D018F" w14:textId="77777777" w:rsidR="00DB5E9A" w:rsidRPr="006D5215" w:rsidRDefault="00DB5E9A" w:rsidP="00DB5E9A">
            <w:pPr>
              <w:pStyle w:val="CETBodytext"/>
            </w:pPr>
            <w:r w:rsidRPr="006D5215">
              <w:t>EVA/PE</w:t>
            </w:r>
          </w:p>
          <w:p w14:paraId="34B1B7F9" w14:textId="77777777" w:rsidR="00DB5E9A" w:rsidRPr="006D5215" w:rsidRDefault="00DB5E9A" w:rsidP="00DB5E9A">
            <w:pPr>
              <w:pStyle w:val="CETBodytext"/>
            </w:pPr>
            <w:r w:rsidRPr="006D5215">
              <w:t>(20/20 %)</w:t>
            </w:r>
          </w:p>
        </w:tc>
        <w:tc>
          <w:tcPr>
            <w:tcW w:w="1418" w:type="dxa"/>
            <w:shd w:val="clear" w:color="auto" w:fill="FFFFFF"/>
          </w:tcPr>
          <w:p w14:paraId="20EB8A06" w14:textId="13775F0D" w:rsidR="00DB5E9A" w:rsidRPr="006D5215" w:rsidRDefault="00DB5E9A" w:rsidP="00DB5E9A">
            <w:pPr>
              <w:pStyle w:val="CETBodytext"/>
            </w:pPr>
            <w:r w:rsidRPr="006D5215">
              <w:t>6.0</w:t>
            </w:r>
          </w:p>
        </w:tc>
        <w:tc>
          <w:tcPr>
            <w:tcW w:w="1560" w:type="dxa"/>
            <w:shd w:val="clear" w:color="auto" w:fill="FFFFFF"/>
          </w:tcPr>
          <w:p w14:paraId="071AD55C" w14:textId="6915021C" w:rsidR="00DB5E9A" w:rsidRPr="006D5215" w:rsidRDefault="00DB5E9A" w:rsidP="00DB5E9A">
            <w:pPr>
              <w:pStyle w:val="CETBodytext"/>
            </w:pPr>
            <w:r w:rsidRPr="006D5215">
              <w:t>ATH (42.0)</w:t>
            </w:r>
          </w:p>
          <w:p w14:paraId="2B77E159" w14:textId="536258C6" w:rsidR="00DB5E9A" w:rsidRPr="006D5215" w:rsidRDefault="00DB5E9A" w:rsidP="00DB5E9A">
            <w:pPr>
              <w:pStyle w:val="CETBodytext"/>
            </w:pPr>
            <w:r w:rsidRPr="006D5215">
              <w:t>CaCO</w:t>
            </w:r>
            <w:r w:rsidRPr="006D5215">
              <w:rPr>
                <w:vertAlign w:val="subscript"/>
              </w:rPr>
              <w:t xml:space="preserve">3 </w:t>
            </w:r>
            <w:r w:rsidRPr="006D5215">
              <w:t>(</w:t>
            </w:r>
            <w:r w:rsidR="00E67AAF">
              <w:t>7</w:t>
            </w:r>
            <w:r w:rsidRPr="006D5215">
              <w:t>.0)</w:t>
            </w:r>
          </w:p>
          <w:p w14:paraId="310CCC47" w14:textId="77777777" w:rsidR="00DB5E9A" w:rsidRPr="006D5215" w:rsidRDefault="00DB5E9A" w:rsidP="00DB5E9A">
            <w:pPr>
              <w:pStyle w:val="CETBodytext"/>
            </w:pPr>
            <w:r w:rsidRPr="006D5215">
              <w:t>APP (5.0)</w:t>
            </w:r>
          </w:p>
        </w:tc>
        <w:tc>
          <w:tcPr>
            <w:tcW w:w="1843" w:type="dxa"/>
            <w:shd w:val="clear" w:color="auto" w:fill="FFFFFF"/>
          </w:tcPr>
          <w:p w14:paraId="53059B6E" w14:textId="77777777" w:rsidR="00DB5E9A" w:rsidRPr="006D5215" w:rsidRDefault="00DB5E9A" w:rsidP="00DB5E9A">
            <w:pPr>
              <w:pStyle w:val="CETBodytext"/>
            </w:pPr>
            <w:r w:rsidRPr="006D5215">
              <w:t>UL-94 (1.2 mm): V-2</w:t>
            </w:r>
          </w:p>
          <w:p w14:paraId="1928AA6C" w14:textId="10D0204D" w:rsidR="00DB5E9A" w:rsidRPr="006D5215" w:rsidRDefault="00DB5E9A" w:rsidP="00DB5E9A">
            <w:pPr>
              <w:pStyle w:val="CETBodytext"/>
            </w:pPr>
            <w:r w:rsidRPr="006D5215">
              <w:t>LOI: 23.7 %</w:t>
            </w:r>
          </w:p>
        </w:tc>
        <w:tc>
          <w:tcPr>
            <w:tcW w:w="1275" w:type="dxa"/>
            <w:shd w:val="clear" w:color="auto" w:fill="FFFFFF"/>
          </w:tcPr>
          <w:p w14:paraId="481EB472" w14:textId="651136BE" w:rsidR="00DB5E9A" w:rsidRPr="006D5215" w:rsidRDefault="00DB5E9A" w:rsidP="00DB5E9A">
            <w:pPr>
              <w:pStyle w:val="CETBodytext"/>
            </w:pPr>
            <w:r w:rsidRPr="006D5215">
              <w:t>σ</w:t>
            </w:r>
            <w:r w:rsidRPr="006D5215">
              <w:rPr>
                <w:vertAlign w:val="subscript"/>
              </w:rPr>
              <w:t xml:space="preserve">t </w:t>
            </w:r>
            <w:r w:rsidRPr="006D5215">
              <w:t xml:space="preserve">: 7.2 MPa </w:t>
            </w:r>
          </w:p>
          <w:p w14:paraId="5CFD50A1" w14:textId="606E06AA" w:rsidR="00DB5E9A" w:rsidRPr="006D5215" w:rsidRDefault="00DB5E9A" w:rsidP="00DB5E9A">
            <w:pPr>
              <w:pStyle w:val="CETBodytext"/>
            </w:pPr>
            <w:r w:rsidRPr="006D5215">
              <w:t>ε</w:t>
            </w:r>
            <w:r w:rsidRPr="006D5215">
              <w:rPr>
                <w:vertAlign w:val="subscript"/>
              </w:rPr>
              <w:t xml:space="preserve">b </w:t>
            </w:r>
            <w:r w:rsidRPr="006D5215">
              <w:t xml:space="preserve">: 50.2 % </w:t>
            </w:r>
          </w:p>
        </w:tc>
      </w:tr>
      <w:tr w:rsidR="00DB5E9A" w:rsidRPr="006D5215" w14:paraId="765368A5" w14:textId="77777777" w:rsidTr="006E7493">
        <w:tc>
          <w:tcPr>
            <w:tcW w:w="1701" w:type="dxa"/>
            <w:shd w:val="clear" w:color="auto" w:fill="FFFFFF"/>
          </w:tcPr>
          <w:p w14:paraId="2E106DBD" w14:textId="77777777" w:rsidR="00DB5E9A" w:rsidRPr="006D5215" w:rsidRDefault="00DB5E9A" w:rsidP="00DB5E9A">
            <w:pPr>
              <w:pStyle w:val="CETBodytext"/>
            </w:pPr>
            <w:r w:rsidRPr="006D5215">
              <w:t>EVA/PE</w:t>
            </w:r>
          </w:p>
          <w:p w14:paraId="474EACEC" w14:textId="77777777" w:rsidR="00DB5E9A" w:rsidRPr="006D5215" w:rsidRDefault="00DB5E9A" w:rsidP="00DB5E9A">
            <w:pPr>
              <w:pStyle w:val="CETBodytext"/>
            </w:pPr>
            <w:r w:rsidRPr="006D5215">
              <w:t>(16/24 %)</w:t>
            </w:r>
          </w:p>
        </w:tc>
        <w:tc>
          <w:tcPr>
            <w:tcW w:w="1418" w:type="dxa"/>
            <w:shd w:val="clear" w:color="auto" w:fill="FFFFFF"/>
          </w:tcPr>
          <w:p w14:paraId="304CBB98" w14:textId="77777777" w:rsidR="00DB5E9A" w:rsidRPr="006D5215" w:rsidRDefault="00DB5E9A" w:rsidP="00DB5E9A">
            <w:pPr>
              <w:pStyle w:val="CETBodytext"/>
            </w:pPr>
            <w:r w:rsidRPr="006D5215">
              <w:t>4.0</w:t>
            </w:r>
          </w:p>
        </w:tc>
        <w:tc>
          <w:tcPr>
            <w:tcW w:w="1560" w:type="dxa"/>
            <w:shd w:val="clear" w:color="auto" w:fill="FFFFFF"/>
          </w:tcPr>
          <w:p w14:paraId="0AC5723D" w14:textId="77777777" w:rsidR="00DB5E9A" w:rsidRPr="006D5215" w:rsidRDefault="00DB5E9A" w:rsidP="00DB5E9A">
            <w:pPr>
              <w:pStyle w:val="CETBodytext"/>
            </w:pPr>
            <w:r w:rsidRPr="006D5215">
              <w:t>ATH (51.0)</w:t>
            </w:r>
          </w:p>
          <w:p w14:paraId="53BC5498" w14:textId="77777777" w:rsidR="00DB5E9A" w:rsidRPr="006D5215" w:rsidRDefault="00DB5E9A" w:rsidP="00DB5E9A">
            <w:pPr>
              <w:pStyle w:val="CETBodytext"/>
            </w:pPr>
            <w:r w:rsidRPr="006D5215">
              <w:t>PE wax</w:t>
            </w:r>
            <w:r w:rsidRPr="006D5215">
              <w:rPr>
                <w:vertAlign w:val="subscript"/>
              </w:rPr>
              <w:t xml:space="preserve"> </w:t>
            </w:r>
            <w:r w:rsidRPr="006D5215">
              <w:t>(1.0)</w:t>
            </w:r>
          </w:p>
          <w:p w14:paraId="7B061B2A" w14:textId="77777777" w:rsidR="00DB5E9A" w:rsidRPr="006D5215" w:rsidRDefault="00DB5E9A" w:rsidP="00DB5E9A">
            <w:pPr>
              <w:pStyle w:val="CETBodytext"/>
            </w:pPr>
            <w:r w:rsidRPr="006D5215">
              <w:t>APP (4.0)</w:t>
            </w:r>
          </w:p>
        </w:tc>
        <w:tc>
          <w:tcPr>
            <w:tcW w:w="1843" w:type="dxa"/>
            <w:shd w:val="clear" w:color="auto" w:fill="FFFFFF"/>
          </w:tcPr>
          <w:p w14:paraId="344D1331" w14:textId="77777777" w:rsidR="00DB5E9A" w:rsidRPr="006D5215" w:rsidRDefault="00DB5E9A" w:rsidP="00DB5E9A">
            <w:pPr>
              <w:pStyle w:val="CETBodytext"/>
            </w:pPr>
            <w:r w:rsidRPr="006D5215">
              <w:t>UL-94 (1.2 mm): V-2</w:t>
            </w:r>
          </w:p>
          <w:p w14:paraId="0BE61F3D" w14:textId="77777777" w:rsidR="00DB5E9A" w:rsidRPr="006D5215" w:rsidRDefault="00DB5E9A" w:rsidP="00DB5E9A">
            <w:pPr>
              <w:pStyle w:val="CETBodytext"/>
            </w:pPr>
            <w:r w:rsidRPr="006D5215">
              <w:t>LOI: 21.3 %</w:t>
            </w:r>
          </w:p>
        </w:tc>
        <w:tc>
          <w:tcPr>
            <w:tcW w:w="1275" w:type="dxa"/>
            <w:shd w:val="clear" w:color="auto" w:fill="FFFFFF"/>
          </w:tcPr>
          <w:p w14:paraId="164911DF" w14:textId="16E73194" w:rsidR="00DB5E9A" w:rsidRPr="006D5215" w:rsidRDefault="00DB5E9A" w:rsidP="00DB5E9A">
            <w:pPr>
              <w:pStyle w:val="CETBodytext"/>
            </w:pPr>
            <w:r w:rsidRPr="006D5215">
              <w:t>σ</w:t>
            </w:r>
            <w:r w:rsidRPr="006D5215">
              <w:rPr>
                <w:vertAlign w:val="subscript"/>
              </w:rPr>
              <w:t xml:space="preserve">t </w:t>
            </w:r>
            <w:r w:rsidRPr="006D5215">
              <w:t xml:space="preserve">: 12.6 MPa </w:t>
            </w:r>
          </w:p>
          <w:p w14:paraId="0C3F6005" w14:textId="78029A52" w:rsidR="00DB5E9A" w:rsidRPr="006D5215" w:rsidRDefault="00DB5E9A" w:rsidP="00DB5E9A">
            <w:pPr>
              <w:pStyle w:val="CETBodytext"/>
            </w:pPr>
            <w:r w:rsidRPr="006D5215">
              <w:t>ε</w:t>
            </w:r>
            <w:r w:rsidRPr="006D5215">
              <w:rPr>
                <w:vertAlign w:val="subscript"/>
              </w:rPr>
              <w:t xml:space="preserve">b </w:t>
            </w:r>
            <w:r w:rsidRPr="006D5215">
              <w:t xml:space="preserve">: 80.8 % </w:t>
            </w:r>
          </w:p>
        </w:tc>
      </w:tr>
      <w:tr w:rsidR="00DB5E9A" w:rsidRPr="006D5215" w14:paraId="7E8937E2" w14:textId="77777777" w:rsidTr="006E7493">
        <w:tc>
          <w:tcPr>
            <w:tcW w:w="1701" w:type="dxa"/>
            <w:shd w:val="clear" w:color="auto" w:fill="FFFFFF"/>
          </w:tcPr>
          <w:p w14:paraId="78E2710F" w14:textId="77777777" w:rsidR="00DB5E9A" w:rsidRPr="006D5215" w:rsidRDefault="00DB5E9A" w:rsidP="00DB5E9A">
            <w:pPr>
              <w:pStyle w:val="CETBodytext"/>
            </w:pPr>
            <w:r w:rsidRPr="006D5215">
              <w:t>EVA/PP</w:t>
            </w:r>
          </w:p>
          <w:p w14:paraId="221834AD" w14:textId="77777777" w:rsidR="00DB5E9A" w:rsidRPr="006D5215" w:rsidRDefault="00DB5E9A" w:rsidP="00DB5E9A">
            <w:pPr>
              <w:pStyle w:val="CETBodytext"/>
            </w:pPr>
            <w:r w:rsidRPr="006D5215">
              <w:t>(30/10 %)</w:t>
            </w:r>
          </w:p>
        </w:tc>
        <w:tc>
          <w:tcPr>
            <w:tcW w:w="1418" w:type="dxa"/>
            <w:shd w:val="clear" w:color="auto" w:fill="FFFFFF"/>
          </w:tcPr>
          <w:p w14:paraId="15A99DCD" w14:textId="77777777" w:rsidR="00DB5E9A" w:rsidRPr="006D5215" w:rsidRDefault="00DB5E9A" w:rsidP="00DB5E9A">
            <w:pPr>
              <w:pStyle w:val="CETBodytext"/>
            </w:pPr>
            <w:r w:rsidRPr="006D5215">
              <w:t>5.0</w:t>
            </w:r>
          </w:p>
        </w:tc>
        <w:tc>
          <w:tcPr>
            <w:tcW w:w="1560" w:type="dxa"/>
            <w:shd w:val="clear" w:color="auto" w:fill="FFFFFF"/>
          </w:tcPr>
          <w:p w14:paraId="271789DB" w14:textId="77777777" w:rsidR="00DB5E9A" w:rsidRPr="006D5215" w:rsidRDefault="00DB5E9A" w:rsidP="00DB5E9A">
            <w:pPr>
              <w:pStyle w:val="CETBodytext"/>
            </w:pPr>
            <w:r w:rsidRPr="006D5215">
              <w:t>ATH (45.0)</w:t>
            </w:r>
          </w:p>
          <w:p w14:paraId="4D105BDE" w14:textId="77777777" w:rsidR="00DB5E9A" w:rsidRPr="006D5215" w:rsidRDefault="00DB5E9A" w:rsidP="00DB5E9A">
            <w:pPr>
              <w:pStyle w:val="CETBodytext"/>
            </w:pPr>
            <w:r w:rsidRPr="006D5215">
              <w:t>CaCO</w:t>
            </w:r>
            <w:r w:rsidRPr="006D5215">
              <w:rPr>
                <w:vertAlign w:val="subscript"/>
              </w:rPr>
              <w:t xml:space="preserve">3 </w:t>
            </w:r>
            <w:r w:rsidRPr="006D5215">
              <w:t>(5.0)</w:t>
            </w:r>
          </w:p>
          <w:p w14:paraId="07A12E2A" w14:textId="77777777" w:rsidR="00DB5E9A" w:rsidRPr="006D5215" w:rsidRDefault="00DB5E9A" w:rsidP="00DB5E9A">
            <w:pPr>
              <w:pStyle w:val="CETBodytext"/>
            </w:pPr>
            <w:r w:rsidRPr="006D5215">
              <w:t>APP (5.0)</w:t>
            </w:r>
          </w:p>
        </w:tc>
        <w:tc>
          <w:tcPr>
            <w:tcW w:w="1843" w:type="dxa"/>
            <w:shd w:val="clear" w:color="auto" w:fill="FFFFFF"/>
          </w:tcPr>
          <w:p w14:paraId="4D74C4EB" w14:textId="77777777" w:rsidR="00DB5E9A" w:rsidRPr="006D5215" w:rsidRDefault="00DB5E9A" w:rsidP="00DB5E9A">
            <w:pPr>
              <w:pStyle w:val="CETBodytext"/>
            </w:pPr>
            <w:r w:rsidRPr="006D5215">
              <w:t>UL-94 (1.2 mm): V-2</w:t>
            </w:r>
          </w:p>
          <w:p w14:paraId="13B3460A" w14:textId="622842B6" w:rsidR="00DB5E9A" w:rsidRPr="006D5215" w:rsidRDefault="00DB5E9A" w:rsidP="00DB5E9A">
            <w:pPr>
              <w:pStyle w:val="CETBodytext"/>
            </w:pPr>
            <w:r w:rsidRPr="006D5215">
              <w:t>LOI: 20.5 %</w:t>
            </w:r>
          </w:p>
        </w:tc>
        <w:tc>
          <w:tcPr>
            <w:tcW w:w="1275" w:type="dxa"/>
            <w:shd w:val="clear" w:color="auto" w:fill="FFFFFF"/>
          </w:tcPr>
          <w:p w14:paraId="5F9298DD" w14:textId="60F3AE80" w:rsidR="00DB5E9A" w:rsidRPr="006D5215" w:rsidRDefault="00DB5E9A" w:rsidP="00DB5E9A">
            <w:pPr>
              <w:pStyle w:val="CETBodytext"/>
            </w:pPr>
            <w:r w:rsidRPr="006D5215">
              <w:t>σ</w:t>
            </w:r>
            <w:r w:rsidRPr="006D5215">
              <w:rPr>
                <w:vertAlign w:val="subscript"/>
              </w:rPr>
              <w:t xml:space="preserve">t </w:t>
            </w:r>
            <w:r w:rsidRPr="006D5215">
              <w:t xml:space="preserve">: 10.2 MPa </w:t>
            </w:r>
          </w:p>
          <w:p w14:paraId="15FF4F13" w14:textId="3E65C2EC" w:rsidR="00DB5E9A" w:rsidRPr="006D5215" w:rsidRDefault="00DB5E9A" w:rsidP="00DB5E9A">
            <w:pPr>
              <w:pStyle w:val="CETBodytext"/>
            </w:pPr>
            <w:r w:rsidRPr="006D5215">
              <w:t>ε</w:t>
            </w:r>
            <w:r w:rsidRPr="006D5215">
              <w:rPr>
                <w:vertAlign w:val="subscript"/>
              </w:rPr>
              <w:t xml:space="preserve">b </w:t>
            </w:r>
            <w:r w:rsidRPr="006D5215">
              <w:t xml:space="preserve">: 40.3 % </w:t>
            </w:r>
          </w:p>
        </w:tc>
      </w:tr>
      <w:tr w:rsidR="00DB5E9A" w:rsidRPr="006D5215" w14:paraId="3608DA65" w14:textId="77777777" w:rsidTr="006E7493">
        <w:tc>
          <w:tcPr>
            <w:tcW w:w="1701" w:type="dxa"/>
            <w:shd w:val="clear" w:color="auto" w:fill="FFFFFF"/>
          </w:tcPr>
          <w:p w14:paraId="7131CAD7" w14:textId="77777777" w:rsidR="00DB5E9A" w:rsidRPr="006D5215" w:rsidRDefault="00DB5E9A" w:rsidP="00DB5E9A">
            <w:pPr>
              <w:pStyle w:val="CETBodytext"/>
            </w:pPr>
            <w:r w:rsidRPr="006D5215">
              <w:t>EVA/PP</w:t>
            </w:r>
          </w:p>
          <w:p w14:paraId="1E3F901F" w14:textId="38B8B94B" w:rsidR="00DB5E9A" w:rsidRPr="006D5215" w:rsidRDefault="00DB5E9A" w:rsidP="00DB5E9A">
            <w:pPr>
              <w:pStyle w:val="CETBodytext"/>
            </w:pPr>
            <w:r w:rsidRPr="006D5215">
              <w:t>(25/15 %)</w:t>
            </w:r>
          </w:p>
        </w:tc>
        <w:tc>
          <w:tcPr>
            <w:tcW w:w="1418" w:type="dxa"/>
            <w:shd w:val="clear" w:color="auto" w:fill="FFFFFF"/>
          </w:tcPr>
          <w:p w14:paraId="0788AC0A" w14:textId="77A1F09C" w:rsidR="00DB5E9A" w:rsidRPr="006D5215" w:rsidRDefault="00DB5E9A" w:rsidP="00DB5E9A">
            <w:pPr>
              <w:pStyle w:val="CETBodytext"/>
            </w:pPr>
            <w:r w:rsidRPr="006D5215">
              <w:t>6.0</w:t>
            </w:r>
          </w:p>
        </w:tc>
        <w:tc>
          <w:tcPr>
            <w:tcW w:w="1560" w:type="dxa"/>
            <w:shd w:val="clear" w:color="auto" w:fill="FFFFFF"/>
          </w:tcPr>
          <w:p w14:paraId="213CA6A5" w14:textId="300635EB" w:rsidR="00DB5E9A" w:rsidRPr="006D5215" w:rsidRDefault="00DB5E9A" w:rsidP="00DB5E9A">
            <w:pPr>
              <w:pStyle w:val="CETBodytext"/>
            </w:pPr>
            <w:r w:rsidRPr="006D5215">
              <w:t>ATH (43.0)</w:t>
            </w:r>
          </w:p>
          <w:p w14:paraId="2ED1C575" w14:textId="679EEC07" w:rsidR="00DB5E9A" w:rsidRPr="006D5215" w:rsidRDefault="00DB5E9A" w:rsidP="00DB5E9A">
            <w:pPr>
              <w:pStyle w:val="CETBodytext"/>
            </w:pPr>
            <w:r w:rsidRPr="006D5215">
              <w:t>CaCO</w:t>
            </w:r>
            <w:r w:rsidRPr="006D5215">
              <w:rPr>
                <w:vertAlign w:val="subscript"/>
              </w:rPr>
              <w:t xml:space="preserve">3 </w:t>
            </w:r>
            <w:r w:rsidRPr="006D5215">
              <w:t>(3.0)</w:t>
            </w:r>
          </w:p>
          <w:p w14:paraId="4090F837" w14:textId="25B4EFA5" w:rsidR="00DB5E9A" w:rsidRPr="006D5215" w:rsidRDefault="00E67AAF" w:rsidP="00DB5E9A">
            <w:pPr>
              <w:pStyle w:val="CETBodytext"/>
            </w:pPr>
            <w:r>
              <w:t>APP (8</w:t>
            </w:r>
            <w:r w:rsidR="00DB5E9A" w:rsidRPr="006D5215">
              <w:t>.0)</w:t>
            </w:r>
          </w:p>
        </w:tc>
        <w:tc>
          <w:tcPr>
            <w:tcW w:w="1843" w:type="dxa"/>
            <w:shd w:val="clear" w:color="auto" w:fill="FFFFFF"/>
          </w:tcPr>
          <w:p w14:paraId="148F203D" w14:textId="77777777" w:rsidR="00DB5E9A" w:rsidRPr="006D5215" w:rsidRDefault="00DB5E9A" w:rsidP="00DB5E9A">
            <w:pPr>
              <w:pStyle w:val="CETBodytext"/>
            </w:pPr>
            <w:r w:rsidRPr="006D5215">
              <w:t>UL-94 (1.2 mm): V-2</w:t>
            </w:r>
          </w:p>
          <w:p w14:paraId="51D477DC" w14:textId="7A860AFA" w:rsidR="00DB5E9A" w:rsidRPr="006D5215" w:rsidRDefault="00DB5E9A" w:rsidP="00DB5E9A">
            <w:pPr>
              <w:pStyle w:val="CETBodytext"/>
            </w:pPr>
            <w:r w:rsidRPr="006D5215">
              <w:t>LOI: 22.3 %</w:t>
            </w:r>
          </w:p>
        </w:tc>
        <w:tc>
          <w:tcPr>
            <w:tcW w:w="1275" w:type="dxa"/>
            <w:shd w:val="clear" w:color="auto" w:fill="FFFFFF"/>
          </w:tcPr>
          <w:p w14:paraId="5F07197F" w14:textId="7F7A4B5F" w:rsidR="00DB5E9A" w:rsidRPr="006D5215" w:rsidRDefault="00DB5E9A" w:rsidP="00DB5E9A">
            <w:pPr>
              <w:pStyle w:val="CETBodytext"/>
            </w:pPr>
            <w:r w:rsidRPr="006D5215">
              <w:t>σ</w:t>
            </w:r>
            <w:r w:rsidRPr="006D5215">
              <w:rPr>
                <w:vertAlign w:val="subscript"/>
              </w:rPr>
              <w:t xml:space="preserve">t </w:t>
            </w:r>
            <w:r w:rsidRPr="006D5215">
              <w:t xml:space="preserve">: 11.2 MPa </w:t>
            </w:r>
          </w:p>
          <w:p w14:paraId="2E6A1087" w14:textId="11AA8AC7" w:rsidR="00DB5E9A" w:rsidRPr="006D5215" w:rsidRDefault="00DB5E9A" w:rsidP="00DB5E9A">
            <w:pPr>
              <w:pStyle w:val="CETBodytext"/>
            </w:pPr>
            <w:r w:rsidRPr="006D5215">
              <w:t>ε</w:t>
            </w:r>
            <w:r w:rsidRPr="006D5215">
              <w:rPr>
                <w:vertAlign w:val="subscript"/>
              </w:rPr>
              <w:t xml:space="preserve">b </w:t>
            </w:r>
            <w:r w:rsidRPr="006D5215">
              <w:t xml:space="preserve">: 35.5 % </w:t>
            </w:r>
          </w:p>
        </w:tc>
      </w:tr>
    </w:tbl>
    <w:p w14:paraId="64470D37" w14:textId="6367AF25" w:rsidR="007760CB" w:rsidRPr="00B57B36" w:rsidRDefault="007760CB" w:rsidP="007760CB">
      <w:pPr>
        <w:pStyle w:val="CETHeading1"/>
        <w:numPr>
          <w:ilvl w:val="0"/>
          <w:numId w:val="0"/>
        </w:numPr>
        <w:rPr>
          <w:lang w:val="en-GB"/>
        </w:rPr>
      </w:pPr>
      <w:r>
        <w:rPr>
          <w:lang w:val="en-GB"/>
        </w:rPr>
        <w:lastRenderedPageBreak/>
        <w:t xml:space="preserve">4. </w:t>
      </w:r>
      <w:r w:rsidRPr="00B57B36">
        <w:rPr>
          <w:lang w:val="en-GB"/>
        </w:rPr>
        <w:t>Conclusions</w:t>
      </w:r>
    </w:p>
    <w:p w14:paraId="5E3E17E0" w14:textId="40191A7A" w:rsidR="005521DC" w:rsidRPr="00BF7D9E" w:rsidRDefault="00B43DC6" w:rsidP="00EC5BB0">
      <w:pPr>
        <w:pStyle w:val="CETBodytext"/>
      </w:pPr>
      <w:r w:rsidRPr="00BF7D9E">
        <w:rPr>
          <w:rStyle w:val="afffe"/>
          <w:b w:val="0"/>
          <w:bCs w:val="0"/>
        </w:rPr>
        <w:t xml:space="preserve">Thus, a method for synthesizing halogen-free flame retardants based on acrylic acid and monoammonium phosphate in a mixed solvent environment at a temperature of 100-110 </w:t>
      </w:r>
      <w:r w:rsidR="00BF7D9E" w:rsidRPr="00BF7D9E">
        <w:t>°C</w:t>
      </w:r>
      <w:r w:rsidRPr="00BF7D9E">
        <w:rPr>
          <w:rStyle w:val="afffe"/>
          <w:b w:val="0"/>
          <w:bCs w:val="0"/>
        </w:rPr>
        <w:t xml:space="preserve"> was studied. The structure and elemental composition of the synthesized substance were studied using Infrared (IR) spectroscopy and SEM. Based on the results of elemental analysis, it was determined that the carbon content in it was 37.79</w:t>
      </w:r>
      <w:r w:rsidR="00BF7D9E" w:rsidRPr="00BF7D9E">
        <w:rPr>
          <w:rStyle w:val="afffe"/>
          <w:b w:val="0"/>
          <w:bCs w:val="0"/>
        </w:rPr>
        <w:t xml:space="preserve"> </w:t>
      </w:r>
      <w:r w:rsidRPr="00BF7D9E">
        <w:rPr>
          <w:rStyle w:val="afffe"/>
          <w:b w:val="0"/>
          <w:bCs w:val="0"/>
        </w:rPr>
        <w:t xml:space="preserve">%, </w:t>
      </w:r>
      <w:r w:rsidR="00BF7D9E" w:rsidRPr="00BF7D9E">
        <w:rPr>
          <w:rStyle w:val="afffe"/>
          <w:b w:val="0"/>
          <w:bCs w:val="0"/>
        </w:rPr>
        <w:t xml:space="preserve">the </w:t>
      </w:r>
      <w:r w:rsidRPr="00BF7D9E">
        <w:rPr>
          <w:rStyle w:val="afffe"/>
          <w:b w:val="0"/>
          <w:bCs w:val="0"/>
        </w:rPr>
        <w:t>nitrogen content was 8.34</w:t>
      </w:r>
      <w:r w:rsidR="00BF7D9E" w:rsidRPr="00BF7D9E">
        <w:rPr>
          <w:rStyle w:val="afffe"/>
          <w:b w:val="0"/>
          <w:bCs w:val="0"/>
        </w:rPr>
        <w:t xml:space="preserve"> </w:t>
      </w:r>
      <w:r w:rsidRPr="00BF7D9E">
        <w:rPr>
          <w:rStyle w:val="afffe"/>
          <w:b w:val="0"/>
          <w:bCs w:val="0"/>
        </w:rPr>
        <w:t xml:space="preserve">%, </w:t>
      </w:r>
      <w:r w:rsidR="00BF7D9E" w:rsidRPr="00BF7D9E">
        <w:rPr>
          <w:rStyle w:val="afffe"/>
          <w:b w:val="0"/>
          <w:bCs w:val="0"/>
        </w:rPr>
        <w:t xml:space="preserve">the </w:t>
      </w:r>
      <w:r w:rsidRPr="00BF7D9E">
        <w:rPr>
          <w:rStyle w:val="afffe"/>
          <w:b w:val="0"/>
          <w:bCs w:val="0"/>
        </w:rPr>
        <w:t>oxygen content was 42.87</w:t>
      </w:r>
      <w:r w:rsidR="00BF7D9E" w:rsidRPr="00BF7D9E">
        <w:rPr>
          <w:rStyle w:val="afffe"/>
          <w:b w:val="0"/>
          <w:bCs w:val="0"/>
        </w:rPr>
        <w:t xml:space="preserve"> </w:t>
      </w:r>
      <w:r w:rsidRPr="00BF7D9E">
        <w:rPr>
          <w:rStyle w:val="afffe"/>
          <w:b w:val="0"/>
          <w:bCs w:val="0"/>
        </w:rPr>
        <w:t xml:space="preserve">%, and </w:t>
      </w:r>
      <w:r w:rsidR="00BF7D9E" w:rsidRPr="00BF7D9E">
        <w:rPr>
          <w:rStyle w:val="afffe"/>
          <w:b w:val="0"/>
          <w:bCs w:val="0"/>
        </w:rPr>
        <w:t xml:space="preserve">the </w:t>
      </w:r>
      <w:r w:rsidRPr="00BF7D9E">
        <w:rPr>
          <w:rStyle w:val="afffe"/>
          <w:b w:val="0"/>
          <w:bCs w:val="0"/>
        </w:rPr>
        <w:t>phosphorus content was 11.01</w:t>
      </w:r>
      <w:r w:rsidR="00BF7D9E" w:rsidRPr="00BF7D9E">
        <w:rPr>
          <w:rStyle w:val="afffe"/>
          <w:b w:val="0"/>
          <w:bCs w:val="0"/>
        </w:rPr>
        <w:t xml:space="preserve"> </w:t>
      </w:r>
      <w:r w:rsidRPr="00BF7D9E">
        <w:rPr>
          <w:rStyle w:val="afffe"/>
          <w:b w:val="0"/>
          <w:bCs w:val="0"/>
        </w:rPr>
        <w:t xml:space="preserve">%. When its thermal properties were analyzed using the TGA method, the total mass loss of the sample at a temperature of 801.87 </w:t>
      </w:r>
      <w:r w:rsidR="00BF7D9E" w:rsidRPr="00BF7D9E">
        <w:t>°C</w:t>
      </w:r>
      <w:r w:rsidRPr="00BF7D9E">
        <w:rPr>
          <w:rStyle w:val="afffe"/>
          <w:b w:val="0"/>
          <w:bCs w:val="0"/>
        </w:rPr>
        <w:t xml:space="preserve"> for 79.78 minutes was 84.605</w:t>
      </w:r>
      <w:r w:rsidR="00BF7D9E" w:rsidRPr="00BF7D9E">
        <w:rPr>
          <w:rStyle w:val="afffe"/>
          <w:b w:val="0"/>
          <w:bCs w:val="0"/>
        </w:rPr>
        <w:t xml:space="preserve"> </w:t>
      </w:r>
      <w:r w:rsidRPr="00BF7D9E">
        <w:rPr>
          <w:rStyle w:val="afffe"/>
          <w:b w:val="0"/>
          <w:bCs w:val="0"/>
        </w:rPr>
        <w:t>%, and the average mass loss rate was 0.241 mg/min. As a result of studying the oxygen index and mechanical properties of the synthesized material, it was determined that the oxygen index was UL-94 V-2, the tensile strength was 12.6 MPa, and the elongation at break was 80.8</w:t>
      </w:r>
      <w:r w:rsidR="00BF7D9E" w:rsidRPr="00BF7D9E">
        <w:rPr>
          <w:rStyle w:val="afffe"/>
          <w:b w:val="0"/>
          <w:bCs w:val="0"/>
        </w:rPr>
        <w:t xml:space="preserve"> </w:t>
      </w:r>
      <w:r w:rsidRPr="00BF7D9E">
        <w:rPr>
          <w:rStyle w:val="afffe"/>
          <w:b w:val="0"/>
          <w:bCs w:val="0"/>
        </w:rPr>
        <w:t>%.</w:t>
      </w:r>
      <w:r w:rsidR="00BF7D9E" w:rsidRPr="00BF7D9E">
        <w:rPr>
          <w:rStyle w:val="afffe"/>
          <w:b w:val="0"/>
          <w:bCs w:val="0"/>
        </w:rPr>
        <w:t xml:space="preserve"> </w:t>
      </w:r>
    </w:p>
    <w:p w14:paraId="0D81E1DB" w14:textId="77777777" w:rsidR="00C54AC7" w:rsidRDefault="00C54AC7" w:rsidP="00C54AC7">
      <w:pPr>
        <w:pStyle w:val="CETHeadingxx"/>
      </w:pPr>
      <w:r>
        <w:t>Nomenclature</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C54AC7" w:rsidRPr="00C54AC7" w14:paraId="5E30F559" w14:textId="77777777" w:rsidTr="00C54AC7">
        <w:tc>
          <w:tcPr>
            <w:tcW w:w="4388" w:type="dxa"/>
          </w:tcPr>
          <w:p w14:paraId="411AB7E6" w14:textId="3D2F1B92" w:rsidR="00C54AC7" w:rsidRPr="00C54AC7" w:rsidRDefault="00C54AC7" w:rsidP="008463F4">
            <w:pPr>
              <w:pStyle w:val="CETBodytext"/>
              <w:rPr>
                <w:b/>
              </w:rPr>
            </w:pPr>
            <w:r w:rsidRPr="00C54AC7">
              <w:rPr>
                <w:rFonts w:cs="Arial"/>
                <w:szCs w:val="18"/>
                <w:lang w:val="en-GB"/>
              </w:rPr>
              <w:t>σ</w:t>
            </w:r>
            <w:r w:rsidRPr="00C54AC7">
              <w:rPr>
                <w:rFonts w:cs="Arial"/>
                <w:szCs w:val="18"/>
                <w:vertAlign w:val="subscript"/>
                <w:lang w:val="en-GB"/>
              </w:rPr>
              <w:t xml:space="preserve">t </w:t>
            </w:r>
            <w:r w:rsidRPr="00C54AC7">
              <w:rPr>
                <w:rFonts w:cs="Arial"/>
                <w:szCs w:val="18"/>
                <w:lang w:val="en-GB"/>
              </w:rPr>
              <w:t>-</w:t>
            </w:r>
            <w:r w:rsidRPr="00C54AC7">
              <w:rPr>
                <w:rFonts w:cs="Arial"/>
                <w:szCs w:val="18"/>
              </w:rPr>
              <w:t xml:space="preserve"> </w:t>
            </w:r>
            <w:r w:rsidRPr="00C54AC7">
              <w:t xml:space="preserve">Tensile strength                                                         </w:t>
            </w:r>
          </w:p>
        </w:tc>
        <w:tc>
          <w:tcPr>
            <w:tcW w:w="4389" w:type="dxa"/>
          </w:tcPr>
          <w:p w14:paraId="390DB6F7" w14:textId="19C302C0" w:rsidR="00C54AC7" w:rsidRPr="00C54AC7" w:rsidRDefault="00C54AC7" w:rsidP="008463F4">
            <w:pPr>
              <w:pStyle w:val="CETBodytext"/>
              <w:rPr>
                <w:rFonts w:cs="Arial"/>
                <w:szCs w:val="18"/>
              </w:rPr>
            </w:pPr>
            <w:r w:rsidRPr="00C54AC7">
              <w:rPr>
                <w:rFonts w:cs="Arial"/>
                <w:szCs w:val="18"/>
                <w:lang w:val="en-GB"/>
              </w:rPr>
              <w:t>ε</w:t>
            </w:r>
            <w:r w:rsidRPr="00C54AC7">
              <w:rPr>
                <w:rFonts w:cs="Arial"/>
                <w:szCs w:val="18"/>
                <w:vertAlign w:val="subscript"/>
                <w:lang w:val="en-GB"/>
              </w:rPr>
              <w:t xml:space="preserve">b </w:t>
            </w:r>
            <w:r w:rsidRPr="00C54AC7">
              <w:rPr>
                <w:rFonts w:cs="Arial"/>
                <w:szCs w:val="18"/>
              </w:rPr>
              <w:t>-</w:t>
            </w:r>
            <w:r w:rsidRPr="00C54AC7">
              <w:rPr>
                <w:rStyle w:val="afffe"/>
                <w:b w:val="0"/>
                <w:bCs w:val="0"/>
              </w:rPr>
              <w:t xml:space="preserve"> Elongation at break</w:t>
            </w:r>
          </w:p>
        </w:tc>
      </w:tr>
    </w:tbl>
    <w:p w14:paraId="017835C6" w14:textId="77777777" w:rsidR="007760CB" w:rsidRPr="003F0BFA" w:rsidRDefault="007760CB" w:rsidP="007760CB">
      <w:pPr>
        <w:pStyle w:val="CETReference"/>
        <w:rPr>
          <w:lang w:val="en-US"/>
        </w:rPr>
      </w:pPr>
      <w:r w:rsidRPr="00B57B36">
        <w:t>References</w:t>
      </w:r>
    </w:p>
    <w:p w14:paraId="3EEE0F93" w14:textId="77777777" w:rsidR="00A002A6" w:rsidRPr="00A002A6" w:rsidRDefault="00E828EF" w:rsidP="00A002A6">
      <w:pPr>
        <w:pStyle w:val="a8"/>
      </w:pPr>
      <w:r>
        <w:fldChar w:fldCharType="begin"/>
      </w:r>
      <w:r w:rsidR="00A002A6">
        <w:instrText xml:space="preserve"> ADDIN ZOTERO_BIBL {"uncited":[],"omitted":[],"custom":[]} CSL_BIBLIOGRAPHY </w:instrText>
      </w:r>
      <w:r>
        <w:fldChar w:fldCharType="separate"/>
      </w:r>
      <w:r w:rsidR="00A002A6" w:rsidRPr="00A002A6">
        <w:t>Alosime, E.M., Basfar, A.A., 2023. A Systematic Investigation on the Influence of Intumescent Flame Retardants on the Properties of Ethylene Vinyl Acetate (EVA)/Liner Low Density Polyethylene (LLDPE) Blends. Molecules 28, 1023. https://doi.org/10.3390/molecules28031023</w:t>
      </w:r>
    </w:p>
    <w:p w14:paraId="4DD85344" w14:textId="77777777" w:rsidR="00A002A6" w:rsidRPr="00A002A6" w:rsidRDefault="00A002A6" w:rsidP="00A002A6">
      <w:pPr>
        <w:pStyle w:val="a8"/>
      </w:pPr>
      <w:r w:rsidRPr="00A002A6">
        <w:t>Castro-Landinez, J.F., Salcedo-Galan, F., Medina-Perilla, J.A., 2021. Polypropylene/Ethylene—And Polar—Monomer-Based Copolymers/Montmorillonite Nanocomposites: Morphology, Mechanical Properties, and Oxygen Permeability. Polymers 13, 705. https://doi.org/10.3390/polym13050705</w:t>
      </w:r>
    </w:p>
    <w:p w14:paraId="7EFF41DF" w14:textId="77777777" w:rsidR="00A002A6" w:rsidRPr="00A002A6" w:rsidRDefault="00A002A6" w:rsidP="00A002A6">
      <w:pPr>
        <w:pStyle w:val="a8"/>
      </w:pPr>
      <w:r w:rsidRPr="00A002A6">
        <w:t>Gao, D., Wen, X., Guan, Y., Czerwonko, W., Li, Y., Gao, Y., Mijowska, E., Tang, T., 2020. Flame retardant effect and mechanism of nanosized NiO as synergist in PLA/APP/CSi-MCA composites. Composites Communications 17, 170–176. https://doi.org/10.1016/j.coco.2019.12.007</w:t>
      </w:r>
    </w:p>
    <w:p w14:paraId="218F16FA" w14:textId="77777777" w:rsidR="00A002A6" w:rsidRPr="00A002A6" w:rsidRDefault="00A002A6" w:rsidP="00A002A6">
      <w:pPr>
        <w:pStyle w:val="a8"/>
      </w:pPr>
      <w:r w:rsidRPr="00A002A6">
        <w:t>Hasnat, M.R., Hassan, M.K., Saha, S., 2023. Flame Retardant Polymer Composite and Recent Inclusion of Magnesium Hydroxide Filler Material: A Bibliometric Analysis towards Further Study Scope. Fire 6, 180. https://doi.org/10.3390/fire6050180</w:t>
      </w:r>
    </w:p>
    <w:p w14:paraId="09713E2E" w14:textId="77777777" w:rsidR="00A002A6" w:rsidRPr="00A002A6" w:rsidRDefault="00A002A6" w:rsidP="00A002A6">
      <w:pPr>
        <w:pStyle w:val="a8"/>
      </w:pPr>
      <w:r w:rsidRPr="00A002A6">
        <w:t>Li, Y., Qi, L., Liu, Y., Qiao, J., Wang, M., Liu, X., Li, S., 2022. Recent Advances in Halogen-Free Flame Retardants for Polyolefin Cable Sheath Materials. Polymers 14, 2876. https://doi.org/10.3390/polym14142876</w:t>
      </w:r>
    </w:p>
    <w:p w14:paraId="586B1784" w14:textId="77777777" w:rsidR="00A002A6" w:rsidRPr="00A002A6" w:rsidRDefault="00A002A6" w:rsidP="00A002A6">
      <w:pPr>
        <w:pStyle w:val="a8"/>
      </w:pPr>
      <w:r w:rsidRPr="00A002A6">
        <w:t>Murad, M.S., Hamzat, A.K., Asmatulu, E., Asmatulu, R., 2025. Flame-retardant fiber composites: synergistic effects of additives on mechanical, thermal, chemical, and structural properties. Adv Compos Hybrid Mater 8, 31. https://doi.org/10.1007/s42114-024-01111-1</w:t>
      </w:r>
    </w:p>
    <w:p w14:paraId="1F72149F" w14:textId="77777777" w:rsidR="00A002A6" w:rsidRPr="00A002A6" w:rsidRDefault="00A002A6" w:rsidP="00A002A6">
      <w:pPr>
        <w:pStyle w:val="a8"/>
      </w:pPr>
      <w:r w:rsidRPr="00A002A6">
        <w:t>Pham, N.T.-H., 2021. Characterization of Low-Density Polyethylene and LDPE-Based/Ethylene-Vinyl Acetate with Medium Content of Vinyl Acetate. Polymers 13, 2352. https://doi.org/10.3390/polym13142352</w:t>
      </w:r>
    </w:p>
    <w:p w14:paraId="768DE04A" w14:textId="77777777" w:rsidR="00A002A6" w:rsidRPr="00A002A6" w:rsidRDefault="00A002A6" w:rsidP="00A002A6">
      <w:pPr>
        <w:pStyle w:val="a8"/>
      </w:pPr>
      <w:r w:rsidRPr="00A002A6">
        <w:t>Sanchez-Olivares, G., Sanchez-Solis, A., Manero, O., Pérez-Chávez, R., Jaramillo, M., Alongi, J., Carosio, F., 2019. Improving Mechanical Properties and Reaction to Fire of EVA/LLDPE Blends for Cable Applications with Melamine Triazine and Bentonite Clay. Materials 12, 2393. https://doi.org/10.3390/ma12152393</w:t>
      </w:r>
    </w:p>
    <w:p w14:paraId="3BE2707E" w14:textId="77777777" w:rsidR="00A002A6" w:rsidRPr="00A002A6" w:rsidRDefault="00A002A6" w:rsidP="00A002A6">
      <w:pPr>
        <w:pStyle w:val="a8"/>
      </w:pPr>
      <w:r w:rsidRPr="00A002A6">
        <w:t>Shen, J., Liang, J., Lin, X., Lin, H., Yu, J., Wang, S., 2021. The Flame-Retardant Mechanisms and Preparation of Polymer Composites and Their Potential Application in Construction Engineering. Polymers 14, 82. https://doi.org/10.3390/polym14010082</w:t>
      </w:r>
    </w:p>
    <w:p w14:paraId="7F091F9E" w14:textId="706C5810" w:rsidR="00577914" w:rsidRPr="00577914" w:rsidRDefault="00A002A6" w:rsidP="00433D61">
      <w:pPr>
        <w:pStyle w:val="a8"/>
      </w:pPr>
      <w:r w:rsidRPr="00A002A6">
        <w:t>Vahabi, H., Laoutid, F., Mehrpouya, M., Saeb, M.R., Dubois, P., 2021. Flame retardant polymer materials: An update and the future for 3D printing developments. Materials Science and Engineering: R: Reports 144, 100604. https://doi.org/10.1016/j.mser.2020.100604</w:t>
      </w:r>
      <w:r w:rsidR="00E828EF">
        <w:fldChar w:fldCharType="end"/>
      </w:r>
    </w:p>
    <w:sectPr w:rsidR="00577914" w:rsidRPr="00577914"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A1BC5" w14:textId="77777777" w:rsidR="00FE7BA4" w:rsidRDefault="00FE7BA4" w:rsidP="004F5E36">
      <w:r>
        <w:separator/>
      </w:r>
    </w:p>
  </w:endnote>
  <w:endnote w:type="continuationSeparator" w:id="0">
    <w:p w14:paraId="34B7164C" w14:textId="77777777" w:rsidR="00FE7BA4" w:rsidRDefault="00FE7BA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uturisC-Bold">
    <w:altName w:val="Times New Roman"/>
    <w:panose1 w:val="00000000000000000000"/>
    <w:charset w:val="00"/>
    <w:family w:val="roman"/>
    <w:notTrueType/>
    <w:pitch w:val="default"/>
  </w:font>
  <w:font w:name="AdvP6960">
    <w:altName w:val="Times New Roman"/>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B941F" w14:textId="77777777" w:rsidR="00FE7BA4" w:rsidRDefault="00FE7BA4" w:rsidP="004F5E36">
      <w:r>
        <w:separator/>
      </w:r>
    </w:p>
  </w:footnote>
  <w:footnote w:type="continuationSeparator" w:id="0">
    <w:p w14:paraId="2033DF56" w14:textId="77777777" w:rsidR="00FE7BA4" w:rsidRDefault="00FE7BA4"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D10364F"/>
    <w:multiLevelType w:val="hybridMultilevel"/>
    <w:tmpl w:val="5C269EEE"/>
    <w:lvl w:ilvl="0" w:tplc="97FE8E8A">
      <w:start w:val="1"/>
      <w:numFmt w:val="decimal"/>
      <w:lvlText w:val="%1."/>
      <w:lvlJc w:val="left"/>
      <w:pPr>
        <w:ind w:left="924" w:hanging="360"/>
      </w:pPr>
      <w:rPr>
        <w:rFonts w:ascii="Times New Roman" w:eastAsia="Times New Roman" w:hAnsi="Times New Roman" w:cs="Times New Roman"/>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2950C9C"/>
    <w:multiLevelType w:val="hybridMultilevel"/>
    <w:tmpl w:val="AB1E3E2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12"/>
  </w:num>
  <w:num w:numId="14">
    <w:abstractNumId w:val="19"/>
  </w:num>
  <w:num w:numId="15">
    <w:abstractNumId w:val="21"/>
  </w:num>
  <w:num w:numId="16">
    <w:abstractNumId w:val="20"/>
  </w:num>
  <w:num w:numId="17">
    <w:abstractNumId w:val="11"/>
  </w:num>
  <w:num w:numId="18">
    <w:abstractNumId w:val="12"/>
    <w:lvlOverride w:ilvl="0">
      <w:startOverride w:val="1"/>
    </w:lvlOverride>
  </w:num>
  <w:num w:numId="19">
    <w:abstractNumId w:val="17"/>
  </w:num>
  <w:num w:numId="20">
    <w:abstractNumId w:val="16"/>
  </w:num>
  <w:num w:numId="21">
    <w:abstractNumId w:val="14"/>
  </w:num>
  <w:num w:numId="22">
    <w:abstractNumId w:val="13"/>
  </w:num>
  <w:num w:numId="23">
    <w:abstractNumId w:val="15"/>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37F"/>
    <w:rsid w:val="00005884"/>
    <w:rsid w:val="00005A19"/>
    <w:rsid w:val="000117CB"/>
    <w:rsid w:val="000173F9"/>
    <w:rsid w:val="0003148D"/>
    <w:rsid w:val="000316E5"/>
    <w:rsid w:val="000318A6"/>
    <w:rsid w:val="00031EEC"/>
    <w:rsid w:val="000326C6"/>
    <w:rsid w:val="00041CB3"/>
    <w:rsid w:val="0004226E"/>
    <w:rsid w:val="00046D30"/>
    <w:rsid w:val="00051566"/>
    <w:rsid w:val="000562A9"/>
    <w:rsid w:val="0005786D"/>
    <w:rsid w:val="0006176E"/>
    <w:rsid w:val="00062A9A"/>
    <w:rsid w:val="00065058"/>
    <w:rsid w:val="00086C39"/>
    <w:rsid w:val="00086D7C"/>
    <w:rsid w:val="00087889"/>
    <w:rsid w:val="000920D5"/>
    <w:rsid w:val="000A01C6"/>
    <w:rsid w:val="000A03B2"/>
    <w:rsid w:val="000B5A48"/>
    <w:rsid w:val="000C1435"/>
    <w:rsid w:val="000C2E0B"/>
    <w:rsid w:val="000D0268"/>
    <w:rsid w:val="000D34BE"/>
    <w:rsid w:val="000E102F"/>
    <w:rsid w:val="000E36F1"/>
    <w:rsid w:val="000E3A73"/>
    <w:rsid w:val="000E414A"/>
    <w:rsid w:val="000E4ED5"/>
    <w:rsid w:val="000E75FD"/>
    <w:rsid w:val="000F093C"/>
    <w:rsid w:val="000F3700"/>
    <w:rsid w:val="000F787B"/>
    <w:rsid w:val="00101F02"/>
    <w:rsid w:val="0011354B"/>
    <w:rsid w:val="00115E24"/>
    <w:rsid w:val="0012091F"/>
    <w:rsid w:val="00124AAD"/>
    <w:rsid w:val="00126BC2"/>
    <w:rsid w:val="001308B6"/>
    <w:rsid w:val="0013121F"/>
    <w:rsid w:val="00131FE6"/>
    <w:rsid w:val="0013263F"/>
    <w:rsid w:val="001331DF"/>
    <w:rsid w:val="00134DE4"/>
    <w:rsid w:val="0014034D"/>
    <w:rsid w:val="00140FE3"/>
    <w:rsid w:val="00144D16"/>
    <w:rsid w:val="00150E59"/>
    <w:rsid w:val="00151507"/>
    <w:rsid w:val="00152DE3"/>
    <w:rsid w:val="00164CF9"/>
    <w:rsid w:val="001667A6"/>
    <w:rsid w:val="00170BFE"/>
    <w:rsid w:val="00184AD6"/>
    <w:rsid w:val="001925F4"/>
    <w:rsid w:val="001A4AF7"/>
    <w:rsid w:val="001A7092"/>
    <w:rsid w:val="001B0349"/>
    <w:rsid w:val="001B1E93"/>
    <w:rsid w:val="001B3A20"/>
    <w:rsid w:val="001B3E36"/>
    <w:rsid w:val="001B65C1"/>
    <w:rsid w:val="001C02D6"/>
    <w:rsid w:val="001C2155"/>
    <w:rsid w:val="001C260F"/>
    <w:rsid w:val="001C33F1"/>
    <w:rsid w:val="001C4B73"/>
    <w:rsid w:val="001C55F0"/>
    <w:rsid w:val="001C684B"/>
    <w:rsid w:val="001D0CFB"/>
    <w:rsid w:val="001D2006"/>
    <w:rsid w:val="001D21AF"/>
    <w:rsid w:val="001D53FC"/>
    <w:rsid w:val="001D65F3"/>
    <w:rsid w:val="001E1D65"/>
    <w:rsid w:val="001F1801"/>
    <w:rsid w:val="001F42A5"/>
    <w:rsid w:val="001F7B9D"/>
    <w:rsid w:val="001F7C60"/>
    <w:rsid w:val="002004CF"/>
    <w:rsid w:val="00201C93"/>
    <w:rsid w:val="0020381D"/>
    <w:rsid w:val="00206698"/>
    <w:rsid w:val="00206E5C"/>
    <w:rsid w:val="002224B4"/>
    <w:rsid w:val="00224BCE"/>
    <w:rsid w:val="00225F78"/>
    <w:rsid w:val="00226E7C"/>
    <w:rsid w:val="00240F55"/>
    <w:rsid w:val="002447EF"/>
    <w:rsid w:val="00251550"/>
    <w:rsid w:val="00251A01"/>
    <w:rsid w:val="002530F6"/>
    <w:rsid w:val="002609FD"/>
    <w:rsid w:val="002618C7"/>
    <w:rsid w:val="00263B05"/>
    <w:rsid w:val="0027221A"/>
    <w:rsid w:val="00275B61"/>
    <w:rsid w:val="00280FAF"/>
    <w:rsid w:val="00282656"/>
    <w:rsid w:val="00282FAC"/>
    <w:rsid w:val="00285D4D"/>
    <w:rsid w:val="002920C6"/>
    <w:rsid w:val="00292410"/>
    <w:rsid w:val="00296600"/>
    <w:rsid w:val="00296B83"/>
    <w:rsid w:val="002B4015"/>
    <w:rsid w:val="002B5F02"/>
    <w:rsid w:val="002B78CE"/>
    <w:rsid w:val="002C2FB6"/>
    <w:rsid w:val="002E5F4F"/>
    <w:rsid w:val="002E5FA7"/>
    <w:rsid w:val="002E6C09"/>
    <w:rsid w:val="002E7C94"/>
    <w:rsid w:val="002F29D9"/>
    <w:rsid w:val="002F3309"/>
    <w:rsid w:val="002F3E8E"/>
    <w:rsid w:val="003003E3"/>
    <w:rsid w:val="003008CE"/>
    <w:rsid w:val="003009B7"/>
    <w:rsid w:val="00300E56"/>
    <w:rsid w:val="0030152C"/>
    <w:rsid w:val="0030469C"/>
    <w:rsid w:val="00321CA6"/>
    <w:rsid w:val="00323763"/>
    <w:rsid w:val="00323C5F"/>
    <w:rsid w:val="00325FFF"/>
    <w:rsid w:val="00334C09"/>
    <w:rsid w:val="00345887"/>
    <w:rsid w:val="003577C6"/>
    <w:rsid w:val="00367B50"/>
    <w:rsid w:val="003723D4"/>
    <w:rsid w:val="00373293"/>
    <w:rsid w:val="00381905"/>
    <w:rsid w:val="00384CC8"/>
    <w:rsid w:val="003871FD"/>
    <w:rsid w:val="003A1E30"/>
    <w:rsid w:val="003A2829"/>
    <w:rsid w:val="003A7D1C"/>
    <w:rsid w:val="003A7DFA"/>
    <w:rsid w:val="003B07B5"/>
    <w:rsid w:val="003B304B"/>
    <w:rsid w:val="003B3146"/>
    <w:rsid w:val="003B615F"/>
    <w:rsid w:val="003C478E"/>
    <w:rsid w:val="003D1E02"/>
    <w:rsid w:val="003E0FE6"/>
    <w:rsid w:val="003F015E"/>
    <w:rsid w:val="003F0BFA"/>
    <w:rsid w:val="003F2C3E"/>
    <w:rsid w:val="00400414"/>
    <w:rsid w:val="0041446B"/>
    <w:rsid w:val="00433D61"/>
    <w:rsid w:val="00434DD6"/>
    <w:rsid w:val="0044071E"/>
    <w:rsid w:val="0044329C"/>
    <w:rsid w:val="00453E24"/>
    <w:rsid w:val="00457456"/>
    <w:rsid w:val="004577FE"/>
    <w:rsid w:val="00457B9C"/>
    <w:rsid w:val="0046164A"/>
    <w:rsid w:val="004628D2"/>
    <w:rsid w:val="00462DCD"/>
    <w:rsid w:val="00462DD4"/>
    <w:rsid w:val="0046448D"/>
    <w:rsid w:val="004648AD"/>
    <w:rsid w:val="00466C58"/>
    <w:rsid w:val="004703A9"/>
    <w:rsid w:val="00470A89"/>
    <w:rsid w:val="004760DE"/>
    <w:rsid w:val="004763D7"/>
    <w:rsid w:val="0049776E"/>
    <w:rsid w:val="004A004E"/>
    <w:rsid w:val="004A24CF"/>
    <w:rsid w:val="004A5E57"/>
    <w:rsid w:val="004B2BA4"/>
    <w:rsid w:val="004B3DEB"/>
    <w:rsid w:val="004C194F"/>
    <w:rsid w:val="004C3D1D"/>
    <w:rsid w:val="004C3D84"/>
    <w:rsid w:val="004C6EA0"/>
    <w:rsid w:val="004C7913"/>
    <w:rsid w:val="004E4DD6"/>
    <w:rsid w:val="004E5B89"/>
    <w:rsid w:val="004F26B7"/>
    <w:rsid w:val="004F5E36"/>
    <w:rsid w:val="0050255A"/>
    <w:rsid w:val="00507B47"/>
    <w:rsid w:val="00507BEF"/>
    <w:rsid w:val="00507CC9"/>
    <w:rsid w:val="005119A5"/>
    <w:rsid w:val="00516185"/>
    <w:rsid w:val="0052772B"/>
    <w:rsid w:val="005278B7"/>
    <w:rsid w:val="005305FE"/>
    <w:rsid w:val="00532016"/>
    <w:rsid w:val="005346C8"/>
    <w:rsid w:val="00537610"/>
    <w:rsid w:val="00543E7D"/>
    <w:rsid w:val="00547A68"/>
    <w:rsid w:val="005521DC"/>
    <w:rsid w:val="005531C9"/>
    <w:rsid w:val="00570C43"/>
    <w:rsid w:val="00571795"/>
    <w:rsid w:val="00577914"/>
    <w:rsid w:val="00585AC9"/>
    <w:rsid w:val="00590428"/>
    <w:rsid w:val="00592274"/>
    <w:rsid w:val="005949C3"/>
    <w:rsid w:val="005A2763"/>
    <w:rsid w:val="005A276C"/>
    <w:rsid w:val="005B2110"/>
    <w:rsid w:val="005B61E6"/>
    <w:rsid w:val="005C0C8C"/>
    <w:rsid w:val="005C77E1"/>
    <w:rsid w:val="005D29DF"/>
    <w:rsid w:val="005D668A"/>
    <w:rsid w:val="005D6A2F"/>
    <w:rsid w:val="005E0592"/>
    <w:rsid w:val="005E1A82"/>
    <w:rsid w:val="005E794C"/>
    <w:rsid w:val="005F0A28"/>
    <w:rsid w:val="005F0D3B"/>
    <w:rsid w:val="005F0E5E"/>
    <w:rsid w:val="005F47A8"/>
    <w:rsid w:val="005F6B49"/>
    <w:rsid w:val="00600535"/>
    <w:rsid w:val="0060342B"/>
    <w:rsid w:val="00610CD6"/>
    <w:rsid w:val="00620DEE"/>
    <w:rsid w:val="00621F92"/>
    <w:rsid w:val="0062280A"/>
    <w:rsid w:val="006231E1"/>
    <w:rsid w:val="006246CF"/>
    <w:rsid w:val="00625639"/>
    <w:rsid w:val="00625A4F"/>
    <w:rsid w:val="00631B33"/>
    <w:rsid w:val="006361E8"/>
    <w:rsid w:val="0064184D"/>
    <w:rsid w:val="006422CC"/>
    <w:rsid w:val="00651D18"/>
    <w:rsid w:val="00652B32"/>
    <w:rsid w:val="00660E3E"/>
    <w:rsid w:val="00662E74"/>
    <w:rsid w:val="00664F9F"/>
    <w:rsid w:val="00680C23"/>
    <w:rsid w:val="00683E23"/>
    <w:rsid w:val="00693766"/>
    <w:rsid w:val="00695671"/>
    <w:rsid w:val="006A3281"/>
    <w:rsid w:val="006A67A6"/>
    <w:rsid w:val="006A735D"/>
    <w:rsid w:val="006B4888"/>
    <w:rsid w:val="006B76D3"/>
    <w:rsid w:val="006C0A12"/>
    <w:rsid w:val="006C0C23"/>
    <w:rsid w:val="006C2E45"/>
    <w:rsid w:val="006C359C"/>
    <w:rsid w:val="006C5579"/>
    <w:rsid w:val="006C7906"/>
    <w:rsid w:val="006D2F49"/>
    <w:rsid w:val="006D3CF2"/>
    <w:rsid w:val="006D5215"/>
    <w:rsid w:val="006D6E8B"/>
    <w:rsid w:val="006D7209"/>
    <w:rsid w:val="006E2074"/>
    <w:rsid w:val="006E737D"/>
    <w:rsid w:val="006E7493"/>
    <w:rsid w:val="006F06BC"/>
    <w:rsid w:val="006F16DC"/>
    <w:rsid w:val="00701D2A"/>
    <w:rsid w:val="00707DD1"/>
    <w:rsid w:val="00713973"/>
    <w:rsid w:val="00714F75"/>
    <w:rsid w:val="007168DD"/>
    <w:rsid w:val="00720A24"/>
    <w:rsid w:val="00732386"/>
    <w:rsid w:val="0073514D"/>
    <w:rsid w:val="007447F3"/>
    <w:rsid w:val="00752B2A"/>
    <w:rsid w:val="0075499F"/>
    <w:rsid w:val="00756171"/>
    <w:rsid w:val="007617CC"/>
    <w:rsid w:val="00765DF0"/>
    <w:rsid w:val="007661C8"/>
    <w:rsid w:val="0077098D"/>
    <w:rsid w:val="007760CB"/>
    <w:rsid w:val="00781D57"/>
    <w:rsid w:val="00782FDD"/>
    <w:rsid w:val="00783584"/>
    <w:rsid w:val="00785BF9"/>
    <w:rsid w:val="007931FA"/>
    <w:rsid w:val="00793237"/>
    <w:rsid w:val="007963D9"/>
    <w:rsid w:val="007A31ED"/>
    <w:rsid w:val="007A4861"/>
    <w:rsid w:val="007A7BBA"/>
    <w:rsid w:val="007B0C50"/>
    <w:rsid w:val="007B48F9"/>
    <w:rsid w:val="007C1A43"/>
    <w:rsid w:val="007C46D6"/>
    <w:rsid w:val="007C5092"/>
    <w:rsid w:val="007C6775"/>
    <w:rsid w:val="007D0951"/>
    <w:rsid w:val="007D6CA2"/>
    <w:rsid w:val="007F27C8"/>
    <w:rsid w:val="0080013E"/>
    <w:rsid w:val="00807983"/>
    <w:rsid w:val="00810398"/>
    <w:rsid w:val="00813288"/>
    <w:rsid w:val="008168FC"/>
    <w:rsid w:val="0082361C"/>
    <w:rsid w:val="00823BEC"/>
    <w:rsid w:val="00830996"/>
    <w:rsid w:val="008314D7"/>
    <w:rsid w:val="0083274C"/>
    <w:rsid w:val="008345F1"/>
    <w:rsid w:val="0084172A"/>
    <w:rsid w:val="008463F4"/>
    <w:rsid w:val="008566AD"/>
    <w:rsid w:val="00862FFB"/>
    <w:rsid w:val="00865B07"/>
    <w:rsid w:val="008667EA"/>
    <w:rsid w:val="00871FB0"/>
    <w:rsid w:val="0087637F"/>
    <w:rsid w:val="00892AD5"/>
    <w:rsid w:val="008A1512"/>
    <w:rsid w:val="008D32B9"/>
    <w:rsid w:val="008D433B"/>
    <w:rsid w:val="008D4A16"/>
    <w:rsid w:val="008E209A"/>
    <w:rsid w:val="008E45BC"/>
    <w:rsid w:val="008E566E"/>
    <w:rsid w:val="0090161A"/>
    <w:rsid w:val="00901A15"/>
    <w:rsid w:val="00901EB6"/>
    <w:rsid w:val="009041F8"/>
    <w:rsid w:val="00904C62"/>
    <w:rsid w:val="00905D6E"/>
    <w:rsid w:val="00922BA8"/>
    <w:rsid w:val="00923DB9"/>
    <w:rsid w:val="00924DAC"/>
    <w:rsid w:val="00927058"/>
    <w:rsid w:val="00927A4F"/>
    <w:rsid w:val="00942750"/>
    <w:rsid w:val="009450CE"/>
    <w:rsid w:val="009459BB"/>
    <w:rsid w:val="00947179"/>
    <w:rsid w:val="0095164B"/>
    <w:rsid w:val="00951855"/>
    <w:rsid w:val="00954090"/>
    <w:rsid w:val="009573E7"/>
    <w:rsid w:val="00963E05"/>
    <w:rsid w:val="00964A45"/>
    <w:rsid w:val="00967843"/>
    <w:rsid w:val="00967D54"/>
    <w:rsid w:val="00970316"/>
    <w:rsid w:val="00971028"/>
    <w:rsid w:val="00975C43"/>
    <w:rsid w:val="00976BBC"/>
    <w:rsid w:val="00993B84"/>
    <w:rsid w:val="00996483"/>
    <w:rsid w:val="00996F5A"/>
    <w:rsid w:val="009B041A"/>
    <w:rsid w:val="009B2123"/>
    <w:rsid w:val="009B317E"/>
    <w:rsid w:val="009B4102"/>
    <w:rsid w:val="009B463F"/>
    <w:rsid w:val="009C3404"/>
    <w:rsid w:val="009C37C3"/>
    <w:rsid w:val="009C7C86"/>
    <w:rsid w:val="009D002E"/>
    <w:rsid w:val="009D2FF7"/>
    <w:rsid w:val="009E7884"/>
    <w:rsid w:val="009E788A"/>
    <w:rsid w:val="009F0E08"/>
    <w:rsid w:val="00A002A6"/>
    <w:rsid w:val="00A0266F"/>
    <w:rsid w:val="00A079AE"/>
    <w:rsid w:val="00A14F32"/>
    <w:rsid w:val="00A1763D"/>
    <w:rsid w:val="00A17CEC"/>
    <w:rsid w:val="00A239B2"/>
    <w:rsid w:val="00A26529"/>
    <w:rsid w:val="00A26CBB"/>
    <w:rsid w:val="00A27EF0"/>
    <w:rsid w:val="00A379DD"/>
    <w:rsid w:val="00A42361"/>
    <w:rsid w:val="00A46C43"/>
    <w:rsid w:val="00A50B20"/>
    <w:rsid w:val="00A51390"/>
    <w:rsid w:val="00A53AD6"/>
    <w:rsid w:val="00A60D13"/>
    <w:rsid w:val="00A7223D"/>
    <w:rsid w:val="00A72745"/>
    <w:rsid w:val="00A76EFC"/>
    <w:rsid w:val="00A87D50"/>
    <w:rsid w:val="00A903E3"/>
    <w:rsid w:val="00A91010"/>
    <w:rsid w:val="00A97F29"/>
    <w:rsid w:val="00AA6D2D"/>
    <w:rsid w:val="00AA702E"/>
    <w:rsid w:val="00AA7D26"/>
    <w:rsid w:val="00AB0964"/>
    <w:rsid w:val="00AB5011"/>
    <w:rsid w:val="00AC6127"/>
    <w:rsid w:val="00AC7368"/>
    <w:rsid w:val="00AD0278"/>
    <w:rsid w:val="00AD1669"/>
    <w:rsid w:val="00AD16B9"/>
    <w:rsid w:val="00AD46AD"/>
    <w:rsid w:val="00AE377D"/>
    <w:rsid w:val="00AE6058"/>
    <w:rsid w:val="00AF0EBA"/>
    <w:rsid w:val="00AF3C9F"/>
    <w:rsid w:val="00AF5752"/>
    <w:rsid w:val="00B02C8A"/>
    <w:rsid w:val="00B034BA"/>
    <w:rsid w:val="00B1571A"/>
    <w:rsid w:val="00B17FBD"/>
    <w:rsid w:val="00B20D30"/>
    <w:rsid w:val="00B20E3B"/>
    <w:rsid w:val="00B315A6"/>
    <w:rsid w:val="00B31813"/>
    <w:rsid w:val="00B33365"/>
    <w:rsid w:val="00B43488"/>
    <w:rsid w:val="00B43DC6"/>
    <w:rsid w:val="00B548E7"/>
    <w:rsid w:val="00B57B36"/>
    <w:rsid w:val="00B57E6F"/>
    <w:rsid w:val="00B8155B"/>
    <w:rsid w:val="00B8686D"/>
    <w:rsid w:val="00B93F69"/>
    <w:rsid w:val="00B9708E"/>
    <w:rsid w:val="00BA6B4E"/>
    <w:rsid w:val="00BB1DDC"/>
    <w:rsid w:val="00BB3E78"/>
    <w:rsid w:val="00BC30C9"/>
    <w:rsid w:val="00BD077D"/>
    <w:rsid w:val="00BE3E58"/>
    <w:rsid w:val="00BF240C"/>
    <w:rsid w:val="00BF307F"/>
    <w:rsid w:val="00BF7D9E"/>
    <w:rsid w:val="00C01616"/>
    <w:rsid w:val="00C0162B"/>
    <w:rsid w:val="00C01A64"/>
    <w:rsid w:val="00C068ED"/>
    <w:rsid w:val="00C10233"/>
    <w:rsid w:val="00C1039C"/>
    <w:rsid w:val="00C208E9"/>
    <w:rsid w:val="00C22E0C"/>
    <w:rsid w:val="00C345B1"/>
    <w:rsid w:val="00C352BA"/>
    <w:rsid w:val="00C40142"/>
    <w:rsid w:val="00C43731"/>
    <w:rsid w:val="00C52C3C"/>
    <w:rsid w:val="00C54AC7"/>
    <w:rsid w:val="00C57182"/>
    <w:rsid w:val="00C576C7"/>
    <w:rsid w:val="00C57863"/>
    <w:rsid w:val="00C640AF"/>
    <w:rsid w:val="00C64D51"/>
    <w:rsid w:val="00C655FD"/>
    <w:rsid w:val="00C714F9"/>
    <w:rsid w:val="00C75407"/>
    <w:rsid w:val="00C81AB3"/>
    <w:rsid w:val="00C841C6"/>
    <w:rsid w:val="00C870A8"/>
    <w:rsid w:val="00C94434"/>
    <w:rsid w:val="00CA0D75"/>
    <w:rsid w:val="00CA1C95"/>
    <w:rsid w:val="00CA5A9C"/>
    <w:rsid w:val="00CB2614"/>
    <w:rsid w:val="00CB620C"/>
    <w:rsid w:val="00CC12D8"/>
    <w:rsid w:val="00CC4C20"/>
    <w:rsid w:val="00CD3517"/>
    <w:rsid w:val="00CD5FE2"/>
    <w:rsid w:val="00CE3BF5"/>
    <w:rsid w:val="00CE3CA7"/>
    <w:rsid w:val="00CE7C68"/>
    <w:rsid w:val="00CF152D"/>
    <w:rsid w:val="00D018D0"/>
    <w:rsid w:val="00D02B4C"/>
    <w:rsid w:val="00D033A1"/>
    <w:rsid w:val="00D040C4"/>
    <w:rsid w:val="00D13C96"/>
    <w:rsid w:val="00D20AD1"/>
    <w:rsid w:val="00D24E34"/>
    <w:rsid w:val="00D2582C"/>
    <w:rsid w:val="00D30406"/>
    <w:rsid w:val="00D46B7E"/>
    <w:rsid w:val="00D57639"/>
    <w:rsid w:val="00D57C84"/>
    <w:rsid w:val="00D6039A"/>
    <w:rsid w:val="00D6057D"/>
    <w:rsid w:val="00D63395"/>
    <w:rsid w:val="00D71640"/>
    <w:rsid w:val="00D73460"/>
    <w:rsid w:val="00D818AA"/>
    <w:rsid w:val="00D8243D"/>
    <w:rsid w:val="00D836C5"/>
    <w:rsid w:val="00D84576"/>
    <w:rsid w:val="00D85EE2"/>
    <w:rsid w:val="00DA1399"/>
    <w:rsid w:val="00DA24C6"/>
    <w:rsid w:val="00DA4D7B"/>
    <w:rsid w:val="00DB5E9A"/>
    <w:rsid w:val="00DC3592"/>
    <w:rsid w:val="00DD271C"/>
    <w:rsid w:val="00DD4735"/>
    <w:rsid w:val="00DD7C4D"/>
    <w:rsid w:val="00DE264A"/>
    <w:rsid w:val="00DE4243"/>
    <w:rsid w:val="00DE4FB0"/>
    <w:rsid w:val="00DF1304"/>
    <w:rsid w:val="00DF5072"/>
    <w:rsid w:val="00E02D18"/>
    <w:rsid w:val="00E041E7"/>
    <w:rsid w:val="00E13F3E"/>
    <w:rsid w:val="00E23CA1"/>
    <w:rsid w:val="00E359AD"/>
    <w:rsid w:val="00E409A8"/>
    <w:rsid w:val="00E4133F"/>
    <w:rsid w:val="00E47D61"/>
    <w:rsid w:val="00E50C12"/>
    <w:rsid w:val="00E52C83"/>
    <w:rsid w:val="00E54FD2"/>
    <w:rsid w:val="00E65B91"/>
    <w:rsid w:val="00E67AAF"/>
    <w:rsid w:val="00E7209D"/>
    <w:rsid w:val="00E72EAD"/>
    <w:rsid w:val="00E75AA0"/>
    <w:rsid w:val="00E77223"/>
    <w:rsid w:val="00E774C7"/>
    <w:rsid w:val="00E828EF"/>
    <w:rsid w:val="00E8528B"/>
    <w:rsid w:val="00E85B94"/>
    <w:rsid w:val="00E94CFC"/>
    <w:rsid w:val="00E978D0"/>
    <w:rsid w:val="00EA0EA5"/>
    <w:rsid w:val="00EA4613"/>
    <w:rsid w:val="00EA7F91"/>
    <w:rsid w:val="00EB1523"/>
    <w:rsid w:val="00EB28A0"/>
    <w:rsid w:val="00EB3C48"/>
    <w:rsid w:val="00EC0E49"/>
    <w:rsid w:val="00EC101F"/>
    <w:rsid w:val="00EC1D9F"/>
    <w:rsid w:val="00EC2182"/>
    <w:rsid w:val="00EC5BB0"/>
    <w:rsid w:val="00EE0131"/>
    <w:rsid w:val="00EE17B0"/>
    <w:rsid w:val="00EE333C"/>
    <w:rsid w:val="00EE3523"/>
    <w:rsid w:val="00EF06D9"/>
    <w:rsid w:val="00EF0982"/>
    <w:rsid w:val="00EF277F"/>
    <w:rsid w:val="00F041D9"/>
    <w:rsid w:val="00F1053B"/>
    <w:rsid w:val="00F126A5"/>
    <w:rsid w:val="00F144DF"/>
    <w:rsid w:val="00F3049E"/>
    <w:rsid w:val="00F30C64"/>
    <w:rsid w:val="00F32BA2"/>
    <w:rsid w:val="00F32CDB"/>
    <w:rsid w:val="00F3348F"/>
    <w:rsid w:val="00F347DB"/>
    <w:rsid w:val="00F37280"/>
    <w:rsid w:val="00F41EE4"/>
    <w:rsid w:val="00F565FE"/>
    <w:rsid w:val="00F63A70"/>
    <w:rsid w:val="00F63D8C"/>
    <w:rsid w:val="00F7534E"/>
    <w:rsid w:val="00F75793"/>
    <w:rsid w:val="00F839D4"/>
    <w:rsid w:val="00F84B1A"/>
    <w:rsid w:val="00F93916"/>
    <w:rsid w:val="00F93EDF"/>
    <w:rsid w:val="00FA1802"/>
    <w:rsid w:val="00FA21D0"/>
    <w:rsid w:val="00FA5F5F"/>
    <w:rsid w:val="00FA5F70"/>
    <w:rsid w:val="00FB0EB3"/>
    <w:rsid w:val="00FB730C"/>
    <w:rsid w:val="00FC2695"/>
    <w:rsid w:val="00FC3E03"/>
    <w:rsid w:val="00FC3FC1"/>
    <w:rsid w:val="00FE7BA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fontstyle01">
    <w:name w:val="fontstyle01"/>
    <w:basedOn w:val="a2"/>
    <w:rsid w:val="00951855"/>
    <w:rPr>
      <w:rFonts w:ascii="FuturisC-Bold" w:hAnsi="FuturisC-Bold" w:hint="default"/>
      <w:b/>
      <w:bCs/>
      <w:i w:val="0"/>
      <w:iCs w:val="0"/>
      <w:color w:val="242021"/>
      <w:sz w:val="26"/>
      <w:szCs w:val="26"/>
    </w:rPr>
  </w:style>
  <w:style w:type="character" w:styleId="afffe">
    <w:name w:val="Strong"/>
    <w:basedOn w:val="a2"/>
    <w:uiPriority w:val="22"/>
    <w:qFormat/>
    <w:rsid w:val="00951855"/>
    <w:rPr>
      <w:b/>
      <w:bCs/>
    </w:rPr>
  </w:style>
  <w:style w:type="character" w:customStyle="1" w:styleId="UnresolvedMention">
    <w:name w:val="Unresolved Mention"/>
    <w:basedOn w:val="a2"/>
    <w:uiPriority w:val="99"/>
    <w:semiHidden/>
    <w:unhideWhenUsed/>
    <w:rsid w:val="00A14F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85920508">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uzkimyosanoat.uz/ru/enterprise/research/tsrich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F817A-35C4-45D5-8A0B-4A4B72340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7</Pages>
  <Words>7130</Words>
  <Characters>40642</Characters>
  <Application>Microsoft Office Word</Application>
  <DocSecurity>0</DocSecurity>
  <Lines>338</Lines>
  <Paragraphs>95</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47677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raffaella</dc:creator>
  <cp:lastModifiedBy>ASUS</cp:lastModifiedBy>
  <cp:revision>46</cp:revision>
  <cp:lastPrinted>2015-05-12T18:31:00Z</cp:lastPrinted>
  <dcterms:created xsi:type="dcterms:W3CDTF">2026-07-31T12:48:00Z</dcterms:created>
  <dcterms:modified xsi:type="dcterms:W3CDTF">2026-08-09T10:10:00Z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id="3Txwt9wb"/&gt;&lt;style id="http://www.zotero.org/styles/elsevier-harvard" hasBibliography="1" bibliographyStyleHasBeenSet="1"/&gt;&lt;prefs&gt;&lt;pref name="fieldType" value="Field"/&gt;&lt;pref name="storeReferences" </vt:lpwstr>
  </property>
  <property fmtid="{D5CDD505-2E9C-101B-9397-08002B2CF9AE}" pid="3" name="ZOTERO_PREF_2">
    <vt:lpwstr>value="true"/&gt;&lt;/prefs&gt;&lt;/data&gt;</vt:lpwstr>
  </property>
  <property fmtid="{D5CDD505-2E9C-101B-9397-08002B2CF9AE}" pid="4" name="GrammarlyDocumentId">
    <vt:lpwstr>d9c54620-30d0-4dd3-97f5-532b097c758c</vt:lpwstr>
  </property>
</Properties>
</file>