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bottom w:val="single" w:sz="4" w:space="0" w:color="auto"/>
        </w:tblBorders>
        <w:tblLook w:val="01E0" w:firstRow="1" w:lastRow="1" w:firstColumn="1" w:lastColumn="1" w:noHBand="0" w:noVBand="0"/>
      </w:tblPr>
      <w:tblGrid>
        <w:gridCol w:w="6940"/>
        <w:gridCol w:w="1842"/>
      </w:tblGrid>
      <w:tr w:rsidR="000A03B2" w:rsidRPr="00B57B36" w14:paraId="2A131A54" w14:textId="77777777" w:rsidTr="008F59DC">
        <w:trPr>
          <w:trHeight w:val="852"/>
          <w:jc w:val="center"/>
        </w:trPr>
        <w:tc>
          <w:tcPr>
            <w:tcW w:w="6940" w:type="dxa"/>
            <w:vMerge w:val="restart"/>
            <w:tcBorders>
              <w:right w:val="single" w:sz="4" w:space="0" w:color="auto"/>
            </w:tcBorders>
          </w:tcPr>
          <w:p w14:paraId="38C3D2BA" w14:textId="77777777" w:rsidR="000A03B2" w:rsidRPr="00B57B36" w:rsidRDefault="000A03B2" w:rsidP="00DE264A">
            <w:pPr>
              <w:tabs>
                <w:tab w:val="left" w:pos="-108"/>
              </w:tabs>
              <w:ind w:left="-108"/>
              <w:jc w:val="left"/>
              <w:rPr>
                <w:rFonts w:cs="Arial"/>
                <w:b/>
                <w:bCs/>
                <w:i/>
                <w:iCs/>
                <w:color w:val="000066"/>
                <w:sz w:val="12"/>
                <w:szCs w:val="12"/>
                <w:lang w:eastAsia="it-IT"/>
              </w:rPr>
            </w:pPr>
            <w:bookmarkStart w:id="0" w:name="_Hlk145068772"/>
            <w:r w:rsidRPr="00B57B36">
              <w:rPr>
                <w:rFonts w:ascii="AdvP6960" w:hAnsi="AdvP6960" w:cs="AdvP6960"/>
                <w:noProof/>
                <w:color w:val="241F20"/>
                <w:szCs w:val="18"/>
                <w:lang w:val="it-IT" w:eastAsia="it-IT"/>
              </w:rPr>
              <w:drawing>
                <wp:inline distT="0" distB="0" distL="0" distR="0" wp14:anchorId="02B7C3D3" wp14:editId="5EE03112">
                  <wp:extent cx="640080" cy="373380"/>
                  <wp:effectExtent l="0" t="0" r="7620" b="7620"/>
                  <wp:docPr id="5" name="Immagine 5" descr="cet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et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0080" cy="373380"/>
                          </a:xfrm>
                          <a:prstGeom prst="rect">
                            <a:avLst/>
                          </a:prstGeom>
                          <a:noFill/>
                          <a:ln>
                            <a:noFill/>
                          </a:ln>
                        </pic:spPr>
                      </pic:pic>
                    </a:graphicData>
                  </a:graphic>
                </wp:inline>
              </w:drawing>
            </w:r>
            <w:r w:rsidRPr="00B57B36">
              <w:rPr>
                <w:rFonts w:ascii="AdvP6960" w:hAnsi="AdvP6960" w:cs="AdvP6960"/>
                <w:color w:val="241F20"/>
                <w:szCs w:val="18"/>
                <w:lang w:eastAsia="it-IT"/>
              </w:rPr>
              <w:t xml:space="preserve"> </w:t>
            </w:r>
            <w:r w:rsidRPr="00B57B36">
              <w:rPr>
                <w:rFonts w:cs="Arial"/>
                <w:b/>
                <w:bCs/>
                <w:i/>
                <w:iCs/>
                <w:color w:val="000066"/>
                <w:sz w:val="24"/>
                <w:szCs w:val="24"/>
                <w:lang w:eastAsia="it-IT"/>
              </w:rPr>
              <w:t>CHEMICAL ENGINEERING</w:t>
            </w:r>
            <w:r w:rsidRPr="00B57B36">
              <w:rPr>
                <w:rFonts w:cs="Arial"/>
                <w:b/>
                <w:bCs/>
                <w:i/>
                <w:iCs/>
                <w:color w:val="0033FF"/>
                <w:sz w:val="24"/>
                <w:szCs w:val="24"/>
                <w:lang w:eastAsia="it-IT"/>
              </w:rPr>
              <w:t xml:space="preserve"> </w:t>
            </w:r>
            <w:r w:rsidRPr="00B57B36">
              <w:rPr>
                <w:rFonts w:cs="Arial"/>
                <w:b/>
                <w:bCs/>
                <w:i/>
                <w:iCs/>
                <w:color w:val="666666"/>
                <w:sz w:val="24"/>
                <w:szCs w:val="24"/>
                <w:lang w:eastAsia="it-IT"/>
              </w:rPr>
              <w:t>TRANSACTIONS</w:t>
            </w:r>
            <w:r w:rsidRPr="00B57B36">
              <w:rPr>
                <w:color w:val="333333"/>
                <w:sz w:val="24"/>
                <w:szCs w:val="24"/>
                <w:lang w:eastAsia="it-IT"/>
              </w:rPr>
              <w:t xml:space="preserve"> </w:t>
            </w:r>
            <w:r w:rsidRPr="00B57B36">
              <w:rPr>
                <w:rFonts w:cs="Arial"/>
                <w:b/>
                <w:bCs/>
                <w:i/>
                <w:iCs/>
                <w:color w:val="000066"/>
                <w:sz w:val="27"/>
                <w:szCs w:val="27"/>
                <w:lang w:eastAsia="it-IT"/>
              </w:rPr>
              <w:br/>
            </w:r>
          </w:p>
          <w:p w14:paraId="4B780582" w14:textId="753620B8" w:rsidR="000A03B2" w:rsidRPr="00B57B36" w:rsidRDefault="00A76EFC" w:rsidP="001D21AF">
            <w:pPr>
              <w:tabs>
                <w:tab w:val="left" w:pos="-108"/>
              </w:tabs>
              <w:ind w:left="-108"/>
              <w:rPr>
                <w:rFonts w:cs="Arial"/>
                <w:b/>
                <w:bCs/>
                <w:i/>
                <w:iCs/>
                <w:color w:val="000066"/>
                <w:sz w:val="22"/>
                <w:szCs w:val="22"/>
                <w:lang w:eastAsia="it-IT"/>
              </w:rPr>
            </w:pPr>
            <w:r w:rsidRPr="00B57B36">
              <w:rPr>
                <w:rFonts w:cs="Arial"/>
                <w:b/>
                <w:bCs/>
                <w:i/>
                <w:iCs/>
                <w:color w:val="000066"/>
                <w:sz w:val="22"/>
                <w:szCs w:val="22"/>
                <w:lang w:eastAsia="it-IT"/>
              </w:rPr>
              <w:t>VOL.</w:t>
            </w:r>
            <w:r w:rsidR="00785BF9">
              <w:rPr>
                <w:rFonts w:cs="Arial"/>
                <w:b/>
                <w:bCs/>
                <w:i/>
                <w:iCs/>
                <w:color w:val="000066"/>
                <w:sz w:val="22"/>
                <w:szCs w:val="22"/>
                <w:lang w:eastAsia="it-IT"/>
              </w:rPr>
              <w:t xml:space="preserve"> </w:t>
            </w:r>
            <w:r w:rsidR="00AD0278">
              <w:rPr>
                <w:rFonts w:cs="Arial"/>
                <w:b/>
                <w:bCs/>
                <w:i/>
                <w:iCs/>
                <w:color w:val="000066"/>
                <w:sz w:val="22"/>
                <w:szCs w:val="22"/>
                <w:lang w:eastAsia="it-IT"/>
              </w:rPr>
              <w:t>xxx</w:t>
            </w:r>
            <w:r w:rsidR="007B48F9">
              <w:rPr>
                <w:rFonts w:cs="Arial"/>
                <w:b/>
                <w:bCs/>
                <w:i/>
                <w:iCs/>
                <w:color w:val="000066"/>
                <w:sz w:val="22"/>
                <w:szCs w:val="22"/>
                <w:lang w:eastAsia="it-IT"/>
              </w:rPr>
              <w:t>,</w:t>
            </w:r>
            <w:r w:rsidR="00FA5F5F">
              <w:rPr>
                <w:rFonts w:cs="Arial"/>
                <w:b/>
                <w:bCs/>
                <w:i/>
                <w:iCs/>
                <w:color w:val="000066"/>
                <w:sz w:val="22"/>
                <w:szCs w:val="22"/>
                <w:lang w:eastAsia="it-IT"/>
              </w:rPr>
              <w:t xml:space="preserve"> </w:t>
            </w:r>
            <w:r w:rsidR="0030152C">
              <w:rPr>
                <w:rFonts w:cs="Arial"/>
                <w:b/>
                <w:bCs/>
                <w:i/>
                <w:iCs/>
                <w:color w:val="000066"/>
                <w:sz w:val="22"/>
                <w:szCs w:val="22"/>
                <w:lang w:eastAsia="it-IT"/>
              </w:rPr>
              <w:t>202</w:t>
            </w:r>
            <w:r w:rsidR="00AD0278">
              <w:rPr>
                <w:rFonts w:cs="Arial"/>
                <w:b/>
                <w:bCs/>
                <w:i/>
                <w:iCs/>
                <w:color w:val="000066"/>
                <w:sz w:val="22"/>
                <w:szCs w:val="22"/>
                <w:lang w:eastAsia="it-IT"/>
              </w:rPr>
              <w:t>6</w:t>
            </w:r>
          </w:p>
        </w:tc>
        <w:tc>
          <w:tcPr>
            <w:tcW w:w="1842" w:type="dxa"/>
            <w:tcBorders>
              <w:left w:val="single" w:sz="4" w:space="0" w:color="auto"/>
              <w:bottom w:val="nil"/>
              <w:right w:val="single" w:sz="4" w:space="0" w:color="auto"/>
            </w:tcBorders>
          </w:tcPr>
          <w:p w14:paraId="56782132" w14:textId="77777777" w:rsidR="000A03B2" w:rsidRPr="00B57B36" w:rsidRDefault="000A03B2" w:rsidP="00CD5FE2">
            <w:pPr>
              <w:spacing w:line="140" w:lineRule="atLeast"/>
              <w:jc w:val="right"/>
              <w:rPr>
                <w:rFonts w:cs="Arial"/>
                <w:sz w:val="14"/>
                <w:szCs w:val="14"/>
              </w:rPr>
            </w:pPr>
            <w:r w:rsidRPr="00B57B36">
              <w:rPr>
                <w:rFonts w:cs="Arial"/>
                <w:sz w:val="14"/>
                <w:szCs w:val="14"/>
              </w:rPr>
              <w:t>A publication of</w:t>
            </w:r>
          </w:p>
          <w:p w14:paraId="599E5441" w14:textId="77777777" w:rsidR="000A03B2" w:rsidRPr="00B57B36" w:rsidRDefault="000A03B2" w:rsidP="00CD5FE2">
            <w:pPr>
              <w:jc w:val="right"/>
            </w:pPr>
            <w:r w:rsidRPr="00B57B36">
              <w:rPr>
                <w:noProof/>
                <w:lang w:val="it-IT" w:eastAsia="it-IT"/>
              </w:rPr>
              <w:drawing>
                <wp:inline distT="0" distB="0" distL="0" distR="0" wp14:anchorId="59C75AF4" wp14:editId="4FF92432">
                  <wp:extent cx="670560" cy="358140"/>
                  <wp:effectExtent l="0" t="0" r="0" b="3810"/>
                  <wp:docPr id="6" name="Immagine 6" descr="aidiclogo_gran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aidiclogo_grand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70560" cy="358140"/>
                          </a:xfrm>
                          <a:prstGeom prst="rect">
                            <a:avLst/>
                          </a:prstGeom>
                          <a:noFill/>
                          <a:ln>
                            <a:noFill/>
                          </a:ln>
                        </pic:spPr>
                      </pic:pic>
                    </a:graphicData>
                  </a:graphic>
                </wp:inline>
              </w:drawing>
            </w:r>
          </w:p>
        </w:tc>
      </w:tr>
      <w:tr w:rsidR="000A03B2" w:rsidRPr="00B57B36" w14:paraId="380FA3CD" w14:textId="77777777" w:rsidTr="008F59DC">
        <w:trPr>
          <w:trHeight w:val="567"/>
          <w:jc w:val="center"/>
        </w:trPr>
        <w:tc>
          <w:tcPr>
            <w:tcW w:w="6940" w:type="dxa"/>
            <w:vMerge/>
            <w:tcBorders>
              <w:right w:val="single" w:sz="4" w:space="0" w:color="auto"/>
            </w:tcBorders>
          </w:tcPr>
          <w:p w14:paraId="39E5E4C1" w14:textId="77777777" w:rsidR="000A03B2" w:rsidRPr="00B57B36" w:rsidRDefault="000A03B2" w:rsidP="00CD5FE2">
            <w:pPr>
              <w:tabs>
                <w:tab w:val="left" w:pos="-108"/>
              </w:tabs>
            </w:pPr>
          </w:p>
        </w:tc>
        <w:tc>
          <w:tcPr>
            <w:tcW w:w="1842" w:type="dxa"/>
            <w:tcBorders>
              <w:left w:val="single" w:sz="4" w:space="0" w:color="auto"/>
              <w:bottom w:val="nil"/>
              <w:right w:val="single" w:sz="4" w:space="0" w:color="auto"/>
            </w:tcBorders>
          </w:tcPr>
          <w:p w14:paraId="43858A98" w14:textId="77777777" w:rsidR="000A03B2" w:rsidRPr="00B57B36" w:rsidRDefault="000A03B2" w:rsidP="00CD5FE2">
            <w:pPr>
              <w:spacing w:line="140" w:lineRule="atLeast"/>
              <w:jc w:val="right"/>
              <w:rPr>
                <w:rFonts w:cs="Arial"/>
                <w:sz w:val="14"/>
                <w:szCs w:val="14"/>
              </w:rPr>
            </w:pPr>
            <w:r w:rsidRPr="00B57B36">
              <w:rPr>
                <w:rFonts w:cs="Arial"/>
                <w:sz w:val="14"/>
                <w:szCs w:val="14"/>
              </w:rPr>
              <w:t>The Italian Association</w:t>
            </w:r>
          </w:p>
          <w:p w14:paraId="7522B1D2" w14:textId="77777777" w:rsidR="000A03B2" w:rsidRPr="00B57B36" w:rsidRDefault="000A03B2" w:rsidP="00CD5FE2">
            <w:pPr>
              <w:spacing w:line="140" w:lineRule="atLeast"/>
              <w:jc w:val="right"/>
              <w:rPr>
                <w:rFonts w:cs="Arial"/>
                <w:sz w:val="14"/>
                <w:szCs w:val="14"/>
              </w:rPr>
            </w:pPr>
            <w:r w:rsidRPr="00B57B36">
              <w:rPr>
                <w:rFonts w:cs="Arial"/>
                <w:sz w:val="14"/>
                <w:szCs w:val="14"/>
              </w:rPr>
              <w:t>of Chemical Engineering</w:t>
            </w:r>
          </w:p>
          <w:p w14:paraId="4F0CC5DE" w14:textId="47FDB2FC" w:rsidR="000A03B2" w:rsidRPr="000D0268" w:rsidRDefault="000D0268" w:rsidP="00CD5FE2">
            <w:pPr>
              <w:spacing w:line="140" w:lineRule="atLeast"/>
              <w:jc w:val="right"/>
              <w:rPr>
                <w:rFonts w:cs="Arial"/>
                <w:sz w:val="13"/>
                <w:szCs w:val="13"/>
              </w:rPr>
            </w:pPr>
            <w:r w:rsidRPr="000D0268">
              <w:rPr>
                <w:rFonts w:cs="Arial"/>
                <w:sz w:val="13"/>
                <w:szCs w:val="13"/>
              </w:rPr>
              <w:t>Online at www.cetjournal.it</w:t>
            </w:r>
          </w:p>
        </w:tc>
      </w:tr>
      <w:tr w:rsidR="000A03B2" w:rsidRPr="00B57B36" w14:paraId="2D1B7169" w14:textId="77777777" w:rsidTr="008F59DC">
        <w:trPr>
          <w:trHeight w:val="68"/>
          <w:jc w:val="center"/>
        </w:trPr>
        <w:tc>
          <w:tcPr>
            <w:tcW w:w="8782" w:type="dxa"/>
            <w:gridSpan w:val="2"/>
          </w:tcPr>
          <w:p w14:paraId="1D8DD3C9" w14:textId="174205F6" w:rsidR="00AA7D26" w:rsidRPr="00CB2614" w:rsidRDefault="004A5E57" w:rsidP="00CB2614">
            <w:pPr>
              <w:ind w:left="-107"/>
              <w:outlineLvl w:val="2"/>
              <w:rPr>
                <w:rFonts w:ascii="Tahoma" w:hAnsi="Tahoma" w:cs="Tahoma"/>
                <w:color w:val="000000"/>
                <w:sz w:val="14"/>
                <w:szCs w:val="14"/>
                <w:shd w:val="clear" w:color="auto" w:fill="FFFFFF"/>
                <w:lang w:val="it-IT"/>
              </w:rPr>
            </w:pPr>
            <w:r w:rsidRPr="00CB2614">
              <w:rPr>
                <w:rFonts w:ascii="Tahoma" w:hAnsi="Tahoma" w:cs="Tahoma"/>
                <w:iCs/>
                <w:color w:val="333333"/>
                <w:sz w:val="14"/>
                <w:szCs w:val="14"/>
                <w:lang w:val="it-IT" w:eastAsia="it-IT"/>
              </w:rPr>
              <w:t>Guest Editors:</w:t>
            </w:r>
            <w:r w:rsidRPr="00CB2614">
              <w:rPr>
                <w:rFonts w:ascii="Tahoma" w:hAnsi="Tahoma" w:cs="Tahoma"/>
                <w:color w:val="000000"/>
                <w:sz w:val="14"/>
                <w:szCs w:val="14"/>
                <w:shd w:val="clear" w:color="auto" w:fill="FFFFFF"/>
                <w:lang w:val="it-IT"/>
              </w:rPr>
              <w:t xml:space="preserve"> </w:t>
            </w:r>
            <w:r w:rsidR="00CB2614" w:rsidRPr="00CB2614">
              <w:rPr>
                <w:rFonts w:ascii="Tahoma" w:hAnsi="Tahoma" w:cs="Tahoma"/>
                <w:color w:val="000000"/>
                <w:sz w:val="14"/>
                <w:szCs w:val="14"/>
                <w:shd w:val="clear" w:color="auto" w:fill="FFFFFF"/>
                <w:lang w:val="it-IT"/>
              </w:rPr>
              <w:t>Flavio Manenti, Botir Usmonov, Alessandro Di Pretoro</w:t>
            </w:r>
          </w:p>
          <w:p w14:paraId="1B0F1814" w14:textId="710B7B96" w:rsidR="000A03B2" w:rsidRPr="00B57B36" w:rsidRDefault="00AA7D26" w:rsidP="00AA7D26">
            <w:pPr>
              <w:tabs>
                <w:tab w:val="left" w:pos="-108"/>
              </w:tabs>
              <w:spacing w:line="140" w:lineRule="atLeast"/>
              <w:ind w:left="-107"/>
              <w:jc w:val="left"/>
            </w:pPr>
            <w:r>
              <w:rPr>
                <w:rFonts w:ascii="Tahoma" w:hAnsi="Tahoma" w:cs="Tahoma"/>
                <w:iCs/>
                <w:color w:val="333333"/>
                <w:sz w:val="14"/>
                <w:szCs w:val="14"/>
                <w:lang w:eastAsia="it-IT"/>
              </w:rPr>
              <w:t>Copyright © 202</w:t>
            </w:r>
            <w:r w:rsidR="00005884">
              <w:rPr>
                <w:rFonts w:ascii="Tahoma" w:hAnsi="Tahoma" w:cs="Tahoma"/>
                <w:iCs/>
                <w:color w:val="333333"/>
                <w:sz w:val="14"/>
                <w:szCs w:val="14"/>
                <w:lang w:eastAsia="it-IT"/>
              </w:rPr>
              <w:t>6</w:t>
            </w:r>
            <w:r w:rsidRPr="00B57B36">
              <w:rPr>
                <w:rFonts w:ascii="Tahoma" w:hAnsi="Tahoma" w:cs="Tahoma"/>
                <w:iCs/>
                <w:color w:val="333333"/>
                <w:sz w:val="14"/>
                <w:szCs w:val="14"/>
                <w:lang w:eastAsia="it-IT"/>
              </w:rPr>
              <w:t>, AIDIC Servizi S.r.l.</w:t>
            </w:r>
            <w:r w:rsidRPr="00B57B36">
              <w:rPr>
                <w:rFonts w:ascii="Tahoma" w:hAnsi="Tahoma" w:cs="Tahoma"/>
                <w:iCs/>
                <w:color w:val="333333"/>
                <w:sz w:val="14"/>
                <w:szCs w:val="14"/>
                <w:lang w:eastAsia="it-IT"/>
              </w:rPr>
              <w:br/>
            </w:r>
            <w:r w:rsidRPr="00B57B36">
              <w:rPr>
                <w:rFonts w:ascii="Tahoma" w:hAnsi="Tahoma" w:cs="Tahoma"/>
                <w:b/>
                <w:iCs/>
                <w:color w:val="000000"/>
                <w:sz w:val="14"/>
                <w:szCs w:val="14"/>
                <w:lang w:eastAsia="it-IT"/>
              </w:rPr>
              <w:t>ISBN</w:t>
            </w:r>
            <w:r w:rsidRPr="00B57B36">
              <w:rPr>
                <w:rFonts w:ascii="Tahoma" w:hAnsi="Tahoma" w:cs="Tahoma"/>
                <w:iCs/>
                <w:color w:val="000000"/>
                <w:sz w:val="14"/>
                <w:szCs w:val="14"/>
                <w:lang w:eastAsia="it-IT"/>
              </w:rPr>
              <w:t xml:space="preserve"> </w:t>
            </w:r>
            <w:r w:rsidR="00D2582C" w:rsidRPr="000562A9">
              <w:rPr>
                <w:rFonts w:ascii="Tahoma" w:hAnsi="Tahoma" w:cs="Tahoma"/>
                <w:sz w:val="14"/>
                <w:szCs w:val="14"/>
              </w:rPr>
              <w:t>97</w:t>
            </w:r>
            <w:r w:rsidR="00D2582C">
              <w:rPr>
                <w:rFonts w:ascii="Tahoma" w:hAnsi="Tahoma" w:cs="Tahoma"/>
                <w:sz w:val="14"/>
                <w:szCs w:val="14"/>
              </w:rPr>
              <w:t>9</w:t>
            </w:r>
            <w:r w:rsidR="00D2582C" w:rsidRPr="000562A9">
              <w:rPr>
                <w:rFonts w:ascii="Tahoma" w:hAnsi="Tahoma" w:cs="Tahoma"/>
                <w:sz w:val="14"/>
                <w:szCs w:val="14"/>
              </w:rPr>
              <w:t>-</w:t>
            </w:r>
            <w:r w:rsidR="00D2582C">
              <w:rPr>
                <w:rFonts w:ascii="Tahoma" w:hAnsi="Tahoma" w:cs="Tahoma"/>
                <w:sz w:val="14"/>
                <w:szCs w:val="14"/>
              </w:rPr>
              <w:t>12</w:t>
            </w:r>
            <w:r w:rsidR="00D2582C" w:rsidRPr="000562A9">
              <w:rPr>
                <w:rFonts w:ascii="Tahoma" w:hAnsi="Tahoma" w:cs="Tahoma"/>
                <w:sz w:val="14"/>
                <w:szCs w:val="14"/>
              </w:rPr>
              <w:t>-</w:t>
            </w:r>
            <w:r w:rsidR="00D2582C">
              <w:rPr>
                <w:rFonts w:ascii="Tahoma" w:hAnsi="Tahoma" w:cs="Tahoma"/>
                <w:sz w:val="14"/>
                <w:szCs w:val="14"/>
              </w:rPr>
              <w:t>81206-</w:t>
            </w:r>
            <w:r w:rsidR="00005884">
              <w:rPr>
                <w:rFonts w:ascii="Tahoma" w:hAnsi="Tahoma" w:cs="Tahoma"/>
                <w:sz w:val="14"/>
                <w:szCs w:val="14"/>
              </w:rPr>
              <w:t>xx</w:t>
            </w:r>
            <w:r w:rsidR="009041F8">
              <w:rPr>
                <w:rFonts w:ascii="Tahoma" w:hAnsi="Tahoma" w:cs="Tahoma"/>
                <w:sz w:val="14"/>
                <w:szCs w:val="14"/>
              </w:rPr>
              <w:t>-</w:t>
            </w:r>
            <w:r w:rsidR="00005884">
              <w:rPr>
                <w:rFonts w:ascii="Tahoma" w:hAnsi="Tahoma" w:cs="Tahoma"/>
                <w:sz w:val="14"/>
                <w:szCs w:val="14"/>
              </w:rPr>
              <w:t>x</w:t>
            </w:r>
            <w:r w:rsidRPr="00EF06D9">
              <w:rPr>
                <w:rFonts w:ascii="Tahoma" w:hAnsi="Tahoma" w:cs="Tahoma"/>
                <w:iCs/>
                <w:color w:val="333333"/>
                <w:sz w:val="14"/>
                <w:szCs w:val="14"/>
                <w:lang w:eastAsia="it-IT"/>
              </w:rPr>
              <w:t>;</w:t>
            </w:r>
            <w:r w:rsidRPr="00B57B36">
              <w:rPr>
                <w:rFonts w:ascii="Tahoma" w:hAnsi="Tahoma" w:cs="Tahoma"/>
                <w:iCs/>
                <w:color w:val="333333"/>
                <w:sz w:val="14"/>
                <w:szCs w:val="14"/>
                <w:lang w:eastAsia="it-IT"/>
              </w:rPr>
              <w:t xml:space="preserve"> </w:t>
            </w:r>
            <w:r w:rsidRPr="00B57B36">
              <w:rPr>
                <w:rFonts w:ascii="Tahoma" w:hAnsi="Tahoma" w:cs="Tahoma"/>
                <w:b/>
                <w:iCs/>
                <w:color w:val="333333"/>
                <w:sz w:val="14"/>
                <w:szCs w:val="14"/>
                <w:lang w:eastAsia="it-IT"/>
              </w:rPr>
              <w:t>ISSN</w:t>
            </w:r>
            <w:r w:rsidRPr="00B57B36">
              <w:rPr>
                <w:rFonts w:ascii="Tahoma" w:hAnsi="Tahoma" w:cs="Tahoma"/>
                <w:iCs/>
                <w:color w:val="333333"/>
                <w:sz w:val="14"/>
                <w:szCs w:val="14"/>
                <w:lang w:eastAsia="it-IT"/>
              </w:rPr>
              <w:t xml:space="preserve"> 2283-9216</w:t>
            </w:r>
          </w:p>
        </w:tc>
      </w:tr>
    </w:tbl>
    <w:p w14:paraId="3E38675B" w14:textId="77777777" w:rsidR="006058D2" w:rsidRDefault="006058D2" w:rsidP="008F59DC">
      <w:pPr>
        <w:spacing w:line="240" w:lineRule="auto"/>
        <w:rPr>
          <w:rFonts w:cs="Arial"/>
          <w:b/>
          <w:bCs/>
          <w:sz w:val="24"/>
          <w:szCs w:val="24"/>
          <w:lang w:eastAsia="ru-RU"/>
        </w:rPr>
      </w:pPr>
      <w:bookmarkStart w:id="1" w:name="_Hlk228368592"/>
      <w:bookmarkEnd w:id="0"/>
      <w:bookmarkEnd w:id="1"/>
    </w:p>
    <w:p w14:paraId="3853C232" w14:textId="6E942CFF" w:rsidR="006058D2" w:rsidRDefault="008F59DC" w:rsidP="001863B4">
      <w:pPr>
        <w:spacing w:line="240" w:lineRule="auto"/>
        <w:jc w:val="center"/>
        <w:rPr>
          <w:rFonts w:cs="Arial"/>
          <w:sz w:val="32"/>
          <w:szCs w:val="32"/>
          <w:lang w:eastAsia="ru-RU"/>
        </w:rPr>
      </w:pPr>
      <w:r w:rsidRPr="001863B4">
        <w:rPr>
          <w:rFonts w:cs="Arial"/>
          <w:sz w:val="32"/>
          <w:szCs w:val="32"/>
          <w:lang w:eastAsia="ru-RU"/>
        </w:rPr>
        <w:t xml:space="preserve">Extraction </w:t>
      </w:r>
      <w:r w:rsidRPr="001863B4">
        <w:rPr>
          <w:rFonts w:cs="Arial"/>
          <w:sz w:val="32"/>
          <w:szCs w:val="32"/>
          <w:lang w:val="uz-Cyrl-UZ" w:eastAsia="ru-RU"/>
        </w:rPr>
        <w:t>о</w:t>
      </w:r>
      <w:r w:rsidRPr="001863B4">
        <w:rPr>
          <w:rFonts w:cs="Arial"/>
          <w:sz w:val="32"/>
          <w:szCs w:val="32"/>
          <w:lang w:eastAsia="ru-RU"/>
        </w:rPr>
        <w:t>f Dye From Barberry (Berberis Vulgaris L.)</w:t>
      </w:r>
    </w:p>
    <w:p w14:paraId="1CD5AAF3" w14:textId="77777777" w:rsidR="001863B4" w:rsidRPr="001863B4" w:rsidRDefault="001863B4" w:rsidP="001863B4">
      <w:pPr>
        <w:spacing w:line="240" w:lineRule="auto"/>
        <w:jc w:val="center"/>
        <w:rPr>
          <w:rFonts w:cs="Arial"/>
          <w:szCs w:val="18"/>
          <w:lang w:eastAsia="ru-RU"/>
        </w:rPr>
      </w:pPr>
    </w:p>
    <w:p w14:paraId="42229D32" w14:textId="4376D8A0" w:rsidR="006058D2" w:rsidRPr="001863B4" w:rsidRDefault="00982BE6" w:rsidP="00B57E6F">
      <w:pPr>
        <w:pStyle w:val="CETAddress"/>
        <w:rPr>
          <w:rStyle w:val="afffe"/>
          <w:b w:val="0"/>
          <w:bCs w:val="0"/>
          <w:sz w:val="24"/>
          <w:szCs w:val="24"/>
        </w:rPr>
      </w:pPr>
      <w:r w:rsidRPr="001863B4">
        <w:rPr>
          <w:rStyle w:val="afffe"/>
          <w:b w:val="0"/>
          <w:bCs w:val="0"/>
          <w:sz w:val="24"/>
          <w:szCs w:val="24"/>
        </w:rPr>
        <w:t>Munisa M. Abdullayeva,*</w:t>
      </w:r>
      <w:r w:rsidRPr="001863B4">
        <w:rPr>
          <w:b/>
          <w:bCs/>
          <w:sz w:val="24"/>
          <w:szCs w:val="24"/>
        </w:rPr>
        <w:t xml:space="preserve">, </w:t>
      </w:r>
      <w:r w:rsidRPr="001863B4">
        <w:rPr>
          <w:rStyle w:val="afffe"/>
          <w:b w:val="0"/>
          <w:bCs w:val="0"/>
          <w:sz w:val="24"/>
          <w:szCs w:val="24"/>
        </w:rPr>
        <w:t>Khulkar U. Usmonjonova</w:t>
      </w:r>
      <w:r w:rsidRPr="001863B4">
        <w:rPr>
          <w:b/>
          <w:bCs/>
          <w:sz w:val="24"/>
          <w:szCs w:val="24"/>
        </w:rPr>
        <w:t xml:space="preserve">, </w:t>
      </w:r>
      <w:r w:rsidRPr="001863B4">
        <w:rPr>
          <w:rStyle w:val="afffe"/>
          <w:b w:val="0"/>
          <w:bCs w:val="0"/>
          <w:sz w:val="24"/>
          <w:szCs w:val="24"/>
        </w:rPr>
        <w:t>Malika A. Adilkhanova</w:t>
      </w:r>
      <w:r w:rsidRPr="001863B4">
        <w:rPr>
          <w:b/>
          <w:bCs/>
          <w:sz w:val="24"/>
          <w:szCs w:val="24"/>
        </w:rPr>
        <w:t xml:space="preserve">, </w:t>
      </w:r>
      <w:r w:rsidRPr="001863B4">
        <w:rPr>
          <w:rStyle w:val="afffe"/>
          <w:b w:val="0"/>
          <w:bCs w:val="0"/>
          <w:sz w:val="24"/>
          <w:szCs w:val="24"/>
        </w:rPr>
        <w:t xml:space="preserve">Kholida B. Sultonova </w:t>
      </w:r>
    </w:p>
    <w:p w14:paraId="3061140F" w14:textId="3456BCEF" w:rsidR="00982BE6" w:rsidRPr="001863B4" w:rsidRDefault="001863B4" w:rsidP="00982BE6">
      <w:pPr>
        <w:pStyle w:val="CETemail"/>
        <w:spacing w:after="0"/>
        <w:rPr>
          <w:rFonts w:cs="Arial"/>
          <w:b/>
          <w:bCs/>
          <w:szCs w:val="16"/>
          <w:lang w:eastAsia="ru-RU"/>
        </w:rPr>
      </w:pPr>
      <w:r w:rsidRPr="001863B4">
        <w:rPr>
          <w:szCs w:val="16"/>
        </w:rPr>
        <w:t xml:space="preserve">Address: </w:t>
      </w:r>
      <w:r w:rsidR="00982BE6" w:rsidRPr="001863B4">
        <w:rPr>
          <w:rFonts w:cs="Arial"/>
          <w:szCs w:val="16"/>
          <w:lang w:eastAsia="ru-RU"/>
        </w:rPr>
        <w:t xml:space="preserve">Tashkent Institute of Chemical Technology, Tashkent, Uzbekistan. </w:t>
      </w:r>
    </w:p>
    <w:p w14:paraId="73F1267A" w14:textId="174B6323" w:rsidR="00B57E6F" w:rsidRPr="001863B4" w:rsidRDefault="00982BE6" w:rsidP="00982BE6">
      <w:pPr>
        <w:pStyle w:val="CETemail"/>
        <w:spacing w:after="0"/>
        <w:rPr>
          <w:szCs w:val="16"/>
        </w:rPr>
      </w:pPr>
      <w:r w:rsidRPr="001863B4">
        <w:rPr>
          <w:rFonts w:cs="Arial"/>
          <w:b/>
          <w:bCs/>
          <w:szCs w:val="16"/>
          <w:vertAlign w:val="superscript"/>
          <w:lang w:eastAsia="ru-RU"/>
        </w:rPr>
        <w:t>*</w:t>
      </w:r>
      <w:r w:rsidRPr="001863B4">
        <w:rPr>
          <w:szCs w:val="16"/>
        </w:rPr>
        <w:t xml:space="preserve">Corresponding author: E-mail: </w:t>
      </w:r>
      <w:hyperlink r:id="rId10" w:history="1">
        <w:r w:rsidRPr="001863B4">
          <w:rPr>
            <w:rStyle w:val="afffc"/>
            <w:szCs w:val="16"/>
          </w:rPr>
          <w:t>ominamunisam@gmail.com</w:t>
        </w:r>
      </w:hyperlink>
      <w:r w:rsidRPr="001863B4">
        <w:rPr>
          <w:szCs w:val="16"/>
        </w:rPr>
        <w:t xml:space="preserve"> </w:t>
      </w:r>
    </w:p>
    <w:p w14:paraId="1FC3C2EA" w14:textId="77777777" w:rsidR="00982BE6" w:rsidRPr="00982BE6" w:rsidRDefault="00982BE6" w:rsidP="00982BE6">
      <w:pPr>
        <w:pStyle w:val="CETBodytext"/>
        <w:rPr>
          <w:lang w:val="en-GB" w:eastAsia="ru-RU"/>
        </w:rPr>
      </w:pPr>
    </w:p>
    <w:p w14:paraId="5E06B4BC" w14:textId="77777777" w:rsidR="00982BE6" w:rsidRDefault="00982BE6" w:rsidP="00982BE6">
      <w:pPr>
        <w:pStyle w:val="afffd"/>
        <w:spacing w:line="240" w:lineRule="auto"/>
        <w:ind w:left="0"/>
        <w:rPr>
          <w:rFonts w:cs="Arial"/>
          <w:szCs w:val="18"/>
          <w:lang w:val="en-US" w:eastAsia="ru-RU"/>
        </w:rPr>
      </w:pPr>
      <w:r w:rsidRPr="00982BE6">
        <w:rPr>
          <w:rFonts w:cs="Arial"/>
          <w:szCs w:val="18"/>
          <w:lang w:val="en-US" w:eastAsia="ru-RU"/>
        </w:rPr>
        <w:t>The demand for natural dyes in the modern food industry is increasing day by day. This is because, compared to synthetic dyes, they are environmentally friendly, non-toxic, and rich in biologically active compounds. In this regard, research on the extraction of natural food colorants from barberry (</w:t>
      </w:r>
      <w:r w:rsidRPr="00982BE6">
        <w:rPr>
          <w:rFonts w:cs="Arial"/>
          <w:i/>
          <w:iCs/>
          <w:szCs w:val="18"/>
          <w:lang w:val="en-US" w:eastAsia="ru-RU"/>
        </w:rPr>
        <w:t>Berberis vulgaris L.</w:t>
      </w:r>
      <w:r w:rsidRPr="00982BE6">
        <w:rPr>
          <w:rFonts w:cs="Arial"/>
          <w:szCs w:val="18"/>
          <w:lang w:val="en-US" w:eastAsia="ru-RU"/>
        </w:rPr>
        <w:t>) fruits is of great relevance. The composition of barberry (</w:t>
      </w:r>
      <w:r w:rsidRPr="00982BE6">
        <w:rPr>
          <w:rFonts w:cs="Arial"/>
          <w:i/>
          <w:iCs/>
          <w:szCs w:val="18"/>
          <w:lang w:val="en-US" w:eastAsia="ru-RU"/>
        </w:rPr>
        <w:t>Berberis vulgaris L.</w:t>
      </w:r>
      <w:r w:rsidRPr="00982BE6">
        <w:rPr>
          <w:rFonts w:cs="Arial"/>
          <w:szCs w:val="18"/>
          <w:lang w:val="en-US" w:eastAsia="ru-RU"/>
        </w:rPr>
        <w:t>) fruits is rich in anthocyanins and flavonoids, as well as vitamins and macro-microelements. During the experiments, the extraction efficiency was determined at different temperatures, time intervals, and concentration ratios of aqueous-alcoholic solutions. In addition, the physicochemical properties of the coloring substances extracted from barberry (</w:t>
      </w:r>
      <w:r w:rsidRPr="00982BE6">
        <w:rPr>
          <w:rFonts w:cs="Arial"/>
          <w:i/>
          <w:iCs/>
          <w:szCs w:val="18"/>
          <w:lang w:val="en-US" w:eastAsia="ru-RU"/>
        </w:rPr>
        <w:t>Berberis vulgaris L.</w:t>
      </w:r>
      <w:r w:rsidRPr="00982BE6">
        <w:rPr>
          <w:rFonts w:cs="Arial"/>
          <w:szCs w:val="18"/>
          <w:lang w:val="en-US" w:eastAsia="ru-RU"/>
        </w:rPr>
        <w:t xml:space="preserve">) fruits were studied, and their dry matter content, </w:t>
      </w:r>
      <w:r w:rsidRPr="00982BE6">
        <w:rPr>
          <w:rFonts w:cs="Arial"/>
          <w:i/>
          <w:iCs/>
          <w:szCs w:val="18"/>
          <w:lang w:val="en-US" w:eastAsia="ru-RU"/>
        </w:rPr>
        <w:t>pH</w:t>
      </w:r>
      <w:r w:rsidRPr="00982BE6">
        <w:rPr>
          <w:rFonts w:cs="Arial"/>
          <w:szCs w:val="18"/>
          <w:lang w:val="en-US" w:eastAsia="ru-RU"/>
        </w:rPr>
        <w:t xml:space="preserve"> value, and density were determined. The amount of coloring substances in the extract was evaluated using a photoelectrocolorimeter at a wavelength of 540 </w:t>
      </w:r>
      <w:r w:rsidRPr="00982BE6">
        <w:rPr>
          <w:rFonts w:cs="Arial"/>
          <w:i/>
          <w:iCs/>
          <w:szCs w:val="18"/>
          <w:lang w:val="en-US" w:eastAsia="ru-RU"/>
        </w:rPr>
        <w:t>nm</w:t>
      </w:r>
      <w:r w:rsidRPr="00982BE6">
        <w:rPr>
          <w:rFonts w:cs="Arial"/>
          <w:szCs w:val="18"/>
          <w:lang w:val="en-US" w:eastAsia="ru-RU"/>
        </w:rPr>
        <w:t>. The effect of temperature and the optimal selection of solution concentration ensured a higher yield of coloring substances. The extraction duration also had a significant impact on color intensity and the degree of release. As a result of the study, the optimal conditions for extracting coloring substances from barberry (</w:t>
      </w:r>
      <w:r w:rsidRPr="00982BE6">
        <w:rPr>
          <w:rFonts w:cs="Arial"/>
          <w:i/>
          <w:iCs/>
          <w:szCs w:val="18"/>
          <w:lang w:val="en-US" w:eastAsia="ru-RU"/>
        </w:rPr>
        <w:t>Berberis vulgaris L.</w:t>
      </w:r>
      <w:r w:rsidRPr="00982BE6">
        <w:rPr>
          <w:rFonts w:cs="Arial"/>
          <w:szCs w:val="18"/>
          <w:lang w:val="en-US" w:eastAsia="ru-RU"/>
        </w:rPr>
        <w:t>) fruits using an aqueous-alcoholic extraction method were determined. At the same time, the factors affecting the release of coloring substances were also investigated.</w:t>
      </w:r>
    </w:p>
    <w:p w14:paraId="357AB2B4" w14:textId="77777777" w:rsidR="00982BE6" w:rsidRPr="00982BE6" w:rsidRDefault="00982BE6" w:rsidP="00982BE6">
      <w:pPr>
        <w:pStyle w:val="afffd"/>
        <w:spacing w:line="240" w:lineRule="auto"/>
        <w:ind w:left="0"/>
        <w:rPr>
          <w:rFonts w:cs="Arial"/>
          <w:szCs w:val="18"/>
          <w:lang w:val="en-US" w:eastAsia="ru-RU"/>
        </w:rPr>
      </w:pPr>
    </w:p>
    <w:p w14:paraId="3F0ACE33" w14:textId="77777777" w:rsidR="00982BE6" w:rsidRPr="00D9027B" w:rsidRDefault="00982BE6" w:rsidP="00982BE6">
      <w:pPr>
        <w:pStyle w:val="afffd"/>
        <w:numPr>
          <w:ilvl w:val="0"/>
          <w:numId w:val="23"/>
        </w:numPr>
        <w:tabs>
          <w:tab w:val="clear" w:pos="7100"/>
        </w:tabs>
        <w:spacing w:line="240" w:lineRule="auto"/>
        <w:ind w:left="284" w:hanging="294"/>
        <w:rPr>
          <w:rFonts w:cs="Arial"/>
          <w:b/>
          <w:bCs/>
          <w:szCs w:val="18"/>
        </w:rPr>
      </w:pPr>
      <w:r w:rsidRPr="00D9027B">
        <w:rPr>
          <w:rFonts w:cs="Arial"/>
          <w:b/>
          <w:bCs/>
          <w:szCs w:val="18"/>
        </w:rPr>
        <w:t>Introduction</w:t>
      </w:r>
    </w:p>
    <w:p w14:paraId="1C9553C5" w14:textId="77777777" w:rsidR="00982BE6" w:rsidRPr="00A36EF1" w:rsidRDefault="00982BE6" w:rsidP="00982BE6">
      <w:pPr>
        <w:spacing w:line="240" w:lineRule="auto"/>
        <w:rPr>
          <w:rFonts w:cs="Arial"/>
          <w:b/>
          <w:bCs/>
          <w:szCs w:val="18"/>
        </w:rPr>
      </w:pPr>
    </w:p>
    <w:p w14:paraId="60E9467D" w14:textId="0CE0FFC1" w:rsidR="00982BE6" w:rsidRPr="0002740C" w:rsidRDefault="00982BE6" w:rsidP="00982BE6">
      <w:pPr>
        <w:pStyle w:val="aff1"/>
        <w:rPr>
          <w:rFonts w:cs="Arial"/>
          <w:noProof/>
          <w:sz w:val="18"/>
          <w:szCs w:val="18"/>
          <w:lang w:val="en-US"/>
        </w:rPr>
      </w:pPr>
      <w:r w:rsidRPr="00A36EF1">
        <w:rPr>
          <w:rFonts w:cs="Arial"/>
          <w:sz w:val="18"/>
          <w:szCs w:val="18"/>
          <w:lang w:val="en-US"/>
        </w:rPr>
        <w:t>Food colorants are among the first attributes perceived by consumers when evaluating a product. Color provides an initial impression of a product’s freshness, taste, and composition. Therefore, it plays a significant role in influencing consumer acceptance or rejection. The food industry addresses this need by incorporating coloring agents to restore the natural color of products and enhance their visual appeal. Based on their origin, colorants are classified into three types: synthetic, natural, and mineral. Synthetic colorants are produced through chemical synthesis and are widely used in industry. However, some synthetic colorants may cause allergic reactions and can negatively affect liver, kidney, and cardiovascular functions. In particular, an association has been reported with attention deficit and hyperactivity syndrome in children. The main pigments responsible for the natural color of fruits and vegetables include anthocyanins, betalains, carotenoids, and chlorophylls. Among them, anthocyanins are the most widespread and extensively studied pigments. To date, more than 700 different anthocyanins have been identified (Erika N. Vega et al., 2025).</w:t>
      </w:r>
      <w:r>
        <w:rPr>
          <w:rFonts w:cs="Arial"/>
          <w:sz w:val="18"/>
          <w:szCs w:val="18"/>
          <w:lang w:val="en-US"/>
        </w:rPr>
        <w:t xml:space="preserve"> </w:t>
      </w:r>
      <w:r w:rsidRPr="006935C5">
        <w:rPr>
          <w:rFonts w:cs="Arial"/>
          <w:sz w:val="18"/>
          <w:szCs w:val="18"/>
          <w:lang w:val="en-US"/>
        </w:rPr>
        <w:t>In addition, anthocyanins are highly sensitive pigments, and their stability is influenced by factors such as heat treatment, pH of the medium, light exposure, oxygen, and oxidase enzymes. Therefore, enhancing the stability of these compounds under various conditions, particularly during industrial processing, is considered an important task. Factors such as pH, temperature, compound concentration, solvent type, and molecular structure play a significant role in improving anthocyanin stability. Furthermore, another key characteristic of anthocyanins is their inherent instability.</w:t>
      </w:r>
      <w:r w:rsidRPr="00A36EF1">
        <w:rPr>
          <w:rFonts w:cs="Arial"/>
          <w:sz w:val="18"/>
          <w:szCs w:val="18"/>
          <w:lang w:val="en-US"/>
        </w:rPr>
        <w:t xml:space="preserve"> For example, with increasing temperature, anthocyanins rapidly degrade and undergo oxidation. During thermal degradation, two main mechanisms are observed: first, the hydrolysis of glycosidic bonds leading to the formation of unstable aglycones; and second, chemical hydrolysis accompanied by the opening of the pyrylium ring, resulting in the formation of chalcone structures (Arash Dara et al., 2025). The properties of anthocyanins have been extensively studied in the scientific literature, and their key characteristics are closely related to their chemical structure. In particular, the flavylium cation plays an active role in acidic conditions, providing these compounds with high chemical reactivity. Interest in anthocyanins is largely due to their potential use as natural, rather than synthetic, colorants. They produce attractive colors ranging from red to purple and are widely used in the food industry as coloring agents.</w:t>
      </w:r>
      <w:r w:rsidR="006058D2">
        <w:rPr>
          <w:rFonts w:cs="Arial"/>
          <w:noProof/>
          <w:sz w:val="18"/>
          <w:szCs w:val="18"/>
          <w:lang w:val="en-US"/>
        </w:rPr>
        <w:t xml:space="preserve"> </w:t>
      </w:r>
      <w:r w:rsidRPr="00B33CF2">
        <w:rPr>
          <w:rFonts w:cs="Arial"/>
          <w:sz w:val="18"/>
          <w:szCs w:val="18"/>
          <w:lang w:val="en-US"/>
        </w:rPr>
        <w:t>Barberry (</w:t>
      </w:r>
      <w:r w:rsidRPr="00B33CF2">
        <w:rPr>
          <w:rFonts w:cs="Arial"/>
          <w:i/>
          <w:iCs/>
          <w:sz w:val="18"/>
          <w:szCs w:val="18"/>
          <w:lang w:val="en-US"/>
        </w:rPr>
        <w:t>Berberis vulgaris</w:t>
      </w:r>
      <w:r w:rsidRPr="00B33CF2">
        <w:rPr>
          <w:rFonts w:cs="Arial"/>
          <w:sz w:val="18"/>
          <w:szCs w:val="18"/>
          <w:lang w:val="en-US"/>
        </w:rPr>
        <w:t xml:space="preserve"> L.) belongs to the Berberidaceae family. Its leaves are </w:t>
      </w:r>
      <w:r w:rsidRPr="00B33CF2">
        <w:rPr>
          <w:rFonts w:cs="Arial"/>
          <w:sz w:val="18"/>
          <w:szCs w:val="18"/>
          <w:lang w:val="en-US"/>
        </w:rPr>
        <w:lastRenderedPageBreak/>
        <w:t>thick in structure, short-petioled, and arranged alternately.</w:t>
      </w:r>
      <w:r w:rsidRPr="00A36EF1">
        <w:rPr>
          <w:rFonts w:cs="Arial"/>
          <w:sz w:val="18"/>
          <w:szCs w:val="18"/>
          <w:lang w:val="en-US"/>
        </w:rPr>
        <w:t xml:space="preserve"> The flowers are yellow in color, bisexual, and arranged in racemes, while the fruit belongs to the berry type. The plant is mainly distributed across the Northern Hemisphere, with approximately 194 species identified worldwide, of which about 45 are widely </w:t>
      </w:r>
      <w:r>
        <w:rPr>
          <w:rFonts w:cs="Arial"/>
          <w:sz w:val="18"/>
          <w:szCs w:val="18"/>
          <w:lang w:val="en-US"/>
        </w:rPr>
        <w:t>sprea</w:t>
      </w:r>
      <w:r w:rsidRPr="00A36EF1">
        <w:rPr>
          <w:rFonts w:cs="Arial"/>
          <w:sz w:val="18"/>
          <w:szCs w:val="18"/>
          <w:lang w:val="en-US"/>
        </w:rPr>
        <w:t>d. The leaves of barberry (</w:t>
      </w:r>
      <w:r w:rsidRPr="00A36EF1">
        <w:rPr>
          <w:rFonts w:cs="Arial"/>
          <w:i/>
          <w:iCs/>
          <w:sz w:val="18"/>
          <w:szCs w:val="18"/>
          <w:lang w:val="en-US"/>
        </w:rPr>
        <w:t>Berberis vulgaris</w:t>
      </w:r>
      <w:r w:rsidRPr="00A36EF1">
        <w:rPr>
          <w:rFonts w:cs="Arial"/>
          <w:sz w:val="18"/>
          <w:szCs w:val="18"/>
          <w:lang w:val="en-US"/>
        </w:rPr>
        <w:t xml:space="preserve"> L.) contain alkaloids such as berberine, oxyacanthine. Due to its widespread consumption and characteristic dark color, black barberry is also locally referred to as “qoraqand.” In traditional medicine, it is valued as a natural remedy used for treating liver diseases, reducing fever, stopping diarrhea, and strengthening cardiac function (Qodirov</w:t>
      </w:r>
      <w:r>
        <w:rPr>
          <w:rFonts w:cs="Arial"/>
          <w:sz w:val="18"/>
          <w:szCs w:val="18"/>
          <w:lang w:val="en-US"/>
        </w:rPr>
        <w:t>.I.A,</w:t>
      </w:r>
      <w:r w:rsidRPr="00A36EF1">
        <w:rPr>
          <w:rFonts w:cs="Arial"/>
          <w:sz w:val="18"/>
          <w:szCs w:val="18"/>
          <w:lang w:val="en-US"/>
        </w:rPr>
        <w:t xml:space="preserve"> 2023). Barberry (</w:t>
      </w:r>
      <w:r w:rsidRPr="00A36EF1">
        <w:rPr>
          <w:rFonts w:cs="Arial"/>
          <w:i/>
          <w:iCs/>
          <w:sz w:val="18"/>
          <w:szCs w:val="18"/>
          <w:lang w:val="en-US"/>
        </w:rPr>
        <w:t>Berberis vulgaris</w:t>
      </w:r>
      <w:r w:rsidRPr="00A36EF1">
        <w:rPr>
          <w:rFonts w:cs="Arial"/>
          <w:sz w:val="18"/>
          <w:szCs w:val="18"/>
          <w:lang w:val="en-US"/>
        </w:rPr>
        <w:t xml:space="preserve"> L.) is considered a unique plant rich in various bioactive compounds. Its composition includes flavonoids, berberine, vitamins, chlorogenic acid, and caffeic acid, among other beneficial substances. These compounds not only contribute to the pleasant taste of the product but also play a significant role in the development of its red coloration (Sara Naji Tabasi et al., 2021). </w:t>
      </w:r>
      <w:r w:rsidRPr="00B33CF2">
        <w:rPr>
          <w:rFonts w:cs="Arial"/>
          <w:sz w:val="18"/>
          <w:szCs w:val="18"/>
          <w:lang w:val="en-US"/>
        </w:rPr>
        <w:t>The fruits of barberry (</w:t>
      </w:r>
      <w:r w:rsidRPr="00B33CF2">
        <w:rPr>
          <w:rFonts w:cs="Arial"/>
          <w:i/>
          <w:iCs/>
          <w:sz w:val="18"/>
          <w:szCs w:val="18"/>
          <w:lang w:val="en-US"/>
        </w:rPr>
        <w:t>Berberis vulgaris</w:t>
      </w:r>
      <w:r w:rsidRPr="00B33CF2">
        <w:rPr>
          <w:rFonts w:cs="Arial"/>
          <w:sz w:val="18"/>
          <w:szCs w:val="18"/>
          <w:lang w:val="en-US"/>
        </w:rPr>
        <w:t xml:space="preserve"> L.) exhibit notable antioxidant activity due to a high content of phenolic compounds, particularly anthocyanins.</w:t>
      </w:r>
      <w:r>
        <w:rPr>
          <w:rFonts w:cs="Arial"/>
          <w:sz w:val="18"/>
          <w:szCs w:val="18"/>
          <w:lang w:val="en-US"/>
        </w:rPr>
        <w:t xml:space="preserve"> </w:t>
      </w:r>
      <w:r w:rsidRPr="003B7E28">
        <w:rPr>
          <w:rFonts w:cs="Arial"/>
          <w:sz w:val="18"/>
          <w:szCs w:val="18"/>
          <w:lang w:val="en-US"/>
        </w:rPr>
        <w:t xml:space="preserve">European researchers investigated the optimal extraction conditions of </w:t>
      </w:r>
      <w:r w:rsidRPr="0002740C">
        <w:rPr>
          <w:rFonts w:cs="Arial"/>
          <w:i/>
          <w:iCs/>
          <w:sz w:val="18"/>
          <w:szCs w:val="18"/>
          <w:lang w:val="en-US"/>
        </w:rPr>
        <w:t>Berberis vulgaris L.</w:t>
      </w:r>
      <w:r w:rsidRPr="003B7E28">
        <w:rPr>
          <w:rFonts w:cs="Arial"/>
          <w:sz w:val="18"/>
          <w:szCs w:val="18"/>
          <w:lang w:val="en-US"/>
        </w:rPr>
        <w:t xml:space="preserve"> fruits. Fully ripe fruits were collected from two geographically distinct regions of Spain during the 2022</w:t>
      </w:r>
      <w:r>
        <w:rPr>
          <w:rFonts w:cs="Arial"/>
          <w:sz w:val="18"/>
          <w:szCs w:val="18"/>
          <w:lang w:val="en-US"/>
        </w:rPr>
        <w:t>-</w:t>
      </w:r>
      <w:r w:rsidRPr="003B7E28">
        <w:rPr>
          <w:rFonts w:cs="Arial"/>
          <w:sz w:val="18"/>
          <w:szCs w:val="18"/>
          <w:lang w:val="en-US"/>
        </w:rPr>
        <w:t xml:space="preserve">2023 harvesting seasons. The sampling strategy was designed to capture the natural variability associated with both geographical origin and annual environmental conditions. The collected fruits were initially characterized in terms of their physicochemical properties and subsequently stored at </w:t>
      </w:r>
      <w:r>
        <w:rPr>
          <w:rFonts w:cs="Arial"/>
          <w:sz w:val="18"/>
          <w:szCs w:val="18"/>
          <w:lang w:val="en-US"/>
        </w:rPr>
        <w:t>-</w:t>
      </w:r>
      <w:r w:rsidRPr="003B7E28">
        <w:rPr>
          <w:rFonts w:cs="Arial"/>
          <w:sz w:val="18"/>
          <w:szCs w:val="18"/>
          <w:lang w:val="en-US"/>
        </w:rPr>
        <w:t xml:space="preserve">80 °C. Thereafter, the samples were freeze-dried and the seeds were removed. The peel and pulp fractions obtained from different regions and harvest years were pooled and homogenized by grinding to produce a representative sample designated as the </w:t>
      </w:r>
      <w:r w:rsidRPr="0002740C">
        <w:rPr>
          <w:rFonts w:cs="Arial"/>
          <w:i/>
          <w:iCs/>
          <w:sz w:val="18"/>
          <w:szCs w:val="18"/>
          <w:lang w:val="en-US"/>
        </w:rPr>
        <w:t xml:space="preserve">Berberis vulgaris Freeze-Dried Fruit Fraction </w:t>
      </w:r>
      <w:r w:rsidRPr="0002740C">
        <w:rPr>
          <w:rFonts w:cs="Arial"/>
          <w:sz w:val="18"/>
          <w:szCs w:val="18"/>
          <w:lang w:val="en-US"/>
        </w:rPr>
        <w:t>(BVFF).</w:t>
      </w:r>
      <w:r>
        <w:rPr>
          <w:rFonts w:cs="Arial"/>
          <w:sz w:val="18"/>
          <w:szCs w:val="18"/>
          <w:lang w:val="en-US"/>
        </w:rPr>
        <w:t xml:space="preserve"> </w:t>
      </w:r>
      <w:r w:rsidRPr="003B7E28">
        <w:rPr>
          <w:rFonts w:cs="Arial"/>
          <w:sz w:val="18"/>
          <w:szCs w:val="18"/>
          <w:lang w:val="en-US"/>
        </w:rPr>
        <w:t xml:space="preserve">Following optimization of the extraction process parameters, a </w:t>
      </w:r>
      <w:r w:rsidRPr="003B7E28">
        <w:rPr>
          <w:rFonts w:cs="Arial"/>
          <w:i/>
          <w:iCs/>
          <w:sz w:val="18"/>
          <w:szCs w:val="18"/>
          <w:lang w:val="en-US"/>
        </w:rPr>
        <w:t xml:space="preserve">Berberis vulgaris extract </w:t>
      </w:r>
      <w:r w:rsidRPr="003B7E28">
        <w:rPr>
          <w:rFonts w:cs="Arial"/>
          <w:sz w:val="18"/>
          <w:szCs w:val="18"/>
          <w:lang w:val="en-US"/>
        </w:rPr>
        <w:t>(BVE) was obtained and subsequently used for further analytical investigations. The efficiency of the extraction procedure and the recovery of bioactive compounds were evaluated using three different sample matrices: (i) fresh fruit samples (BVF), (ii) deseeded freeze-dried fruit fractions (BVFF), and (iii) optimized extracts obtained from BVFF (BVE). For each sample type, the optimal extraction conditions were determined, and their effects on extraction yield as well as the recovery efficiency of target bioactive constituents were systematically assessed.</w:t>
      </w:r>
      <w:r>
        <w:rPr>
          <w:rFonts w:cs="Arial"/>
          <w:sz w:val="18"/>
          <w:szCs w:val="18"/>
          <w:lang w:val="en-US"/>
        </w:rPr>
        <w:t xml:space="preserve"> </w:t>
      </w:r>
      <w:r w:rsidRPr="003B7E28">
        <w:rPr>
          <w:rFonts w:cs="Arial"/>
          <w:sz w:val="18"/>
          <w:szCs w:val="18"/>
          <w:lang w:val="en-US"/>
        </w:rPr>
        <w:t xml:space="preserve">The optimization study enabled the identification of extraction parameters that maximized the yield of bioactive compounds while ensuring the preservation of their functional properties, thereby providing a reliable basis for the further utilization of </w:t>
      </w:r>
      <w:r w:rsidRPr="003B7E28">
        <w:rPr>
          <w:rFonts w:cs="Arial"/>
          <w:i/>
          <w:iCs/>
          <w:sz w:val="18"/>
          <w:szCs w:val="18"/>
          <w:lang w:val="en-US"/>
        </w:rPr>
        <w:t>Berberis vulgaris</w:t>
      </w:r>
      <w:r w:rsidRPr="0002740C">
        <w:rPr>
          <w:rFonts w:cs="Arial"/>
          <w:i/>
          <w:iCs/>
          <w:sz w:val="18"/>
          <w:szCs w:val="18"/>
          <w:lang w:val="en-US"/>
        </w:rPr>
        <w:t xml:space="preserve"> L.</w:t>
      </w:r>
      <w:r w:rsidRPr="003B7E28">
        <w:rPr>
          <w:rFonts w:cs="Arial"/>
          <w:sz w:val="18"/>
          <w:szCs w:val="18"/>
          <w:lang w:val="en-US"/>
        </w:rPr>
        <w:t xml:space="preserve"> fruits as a source of natural bioactive ingredients and food colorants </w:t>
      </w:r>
      <w:r w:rsidRPr="00A36EF1">
        <w:rPr>
          <w:rFonts w:cs="Arial"/>
          <w:sz w:val="18"/>
          <w:szCs w:val="18"/>
          <w:lang w:val="en-US"/>
        </w:rPr>
        <w:t>(Erika N. Vega et al., 2025).</w:t>
      </w:r>
      <w:r>
        <w:rPr>
          <w:rFonts w:cs="Arial"/>
          <w:sz w:val="18"/>
          <w:szCs w:val="18"/>
          <w:lang w:val="en-US"/>
        </w:rPr>
        <w:t xml:space="preserve"> </w:t>
      </w:r>
      <w:r>
        <w:rPr>
          <w:lang w:val="en-US"/>
        </w:rPr>
        <w:t xml:space="preserve"> </w:t>
      </w:r>
      <w:r w:rsidRPr="00B33CF2">
        <w:rPr>
          <w:rFonts w:cs="Arial"/>
          <w:sz w:val="18"/>
          <w:szCs w:val="18"/>
          <w:lang w:val="en-US"/>
        </w:rPr>
        <w:t>Research has shown that barberry fruit extracts possess strong free radical scavenging properties, with ethanol extracts demonstrating the highest antioxidant activity (Sima Khezri et al., 2025).</w:t>
      </w:r>
      <w:r w:rsidRPr="00A36EF1">
        <w:rPr>
          <w:rFonts w:cs="Arial"/>
          <w:sz w:val="18"/>
          <w:szCs w:val="18"/>
          <w:lang w:val="en-US"/>
        </w:rPr>
        <w:t xml:space="preserve"> </w:t>
      </w:r>
      <w:r w:rsidRPr="00B33CF2">
        <w:rPr>
          <w:rFonts w:cs="Arial"/>
          <w:sz w:val="18"/>
          <w:szCs w:val="18"/>
          <w:lang w:val="en-US"/>
        </w:rPr>
        <w:t>Anthocyanins, which possess antioxidant properties, help reduce the risk of developing cardiovascular diseases and other chronic disorders. In addition, they exhibit antimicrobial, anti-hepatitis, anti-inflammatory, and antitumor effects, as well as antiestrogenic activity. Anthocyanins protect the organism against genetic mutations, lower blood glucose levels, improve capillary blood circulation, and prevent platelet aggregation (Porrykov D.O. et al., 2022).</w:t>
      </w:r>
      <w:r>
        <w:rPr>
          <w:rFonts w:cs="Arial"/>
          <w:sz w:val="18"/>
          <w:szCs w:val="18"/>
          <w:lang w:val="en-US"/>
        </w:rPr>
        <w:t xml:space="preserve"> </w:t>
      </w:r>
      <w:r w:rsidRPr="0002740C">
        <w:rPr>
          <w:rFonts w:cs="Arial"/>
          <w:sz w:val="18"/>
          <w:szCs w:val="18"/>
          <w:lang w:val="en-US"/>
        </w:rPr>
        <w:t>Anthocyanins can be extracted using both conventional solid</w:t>
      </w:r>
      <w:r>
        <w:rPr>
          <w:rFonts w:cs="Arial"/>
          <w:sz w:val="18"/>
          <w:szCs w:val="18"/>
          <w:lang w:val="en-US"/>
        </w:rPr>
        <w:t>-</w:t>
      </w:r>
      <w:r w:rsidRPr="0002740C">
        <w:rPr>
          <w:rFonts w:cs="Arial"/>
          <w:sz w:val="18"/>
          <w:szCs w:val="18"/>
          <w:lang w:val="en-US"/>
        </w:rPr>
        <w:t>liquid extraction methods and innovative green extraction technologies Currently, interest in green extraction techniques is steadily increasing due to their numerous advantages, including higher extraction efficiency, shorter processing times, reduced energy consumption, lower solvent requirements, and improved recovery of target compounds. These benefits significantly enhance the practical applicability of green extraction technologies for the isolation of natural bioactive substances and support their development as sustainable alternatives to conventional extraction</w:t>
      </w:r>
      <w:r>
        <w:rPr>
          <w:rFonts w:cs="Arial"/>
          <w:sz w:val="18"/>
          <w:szCs w:val="18"/>
          <w:lang w:val="en-US"/>
        </w:rPr>
        <w:t xml:space="preserve"> </w:t>
      </w:r>
      <w:r w:rsidRPr="0002740C">
        <w:rPr>
          <w:rFonts w:cs="Arial"/>
          <w:sz w:val="18"/>
          <w:szCs w:val="18"/>
          <w:lang w:val="en-US"/>
        </w:rPr>
        <w:t>methods</w:t>
      </w:r>
      <w:r>
        <w:rPr>
          <w:rFonts w:cs="Arial"/>
          <w:sz w:val="18"/>
          <w:szCs w:val="18"/>
          <w:lang w:val="en-US"/>
        </w:rPr>
        <w:t xml:space="preserve"> </w:t>
      </w:r>
      <w:r w:rsidRPr="0002740C">
        <w:rPr>
          <w:rFonts w:cs="Arial"/>
          <w:sz w:val="18"/>
          <w:szCs w:val="18"/>
          <w:lang w:val="en-US"/>
        </w:rPr>
        <w:t>( Darshanjot Kaur et al., 2024).</w:t>
      </w:r>
    </w:p>
    <w:p w14:paraId="704200C6" w14:textId="77777777" w:rsidR="00982BE6" w:rsidRPr="0002740C" w:rsidRDefault="00982BE6" w:rsidP="00982BE6">
      <w:pPr>
        <w:pStyle w:val="aff1"/>
        <w:rPr>
          <w:rFonts w:cs="Arial"/>
          <w:sz w:val="18"/>
          <w:szCs w:val="18"/>
          <w:lang w:val="en-US"/>
        </w:rPr>
      </w:pPr>
    </w:p>
    <w:p w14:paraId="2F24A431" w14:textId="77777777" w:rsidR="00982BE6" w:rsidRDefault="00982BE6" w:rsidP="00982BE6">
      <w:pPr>
        <w:pStyle w:val="aff1"/>
        <w:rPr>
          <w:rFonts w:cs="Arial"/>
          <w:b/>
          <w:bCs/>
          <w:sz w:val="18"/>
          <w:szCs w:val="18"/>
          <w:lang w:val="uz-Latn-UZ"/>
        </w:rPr>
      </w:pPr>
      <w:r w:rsidRPr="00A36EF1">
        <w:rPr>
          <w:rFonts w:cs="Arial"/>
          <w:b/>
          <w:bCs/>
          <w:sz w:val="18"/>
          <w:szCs w:val="18"/>
          <w:lang w:val="uz-Latn-UZ"/>
        </w:rPr>
        <w:t>2. Methods and materials</w:t>
      </w:r>
    </w:p>
    <w:p w14:paraId="2BBBB3CF" w14:textId="77777777" w:rsidR="00982BE6" w:rsidRPr="00A36EF1" w:rsidRDefault="00982BE6" w:rsidP="00982BE6">
      <w:pPr>
        <w:pStyle w:val="aff1"/>
        <w:rPr>
          <w:rFonts w:cs="Arial"/>
          <w:b/>
          <w:bCs/>
          <w:sz w:val="18"/>
          <w:szCs w:val="18"/>
          <w:lang w:val="uz-Latn-UZ"/>
        </w:rPr>
      </w:pPr>
    </w:p>
    <w:p w14:paraId="5AEDD507" w14:textId="77777777" w:rsidR="00982BE6" w:rsidRPr="00B33CF2" w:rsidRDefault="00982BE6" w:rsidP="00982BE6">
      <w:pPr>
        <w:pStyle w:val="aff1"/>
        <w:rPr>
          <w:rFonts w:cs="Arial"/>
          <w:sz w:val="18"/>
          <w:szCs w:val="18"/>
          <w:lang w:val="en-US"/>
        </w:rPr>
      </w:pPr>
      <w:r w:rsidRPr="00B33CF2">
        <w:rPr>
          <w:rFonts w:cs="Arial"/>
          <w:sz w:val="18"/>
          <w:szCs w:val="18"/>
          <w:lang w:val="en-US"/>
        </w:rPr>
        <w:t>For efficient extraction of pigments from barberry (</w:t>
      </w:r>
      <w:r w:rsidRPr="00B33CF2">
        <w:rPr>
          <w:rFonts w:cs="Arial"/>
          <w:i/>
          <w:iCs/>
          <w:sz w:val="18"/>
          <w:szCs w:val="18"/>
          <w:lang w:val="en-US"/>
        </w:rPr>
        <w:t>Berberis vulgaris</w:t>
      </w:r>
      <w:r w:rsidRPr="00B33CF2">
        <w:rPr>
          <w:rFonts w:cs="Arial"/>
          <w:sz w:val="18"/>
          <w:szCs w:val="18"/>
          <w:lang w:val="en-US"/>
        </w:rPr>
        <w:t xml:space="preserve"> L.) fruits, selecting an optimal extraction method is of great importance. Although conventional solvent-based extraction techniques are widely used, modern technologies such as pulsed electric field-assisted extraction, ultrasound-assisted extraction, and high-pressure carbon dioxide extraction offer several advantages. These methods enable reduced solvent consumption, shorter processing time, higher yield, and improved energy efficiency. However, despite the numerous beneficial properties of anthocyanins, their practical application is limited by low stability and poor bioavailability.</w:t>
      </w:r>
      <w:r w:rsidRPr="00A36EF1">
        <w:rPr>
          <w:rFonts w:cs="Arial"/>
          <w:sz w:val="18"/>
          <w:szCs w:val="18"/>
          <w:lang w:val="en-US"/>
        </w:rPr>
        <w:t xml:space="preserve"> This occurs due to the influence of external factors such as </w:t>
      </w:r>
      <w:r w:rsidRPr="00272BDA">
        <w:rPr>
          <w:rFonts w:cs="Arial"/>
          <w:i/>
          <w:iCs/>
          <w:sz w:val="18"/>
          <w:szCs w:val="18"/>
          <w:lang w:val="en-US"/>
        </w:rPr>
        <w:t>pH</w:t>
      </w:r>
      <w:r w:rsidRPr="00A36EF1">
        <w:rPr>
          <w:rFonts w:cs="Arial"/>
          <w:sz w:val="18"/>
          <w:szCs w:val="18"/>
          <w:lang w:val="en-US"/>
        </w:rPr>
        <w:t xml:space="preserve">, temperature, light, oxygen, enzymatic processes, and ascorbic acid. Despite certain limitations, solvent-based extraction methods are still widely used for the isolation of anthocyanins. During solvent selection, important factors such as solubility, selectivity, safety, and economic feasibility are taken into account. Since anthocyanins are polar compounds, polar solvents such as ethanol, methanol, acetone, and water effectively facilitate the extraction process. However, solvents with moderate polarity, such as ethanol, are considered more suitable compared to highly polar deionized water. Research findings have shown that ethanol-based extraction yields higher efficiency in isolating anthocyanins from barberry compared to water. Furthermore, increasing ethanol concentration from 10% to 50% leads to enhanced extraction of anthocyanins. This effect can be explained by the reduction in </w:t>
      </w:r>
      <w:r w:rsidRPr="00A36EF1">
        <w:rPr>
          <w:rFonts w:cs="Arial"/>
          <w:sz w:val="18"/>
          <w:szCs w:val="18"/>
          <w:lang w:val="en-US"/>
        </w:rPr>
        <w:lastRenderedPageBreak/>
        <w:t>polarity differences between anthocyanins and the solvent as ethanol content increases. In addition, higher ethanol concentrations reduce the amount of co-extracted compounds such as pectin and polysaccharides, which are highly soluble in water. These components can partially hinder the solubility of anthocyanins in the solvent and limit their release from plant cell structures. To improve the efficiency of anthocyanin extraction, organic solvents are often acidified by adding acids such as citric, acetic, formic, or hydrochloric acid. It is known that the most stable form of anthocyanins</w:t>
      </w:r>
      <w:r>
        <w:rPr>
          <w:rFonts w:cs="Arial"/>
          <w:sz w:val="18"/>
          <w:szCs w:val="18"/>
          <w:lang w:val="en-US"/>
        </w:rPr>
        <w:t xml:space="preserve"> </w:t>
      </w:r>
      <w:r w:rsidRPr="00A36EF1">
        <w:rPr>
          <w:rFonts w:cs="Arial"/>
          <w:sz w:val="18"/>
          <w:szCs w:val="18"/>
          <w:lang w:val="en-US"/>
        </w:rPr>
        <w:t>the flavylium cation</w:t>
      </w:r>
      <w:r>
        <w:rPr>
          <w:rFonts w:cs="Arial"/>
          <w:sz w:val="18"/>
          <w:szCs w:val="18"/>
          <w:lang w:val="en-US"/>
        </w:rPr>
        <w:t xml:space="preserve"> </w:t>
      </w:r>
      <w:r w:rsidRPr="00A36EF1">
        <w:rPr>
          <w:rFonts w:cs="Arial"/>
          <w:sz w:val="18"/>
          <w:szCs w:val="18"/>
          <w:lang w:val="en-US"/>
        </w:rPr>
        <w:t xml:space="preserve">is better preserved under strongly acidic conditions (approximately </w:t>
      </w:r>
      <w:r w:rsidRPr="00C077F3">
        <w:rPr>
          <w:rFonts w:cs="Arial"/>
          <w:i/>
          <w:iCs/>
          <w:sz w:val="18"/>
          <w:szCs w:val="18"/>
          <w:lang w:val="en-US"/>
        </w:rPr>
        <w:t>pH</w:t>
      </w:r>
      <w:r w:rsidRPr="00A36EF1">
        <w:rPr>
          <w:rFonts w:cs="Arial"/>
          <w:sz w:val="18"/>
          <w:szCs w:val="18"/>
          <w:lang w:val="en-US"/>
        </w:rPr>
        <w:t xml:space="preserve"> ≈ 3). However, strong acids may also lead to the degradation of glycosidic bonds. Therefore, the proper selection of acid type and its concentration directly influences the efficiency of the extraction process. </w:t>
      </w:r>
      <w:r w:rsidRPr="00B33CF2">
        <w:rPr>
          <w:rFonts w:cs="Arial"/>
          <w:sz w:val="18"/>
          <w:szCs w:val="18"/>
          <w:lang w:val="en-US"/>
        </w:rPr>
        <w:t>In addition, achieving a high yield is not limited to solvent selection alone. It is also essential to optimize key parameters such as the solvent-to-material ratio, particle size of the dried fruit (powder), extraction time, and temperature in order to ensure maximum extraction efficiency.</w:t>
      </w:r>
    </w:p>
    <w:p w14:paraId="71125CA9" w14:textId="77777777" w:rsidR="00982BE6" w:rsidRDefault="00982BE6" w:rsidP="00982BE6">
      <w:pPr>
        <w:pStyle w:val="aff1"/>
        <w:rPr>
          <w:rFonts w:cs="Arial"/>
          <w:sz w:val="18"/>
          <w:szCs w:val="18"/>
          <w:lang w:val="en-US"/>
        </w:rPr>
      </w:pPr>
      <w:r w:rsidRPr="00B33CF2">
        <w:rPr>
          <w:rFonts w:cs="Arial"/>
          <w:sz w:val="18"/>
          <w:szCs w:val="18"/>
          <w:lang w:val="en-US"/>
        </w:rPr>
        <w:t>Barberry (</w:t>
      </w:r>
      <w:r w:rsidRPr="00B33CF2">
        <w:rPr>
          <w:rFonts w:cs="Arial"/>
          <w:i/>
          <w:iCs/>
          <w:sz w:val="18"/>
          <w:szCs w:val="18"/>
          <w:lang w:val="en-US"/>
        </w:rPr>
        <w:t>Berberis vulgaris</w:t>
      </w:r>
      <w:r w:rsidRPr="00B33CF2">
        <w:rPr>
          <w:rFonts w:cs="Arial"/>
          <w:sz w:val="18"/>
          <w:szCs w:val="18"/>
          <w:lang w:val="en-US"/>
        </w:rPr>
        <w:t xml:space="preserve"> L.) dried fruits were used for the extraction of coloring substances by means of a solvent-based extraction method. As the solvent, ethanol</w:t>
      </w:r>
      <w:r>
        <w:rPr>
          <w:rFonts w:cs="Arial"/>
          <w:sz w:val="18"/>
          <w:szCs w:val="18"/>
          <w:lang w:val="en-US"/>
        </w:rPr>
        <w:t>-</w:t>
      </w:r>
      <w:r w:rsidRPr="00B33CF2">
        <w:rPr>
          <w:rFonts w:cs="Arial"/>
          <w:sz w:val="18"/>
          <w:szCs w:val="18"/>
          <w:lang w:val="en-US"/>
        </w:rPr>
        <w:t>water mixtures with concentrations of 10%, 20%, 30%, 40%, and 50% were employed. A defined amount of each particle size sample was taken and mixed with the solvent at a ratio of 1:10 (w/v). The extraction process was carried out within a temperature range of 20 °C to 40 °C and over a time interval from 3 to 24 hours.</w:t>
      </w:r>
      <w:r w:rsidRPr="00A36EF1">
        <w:rPr>
          <w:rFonts w:cs="Arial"/>
          <w:sz w:val="18"/>
          <w:szCs w:val="18"/>
          <w:lang w:val="en-US"/>
        </w:rPr>
        <w:t xml:space="preserve"> Filtrate dry matter content was determined using the refractometric method. Refractometry is considered one of the most convenient quantitative analytical techniques, based on measuring the refractive index of substances. This optical method enables rapid and highly accurate analysis of small amounts of substance (0.001 </w:t>
      </w:r>
      <w:r w:rsidRPr="00C077F3">
        <w:rPr>
          <w:rFonts w:cs="Arial"/>
          <w:i/>
          <w:iCs/>
          <w:sz w:val="18"/>
          <w:szCs w:val="18"/>
          <w:lang w:val="en-US"/>
        </w:rPr>
        <w:t>g</w:t>
      </w:r>
      <w:r w:rsidRPr="00A36EF1">
        <w:rPr>
          <w:rFonts w:cs="Arial"/>
          <w:sz w:val="18"/>
          <w:szCs w:val="18"/>
          <w:lang w:val="en-US"/>
        </w:rPr>
        <w:t xml:space="preserve">) with precision up to 0.001%. </w:t>
      </w:r>
      <w:r w:rsidRPr="00B33CF2">
        <w:rPr>
          <w:rFonts w:cs="Arial"/>
          <w:sz w:val="18"/>
          <w:szCs w:val="18"/>
          <w:lang w:val="en-US"/>
        </w:rPr>
        <w:t xml:space="preserve">In addition, the </w:t>
      </w:r>
      <w:r w:rsidRPr="00C077F3">
        <w:rPr>
          <w:rFonts w:cs="Arial"/>
          <w:i/>
          <w:iCs/>
          <w:sz w:val="18"/>
          <w:szCs w:val="18"/>
          <w:lang w:val="en-US"/>
        </w:rPr>
        <w:t>pH</w:t>
      </w:r>
      <w:r w:rsidRPr="00B33CF2">
        <w:rPr>
          <w:rFonts w:cs="Arial"/>
          <w:sz w:val="18"/>
          <w:szCs w:val="18"/>
          <w:lang w:val="en-US"/>
        </w:rPr>
        <w:t xml:space="preserve"> value was measured using a </w:t>
      </w:r>
      <w:r w:rsidRPr="00C077F3">
        <w:rPr>
          <w:rFonts w:cs="Arial"/>
          <w:i/>
          <w:iCs/>
          <w:sz w:val="18"/>
          <w:szCs w:val="18"/>
          <w:lang w:val="en-US"/>
        </w:rPr>
        <w:t>pH</w:t>
      </w:r>
      <w:r w:rsidRPr="00B33CF2">
        <w:rPr>
          <w:rFonts w:cs="Arial"/>
          <w:sz w:val="18"/>
          <w:szCs w:val="18"/>
          <w:lang w:val="en-US"/>
        </w:rPr>
        <w:t xml:space="preserve"> meter (millivoltmeter-2 device). The amount of coloring compounds in the extract was analyzed using a photoelectrocolorimeter</w:t>
      </w:r>
      <w:r>
        <w:rPr>
          <w:rFonts w:cs="Arial"/>
          <w:sz w:val="18"/>
          <w:szCs w:val="18"/>
          <w:lang w:val="en-US"/>
        </w:rPr>
        <w:t xml:space="preserve"> (PEC)</w:t>
      </w:r>
      <w:r w:rsidRPr="00B33CF2">
        <w:rPr>
          <w:rFonts w:cs="Arial"/>
          <w:sz w:val="18"/>
          <w:szCs w:val="18"/>
          <w:lang w:val="en-US"/>
        </w:rPr>
        <w:t>.</w:t>
      </w:r>
    </w:p>
    <w:p w14:paraId="6879A78B" w14:textId="77777777" w:rsidR="00982BE6" w:rsidRDefault="00982BE6" w:rsidP="00982BE6">
      <w:pPr>
        <w:pStyle w:val="aff1"/>
        <w:rPr>
          <w:rFonts w:cs="Arial"/>
          <w:sz w:val="18"/>
          <w:szCs w:val="18"/>
          <w:lang w:val="en-US"/>
        </w:rPr>
      </w:pPr>
    </w:p>
    <w:p w14:paraId="1E1D6BEB" w14:textId="77777777" w:rsidR="00982BE6" w:rsidRDefault="00982BE6" w:rsidP="00982BE6">
      <w:pPr>
        <w:pStyle w:val="aff1"/>
        <w:rPr>
          <w:rFonts w:cs="Arial"/>
          <w:sz w:val="18"/>
          <w:szCs w:val="18"/>
          <w:lang w:val="en-US"/>
        </w:rPr>
      </w:pPr>
      <w:r>
        <w:rPr>
          <w:rFonts w:cs="Arial"/>
          <w:b/>
          <w:bCs/>
          <w:sz w:val="18"/>
          <w:szCs w:val="18"/>
          <w:lang w:val="en-US"/>
        </w:rPr>
        <w:t xml:space="preserve">2.1 </w:t>
      </w:r>
      <w:r w:rsidRPr="00B33CF2">
        <w:rPr>
          <w:rFonts w:cs="Arial"/>
          <w:b/>
          <w:bCs/>
          <w:sz w:val="18"/>
          <w:szCs w:val="18"/>
          <w:lang w:val="en-US"/>
        </w:rPr>
        <w:t>Determination of solvent concentration</w:t>
      </w:r>
    </w:p>
    <w:p w14:paraId="69C1E9D7" w14:textId="77777777" w:rsidR="00982BE6" w:rsidRDefault="00982BE6" w:rsidP="00982BE6">
      <w:pPr>
        <w:pStyle w:val="aff1"/>
        <w:rPr>
          <w:rFonts w:cs="Arial"/>
          <w:sz w:val="18"/>
          <w:szCs w:val="18"/>
          <w:lang w:val="en-US"/>
        </w:rPr>
      </w:pPr>
    </w:p>
    <w:p w14:paraId="5F078FE2" w14:textId="4027C3E4" w:rsidR="00982BE6" w:rsidRDefault="00982BE6" w:rsidP="00982BE6">
      <w:pPr>
        <w:pStyle w:val="aff1"/>
        <w:rPr>
          <w:rFonts w:cs="Arial"/>
          <w:sz w:val="18"/>
          <w:szCs w:val="18"/>
          <w:lang w:val="en-US"/>
        </w:rPr>
      </w:pPr>
      <w:r w:rsidRPr="00B33CF2">
        <w:rPr>
          <w:rFonts w:cs="Arial"/>
          <w:sz w:val="18"/>
          <w:szCs w:val="18"/>
          <w:lang w:val="en-US"/>
        </w:rPr>
        <w:t>In the experimental work, a known amount of pre-dried barberry fruits (</w:t>
      </w:r>
      <w:r w:rsidRPr="00B33CF2">
        <w:rPr>
          <w:rFonts w:cs="Arial"/>
          <w:i/>
          <w:iCs/>
          <w:sz w:val="18"/>
          <w:szCs w:val="18"/>
          <w:lang w:val="en-US"/>
        </w:rPr>
        <w:t>Berberis vulgaris</w:t>
      </w:r>
      <w:r w:rsidRPr="00B33CF2">
        <w:rPr>
          <w:rFonts w:cs="Arial"/>
          <w:sz w:val="18"/>
          <w:szCs w:val="18"/>
          <w:lang w:val="en-US"/>
        </w:rPr>
        <w:t xml:space="preserve"> L.) with three different particle sizes was taken and placed into 100 </w:t>
      </w:r>
      <w:r w:rsidRPr="00C077F3">
        <w:rPr>
          <w:rFonts w:cs="Arial"/>
          <w:i/>
          <w:iCs/>
          <w:sz w:val="18"/>
          <w:szCs w:val="18"/>
          <w:lang w:val="en-US"/>
        </w:rPr>
        <w:t>ml</w:t>
      </w:r>
      <w:r w:rsidRPr="00B33CF2">
        <w:rPr>
          <w:rFonts w:cs="Arial"/>
          <w:sz w:val="18"/>
          <w:szCs w:val="18"/>
          <w:lang w:val="en-US"/>
        </w:rPr>
        <w:t xml:space="preserve"> flasks. Each flask was filled with an appropriate amount of solvent at the required concentration, forming the extraction system.</w:t>
      </w:r>
      <w:r w:rsidRPr="00A36EF1">
        <w:rPr>
          <w:rFonts w:cs="Arial"/>
          <w:sz w:val="18"/>
          <w:szCs w:val="18"/>
          <w:lang w:val="en-US"/>
        </w:rPr>
        <w:t xml:space="preserve"> </w:t>
      </w:r>
      <w:r w:rsidRPr="00B33CF2">
        <w:rPr>
          <w:rFonts w:cs="Arial"/>
          <w:sz w:val="18"/>
          <w:szCs w:val="18"/>
          <w:lang w:val="en-US"/>
        </w:rPr>
        <w:t>The extraction process was carried out at temperatures up to 40 °C. The selected temperature range was intended to prevent the degradation of bioactive compounds while ensuring sufficient release of coloring substances. During the process, the solutions were periodically stirred. This enhanced mass transfer, thereby accelerating the migration of pigments from the plant cell structures into the solvent.</w:t>
      </w:r>
    </w:p>
    <w:p w14:paraId="365ADC91" w14:textId="77777777" w:rsidR="00982BE6" w:rsidRDefault="00982BE6" w:rsidP="00982BE6">
      <w:pPr>
        <w:pStyle w:val="aff1"/>
        <w:rPr>
          <w:rFonts w:cs="Arial"/>
          <w:sz w:val="18"/>
          <w:szCs w:val="18"/>
          <w:lang w:val="en-US"/>
        </w:rPr>
      </w:pPr>
    </w:p>
    <w:p w14:paraId="56CC7B6B" w14:textId="77777777" w:rsidR="00982BE6" w:rsidRDefault="00982BE6" w:rsidP="00982BE6">
      <w:pPr>
        <w:pStyle w:val="aff1"/>
        <w:rPr>
          <w:rFonts w:cs="Arial"/>
          <w:b/>
          <w:bCs/>
          <w:sz w:val="18"/>
          <w:szCs w:val="18"/>
          <w:lang w:val="en-US"/>
        </w:rPr>
      </w:pPr>
      <w:r>
        <w:rPr>
          <w:rFonts w:cs="Arial"/>
          <w:b/>
          <w:bCs/>
          <w:sz w:val="18"/>
          <w:szCs w:val="18"/>
          <w:lang w:val="en-US"/>
        </w:rPr>
        <w:t xml:space="preserve">2.2 </w:t>
      </w:r>
      <w:r w:rsidRPr="00B33CF2">
        <w:rPr>
          <w:rFonts w:cs="Arial"/>
          <w:b/>
          <w:bCs/>
          <w:sz w:val="18"/>
          <w:szCs w:val="18"/>
          <w:lang w:val="en-US"/>
        </w:rPr>
        <w:t>Study of the effect of temperature on extraction</w:t>
      </w:r>
    </w:p>
    <w:p w14:paraId="765CEAE8" w14:textId="77777777" w:rsidR="009F7485" w:rsidRDefault="009F7485" w:rsidP="00982BE6">
      <w:pPr>
        <w:pStyle w:val="aff1"/>
        <w:rPr>
          <w:rFonts w:cs="Arial"/>
          <w:sz w:val="18"/>
          <w:szCs w:val="18"/>
          <w:lang w:val="en-US"/>
        </w:rPr>
      </w:pPr>
    </w:p>
    <w:p w14:paraId="230EC7F4" w14:textId="644CEE40" w:rsidR="00982BE6" w:rsidRDefault="00982BE6" w:rsidP="00982BE6">
      <w:pPr>
        <w:pStyle w:val="aff1"/>
        <w:rPr>
          <w:rFonts w:cs="Arial"/>
          <w:sz w:val="18"/>
          <w:szCs w:val="18"/>
          <w:lang w:val="en-US"/>
        </w:rPr>
      </w:pPr>
      <w:r w:rsidRPr="00B33CF2">
        <w:rPr>
          <w:rFonts w:cs="Arial"/>
          <w:sz w:val="18"/>
          <w:szCs w:val="18"/>
          <w:lang w:val="en-US"/>
        </w:rPr>
        <w:t>In this study, based on the previously determined optimal solvent concentration, the influence of temperature on the extraction process was comprehensively investigated. For the experiment, dried barberry (</w:t>
      </w:r>
      <w:r w:rsidRPr="00B33CF2">
        <w:rPr>
          <w:rFonts w:cs="Arial"/>
          <w:i/>
          <w:iCs/>
          <w:sz w:val="18"/>
          <w:szCs w:val="18"/>
          <w:lang w:val="en-US"/>
        </w:rPr>
        <w:t>Berberis vulgaris</w:t>
      </w:r>
      <w:r w:rsidRPr="00B33CF2">
        <w:rPr>
          <w:rFonts w:cs="Arial"/>
          <w:sz w:val="18"/>
          <w:szCs w:val="18"/>
          <w:lang w:val="en-US"/>
        </w:rPr>
        <w:t xml:space="preserve"> L.) fruits were divided into three different particle size fractions: 8 </w:t>
      </w:r>
      <w:r w:rsidRPr="00C077F3">
        <w:rPr>
          <w:rFonts w:cs="Arial"/>
          <w:i/>
          <w:iCs/>
          <w:sz w:val="18"/>
          <w:szCs w:val="18"/>
          <w:lang w:val="en-US"/>
        </w:rPr>
        <w:t>mm</w:t>
      </w:r>
      <w:r w:rsidRPr="00B33CF2">
        <w:rPr>
          <w:rFonts w:cs="Arial"/>
          <w:sz w:val="18"/>
          <w:szCs w:val="18"/>
          <w:lang w:val="en-US"/>
        </w:rPr>
        <w:t xml:space="preserve">, 3 </w:t>
      </w:r>
      <w:r w:rsidRPr="00C077F3">
        <w:rPr>
          <w:rFonts w:cs="Arial"/>
          <w:i/>
          <w:iCs/>
          <w:sz w:val="18"/>
          <w:szCs w:val="18"/>
          <w:lang w:val="en-US"/>
        </w:rPr>
        <w:t>mm</w:t>
      </w:r>
      <w:r w:rsidRPr="00B33CF2">
        <w:rPr>
          <w:rFonts w:cs="Arial"/>
          <w:sz w:val="18"/>
          <w:szCs w:val="18"/>
          <w:lang w:val="en-US"/>
        </w:rPr>
        <w:t xml:space="preserve">, and 0.3 </w:t>
      </w:r>
      <w:r w:rsidRPr="00C077F3">
        <w:rPr>
          <w:rFonts w:cs="Arial"/>
          <w:i/>
          <w:iCs/>
          <w:sz w:val="18"/>
          <w:szCs w:val="18"/>
          <w:lang w:val="en-US"/>
        </w:rPr>
        <w:t>mm</w:t>
      </w:r>
      <w:r w:rsidRPr="00B33CF2">
        <w:rPr>
          <w:rFonts w:cs="Arial"/>
          <w:sz w:val="18"/>
          <w:szCs w:val="18"/>
          <w:lang w:val="en-US"/>
        </w:rPr>
        <w:t>.</w:t>
      </w:r>
      <w:r w:rsidRPr="00A36EF1">
        <w:rPr>
          <w:rFonts w:cs="Arial"/>
          <w:sz w:val="18"/>
          <w:szCs w:val="18"/>
          <w:lang w:val="en-US"/>
        </w:rPr>
        <w:t xml:space="preserve"> </w:t>
      </w:r>
      <w:r w:rsidRPr="00B33CF2">
        <w:rPr>
          <w:rFonts w:cs="Arial"/>
          <w:sz w:val="18"/>
          <w:szCs w:val="18"/>
          <w:lang w:val="en-US"/>
        </w:rPr>
        <w:t>The extraction process was carried out at 20 °C, 30 °C, and 40 °C using a water bath, which allowed stable temperature control and ensured identical thermal conditions for all samples. The experiment was performed under the same conditions for all particle size fractions, enabling the evaluation of not only the effect of temperature but also the influence of particle size on extraction efficiency.</w:t>
      </w:r>
      <w:r w:rsidRPr="00A36EF1">
        <w:rPr>
          <w:rFonts w:cs="Arial"/>
          <w:sz w:val="18"/>
          <w:szCs w:val="18"/>
          <w:lang w:val="en-US"/>
        </w:rPr>
        <w:t xml:space="preserve"> It is known that raw materials with smaller particle sizes have a larger surface area, which increases the contact area with the solvent and consequently enhances the rate of substance extraction. However, extremely fine fractions may cause turbidity in the solution and complicate subsequent filtration processes.</w:t>
      </w:r>
    </w:p>
    <w:p w14:paraId="09199078" w14:textId="77777777" w:rsidR="00982BE6" w:rsidRDefault="00982BE6" w:rsidP="00982BE6">
      <w:pPr>
        <w:pStyle w:val="aff1"/>
        <w:rPr>
          <w:rFonts w:cs="Arial"/>
          <w:sz w:val="18"/>
          <w:szCs w:val="18"/>
          <w:lang w:val="en-US"/>
        </w:rPr>
      </w:pPr>
    </w:p>
    <w:p w14:paraId="34C8013E" w14:textId="77777777" w:rsidR="00982BE6" w:rsidRDefault="00982BE6" w:rsidP="00982BE6">
      <w:pPr>
        <w:pStyle w:val="aff1"/>
        <w:rPr>
          <w:rFonts w:cs="Arial"/>
          <w:sz w:val="18"/>
          <w:szCs w:val="18"/>
          <w:lang w:val="en-US"/>
        </w:rPr>
      </w:pPr>
      <w:r>
        <w:rPr>
          <w:rFonts w:cs="Arial"/>
          <w:b/>
          <w:bCs/>
          <w:sz w:val="18"/>
          <w:szCs w:val="18"/>
          <w:lang w:val="en-US"/>
        </w:rPr>
        <w:t xml:space="preserve">2.3 </w:t>
      </w:r>
      <w:r w:rsidRPr="00A36EF1">
        <w:rPr>
          <w:rFonts w:cs="Arial"/>
          <w:b/>
          <w:bCs/>
          <w:sz w:val="18"/>
          <w:szCs w:val="18"/>
          <w:lang w:val="en-US"/>
        </w:rPr>
        <w:t>Study of extraction time duration</w:t>
      </w:r>
    </w:p>
    <w:p w14:paraId="77E48375" w14:textId="77777777" w:rsidR="00982BE6" w:rsidRDefault="00982BE6" w:rsidP="00982BE6">
      <w:pPr>
        <w:pStyle w:val="aff1"/>
        <w:rPr>
          <w:rFonts w:cs="Arial"/>
          <w:sz w:val="18"/>
          <w:szCs w:val="18"/>
          <w:lang w:val="en-US"/>
        </w:rPr>
      </w:pPr>
    </w:p>
    <w:p w14:paraId="14941AD7" w14:textId="77777777" w:rsidR="00982BE6" w:rsidRDefault="00982BE6" w:rsidP="00982BE6">
      <w:pPr>
        <w:pStyle w:val="aff1"/>
        <w:rPr>
          <w:rFonts w:cs="Arial"/>
          <w:sz w:val="18"/>
          <w:szCs w:val="18"/>
          <w:lang w:val="en-US"/>
        </w:rPr>
      </w:pPr>
      <w:r w:rsidRPr="00A36EF1">
        <w:rPr>
          <w:rFonts w:cs="Arial"/>
          <w:sz w:val="18"/>
          <w:szCs w:val="18"/>
          <w:lang w:val="en-US"/>
        </w:rPr>
        <w:t>In this research, in order to evaluate the effect of extraction duration, the process was carried out at time intervals of every 3 hours (3, 6, 12, 18, and 24 hours). All experiments were performed under previously determined optimal conditions, namely the optimal solvent concentration, temperature regime, and the optimal particle size of the raw material. This approach allowed for a more accurate assessment of the influence of time on extraction efficiency. For the experiment, a measured amount of prepared barberry (</w:t>
      </w:r>
      <w:r w:rsidRPr="00A36EF1">
        <w:rPr>
          <w:rFonts w:cs="Arial"/>
          <w:i/>
          <w:iCs/>
          <w:sz w:val="18"/>
          <w:szCs w:val="18"/>
          <w:lang w:val="en-US"/>
        </w:rPr>
        <w:t>Berberis vulgaris</w:t>
      </w:r>
      <w:r w:rsidRPr="00A36EF1">
        <w:rPr>
          <w:rFonts w:cs="Arial"/>
          <w:sz w:val="18"/>
          <w:szCs w:val="18"/>
          <w:lang w:val="en-US"/>
        </w:rPr>
        <w:t xml:space="preserve"> L.) fruit samples was mixed with a defined volume of solvent, and the systems were kept in a closed state throughout the extraction process. This enhanced the mass transfer process between the solvent and the raw material, thereby accelerating the migration of pigments into the solution. At the end of the specified time intervals, the obtained extracts were prepared for further analysis. The solutions were subjected to a two-stage filtration process. In the initial stage, the extracts were purified from coarse particles using a rough filter. Subsequently, fine filtration was carried out under vacuum through filter paper to obtain a clearer and more refined solution. In this process, a 500 mL Büchner flask and a 120 mL Büchner funnel complying with GOST 25336-82 standards were used. </w:t>
      </w:r>
      <w:r w:rsidRPr="00A36EF1">
        <w:rPr>
          <w:rFonts w:cs="Arial"/>
          <w:sz w:val="18"/>
          <w:szCs w:val="18"/>
          <w:lang w:val="en-US"/>
        </w:rPr>
        <w:lastRenderedPageBreak/>
        <w:t>The vacuum filtration method accelerated the filtration process and ensured a high level of clarity in the obtained extracts</w:t>
      </w:r>
      <w:r>
        <w:rPr>
          <w:rFonts w:cs="Arial"/>
          <w:sz w:val="18"/>
          <w:szCs w:val="18"/>
          <w:lang w:val="en-US"/>
        </w:rPr>
        <w:t>.</w:t>
      </w:r>
    </w:p>
    <w:p w14:paraId="10D65CFC" w14:textId="77777777" w:rsidR="00982BE6" w:rsidRPr="00A36EF1" w:rsidRDefault="00982BE6" w:rsidP="00982BE6">
      <w:pPr>
        <w:pStyle w:val="aff1"/>
        <w:rPr>
          <w:rFonts w:cs="Arial"/>
          <w:sz w:val="18"/>
          <w:szCs w:val="18"/>
          <w:lang w:val="en-US"/>
        </w:rPr>
      </w:pPr>
    </w:p>
    <w:p w14:paraId="0AB9EFD7" w14:textId="77777777" w:rsidR="00982BE6" w:rsidRDefault="00982BE6" w:rsidP="00982BE6">
      <w:pPr>
        <w:pStyle w:val="aff1"/>
        <w:rPr>
          <w:rFonts w:cs="Arial"/>
          <w:b/>
          <w:bCs/>
          <w:sz w:val="18"/>
          <w:szCs w:val="18"/>
          <w:lang w:val="en-US"/>
        </w:rPr>
      </w:pPr>
      <w:r w:rsidRPr="00A36EF1">
        <w:rPr>
          <w:rFonts w:cs="Arial"/>
          <w:b/>
          <w:bCs/>
          <w:sz w:val="18"/>
          <w:szCs w:val="18"/>
          <w:lang w:val="en-US"/>
        </w:rPr>
        <w:t>3. Results and Discussion</w:t>
      </w:r>
    </w:p>
    <w:p w14:paraId="1A32B8BD" w14:textId="77777777" w:rsidR="00982BE6" w:rsidRPr="00A36EF1" w:rsidRDefault="00982BE6" w:rsidP="00982BE6">
      <w:pPr>
        <w:pStyle w:val="aff1"/>
        <w:rPr>
          <w:rFonts w:cs="Arial"/>
          <w:b/>
          <w:bCs/>
          <w:sz w:val="18"/>
          <w:szCs w:val="18"/>
          <w:lang w:val="en-US"/>
        </w:rPr>
      </w:pPr>
    </w:p>
    <w:p w14:paraId="26E5F5E4" w14:textId="77777777" w:rsidR="00982BE6" w:rsidRPr="00A36EF1" w:rsidRDefault="00982BE6" w:rsidP="00982BE6">
      <w:pPr>
        <w:pStyle w:val="aff1"/>
        <w:rPr>
          <w:rFonts w:cs="Arial"/>
          <w:sz w:val="18"/>
          <w:szCs w:val="18"/>
          <w:lang w:val="en-US"/>
        </w:rPr>
      </w:pPr>
      <w:r w:rsidRPr="00A36EF1">
        <w:rPr>
          <w:rFonts w:cs="Arial"/>
          <w:sz w:val="18"/>
          <w:szCs w:val="18"/>
          <w:lang w:val="en-US"/>
        </w:rPr>
        <w:t>When barberry (</w:t>
      </w:r>
      <w:r w:rsidRPr="00A36EF1">
        <w:rPr>
          <w:rFonts w:cs="Arial"/>
          <w:i/>
          <w:iCs/>
          <w:sz w:val="18"/>
          <w:szCs w:val="18"/>
          <w:lang w:val="en-US"/>
        </w:rPr>
        <w:t>Berberis vulgaris</w:t>
      </w:r>
      <w:r w:rsidRPr="00A36EF1">
        <w:rPr>
          <w:rFonts w:cs="Arial"/>
          <w:sz w:val="18"/>
          <w:szCs w:val="18"/>
          <w:lang w:val="en-US"/>
        </w:rPr>
        <w:t xml:space="preserve"> L.) fruits with a particle size of 8 </w:t>
      </w:r>
      <w:r w:rsidRPr="00C077F3">
        <w:rPr>
          <w:rFonts w:cs="Arial"/>
          <w:i/>
          <w:iCs/>
          <w:sz w:val="18"/>
          <w:szCs w:val="18"/>
          <w:lang w:val="en-US"/>
        </w:rPr>
        <w:t>mm</w:t>
      </w:r>
      <w:r w:rsidRPr="00A36EF1">
        <w:rPr>
          <w:rFonts w:cs="Arial"/>
          <w:sz w:val="18"/>
          <w:szCs w:val="18"/>
          <w:lang w:val="en-US"/>
        </w:rPr>
        <w:t xml:space="preserve"> were subjected to extraction using different (10, 20, 30, 40, and 50%) aqueous ethanol solutions at 20</w:t>
      </w:r>
      <w:r>
        <w:rPr>
          <w:rFonts w:cs="Arial"/>
          <w:sz w:val="18"/>
          <w:szCs w:val="18"/>
          <w:lang w:val="en-US"/>
        </w:rPr>
        <w:t>-</w:t>
      </w:r>
      <w:r w:rsidRPr="00A36EF1">
        <w:rPr>
          <w:rFonts w:cs="Arial"/>
          <w:sz w:val="18"/>
          <w:szCs w:val="18"/>
          <w:lang w:val="en-US"/>
        </w:rPr>
        <w:t xml:space="preserve">40 °C, only a very low amount of pigment was released. In the case of 0.3 </w:t>
      </w:r>
      <w:r w:rsidRPr="00C077F3">
        <w:rPr>
          <w:rFonts w:cs="Arial"/>
          <w:i/>
          <w:iCs/>
          <w:sz w:val="18"/>
          <w:szCs w:val="18"/>
          <w:lang w:val="en-US"/>
        </w:rPr>
        <w:t>mm</w:t>
      </w:r>
      <w:r w:rsidRPr="00A36EF1">
        <w:rPr>
          <w:rFonts w:cs="Arial"/>
          <w:sz w:val="18"/>
          <w:szCs w:val="18"/>
          <w:lang w:val="en-US"/>
        </w:rPr>
        <w:t xml:space="preserve"> particle size, color extraction began in 30% and 50% ethanol solutions at 20–30 °C; however, the obtained extracts were turbid and contained a low pigment concentration. Although a relatively higher amount of color was extracted, the clarity of the solution decreased. The best results were obtained with 3 </w:t>
      </w:r>
      <w:r w:rsidRPr="00C077F3">
        <w:rPr>
          <w:rFonts w:cs="Arial"/>
          <w:i/>
          <w:iCs/>
          <w:sz w:val="18"/>
          <w:szCs w:val="18"/>
          <w:lang w:val="en-US"/>
        </w:rPr>
        <w:t>mm</w:t>
      </w:r>
      <w:r>
        <w:rPr>
          <w:rFonts w:cs="Arial"/>
          <w:sz w:val="18"/>
          <w:szCs w:val="18"/>
          <w:lang w:val="en-US"/>
        </w:rPr>
        <w:t xml:space="preserve"> </w:t>
      </w:r>
      <w:r w:rsidRPr="00A36EF1">
        <w:rPr>
          <w:rFonts w:cs="Arial"/>
          <w:sz w:val="18"/>
          <w:szCs w:val="18"/>
          <w:lang w:val="en-US"/>
        </w:rPr>
        <w:t>sized raw material. Under conditions of 50% aqueous ethanol, 30 °C temperature, and 6 hours of extraction, maximum pigment release was achieved while maintaining solution clarity. The process was carried out at a solid-to-solvent ratio of 1:10, and citric acid was used as a stabilizer at a 1:10 ratio to improve pigment stability.</w:t>
      </w:r>
    </w:p>
    <w:p w14:paraId="5F16ED64" w14:textId="77777777" w:rsidR="00982BE6" w:rsidRPr="00A36EF1" w:rsidRDefault="00982BE6" w:rsidP="00982BE6">
      <w:pPr>
        <w:spacing w:before="100" w:beforeAutospacing="1" w:line="240" w:lineRule="auto"/>
        <w:rPr>
          <w:rFonts w:cs="Arial"/>
          <w:szCs w:val="18"/>
          <w:lang w:val="en-US" w:eastAsia="ru-RU"/>
        </w:rPr>
      </w:pPr>
      <w:r w:rsidRPr="00A36EF1">
        <w:rPr>
          <w:rFonts w:cs="Arial"/>
          <w:noProof/>
          <w:szCs w:val="18"/>
        </w:rPr>
        <w:drawing>
          <wp:inline distT="0" distB="0" distL="0" distR="0" wp14:anchorId="399209E3" wp14:editId="162E0E70">
            <wp:extent cx="5574665" cy="1927860"/>
            <wp:effectExtent l="0" t="0" r="6985" b="15240"/>
            <wp:docPr id="2021094377"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0D9DECB3" w14:textId="77777777" w:rsidR="00982BE6" w:rsidRPr="00A36EF1" w:rsidRDefault="00982BE6" w:rsidP="00982BE6">
      <w:pPr>
        <w:spacing w:before="100" w:beforeAutospacing="1" w:line="240" w:lineRule="auto"/>
        <w:rPr>
          <w:rFonts w:cs="Arial"/>
          <w:b/>
          <w:bCs/>
          <w:szCs w:val="18"/>
          <w:lang w:val="en-US" w:eastAsia="ru-RU"/>
        </w:rPr>
      </w:pPr>
      <w:r w:rsidRPr="00A36EF1">
        <w:rPr>
          <w:rFonts w:cs="Arial"/>
          <w:b/>
          <w:bCs/>
          <w:szCs w:val="18"/>
          <w:lang w:val="en-US" w:eastAsia="ru-RU"/>
        </w:rPr>
        <w:t xml:space="preserve">Figure 1. Effect of ethanol concentration and temperature on color extraction from 0.3 </w:t>
      </w:r>
      <w:r w:rsidRPr="00C077F3">
        <w:rPr>
          <w:rFonts w:cs="Arial"/>
          <w:b/>
          <w:bCs/>
          <w:i/>
          <w:iCs/>
          <w:szCs w:val="18"/>
          <w:lang w:val="en-US" w:eastAsia="ru-RU"/>
        </w:rPr>
        <w:t>mm</w:t>
      </w:r>
      <w:r w:rsidRPr="00A36EF1">
        <w:rPr>
          <w:rFonts w:cs="Arial"/>
          <w:b/>
          <w:bCs/>
          <w:szCs w:val="18"/>
          <w:lang w:val="en-US" w:eastAsia="ru-RU"/>
        </w:rPr>
        <w:t xml:space="preserve"> barberry (</w:t>
      </w:r>
      <w:r w:rsidRPr="00A36EF1">
        <w:rPr>
          <w:rFonts w:cs="Arial"/>
          <w:b/>
          <w:bCs/>
          <w:i/>
          <w:iCs/>
          <w:szCs w:val="18"/>
          <w:lang w:val="en-US" w:eastAsia="ru-RU"/>
        </w:rPr>
        <w:t>Berberis vulgaris</w:t>
      </w:r>
      <w:r w:rsidRPr="00A36EF1">
        <w:rPr>
          <w:rFonts w:cs="Arial"/>
          <w:b/>
          <w:bCs/>
          <w:szCs w:val="18"/>
          <w:lang w:val="en-US" w:eastAsia="ru-RU"/>
        </w:rPr>
        <w:t xml:space="preserve"> L.) fruits.</w:t>
      </w:r>
    </w:p>
    <w:p w14:paraId="3092116F" w14:textId="524B823D" w:rsidR="009F7485" w:rsidRDefault="00982BE6" w:rsidP="00982BE6">
      <w:pPr>
        <w:spacing w:before="100" w:beforeAutospacing="1" w:line="240" w:lineRule="auto"/>
        <w:rPr>
          <w:rFonts w:cs="Arial"/>
          <w:szCs w:val="18"/>
          <w:lang w:val="en-US" w:eastAsia="ru-RU"/>
        </w:rPr>
      </w:pPr>
      <w:r w:rsidRPr="00A36EF1">
        <w:rPr>
          <w:rFonts w:cs="Arial"/>
          <w:szCs w:val="18"/>
          <w:lang w:val="en-US" w:eastAsia="ru-RU"/>
        </w:rPr>
        <w:t xml:space="preserve">The obtained results indicate that extraction efficiency is significantly influenced by both ethanol concentration and process temperature. As the ethanol concentration increased from 10% to 50%, an increase in the amount of extracted coloring compounds was observed across all temperature regimes. In particular, within the 30–50% concentration range, extraction efficiency increased sharply, indicating that this interval represents an optimal solvent environment. At low concentration (10%), pigment extraction was very limited, which can be explained by the insufficient extracting capacity of the solvent system. The temperature factor also had a significant influence on the process. When the temperature increased from 20 °C to 30 °C, an increase in pigment yield was observed, which can be associated with enhanced diffusion rates and intensified disruption of cellular structures. The highest extraction efficiency was recorded at 30 °C. However, further increasing the temperature up to 40 °C led to a decrease in extraction efficiency. The amount of coloring compounds in the obtained extracts was determined using a photoelectrocolorimeter (PEC) at a wavelength of 540 </w:t>
      </w:r>
      <w:r w:rsidRPr="00C077F3">
        <w:rPr>
          <w:rFonts w:cs="Arial"/>
          <w:i/>
          <w:iCs/>
          <w:szCs w:val="18"/>
          <w:lang w:val="en-US" w:eastAsia="ru-RU"/>
        </w:rPr>
        <w:t>nm</w:t>
      </w:r>
      <w:r w:rsidRPr="00A36EF1">
        <w:rPr>
          <w:rFonts w:cs="Arial"/>
          <w:szCs w:val="18"/>
          <w:lang w:val="en-US" w:eastAsia="ru-RU"/>
        </w:rPr>
        <w:t>.</w:t>
      </w:r>
    </w:p>
    <w:p w14:paraId="737ED85A" w14:textId="52EBBDA1" w:rsidR="003B5C03" w:rsidRPr="00A36EF1" w:rsidRDefault="003B5C03" w:rsidP="00982BE6">
      <w:pPr>
        <w:spacing w:before="100" w:beforeAutospacing="1" w:line="240" w:lineRule="auto"/>
        <w:rPr>
          <w:rFonts w:cs="Arial"/>
          <w:szCs w:val="18"/>
          <w:lang w:val="en-US" w:eastAsia="ru-RU"/>
        </w:rPr>
      </w:pPr>
      <w:r w:rsidRPr="00A36EF1">
        <w:rPr>
          <w:rFonts w:cs="Arial"/>
          <w:noProof/>
          <w:szCs w:val="18"/>
        </w:rPr>
        <w:drawing>
          <wp:inline distT="0" distB="0" distL="0" distR="0" wp14:anchorId="38D6AC78" wp14:editId="1C249005">
            <wp:extent cx="5574665" cy="1539240"/>
            <wp:effectExtent l="0" t="0" r="6985" b="3810"/>
            <wp:docPr id="1986189515"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31696E3F" w14:textId="7FEA6BE4" w:rsidR="00982BE6" w:rsidRPr="00A36EF1" w:rsidRDefault="00982BE6" w:rsidP="00982BE6">
      <w:pPr>
        <w:pStyle w:val="aff1"/>
        <w:spacing w:after="160"/>
        <w:rPr>
          <w:rFonts w:cs="Arial"/>
          <w:sz w:val="18"/>
          <w:szCs w:val="18"/>
          <w:lang w:val="en-US"/>
        </w:rPr>
      </w:pPr>
    </w:p>
    <w:p w14:paraId="34B728C0" w14:textId="77777777" w:rsidR="00982BE6" w:rsidRPr="00B33CF2" w:rsidRDefault="00982BE6" w:rsidP="00982BE6">
      <w:pPr>
        <w:spacing w:before="100" w:beforeAutospacing="1" w:line="240" w:lineRule="auto"/>
        <w:rPr>
          <w:rFonts w:cs="Arial"/>
          <w:szCs w:val="18"/>
          <w:lang w:val="en-US" w:eastAsia="ru-RU"/>
        </w:rPr>
      </w:pPr>
      <w:r w:rsidRPr="00A36EF1">
        <w:rPr>
          <w:rFonts w:cs="Arial"/>
          <w:b/>
          <w:bCs/>
          <w:szCs w:val="18"/>
        </w:rPr>
        <w:t xml:space="preserve">Figure 2. Effect of ethanol concentration and temperature on the extraction of pigments from 3 </w:t>
      </w:r>
      <w:r w:rsidRPr="00C077F3">
        <w:rPr>
          <w:rFonts w:cs="Arial"/>
          <w:b/>
          <w:bCs/>
          <w:i/>
          <w:iCs/>
          <w:szCs w:val="18"/>
        </w:rPr>
        <w:t>mm</w:t>
      </w:r>
      <w:r>
        <w:rPr>
          <w:rFonts w:cs="Arial"/>
          <w:b/>
          <w:bCs/>
          <w:szCs w:val="18"/>
        </w:rPr>
        <w:t xml:space="preserve"> </w:t>
      </w:r>
      <w:r w:rsidRPr="00A36EF1">
        <w:rPr>
          <w:rFonts w:cs="Arial"/>
          <w:b/>
          <w:bCs/>
          <w:szCs w:val="18"/>
        </w:rPr>
        <w:t>sized barberry (</w:t>
      </w:r>
      <w:r w:rsidRPr="00A36EF1">
        <w:rPr>
          <w:rStyle w:val="affff0"/>
          <w:rFonts w:cs="Arial"/>
          <w:b/>
          <w:bCs/>
          <w:szCs w:val="18"/>
        </w:rPr>
        <w:t>Berberis vulgaris</w:t>
      </w:r>
      <w:r w:rsidRPr="00A36EF1">
        <w:rPr>
          <w:rFonts w:cs="Arial"/>
          <w:b/>
          <w:bCs/>
          <w:szCs w:val="18"/>
        </w:rPr>
        <w:t xml:space="preserve"> L.) fruits</w:t>
      </w:r>
    </w:p>
    <w:p w14:paraId="71A31AA0" w14:textId="77777777" w:rsidR="00982BE6" w:rsidRPr="00A36EF1" w:rsidRDefault="00982BE6" w:rsidP="00982BE6">
      <w:pPr>
        <w:spacing w:before="100" w:beforeAutospacing="1" w:line="240" w:lineRule="auto"/>
        <w:rPr>
          <w:rFonts w:cs="Arial"/>
          <w:szCs w:val="18"/>
          <w:lang w:val="en-US" w:eastAsia="ru-RU"/>
        </w:rPr>
      </w:pPr>
      <w:r w:rsidRPr="00A36EF1">
        <w:rPr>
          <w:rFonts w:cs="Arial"/>
          <w:szCs w:val="18"/>
          <w:lang w:val="en-US" w:eastAsia="ru-RU"/>
        </w:rPr>
        <w:lastRenderedPageBreak/>
        <w:t xml:space="preserve">The diagram shows that the efficiency of pigment extraction from 3 </w:t>
      </w:r>
      <w:r w:rsidRPr="00C077F3">
        <w:rPr>
          <w:rFonts w:cs="Arial"/>
          <w:i/>
          <w:iCs/>
          <w:szCs w:val="18"/>
          <w:lang w:val="en-US" w:eastAsia="ru-RU"/>
        </w:rPr>
        <w:t>mm</w:t>
      </w:r>
      <w:r>
        <w:rPr>
          <w:rFonts w:cs="Arial"/>
          <w:szCs w:val="18"/>
          <w:lang w:val="en-US" w:eastAsia="ru-RU"/>
        </w:rPr>
        <w:t xml:space="preserve"> </w:t>
      </w:r>
      <w:r w:rsidRPr="00A36EF1">
        <w:rPr>
          <w:rFonts w:cs="Arial"/>
          <w:szCs w:val="18"/>
          <w:lang w:val="en-US" w:eastAsia="ru-RU"/>
        </w:rPr>
        <w:t xml:space="preserve">sized barberry fruits is directly dependent on ethanol concentration and temperature. As the ethanol concentration increased from 10% to 50%, the extraction yield increased at all temperature levels. The highest result was observed at 30 °C and in 50% ethanol solution. However, further increasing the temperature to 40 °C led to a decrease in extraction efficiency. Therefore, the optimal conditions were identified as 30 °C temperature and 50% ethanol concentration. </w:t>
      </w:r>
    </w:p>
    <w:p w14:paraId="194153E7" w14:textId="77777777" w:rsidR="00982BE6" w:rsidRPr="00B33CF2" w:rsidRDefault="00982BE6" w:rsidP="00982BE6">
      <w:pPr>
        <w:spacing w:before="100" w:beforeAutospacing="1" w:line="240" w:lineRule="auto"/>
        <w:rPr>
          <w:rFonts w:cs="Arial"/>
          <w:szCs w:val="18"/>
          <w:lang w:val="en-US" w:eastAsia="ru-RU"/>
        </w:rPr>
      </w:pPr>
      <w:r w:rsidRPr="00A36EF1">
        <w:rPr>
          <w:rFonts w:cs="Arial"/>
          <w:noProof/>
          <w:szCs w:val="18"/>
          <w:lang w:val="ru-RU" w:eastAsia="ru-RU"/>
        </w:rPr>
        <w:drawing>
          <wp:inline distT="0" distB="0" distL="0" distR="0" wp14:anchorId="53B0BD57" wp14:editId="703B5B7E">
            <wp:extent cx="5578475" cy="2491740"/>
            <wp:effectExtent l="0" t="0" r="3175" b="3810"/>
            <wp:docPr id="1562863879"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7A3C8E6B" w14:textId="6EB39142" w:rsidR="00982BE6" w:rsidRDefault="00982BE6" w:rsidP="00982BE6">
      <w:pPr>
        <w:spacing w:before="100" w:beforeAutospacing="1" w:line="240" w:lineRule="auto"/>
        <w:rPr>
          <w:rFonts w:cs="Arial"/>
          <w:b/>
          <w:bCs/>
          <w:szCs w:val="18"/>
          <w:lang w:val="en-US" w:eastAsia="ru-RU"/>
        </w:rPr>
      </w:pPr>
      <w:r w:rsidRPr="00A36EF1">
        <w:rPr>
          <w:rFonts w:cs="Arial"/>
          <w:b/>
          <w:bCs/>
          <w:szCs w:val="18"/>
          <w:lang w:val="en-US" w:eastAsia="ru-RU"/>
        </w:rPr>
        <w:t xml:space="preserve">Figure 3. Effect of extraction time on pigment extraction from 3 </w:t>
      </w:r>
      <w:r w:rsidRPr="00C077F3">
        <w:rPr>
          <w:rFonts w:cs="Arial"/>
          <w:b/>
          <w:bCs/>
          <w:i/>
          <w:iCs/>
          <w:szCs w:val="18"/>
          <w:lang w:val="en-US" w:eastAsia="ru-RU"/>
        </w:rPr>
        <w:t>mm</w:t>
      </w:r>
      <w:r>
        <w:rPr>
          <w:rFonts w:cs="Arial"/>
          <w:b/>
          <w:bCs/>
          <w:szCs w:val="18"/>
          <w:lang w:val="en-US" w:eastAsia="ru-RU"/>
        </w:rPr>
        <w:t xml:space="preserve"> </w:t>
      </w:r>
      <w:r w:rsidRPr="00A36EF1">
        <w:rPr>
          <w:rFonts w:cs="Arial"/>
          <w:b/>
          <w:bCs/>
          <w:szCs w:val="18"/>
          <w:lang w:val="en-US" w:eastAsia="ru-RU"/>
        </w:rPr>
        <w:t>sized barberry (</w:t>
      </w:r>
      <w:r w:rsidRPr="00A36EF1">
        <w:rPr>
          <w:rFonts w:cs="Arial"/>
          <w:b/>
          <w:bCs/>
          <w:i/>
          <w:iCs/>
          <w:szCs w:val="18"/>
          <w:lang w:val="en-US" w:eastAsia="ru-RU"/>
        </w:rPr>
        <w:t>Berberis vulgaris</w:t>
      </w:r>
      <w:r w:rsidRPr="00A36EF1">
        <w:rPr>
          <w:rFonts w:cs="Arial"/>
          <w:b/>
          <w:bCs/>
          <w:szCs w:val="18"/>
          <w:lang w:val="en-US" w:eastAsia="ru-RU"/>
        </w:rPr>
        <w:t xml:space="preserve"> L.) fruits at 30 °C and 50% ethanol concentration</w:t>
      </w:r>
    </w:p>
    <w:p w14:paraId="256148AF" w14:textId="77777777" w:rsidR="009F7485" w:rsidRPr="00A36EF1" w:rsidRDefault="009F7485" w:rsidP="00982BE6">
      <w:pPr>
        <w:spacing w:before="100" w:beforeAutospacing="1" w:line="240" w:lineRule="auto"/>
        <w:rPr>
          <w:rFonts w:cs="Arial"/>
          <w:szCs w:val="18"/>
          <w:lang w:val="en-US" w:eastAsia="ru-RU"/>
        </w:rPr>
      </w:pPr>
    </w:p>
    <w:p w14:paraId="0030A658" w14:textId="77777777" w:rsidR="00982BE6" w:rsidRPr="00A36EF1" w:rsidRDefault="00982BE6" w:rsidP="00982BE6">
      <w:pPr>
        <w:pStyle w:val="aff1"/>
        <w:spacing w:after="160"/>
        <w:rPr>
          <w:rFonts w:cs="Arial"/>
          <w:sz w:val="18"/>
          <w:szCs w:val="18"/>
          <w:lang w:val="en-US"/>
        </w:rPr>
      </w:pPr>
      <w:r w:rsidRPr="00A36EF1">
        <w:rPr>
          <w:rFonts w:cs="Arial"/>
          <w:sz w:val="18"/>
          <w:szCs w:val="18"/>
          <w:lang w:val="en-US"/>
        </w:rPr>
        <w:t>Under the given conditions (30 °C temperature and 50% solvent concentration), the extraction duration has a significant effect on the release of coloring compounds. According to the results, the amount of extracted pigment increased sharply from 3 to 6 hours, reaching its maximum value. After 6 hours, a slight decrease was observed, and the values remained almost stable within the 12</w:t>
      </w:r>
      <w:r>
        <w:rPr>
          <w:rFonts w:cs="Arial"/>
          <w:sz w:val="18"/>
          <w:szCs w:val="18"/>
          <w:lang w:val="en-US"/>
        </w:rPr>
        <w:t>-</w:t>
      </w:r>
      <w:r w:rsidRPr="00A36EF1">
        <w:rPr>
          <w:rFonts w:cs="Arial"/>
          <w:sz w:val="18"/>
          <w:szCs w:val="18"/>
          <w:lang w:val="en-US"/>
        </w:rPr>
        <w:t>24 hour range (0.80</w:t>
      </w:r>
      <w:r>
        <w:rPr>
          <w:rFonts w:cs="Arial"/>
          <w:sz w:val="18"/>
          <w:szCs w:val="18"/>
          <w:lang w:val="en-US"/>
        </w:rPr>
        <w:t>-</w:t>
      </w:r>
      <w:r w:rsidRPr="00A36EF1">
        <w:rPr>
          <w:rFonts w:cs="Arial"/>
          <w:sz w:val="18"/>
          <w:szCs w:val="18"/>
          <w:lang w:val="en-US"/>
        </w:rPr>
        <w:t xml:space="preserve">0.89 µA). This behavior indicates the establishment of an equilibrium state during the extraction process. The dry matter content initially increased (from 13.1% to 14.5%) and then remained almost constant, indicating that the solvent reached its saturation level. The </w:t>
      </w:r>
      <w:r w:rsidRPr="003A7C65">
        <w:rPr>
          <w:rFonts w:cs="Arial"/>
          <w:i/>
          <w:iCs/>
          <w:sz w:val="18"/>
          <w:szCs w:val="18"/>
          <w:lang w:val="en-US"/>
        </w:rPr>
        <w:t>pH</w:t>
      </w:r>
      <w:r w:rsidRPr="00A36EF1">
        <w:rPr>
          <w:rFonts w:cs="Arial"/>
          <w:sz w:val="18"/>
          <w:szCs w:val="18"/>
          <w:lang w:val="en-US"/>
        </w:rPr>
        <w:t xml:space="preserve"> values ranged between 2.84 and 2.92, showing that the acidic nature of the medium was maintained and did not change significantly over time. Overall, the optimal extraction time was determined to be 6 hours, as the maximum release of coloring compounds was observed at this point. Beyond this period, no further increase in extraction efficiency was recorded; instead, a slight decreasing trend was observed. </w:t>
      </w:r>
    </w:p>
    <w:p w14:paraId="656A4107" w14:textId="77777777" w:rsidR="00982BE6" w:rsidRDefault="00982BE6" w:rsidP="00982BE6">
      <w:pPr>
        <w:pStyle w:val="aff1"/>
        <w:rPr>
          <w:rFonts w:cs="Arial"/>
          <w:b/>
          <w:bCs/>
          <w:sz w:val="18"/>
          <w:szCs w:val="18"/>
          <w:lang w:val="en-US"/>
        </w:rPr>
      </w:pPr>
      <w:r>
        <w:rPr>
          <w:rFonts w:cs="Arial"/>
          <w:b/>
          <w:bCs/>
          <w:sz w:val="18"/>
          <w:szCs w:val="18"/>
          <w:lang w:val="en-US"/>
        </w:rPr>
        <w:t xml:space="preserve">4. </w:t>
      </w:r>
      <w:r w:rsidRPr="00A36EF1">
        <w:rPr>
          <w:rFonts w:cs="Arial"/>
          <w:b/>
          <w:bCs/>
          <w:sz w:val="18"/>
          <w:szCs w:val="18"/>
          <w:lang w:val="en-US"/>
        </w:rPr>
        <w:t>Conclusion</w:t>
      </w:r>
    </w:p>
    <w:p w14:paraId="384D9930" w14:textId="77777777" w:rsidR="00982BE6" w:rsidRDefault="00982BE6" w:rsidP="00982BE6">
      <w:pPr>
        <w:pStyle w:val="aff1"/>
        <w:rPr>
          <w:rFonts w:cs="Arial"/>
          <w:b/>
          <w:bCs/>
          <w:sz w:val="18"/>
          <w:szCs w:val="18"/>
          <w:lang w:val="en-US"/>
        </w:rPr>
      </w:pPr>
    </w:p>
    <w:p w14:paraId="13FAA107" w14:textId="77777777" w:rsidR="00982BE6" w:rsidRPr="00915913" w:rsidRDefault="00982BE6" w:rsidP="00982BE6">
      <w:pPr>
        <w:pStyle w:val="aff1"/>
        <w:rPr>
          <w:rFonts w:cs="Arial"/>
          <w:sz w:val="18"/>
          <w:szCs w:val="18"/>
          <w:lang w:val="en-US"/>
        </w:rPr>
      </w:pPr>
      <w:r w:rsidRPr="00915913">
        <w:rPr>
          <w:rFonts w:cs="Arial"/>
          <w:sz w:val="18"/>
          <w:szCs w:val="18"/>
          <w:lang w:val="en-US"/>
        </w:rPr>
        <w:t>The results of the present study demonstrate that the efficiency of extracting coloring compounds from barberry (</w:t>
      </w:r>
      <w:r w:rsidRPr="00915913">
        <w:rPr>
          <w:rFonts w:cs="Arial"/>
          <w:i/>
          <w:iCs/>
          <w:sz w:val="18"/>
          <w:szCs w:val="18"/>
          <w:lang w:val="en-US"/>
        </w:rPr>
        <w:t>Berberis vulgaris</w:t>
      </w:r>
      <w:r w:rsidRPr="00915913">
        <w:rPr>
          <w:rFonts w:cs="Arial"/>
          <w:sz w:val="18"/>
          <w:szCs w:val="18"/>
          <w:lang w:val="en-US"/>
        </w:rPr>
        <w:t xml:space="preserve"> L.) fruits is strongly influenced by the physicochemical state of the raw material as well as key process parameters, including solvent concentration, temperature, and extraction duration.</w:t>
      </w:r>
      <w:r>
        <w:rPr>
          <w:rFonts w:cs="Arial"/>
          <w:sz w:val="18"/>
          <w:szCs w:val="18"/>
          <w:lang w:val="en-US"/>
        </w:rPr>
        <w:t xml:space="preserve"> </w:t>
      </w:r>
      <w:r w:rsidRPr="00915913">
        <w:rPr>
          <w:rFonts w:cs="Arial"/>
          <w:sz w:val="18"/>
          <w:szCs w:val="18"/>
          <w:lang w:val="en-US"/>
        </w:rPr>
        <w:t xml:space="preserve">In the case of larger particle size (8 </w:t>
      </w:r>
      <w:r w:rsidRPr="003A7C65">
        <w:rPr>
          <w:rFonts w:cs="Arial"/>
          <w:i/>
          <w:iCs/>
          <w:sz w:val="18"/>
          <w:szCs w:val="18"/>
          <w:lang w:val="en-US"/>
        </w:rPr>
        <w:t>mm</w:t>
      </w:r>
      <w:r w:rsidRPr="00915913">
        <w:rPr>
          <w:rFonts w:cs="Arial"/>
          <w:sz w:val="18"/>
          <w:szCs w:val="18"/>
          <w:lang w:val="en-US"/>
        </w:rPr>
        <w:t>), pigment transfer into the solvent phase was minimal, which can be attributed to the intact cellular structure of the material and the limited surface area available for mass transfer. These factors significantly restrict diffusion processes and consequently reduce extraction efficiency. In contrast, a reduction in particle size markedly improved extraction performance due to the increased contact surface between the solid matrix and the solvent, which facilitates enhanced mass transfer of bioactive compounds.</w:t>
      </w:r>
      <w:r>
        <w:rPr>
          <w:rFonts w:cs="Arial"/>
          <w:sz w:val="18"/>
          <w:szCs w:val="18"/>
          <w:lang w:val="en-US"/>
        </w:rPr>
        <w:t xml:space="preserve"> </w:t>
      </w:r>
      <w:r w:rsidRPr="00915913">
        <w:rPr>
          <w:rFonts w:cs="Arial"/>
          <w:sz w:val="18"/>
          <w:szCs w:val="18"/>
          <w:lang w:val="en-US"/>
        </w:rPr>
        <w:t xml:space="preserve">Among the investigated fractions, the 3 </w:t>
      </w:r>
      <w:r w:rsidRPr="003A7C65">
        <w:rPr>
          <w:rFonts w:cs="Arial"/>
          <w:i/>
          <w:iCs/>
          <w:sz w:val="18"/>
          <w:szCs w:val="18"/>
          <w:lang w:val="en-US"/>
        </w:rPr>
        <w:t>mm</w:t>
      </w:r>
      <w:r w:rsidRPr="00915913">
        <w:rPr>
          <w:rFonts w:cs="Arial"/>
          <w:sz w:val="18"/>
          <w:szCs w:val="18"/>
          <w:lang w:val="en-US"/>
        </w:rPr>
        <w:t xml:space="preserve"> particle size exhibited the most favorable balance between extraction efficiency and extract quality. This particle size ensured a sufficiently large surface area for effective pigment release while preventing excessive turbidity in the final extract. Although the finest fraction (0.3 </w:t>
      </w:r>
      <w:r w:rsidRPr="003A7C65">
        <w:rPr>
          <w:rFonts w:cs="Arial"/>
          <w:i/>
          <w:iCs/>
          <w:sz w:val="18"/>
          <w:szCs w:val="18"/>
          <w:lang w:val="en-US"/>
        </w:rPr>
        <w:t>mm</w:t>
      </w:r>
      <w:r w:rsidRPr="00915913">
        <w:rPr>
          <w:rFonts w:cs="Arial"/>
          <w:sz w:val="18"/>
          <w:szCs w:val="18"/>
          <w:lang w:val="en-US"/>
        </w:rPr>
        <w:t>) resulted in a higher degree of pigment release due to improved accessibility of intracellular compounds, it simultaneously led to a deterioration in extract quality, particularly in terms of clarity, likely due to the co-extraction of suspended solids and colloidal substances.</w:t>
      </w:r>
      <w:r>
        <w:rPr>
          <w:rFonts w:cs="Arial"/>
          <w:sz w:val="18"/>
          <w:szCs w:val="18"/>
          <w:lang w:val="en-US"/>
        </w:rPr>
        <w:t xml:space="preserve"> </w:t>
      </w:r>
      <w:r w:rsidRPr="00915913">
        <w:rPr>
          <w:rFonts w:cs="Arial"/>
          <w:sz w:val="18"/>
          <w:szCs w:val="18"/>
          <w:lang w:val="en-US"/>
        </w:rPr>
        <w:t>The study further confirmed that solvent composition plays a critical role in extraction efficiency. The use of aqueous ethanol solutions demonstrated that increasing ethanol concentration enhances the solubility and diffusion of anthocyanin-based pigments. The highest extraction yield was achieved at 50% ethanol concentration, which represents an optimal balance between polarity and solvation capacity for phenolic compounds.</w:t>
      </w:r>
      <w:r>
        <w:rPr>
          <w:rFonts w:cs="Arial"/>
          <w:sz w:val="18"/>
          <w:szCs w:val="18"/>
          <w:lang w:val="en-US"/>
        </w:rPr>
        <w:t xml:space="preserve"> </w:t>
      </w:r>
      <w:r w:rsidRPr="00915913">
        <w:rPr>
          <w:rFonts w:cs="Arial"/>
          <w:sz w:val="18"/>
          <w:szCs w:val="18"/>
          <w:lang w:val="en-US"/>
        </w:rPr>
        <w:t xml:space="preserve">Temperature was also found to significantly influence the extraction process. An increase from 20 </w:t>
      </w:r>
      <w:r w:rsidRPr="00915913">
        <w:rPr>
          <w:rFonts w:cs="Arial"/>
          <w:sz w:val="18"/>
          <w:szCs w:val="18"/>
          <w:lang w:val="en-US"/>
        </w:rPr>
        <w:lastRenderedPageBreak/>
        <w:t xml:space="preserve">°C to 30 °C improved extraction efficiency by accelerating diffusion rates and facilitating the breakdown of plant cell structures. However, further elevation to 40 °C resulted in a decline in pigment yield, which may be associated with thermal degradation of heat-sensitive anthocyanin compounds and potential structural instability under higher </w:t>
      </w:r>
      <w:r>
        <w:rPr>
          <w:rFonts w:cs="Arial"/>
          <w:sz w:val="18"/>
          <w:szCs w:val="18"/>
          <w:lang w:val="en-US"/>
        </w:rPr>
        <w:t>temperature</w:t>
      </w:r>
      <w:r w:rsidRPr="00915913">
        <w:rPr>
          <w:rFonts w:cs="Arial"/>
          <w:sz w:val="18"/>
          <w:szCs w:val="18"/>
          <w:lang w:val="en-US"/>
        </w:rPr>
        <w:t xml:space="preserve"> conditions.</w:t>
      </w:r>
      <w:r>
        <w:rPr>
          <w:rFonts w:cs="Arial"/>
          <w:sz w:val="18"/>
          <w:szCs w:val="18"/>
          <w:lang w:val="en-US"/>
        </w:rPr>
        <w:t xml:space="preserve"> </w:t>
      </w:r>
      <w:r w:rsidRPr="00915913">
        <w:rPr>
          <w:rFonts w:cs="Arial"/>
          <w:sz w:val="18"/>
          <w:szCs w:val="18"/>
          <w:lang w:val="en-US"/>
        </w:rPr>
        <w:t xml:space="preserve">Extraction time was identified as another crucial parameter affecting pigment recovery. In the case of 30% ethanol solution, pigment concentration increased progressively with time. However, at 50% ethanol concentration, the optimal extraction time was determined to be 6 hours, at which the maximum absorbance value of 0.90 </w:t>
      </w:r>
      <w:r w:rsidRPr="003A7C65">
        <w:rPr>
          <w:rFonts w:cs="Arial"/>
          <w:i/>
          <w:iCs/>
          <w:sz w:val="18"/>
          <w:szCs w:val="18"/>
          <w:lang w:val="en-US"/>
        </w:rPr>
        <w:t>µA</w:t>
      </w:r>
      <w:r w:rsidRPr="00915913">
        <w:rPr>
          <w:rFonts w:cs="Arial"/>
          <w:sz w:val="18"/>
          <w:szCs w:val="18"/>
          <w:lang w:val="en-US"/>
        </w:rPr>
        <w:t xml:space="preserve"> was recorded. Beyond this period, a gradual decrease in pigment concentration was observed, which can be explained by the possible degradation of anthocyanins or the establishment of equilibrium between the solid and liquid phases.</w:t>
      </w:r>
      <w:r>
        <w:rPr>
          <w:rFonts w:cs="Arial"/>
          <w:sz w:val="18"/>
          <w:szCs w:val="18"/>
          <w:lang w:val="en-US"/>
        </w:rPr>
        <w:t xml:space="preserve"> </w:t>
      </w:r>
      <w:r w:rsidRPr="00915913">
        <w:rPr>
          <w:rFonts w:cs="Arial"/>
          <w:sz w:val="18"/>
          <w:szCs w:val="18"/>
          <w:lang w:val="en-US"/>
        </w:rPr>
        <w:t xml:space="preserve">Throughout the extraction process, dry matter content and </w:t>
      </w:r>
      <w:r w:rsidRPr="003A7C65">
        <w:rPr>
          <w:rFonts w:cs="Arial"/>
          <w:i/>
          <w:iCs/>
          <w:sz w:val="18"/>
          <w:szCs w:val="18"/>
          <w:lang w:val="en-US"/>
        </w:rPr>
        <w:t>pH</w:t>
      </w:r>
      <w:r w:rsidRPr="00915913">
        <w:rPr>
          <w:rFonts w:cs="Arial"/>
          <w:sz w:val="18"/>
          <w:szCs w:val="18"/>
          <w:lang w:val="en-US"/>
        </w:rPr>
        <w:t xml:space="preserve"> values remained relatively stable, indicating that the system maintained a consistently acidic environment. This acidic medium is particularly important for the stabilization of anthocyanins in their flavylium cation form, thereby preventing structural transformation and degradation.</w:t>
      </w:r>
      <w:r>
        <w:rPr>
          <w:rFonts w:cs="Arial"/>
          <w:sz w:val="18"/>
          <w:szCs w:val="18"/>
          <w:lang w:val="en-US"/>
        </w:rPr>
        <w:t xml:space="preserve"> </w:t>
      </w:r>
      <w:r w:rsidRPr="00915913">
        <w:rPr>
          <w:rFonts w:cs="Arial"/>
          <w:sz w:val="18"/>
          <w:szCs w:val="18"/>
          <w:lang w:val="en-US"/>
        </w:rPr>
        <w:t>In conclusion, the optimal conditions for the efficient extraction of coloring compounds from barberry (</w:t>
      </w:r>
      <w:r w:rsidRPr="00915913">
        <w:rPr>
          <w:rFonts w:cs="Arial"/>
          <w:i/>
          <w:iCs/>
          <w:sz w:val="18"/>
          <w:szCs w:val="18"/>
          <w:lang w:val="en-US"/>
        </w:rPr>
        <w:t>Berberis vulgaris</w:t>
      </w:r>
      <w:r w:rsidRPr="00915913">
        <w:rPr>
          <w:rFonts w:cs="Arial"/>
          <w:sz w:val="18"/>
          <w:szCs w:val="18"/>
          <w:lang w:val="en-US"/>
        </w:rPr>
        <w:t xml:space="preserve"> L.) fruits were determined as follows: a particle size of 3 mm, a 50% aqueous ethanol solvent system, an extraction temperature of 30 °C, and an extraction duration of 6 hours. These optimized parameters ensure maximum recovery of pigment compounds while simultaneously preserving the physicochemical quality and clarity of the final extract, making them suitable for potential application in food and related industries.</w:t>
      </w:r>
    </w:p>
    <w:p w14:paraId="1100542D" w14:textId="77777777" w:rsidR="00982BE6" w:rsidRPr="00A36EF1" w:rsidRDefault="00982BE6" w:rsidP="00982BE6">
      <w:pPr>
        <w:pStyle w:val="aff1"/>
        <w:rPr>
          <w:rFonts w:cs="Arial"/>
          <w:sz w:val="18"/>
          <w:szCs w:val="18"/>
          <w:lang w:val="en-US"/>
        </w:rPr>
      </w:pPr>
    </w:p>
    <w:p w14:paraId="54A9F287" w14:textId="77777777" w:rsidR="00982BE6" w:rsidRDefault="00982BE6" w:rsidP="00982BE6">
      <w:pPr>
        <w:spacing w:line="240" w:lineRule="auto"/>
        <w:rPr>
          <w:rFonts w:cs="Arial"/>
          <w:b/>
          <w:bCs/>
          <w:szCs w:val="18"/>
          <w:lang w:val="en-US" w:eastAsia="ru-RU"/>
        </w:rPr>
      </w:pPr>
      <w:r w:rsidRPr="008A0965">
        <w:rPr>
          <w:rFonts w:cs="Arial"/>
          <w:b/>
          <w:bCs/>
          <w:szCs w:val="18"/>
          <w:lang w:val="en-US" w:eastAsia="ru-RU"/>
        </w:rPr>
        <w:t>Nomenclature</w:t>
      </w:r>
    </w:p>
    <w:p w14:paraId="16C9F704" w14:textId="77777777" w:rsidR="00982BE6" w:rsidRPr="000E4B5E" w:rsidRDefault="00982BE6" w:rsidP="00982BE6">
      <w:pPr>
        <w:pStyle w:val="aff1"/>
        <w:rPr>
          <w:rFonts w:cs="Arial"/>
          <w:sz w:val="18"/>
          <w:szCs w:val="18"/>
          <w:lang w:val="en-US"/>
        </w:rPr>
      </w:pPr>
    </w:p>
    <w:tbl>
      <w:tblPr>
        <w:tblStyle w:val="afffb"/>
        <w:tblW w:w="8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16"/>
        <w:gridCol w:w="4407"/>
      </w:tblGrid>
      <w:tr w:rsidR="00982BE6" w14:paraId="428DD9E3" w14:textId="77777777" w:rsidTr="006058D2">
        <w:trPr>
          <w:trHeight w:val="1069"/>
        </w:trPr>
        <w:tc>
          <w:tcPr>
            <w:tcW w:w="4416" w:type="dxa"/>
          </w:tcPr>
          <w:p w14:paraId="5D16235A" w14:textId="77777777" w:rsidR="00982BE6" w:rsidRPr="008A0965" w:rsidRDefault="00982BE6" w:rsidP="005A6166">
            <w:pPr>
              <w:rPr>
                <w:rFonts w:cs="Arial"/>
                <w:szCs w:val="18"/>
                <w:lang w:val="en-US" w:eastAsia="ru-RU"/>
              </w:rPr>
            </w:pPr>
            <w:r w:rsidRPr="003A7C65">
              <w:rPr>
                <w:rFonts w:cs="Arial"/>
                <w:i/>
                <w:iCs/>
                <w:szCs w:val="18"/>
                <w:lang w:val="en-US" w:eastAsia="ru-RU"/>
              </w:rPr>
              <w:t>µA</w:t>
            </w:r>
            <w:r w:rsidRPr="008A0965">
              <w:rPr>
                <w:rFonts w:cs="Arial"/>
                <w:szCs w:val="18"/>
                <w:lang w:val="en-US" w:eastAsia="ru-RU"/>
              </w:rPr>
              <w:t xml:space="preserve"> (microampere) </w:t>
            </w:r>
            <w:r w:rsidRPr="003B7288">
              <w:rPr>
                <w:rFonts w:cs="Arial"/>
                <w:szCs w:val="18"/>
                <w:lang w:val="en-US" w:eastAsia="ru-RU"/>
              </w:rPr>
              <w:t>-</w:t>
            </w:r>
            <w:r w:rsidRPr="008A0965">
              <w:rPr>
                <w:rFonts w:cs="Arial"/>
                <w:szCs w:val="18"/>
                <w:lang w:val="en-US" w:eastAsia="ru-RU"/>
              </w:rPr>
              <w:t xml:space="preserve"> electric current </w:t>
            </w:r>
            <w:r>
              <w:rPr>
                <w:rFonts w:cs="Arial"/>
                <w:szCs w:val="18"/>
                <w:lang w:val="en-US" w:eastAsia="ru-RU"/>
              </w:rPr>
              <w:t xml:space="preserve">                                          </w:t>
            </w:r>
          </w:p>
          <w:p w14:paraId="355717CD" w14:textId="77777777" w:rsidR="00982BE6" w:rsidRPr="008A0965" w:rsidRDefault="00982BE6" w:rsidP="005A6166">
            <w:pPr>
              <w:rPr>
                <w:rFonts w:cs="Arial"/>
                <w:szCs w:val="18"/>
                <w:lang w:val="en-US" w:eastAsia="ru-RU"/>
              </w:rPr>
            </w:pPr>
            <w:r w:rsidRPr="003A7C65">
              <w:rPr>
                <w:rFonts w:cs="Arial"/>
                <w:i/>
                <w:iCs/>
                <w:szCs w:val="18"/>
                <w:lang w:val="en-US" w:eastAsia="ru-RU"/>
              </w:rPr>
              <w:t>mm</w:t>
            </w:r>
            <w:r w:rsidRPr="008A0965">
              <w:rPr>
                <w:rFonts w:cs="Arial"/>
                <w:szCs w:val="18"/>
                <w:lang w:val="en-US" w:eastAsia="ru-RU"/>
              </w:rPr>
              <w:t xml:space="preserve"> (millimeter) </w:t>
            </w:r>
            <w:r w:rsidRPr="003B7288">
              <w:rPr>
                <w:rFonts w:cs="Arial"/>
                <w:szCs w:val="18"/>
                <w:lang w:val="en-US" w:eastAsia="ru-RU"/>
              </w:rPr>
              <w:t>-</w:t>
            </w:r>
            <w:r w:rsidRPr="008A0965">
              <w:rPr>
                <w:rFonts w:cs="Arial"/>
                <w:szCs w:val="18"/>
                <w:lang w:val="en-US" w:eastAsia="ru-RU"/>
              </w:rPr>
              <w:t xml:space="preserve"> length (distance) </w:t>
            </w:r>
          </w:p>
          <w:p w14:paraId="6938E0B9" w14:textId="77777777" w:rsidR="00982BE6" w:rsidRPr="008A0965" w:rsidRDefault="00982BE6" w:rsidP="005A6166">
            <w:pPr>
              <w:rPr>
                <w:rFonts w:cs="Arial"/>
                <w:szCs w:val="18"/>
                <w:lang w:val="en-US" w:eastAsia="ru-RU"/>
              </w:rPr>
            </w:pPr>
            <w:r w:rsidRPr="008A0965">
              <w:rPr>
                <w:rFonts w:cs="Arial"/>
                <w:szCs w:val="18"/>
                <w:lang w:val="en-US" w:eastAsia="ru-RU"/>
              </w:rPr>
              <w:t xml:space="preserve">% (percent) </w:t>
            </w:r>
            <w:r w:rsidRPr="003B7288">
              <w:rPr>
                <w:rFonts w:cs="Arial"/>
                <w:szCs w:val="18"/>
                <w:lang w:val="en-US" w:eastAsia="ru-RU"/>
              </w:rPr>
              <w:t>-</w:t>
            </w:r>
            <w:r w:rsidRPr="008A0965">
              <w:rPr>
                <w:rFonts w:cs="Arial"/>
                <w:szCs w:val="18"/>
                <w:lang w:val="en-US" w:eastAsia="ru-RU"/>
              </w:rPr>
              <w:t xml:space="preserve"> concentration or proportion </w:t>
            </w:r>
          </w:p>
          <w:p w14:paraId="4611FD76" w14:textId="77777777" w:rsidR="00982BE6" w:rsidRPr="003A7C65" w:rsidRDefault="00982BE6" w:rsidP="005A6166">
            <w:pPr>
              <w:rPr>
                <w:rFonts w:cs="Arial"/>
                <w:szCs w:val="18"/>
                <w:lang w:val="en-US" w:eastAsia="ru-RU"/>
              </w:rPr>
            </w:pPr>
            <w:r w:rsidRPr="003A7C65">
              <w:rPr>
                <w:rFonts w:cs="Arial"/>
                <w:i/>
                <w:iCs/>
                <w:szCs w:val="18"/>
                <w:lang w:val="en-US" w:eastAsia="ru-RU"/>
              </w:rPr>
              <w:t>pH</w:t>
            </w:r>
            <w:r w:rsidRPr="008A0965">
              <w:rPr>
                <w:rFonts w:cs="Arial"/>
                <w:szCs w:val="18"/>
                <w:lang w:val="en-US" w:eastAsia="ru-RU"/>
              </w:rPr>
              <w:t xml:space="preserve"> (potential of hydrogen) </w:t>
            </w:r>
            <w:r w:rsidRPr="003B7288">
              <w:rPr>
                <w:rFonts w:cs="Arial"/>
                <w:szCs w:val="18"/>
                <w:lang w:val="en-US" w:eastAsia="ru-RU"/>
              </w:rPr>
              <w:t>-</w:t>
            </w:r>
            <w:r w:rsidRPr="008A0965">
              <w:rPr>
                <w:rFonts w:cs="Arial"/>
                <w:szCs w:val="18"/>
                <w:lang w:val="en-US" w:eastAsia="ru-RU"/>
              </w:rPr>
              <w:t xml:space="preserve"> acidity/alkalinity of solution </w:t>
            </w:r>
          </w:p>
        </w:tc>
        <w:tc>
          <w:tcPr>
            <w:tcW w:w="4407" w:type="dxa"/>
          </w:tcPr>
          <w:p w14:paraId="3B35730E" w14:textId="77777777" w:rsidR="00982BE6" w:rsidRPr="008A0965" w:rsidRDefault="00982BE6" w:rsidP="005A6166">
            <w:pPr>
              <w:rPr>
                <w:rFonts w:cs="Arial"/>
                <w:szCs w:val="18"/>
                <w:lang w:val="en-US" w:eastAsia="ru-RU"/>
              </w:rPr>
            </w:pPr>
            <w:r w:rsidRPr="008A0965">
              <w:rPr>
                <w:rFonts w:cs="Arial"/>
                <w:szCs w:val="18"/>
                <w:lang w:val="en-US" w:eastAsia="ru-RU"/>
              </w:rPr>
              <w:t xml:space="preserve">°C (degree Celsius) </w:t>
            </w:r>
            <w:r w:rsidRPr="003B7288">
              <w:rPr>
                <w:rFonts w:cs="Arial"/>
                <w:szCs w:val="18"/>
                <w:lang w:val="en-US" w:eastAsia="ru-RU"/>
              </w:rPr>
              <w:t>-</w:t>
            </w:r>
            <w:r w:rsidRPr="008A0965">
              <w:rPr>
                <w:rFonts w:cs="Arial"/>
                <w:szCs w:val="18"/>
                <w:lang w:val="en-US" w:eastAsia="ru-RU"/>
              </w:rPr>
              <w:t xml:space="preserve"> temperature </w:t>
            </w:r>
          </w:p>
          <w:p w14:paraId="0C8BBC1A" w14:textId="77777777" w:rsidR="00982BE6" w:rsidRPr="003B7288" w:rsidRDefault="00982BE6" w:rsidP="005A6166">
            <w:pPr>
              <w:rPr>
                <w:rFonts w:cs="Arial"/>
                <w:szCs w:val="18"/>
                <w:lang w:val="en-US" w:eastAsia="ru-RU"/>
              </w:rPr>
            </w:pPr>
            <w:r w:rsidRPr="003A7C65">
              <w:rPr>
                <w:rFonts w:cs="Arial"/>
                <w:i/>
                <w:iCs/>
                <w:szCs w:val="18"/>
                <w:lang w:val="en-US" w:eastAsia="ru-RU"/>
              </w:rPr>
              <w:t>ml</w:t>
            </w:r>
            <w:r w:rsidRPr="008A0965">
              <w:rPr>
                <w:rFonts w:cs="Arial"/>
                <w:szCs w:val="18"/>
                <w:lang w:val="en-US" w:eastAsia="ru-RU"/>
              </w:rPr>
              <w:t xml:space="preserve"> (milliliter) </w:t>
            </w:r>
            <w:r w:rsidRPr="003B7288">
              <w:rPr>
                <w:rFonts w:cs="Arial"/>
                <w:szCs w:val="18"/>
                <w:lang w:val="en-US" w:eastAsia="ru-RU"/>
              </w:rPr>
              <w:t>-</w:t>
            </w:r>
            <w:r w:rsidRPr="008A0965">
              <w:rPr>
                <w:rFonts w:cs="Arial"/>
                <w:szCs w:val="18"/>
                <w:lang w:val="en-US" w:eastAsia="ru-RU"/>
              </w:rPr>
              <w:t xml:space="preserve"> volume </w:t>
            </w:r>
          </w:p>
          <w:p w14:paraId="67BBE704" w14:textId="77777777" w:rsidR="00982BE6" w:rsidRPr="003B7288" w:rsidRDefault="00982BE6" w:rsidP="005A6166">
            <w:pPr>
              <w:rPr>
                <w:rFonts w:cs="Arial"/>
                <w:szCs w:val="18"/>
                <w:lang w:val="en-US" w:eastAsia="ru-RU"/>
              </w:rPr>
            </w:pPr>
            <w:r w:rsidRPr="003A7C65">
              <w:rPr>
                <w:rFonts w:cs="Arial"/>
                <w:i/>
                <w:iCs/>
                <w:szCs w:val="18"/>
                <w:lang w:val="en-US"/>
              </w:rPr>
              <w:t>nm</w:t>
            </w:r>
            <w:r w:rsidRPr="003B7288">
              <w:rPr>
                <w:rFonts w:cs="Arial"/>
                <w:szCs w:val="18"/>
                <w:lang w:val="en-US"/>
              </w:rPr>
              <w:t xml:space="preserve"> (nanometer) - wavelength (or length at nanoscale)</w:t>
            </w:r>
          </w:p>
          <w:p w14:paraId="2E9A7FC9" w14:textId="77777777" w:rsidR="00982BE6" w:rsidRPr="000E4B5E" w:rsidRDefault="00982BE6" w:rsidP="005A6166">
            <w:pPr>
              <w:pStyle w:val="aff1"/>
              <w:rPr>
                <w:rFonts w:cs="Arial"/>
                <w:sz w:val="18"/>
                <w:szCs w:val="18"/>
                <w:lang w:val="en-US"/>
              </w:rPr>
            </w:pPr>
            <w:r w:rsidRPr="003A7C65">
              <w:rPr>
                <w:rFonts w:cs="Arial"/>
                <w:i/>
                <w:iCs/>
                <w:sz w:val="18"/>
                <w:szCs w:val="18"/>
                <w:lang w:val="en-US"/>
              </w:rPr>
              <w:t>gr</w:t>
            </w:r>
            <w:r w:rsidRPr="000E4B5E">
              <w:rPr>
                <w:rFonts w:cs="Arial"/>
                <w:sz w:val="18"/>
                <w:szCs w:val="18"/>
                <w:lang w:val="en-US"/>
              </w:rPr>
              <w:t xml:space="preserve"> (gram) - mass</w:t>
            </w:r>
          </w:p>
          <w:p w14:paraId="78251B1B" w14:textId="77777777" w:rsidR="00982BE6" w:rsidRDefault="00982BE6" w:rsidP="005A6166">
            <w:pPr>
              <w:pStyle w:val="aff1"/>
              <w:rPr>
                <w:rFonts w:cs="Arial"/>
                <w:sz w:val="18"/>
                <w:szCs w:val="18"/>
                <w:lang w:val="en-US"/>
              </w:rPr>
            </w:pPr>
          </w:p>
        </w:tc>
      </w:tr>
    </w:tbl>
    <w:p w14:paraId="7DDA5F8C" w14:textId="77777777" w:rsidR="009F7485" w:rsidRDefault="009F7485" w:rsidP="00982BE6">
      <w:pPr>
        <w:pStyle w:val="aff1"/>
        <w:rPr>
          <w:rFonts w:cs="Arial"/>
          <w:b/>
          <w:bCs/>
          <w:sz w:val="18"/>
          <w:szCs w:val="18"/>
          <w:lang w:val="en-US"/>
        </w:rPr>
      </w:pPr>
    </w:p>
    <w:p w14:paraId="520384DE" w14:textId="71164177" w:rsidR="00982BE6" w:rsidRDefault="00982BE6" w:rsidP="00982BE6">
      <w:pPr>
        <w:pStyle w:val="aff1"/>
        <w:rPr>
          <w:rFonts w:cs="Arial"/>
          <w:b/>
          <w:bCs/>
          <w:sz w:val="18"/>
          <w:szCs w:val="18"/>
          <w:lang w:val="en-US"/>
        </w:rPr>
      </w:pPr>
      <w:r w:rsidRPr="003E6657">
        <w:rPr>
          <w:rFonts w:cs="Arial"/>
          <w:b/>
          <w:bCs/>
          <w:sz w:val="18"/>
          <w:szCs w:val="18"/>
          <w:lang w:val="en-US"/>
        </w:rPr>
        <w:t>References</w:t>
      </w:r>
    </w:p>
    <w:p w14:paraId="6C0D279D"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Dara, A., Feizy, J., Naji-Tabasi, S., Fooladi, E. and Rafe, A., 2025. Synthesis of polyaniline zirconium for</w:t>
      </w:r>
      <w:r>
        <w:rPr>
          <w:rFonts w:cs="Arial"/>
          <w:sz w:val="18"/>
          <w:szCs w:val="18"/>
          <w:lang w:val="en-US"/>
        </w:rPr>
        <w:t xml:space="preserve"> </w:t>
      </w:r>
      <w:r w:rsidRPr="00695241">
        <w:rPr>
          <w:rFonts w:cs="Arial"/>
          <w:sz w:val="18"/>
          <w:szCs w:val="18"/>
          <w:lang w:val="en-US"/>
        </w:rPr>
        <w:t xml:space="preserve">purification of barberry anthocyanins and stabilization via copigmentation against thermal and gastrointestinal conditions. </w:t>
      </w:r>
      <w:r w:rsidRPr="00695241">
        <w:rPr>
          <w:rStyle w:val="affff0"/>
          <w:rFonts w:cs="Arial"/>
          <w:sz w:val="18"/>
          <w:szCs w:val="18"/>
          <w:lang w:val="en-US"/>
        </w:rPr>
        <w:t>Scientific Reports</w:t>
      </w:r>
      <w:r w:rsidRPr="00695241">
        <w:rPr>
          <w:rFonts w:cs="Arial"/>
          <w:sz w:val="18"/>
          <w:szCs w:val="18"/>
          <w:lang w:val="en-US"/>
        </w:rPr>
        <w:t>, 15, p.14060.</w:t>
      </w:r>
    </w:p>
    <w:p w14:paraId="4FB5B29D"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 xml:space="preserve">Kaur, D., Yousuf, B. and Qadri, O.S., 2024. Syzygium cumini anthocyanins: recent advances in biological activities, extraction, stability, characterisation and utilisation in food systems. </w:t>
      </w:r>
      <w:r w:rsidRPr="00695241">
        <w:rPr>
          <w:rStyle w:val="affff0"/>
          <w:rFonts w:cs="Arial"/>
          <w:sz w:val="18"/>
          <w:szCs w:val="18"/>
          <w:lang w:val="en-US"/>
        </w:rPr>
        <w:t>Discover Food</w:t>
      </w:r>
      <w:r w:rsidRPr="00695241">
        <w:rPr>
          <w:rFonts w:cs="Arial"/>
          <w:sz w:val="18"/>
          <w:szCs w:val="18"/>
          <w:lang w:val="en-US"/>
        </w:rPr>
        <w:t>, 6, Article 34.</w:t>
      </w:r>
    </w:p>
    <w:p w14:paraId="0891FF30"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 xml:space="preserve">Khezri, S., Ghanbarzadeh, B. and Ehsani, A., 2025. Barberry anthocyanins: recent advances in extraction, stability, biological activities, and utilisation in food systems—a review. </w:t>
      </w:r>
      <w:r w:rsidRPr="00695241">
        <w:rPr>
          <w:rStyle w:val="affff0"/>
          <w:rFonts w:cs="Arial"/>
          <w:sz w:val="18"/>
          <w:szCs w:val="18"/>
          <w:lang w:val="en-US"/>
        </w:rPr>
        <w:t>International Journal of Food Science and Technology</w:t>
      </w:r>
      <w:r w:rsidRPr="00695241">
        <w:rPr>
          <w:rFonts w:cs="Arial"/>
          <w:sz w:val="18"/>
          <w:szCs w:val="18"/>
          <w:lang w:val="en-US"/>
        </w:rPr>
        <w:t xml:space="preserve">, 60(1), vvaf031. Available at: </w:t>
      </w:r>
      <w:hyperlink r:id="rId14" w:tgtFrame="_new" w:history="1">
        <w:r w:rsidRPr="00695241">
          <w:rPr>
            <w:rStyle w:val="afffc"/>
            <w:rFonts w:cs="Arial"/>
            <w:sz w:val="18"/>
            <w:szCs w:val="18"/>
            <w:lang w:val="en-US"/>
          </w:rPr>
          <w:t>https://doi.org/10.1093/ijfood/vvaf031</w:t>
        </w:r>
      </w:hyperlink>
      <w:r w:rsidRPr="00695241">
        <w:rPr>
          <w:rFonts w:cs="Arial"/>
          <w:sz w:val="18"/>
          <w:szCs w:val="18"/>
          <w:lang w:val="en-US"/>
        </w:rPr>
        <w:t xml:space="preserve"> [Accessed 2 June 2026].</w:t>
      </w:r>
    </w:p>
    <w:p w14:paraId="63F79938"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 xml:space="preserve">Naji-Tabasi, S., Emadzadeh, B., Shahidi-Noghabi, M., Abbaspour, M. and Akbari, E., 2021. Physico-chemical and antioxidant properties of barberry juice powder and its effervescent tablets. </w:t>
      </w:r>
      <w:r w:rsidRPr="00695241">
        <w:rPr>
          <w:rStyle w:val="affff0"/>
          <w:rFonts w:cs="Arial"/>
          <w:sz w:val="18"/>
          <w:szCs w:val="18"/>
          <w:lang w:val="en-US"/>
        </w:rPr>
        <w:t>Chemical and Biological Technologies in Agriculture</w:t>
      </w:r>
      <w:r w:rsidRPr="00695241">
        <w:rPr>
          <w:rFonts w:cs="Arial"/>
          <w:sz w:val="18"/>
          <w:szCs w:val="18"/>
          <w:lang w:val="en-US"/>
        </w:rPr>
        <w:t xml:space="preserve">, 8, Article 25. Available at: </w:t>
      </w:r>
      <w:hyperlink r:id="rId15" w:tgtFrame="_new" w:history="1">
        <w:r w:rsidRPr="00695241">
          <w:rPr>
            <w:rStyle w:val="afffc"/>
            <w:rFonts w:cs="Arial"/>
            <w:sz w:val="18"/>
            <w:szCs w:val="18"/>
            <w:lang w:val="en-US"/>
          </w:rPr>
          <w:t>https://doi.org/10.1186/s40538-021-00220-z</w:t>
        </w:r>
      </w:hyperlink>
      <w:r w:rsidRPr="00695241">
        <w:rPr>
          <w:rFonts w:cs="Arial"/>
          <w:sz w:val="18"/>
          <w:szCs w:val="18"/>
          <w:lang w:val="en-US"/>
        </w:rPr>
        <w:t xml:space="preserve"> [Accessed 2 June 2026].</w:t>
      </w:r>
    </w:p>
    <w:p w14:paraId="2CBDEFCF"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 xml:space="preserve">Qodirov, I.A., 2023. </w:t>
      </w:r>
      <w:r w:rsidRPr="00695241">
        <w:rPr>
          <w:rStyle w:val="affff0"/>
          <w:rFonts w:cs="Arial"/>
          <w:sz w:val="18"/>
          <w:szCs w:val="18"/>
          <w:lang w:val="en-US"/>
        </w:rPr>
        <w:t>Zirk o‘simligining shifobaxshligi</w:t>
      </w:r>
      <w:r w:rsidRPr="00695241">
        <w:rPr>
          <w:rFonts w:cs="Arial"/>
          <w:sz w:val="18"/>
          <w:szCs w:val="18"/>
          <w:lang w:val="en-US"/>
        </w:rPr>
        <w:t xml:space="preserve">. 5-son. Available at: </w:t>
      </w:r>
      <w:hyperlink r:id="rId16" w:tgtFrame="_new" w:history="1">
        <w:r w:rsidRPr="00695241">
          <w:rPr>
            <w:rStyle w:val="afffc"/>
            <w:rFonts w:cs="Arial"/>
            <w:sz w:val="18"/>
            <w:szCs w:val="18"/>
            <w:lang w:val="en-US"/>
          </w:rPr>
          <w:t>https://doi.org/10.5281/zenodo.7986558</w:t>
        </w:r>
      </w:hyperlink>
      <w:r w:rsidRPr="00695241">
        <w:rPr>
          <w:rFonts w:cs="Arial"/>
          <w:sz w:val="18"/>
          <w:szCs w:val="18"/>
          <w:lang w:val="en-US"/>
        </w:rPr>
        <w:t xml:space="preserve"> [Accessed 2 June 2026].</w:t>
      </w:r>
    </w:p>
    <w:p w14:paraId="0DA59259"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Say, R., Kaplan, M. and Karaman, K., 2025. Farklı ekstraksiyon şartlarının karamuk meyvesinin (</w:t>
      </w:r>
      <w:r w:rsidRPr="00695241">
        <w:rPr>
          <w:rStyle w:val="affff0"/>
          <w:rFonts w:cs="Arial"/>
          <w:sz w:val="18"/>
          <w:szCs w:val="18"/>
          <w:lang w:val="en-US"/>
        </w:rPr>
        <w:t>Berberis crataegina</w:t>
      </w:r>
      <w:r w:rsidRPr="00695241">
        <w:rPr>
          <w:rFonts w:cs="Arial"/>
          <w:sz w:val="18"/>
          <w:szCs w:val="18"/>
          <w:lang w:val="en-US"/>
        </w:rPr>
        <w:t xml:space="preserve"> DC.) biyokimyasal özellikleri üzerine etkilerinin araştırılması. </w:t>
      </w:r>
      <w:r w:rsidRPr="00695241">
        <w:rPr>
          <w:rStyle w:val="affff0"/>
          <w:rFonts w:cs="Arial"/>
          <w:sz w:val="18"/>
          <w:szCs w:val="18"/>
          <w:lang w:val="en-US"/>
        </w:rPr>
        <w:t>ISPEC Journal of Agricultural Sciences</w:t>
      </w:r>
      <w:r w:rsidRPr="00695241">
        <w:rPr>
          <w:rFonts w:cs="Arial"/>
          <w:sz w:val="18"/>
          <w:szCs w:val="18"/>
          <w:lang w:val="en-US"/>
        </w:rPr>
        <w:t xml:space="preserve">, 9(2), pp.500–521. Available at: </w:t>
      </w:r>
      <w:hyperlink r:id="rId17" w:tgtFrame="_new" w:history="1">
        <w:r w:rsidRPr="00695241">
          <w:rPr>
            <w:rStyle w:val="afffc"/>
            <w:rFonts w:cs="Arial"/>
            <w:sz w:val="18"/>
            <w:szCs w:val="18"/>
            <w:lang w:val="en-US"/>
          </w:rPr>
          <w:t>https://doi.org/10.5281/zenodo.15051679</w:t>
        </w:r>
      </w:hyperlink>
      <w:r w:rsidRPr="00695241">
        <w:rPr>
          <w:rFonts w:cs="Arial"/>
          <w:sz w:val="18"/>
          <w:szCs w:val="18"/>
          <w:lang w:val="en-US"/>
        </w:rPr>
        <w:t xml:space="preserve"> [Accessed 2 June 2026].</w:t>
      </w:r>
    </w:p>
    <w:p w14:paraId="23EC1203" w14:textId="77777777" w:rsidR="00982BE6" w:rsidRPr="00695241" w:rsidRDefault="00982BE6" w:rsidP="00982BE6">
      <w:pPr>
        <w:pStyle w:val="aff1"/>
        <w:ind w:firstLine="720"/>
        <w:rPr>
          <w:rFonts w:cs="Arial"/>
          <w:sz w:val="18"/>
          <w:szCs w:val="18"/>
          <w:lang w:val="en-US"/>
        </w:rPr>
      </w:pPr>
      <w:r w:rsidRPr="00695241">
        <w:rPr>
          <w:rFonts w:cs="Arial"/>
          <w:sz w:val="18"/>
          <w:szCs w:val="18"/>
          <w:lang w:val="en-US"/>
        </w:rPr>
        <w:t xml:space="preserve">Tena, N. and Asuero, A.G., 2022. Up-to-date analysis of the extraction methods for anthocyanins: principles of the techniques, optimization, technical progress, and industrial application. </w:t>
      </w:r>
      <w:r w:rsidRPr="00695241">
        <w:rPr>
          <w:rStyle w:val="affff0"/>
          <w:rFonts w:cs="Arial"/>
          <w:sz w:val="18"/>
          <w:szCs w:val="18"/>
          <w:lang w:val="en-US"/>
        </w:rPr>
        <w:t>Antioxidants</w:t>
      </w:r>
      <w:r w:rsidRPr="00695241">
        <w:rPr>
          <w:rFonts w:cs="Arial"/>
          <w:sz w:val="18"/>
          <w:szCs w:val="18"/>
          <w:lang w:val="en-US"/>
        </w:rPr>
        <w:t xml:space="preserve">, 11(2), p.286. Available at: </w:t>
      </w:r>
      <w:hyperlink r:id="rId18" w:tgtFrame="_new" w:history="1">
        <w:r w:rsidRPr="00695241">
          <w:rPr>
            <w:rStyle w:val="afffc"/>
            <w:rFonts w:cs="Arial"/>
            <w:sz w:val="18"/>
            <w:szCs w:val="18"/>
            <w:lang w:val="en-US"/>
          </w:rPr>
          <w:t>https://doi.org/10.3390/antiox11020286</w:t>
        </w:r>
      </w:hyperlink>
      <w:r w:rsidRPr="00695241">
        <w:rPr>
          <w:rFonts w:cs="Arial"/>
          <w:sz w:val="18"/>
          <w:szCs w:val="18"/>
          <w:lang w:val="en-US"/>
        </w:rPr>
        <w:t xml:space="preserve"> [Accessed 2 June 2026].</w:t>
      </w:r>
    </w:p>
    <w:p w14:paraId="19C4FC68" w14:textId="3D907EA9" w:rsidR="004628D2" w:rsidRPr="009F7485" w:rsidRDefault="00982BE6" w:rsidP="009F7485">
      <w:pPr>
        <w:pStyle w:val="aff1"/>
        <w:ind w:firstLine="720"/>
        <w:rPr>
          <w:rFonts w:cs="Arial"/>
          <w:sz w:val="18"/>
          <w:szCs w:val="18"/>
          <w:lang w:val="en-US"/>
        </w:rPr>
      </w:pPr>
      <w:r w:rsidRPr="00695241">
        <w:rPr>
          <w:rFonts w:cs="Arial"/>
          <w:sz w:val="18"/>
          <w:szCs w:val="18"/>
          <w:lang w:val="en-US"/>
        </w:rPr>
        <w:t xml:space="preserve">Vega, E.N., González-Zamorano, L., Cebadera, E., Barros, L., Pires, T.C.S.P., Molina, A.K., da Silveira, T.F.F., Vidal-Díez de Ulzurrun, G., Tardío, J. and Cámara, M., 2025. Natural food colorant obtained from wild </w:t>
      </w:r>
      <w:r w:rsidRPr="00695241">
        <w:rPr>
          <w:rStyle w:val="affff0"/>
          <w:rFonts w:cs="Arial"/>
          <w:sz w:val="18"/>
          <w:szCs w:val="18"/>
          <w:lang w:val="en-US"/>
        </w:rPr>
        <w:t>Berberis vulgaris</w:t>
      </w:r>
      <w:r w:rsidRPr="00695241">
        <w:rPr>
          <w:rFonts w:cs="Arial"/>
          <w:sz w:val="18"/>
          <w:szCs w:val="18"/>
          <w:lang w:val="en-US"/>
        </w:rPr>
        <w:t xml:space="preserve"> L. by ultrasound-assisted extraction: optimization and characterization. </w:t>
      </w:r>
      <w:r w:rsidRPr="00695241">
        <w:rPr>
          <w:rStyle w:val="affff0"/>
          <w:rFonts w:cs="Arial"/>
          <w:sz w:val="18"/>
          <w:szCs w:val="18"/>
          <w:lang w:val="en-US"/>
        </w:rPr>
        <w:t>Foods</w:t>
      </w:r>
      <w:r w:rsidRPr="00695241">
        <w:rPr>
          <w:rFonts w:cs="Arial"/>
          <w:sz w:val="18"/>
          <w:szCs w:val="18"/>
          <w:lang w:val="en-US"/>
        </w:rPr>
        <w:t xml:space="preserve">, 14(1), p.183. Available at: </w:t>
      </w:r>
      <w:hyperlink r:id="rId19" w:tgtFrame="_new" w:history="1">
        <w:r w:rsidRPr="00695241">
          <w:rPr>
            <w:rStyle w:val="afffc"/>
            <w:rFonts w:cs="Arial"/>
            <w:sz w:val="18"/>
            <w:szCs w:val="18"/>
            <w:lang w:val="en-US"/>
          </w:rPr>
          <w:t>https://doi.org/10.3390/foods14020183</w:t>
        </w:r>
      </w:hyperlink>
      <w:r w:rsidRPr="00695241">
        <w:rPr>
          <w:rFonts w:cs="Arial"/>
          <w:sz w:val="18"/>
          <w:szCs w:val="18"/>
          <w:lang w:val="en-US"/>
        </w:rPr>
        <w:t xml:space="preserve"> [Accessed 2 June 2026].</w:t>
      </w:r>
    </w:p>
    <w:sectPr w:rsidR="004628D2" w:rsidRPr="009F7485" w:rsidSect="008314D7">
      <w:type w:val="continuous"/>
      <w:pgSz w:w="11906" w:h="16838" w:code="9"/>
      <w:pgMar w:top="1701" w:right="1418" w:bottom="1701" w:left="1701" w:header="1701" w:footer="0"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9EE7A" w14:textId="77777777" w:rsidR="0041111E" w:rsidRDefault="0041111E" w:rsidP="004F5E36">
      <w:r>
        <w:separator/>
      </w:r>
    </w:p>
  </w:endnote>
  <w:endnote w:type="continuationSeparator" w:id="0">
    <w:p w14:paraId="2709869F" w14:textId="77777777" w:rsidR="0041111E" w:rsidRDefault="0041111E" w:rsidP="004F5E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dvP6960">
    <w:altName w:val="Times New Roman"/>
    <w:panose1 w:val="00000000000000000000"/>
    <w:charset w:val="4D"/>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D60A6E" w14:textId="77777777" w:rsidR="0041111E" w:rsidRDefault="0041111E" w:rsidP="004F5E36">
      <w:r>
        <w:separator/>
      </w:r>
    </w:p>
  </w:footnote>
  <w:footnote w:type="continuationSeparator" w:id="0">
    <w:p w14:paraId="53FAF878" w14:textId="77777777" w:rsidR="0041111E" w:rsidRDefault="0041111E" w:rsidP="004F5E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58AF15E"/>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65EC884E"/>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408CBE96"/>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CFC0B388"/>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CA34EB48"/>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5C6BD6"/>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87A9968"/>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ED2793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5F4206A"/>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206ACE1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2438217E"/>
    <w:multiLevelType w:val="multilevel"/>
    <w:tmpl w:val="F17228D6"/>
    <w:lvl w:ilvl="0">
      <w:start w:val="1"/>
      <w:numFmt w:val="decimal"/>
      <w:suff w:val="space"/>
      <w:lvlText w:val="Chapter %1"/>
      <w:lvlJc w:val="left"/>
      <w:pPr>
        <w:ind w:left="0" w:firstLine="0"/>
      </w:pPr>
      <w:rPr>
        <w:rFonts w:hint="default"/>
      </w:rPr>
    </w:lvl>
    <w:lvl w:ilvl="1">
      <w:start w:val="1"/>
      <w:numFmt w:val="decimal"/>
      <w:pStyle w:val="CETHeading1"/>
      <w:suff w:val="space"/>
      <w:lvlText w:val="%2."/>
      <w:lvlJc w:val="left"/>
      <w:pPr>
        <w:ind w:left="0" w:firstLine="0"/>
      </w:pPr>
      <w:rPr>
        <w:rFonts w:hint="default"/>
      </w:rPr>
    </w:lvl>
    <w:lvl w:ilvl="2">
      <w:start w:val="1"/>
      <w:numFmt w:val="decimal"/>
      <w:pStyle w:val="CETheadingx"/>
      <w:suff w:val="space"/>
      <w:lvlText w:val="%2.%3"/>
      <w:lvlJc w:val="left"/>
      <w:pPr>
        <w:ind w:left="0" w:firstLine="0"/>
      </w:pPr>
      <w:rPr>
        <w:rFonts w:hint="default"/>
      </w:rPr>
    </w:lvl>
    <w:lvl w:ilvl="3">
      <w:start w:val="1"/>
      <w:numFmt w:val="decimal"/>
      <w:pStyle w:val="1"/>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1" w15:restartNumberingAfterBreak="0">
    <w:nsid w:val="270947CC"/>
    <w:multiLevelType w:val="hybridMultilevel"/>
    <w:tmpl w:val="EDDA52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30B7370"/>
    <w:multiLevelType w:val="hybridMultilevel"/>
    <w:tmpl w:val="12E2AD3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351E0394"/>
    <w:multiLevelType w:val="hybridMultilevel"/>
    <w:tmpl w:val="806658E2"/>
    <w:lvl w:ilvl="0" w:tplc="14B0F7A8">
      <w:start w:val="1"/>
      <w:numFmt w:val="bullet"/>
      <w:pStyle w:val="CETnumberingbullets"/>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9C329B9"/>
    <w:multiLevelType w:val="hybridMultilevel"/>
    <w:tmpl w:val="A2E6C3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B100E8"/>
    <w:multiLevelType w:val="hybridMultilevel"/>
    <w:tmpl w:val="6F34C070"/>
    <w:lvl w:ilvl="0" w:tplc="14090011">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50A87BA7"/>
    <w:multiLevelType w:val="hybridMultilevel"/>
    <w:tmpl w:val="1F6A8AD4"/>
    <w:lvl w:ilvl="0" w:tplc="14B0F7A8">
      <w:start w:val="1"/>
      <w:numFmt w:val="bullet"/>
      <w:lvlText w:val=""/>
      <w:lvlJc w:val="left"/>
      <w:pPr>
        <w:ind w:left="340" w:hanging="227"/>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2217387"/>
    <w:multiLevelType w:val="hybridMultilevel"/>
    <w:tmpl w:val="C2AE185A"/>
    <w:lvl w:ilvl="0" w:tplc="14090011">
      <w:start w:val="1"/>
      <w:numFmt w:val="decimal"/>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56205803"/>
    <w:multiLevelType w:val="multilevel"/>
    <w:tmpl w:val="444C89D0"/>
    <w:lvl w:ilvl="0">
      <w:start w:val="1"/>
      <w:numFmt w:val="decimal"/>
      <w:suff w:val="space"/>
      <w:lvlText w:val="Chapter %1"/>
      <w:lvlJc w:val="left"/>
      <w:pPr>
        <w:ind w:left="0" w:firstLine="0"/>
      </w:pPr>
      <w:rPr>
        <w:rFonts w:hint="default"/>
      </w:rPr>
    </w:lvl>
    <w:lvl w:ilvl="1">
      <w:start w:val="1"/>
      <w:numFmt w:val="decimal"/>
      <w:suff w:val="space"/>
      <w:lvlText w:val="%2."/>
      <w:lvlJc w:val="left"/>
      <w:pPr>
        <w:ind w:left="0" w:firstLine="0"/>
      </w:pPr>
      <w:rPr>
        <w:rFonts w:hint="default"/>
      </w:rPr>
    </w:lvl>
    <w:lvl w:ilvl="2">
      <w:start w:val="1"/>
      <w:numFmt w:val="decimal"/>
      <w:suff w:val="space"/>
      <w:lvlText w:val="%2.%3."/>
      <w:lvlJc w:val="left"/>
      <w:pPr>
        <w:ind w:left="0" w:firstLine="0"/>
      </w:pPr>
      <w:rPr>
        <w:rFonts w:hint="default"/>
      </w:rPr>
    </w:lvl>
    <w:lvl w:ilvl="3">
      <w:start w:val="1"/>
      <w:numFmt w:val="decimal"/>
      <w:suff w:val="space"/>
      <w:lvlText w:val="%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3.%4.%5.%6.%7.%8.%9."/>
      <w:lvlJc w:val="left"/>
      <w:pPr>
        <w:ind w:left="0" w:firstLine="0"/>
      </w:pPr>
      <w:rPr>
        <w:rFonts w:hint="default"/>
      </w:rPr>
    </w:lvl>
  </w:abstractNum>
  <w:abstractNum w:abstractNumId="19" w15:restartNumberingAfterBreak="0">
    <w:nsid w:val="5AD311D0"/>
    <w:multiLevelType w:val="hybridMultilevel"/>
    <w:tmpl w:val="F198FF08"/>
    <w:lvl w:ilvl="0" w:tplc="62EA088C">
      <w:start w:val="1"/>
      <w:numFmt w:val="decimal"/>
      <w:pStyle w:val="CETnumbering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662015B5"/>
    <w:multiLevelType w:val="hybridMultilevel"/>
    <w:tmpl w:val="CCDE0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6865266D"/>
    <w:multiLevelType w:val="hybridMultilevel"/>
    <w:tmpl w:val="F5BE3C4A"/>
    <w:lvl w:ilvl="0" w:tplc="9FC4D28C">
      <w:start w:val="1"/>
      <w:numFmt w:val="lowerLetter"/>
      <w:pStyle w:val="CETnumberinga"/>
      <w:lvlText w:val="%1."/>
      <w:lvlJc w:val="left"/>
      <w:pPr>
        <w:ind w:left="340" w:hanging="227"/>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316882765">
    <w:abstractNumId w:val="10"/>
  </w:num>
  <w:num w:numId="2" w16cid:durableId="1954094313">
    <w:abstractNumId w:val="8"/>
  </w:num>
  <w:num w:numId="3" w16cid:durableId="2001083081">
    <w:abstractNumId w:val="3"/>
  </w:num>
  <w:num w:numId="4" w16cid:durableId="665287687">
    <w:abstractNumId w:val="2"/>
  </w:num>
  <w:num w:numId="5" w16cid:durableId="1763211618">
    <w:abstractNumId w:val="1"/>
  </w:num>
  <w:num w:numId="6" w16cid:durableId="733351894">
    <w:abstractNumId w:val="0"/>
  </w:num>
  <w:num w:numId="7" w16cid:durableId="1265187038">
    <w:abstractNumId w:val="9"/>
  </w:num>
  <w:num w:numId="8" w16cid:durableId="458382672">
    <w:abstractNumId w:val="7"/>
  </w:num>
  <w:num w:numId="9" w16cid:durableId="652636510">
    <w:abstractNumId w:val="6"/>
  </w:num>
  <w:num w:numId="10" w16cid:durableId="1972591888">
    <w:abstractNumId w:val="5"/>
  </w:num>
  <w:num w:numId="11" w16cid:durableId="1179278139">
    <w:abstractNumId w:val="4"/>
  </w:num>
  <w:num w:numId="12" w16cid:durableId="1575509198">
    <w:abstractNumId w:val="18"/>
  </w:num>
  <w:num w:numId="13" w16cid:durableId="695733619">
    <w:abstractNumId w:val="13"/>
  </w:num>
  <w:num w:numId="14" w16cid:durableId="145903400">
    <w:abstractNumId w:val="19"/>
  </w:num>
  <w:num w:numId="15" w16cid:durableId="19162326">
    <w:abstractNumId w:val="21"/>
  </w:num>
  <w:num w:numId="16" w16cid:durableId="1977102699">
    <w:abstractNumId w:val="20"/>
  </w:num>
  <w:num w:numId="17" w16cid:durableId="860774865">
    <w:abstractNumId w:val="12"/>
  </w:num>
  <w:num w:numId="18" w16cid:durableId="313221457">
    <w:abstractNumId w:val="13"/>
    <w:lvlOverride w:ilvl="0">
      <w:startOverride w:val="1"/>
    </w:lvlOverride>
  </w:num>
  <w:num w:numId="19" w16cid:durableId="534971577">
    <w:abstractNumId w:val="17"/>
  </w:num>
  <w:num w:numId="20" w16cid:durableId="1150947773">
    <w:abstractNumId w:val="16"/>
  </w:num>
  <w:num w:numId="21" w16cid:durableId="124660497">
    <w:abstractNumId w:val="15"/>
  </w:num>
  <w:num w:numId="22" w16cid:durableId="2099861471">
    <w:abstractNumId w:val="14"/>
  </w:num>
  <w:num w:numId="23" w16cid:durableId="1353409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ocumentProtection w:edit="forms" w:enforcement="0"/>
  <w:autoFormatOverride/>
  <w:styleLockTheme/>
  <w:styleLockQFSet/>
  <w:defaultTabStop w:val="708"/>
  <w:hyphenationZone w:val="283"/>
  <w:clickAndTypeStyle w:val="CETBodytext"/>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I0NzezsDA3M7MwMTJW0lEKTi0uzszPAymwrAUAugS3IywAAAA="/>
  </w:docVars>
  <w:rsids>
    <w:rsidRoot w:val="000E414A"/>
    <w:rsid w:val="000027C0"/>
    <w:rsid w:val="000052FB"/>
    <w:rsid w:val="00005884"/>
    <w:rsid w:val="00005A19"/>
    <w:rsid w:val="000117CB"/>
    <w:rsid w:val="000173F9"/>
    <w:rsid w:val="0003148D"/>
    <w:rsid w:val="00031EEC"/>
    <w:rsid w:val="00051566"/>
    <w:rsid w:val="000562A9"/>
    <w:rsid w:val="00062A9A"/>
    <w:rsid w:val="00065058"/>
    <w:rsid w:val="00086C39"/>
    <w:rsid w:val="000A03B2"/>
    <w:rsid w:val="000D0268"/>
    <w:rsid w:val="000D34BE"/>
    <w:rsid w:val="000E102F"/>
    <w:rsid w:val="000E36F1"/>
    <w:rsid w:val="000E3A73"/>
    <w:rsid w:val="000E414A"/>
    <w:rsid w:val="000E75FD"/>
    <w:rsid w:val="000F093C"/>
    <w:rsid w:val="000F787B"/>
    <w:rsid w:val="00101F02"/>
    <w:rsid w:val="0012091F"/>
    <w:rsid w:val="00124AAD"/>
    <w:rsid w:val="00126BC2"/>
    <w:rsid w:val="001308B6"/>
    <w:rsid w:val="0013121F"/>
    <w:rsid w:val="00131FE6"/>
    <w:rsid w:val="0013263F"/>
    <w:rsid w:val="001331DF"/>
    <w:rsid w:val="00134DE4"/>
    <w:rsid w:val="0014034D"/>
    <w:rsid w:val="00140FE3"/>
    <w:rsid w:val="00144D16"/>
    <w:rsid w:val="00150E59"/>
    <w:rsid w:val="00152DE3"/>
    <w:rsid w:val="00164CF9"/>
    <w:rsid w:val="001667A6"/>
    <w:rsid w:val="00184AD6"/>
    <w:rsid w:val="001863B4"/>
    <w:rsid w:val="001A4AF7"/>
    <w:rsid w:val="001B0349"/>
    <w:rsid w:val="001B1E93"/>
    <w:rsid w:val="001B65C1"/>
    <w:rsid w:val="001C260F"/>
    <w:rsid w:val="001C33F1"/>
    <w:rsid w:val="001C684B"/>
    <w:rsid w:val="001D0CFB"/>
    <w:rsid w:val="001D21AF"/>
    <w:rsid w:val="001D53FC"/>
    <w:rsid w:val="001F42A5"/>
    <w:rsid w:val="001F7B9D"/>
    <w:rsid w:val="00201C93"/>
    <w:rsid w:val="002224B4"/>
    <w:rsid w:val="002447EF"/>
    <w:rsid w:val="00251550"/>
    <w:rsid w:val="00263B05"/>
    <w:rsid w:val="0027221A"/>
    <w:rsid w:val="00275B61"/>
    <w:rsid w:val="00280FAF"/>
    <w:rsid w:val="00282656"/>
    <w:rsid w:val="00296B83"/>
    <w:rsid w:val="002B4015"/>
    <w:rsid w:val="002B78CE"/>
    <w:rsid w:val="002C2FB6"/>
    <w:rsid w:val="002E5FA7"/>
    <w:rsid w:val="002F3309"/>
    <w:rsid w:val="003008CE"/>
    <w:rsid w:val="003009B7"/>
    <w:rsid w:val="00300E56"/>
    <w:rsid w:val="0030152C"/>
    <w:rsid w:val="0030469C"/>
    <w:rsid w:val="00321CA6"/>
    <w:rsid w:val="00323763"/>
    <w:rsid w:val="00323C5F"/>
    <w:rsid w:val="00334C09"/>
    <w:rsid w:val="003723D4"/>
    <w:rsid w:val="00381905"/>
    <w:rsid w:val="00384CC8"/>
    <w:rsid w:val="003871FD"/>
    <w:rsid w:val="003A1E30"/>
    <w:rsid w:val="003A2829"/>
    <w:rsid w:val="003A7D1C"/>
    <w:rsid w:val="003B304B"/>
    <w:rsid w:val="003B3146"/>
    <w:rsid w:val="003B5C03"/>
    <w:rsid w:val="003D1E02"/>
    <w:rsid w:val="003F015E"/>
    <w:rsid w:val="00400414"/>
    <w:rsid w:val="0041111E"/>
    <w:rsid w:val="0041446B"/>
    <w:rsid w:val="0044071E"/>
    <w:rsid w:val="0044329C"/>
    <w:rsid w:val="00453E24"/>
    <w:rsid w:val="00457456"/>
    <w:rsid w:val="004577FE"/>
    <w:rsid w:val="00457B9C"/>
    <w:rsid w:val="0046164A"/>
    <w:rsid w:val="004628D2"/>
    <w:rsid w:val="00462DCD"/>
    <w:rsid w:val="004648AD"/>
    <w:rsid w:val="004703A9"/>
    <w:rsid w:val="004760DE"/>
    <w:rsid w:val="004763D7"/>
    <w:rsid w:val="004A004E"/>
    <w:rsid w:val="004A24CF"/>
    <w:rsid w:val="004A5E57"/>
    <w:rsid w:val="004C194F"/>
    <w:rsid w:val="004C3D1D"/>
    <w:rsid w:val="004C3D84"/>
    <w:rsid w:val="004C7913"/>
    <w:rsid w:val="004E4DD6"/>
    <w:rsid w:val="004F5E36"/>
    <w:rsid w:val="00507B47"/>
    <w:rsid w:val="00507BEF"/>
    <w:rsid w:val="00507CC9"/>
    <w:rsid w:val="005119A5"/>
    <w:rsid w:val="005278B7"/>
    <w:rsid w:val="00532016"/>
    <w:rsid w:val="005346C8"/>
    <w:rsid w:val="00543E7D"/>
    <w:rsid w:val="00547A68"/>
    <w:rsid w:val="005531C9"/>
    <w:rsid w:val="00570C43"/>
    <w:rsid w:val="00592274"/>
    <w:rsid w:val="005B2110"/>
    <w:rsid w:val="005B61E6"/>
    <w:rsid w:val="005C77E1"/>
    <w:rsid w:val="005D668A"/>
    <w:rsid w:val="005D6A2F"/>
    <w:rsid w:val="005E0592"/>
    <w:rsid w:val="005E1A82"/>
    <w:rsid w:val="005E794C"/>
    <w:rsid w:val="005F0A28"/>
    <w:rsid w:val="005F0E5E"/>
    <w:rsid w:val="00600535"/>
    <w:rsid w:val="00600FBE"/>
    <w:rsid w:val="006058D2"/>
    <w:rsid w:val="00610CD6"/>
    <w:rsid w:val="00620DEE"/>
    <w:rsid w:val="00621F92"/>
    <w:rsid w:val="0062280A"/>
    <w:rsid w:val="006231E1"/>
    <w:rsid w:val="00625639"/>
    <w:rsid w:val="00626ABC"/>
    <w:rsid w:val="00631B33"/>
    <w:rsid w:val="0064184D"/>
    <w:rsid w:val="006422CC"/>
    <w:rsid w:val="00651D18"/>
    <w:rsid w:val="00660E3E"/>
    <w:rsid w:val="00662E74"/>
    <w:rsid w:val="00664F9F"/>
    <w:rsid w:val="00680C23"/>
    <w:rsid w:val="00683E23"/>
    <w:rsid w:val="00693766"/>
    <w:rsid w:val="00697376"/>
    <w:rsid w:val="006A3281"/>
    <w:rsid w:val="006B4888"/>
    <w:rsid w:val="006C2E45"/>
    <w:rsid w:val="006C359C"/>
    <w:rsid w:val="006C5579"/>
    <w:rsid w:val="006D6E8B"/>
    <w:rsid w:val="006D7209"/>
    <w:rsid w:val="006E737D"/>
    <w:rsid w:val="00707DD1"/>
    <w:rsid w:val="00713973"/>
    <w:rsid w:val="00720A24"/>
    <w:rsid w:val="00732386"/>
    <w:rsid w:val="0073514D"/>
    <w:rsid w:val="007447F3"/>
    <w:rsid w:val="0075499F"/>
    <w:rsid w:val="007617CC"/>
    <w:rsid w:val="00765DF0"/>
    <w:rsid w:val="007661C8"/>
    <w:rsid w:val="0077098D"/>
    <w:rsid w:val="00785BF9"/>
    <w:rsid w:val="007931FA"/>
    <w:rsid w:val="007A4861"/>
    <w:rsid w:val="007A7BBA"/>
    <w:rsid w:val="007B0C50"/>
    <w:rsid w:val="007B48F9"/>
    <w:rsid w:val="007C1A43"/>
    <w:rsid w:val="007D0951"/>
    <w:rsid w:val="007F27C8"/>
    <w:rsid w:val="0080013E"/>
    <w:rsid w:val="00813288"/>
    <w:rsid w:val="008168FC"/>
    <w:rsid w:val="00830996"/>
    <w:rsid w:val="008314D7"/>
    <w:rsid w:val="008345F1"/>
    <w:rsid w:val="00865B07"/>
    <w:rsid w:val="008667EA"/>
    <w:rsid w:val="0087637F"/>
    <w:rsid w:val="00892AD5"/>
    <w:rsid w:val="00893D68"/>
    <w:rsid w:val="008A1512"/>
    <w:rsid w:val="008D32B9"/>
    <w:rsid w:val="008D433B"/>
    <w:rsid w:val="008D4A16"/>
    <w:rsid w:val="008E209A"/>
    <w:rsid w:val="008E45BC"/>
    <w:rsid w:val="008E566E"/>
    <w:rsid w:val="008F59DC"/>
    <w:rsid w:val="0090161A"/>
    <w:rsid w:val="00901EB6"/>
    <w:rsid w:val="009041F8"/>
    <w:rsid w:val="00904C62"/>
    <w:rsid w:val="00922BA8"/>
    <w:rsid w:val="00924DAC"/>
    <w:rsid w:val="00927058"/>
    <w:rsid w:val="00942750"/>
    <w:rsid w:val="009450CE"/>
    <w:rsid w:val="009459BB"/>
    <w:rsid w:val="00947179"/>
    <w:rsid w:val="0095164B"/>
    <w:rsid w:val="00954090"/>
    <w:rsid w:val="009573E7"/>
    <w:rsid w:val="00963E05"/>
    <w:rsid w:val="00964A45"/>
    <w:rsid w:val="00967843"/>
    <w:rsid w:val="00967D54"/>
    <w:rsid w:val="00971028"/>
    <w:rsid w:val="00982BE6"/>
    <w:rsid w:val="00993B84"/>
    <w:rsid w:val="00996483"/>
    <w:rsid w:val="00996F5A"/>
    <w:rsid w:val="009B041A"/>
    <w:rsid w:val="009C37C3"/>
    <w:rsid w:val="009C7C86"/>
    <w:rsid w:val="009D2FF7"/>
    <w:rsid w:val="009E7884"/>
    <w:rsid w:val="009E788A"/>
    <w:rsid w:val="009F0E08"/>
    <w:rsid w:val="009F7485"/>
    <w:rsid w:val="00A079AE"/>
    <w:rsid w:val="00A1763D"/>
    <w:rsid w:val="00A17CEC"/>
    <w:rsid w:val="00A26CBB"/>
    <w:rsid w:val="00A27EF0"/>
    <w:rsid w:val="00A42361"/>
    <w:rsid w:val="00A50B20"/>
    <w:rsid w:val="00A51390"/>
    <w:rsid w:val="00A60D13"/>
    <w:rsid w:val="00A7223D"/>
    <w:rsid w:val="00A72745"/>
    <w:rsid w:val="00A76EFC"/>
    <w:rsid w:val="00A87D50"/>
    <w:rsid w:val="00A91010"/>
    <w:rsid w:val="00A97F29"/>
    <w:rsid w:val="00AA702E"/>
    <w:rsid w:val="00AA7D26"/>
    <w:rsid w:val="00AB0964"/>
    <w:rsid w:val="00AB5011"/>
    <w:rsid w:val="00AC7368"/>
    <w:rsid w:val="00AD0278"/>
    <w:rsid w:val="00AD16B9"/>
    <w:rsid w:val="00AE377D"/>
    <w:rsid w:val="00AF0EBA"/>
    <w:rsid w:val="00B02C8A"/>
    <w:rsid w:val="00B17FBD"/>
    <w:rsid w:val="00B315A6"/>
    <w:rsid w:val="00B31813"/>
    <w:rsid w:val="00B33365"/>
    <w:rsid w:val="00B57B36"/>
    <w:rsid w:val="00B57E6F"/>
    <w:rsid w:val="00B8686D"/>
    <w:rsid w:val="00B93F69"/>
    <w:rsid w:val="00BB1DDC"/>
    <w:rsid w:val="00BC30C9"/>
    <w:rsid w:val="00BD077D"/>
    <w:rsid w:val="00BE3E58"/>
    <w:rsid w:val="00C01616"/>
    <w:rsid w:val="00C0162B"/>
    <w:rsid w:val="00C068ED"/>
    <w:rsid w:val="00C208E9"/>
    <w:rsid w:val="00C22E0C"/>
    <w:rsid w:val="00C345B1"/>
    <w:rsid w:val="00C40142"/>
    <w:rsid w:val="00C52C3C"/>
    <w:rsid w:val="00C57182"/>
    <w:rsid w:val="00C57863"/>
    <w:rsid w:val="00C640AF"/>
    <w:rsid w:val="00C655FD"/>
    <w:rsid w:val="00C75407"/>
    <w:rsid w:val="00C841C6"/>
    <w:rsid w:val="00C870A8"/>
    <w:rsid w:val="00C94434"/>
    <w:rsid w:val="00CA0D75"/>
    <w:rsid w:val="00CA1C95"/>
    <w:rsid w:val="00CA5A9C"/>
    <w:rsid w:val="00CB2614"/>
    <w:rsid w:val="00CC4C20"/>
    <w:rsid w:val="00CD3517"/>
    <w:rsid w:val="00CD5FE2"/>
    <w:rsid w:val="00CE7C68"/>
    <w:rsid w:val="00D02B4C"/>
    <w:rsid w:val="00D040C4"/>
    <w:rsid w:val="00D20AD1"/>
    <w:rsid w:val="00D2582C"/>
    <w:rsid w:val="00D46B7E"/>
    <w:rsid w:val="00D57C84"/>
    <w:rsid w:val="00D6057D"/>
    <w:rsid w:val="00D71640"/>
    <w:rsid w:val="00D836C5"/>
    <w:rsid w:val="00D84576"/>
    <w:rsid w:val="00DA1399"/>
    <w:rsid w:val="00DA24C6"/>
    <w:rsid w:val="00DA4D7B"/>
    <w:rsid w:val="00DD271C"/>
    <w:rsid w:val="00DE264A"/>
    <w:rsid w:val="00DF5072"/>
    <w:rsid w:val="00E02D18"/>
    <w:rsid w:val="00E041E7"/>
    <w:rsid w:val="00E23CA1"/>
    <w:rsid w:val="00E409A8"/>
    <w:rsid w:val="00E47D61"/>
    <w:rsid w:val="00E50C12"/>
    <w:rsid w:val="00E65B91"/>
    <w:rsid w:val="00E7209D"/>
    <w:rsid w:val="00E72EAD"/>
    <w:rsid w:val="00E77223"/>
    <w:rsid w:val="00E8528B"/>
    <w:rsid w:val="00E85B94"/>
    <w:rsid w:val="00E978D0"/>
    <w:rsid w:val="00EA4613"/>
    <w:rsid w:val="00EA7F91"/>
    <w:rsid w:val="00EB1523"/>
    <w:rsid w:val="00EC0E49"/>
    <w:rsid w:val="00EC101F"/>
    <w:rsid w:val="00EC1D9F"/>
    <w:rsid w:val="00EE0131"/>
    <w:rsid w:val="00EE17B0"/>
    <w:rsid w:val="00EF06D9"/>
    <w:rsid w:val="00EF0982"/>
    <w:rsid w:val="00F126A5"/>
    <w:rsid w:val="00F3049E"/>
    <w:rsid w:val="00F30C64"/>
    <w:rsid w:val="00F32BA2"/>
    <w:rsid w:val="00F32CDB"/>
    <w:rsid w:val="00F3348F"/>
    <w:rsid w:val="00F37280"/>
    <w:rsid w:val="00F41EE4"/>
    <w:rsid w:val="00F565FE"/>
    <w:rsid w:val="00F63A70"/>
    <w:rsid w:val="00F63D8C"/>
    <w:rsid w:val="00F7534E"/>
    <w:rsid w:val="00F93EDF"/>
    <w:rsid w:val="00FA1802"/>
    <w:rsid w:val="00FA21D0"/>
    <w:rsid w:val="00FA5F5F"/>
    <w:rsid w:val="00FB730C"/>
    <w:rsid w:val="00FC2695"/>
    <w:rsid w:val="00FC3E03"/>
    <w:rsid w:val="00FC3FC1"/>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E0CC22"/>
  <w14:defaultImageDpi w14:val="330"/>
  <w15:docId w15:val="{0B95FB59-9D38-42B5-B090-D2348EE1E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aliases w:val="CET Top_page"/>
    <w:rsid w:val="00620DEE"/>
    <w:pPr>
      <w:tabs>
        <w:tab w:val="right" w:pos="7100"/>
      </w:tabs>
      <w:spacing w:after="0" w:line="264" w:lineRule="auto"/>
      <w:jc w:val="both"/>
    </w:pPr>
    <w:rPr>
      <w:rFonts w:ascii="Arial" w:eastAsia="Times New Roman" w:hAnsi="Arial" w:cs="Times New Roman"/>
      <w:sz w:val="18"/>
      <w:szCs w:val="20"/>
      <w:lang w:val="en-GB"/>
    </w:rPr>
  </w:style>
  <w:style w:type="paragraph" w:styleId="10">
    <w:name w:val="heading 1"/>
    <w:basedOn w:val="CETHeading1"/>
    <w:next w:val="a1"/>
    <w:link w:val="11"/>
    <w:uiPriority w:val="9"/>
    <w:rsid w:val="004F5E36"/>
    <w:pPr>
      <w:tabs>
        <w:tab w:val="clear" w:pos="360"/>
        <w:tab w:val="right" w:pos="7100"/>
      </w:tabs>
      <w:jc w:val="both"/>
      <w:outlineLvl w:val="0"/>
    </w:pPr>
    <w:rPr>
      <w:lang w:val="en-GB"/>
    </w:rPr>
  </w:style>
  <w:style w:type="paragraph" w:styleId="21">
    <w:name w:val="heading 2"/>
    <w:basedOn w:val="a1"/>
    <w:next w:val="a1"/>
    <w:link w:val="22"/>
    <w:uiPriority w:val="9"/>
    <w:semiHidden/>
    <w:unhideWhenUsed/>
    <w:qFormat/>
    <w:rsid w:val="0003148D"/>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semiHidden/>
    <w:unhideWhenUsed/>
    <w:qFormat/>
    <w:rsid w:val="0003148D"/>
    <w:pPr>
      <w:keepNext/>
      <w:keepLines/>
      <w:spacing w:before="200"/>
      <w:outlineLvl w:val="2"/>
    </w:pPr>
    <w:rPr>
      <w:rFonts w:asciiTheme="majorHAnsi" w:eastAsiaTheme="majorEastAsia" w:hAnsiTheme="majorHAnsi" w:cstheme="majorBidi"/>
      <w:b/>
      <w:bCs/>
      <w:color w:val="4F81BD" w:themeColor="accent1"/>
    </w:rPr>
  </w:style>
  <w:style w:type="paragraph" w:styleId="41">
    <w:name w:val="heading 4"/>
    <w:basedOn w:val="a1"/>
    <w:next w:val="a1"/>
    <w:link w:val="42"/>
    <w:uiPriority w:val="9"/>
    <w:semiHidden/>
    <w:unhideWhenUsed/>
    <w:qFormat/>
    <w:rsid w:val="0003148D"/>
    <w:pPr>
      <w:keepNext/>
      <w:keepLines/>
      <w:spacing w:before="200"/>
      <w:outlineLvl w:val="3"/>
    </w:pPr>
    <w:rPr>
      <w:rFonts w:asciiTheme="majorHAnsi" w:eastAsiaTheme="majorEastAsia" w:hAnsiTheme="majorHAnsi" w:cstheme="majorBidi"/>
      <w:b/>
      <w:bCs/>
      <w:i/>
      <w:iCs/>
      <w:color w:val="4F81BD" w:themeColor="accent1"/>
    </w:rPr>
  </w:style>
  <w:style w:type="paragraph" w:styleId="51">
    <w:name w:val="heading 5"/>
    <w:basedOn w:val="a1"/>
    <w:next w:val="a1"/>
    <w:link w:val="52"/>
    <w:uiPriority w:val="9"/>
    <w:semiHidden/>
    <w:unhideWhenUsed/>
    <w:qFormat/>
    <w:rsid w:val="0003148D"/>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03148D"/>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03148D"/>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03148D"/>
    <w:pPr>
      <w:keepNext/>
      <w:keepLines/>
      <w:spacing w:before="200"/>
      <w:outlineLvl w:val="7"/>
    </w:pPr>
    <w:rPr>
      <w:rFonts w:asciiTheme="majorHAnsi" w:eastAsiaTheme="majorEastAsia" w:hAnsiTheme="majorHAnsi" w:cstheme="majorBidi"/>
      <w:color w:val="404040" w:themeColor="text1" w:themeTint="BF"/>
    </w:rPr>
  </w:style>
  <w:style w:type="paragraph" w:styleId="9">
    <w:name w:val="heading 9"/>
    <w:basedOn w:val="a1"/>
    <w:next w:val="a1"/>
    <w:link w:val="90"/>
    <w:uiPriority w:val="9"/>
    <w:semiHidden/>
    <w:unhideWhenUsed/>
    <w:qFormat/>
    <w:rsid w:val="0003148D"/>
    <w:pPr>
      <w:keepNext/>
      <w:keepLines/>
      <w:spacing w:before="200"/>
      <w:outlineLvl w:val="8"/>
    </w:pPr>
    <w:rPr>
      <w:rFonts w:asciiTheme="majorHAnsi" w:eastAsiaTheme="majorEastAsia" w:hAnsiTheme="majorHAnsi" w:cstheme="majorBidi"/>
      <w:i/>
      <w:iCs/>
      <w:color w:val="404040" w:themeColor="text1" w:themeTint="BF"/>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CETAuthors">
    <w:name w:val="CET Authors"/>
    <w:basedOn w:val="CETBodytext"/>
    <w:link w:val="CETAuthorsCarattere"/>
    <w:qFormat/>
    <w:rsid w:val="000E414A"/>
    <w:pPr>
      <w:keepNext/>
      <w:suppressAutoHyphens/>
      <w:spacing w:after="120"/>
    </w:pPr>
    <w:rPr>
      <w:noProof/>
      <w:sz w:val="24"/>
      <w:lang w:val="en-GB"/>
    </w:rPr>
  </w:style>
  <w:style w:type="paragraph" w:customStyle="1" w:styleId="CETTitle">
    <w:name w:val="CET Title"/>
    <w:next w:val="CETAuthors"/>
    <w:link w:val="CETTitleCarattere"/>
    <w:rsid w:val="00FB730C"/>
    <w:pPr>
      <w:suppressAutoHyphens/>
      <w:spacing w:before="480" w:after="120" w:line="264" w:lineRule="auto"/>
      <w:jc w:val="center"/>
      <w:outlineLvl w:val="0"/>
    </w:pPr>
    <w:rPr>
      <w:rFonts w:ascii="Arial" w:eastAsia="Times New Roman" w:hAnsi="Arial" w:cs="Times New Roman"/>
      <w:sz w:val="32"/>
      <w:szCs w:val="20"/>
      <w:lang w:val="en-GB"/>
    </w:rPr>
  </w:style>
  <w:style w:type="character" w:customStyle="1" w:styleId="CETAuthorsCarattere">
    <w:name w:val="CET Authors Carattere"/>
    <w:link w:val="CETAuthors"/>
    <w:rsid w:val="009E788A"/>
    <w:rPr>
      <w:rFonts w:ascii="Arial" w:eastAsia="Times New Roman" w:hAnsi="Arial" w:cs="Times New Roman"/>
      <w:noProof/>
      <w:sz w:val="24"/>
      <w:szCs w:val="20"/>
      <w:lang w:val="en-GB"/>
    </w:rPr>
  </w:style>
  <w:style w:type="character" w:customStyle="1" w:styleId="CETTitleCarattere">
    <w:name w:val="CET Title Carattere"/>
    <w:link w:val="CETTitle"/>
    <w:rsid w:val="00FB730C"/>
    <w:rPr>
      <w:rFonts w:ascii="Arial" w:eastAsia="Times New Roman" w:hAnsi="Arial" w:cs="Times New Roman"/>
      <w:sz w:val="32"/>
      <w:szCs w:val="20"/>
      <w:lang w:val="en-GB"/>
    </w:rPr>
  </w:style>
  <w:style w:type="paragraph" w:customStyle="1" w:styleId="CETHeading1">
    <w:name w:val="CET Heading1"/>
    <w:next w:val="CETBodytext"/>
    <w:qFormat/>
    <w:rsid w:val="009E788A"/>
    <w:pPr>
      <w:keepNext/>
      <w:numPr>
        <w:ilvl w:val="1"/>
        <w:numId w:val="1"/>
      </w:numPr>
      <w:tabs>
        <w:tab w:val="num" w:pos="360"/>
      </w:tabs>
      <w:suppressAutoHyphens/>
      <w:spacing w:before="240" w:after="120" w:line="240" w:lineRule="auto"/>
    </w:pPr>
    <w:rPr>
      <w:rFonts w:ascii="Arial" w:eastAsia="Times New Roman" w:hAnsi="Arial" w:cs="Times New Roman"/>
      <w:b/>
      <w:sz w:val="20"/>
      <w:szCs w:val="20"/>
      <w:lang w:val="en-US"/>
    </w:rPr>
  </w:style>
  <w:style w:type="paragraph" w:customStyle="1" w:styleId="CETBodytext">
    <w:name w:val="CET Body text"/>
    <w:link w:val="CETBodytextCarattere"/>
    <w:qFormat/>
    <w:rsid w:val="000E414A"/>
    <w:pPr>
      <w:tabs>
        <w:tab w:val="right" w:pos="7100"/>
      </w:tabs>
      <w:spacing w:after="0" w:line="264" w:lineRule="auto"/>
      <w:jc w:val="both"/>
    </w:pPr>
    <w:rPr>
      <w:rFonts w:ascii="Arial" w:eastAsia="Times New Roman" w:hAnsi="Arial" w:cs="Times New Roman"/>
      <w:sz w:val="18"/>
      <w:szCs w:val="20"/>
      <w:lang w:val="en-US"/>
    </w:rPr>
  </w:style>
  <w:style w:type="paragraph" w:customStyle="1" w:styleId="CETheadingx">
    <w:name w:val="CET headingx"/>
    <w:next w:val="CETBodytext"/>
    <w:link w:val="CETheadingxCarattere"/>
    <w:autoRedefine/>
    <w:qFormat/>
    <w:rsid w:val="00FA5F5F"/>
    <w:pPr>
      <w:keepNext/>
      <w:numPr>
        <w:ilvl w:val="2"/>
        <w:numId w:val="1"/>
      </w:numPr>
      <w:suppressAutoHyphens/>
      <w:spacing w:before="120" w:after="120" w:line="240" w:lineRule="auto"/>
    </w:pPr>
    <w:rPr>
      <w:rFonts w:ascii="Arial" w:eastAsia="Times New Roman" w:hAnsi="Arial" w:cs="Times New Roman"/>
      <w:b/>
      <w:sz w:val="18"/>
      <w:szCs w:val="20"/>
      <w:lang w:val="en-US"/>
    </w:rPr>
  </w:style>
  <w:style w:type="paragraph" w:customStyle="1" w:styleId="CETAddress">
    <w:name w:val="CET Address"/>
    <w:link w:val="CETAddressCarattere"/>
    <w:qFormat/>
    <w:rsid w:val="009E788A"/>
    <w:pPr>
      <w:keepNext/>
      <w:suppressAutoHyphens/>
      <w:spacing w:after="0"/>
      <w:contextualSpacing/>
    </w:pPr>
    <w:rPr>
      <w:rFonts w:ascii="Arial" w:eastAsia="Times New Roman" w:hAnsi="Arial" w:cs="Times New Roman"/>
      <w:noProof/>
      <w:sz w:val="16"/>
      <w:szCs w:val="20"/>
      <w:lang w:val="en-GB"/>
    </w:rPr>
  </w:style>
  <w:style w:type="table" w:styleId="1">
    <w:name w:val="Table Simple 1"/>
    <w:basedOn w:val="a3"/>
    <w:semiHidden/>
    <w:rsid w:val="000E414A"/>
    <w:pPr>
      <w:numPr>
        <w:ilvl w:val="3"/>
        <w:numId w:val="1"/>
      </w:numPr>
      <w:spacing w:after="0" w:line="264" w:lineRule="auto"/>
      <w:jc w:val="both"/>
    </w:pPr>
    <w:rPr>
      <w:rFonts w:ascii="Times New Roman" w:eastAsia="Times New Roman" w:hAnsi="Times New Roman" w:cs="Times New Roman"/>
      <w:sz w:val="20"/>
      <w:szCs w:val="20"/>
      <w:lang w:eastAsia="it-IT"/>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character" w:customStyle="1" w:styleId="CETBodytextCarattere">
    <w:name w:val="CET Body text Carattere"/>
    <w:link w:val="CETBodytext"/>
    <w:rsid w:val="000E414A"/>
    <w:rPr>
      <w:rFonts w:ascii="Arial" w:eastAsia="Times New Roman" w:hAnsi="Arial" w:cs="Times New Roman"/>
      <w:sz w:val="18"/>
      <w:szCs w:val="20"/>
      <w:lang w:val="en-US"/>
    </w:rPr>
  </w:style>
  <w:style w:type="paragraph" w:customStyle="1" w:styleId="CETReference">
    <w:name w:val="CET Reference"/>
    <w:qFormat/>
    <w:rsid w:val="00FC2695"/>
    <w:pPr>
      <w:spacing w:before="200" w:after="120" w:line="240" w:lineRule="auto"/>
    </w:pPr>
    <w:rPr>
      <w:rFonts w:ascii="Arial" w:eastAsia="Times New Roman" w:hAnsi="Arial" w:cs="Times New Roman"/>
      <w:b/>
      <w:sz w:val="18"/>
      <w:szCs w:val="20"/>
      <w:lang w:val="en-GB"/>
    </w:rPr>
  </w:style>
  <w:style w:type="paragraph" w:customStyle="1" w:styleId="CETCaption">
    <w:name w:val="CET Caption"/>
    <w:link w:val="CETCaptionCarattere"/>
    <w:qFormat/>
    <w:rsid w:val="00F7534E"/>
    <w:pPr>
      <w:spacing w:before="240" w:after="240" w:line="264" w:lineRule="auto"/>
      <w:jc w:val="both"/>
    </w:pPr>
    <w:rPr>
      <w:rFonts w:ascii="Arial" w:eastAsia="Times New Roman" w:hAnsi="Arial" w:cs="Times New Roman"/>
      <w:i/>
      <w:sz w:val="18"/>
      <w:szCs w:val="20"/>
      <w:lang w:val="en-GB"/>
    </w:rPr>
  </w:style>
  <w:style w:type="character" w:customStyle="1" w:styleId="CETheadingxCarattere">
    <w:name w:val="CET headingx Carattere"/>
    <w:link w:val="CETheadingx"/>
    <w:rsid w:val="00FA5F5F"/>
    <w:rPr>
      <w:rFonts w:ascii="Arial" w:eastAsia="Times New Roman" w:hAnsi="Arial" w:cs="Times New Roman"/>
      <w:b/>
      <w:sz w:val="18"/>
      <w:szCs w:val="20"/>
      <w:lang w:val="en-US"/>
    </w:rPr>
  </w:style>
  <w:style w:type="character" w:customStyle="1" w:styleId="CETCaptionCarattere">
    <w:name w:val="CET Caption Carattere"/>
    <w:link w:val="CETCaption"/>
    <w:rsid w:val="00F7534E"/>
    <w:rPr>
      <w:rFonts w:ascii="Arial" w:eastAsia="Times New Roman" w:hAnsi="Arial" w:cs="Times New Roman"/>
      <w:i/>
      <w:sz w:val="18"/>
      <w:szCs w:val="20"/>
      <w:lang w:val="en-GB"/>
    </w:rPr>
  </w:style>
  <w:style w:type="paragraph" w:customStyle="1" w:styleId="CETBodytextItalic">
    <w:name w:val="CET Body text (Italic)"/>
    <w:basedOn w:val="CETBodytext"/>
    <w:qFormat/>
    <w:rsid w:val="004F5E36"/>
    <w:rPr>
      <w:i/>
      <w:lang w:val="en-GB"/>
    </w:rPr>
  </w:style>
  <w:style w:type="character" w:styleId="a5">
    <w:name w:val="annotation reference"/>
    <w:basedOn w:val="a2"/>
    <w:uiPriority w:val="99"/>
    <w:semiHidden/>
    <w:unhideWhenUsed/>
    <w:rsid w:val="004577FE"/>
    <w:rPr>
      <w:sz w:val="16"/>
      <w:szCs w:val="16"/>
    </w:rPr>
  </w:style>
  <w:style w:type="paragraph" w:styleId="a6">
    <w:name w:val="Balloon Text"/>
    <w:basedOn w:val="a1"/>
    <w:link w:val="a7"/>
    <w:uiPriority w:val="99"/>
    <w:semiHidden/>
    <w:unhideWhenUsed/>
    <w:rsid w:val="000D34BE"/>
    <w:pPr>
      <w:spacing w:line="240" w:lineRule="auto"/>
    </w:pPr>
    <w:rPr>
      <w:rFonts w:ascii="Tahoma" w:hAnsi="Tahoma" w:cs="Tahoma"/>
      <w:sz w:val="16"/>
      <w:szCs w:val="16"/>
    </w:rPr>
  </w:style>
  <w:style w:type="character" w:customStyle="1" w:styleId="a7">
    <w:name w:val="Текст выноски Знак"/>
    <w:basedOn w:val="a2"/>
    <w:link w:val="a6"/>
    <w:uiPriority w:val="99"/>
    <w:semiHidden/>
    <w:rsid w:val="000D34BE"/>
    <w:rPr>
      <w:rFonts w:ascii="Tahoma" w:hAnsi="Tahoma" w:cs="Tahoma"/>
      <w:sz w:val="16"/>
      <w:szCs w:val="16"/>
    </w:rPr>
  </w:style>
  <w:style w:type="paragraph" w:styleId="a8">
    <w:name w:val="Bibliography"/>
    <w:basedOn w:val="CETReferencetext"/>
    <w:uiPriority w:val="37"/>
    <w:unhideWhenUsed/>
    <w:rsid w:val="00631B33"/>
    <w:pPr>
      <w:spacing w:line="240" w:lineRule="auto"/>
      <w:ind w:left="720" w:hanging="720"/>
    </w:pPr>
  </w:style>
  <w:style w:type="paragraph" w:styleId="23">
    <w:name w:val="Body Text 2"/>
    <w:basedOn w:val="a1"/>
    <w:link w:val="24"/>
    <w:uiPriority w:val="99"/>
    <w:semiHidden/>
    <w:unhideWhenUsed/>
    <w:rsid w:val="0003148D"/>
    <w:pPr>
      <w:spacing w:after="120" w:line="480" w:lineRule="auto"/>
    </w:pPr>
  </w:style>
  <w:style w:type="character" w:customStyle="1" w:styleId="24">
    <w:name w:val="Основной текст 2 Знак"/>
    <w:basedOn w:val="a2"/>
    <w:link w:val="23"/>
    <w:uiPriority w:val="99"/>
    <w:semiHidden/>
    <w:rsid w:val="0003148D"/>
  </w:style>
  <w:style w:type="paragraph" w:styleId="33">
    <w:name w:val="Body Text 3"/>
    <w:basedOn w:val="a1"/>
    <w:link w:val="34"/>
    <w:uiPriority w:val="99"/>
    <w:semiHidden/>
    <w:unhideWhenUsed/>
    <w:rsid w:val="0003148D"/>
    <w:pPr>
      <w:spacing w:after="120"/>
    </w:pPr>
    <w:rPr>
      <w:sz w:val="16"/>
      <w:szCs w:val="16"/>
    </w:rPr>
  </w:style>
  <w:style w:type="character" w:customStyle="1" w:styleId="34">
    <w:name w:val="Основной текст 3 Знак"/>
    <w:basedOn w:val="a2"/>
    <w:link w:val="33"/>
    <w:uiPriority w:val="99"/>
    <w:semiHidden/>
    <w:rsid w:val="0003148D"/>
    <w:rPr>
      <w:sz w:val="16"/>
      <w:szCs w:val="16"/>
    </w:rPr>
  </w:style>
  <w:style w:type="paragraph" w:styleId="a9">
    <w:name w:val="Body Text"/>
    <w:basedOn w:val="a1"/>
    <w:link w:val="aa"/>
    <w:uiPriority w:val="99"/>
    <w:semiHidden/>
    <w:unhideWhenUsed/>
    <w:rsid w:val="0003148D"/>
    <w:pPr>
      <w:spacing w:after="120"/>
    </w:pPr>
  </w:style>
  <w:style w:type="character" w:customStyle="1" w:styleId="aa">
    <w:name w:val="Основной текст Знак"/>
    <w:basedOn w:val="a2"/>
    <w:link w:val="a9"/>
    <w:uiPriority w:val="99"/>
    <w:semiHidden/>
    <w:rsid w:val="0003148D"/>
  </w:style>
  <w:style w:type="paragraph" w:styleId="ab">
    <w:name w:val="Date"/>
    <w:basedOn w:val="a1"/>
    <w:next w:val="a1"/>
    <w:link w:val="ac"/>
    <w:uiPriority w:val="99"/>
    <w:semiHidden/>
    <w:unhideWhenUsed/>
    <w:rsid w:val="0003148D"/>
  </w:style>
  <w:style w:type="character" w:customStyle="1" w:styleId="ac">
    <w:name w:val="Дата Знак"/>
    <w:basedOn w:val="a2"/>
    <w:link w:val="ab"/>
    <w:uiPriority w:val="99"/>
    <w:semiHidden/>
    <w:rsid w:val="0003148D"/>
  </w:style>
  <w:style w:type="paragraph" w:styleId="ad">
    <w:name w:val="caption"/>
    <w:basedOn w:val="a1"/>
    <w:next w:val="a1"/>
    <w:uiPriority w:val="35"/>
    <w:semiHidden/>
    <w:unhideWhenUsed/>
    <w:qFormat/>
    <w:rsid w:val="0003148D"/>
    <w:pPr>
      <w:spacing w:line="240" w:lineRule="auto"/>
    </w:pPr>
    <w:rPr>
      <w:b/>
      <w:bCs/>
      <w:color w:val="4F81BD" w:themeColor="accent1"/>
      <w:szCs w:val="18"/>
    </w:rPr>
  </w:style>
  <w:style w:type="paragraph" w:styleId="ae">
    <w:name w:val="List"/>
    <w:basedOn w:val="a1"/>
    <w:uiPriority w:val="99"/>
    <w:semiHidden/>
    <w:unhideWhenUsed/>
    <w:rsid w:val="0003148D"/>
    <w:pPr>
      <w:ind w:left="283" w:hanging="283"/>
      <w:contextualSpacing/>
    </w:pPr>
  </w:style>
  <w:style w:type="paragraph" w:styleId="25">
    <w:name w:val="List 2"/>
    <w:basedOn w:val="a1"/>
    <w:uiPriority w:val="99"/>
    <w:semiHidden/>
    <w:unhideWhenUsed/>
    <w:rsid w:val="0003148D"/>
    <w:pPr>
      <w:ind w:left="566" w:hanging="283"/>
      <w:contextualSpacing/>
    </w:pPr>
  </w:style>
  <w:style w:type="paragraph" w:styleId="35">
    <w:name w:val="List 3"/>
    <w:basedOn w:val="a1"/>
    <w:uiPriority w:val="99"/>
    <w:semiHidden/>
    <w:unhideWhenUsed/>
    <w:rsid w:val="0003148D"/>
    <w:pPr>
      <w:ind w:left="849" w:hanging="283"/>
      <w:contextualSpacing/>
    </w:pPr>
  </w:style>
  <w:style w:type="paragraph" w:styleId="43">
    <w:name w:val="List 4"/>
    <w:basedOn w:val="a1"/>
    <w:uiPriority w:val="99"/>
    <w:semiHidden/>
    <w:unhideWhenUsed/>
    <w:rsid w:val="0003148D"/>
    <w:pPr>
      <w:ind w:left="1132" w:hanging="283"/>
      <w:contextualSpacing/>
    </w:pPr>
  </w:style>
  <w:style w:type="paragraph" w:styleId="53">
    <w:name w:val="List 5"/>
    <w:basedOn w:val="a1"/>
    <w:uiPriority w:val="99"/>
    <w:semiHidden/>
    <w:unhideWhenUsed/>
    <w:rsid w:val="0003148D"/>
    <w:pPr>
      <w:ind w:left="1415" w:hanging="283"/>
      <w:contextualSpacing/>
    </w:pPr>
  </w:style>
  <w:style w:type="paragraph" w:styleId="af">
    <w:name w:val="List Continue"/>
    <w:basedOn w:val="a1"/>
    <w:uiPriority w:val="99"/>
    <w:semiHidden/>
    <w:unhideWhenUsed/>
    <w:rsid w:val="0003148D"/>
    <w:pPr>
      <w:spacing w:after="120"/>
      <w:ind w:left="283"/>
      <w:contextualSpacing/>
    </w:pPr>
  </w:style>
  <w:style w:type="paragraph" w:styleId="26">
    <w:name w:val="List Continue 2"/>
    <w:basedOn w:val="a1"/>
    <w:uiPriority w:val="99"/>
    <w:semiHidden/>
    <w:unhideWhenUsed/>
    <w:rsid w:val="0003148D"/>
    <w:pPr>
      <w:spacing w:after="120"/>
      <w:ind w:left="566"/>
      <w:contextualSpacing/>
    </w:pPr>
  </w:style>
  <w:style w:type="paragraph" w:styleId="36">
    <w:name w:val="List Continue 3"/>
    <w:basedOn w:val="a1"/>
    <w:uiPriority w:val="99"/>
    <w:semiHidden/>
    <w:unhideWhenUsed/>
    <w:rsid w:val="0003148D"/>
    <w:pPr>
      <w:spacing w:after="120"/>
      <w:ind w:left="849"/>
      <w:contextualSpacing/>
    </w:pPr>
  </w:style>
  <w:style w:type="paragraph" w:styleId="44">
    <w:name w:val="List Continue 4"/>
    <w:basedOn w:val="a1"/>
    <w:uiPriority w:val="99"/>
    <w:semiHidden/>
    <w:unhideWhenUsed/>
    <w:rsid w:val="0003148D"/>
    <w:pPr>
      <w:spacing w:after="120"/>
      <w:ind w:left="1132"/>
      <w:contextualSpacing/>
    </w:pPr>
  </w:style>
  <w:style w:type="paragraph" w:styleId="54">
    <w:name w:val="List Continue 5"/>
    <w:basedOn w:val="a1"/>
    <w:uiPriority w:val="99"/>
    <w:semiHidden/>
    <w:unhideWhenUsed/>
    <w:rsid w:val="0003148D"/>
    <w:pPr>
      <w:spacing w:after="120"/>
      <w:ind w:left="1415"/>
      <w:contextualSpacing/>
    </w:pPr>
  </w:style>
  <w:style w:type="paragraph" w:styleId="af0">
    <w:name w:val="Signature"/>
    <w:basedOn w:val="a1"/>
    <w:link w:val="af1"/>
    <w:uiPriority w:val="99"/>
    <w:semiHidden/>
    <w:unhideWhenUsed/>
    <w:rsid w:val="0003148D"/>
    <w:pPr>
      <w:spacing w:line="240" w:lineRule="auto"/>
      <w:ind w:left="4252"/>
    </w:pPr>
  </w:style>
  <w:style w:type="character" w:customStyle="1" w:styleId="af1">
    <w:name w:val="Подпись Знак"/>
    <w:basedOn w:val="a2"/>
    <w:link w:val="af0"/>
    <w:uiPriority w:val="99"/>
    <w:semiHidden/>
    <w:rsid w:val="0003148D"/>
  </w:style>
  <w:style w:type="paragraph" w:styleId="af2">
    <w:name w:val="E-mail Signature"/>
    <w:basedOn w:val="a1"/>
    <w:link w:val="af3"/>
    <w:uiPriority w:val="99"/>
    <w:semiHidden/>
    <w:unhideWhenUsed/>
    <w:rsid w:val="0003148D"/>
    <w:pPr>
      <w:spacing w:line="240" w:lineRule="auto"/>
    </w:pPr>
  </w:style>
  <w:style w:type="character" w:customStyle="1" w:styleId="af3">
    <w:name w:val="Электронная подпись Знак"/>
    <w:basedOn w:val="a2"/>
    <w:link w:val="af2"/>
    <w:uiPriority w:val="99"/>
    <w:semiHidden/>
    <w:rsid w:val="0003148D"/>
  </w:style>
  <w:style w:type="paragraph" w:styleId="af4">
    <w:name w:val="Salutation"/>
    <w:basedOn w:val="a1"/>
    <w:next w:val="a1"/>
    <w:link w:val="af5"/>
    <w:uiPriority w:val="99"/>
    <w:semiHidden/>
    <w:unhideWhenUsed/>
    <w:rsid w:val="0003148D"/>
  </w:style>
  <w:style w:type="character" w:customStyle="1" w:styleId="af5">
    <w:name w:val="Приветствие Знак"/>
    <w:basedOn w:val="a2"/>
    <w:link w:val="af4"/>
    <w:uiPriority w:val="99"/>
    <w:semiHidden/>
    <w:rsid w:val="0003148D"/>
  </w:style>
  <w:style w:type="paragraph" w:styleId="af6">
    <w:name w:val="Closing"/>
    <w:basedOn w:val="a1"/>
    <w:link w:val="af7"/>
    <w:uiPriority w:val="99"/>
    <w:semiHidden/>
    <w:unhideWhenUsed/>
    <w:rsid w:val="0003148D"/>
    <w:pPr>
      <w:spacing w:line="240" w:lineRule="auto"/>
      <w:ind w:left="4252"/>
    </w:pPr>
  </w:style>
  <w:style w:type="character" w:customStyle="1" w:styleId="af7">
    <w:name w:val="Прощание Знак"/>
    <w:basedOn w:val="a2"/>
    <w:link w:val="af6"/>
    <w:uiPriority w:val="99"/>
    <w:semiHidden/>
    <w:rsid w:val="0003148D"/>
  </w:style>
  <w:style w:type="paragraph" w:styleId="12">
    <w:name w:val="index 1"/>
    <w:basedOn w:val="a1"/>
    <w:next w:val="a1"/>
    <w:autoRedefine/>
    <w:uiPriority w:val="99"/>
    <w:semiHidden/>
    <w:unhideWhenUsed/>
    <w:rsid w:val="0003148D"/>
    <w:pPr>
      <w:spacing w:line="240" w:lineRule="auto"/>
      <w:ind w:left="220" w:hanging="220"/>
    </w:pPr>
  </w:style>
  <w:style w:type="paragraph" w:styleId="27">
    <w:name w:val="index 2"/>
    <w:basedOn w:val="a1"/>
    <w:next w:val="a1"/>
    <w:autoRedefine/>
    <w:uiPriority w:val="99"/>
    <w:semiHidden/>
    <w:unhideWhenUsed/>
    <w:rsid w:val="0003148D"/>
    <w:pPr>
      <w:spacing w:line="240" w:lineRule="auto"/>
      <w:ind w:left="440" w:hanging="220"/>
    </w:pPr>
  </w:style>
  <w:style w:type="paragraph" w:styleId="37">
    <w:name w:val="index 3"/>
    <w:basedOn w:val="a1"/>
    <w:next w:val="a1"/>
    <w:autoRedefine/>
    <w:uiPriority w:val="99"/>
    <w:semiHidden/>
    <w:unhideWhenUsed/>
    <w:rsid w:val="0003148D"/>
    <w:pPr>
      <w:spacing w:line="240" w:lineRule="auto"/>
      <w:ind w:left="660" w:hanging="220"/>
    </w:pPr>
  </w:style>
  <w:style w:type="paragraph" w:styleId="45">
    <w:name w:val="index 4"/>
    <w:basedOn w:val="a1"/>
    <w:next w:val="a1"/>
    <w:autoRedefine/>
    <w:uiPriority w:val="99"/>
    <w:semiHidden/>
    <w:unhideWhenUsed/>
    <w:rsid w:val="0003148D"/>
    <w:pPr>
      <w:spacing w:line="240" w:lineRule="auto"/>
      <w:ind w:left="880" w:hanging="220"/>
    </w:pPr>
  </w:style>
  <w:style w:type="paragraph" w:styleId="55">
    <w:name w:val="index 5"/>
    <w:basedOn w:val="a1"/>
    <w:next w:val="a1"/>
    <w:autoRedefine/>
    <w:uiPriority w:val="99"/>
    <w:semiHidden/>
    <w:unhideWhenUsed/>
    <w:rsid w:val="0003148D"/>
    <w:pPr>
      <w:spacing w:line="240" w:lineRule="auto"/>
      <w:ind w:left="1100" w:hanging="220"/>
    </w:pPr>
  </w:style>
  <w:style w:type="paragraph" w:styleId="61">
    <w:name w:val="index 6"/>
    <w:basedOn w:val="a1"/>
    <w:next w:val="a1"/>
    <w:autoRedefine/>
    <w:uiPriority w:val="99"/>
    <w:semiHidden/>
    <w:unhideWhenUsed/>
    <w:rsid w:val="0003148D"/>
    <w:pPr>
      <w:spacing w:line="240" w:lineRule="auto"/>
      <w:ind w:left="1320" w:hanging="220"/>
    </w:pPr>
  </w:style>
  <w:style w:type="paragraph" w:styleId="71">
    <w:name w:val="index 7"/>
    <w:basedOn w:val="a1"/>
    <w:next w:val="a1"/>
    <w:autoRedefine/>
    <w:uiPriority w:val="99"/>
    <w:semiHidden/>
    <w:unhideWhenUsed/>
    <w:rsid w:val="0003148D"/>
    <w:pPr>
      <w:spacing w:line="240" w:lineRule="auto"/>
      <w:ind w:left="1540" w:hanging="220"/>
    </w:pPr>
  </w:style>
  <w:style w:type="paragraph" w:styleId="81">
    <w:name w:val="index 8"/>
    <w:basedOn w:val="a1"/>
    <w:next w:val="a1"/>
    <w:autoRedefine/>
    <w:uiPriority w:val="99"/>
    <w:semiHidden/>
    <w:unhideWhenUsed/>
    <w:rsid w:val="0003148D"/>
    <w:pPr>
      <w:spacing w:line="240" w:lineRule="auto"/>
      <w:ind w:left="1760" w:hanging="220"/>
    </w:pPr>
  </w:style>
  <w:style w:type="paragraph" w:styleId="91">
    <w:name w:val="index 9"/>
    <w:basedOn w:val="a1"/>
    <w:next w:val="a1"/>
    <w:autoRedefine/>
    <w:uiPriority w:val="99"/>
    <w:semiHidden/>
    <w:unhideWhenUsed/>
    <w:rsid w:val="0003148D"/>
    <w:pPr>
      <w:spacing w:line="240" w:lineRule="auto"/>
      <w:ind w:left="1980" w:hanging="220"/>
    </w:pPr>
  </w:style>
  <w:style w:type="paragraph" w:styleId="af8">
    <w:name w:val="table of figures"/>
    <w:basedOn w:val="a1"/>
    <w:next w:val="a1"/>
    <w:uiPriority w:val="99"/>
    <w:semiHidden/>
    <w:unhideWhenUsed/>
    <w:rsid w:val="0003148D"/>
  </w:style>
  <w:style w:type="paragraph" w:styleId="af9">
    <w:name w:val="table of authorities"/>
    <w:basedOn w:val="a1"/>
    <w:next w:val="a1"/>
    <w:uiPriority w:val="99"/>
    <w:semiHidden/>
    <w:unhideWhenUsed/>
    <w:rsid w:val="0003148D"/>
    <w:pPr>
      <w:ind w:left="220" w:hanging="220"/>
    </w:pPr>
  </w:style>
  <w:style w:type="paragraph" w:styleId="afa">
    <w:name w:val="envelope address"/>
    <w:basedOn w:val="a1"/>
    <w:uiPriority w:val="99"/>
    <w:semiHidden/>
    <w:unhideWhenUsed/>
    <w:rsid w:val="0003148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HTML">
    <w:name w:val="HTML Address"/>
    <w:basedOn w:val="a1"/>
    <w:link w:val="HTML0"/>
    <w:uiPriority w:val="99"/>
    <w:semiHidden/>
    <w:unhideWhenUsed/>
    <w:rsid w:val="0003148D"/>
    <w:pPr>
      <w:spacing w:line="240" w:lineRule="auto"/>
    </w:pPr>
    <w:rPr>
      <w:i/>
      <w:iCs/>
    </w:rPr>
  </w:style>
  <w:style w:type="character" w:customStyle="1" w:styleId="HTML0">
    <w:name w:val="Адрес HTML Знак"/>
    <w:basedOn w:val="a2"/>
    <w:link w:val="HTML"/>
    <w:uiPriority w:val="99"/>
    <w:semiHidden/>
    <w:rsid w:val="0003148D"/>
    <w:rPr>
      <w:i/>
      <w:iCs/>
    </w:rPr>
  </w:style>
  <w:style w:type="paragraph" w:styleId="28">
    <w:name w:val="envelope return"/>
    <w:basedOn w:val="a1"/>
    <w:uiPriority w:val="99"/>
    <w:semiHidden/>
    <w:unhideWhenUsed/>
    <w:rsid w:val="0003148D"/>
    <w:pPr>
      <w:spacing w:line="240" w:lineRule="auto"/>
    </w:pPr>
    <w:rPr>
      <w:rFonts w:asciiTheme="majorHAnsi" w:eastAsiaTheme="majorEastAsia" w:hAnsiTheme="majorHAnsi" w:cstheme="majorBidi"/>
    </w:rPr>
  </w:style>
  <w:style w:type="paragraph" w:styleId="afb">
    <w:name w:val="Message Header"/>
    <w:basedOn w:val="a1"/>
    <w:link w:val="afc"/>
    <w:uiPriority w:val="99"/>
    <w:semiHidden/>
    <w:unhideWhenUsed/>
    <w:rsid w:val="0003148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afc">
    <w:name w:val="Шапка Знак"/>
    <w:basedOn w:val="a2"/>
    <w:link w:val="afb"/>
    <w:uiPriority w:val="99"/>
    <w:semiHidden/>
    <w:rsid w:val="0003148D"/>
    <w:rPr>
      <w:rFonts w:asciiTheme="majorHAnsi" w:eastAsiaTheme="majorEastAsia" w:hAnsiTheme="majorHAnsi" w:cstheme="majorBidi"/>
      <w:sz w:val="24"/>
      <w:szCs w:val="24"/>
      <w:shd w:val="pct20" w:color="auto" w:fill="auto"/>
    </w:rPr>
  </w:style>
  <w:style w:type="paragraph" w:styleId="afd">
    <w:name w:val="Note Heading"/>
    <w:basedOn w:val="a1"/>
    <w:next w:val="a1"/>
    <w:link w:val="afe"/>
    <w:uiPriority w:val="99"/>
    <w:semiHidden/>
    <w:unhideWhenUsed/>
    <w:rsid w:val="0003148D"/>
    <w:pPr>
      <w:spacing w:line="240" w:lineRule="auto"/>
    </w:pPr>
  </w:style>
  <w:style w:type="character" w:customStyle="1" w:styleId="afe">
    <w:name w:val="Заголовок записки Знак"/>
    <w:basedOn w:val="a2"/>
    <w:link w:val="afd"/>
    <w:uiPriority w:val="99"/>
    <w:semiHidden/>
    <w:rsid w:val="0003148D"/>
  </w:style>
  <w:style w:type="paragraph" w:styleId="aff">
    <w:name w:val="Document Map"/>
    <w:basedOn w:val="a1"/>
    <w:link w:val="aff0"/>
    <w:uiPriority w:val="99"/>
    <w:semiHidden/>
    <w:unhideWhenUsed/>
    <w:rsid w:val="0003148D"/>
    <w:pPr>
      <w:spacing w:line="240" w:lineRule="auto"/>
    </w:pPr>
    <w:rPr>
      <w:rFonts w:ascii="Tahoma" w:hAnsi="Tahoma" w:cs="Tahoma"/>
      <w:sz w:val="16"/>
      <w:szCs w:val="16"/>
    </w:rPr>
  </w:style>
  <w:style w:type="character" w:customStyle="1" w:styleId="aff0">
    <w:name w:val="Схема документа Знак"/>
    <w:basedOn w:val="a2"/>
    <w:link w:val="aff"/>
    <w:uiPriority w:val="99"/>
    <w:semiHidden/>
    <w:rsid w:val="0003148D"/>
    <w:rPr>
      <w:rFonts w:ascii="Tahoma" w:hAnsi="Tahoma" w:cs="Tahoma"/>
      <w:sz w:val="16"/>
      <w:szCs w:val="16"/>
    </w:rPr>
  </w:style>
  <w:style w:type="paragraph" w:styleId="aff1">
    <w:name w:val="Normal (Web)"/>
    <w:basedOn w:val="a1"/>
    <w:uiPriority w:val="99"/>
    <w:unhideWhenUsed/>
    <w:rsid w:val="0003148D"/>
    <w:rPr>
      <w:sz w:val="24"/>
      <w:szCs w:val="24"/>
    </w:rPr>
  </w:style>
  <w:style w:type="paragraph" w:styleId="a">
    <w:name w:val="List Number"/>
    <w:basedOn w:val="a1"/>
    <w:uiPriority w:val="99"/>
    <w:semiHidden/>
    <w:unhideWhenUsed/>
    <w:rsid w:val="0003148D"/>
    <w:pPr>
      <w:numPr>
        <w:numId w:val="2"/>
      </w:numPr>
      <w:contextualSpacing/>
    </w:pPr>
  </w:style>
  <w:style w:type="paragraph" w:styleId="2">
    <w:name w:val="List Number 2"/>
    <w:basedOn w:val="a1"/>
    <w:uiPriority w:val="99"/>
    <w:semiHidden/>
    <w:unhideWhenUsed/>
    <w:rsid w:val="0003148D"/>
    <w:pPr>
      <w:numPr>
        <w:numId w:val="3"/>
      </w:numPr>
      <w:contextualSpacing/>
    </w:pPr>
  </w:style>
  <w:style w:type="paragraph" w:styleId="3">
    <w:name w:val="List Number 3"/>
    <w:basedOn w:val="a1"/>
    <w:uiPriority w:val="99"/>
    <w:semiHidden/>
    <w:unhideWhenUsed/>
    <w:rsid w:val="0003148D"/>
    <w:pPr>
      <w:numPr>
        <w:numId w:val="4"/>
      </w:numPr>
      <w:contextualSpacing/>
    </w:pPr>
  </w:style>
  <w:style w:type="paragraph" w:styleId="4">
    <w:name w:val="List Number 4"/>
    <w:basedOn w:val="a1"/>
    <w:uiPriority w:val="99"/>
    <w:semiHidden/>
    <w:unhideWhenUsed/>
    <w:rsid w:val="0003148D"/>
    <w:pPr>
      <w:numPr>
        <w:numId w:val="5"/>
      </w:numPr>
      <w:contextualSpacing/>
    </w:pPr>
  </w:style>
  <w:style w:type="paragraph" w:styleId="5">
    <w:name w:val="List Number 5"/>
    <w:basedOn w:val="a1"/>
    <w:uiPriority w:val="99"/>
    <w:semiHidden/>
    <w:unhideWhenUsed/>
    <w:rsid w:val="0003148D"/>
    <w:pPr>
      <w:numPr>
        <w:numId w:val="6"/>
      </w:numPr>
      <w:contextualSpacing/>
    </w:pPr>
  </w:style>
  <w:style w:type="paragraph" w:styleId="HTML1">
    <w:name w:val="HTML Preformatted"/>
    <w:basedOn w:val="a1"/>
    <w:link w:val="HTML2"/>
    <w:uiPriority w:val="99"/>
    <w:semiHidden/>
    <w:unhideWhenUsed/>
    <w:rsid w:val="0003148D"/>
    <w:pPr>
      <w:spacing w:line="240" w:lineRule="auto"/>
    </w:pPr>
    <w:rPr>
      <w:rFonts w:ascii="Consolas" w:hAnsi="Consolas" w:cs="Consolas"/>
    </w:rPr>
  </w:style>
  <w:style w:type="character" w:customStyle="1" w:styleId="HTML2">
    <w:name w:val="Стандартный HTML Знак"/>
    <w:basedOn w:val="a2"/>
    <w:link w:val="HTML1"/>
    <w:uiPriority w:val="99"/>
    <w:semiHidden/>
    <w:rsid w:val="0003148D"/>
    <w:rPr>
      <w:rFonts w:ascii="Consolas" w:hAnsi="Consolas" w:cs="Consolas"/>
      <w:sz w:val="20"/>
      <w:szCs w:val="20"/>
    </w:rPr>
  </w:style>
  <w:style w:type="paragraph" w:styleId="aff2">
    <w:name w:val="Body Text First Indent"/>
    <w:basedOn w:val="a9"/>
    <w:link w:val="aff3"/>
    <w:uiPriority w:val="99"/>
    <w:semiHidden/>
    <w:unhideWhenUsed/>
    <w:rsid w:val="0003148D"/>
    <w:pPr>
      <w:spacing w:after="200"/>
      <w:ind w:firstLine="360"/>
    </w:pPr>
  </w:style>
  <w:style w:type="character" w:customStyle="1" w:styleId="aff3">
    <w:name w:val="Красная строка Знак"/>
    <w:basedOn w:val="aa"/>
    <w:link w:val="aff2"/>
    <w:uiPriority w:val="99"/>
    <w:semiHidden/>
    <w:rsid w:val="0003148D"/>
  </w:style>
  <w:style w:type="paragraph" w:styleId="aff4">
    <w:name w:val="Body Text Indent"/>
    <w:basedOn w:val="a1"/>
    <w:link w:val="aff5"/>
    <w:uiPriority w:val="99"/>
    <w:semiHidden/>
    <w:unhideWhenUsed/>
    <w:rsid w:val="0003148D"/>
    <w:pPr>
      <w:spacing w:after="120"/>
      <w:ind w:left="283"/>
    </w:pPr>
  </w:style>
  <w:style w:type="character" w:customStyle="1" w:styleId="aff5">
    <w:name w:val="Основной текст с отступом Знак"/>
    <w:basedOn w:val="a2"/>
    <w:link w:val="aff4"/>
    <w:uiPriority w:val="99"/>
    <w:semiHidden/>
    <w:rsid w:val="0003148D"/>
  </w:style>
  <w:style w:type="paragraph" w:styleId="29">
    <w:name w:val="Body Text First Indent 2"/>
    <w:basedOn w:val="aff4"/>
    <w:link w:val="2a"/>
    <w:uiPriority w:val="99"/>
    <w:semiHidden/>
    <w:unhideWhenUsed/>
    <w:rsid w:val="0003148D"/>
    <w:pPr>
      <w:spacing w:after="200"/>
      <w:ind w:left="360" w:firstLine="360"/>
    </w:pPr>
  </w:style>
  <w:style w:type="character" w:customStyle="1" w:styleId="2a">
    <w:name w:val="Красная строка 2 Знак"/>
    <w:basedOn w:val="aff5"/>
    <w:link w:val="29"/>
    <w:uiPriority w:val="99"/>
    <w:semiHidden/>
    <w:rsid w:val="0003148D"/>
  </w:style>
  <w:style w:type="paragraph" w:styleId="a0">
    <w:name w:val="List Bullet"/>
    <w:basedOn w:val="a1"/>
    <w:uiPriority w:val="99"/>
    <w:semiHidden/>
    <w:unhideWhenUsed/>
    <w:rsid w:val="0003148D"/>
    <w:pPr>
      <w:numPr>
        <w:numId w:val="7"/>
      </w:numPr>
      <w:contextualSpacing/>
    </w:pPr>
  </w:style>
  <w:style w:type="paragraph" w:styleId="20">
    <w:name w:val="List Bullet 2"/>
    <w:basedOn w:val="a1"/>
    <w:uiPriority w:val="99"/>
    <w:semiHidden/>
    <w:unhideWhenUsed/>
    <w:rsid w:val="0003148D"/>
    <w:pPr>
      <w:numPr>
        <w:numId w:val="8"/>
      </w:numPr>
      <w:contextualSpacing/>
    </w:pPr>
  </w:style>
  <w:style w:type="paragraph" w:styleId="30">
    <w:name w:val="List Bullet 3"/>
    <w:basedOn w:val="a1"/>
    <w:uiPriority w:val="99"/>
    <w:semiHidden/>
    <w:unhideWhenUsed/>
    <w:rsid w:val="0003148D"/>
    <w:pPr>
      <w:numPr>
        <w:numId w:val="9"/>
      </w:numPr>
      <w:contextualSpacing/>
    </w:pPr>
  </w:style>
  <w:style w:type="paragraph" w:styleId="40">
    <w:name w:val="List Bullet 4"/>
    <w:basedOn w:val="a1"/>
    <w:uiPriority w:val="99"/>
    <w:semiHidden/>
    <w:unhideWhenUsed/>
    <w:rsid w:val="0003148D"/>
    <w:pPr>
      <w:numPr>
        <w:numId w:val="10"/>
      </w:numPr>
      <w:contextualSpacing/>
    </w:pPr>
  </w:style>
  <w:style w:type="paragraph" w:styleId="50">
    <w:name w:val="List Bullet 5"/>
    <w:basedOn w:val="a1"/>
    <w:uiPriority w:val="99"/>
    <w:semiHidden/>
    <w:unhideWhenUsed/>
    <w:rsid w:val="0003148D"/>
    <w:pPr>
      <w:numPr>
        <w:numId w:val="11"/>
      </w:numPr>
      <w:contextualSpacing/>
    </w:pPr>
  </w:style>
  <w:style w:type="paragraph" w:styleId="2b">
    <w:name w:val="Body Text Indent 2"/>
    <w:basedOn w:val="a1"/>
    <w:link w:val="2c"/>
    <w:uiPriority w:val="99"/>
    <w:semiHidden/>
    <w:unhideWhenUsed/>
    <w:rsid w:val="0003148D"/>
    <w:pPr>
      <w:spacing w:after="120" w:line="480" w:lineRule="auto"/>
      <w:ind w:left="283"/>
    </w:pPr>
  </w:style>
  <w:style w:type="character" w:customStyle="1" w:styleId="2c">
    <w:name w:val="Основной текст с отступом 2 Знак"/>
    <w:basedOn w:val="a2"/>
    <w:link w:val="2b"/>
    <w:uiPriority w:val="99"/>
    <w:semiHidden/>
    <w:rsid w:val="0003148D"/>
  </w:style>
  <w:style w:type="paragraph" w:styleId="38">
    <w:name w:val="Body Text Indent 3"/>
    <w:basedOn w:val="a1"/>
    <w:link w:val="39"/>
    <w:uiPriority w:val="99"/>
    <w:semiHidden/>
    <w:unhideWhenUsed/>
    <w:rsid w:val="0003148D"/>
    <w:pPr>
      <w:spacing w:after="120"/>
      <w:ind w:left="283"/>
    </w:pPr>
    <w:rPr>
      <w:sz w:val="16"/>
      <w:szCs w:val="16"/>
    </w:rPr>
  </w:style>
  <w:style w:type="character" w:customStyle="1" w:styleId="39">
    <w:name w:val="Основной текст с отступом 3 Знак"/>
    <w:basedOn w:val="a2"/>
    <w:link w:val="38"/>
    <w:uiPriority w:val="99"/>
    <w:semiHidden/>
    <w:rsid w:val="0003148D"/>
    <w:rPr>
      <w:sz w:val="16"/>
      <w:szCs w:val="16"/>
    </w:rPr>
  </w:style>
  <w:style w:type="paragraph" w:styleId="aff6">
    <w:name w:val="Normal Indent"/>
    <w:basedOn w:val="a1"/>
    <w:uiPriority w:val="99"/>
    <w:semiHidden/>
    <w:unhideWhenUsed/>
    <w:rsid w:val="0003148D"/>
    <w:pPr>
      <w:ind w:left="720"/>
    </w:pPr>
  </w:style>
  <w:style w:type="paragraph" w:styleId="aff7">
    <w:name w:val="annotation text"/>
    <w:basedOn w:val="a1"/>
    <w:link w:val="aff8"/>
    <w:uiPriority w:val="99"/>
    <w:unhideWhenUsed/>
    <w:rsid w:val="0003148D"/>
    <w:pPr>
      <w:spacing w:line="240" w:lineRule="auto"/>
    </w:pPr>
  </w:style>
  <w:style w:type="character" w:customStyle="1" w:styleId="aff8">
    <w:name w:val="Текст примечания Знак"/>
    <w:basedOn w:val="a2"/>
    <w:link w:val="aff7"/>
    <w:uiPriority w:val="99"/>
    <w:rsid w:val="0003148D"/>
    <w:rPr>
      <w:sz w:val="20"/>
      <w:szCs w:val="20"/>
    </w:rPr>
  </w:style>
  <w:style w:type="paragraph" w:styleId="aff9">
    <w:name w:val="annotation subject"/>
    <w:basedOn w:val="aff7"/>
    <w:next w:val="aff7"/>
    <w:link w:val="affa"/>
    <w:uiPriority w:val="99"/>
    <w:semiHidden/>
    <w:unhideWhenUsed/>
    <w:rsid w:val="0003148D"/>
    <w:rPr>
      <w:b/>
      <w:bCs/>
    </w:rPr>
  </w:style>
  <w:style w:type="character" w:customStyle="1" w:styleId="affa">
    <w:name w:val="Тема примечания Знак"/>
    <w:basedOn w:val="aff8"/>
    <w:link w:val="aff9"/>
    <w:uiPriority w:val="99"/>
    <w:semiHidden/>
    <w:rsid w:val="0003148D"/>
    <w:rPr>
      <w:b/>
      <w:bCs/>
      <w:sz w:val="20"/>
      <w:szCs w:val="20"/>
    </w:rPr>
  </w:style>
  <w:style w:type="paragraph" w:styleId="13">
    <w:name w:val="toc 1"/>
    <w:basedOn w:val="a1"/>
    <w:next w:val="a1"/>
    <w:autoRedefine/>
    <w:uiPriority w:val="39"/>
    <w:semiHidden/>
    <w:unhideWhenUsed/>
    <w:rsid w:val="0003148D"/>
    <w:pPr>
      <w:spacing w:after="100"/>
    </w:pPr>
  </w:style>
  <w:style w:type="paragraph" w:styleId="2d">
    <w:name w:val="toc 2"/>
    <w:basedOn w:val="a1"/>
    <w:next w:val="a1"/>
    <w:autoRedefine/>
    <w:uiPriority w:val="39"/>
    <w:semiHidden/>
    <w:unhideWhenUsed/>
    <w:rsid w:val="0003148D"/>
    <w:pPr>
      <w:spacing w:after="100"/>
      <w:ind w:left="220"/>
    </w:pPr>
  </w:style>
  <w:style w:type="paragraph" w:styleId="3a">
    <w:name w:val="toc 3"/>
    <w:basedOn w:val="a1"/>
    <w:next w:val="a1"/>
    <w:autoRedefine/>
    <w:uiPriority w:val="39"/>
    <w:semiHidden/>
    <w:unhideWhenUsed/>
    <w:rsid w:val="0003148D"/>
    <w:pPr>
      <w:spacing w:after="100"/>
      <w:ind w:left="440"/>
    </w:pPr>
  </w:style>
  <w:style w:type="paragraph" w:styleId="46">
    <w:name w:val="toc 4"/>
    <w:basedOn w:val="a1"/>
    <w:next w:val="a1"/>
    <w:autoRedefine/>
    <w:uiPriority w:val="39"/>
    <w:semiHidden/>
    <w:unhideWhenUsed/>
    <w:rsid w:val="0003148D"/>
    <w:pPr>
      <w:spacing w:after="100"/>
      <w:ind w:left="660"/>
    </w:pPr>
  </w:style>
  <w:style w:type="paragraph" w:styleId="56">
    <w:name w:val="toc 5"/>
    <w:basedOn w:val="a1"/>
    <w:next w:val="a1"/>
    <w:autoRedefine/>
    <w:uiPriority w:val="39"/>
    <w:semiHidden/>
    <w:unhideWhenUsed/>
    <w:rsid w:val="0003148D"/>
    <w:pPr>
      <w:spacing w:after="100"/>
      <w:ind w:left="880"/>
    </w:pPr>
  </w:style>
  <w:style w:type="paragraph" w:styleId="62">
    <w:name w:val="toc 6"/>
    <w:basedOn w:val="a1"/>
    <w:next w:val="a1"/>
    <w:autoRedefine/>
    <w:uiPriority w:val="39"/>
    <w:semiHidden/>
    <w:unhideWhenUsed/>
    <w:rsid w:val="0003148D"/>
    <w:pPr>
      <w:spacing w:after="100"/>
      <w:ind w:left="1100"/>
    </w:pPr>
  </w:style>
  <w:style w:type="paragraph" w:styleId="72">
    <w:name w:val="toc 7"/>
    <w:basedOn w:val="a1"/>
    <w:next w:val="a1"/>
    <w:autoRedefine/>
    <w:uiPriority w:val="39"/>
    <w:semiHidden/>
    <w:unhideWhenUsed/>
    <w:rsid w:val="0003148D"/>
    <w:pPr>
      <w:spacing w:after="100"/>
      <w:ind w:left="1320"/>
    </w:pPr>
  </w:style>
  <w:style w:type="paragraph" w:styleId="82">
    <w:name w:val="toc 8"/>
    <w:basedOn w:val="a1"/>
    <w:next w:val="a1"/>
    <w:autoRedefine/>
    <w:uiPriority w:val="39"/>
    <w:semiHidden/>
    <w:unhideWhenUsed/>
    <w:rsid w:val="0003148D"/>
    <w:pPr>
      <w:spacing w:after="100"/>
      <w:ind w:left="1540"/>
    </w:pPr>
  </w:style>
  <w:style w:type="paragraph" w:styleId="92">
    <w:name w:val="toc 9"/>
    <w:basedOn w:val="a1"/>
    <w:next w:val="a1"/>
    <w:autoRedefine/>
    <w:uiPriority w:val="39"/>
    <w:semiHidden/>
    <w:unhideWhenUsed/>
    <w:rsid w:val="0003148D"/>
    <w:pPr>
      <w:spacing w:after="100"/>
      <w:ind w:left="1760"/>
    </w:pPr>
  </w:style>
  <w:style w:type="paragraph" w:styleId="affb">
    <w:name w:val="Block Text"/>
    <w:basedOn w:val="a1"/>
    <w:uiPriority w:val="99"/>
    <w:semiHidden/>
    <w:unhideWhenUsed/>
    <w:rsid w:val="0003148D"/>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affc">
    <w:name w:val="macro"/>
    <w:link w:val="affd"/>
    <w:uiPriority w:val="99"/>
    <w:semiHidden/>
    <w:unhideWhenUsed/>
    <w:rsid w:val="0003148D"/>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cs="Consolas"/>
      <w:sz w:val="20"/>
      <w:szCs w:val="20"/>
    </w:rPr>
  </w:style>
  <w:style w:type="character" w:customStyle="1" w:styleId="affd">
    <w:name w:val="Текст макроса Знак"/>
    <w:basedOn w:val="a2"/>
    <w:link w:val="affc"/>
    <w:uiPriority w:val="99"/>
    <w:semiHidden/>
    <w:rsid w:val="0003148D"/>
    <w:rPr>
      <w:rFonts w:ascii="Consolas" w:hAnsi="Consolas" w:cs="Consolas"/>
      <w:sz w:val="20"/>
      <w:szCs w:val="20"/>
    </w:rPr>
  </w:style>
  <w:style w:type="paragraph" w:styleId="affe">
    <w:name w:val="Plain Text"/>
    <w:basedOn w:val="a1"/>
    <w:link w:val="afff"/>
    <w:uiPriority w:val="99"/>
    <w:semiHidden/>
    <w:unhideWhenUsed/>
    <w:rsid w:val="0003148D"/>
    <w:pPr>
      <w:spacing w:line="240" w:lineRule="auto"/>
    </w:pPr>
    <w:rPr>
      <w:rFonts w:ascii="Consolas" w:hAnsi="Consolas" w:cs="Consolas"/>
      <w:sz w:val="21"/>
      <w:szCs w:val="21"/>
    </w:rPr>
  </w:style>
  <w:style w:type="character" w:customStyle="1" w:styleId="afff">
    <w:name w:val="Текст Знак"/>
    <w:basedOn w:val="a2"/>
    <w:link w:val="affe"/>
    <w:uiPriority w:val="99"/>
    <w:semiHidden/>
    <w:rsid w:val="0003148D"/>
    <w:rPr>
      <w:rFonts w:ascii="Consolas" w:hAnsi="Consolas" w:cs="Consolas"/>
      <w:sz w:val="21"/>
      <w:szCs w:val="21"/>
    </w:rPr>
  </w:style>
  <w:style w:type="paragraph" w:styleId="afff0">
    <w:name w:val="footnote text"/>
    <w:basedOn w:val="a1"/>
    <w:link w:val="afff1"/>
    <w:uiPriority w:val="99"/>
    <w:semiHidden/>
    <w:unhideWhenUsed/>
    <w:rsid w:val="0003148D"/>
    <w:pPr>
      <w:spacing w:line="240" w:lineRule="auto"/>
    </w:pPr>
  </w:style>
  <w:style w:type="character" w:customStyle="1" w:styleId="afff1">
    <w:name w:val="Текст сноски Знак"/>
    <w:basedOn w:val="a2"/>
    <w:link w:val="afff0"/>
    <w:uiPriority w:val="99"/>
    <w:semiHidden/>
    <w:rsid w:val="0003148D"/>
    <w:rPr>
      <w:sz w:val="20"/>
      <w:szCs w:val="20"/>
    </w:rPr>
  </w:style>
  <w:style w:type="paragraph" w:styleId="afff2">
    <w:name w:val="endnote text"/>
    <w:basedOn w:val="a1"/>
    <w:link w:val="afff3"/>
    <w:uiPriority w:val="99"/>
    <w:semiHidden/>
    <w:unhideWhenUsed/>
    <w:rsid w:val="0003148D"/>
    <w:pPr>
      <w:spacing w:line="240" w:lineRule="auto"/>
    </w:pPr>
  </w:style>
  <w:style w:type="character" w:customStyle="1" w:styleId="afff3">
    <w:name w:val="Текст концевой сноски Знак"/>
    <w:basedOn w:val="a2"/>
    <w:link w:val="afff2"/>
    <w:uiPriority w:val="99"/>
    <w:semiHidden/>
    <w:rsid w:val="0003148D"/>
    <w:rPr>
      <w:sz w:val="20"/>
      <w:szCs w:val="20"/>
    </w:rPr>
  </w:style>
  <w:style w:type="character" w:customStyle="1" w:styleId="11">
    <w:name w:val="Заголовок 1 Знак"/>
    <w:basedOn w:val="a2"/>
    <w:link w:val="10"/>
    <w:uiPriority w:val="9"/>
    <w:rsid w:val="004F5E36"/>
    <w:rPr>
      <w:rFonts w:ascii="Arial" w:eastAsia="Times New Roman" w:hAnsi="Arial" w:cs="Times New Roman"/>
      <w:b/>
      <w:sz w:val="20"/>
      <w:szCs w:val="20"/>
      <w:lang w:val="en-GB"/>
    </w:rPr>
  </w:style>
  <w:style w:type="character" w:customStyle="1" w:styleId="22">
    <w:name w:val="Заголовок 2 Знак"/>
    <w:basedOn w:val="a2"/>
    <w:link w:val="21"/>
    <w:uiPriority w:val="9"/>
    <w:semiHidden/>
    <w:rsid w:val="0003148D"/>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semiHidden/>
    <w:rsid w:val="0003148D"/>
    <w:rPr>
      <w:rFonts w:asciiTheme="majorHAnsi" w:eastAsiaTheme="majorEastAsia" w:hAnsiTheme="majorHAnsi" w:cstheme="majorBidi"/>
      <w:b/>
      <w:bCs/>
      <w:color w:val="4F81BD" w:themeColor="accent1"/>
    </w:rPr>
  </w:style>
  <w:style w:type="character" w:customStyle="1" w:styleId="42">
    <w:name w:val="Заголовок 4 Знак"/>
    <w:basedOn w:val="a2"/>
    <w:link w:val="41"/>
    <w:uiPriority w:val="9"/>
    <w:semiHidden/>
    <w:rsid w:val="0003148D"/>
    <w:rPr>
      <w:rFonts w:asciiTheme="majorHAnsi" w:eastAsiaTheme="majorEastAsia" w:hAnsiTheme="majorHAnsi" w:cstheme="majorBidi"/>
      <w:b/>
      <w:bCs/>
      <w:i/>
      <w:iCs/>
      <w:color w:val="4F81BD" w:themeColor="accent1"/>
    </w:rPr>
  </w:style>
  <w:style w:type="character" w:customStyle="1" w:styleId="52">
    <w:name w:val="Заголовок 5 Знак"/>
    <w:basedOn w:val="a2"/>
    <w:link w:val="51"/>
    <w:uiPriority w:val="9"/>
    <w:semiHidden/>
    <w:rsid w:val="0003148D"/>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03148D"/>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03148D"/>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03148D"/>
    <w:rPr>
      <w:rFonts w:asciiTheme="majorHAnsi" w:eastAsiaTheme="majorEastAsia" w:hAnsiTheme="majorHAnsi" w:cstheme="majorBidi"/>
      <w:color w:val="404040" w:themeColor="text1" w:themeTint="BF"/>
      <w:sz w:val="20"/>
      <w:szCs w:val="20"/>
    </w:rPr>
  </w:style>
  <w:style w:type="character" w:customStyle="1" w:styleId="90">
    <w:name w:val="Заголовок 9 Знак"/>
    <w:basedOn w:val="a2"/>
    <w:link w:val="9"/>
    <w:uiPriority w:val="9"/>
    <w:semiHidden/>
    <w:rsid w:val="0003148D"/>
    <w:rPr>
      <w:rFonts w:asciiTheme="majorHAnsi" w:eastAsiaTheme="majorEastAsia" w:hAnsiTheme="majorHAnsi" w:cstheme="majorBidi"/>
      <w:i/>
      <w:iCs/>
      <w:color w:val="404040" w:themeColor="text1" w:themeTint="BF"/>
      <w:sz w:val="20"/>
      <w:szCs w:val="20"/>
    </w:rPr>
  </w:style>
  <w:style w:type="paragraph" w:styleId="afff4">
    <w:name w:val="index heading"/>
    <w:basedOn w:val="a1"/>
    <w:next w:val="12"/>
    <w:uiPriority w:val="99"/>
    <w:semiHidden/>
    <w:unhideWhenUsed/>
    <w:rsid w:val="0003148D"/>
    <w:rPr>
      <w:rFonts w:asciiTheme="majorHAnsi" w:eastAsiaTheme="majorEastAsia" w:hAnsiTheme="majorHAnsi" w:cstheme="majorBidi"/>
      <w:b/>
      <w:bCs/>
    </w:rPr>
  </w:style>
  <w:style w:type="paragraph" w:styleId="afff5">
    <w:name w:val="toa heading"/>
    <w:basedOn w:val="a1"/>
    <w:next w:val="a1"/>
    <w:uiPriority w:val="99"/>
    <w:semiHidden/>
    <w:unhideWhenUsed/>
    <w:rsid w:val="0003148D"/>
    <w:pPr>
      <w:spacing w:before="120"/>
    </w:pPr>
    <w:rPr>
      <w:rFonts w:asciiTheme="majorHAnsi" w:eastAsiaTheme="majorEastAsia" w:hAnsiTheme="majorHAnsi" w:cstheme="majorBidi"/>
      <w:b/>
      <w:bCs/>
      <w:sz w:val="24"/>
      <w:szCs w:val="24"/>
    </w:rPr>
  </w:style>
  <w:style w:type="paragraph" w:styleId="afff6">
    <w:name w:val="TOC Heading"/>
    <w:basedOn w:val="10"/>
    <w:next w:val="a1"/>
    <w:uiPriority w:val="39"/>
    <w:semiHidden/>
    <w:unhideWhenUsed/>
    <w:qFormat/>
    <w:rsid w:val="0003148D"/>
    <w:pPr>
      <w:outlineLvl w:val="9"/>
    </w:pPr>
  </w:style>
  <w:style w:type="paragraph" w:customStyle="1" w:styleId="CETemail">
    <w:name w:val="CET email"/>
    <w:next w:val="CETBodytext"/>
    <w:rsid w:val="009E788A"/>
    <w:pPr>
      <w:spacing w:after="240"/>
    </w:pPr>
    <w:rPr>
      <w:rFonts w:ascii="Arial" w:eastAsia="Times New Roman" w:hAnsi="Arial" w:cs="Times New Roman"/>
      <w:noProof/>
      <w:sz w:val="16"/>
      <w:szCs w:val="20"/>
      <w:lang w:val="en-GB"/>
    </w:rPr>
  </w:style>
  <w:style w:type="character" w:customStyle="1" w:styleId="CETAddressCarattere">
    <w:name w:val="CET Address Carattere"/>
    <w:basedOn w:val="a2"/>
    <w:link w:val="CETAddress"/>
    <w:rsid w:val="009E788A"/>
    <w:rPr>
      <w:rFonts w:ascii="Arial" w:eastAsia="Times New Roman" w:hAnsi="Arial" w:cs="Times New Roman"/>
      <w:noProof/>
      <w:sz w:val="16"/>
      <w:szCs w:val="20"/>
      <w:lang w:val="en-GB"/>
    </w:rPr>
  </w:style>
  <w:style w:type="paragraph" w:customStyle="1" w:styleId="CETBodytextBold">
    <w:name w:val="CET Body text (Bold)"/>
    <w:basedOn w:val="CETBodytext"/>
    <w:rsid w:val="00901EB6"/>
    <w:rPr>
      <w:b/>
    </w:rPr>
  </w:style>
  <w:style w:type="paragraph" w:customStyle="1" w:styleId="CETnumberingbullets">
    <w:name w:val="CET numbering (bullets)"/>
    <w:rsid w:val="008D433B"/>
    <w:pPr>
      <w:numPr>
        <w:numId w:val="13"/>
      </w:numPr>
      <w:spacing w:after="0" w:line="264" w:lineRule="auto"/>
    </w:pPr>
    <w:rPr>
      <w:rFonts w:ascii="Arial" w:eastAsia="Times New Roman" w:hAnsi="Arial" w:cs="Times New Roman"/>
      <w:sz w:val="18"/>
      <w:szCs w:val="20"/>
      <w:lang w:val="en-GB"/>
    </w:rPr>
  </w:style>
  <w:style w:type="paragraph" w:customStyle="1" w:styleId="CETnumbering1">
    <w:name w:val="CET numbering (1"/>
    <w:aliases w:val="2..)"/>
    <w:rsid w:val="00B57B36"/>
    <w:pPr>
      <w:numPr>
        <w:numId w:val="14"/>
      </w:numPr>
      <w:spacing w:after="0" w:line="264" w:lineRule="auto"/>
      <w:ind w:left="340" w:hanging="227"/>
    </w:pPr>
    <w:rPr>
      <w:rFonts w:ascii="Arial" w:eastAsia="Times New Roman" w:hAnsi="Arial" w:cs="Times New Roman"/>
      <w:sz w:val="18"/>
      <w:szCs w:val="20"/>
      <w:lang w:val="en-US"/>
    </w:rPr>
  </w:style>
  <w:style w:type="paragraph" w:customStyle="1" w:styleId="CETnumberinga">
    <w:name w:val="CET numbering (a"/>
    <w:aliases w:val="b,..)"/>
    <w:rsid w:val="00B57B36"/>
    <w:pPr>
      <w:numPr>
        <w:numId w:val="15"/>
      </w:numPr>
      <w:spacing w:after="0" w:line="264" w:lineRule="auto"/>
    </w:pPr>
    <w:rPr>
      <w:rFonts w:ascii="Arial" w:eastAsia="Times New Roman" w:hAnsi="Arial" w:cs="Times New Roman"/>
      <w:sz w:val="18"/>
      <w:szCs w:val="20"/>
      <w:lang w:val="en-GB"/>
    </w:rPr>
  </w:style>
  <w:style w:type="paragraph" w:styleId="afff7">
    <w:name w:val="header"/>
    <w:basedOn w:val="a1"/>
    <w:link w:val="afff8"/>
    <w:uiPriority w:val="99"/>
    <w:unhideWhenUsed/>
    <w:rsid w:val="005278B7"/>
    <w:pPr>
      <w:tabs>
        <w:tab w:val="clear" w:pos="7100"/>
        <w:tab w:val="center" w:pos="4819"/>
        <w:tab w:val="right" w:pos="9638"/>
      </w:tabs>
      <w:spacing w:line="240" w:lineRule="auto"/>
    </w:pPr>
  </w:style>
  <w:style w:type="character" w:customStyle="1" w:styleId="afff8">
    <w:name w:val="Верхний колонтитул Знак"/>
    <w:basedOn w:val="a2"/>
    <w:link w:val="afff7"/>
    <w:uiPriority w:val="99"/>
    <w:rsid w:val="005278B7"/>
    <w:rPr>
      <w:rFonts w:ascii="Arial" w:eastAsia="Times New Roman" w:hAnsi="Arial" w:cs="Times New Roman"/>
      <w:sz w:val="18"/>
      <w:szCs w:val="20"/>
      <w:lang w:val="en-GB"/>
    </w:rPr>
  </w:style>
  <w:style w:type="paragraph" w:styleId="afff9">
    <w:name w:val="footer"/>
    <w:basedOn w:val="a1"/>
    <w:link w:val="afffa"/>
    <w:uiPriority w:val="99"/>
    <w:unhideWhenUsed/>
    <w:rsid w:val="005278B7"/>
    <w:pPr>
      <w:tabs>
        <w:tab w:val="clear" w:pos="7100"/>
        <w:tab w:val="center" w:pos="4819"/>
        <w:tab w:val="right" w:pos="9638"/>
      </w:tabs>
      <w:spacing w:line="240" w:lineRule="auto"/>
    </w:pPr>
  </w:style>
  <w:style w:type="character" w:customStyle="1" w:styleId="afffa">
    <w:name w:val="Нижний колонтитул Знак"/>
    <w:basedOn w:val="a2"/>
    <w:link w:val="afff9"/>
    <w:uiPriority w:val="99"/>
    <w:rsid w:val="005278B7"/>
    <w:rPr>
      <w:rFonts w:ascii="Arial" w:eastAsia="Times New Roman" w:hAnsi="Arial" w:cs="Times New Roman"/>
      <w:sz w:val="18"/>
      <w:szCs w:val="20"/>
      <w:lang w:val="en-GB"/>
    </w:rPr>
  </w:style>
  <w:style w:type="table" w:styleId="afffb">
    <w:name w:val="Table Grid"/>
    <w:basedOn w:val="a3"/>
    <w:uiPriority w:val="39"/>
    <w:rsid w:val="00660E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c">
    <w:name w:val="Hyperlink"/>
    <w:basedOn w:val="a2"/>
    <w:uiPriority w:val="99"/>
    <w:unhideWhenUsed/>
    <w:rsid w:val="00904C62"/>
    <w:rPr>
      <w:color w:val="0000FF" w:themeColor="hyperlink"/>
      <w:u w:val="single"/>
    </w:rPr>
  </w:style>
  <w:style w:type="character" w:customStyle="1" w:styleId="eudoraheader">
    <w:name w:val="eudoraheader"/>
    <w:basedOn w:val="a2"/>
    <w:rsid w:val="00904C62"/>
  </w:style>
  <w:style w:type="paragraph" w:customStyle="1" w:styleId="CETListbullets">
    <w:name w:val="CET List bullets"/>
    <w:qFormat/>
    <w:rsid w:val="004577FE"/>
    <w:pPr>
      <w:spacing w:after="0" w:line="264" w:lineRule="auto"/>
      <w:ind w:left="340" w:hanging="227"/>
      <w:jc w:val="both"/>
    </w:pPr>
    <w:rPr>
      <w:rFonts w:ascii="Arial" w:eastAsia="Times New Roman" w:hAnsi="Arial" w:cs="Times New Roman"/>
      <w:sz w:val="18"/>
      <w:szCs w:val="20"/>
      <w:lang w:val="en-GB"/>
    </w:rPr>
  </w:style>
  <w:style w:type="paragraph" w:customStyle="1" w:styleId="CETReferencetext">
    <w:name w:val="CET Reference text"/>
    <w:qFormat/>
    <w:rsid w:val="00600535"/>
    <w:pPr>
      <w:spacing w:after="0" w:line="264" w:lineRule="auto"/>
      <w:ind w:left="284" w:hanging="284"/>
      <w:jc w:val="both"/>
    </w:pPr>
    <w:rPr>
      <w:rFonts w:ascii="Arial" w:eastAsia="Times New Roman" w:hAnsi="Arial" w:cs="Times New Roman"/>
      <w:sz w:val="18"/>
      <w:szCs w:val="20"/>
      <w:lang w:val="en-GB"/>
    </w:rPr>
  </w:style>
  <w:style w:type="paragraph" w:customStyle="1" w:styleId="CETTabletitle">
    <w:name w:val="CET Table title"/>
    <w:qFormat/>
    <w:rsid w:val="00600535"/>
    <w:pPr>
      <w:keepNext/>
      <w:spacing w:before="240" w:after="80" w:line="240" w:lineRule="exact"/>
    </w:pPr>
    <w:rPr>
      <w:rFonts w:ascii="Arial" w:eastAsia="Times New Roman" w:hAnsi="Arial" w:cs="Times New Roman"/>
      <w:i/>
      <w:sz w:val="18"/>
      <w:szCs w:val="20"/>
      <w:lang w:val="en-GB"/>
    </w:rPr>
  </w:style>
  <w:style w:type="paragraph" w:customStyle="1" w:styleId="CETAcknowledgementstitle">
    <w:name w:val="CET Acknowledgements title"/>
    <w:next w:val="CETBodytext"/>
    <w:qFormat/>
    <w:rsid w:val="00600535"/>
    <w:pPr>
      <w:spacing w:before="200" w:after="120"/>
    </w:pPr>
    <w:rPr>
      <w:rFonts w:ascii="Arial" w:eastAsia="Times New Roman" w:hAnsi="Arial" w:cs="Times New Roman"/>
      <w:b/>
      <w:sz w:val="18"/>
      <w:szCs w:val="20"/>
      <w:lang w:val="en-GB"/>
    </w:rPr>
  </w:style>
  <w:style w:type="paragraph" w:customStyle="1" w:styleId="CETEquation">
    <w:name w:val="CET Equation"/>
    <w:basedOn w:val="CETBodytext"/>
    <w:next w:val="CETBodytext"/>
    <w:qFormat/>
    <w:rsid w:val="00600535"/>
    <w:pPr>
      <w:spacing w:before="120" w:after="120"/>
      <w:jc w:val="left"/>
    </w:pPr>
    <w:rPr>
      <w:lang w:val="en-GB"/>
    </w:rPr>
  </w:style>
  <w:style w:type="paragraph" w:customStyle="1" w:styleId="CETHeadingxx">
    <w:name w:val="CET Headingxx"/>
    <w:basedOn w:val="CETheadingx"/>
    <w:link w:val="CETHeadingxxChar"/>
    <w:qFormat/>
    <w:rsid w:val="000F787B"/>
    <w:pPr>
      <w:numPr>
        <w:ilvl w:val="0"/>
        <w:numId w:val="0"/>
      </w:numPr>
    </w:pPr>
  </w:style>
  <w:style w:type="character" w:customStyle="1" w:styleId="CETHeadingxxChar">
    <w:name w:val="CET Headingxx Char"/>
    <w:basedOn w:val="CETheadingxCarattere"/>
    <w:link w:val="CETHeadingxx"/>
    <w:rsid w:val="000F787B"/>
    <w:rPr>
      <w:rFonts w:ascii="Arial" w:eastAsia="Times New Roman" w:hAnsi="Arial" w:cs="Times New Roman"/>
      <w:b/>
      <w:sz w:val="18"/>
      <w:szCs w:val="20"/>
      <w:lang w:val="en-US"/>
    </w:rPr>
  </w:style>
  <w:style w:type="paragraph" w:styleId="afffd">
    <w:name w:val="List Paragraph"/>
    <w:basedOn w:val="a1"/>
    <w:uiPriority w:val="34"/>
    <w:qFormat/>
    <w:rsid w:val="00280FAF"/>
    <w:pPr>
      <w:ind w:left="720"/>
      <w:contextualSpacing/>
    </w:pPr>
  </w:style>
  <w:style w:type="character" w:customStyle="1" w:styleId="gmail-apple-converted-space">
    <w:name w:val="gmail-apple-converted-space"/>
    <w:basedOn w:val="a2"/>
    <w:rsid w:val="00005A19"/>
  </w:style>
  <w:style w:type="character" w:styleId="afffe">
    <w:name w:val="Strong"/>
    <w:basedOn w:val="a2"/>
    <w:uiPriority w:val="22"/>
    <w:qFormat/>
    <w:rsid w:val="00982BE6"/>
    <w:rPr>
      <w:b/>
      <w:bCs/>
    </w:rPr>
  </w:style>
  <w:style w:type="character" w:styleId="affff">
    <w:name w:val="Unresolved Mention"/>
    <w:basedOn w:val="a2"/>
    <w:uiPriority w:val="99"/>
    <w:semiHidden/>
    <w:unhideWhenUsed/>
    <w:rsid w:val="00982BE6"/>
    <w:rPr>
      <w:color w:val="605E5C"/>
      <w:shd w:val="clear" w:color="auto" w:fill="E1DFDD"/>
    </w:rPr>
  </w:style>
  <w:style w:type="character" w:styleId="affff0">
    <w:name w:val="Emphasis"/>
    <w:basedOn w:val="a2"/>
    <w:uiPriority w:val="20"/>
    <w:qFormat/>
    <w:rsid w:val="00982B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0609195">
      <w:bodyDiv w:val="1"/>
      <w:marLeft w:val="0"/>
      <w:marRight w:val="0"/>
      <w:marTop w:val="0"/>
      <w:marBottom w:val="0"/>
      <w:divBdr>
        <w:top w:val="none" w:sz="0" w:space="0" w:color="auto"/>
        <w:left w:val="none" w:sz="0" w:space="0" w:color="auto"/>
        <w:bottom w:val="none" w:sz="0" w:space="0" w:color="auto"/>
        <w:right w:val="none" w:sz="0" w:space="0" w:color="auto"/>
      </w:divBdr>
      <w:divsChild>
        <w:div w:id="1810825834">
          <w:marLeft w:val="0"/>
          <w:marRight w:val="0"/>
          <w:marTop w:val="0"/>
          <w:marBottom w:val="0"/>
          <w:divBdr>
            <w:top w:val="none" w:sz="0" w:space="0" w:color="auto"/>
            <w:left w:val="none" w:sz="0" w:space="0" w:color="auto"/>
            <w:bottom w:val="none" w:sz="0" w:space="0" w:color="auto"/>
            <w:right w:val="none" w:sz="0" w:space="0" w:color="auto"/>
          </w:divBdr>
          <w:divsChild>
            <w:div w:id="578832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321189">
      <w:bodyDiv w:val="1"/>
      <w:marLeft w:val="0"/>
      <w:marRight w:val="0"/>
      <w:marTop w:val="0"/>
      <w:marBottom w:val="0"/>
      <w:divBdr>
        <w:top w:val="none" w:sz="0" w:space="0" w:color="auto"/>
        <w:left w:val="none" w:sz="0" w:space="0" w:color="auto"/>
        <w:bottom w:val="none" w:sz="0" w:space="0" w:color="auto"/>
        <w:right w:val="none" w:sz="0" w:space="0" w:color="auto"/>
      </w:divBdr>
      <w:divsChild>
        <w:div w:id="19673504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3056226">
      <w:bodyDiv w:val="1"/>
      <w:marLeft w:val="0"/>
      <w:marRight w:val="0"/>
      <w:marTop w:val="0"/>
      <w:marBottom w:val="0"/>
      <w:divBdr>
        <w:top w:val="none" w:sz="0" w:space="0" w:color="auto"/>
        <w:left w:val="none" w:sz="0" w:space="0" w:color="auto"/>
        <w:bottom w:val="none" w:sz="0" w:space="0" w:color="auto"/>
        <w:right w:val="none" w:sz="0" w:space="0" w:color="auto"/>
      </w:divBdr>
      <w:divsChild>
        <w:div w:id="790123951">
          <w:marLeft w:val="0"/>
          <w:marRight w:val="0"/>
          <w:marTop w:val="0"/>
          <w:marBottom w:val="0"/>
          <w:divBdr>
            <w:top w:val="none" w:sz="0" w:space="0" w:color="auto"/>
            <w:left w:val="none" w:sz="0" w:space="0" w:color="auto"/>
            <w:bottom w:val="none" w:sz="0" w:space="0" w:color="auto"/>
            <w:right w:val="none" w:sz="0" w:space="0" w:color="auto"/>
          </w:divBdr>
          <w:divsChild>
            <w:div w:id="182146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3681295">
      <w:bodyDiv w:val="1"/>
      <w:marLeft w:val="0"/>
      <w:marRight w:val="0"/>
      <w:marTop w:val="0"/>
      <w:marBottom w:val="0"/>
      <w:divBdr>
        <w:top w:val="none" w:sz="0" w:space="0" w:color="auto"/>
        <w:left w:val="none" w:sz="0" w:space="0" w:color="auto"/>
        <w:bottom w:val="none" w:sz="0" w:space="0" w:color="auto"/>
        <w:right w:val="none" w:sz="0" w:space="0" w:color="auto"/>
      </w:divBdr>
    </w:div>
    <w:div w:id="1429156813">
      <w:bodyDiv w:val="1"/>
      <w:marLeft w:val="0"/>
      <w:marRight w:val="0"/>
      <w:marTop w:val="0"/>
      <w:marBottom w:val="0"/>
      <w:divBdr>
        <w:top w:val="none" w:sz="0" w:space="0" w:color="auto"/>
        <w:left w:val="none" w:sz="0" w:space="0" w:color="auto"/>
        <w:bottom w:val="none" w:sz="0" w:space="0" w:color="auto"/>
        <w:right w:val="none" w:sz="0" w:space="0" w:color="auto"/>
      </w:divBdr>
    </w:div>
    <w:div w:id="1489904563">
      <w:bodyDiv w:val="1"/>
      <w:marLeft w:val="0"/>
      <w:marRight w:val="0"/>
      <w:marTop w:val="0"/>
      <w:marBottom w:val="0"/>
      <w:divBdr>
        <w:top w:val="none" w:sz="0" w:space="0" w:color="auto"/>
        <w:left w:val="none" w:sz="0" w:space="0" w:color="auto"/>
        <w:bottom w:val="none" w:sz="0" w:space="0" w:color="auto"/>
        <w:right w:val="none" w:sz="0" w:space="0" w:color="auto"/>
      </w:divBdr>
    </w:div>
    <w:div w:id="1682856157">
      <w:bodyDiv w:val="1"/>
      <w:marLeft w:val="0"/>
      <w:marRight w:val="0"/>
      <w:marTop w:val="0"/>
      <w:marBottom w:val="0"/>
      <w:divBdr>
        <w:top w:val="none" w:sz="0" w:space="0" w:color="auto"/>
        <w:left w:val="none" w:sz="0" w:space="0" w:color="auto"/>
        <w:bottom w:val="none" w:sz="0" w:space="0" w:color="auto"/>
        <w:right w:val="none" w:sz="0" w:space="0" w:color="auto"/>
      </w:divBdr>
      <w:divsChild>
        <w:div w:id="2102991222">
          <w:marLeft w:val="0"/>
          <w:marRight w:val="0"/>
          <w:marTop w:val="0"/>
          <w:marBottom w:val="0"/>
          <w:divBdr>
            <w:top w:val="none" w:sz="0" w:space="0" w:color="auto"/>
            <w:left w:val="none" w:sz="0" w:space="0" w:color="auto"/>
            <w:bottom w:val="none" w:sz="0" w:space="0" w:color="auto"/>
            <w:right w:val="none" w:sz="0" w:space="0" w:color="auto"/>
          </w:divBdr>
          <w:divsChild>
            <w:div w:id="1089083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8087599">
      <w:bodyDiv w:val="1"/>
      <w:marLeft w:val="0"/>
      <w:marRight w:val="0"/>
      <w:marTop w:val="0"/>
      <w:marBottom w:val="0"/>
      <w:divBdr>
        <w:top w:val="none" w:sz="0" w:space="0" w:color="auto"/>
        <w:left w:val="none" w:sz="0" w:space="0" w:color="auto"/>
        <w:bottom w:val="none" w:sz="0" w:space="0" w:color="auto"/>
        <w:right w:val="none" w:sz="0" w:space="0" w:color="auto"/>
      </w:divBdr>
      <w:divsChild>
        <w:div w:id="150065976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chart" Target="charts/chart3.xml"/><Relationship Id="rId18" Type="http://schemas.openxmlformats.org/officeDocument/2006/relationships/hyperlink" Target="https://doi.org/10.3390/antiox11020286"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chart" Target="charts/chart2.xml"/><Relationship Id="rId17" Type="http://schemas.openxmlformats.org/officeDocument/2006/relationships/hyperlink" Target="https://doi.org/10.5281/zenodo.15051679" TargetMode="External"/><Relationship Id="rId2" Type="http://schemas.openxmlformats.org/officeDocument/2006/relationships/numbering" Target="numbering.xml"/><Relationship Id="rId16" Type="http://schemas.openxmlformats.org/officeDocument/2006/relationships/hyperlink" Target="https://doi.org/10.5281/zenodo.798655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hyperlink" Target="https://doi.org/10.1186/s40538-021-00220-z" TargetMode="External"/><Relationship Id="rId10" Type="http://schemas.openxmlformats.org/officeDocument/2006/relationships/hyperlink" Target="mailto:ominamunisam@gmail.com" TargetMode="External"/><Relationship Id="rId19" Type="http://schemas.openxmlformats.org/officeDocument/2006/relationships/hyperlink" Target="https://doi.org/10.3390/foods1402018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doi.org/10.1093/ijfood/vvaf031"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2477897775023253E-2"/>
          <c:y val="4.4929474464546891E-2"/>
          <c:w val="0.91385311942511349"/>
          <c:h val="0.70427110256256142"/>
        </c:manualLayout>
      </c:layout>
      <c:lineChart>
        <c:grouping val="standard"/>
        <c:varyColors val="0"/>
        <c:ser>
          <c:idx val="0"/>
          <c:order val="0"/>
          <c:tx>
            <c:strRef>
              <c:f>Лист1!$B$1</c:f>
              <c:strCache>
                <c:ptCount val="1"/>
                <c:pt idx="0">
                  <c:v>20 C</c:v>
                </c:pt>
              </c:strCache>
            </c:strRef>
          </c:tx>
          <c:spPr>
            <a:ln w="22225" cap="rnd" cmpd="sng" algn="ctr">
              <a:solidFill>
                <a:schemeClr val="accent1"/>
              </a:solidFill>
              <a:round/>
            </a:ln>
            <a:effectLst/>
          </c:spPr>
          <c:marker>
            <c:symbol val="none"/>
          </c:marker>
          <c:dLbls>
            <c:dLbl>
              <c:idx val="1"/>
              <c:layout>
                <c:manualLayout>
                  <c:x val="-2.5186070491188657E-2"/>
                  <c:y val="-1.0230536577873208E-16"/>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5DB-4917-AB01-3BE70F671F89}"/>
                </c:ext>
              </c:extLst>
            </c:dLbl>
            <c:dLbl>
              <c:idx val="2"/>
              <c:layout>
                <c:manualLayout>
                  <c:x val="-1.6257499062617174E-2"/>
                  <c:y val="3.348214285714280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5DB-4917-AB01-3BE70F671F89}"/>
                </c:ext>
              </c:extLst>
            </c:dLbl>
            <c:dLbl>
              <c:idx val="3"/>
              <c:layout>
                <c:manualLayout>
                  <c:x val="-1.542416572928384E-2"/>
                  <c:y val="2.790178571428571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45DB-4917-AB01-3BE70F671F89}"/>
                </c:ext>
              </c:extLst>
            </c:dLbl>
            <c:dLbl>
              <c:idx val="4"/>
              <c:layout>
                <c:manualLayout>
                  <c:x val="-2.8162260967379185E-2"/>
                  <c:y val="2.2321428571428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45DB-4917-AB01-3BE70F671F89}"/>
                </c:ext>
              </c:extLst>
            </c:dLbl>
            <c:dLbl>
              <c:idx val="5"/>
              <c:layout>
                <c:manualLayout>
                  <c:x val="-1.6257499062617281E-2"/>
                  <c:y val="2.2321428571428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4-45DB-4917-AB01-3BE70F671F8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Лист1!$A$2:$A$7</c:f>
              <c:numCache>
                <c:formatCode>0%</c:formatCode>
                <c:ptCount val="6"/>
                <c:pt idx="1">
                  <c:v>0.1</c:v>
                </c:pt>
                <c:pt idx="2">
                  <c:v>0.2</c:v>
                </c:pt>
                <c:pt idx="3">
                  <c:v>0.3</c:v>
                </c:pt>
                <c:pt idx="4">
                  <c:v>0.4</c:v>
                </c:pt>
                <c:pt idx="5">
                  <c:v>0.5</c:v>
                </c:pt>
              </c:numCache>
            </c:numRef>
          </c:cat>
          <c:val>
            <c:numRef>
              <c:f>Лист1!$B$2:$B$7</c:f>
              <c:numCache>
                <c:formatCode>General</c:formatCode>
                <c:ptCount val="6"/>
                <c:pt idx="1">
                  <c:v>0.02</c:v>
                </c:pt>
                <c:pt idx="2">
                  <c:v>0.37</c:v>
                </c:pt>
                <c:pt idx="3">
                  <c:v>0.4</c:v>
                </c:pt>
                <c:pt idx="4">
                  <c:v>0.42</c:v>
                </c:pt>
                <c:pt idx="5">
                  <c:v>0.44</c:v>
                </c:pt>
              </c:numCache>
            </c:numRef>
          </c:val>
          <c:smooth val="0"/>
          <c:extLst>
            <c:ext xmlns:c16="http://schemas.microsoft.com/office/drawing/2014/chart" uri="{C3380CC4-5D6E-409C-BE32-E72D297353CC}">
              <c16:uniqueId val="{00000005-45DB-4917-AB01-3BE70F671F89}"/>
            </c:ext>
          </c:extLst>
        </c:ser>
        <c:ser>
          <c:idx val="1"/>
          <c:order val="1"/>
          <c:tx>
            <c:strRef>
              <c:f>Лист1!$C$1</c:f>
              <c:strCache>
                <c:ptCount val="1"/>
                <c:pt idx="0">
                  <c:v>30 C</c:v>
                </c:pt>
              </c:strCache>
            </c:strRef>
          </c:tx>
          <c:spPr>
            <a:ln w="22225" cap="rnd" cmpd="sng" algn="ctr">
              <a:solidFill>
                <a:schemeClr val="accent2"/>
              </a:solidFill>
              <a:round/>
            </a:ln>
            <a:effectLst/>
          </c:spPr>
          <c:marker>
            <c:symbol val="none"/>
          </c:marker>
          <c:dLbls>
            <c:dLbl>
              <c:idx val="1"/>
              <c:layout>
                <c:manualLayout>
                  <c:x val="-5.7090832395950558E-2"/>
                  <c:y val="-2.232142857142857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5DB-4917-AB01-3BE70F671F89}"/>
                </c:ext>
              </c:extLst>
            </c:dLbl>
            <c:dLbl>
              <c:idx val="2"/>
              <c:layout>
                <c:manualLayout>
                  <c:x val="-2.5186070491188657E-2"/>
                  <c:y val="-4.464285714285714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5DB-4917-AB01-3BE70F671F89}"/>
                </c:ext>
              </c:extLst>
            </c:dLbl>
            <c:dLbl>
              <c:idx val="3"/>
              <c:layout>
                <c:manualLayout>
                  <c:x val="-2.2209880014998126E-2"/>
                  <c:y val="1.116071428571428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5DB-4917-AB01-3BE70F671F89}"/>
                </c:ext>
              </c:extLst>
            </c:dLbl>
            <c:dLbl>
              <c:idx val="4"/>
              <c:layout>
                <c:manualLayout>
                  <c:x val="-3.1138451443569554E-2"/>
                  <c:y val="5.5803571428571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45DB-4917-AB01-3BE70F671F89}"/>
                </c:ext>
              </c:extLst>
            </c:dLbl>
            <c:dLbl>
              <c:idx val="5"/>
              <c:layout>
                <c:manualLayout>
                  <c:x val="-1.9233689538807868E-2"/>
                  <c:y val="5.580357142857117E-3"/>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A-45DB-4917-AB01-3BE70F671F8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Лист1!$A$2:$A$7</c:f>
              <c:numCache>
                <c:formatCode>0%</c:formatCode>
                <c:ptCount val="6"/>
                <c:pt idx="1">
                  <c:v>0.1</c:v>
                </c:pt>
                <c:pt idx="2">
                  <c:v>0.2</c:v>
                </c:pt>
                <c:pt idx="3">
                  <c:v>0.3</c:v>
                </c:pt>
                <c:pt idx="4">
                  <c:v>0.4</c:v>
                </c:pt>
                <c:pt idx="5">
                  <c:v>0.5</c:v>
                </c:pt>
              </c:numCache>
            </c:numRef>
          </c:cat>
          <c:val>
            <c:numRef>
              <c:f>Лист1!$C$2:$C$7</c:f>
              <c:numCache>
                <c:formatCode>General</c:formatCode>
                <c:ptCount val="6"/>
                <c:pt idx="1">
                  <c:v>0.1</c:v>
                </c:pt>
                <c:pt idx="2">
                  <c:v>0.39</c:v>
                </c:pt>
                <c:pt idx="3">
                  <c:v>0.45</c:v>
                </c:pt>
                <c:pt idx="4">
                  <c:v>0.46</c:v>
                </c:pt>
                <c:pt idx="5">
                  <c:v>0.48</c:v>
                </c:pt>
              </c:numCache>
            </c:numRef>
          </c:val>
          <c:smooth val="0"/>
          <c:extLst>
            <c:ext xmlns:c16="http://schemas.microsoft.com/office/drawing/2014/chart" uri="{C3380CC4-5D6E-409C-BE32-E72D297353CC}">
              <c16:uniqueId val="{0000000B-45DB-4917-AB01-3BE70F671F89}"/>
            </c:ext>
          </c:extLst>
        </c:ser>
        <c:ser>
          <c:idx val="2"/>
          <c:order val="2"/>
          <c:tx>
            <c:strRef>
              <c:f>Лист1!$D$1</c:f>
              <c:strCache>
                <c:ptCount val="1"/>
                <c:pt idx="0">
                  <c:v>40 C</c:v>
                </c:pt>
              </c:strCache>
            </c:strRef>
          </c:tx>
          <c:spPr>
            <a:ln w="22225" cap="rnd" cmpd="sng" algn="ctr">
              <a:solidFill>
                <a:schemeClr val="accent3"/>
              </a:solidFill>
              <a:round/>
            </a:ln>
            <a:effectLst/>
          </c:spPr>
          <c:marker>
            <c:symbol val="none"/>
          </c:marker>
          <c:dLbls>
            <c:dLbl>
              <c:idx val="1"/>
              <c:layout>
                <c:manualLayout>
                  <c:x val="-5.4947975253093417E-2"/>
                  <c:y val="-6.138392857142856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C-45DB-4917-AB01-3BE70F671F89}"/>
                </c:ext>
              </c:extLst>
            </c:dLbl>
            <c:dLbl>
              <c:idx val="2"/>
              <c:layout>
                <c:manualLayout>
                  <c:x val="-1.9233689538807757E-2"/>
                  <c:y val="2.7901785714285664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D-45DB-4917-AB01-3BE70F671F89}"/>
                </c:ext>
              </c:extLst>
            </c:dLbl>
            <c:dLbl>
              <c:idx val="3"/>
              <c:layout>
                <c:manualLayout>
                  <c:x val="-1.8400356205474425E-2"/>
                  <c:y val="1.6741071428571428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E-45DB-4917-AB01-3BE70F671F89}"/>
                </c:ext>
              </c:extLst>
            </c:dLbl>
            <c:dLbl>
              <c:idx val="4"/>
              <c:layout>
                <c:manualLayout>
                  <c:x val="-3.1138451443569554E-2"/>
                  <c:y val="2.232142857142852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F-45DB-4917-AB01-3BE70F671F89}"/>
                </c:ext>
              </c:extLst>
            </c:dLbl>
            <c:dLbl>
              <c:idx val="5"/>
              <c:layout>
                <c:manualLayout>
                  <c:x val="-1.0305118110236329E-2"/>
                  <c:y val="1.6741071428571376E-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10-45DB-4917-AB01-3BE70F671F8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35000"/>
                          <a:lumOff val="65000"/>
                        </a:schemeClr>
                      </a:solidFill>
                    </a:ln>
                    <a:effectLst/>
                  </c:spPr>
                </c15:leaderLines>
              </c:ext>
            </c:extLst>
          </c:dLbls>
          <c:cat>
            <c:numRef>
              <c:f>Лист1!$A$2:$A$7</c:f>
              <c:numCache>
                <c:formatCode>0%</c:formatCode>
                <c:ptCount val="6"/>
                <c:pt idx="1">
                  <c:v>0.1</c:v>
                </c:pt>
                <c:pt idx="2">
                  <c:v>0.2</c:v>
                </c:pt>
                <c:pt idx="3">
                  <c:v>0.3</c:v>
                </c:pt>
                <c:pt idx="4">
                  <c:v>0.4</c:v>
                </c:pt>
                <c:pt idx="5">
                  <c:v>0.5</c:v>
                </c:pt>
              </c:numCache>
            </c:numRef>
          </c:cat>
          <c:val>
            <c:numRef>
              <c:f>Лист1!$D$2:$D$7</c:f>
              <c:numCache>
                <c:formatCode>General</c:formatCode>
                <c:ptCount val="6"/>
                <c:pt idx="1">
                  <c:v>0.01</c:v>
                </c:pt>
                <c:pt idx="2">
                  <c:v>0.28999999999999998</c:v>
                </c:pt>
                <c:pt idx="3">
                  <c:v>0.3</c:v>
                </c:pt>
                <c:pt idx="4">
                  <c:v>0.31</c:v>
                </c:pt>
                <c:pt idx="5">
                  <c:v>0.31</c:v>
                </c:pt>
              </c:numCache>
            </c:numRef>
          </c:val>
          <c:smooth val="0"/>
          <c:extLst>
            <c:ext xmlns:c16="http://schemas.microsoft.com/office/drawing/2014/chart" uri="{C3380CC4-5D6E-409C-BE32-E72D297353CC}">
              <c16:uniqueId val="{00000011-45DB-4917-AB01-3BE70F671F89}"/>
            </c:ext>
          </c:extLst>
        </c:ser>
        <c:dLbls>
          <c:dLblPos val="ctr"/>
          <c:showLegendKey val="0"/>
          <c:showVal val="1"/>
          <c:showCatName val="0"/>
          <c:showSerName val="0"/>
          <c:showPercent val="0"/>
          <c:showBubbleSize val="0"/>
        </c:dLbls>
        <c:dropLines>
          <c:spPr>
            <a:ln w="9525" cap="flat" cmpd="sng" algn="ctr">
              <a:solidFill>
                <a:schemeClr val="dk1">
                  <a:lumMod val="35000"/>
                  <a:lumOff val="65000"/>
                  <a:alpha val="33000"/>
                </a:schemeClr>
              </a:solidFill>
              <a:round/>
            </a:ln>
            <a:effectLst/>
          </c:spPr>
        </c:dropLines>
        <c:smooth val="0"/>
        <c:axId val="2039682784"/>
        <c:axId val="2039672224"/>
      </c:lineChart>
      <c:catAx>
        <c:axId val="2039682784"/>
        <c:scaling>
          <c:orientation val="minMax"/>
        </c:scaling>
        <c:delete val="0"/>
        <c:axPos val="b"/>
        <c:numFmt formatCode="0%"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2039672224"/>
        <c:crosses val="autoZero"/>
        <c:auto val="1"/>
        <c:lblAlgn val="ctr"/>
        <c:lblOffset val="100"/>
        <c:noMultiLvlLbl val="0"/>
      </c:catAx>
      <c:valAx>
        <c:axId val="2039672224"/>
        <c:scaling>
          <c:orientation val="minMax"/>
        </c:scaling>
        <c:delete val="0"/>
        <c:axPos val="l"/>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spc="20" baseline="0">
                <a:solidFill>
                  <a:schemeClr val="dk1">
                    <a:lumMod val="65000"/>
                    <a:lumOff val="35000"/>
                  </a:schemeClr>
                </a:solidFill>
                <a:latin typeface="+mn-lt"/>
                <a:ea typeface="+mn-ea"/>
                <a:cs typeface="+mn-cs"/>
              </a:defRPr>
            </a:pPr>
            <a:endParaRPr lang="ru-RU"/>
          </a:p>
        </c:txPr>
        <c:crossAx val="2039682784"/>
        <c:crosses val="autoZero"/>
        <c:crossBetween val="between"/>
      </c:valAx>
      <c:spPr>
        <a:gradFill>
          <a:gsLst>
            <a:gs pos="100000">
              <a:schemeClr val="lt1">
                <a:lumMod val="95000"/>
              </a:schemeClr>
            </a:gs>
            <a:gs pos="0">
              <a:schemeClr val="lt1"/>
            </a:gs>
          </a:gsLst>
          <a:lin ang="5400000" scaled="0"/>
        </a:grad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lgn="just">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2.5059801799749402E-2"/>
          <c:y val="0.14618430049185027"/>
          <c:w val="0.94988039640050115"/>
          <c:h val="0.73937779836343986"/>
        </c:manualLayout>
      </c:layout>
      <c:barChart>
        <c:barDir val="col"/>
        <c:grouping val="clustered"/>
        <c:varyColors val="0"/>
        <c:ser>
          <c:idx val="0"/>
          <c:order val="0"/>
          <c:tx>
            <c:strRef>
              <c:f>Лист1!$B$1</c:f>
              <c:strCache>
                <c:ptCount val="1"/>
                <c:pt idx="0">
                  <c:v>20 C</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0%</c:formatCode>
                <c:ptCount val="6"/>
                <c:pt idx="1">
                  <c:v>0.1</c:v>
                </c:pt>
                <c:pt idx="2">
                  <c:v>0.2</c:v>
                </c:pt>
                <c:pt idx="3">
                  <c:v>0.3</c:v>
                </c:pt>
                <c:pt idx="4">
                  <c:v>0.4</c:v>
                </c:pt>
                <c:pt idx="5">
                  <c:v>0.5</c:v>
                </c:pt>
              </c:numCache>
            </c:numRef>
          </c:cat>
          <c:val>
            <c:numRef>
              <c:f>Лист1!$B$2:$B$7</c:f>
              <c:numCache>
                <c:formatCode>General</c:formatCode>
                <c:ptCount val="6"/>
                <c:pt idx="1">
                  <c:v>0.02</c:v>
                </c:pt>
                <c:pt idx="2">
                  <c:v>0.31</c:v>
                </c:pt>
                <c:pt idx="3">
                  <c:v>0.42</c:v>
                </c:pt>
                <c:pt idx="4">
                  <c:v>0.44</c:v>
                </c:pt>
                <c:pt idx="5">
                  <c:v>0.53</c:v>
                </c:pt>
              </c:numCache>
            </c:numRef>
          </c:val>
          <c:extLst>
            <c:ext xmlns:c16="http://schemas.microsoft.com/office/drawing/2014/chart" uri="{C3380CC4-5D6E-409C-BE32-E72D297353CC}">
              <c16:uniqueId val="{00000000-F1F4-473B-8121-A61506DA0581}"/>
            </c:ext>
          </c:extLst>
        </c:ser>
        <c:ser>
          <c:idx val="1"/>
          <c:order val="1"/>
          <c:tx>
            <c:strRef>
              <c:f>Лист1!$C$1</c:f>
              <c:strCache>
                <c:ptCount val="1"/>
                <c:pt idx="0">
                  <c:v>30 C</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0%</c:formatCode>
                <c:ptCount val="6"/>
                <c:pt idx="1">
                  <c:v>0.1</c:v>
                </c:pt>
                <c:pt idx="2">
                  <c:v>0.2</c:v>
                </c:pt>
                <c:pt idx="3">
                  <c:v>0.3</c:v>
                </c:pt>
                <c:pt idx="4">
                  <c:v>0.4</c:v>
                </c:pt>
                <c:pt idx="5">
                  <c:v>0.5</c:v>
                </c:pt>
              </c:numCache>
            </c:numRef>
          </c:cat>
          <c:val>
            <c:numRef>
              <c:f>Лист1!$C$2:$C$7</c:f>
              <c:numCache>
                <c:formatCode>General</c:formatCode>
                <c:ptCount val="6"/>
                <c:pt idx="1">
                  <c:v>0.19</c:v>
                </c:pt>
                <c:pt idx="2">
                  <c:v>0.45</c:v>
                </c:pt>
                <c:pt idx="3">
                  <c:v>0.6</c:v>
                </c:pt>
                <c:pt idx="4">
                  <c:v>0.72</c:v>
                </c:pt>
                <c:pt idx="5">
                  <c:v>0.9</c:v>
                </c:pt>
              </c:numCache>
            </c:numRef>
          </c:val>
          <c:extLst>
            <c:ext xmlns:c16="http://schemas.microsoft.com/office/drawing/2014/chart" uri="{C3380CC4-5D6E-409C-BE32-E72D297353CC}">
              <c16:uniqueId val="{00000001-F1F4-473B-8121-A61506DA0581}"/>
            </c:ext>
          </c:extLst>
        </c:ser>
        <c:ser>
          <c:idx val="2"/>
          <c:order val="2"/>
          <c:tx>
            <c:strRef>
              <c:f>Лист1!$D$1</c:f>
              <c:strCache>
                <c:ptCount val="1"/>
                <c:pt idx="0">
                  <c:v>40 C</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0%</c:formatCode>
                <c:ptCount val="6"/>
                <c:pt idx="1">
                  <c:v>0.1</c:v>
                </c:pt>
                <c:pt idx="2">
                  <c:v>0.2</c:v>
                </c:pt>
                <c:pt idx="3">
                  <c:v>0.3</c:v>
                </c:pt>
                <c:pt idx="4">
                  <c:v>0.4</c:v>
                </c:pt>
                <c:pt idx="5">
                  <c:v>0.5</c:v>
                </c:pt>
              </c:numCache>
            </c:numRef>
          </c:cat>
          <c:val>
            <c:numRef>
              <c:f>Лист1!$D$2:$D$7</c:f>
              <c:numCache>
                <c:formatCode>General</c:formatCode>
                <c:ptCount val="6"/>
                <c:pt idx="1">
                  <c:v>0.03</c:v>
                </c:pt>
                <c:pt idx="2">
                  <c:v>0.3</c:v>
                </c:pt>
                <c:pt idx="3">
                  <c:v>0.4</c:v>
                </c:pt>
                <c:pt idx="4">
                  <c:v>0.42</c:v>
                </c:pt>
                <c:pt idx="5">
                  <c:v>0.44</c:v>
                </c:pt>
              </c:numCache>
            </c:numRef>
          </c:val>
          <c:extLst>
            <c:ext xmlns:c16="http://schemas.microsoft.com/office/drawing/2014/chart" uri="{C3380CC4-5D6E-409C-BE32-E72D297353CC}">
              <c16:uniqueId val="{00000002-F1F4-473B-8121-A61506DA0581}"/>
            </c:ext>
          </c:extLst>
        </c:ser>
        <c:dLbls>
          <c:dLblPos val="outEnd"/>
          <c:showLegendKey val="0"/>
          <c:showVal val="1"/>
          <c:showCatName val="0"/>
          <c:showSerName val="0"/>
          <c:showPercent val="0"/>
          <c:showBubbleSize val="0"/>
        </c:dLbls>
        <c:gapWidth val="444"/>
        <c:overlap val="-90"/>
        <c:axId val="72246032"/>
        <c:axId val="72255152"/>
      </c:barChart>
      <c:catAx>
        <c:axId val="72246032"/>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ru-RU"/>
          </a:p>
        </c:txPr>
        <c:crossAx val="72255152"/>
        <c:crosses val="autoZero"/>
        <c:auto val="1"/>
        <c:lblAlgn val="ctr"/>
        <c:lblOffset val="100"/>
        <c:noMultiLvlLbl val="0"/>
      </c:catAx>
      <c:valAx>
        <c:axId val="72255152"/>
        <c:scaling>
          <c:orientation val="minMax"/>
        </c:scaling>
        <c:delete val="1"/>
        <c:axPos val="l"/>
        <c:numFmt formatCode="General" sourceLinked="1"/>
        <c:majorTickMark val="none"/>
        <c:minorTickMark val="none"/>
        <c:tickLblPos val="nextTo"/>
        <c:crossAx val="72246032"/>
        <c:crosses val="autoZero"/>
        <c:crossBetween val="between"/>
      </c:valAx>
      <c:spPr>
        <a:noFill/>
        <a:ln>
          <a:noFill/>
        </a:ln>
        <a:effectLst/>
      </c:spPr>
    </c:plotArea>
    <c:legend>
      <c:legendPos val="t"/>
      <c:layout>
        <c:manualLayout>
          <c:xMode val="edge"/>
          <c:yMode val="edge"/>
          <c:x val="0.39403156961001246"/>
          <c:y val="0"/>
          <c:w val="0.21193668139699876"/>
          <c:h val="0.13923364777422625"/>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zero"/>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Color quantity, µA</c:v>
                </c:pt>
              </c:strCache>
            </c:strRef>
          </c:tx>
          <c:spPr>
            <a:solidFill>
              <a:schemeClr val="accent1"/>
            </a:solidFill>
            <a:ln>
              <a:noFill/>
            </a:ln>
            <a:effectLst/>
          </c:spPr>
          <c:invertIfNegative val="0"/>
          <c:dLbls>
            <c:dLbl>
              <c:idx val="2"/>
              <c:tx>
                <c:rich>
                  <a:bodyPr/>
                  <a:lstStyle/>
                  <a:p>
                    <a:r>
                      <a:rPr lang="en-US"/>
                      <a:t>0,89</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DB16-445F-B98D-1E88F0B16620}"/>
                </c:ext>
              </c:extLst>
            </c:dLbl>
            <c:dLbl>
              <c:idx val="3"/>
              <c:tx>
                <c:rich>
                  <a:bodyPr/>
                  <a:lstStyle/>
                  <a:p>
                    <a:r>
                      <a:rPr lang="en-US"/>
                      <a:t>0,80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DB16-445F-B98D-1E88F0B16620}"/>
                </c:ext>
              </c:extLst>
            </c:dLbl>
            <c:dLbl>
              <c:idx val="4"/>
              <c:tx>
                <c:rich>
                  <a:bodyPr/>
                  <a:lstStyle/>
                  <a:p>
                    <a:r>
                      <a:rPr lang="en-US"/>
                      <a:t>0,80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DB16-445F-B98D-1E88F0B166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Лист1!$A$2:$A$6</c:f>
              <c:strCache>
                <c:ptCount val="5"/>
                <c:pt idx="0">
                  <c:v>3 soat</c:v>
                </c:pt>
                <c:pt idx="1">
                  <c:v>6 soat</c:v>
                </c:pt>
                <c:pt idx="2">
                  <c:v>12 soat</c:v>
                </c:pt>
                <c:pt idx="3">
                  <c:v>18 soat</c:v>
                </c:pt>
                <c:pt idx="4">
                  <c:v>24 soat</c:v>
                </c:pt>
              </c:strCache>
            </c:strRef>
          </c:cat>
          <c:val>
            <c:numRef>
              <c:f>Лист1!$B$2:$B$6</c:f>
              <c:numCache>
                <c:formatCode>General</c:formatCode>
                <c:ptCount val="5"/>
                <c:pt idx="0">
                  <c:v>0.51</c:v>
                </c:pt>
                <c:pt idx="1">
                  <c:v>0.9</c:v>
                </c:pt>
                <c:pt idx="2">
                  <c:v>0.47</c:v>
                </c:pt>
                <c:pt idx="3">
                  <c:v>0.36</c:v>
                </c:pt>
                <c:pt idx="4">
                  <c:v>0.45</c:v>
                </c:pt>
              </c:numCache>
            </c:numRef>
          </c:val>
          <c:extLst>
            <c:ext xmlns:c16="http://schemas.microsoft.com/office/drawing/2014/chart" uri="{C3380CC4-5D6E-409C-BE32-E72D297353CC}">
              <c16:uniqueId val="{00000003-DB16-445F-B98D-1E88F0B16620}"/>
            </c:ext>
          </c:extLst>
        </c:ser>
        <c:ser>
          <c:idx val="1"/>
          <c:order val="1"/>
          <c:tx>
            <c:strRef>
              <c:f>Лист1!$C$1</c:f>
              <c:strCache>
                <c:ptCount val="1"/>
                <c:pt idx="0">
                  <c:v>Dry matter content, %</c:v>
                </c:pt>
              </c:strCache>
            </c:strRef>
          </c:tx>
          <c:spPr>
            <a:solidFill>
              <a:schemeClr val="accent2"/>
            </a:solidFill>
            <a:ln>
              <a:noFill/>
            </a:ln>
            <a:effectLst/>
          </c:spPr>
          <c:invertIfNegative val="0"/>
          <c:dLbls>
            <c:dLbl>
              <c:idx val="2"/>
              <c:tx>
                <c:rich>
                  <a:bodyPr/>
                  <a:lstStyle/>
                  <a:p>
                    <a:r>
                      <a:rPr lang="en-US"/>
                      <a:t>14,4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DB16-445F-B98D-1E88F0B16620}"/>
                </c:ext>
              </c:extLst>
            </c:dLbl>
            <c:dLbl>
              <c:idx val="3"/>
              <c:tx>
                <c:rich>
                  <a:bodyPr/>
                  <a:lstStyle/>
                  <a:p>
                    <a:r>
                      <a:rPr lang="en-US"/>
                      <a:t>14,4</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DB16-445F-B98D-1E88F0B16620}"/>
                </c:ext>
              </c:extLst>
            </c:dLbl>
            <c:dLbl>
              <c:idx val="4"/>
              <c:tx>
                <c:rich>
                  <a:bodyPr/>
                  <a:lstStyle/>
                  <a:p>
                    <a:r>
                      <a:rPr lang="en-US"/>
                      <a:t>14,1</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DB16-445F-B98D-1E88F0B166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Лист1!$A$2:$A$6</c:f>
              <c:strCache>
                <c:ptCount val="5"/>
                <c:pt idx="0">
                  <c:v>3 soat</c:v>
                </c:pt>
                <c:pt idx="1">
                  <c:v>6 soat</c:v>
                </c:pt>
                <c:pt idx="2">
                  <c:v>12 soat</c:v>
                </c:pt>
                <c:pt idx="3">
                  <c:v>18 soat</c:v>
                </c:pt>
                <c:pt idx="4">
                  <c:v>24 soat</c:v>
                </c:pt>
              </c:strCache>
            </c:strRef>
          </c:cat>
          <c:val>
            <c:numRef>
              <c:f>Лист1!$C$2:$C$6</c:f>
              <c:numCache>
                <c:formatCode>General</c:formatCode>
                <c:ptCount val="5"/>
                <c:pt idx="0">
                  <c:v>13.1</c:v>
                </c:pt>
                <c:pt idx="1">
                  <c:v>14.5</c:v>
                </c:pt>
                <c:pt idx="2">
                  <c:v>14.2</c:v>
                </c:pt>
                <c:pt idx="3">
                  <c:v>14</c:v>
                </c:pt>
                <c:pt idx="4">
                  <c:v>14</c:v>
                </c:pt>
              </c:numCache>
            </c:numRef>
          </c:val>
          <c:extLst>
            <c:ext xmlns:c16="http://schemas.microsoft.com/office/drawing/2014/chart" uri="{C3380CC4-5D6E-409C-BE32-E72D297353CC}">
              <c16:uniqueId val="{00000007-DB16-445F-B98D-1E88F0B16620}"/>
            </c:ext>
          </c:extLst>
        </c:ser>
        <c:ser>
          <c:idx val="2"/>
          <c:order val="2"/>
          <c:tx>
            <c:strRef>
              <c:f>Лист1!$D$1</c:f>
              <c:strCache>
                <c:ptCount val="1"/>
                <c:pt idx="0">
                  <c:v>pH</c:v>
                </c:pt>
              </c:strCache>
            </c:strRef>
          </c:tx>
          <c:spPr>
            <a:solidFill>
              <a:schemeClr val="accent3"/>
            </a:solidFill>
            <a:ln>
              <a:noFill/>
            </a:ln>
            <a:effectLst/>
          </c:spPr>
          <c:invertIfNegative val="0"/>
          <c:dLbls>
            <c:dLbl>
              <c:idx val="2"/>
              <c:tx>
                <c:rich>
                  <a:bodyPr/>
                  <a:lstStyle/>
                  <a:p>
                    <a:r>
                      <a:rPr lang="en-US"/>
                      <a:t>2,90</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8-DB16-445F-B98D-1E88F0B16620}"/>
                </c:ext>
              </c:extLst>
            </c:dLbl>
            <c:dLbl>
              <c:idx val="3"/>
              <c:tx>
                <c:rich>
                  <a:bodyPr/>
                  <a:lstStyle/>
                  <a:p>
                    <a:r>
                      <a:rPr lang="en-US"/>
                      <a:t>2,87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9-DB16-445F-B98D-1E88F0B16620}"/>
                </c:ext>
              </c:extLst>
            </c:dLbl>
            <c:dLbl>
              <c:idx val="4"/>
              <c:tx>
                <c:rich>
                  <a:bodyPr/>
                  <a:lstStyle/>
                  <a:p>
                    <a:r>
                      <a:rPr lang="en-US"/>
                      <a:t>2,87</a:t>
                    </a:r>
                  </a:p>
                </c:rich>
              </c:tx>
              <c:dLblPos val="out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A-DB16-445F-B98D-1E88F0B1662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dk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dk1">
                          <a:lumMod val="35000"/>
                          <a:lumOff val="65000"/>
                        </a:schemeClr>
                      </a:solidFill>
                      <a:round/>
                    </a:ln>
                    <a:effectLst/>
                  </c:spPr>
                </c15:leaderLines>
              </c:ext>
            </c:extLst>
          </c:dLbls>
          <c:cat>
            <c:strRef>
              <c:f>Лист1!$A$2:$A$6</c:f>
              <c:strCache>
                <c:ptCount val="5"/>
                <c:pt idx="0">
                  <c:v>3 soat</c:v>
                </c:pt>
                <c:pt idx="1">
                  <c:v>6 soat</c:v>
                </c:pt>
                <c:pt idx="2">
                  <c:v>12 soat</c:v>
                </c:pt>
                <c:pt idx="3">
                  <c:v>18 soat</c:v>
                </c:pt>
                <c:pt idx="4">
                  <c:v>24 soat</c:v>
                </c:pt>
              </c:strCache>
            </c:strRef>
          </c:cat>
          <c:val>
            <c:numRef>
              <c:f>Лист1!$D$2:$D$6</c:f>
              <c:numCache>
                <c:formatCode>General</c:formatCode>
                <c:ptCount val="5"/>
                <c:pt idx="0">
                  <c:v>2.84</c:v>
                </c:pt>
                <c:pt idx="1">
                  <c:v>2.92</c:v>
                </c:pt>
                <c:pt idx="2">
                  <c:v>2.82</c:v>
                </c:pt>
                <c:pt idx="3">
                  <c:v>2.78</c:v>
                </c:pt>
                <c:pt idx="4">
                  <c:v>2.78</c:v>
                </c:pt>
              </c:numCache>
            </c:numRef>
          </c:val>
          <c:extLst>
            <c:ext xmlns:c16="http://schemas.microsoft.com/office/drawing/2014/chart" uri="{C3380CC4-5D6E-409C-BE32-E72D297353CC}">
              <c16:uniqueId val="{0000000B-DB16-445F-B98D-1E88F0B16620}"/>
            </c:ext>
          </c:extLst>
        </c:ser>
        <c:dLbls>
          <c:dLblPos val="outEnd"/>
          <c:showLegendKey val="0"/>
          <c:showVal val="1"/>
          <c:showCatName val="0"/>
          <c:showSerName val="0"/>
          <c:showPercent val="0"/>
          <c:showBubbleSize val="0"/>
        </c:dLbls>
        <c:gapWidth val="267"/>
        <c:overlap val="-43"/>
        <c:axId val="1288366527"/>
        <c:axId val="1288367007"/>
      </c:barChart>
      <c:catAx>
        <c:axId val="1288366527"/>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ru-RU"/>
          </a:p>
        </c:txPr>
        <c:crossAx val="1288367007"/>
        <c:crosses val="autoZero"/>
        <c:auto val="1"/>
        <c:lblAlgn val="ctr"/>
        <c:lblOffset val="100"/>
        <c:noMultiLvlLbl val="0"/>
      </c:catAx>
      <c:valAx>
        <c:axId val="1288367007"/>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crossAx val="1288366527"/>
        <c:crosses val="autoZero"/>
        <c:crossBetween val="between"/>
      </c:valAx>
      <c:spPr>
        <a:pattFill prst="ltDnDiag">
          <a:fgClr>
            <a:schemeClr val="dk1">
              <a:lumMod val="15000"/>
              <a:lumOff val="85000"/>
            </a:schemeClr>
          </a:fgClr>
          <a:bgClr>
            <a:schemeClr val="lt1"/>
          </a:bgClr>
        </a:patt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30">
  <cs:axisTitle>
    <cs:lnRef idx="0"/>
    <cs:fillRef idx="0"/>
    <cs:effectRef idx="0"/>
    <cs:fontRef idx="minor">
      <a:schemeClr val="dk1">
        <a:lumMod val="65000"/>
        <a:lumOff val="35000"/>
      </a:schemeClr>
    </cs:fontRef>
    <cs:defRPr sz="900" kern="1200" cap="all"/>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b="0" kern="1200" spc="20" baseline="0"/>
  </cs:categoryAxis>
  <cs:chartArea mods="allowNoLineOverride">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65000"/>
        <a:lumOff val="3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0"/>
    <cs:effectRef idx="0"/>
    <cs:fontRef idx="minor">
      <a:schemeClr val="dk1"/>
    </cs:fontRef>
    <cs:spPr>
      <a:ln w="22225" cap="rnd" cmpd="sng" algn="ctr">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cap="flat" cmpd="sng" algn="ctr">
        <a:solidFill>
          <a:schemeClr val="phClr"/>
        </a:solidFill>
        <a:round/>
      </a:ln>
    </cs:spPr>
  </cs:dataPointMarker>
  <cs:dataPointMarkerLayout symbol="circle" size="4"/>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65000"/>
            <a:lumOff val="35000"/>
          </a:schemeClr>
        </a:solidFill>
      </a:ln>
    </cs:spPr>
  </cs:downBar>
  <cs:dropLine>
    <cs:lnRef idx="0"/>
    <cs:fillRef idx="0"/>
    <cs:effectRef idx="0"/>
    <cs:fontRef idx="minor">
      <a:schemeClr val="dk1"/>
    </cs:fontRef>
    <cs:spPr>
      <a:ln w="9525" cap="flat" cmpd="sng" algn="ctr">
        <a:solidFill>
          <a:schemeClr val="dk1">
            <a:lumMod val="35000"/>
            <a:lumOff val="65000"/>
            <a:alpha val="33000"/>
          </a:schemeClr>
        </a:solidFill>
        <a:round/>
      </a:ln>
    </cs:spPr>
  </cs:dropLine>
  <cs:errorBar>
    <cs:lnRef idx="0"/>
    <cs:fillRef idx="0"/>
    <cs:effectRef idx="0"/>
    <cs:fontRef idx="minor">
      <a:schemeClr val="dk1"/>
    </cs:fontRef>
    <cs:spPr>
      <a:ln w="9525">
        <a:solidFill>
          <a:schemeClr val="dk1">
            <a:lumMod val="65000"/>
            <a:lumOff val="35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gradFill>
        <a:gsLst>
          <a:gs pos="100000">
            <a:schemeClr val="lt1">
              <a:lumMod val="95000"/>
            </a:schemeClr>
          </a:gs>
          <a:gs pos="0">
            <a:schemeClr val="lt1"/>
          </a:gs>
        </a:gsLst>
        <a:lin ang="5400000" scaled="0"/>
      </a:gradFill>
    </cs:spPr>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prstDash val="dash"/>
      </a:ln>
    </cs:spPr>
  </cs:seriesLine>
  <cs:title>
    <cs:lnRef idx="0"/>
    <cs:fillRef idx="0"/>
    <cs:effectRef idx="0"/>
    <cs:fontRef idx="minor">
      <a:schemeClr val="dk1">
        <a:lumMod val="50000"/>
        <a:lumOff val="50000"/>
      </a:schemeClr>
    </cs:fontRef>
    <cs:defRPr sz="1400" kern="1200" cap="none" spc="2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65000"/>
        <a:lumOff val="35000"/>
      </a:schemeClr>
    </cs:fontRef>
    <cs:defRPr sz="900" kern="1200" spc="20" baseline="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xml><?xml version="1.0" encoding="utf-8"?>
<cs:chartStyle xmlns:cs="http://schemas.microsoft.com/office/drawing/2012/chartStyle" xmlns:a="http://schemas.openxmlformats.org/drawingml/2006/main" id="208">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3983C9-6D0A-480C-BF79-A63BD3D99E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Pages>
  <Words>4131</Words>
  <Characters>23549</Characters>
  <Application>Microsoft Office Word</Application>
  <DocSecurity>0</DocSecurity>
  <Lines>196</Lines>
  <Paragraphs>55</Paragraphs>
  <ScaleCrop>false</ScaleCrop>
  <HeadingPairs>
    <vt:vector size="6" baseType="variant">
      <vt:variant>
        <vt:lpstr>Название</vt:lpstr>
      </vt:variant>
      <vt:variant>
        <vt:i4>1</vt:i4>
      </vt:variant>
      <vt:variant>
        <vt:lpstr>Titolo</vt:lpstr>
      </vt:variant>
      <vt:variant>
        <vt:i4>1</vt:i4>
      </vt:variant>
      <vt:variant>
        <vt:lpstr>Title</vt:lpstr>
      </vt:variant>
      <vt:variant>
        <vt:i4>1</vt:i4>
      </vt:variant>
    </vt:vector>
  </HeadingPairs>
  <TitlesOfParts>
    <vt:vector size="3" baseType="lpstr">
      <vt:lpstr/>
      <vt:lpstr/>
      <vt:lpstr/>
    </vt:vector>
  </TitlesOfParts>
  <Company>Dipartimento CMIC - Politecnico di Milano</Company>
  <LinksUpToDate>false</LinksUpToDate>
  <CharactersWithSpaces>27625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raffaella</dc:creator>
  <cp:lastModifiedBy>User</cp:lastModifiedBy>
  <cp:revision>5</cp:revision>
  <cp:lastPrinted>2015-05-12T18:31:00Z</cp:lastPrinted>
  <dcterms:created xsi:type="dcterms:W3CDTF">2026-06-03T06:36:00Z</dcterms:created>
  <dcterms:modified xsi:type="dcterms:W3CDTF">2026-07-03T17:21:00Z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zotero-version="4.0.29.17"&gt;&lt;session id="s8VwuD2U"/&gt;&lt;style id="http://www.zotero.org/styles/chemical-engineering-transactions" hasBibliography="1" bibliographyStyleHasBeenSet="1"/&gt;&lt;prefs&gt;&lt;pref name="fieldType" value="Field"/&gt;&lt;pref na</vt:lpwstr>
  </property>
  <property fmtid="{D5CDD505-2E9C-101B-9397-08002B2CF9AE}" pid="3" name="ZOTERO_PREF_2">
    <vt:lpwstr>me="storeReferences" value="true"/&gt;&lt;pref name="automaticJournalAbbreviations" value=""/&gt;&lt;pref name="noteType" value=""/&gt;&lt;/prefs&gt;&lt;/data&gt;</vt:lpwstr>
  </property>
</Properties>
</file>