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4A6976">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4A6976">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4A6976">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4B80441D" w:rsidR="00E978D0" w:rsidRPr="00B57B36" w:rsidRDefault="004A6976" w:rsidP="00E978D0">
      <w:pPr>
        <w:pStyle w:val="CETTitle"/>
      </w:pPr>
      <w:r w:rsidRPr="004A6976">
        <w:t xml:space="preserve">Economic </w:t>
      </w:r>
      <w:r>
        <w:t>a</w:t>
      </w:r>
      <w:r w:rsidRPr="004A6976">
        <w:t xml:space="preserve">nd Environmental Assessment </w:t>
      </w:r>
      <w:r>
        <w:t>o</w:t>
      </w:r>
      <w:r w:rsidRPr="004A6976">
        <w:t xml:space="preserve">f Circular Economy Implementation </w:t>
      </w:r>
      <w:r>
        <w:t>i</w:t>
      </w:r>
      <w:r w:rsidRPr="004A6976">
        <w:t xml:space="preserve">n Uzbekistan’s Cement Industry: </w:t>
      </w:r>
      <w:proofErr w:type="gramStart"/>
      <w:r>
        <w:t>a</w:t>
      </w:r>
      <w:proofErr w:type="gramEnd"/>
      <w:r w:rsidRPr="004A6976">
        <w:t xml:space="preserve"> Life Cycle Approach </w:t>
      </w:r>
    </w:p>
    <w:p w14:paraId="0488FED2" w14:textId="5B68B40D" w:rsidR="00B57E6F" w:rsidRPr="00B57B36" w:rsidRDefault="004A6976" w:rsidP="00B57E6F">
      <w:pPr>
        <w:pStyle w:val="CETAuthors"/>
      </w:pPr>
      <w:r w:rsidRPr="004A6976">
        <w:t>Gulruh Safarova</w:t>
      </w:r>
      <w:r w:rsidRPr="004A6976">
        <w:rPr>
          <w:vertAlign w:val="superscript"/>
        </w:rPr>
        <w:t>a</w:t>
      </w:r>
      <w:r w:rsidRPr="004A6976">
        <w:t xml:space="preserve"> , Yulduz Safarova</w:t>
      </w:r>
      <w:r w:rsidRPr="004A6976">
        <w:rPr>
          <w:vertAlign w:val="superscript"/>
        </w:rPr>
        <w:t>b</w:t>
      </w:r>
      <w:r w:rsidRPr="004A6976">
        <w:t xml:space="preserve"> , Qilichbek Safarov</w:t>
      </w:r>
      <w:r w:rsidRPr="004A6976">
        <w:rPr>
          <w:vertAlign w:val="superscript"/>
        </w:rPr>
        <w:t>c</w:t>
      </w:r>
      <w:r>
        <w:rPr>
          <w:vertAlign w:val="superscript"/>
        </w:rPr>
        <w:t>,</w:t>
      </w:r>
      <w:r w:rsidRPr="004A6976">
        <w:t>* ,</w:t>
      </w:r>
      <w:r w:rsidR="0051151A">
        <w:t xml:space="preserve"> Hulkar Abdusalomova</w:t>
      </w:r>
      <w:r w:rsidR="0051151A" w:rsidRPr="004A6976">
        <w:rPr>
          <w:vertAlign w:val="superscript"/>
        </w:rPr>
        <w:t>c</w:t>
      </w:r>
      <w:r w:rsidR="0051151A">
        <w:t xml:space="preserve">, </w:t>
      </w:r>
      <w:r w:rsidRPr="004A6976">
        <w:t>Jaloliddin Eshbobaev</w:t>
      </w:r>
      <w:r w:rsidRPr="004A6976">
        <w:rPr>
          <w:vertAlign w:val="superscript"/>
        </w:rPr>
        <w:t>c</w:t>
      </w:r>
      <w:r w:rsidRPr="004A6976">
        <w:t xml:space="preserve"> , Zafar Turakulov</w:t>
      </w:r>
      <w:r w:rsidRPr="004A6976">
        <w:rPr>
          <w:vertAlign w:val="superscript"/>
        </w:rPr>
        <w:t>c</w:t>
      </w:r>
      <w:r w:rsidR="00B57E6F" w:rsidRPr="00B57B36">
        <w:t xml:space="preserve"> </w:t>
      </w:r>
    </w:p>
    <w:p w14:paraId="779650B1" w14:textId="35A73D47" w:rsidR="004A6976" w:rsidRDefault="00B57E6F" w:rsidP="00B57E6F">
      <w:pPr>
        <w:pStyle w:val="CETAddress"/>
      </w:pPr>
      <w:r w:rsidRPr="00B57B36">
        <w:rPr>
          <w:vertAlign w:val="superscript"/>
        </w:rPr>
        <w:t>a</w:t>
      </w:r>
      <w:r w:rsidR="004A6976" w:rsidRPr="004A6976">
        <w:t>Tashkent State University of Economics</w:t>
      </w:r>
      <w:r w:rsidR="004A6976">
        <w:t xml:space="preserve">, </w:t>
      </w:r>
      <w:r w:rsidR="004A6976" w:rsidRPr="004A6976">
        <w:t xml:space="preserve">Islom Karimov street 49, 100066, Tashkent </w:t>
      </w:r>
    </w:p>
    <w:p w14:paraId="3C31A84D" w14:textId="02FC49B8" w:rsidR="004A6976" w:rsidRDefault="00B57E6F" w:rsidP="004A6976">
      <w:pPr>
        <w:pStyle w:val="CETAddress"/>
      </w:pPr>
      <w:r w:rsidRPr="00B57B36">
        <w:rPr>
          <w:vertAlign w:val="superscript"/>
        </w:rPr>
        <w:t>b</w:t>
      </w:r>
      <w:r w:rsidR="004A6976" w:rsidRPr="004A6976">
        <w:t xml:space="preserve">National University of Uzbekistan </w:t>
      </w:r>
      <w:r w:rsidR="0051151A" w:rsidRPr="0051151A">
        <w:t>named after Mirzo Ulugbek, Universitet str. 4, 100174, Tashkent, Uzbekistan</w:t>
      </w:r>
    </w:p>
    <w:p w14:paraId="62F898F3" w14:textId="1A82F8FE" w:rsidR="004A6976" w:rsidRDefault="004A6976" w:rsidP="004A6976">
      <w:pPr>
        <w:pStyle w:val="CETAddress"/>
      </w:pPr>
      <w:r>
        <w:rPr>
          <w:vertAlign w:val="superscript"/>
        </w:rPr>
        <w:t>c</w:t>
      </w:r>
      <w:r>
        <w:t>Department of Automation and Digital Control, Tashkent Institute of Chemical Technology, Tashkent, 100011, Uzbekistan</w:t>
      </w:r>
    </w:p>
    <w:p w14:paraId="7632ABBB" w14:textId="76109C7B" w:rsidR="004A6976" w:rsidRDefault="004A6976" w:rsidP="004A6976">
      <w:pPr>
        <w:pStyle w:val="CETAddress"/>
      </w:pPr>
    </w:p>
    <w:p w14:paraId="59CDBF27" w14:textId="4670F57F" w:rsidR="004A6976" w:rsidRDefault="00B57E6F" w:rsidP="004A6976">
      <w:pPr>
        <w:pStyle w:val="CETAddress"/>
      </w:pPr>
      <w:r>
        <w:t xml:space="preserve"> </w:t>
      </w:r>
      <w:r w:rsidR="004A6976" w:rsidRPr="004A6976">
        <w:t>qilichbeksafarov@gmail.com</w:t>
      </w:r>
    </w:p>
    <w:p w14:paraId="09482C50" w14:textId="14D6F77F" w:rsidR="004A6976" w:rsidRPr="004A6976" w:rsidRDefault="0051151A" w:rsidP="004A6976">
      <w:pPr>
        <w:pStyle w:val="CETBodytext"/>
        <w:rPr>
          <w:lang w:eastAsia="ru-RU"/>
        </w:rPr>
      </w:pPr>
      <w:r w:rsidRPr="0051151A">
        <w:rPr>
          <w:lang w:eastAsia="ru-RU"/>
        </w:rPr>
        <w:t>Uzbekistan’s cement sector combines rapid demand growth with substantial spare production capacity, creating a need for decarbonization measures that also protect cost and export competitiveness. This study develops a transparent process-based life cycle assessment and techno-economic model for a representative 1 Mt/y dry-process integrated cement plant. The steady-state mass and energy balance, greenhouse-gas inventory, scenario calculations and one-at-a-time sensitivity analysis were implemented in Python 3.13 using NumPy and pandas. The cradle-to-gate baseline is 0.81 t CO</w:t>
      </w:r>
      <w:r w:rsidRPr="0051151A">
        <w:rPr>
          <w:rFonts w:ascii="Cambria Math" w:hAnsi="Cambria Math" w:cs="Cambria Math"/>
          <w:vertAlign w:val="subscript"/>
          <w:lang w:eastAsia="ru-RU"/>
        </w:rPr>
        <w:t>2</w:t>
      </w:r>
      <w:r w:rsidRPr="0051151A">
        <w:rPr>
          <w:lang w:eastAsia="ru-RU"/>
        </w:rPr>
        <w:t>-eq/t cement, with an uncertainty interval of 0.75</w:t>
      </w:r>
      <w:r w:rsidRPr="0051151A">
        <w:rPr>
          <w:rFonts w:cs="Arial"/>
          <w:lang w:eastAsia="ru-RU"/>
        </w:rPr>
        <w:t>–</w:t>
      </w:r>
      <w:r w:rsidRPr="0051151A">
        <w:rPr>
          <w:lang w:eastAsia="ru-RU"/>
        </w:rPr>
        <w:t>0.86 t CO</w:t>
      </w:r>
      <w:r w:rsidRPr="0051151A">
        <w:rPr>
          <w:rFonts w:ascii="Cambria Math" w:hAnsi="Cambria Math" w:cs="Cambria Math"/>
          <w:vertAlign w:val="subscript"/>
          <w:lang w:eastAsia="ru-RU"/>
        </w:rPr>
        <w:t>2</w:t>
      </w:r>
      <w:r w:rsidRPr="0051151A">
        <w:rPr>
          <w:lang w:eastAsia="ru-RU"/>
        </w:rPr>
        <w:t>-eq/t. Four circular-economy measures were evaluated: waste heat recovery, 30% thermal substitution by alternative fuels, reduction of the clinker factor from 0.82 to 0.65, and 7.5% energy-efficiency improvement. Their central emission reductions are 3.2%, 6.0%, 17.4% and 3.2%, respectively. The integrated scenario reduces emissions by 27.5% within a sensitivity range of 23</w:t>
      </w:r>
      <w:r w:rsidRPr="0051151A">
        <w:rPr>
          <w:rFonts w:cs="Arial"/>
          <w:lang w:eastAsia="ru-RU"/>
        </w:rPr>
        <w:t>–</w:t>
      </w:r>
      <w:r w:rsidRPr="0051151A">
        <w:rPr>
          <w:lang w:eastAsia="ru-RU"/>
        </w:rPr>
        <w:t>31% and changes the levelized cost of cement by −3 to +8%, depending mainly on supplementary cementitious material logistics, electricity tariffs and fuel prices. The results prioritize clinker substitution and plant-specific waste heat recovery while identifying standards, material quality, waste-fuel infrastructure and financing as the principal implementation constraints.</w:t>
      </w:r>
    </w:p>
    <w:p w14:paraId="476B2F2E" w14:textId="77777777" w:rsidR="00600535" w:rsidRDefault="00600535" w:rsidP="00600535">
      <w:pPr>
        <w:pStyle w:val="CETHeading1"/>
        <w:rPr>
          <w:lang w:val="en-GB"/>
        </w:rPr>
      </w:pPr>
      <w:r w:rsidRPr="00B57B36">
        <w:rPr>
          <w:lang w:val="en-GB"/>
        </w:rPr>
        <w:t>Introduction</w:t>
      </w:r>
    </w:p>
    <w:p w14:paraId="783A4D96" w14:textId="7180F535" w:rsidR="004A6976" w:rsidRPr="004A6976" w:rsidRDefault="004A6976" w:rsidP="004A6976">
      <w:pPr>
        <w:pStyle w:val="CETBodytext"/>
        <w:rPr>
          <w:lang w:eastAsia="ru-RU"/>
        </w:rPr>
      </w:pPr>
      <w:r w:rsidRPr="004A6976">
        <w:rPr>
          <w:lang w:eastAsia="ru-RU"/>
        </w:rPr>
        <w:t>The cement industry occupies a central role in modern infrastructure development, yet it remains one of the most emission-intensive industrial sectors globally. Its carbon footprint is structurally embedded in the chemistry and thermodynamics of clinker production</w:t>
      </w:r>
      <w:r w:rsidR="007E585B">
        <w:rPr>
          <w:lang w:eastAsia="ru-RU"/>
        </w:rPr>
        <w:t xml:space="preserve"> </w:t>
      </w:r>
      <w:r w:rsidR="007E585B">
        <w:rPr>
          <w:lang w:eastAsia="ru-RU"/>
        </w:rPr>
        <w:fldChar w:fldCharType="begin"/>
      </w:r>
      <w:r w:rsidR="007E585B">
        <w:rPr>
          <w:lang w:eastAsia="ru-RU"/>
        </w:rPr>
        <w:instrText xml:space="preserve"> ADDIN ZOTERO_ITEM CSL_CITATION {"citationID":"EN7Xx7mW","properties":{"unsorted":false,"formattedCitation":"(Marenco-Porto et al., 2023)","plainCitation":"(Marenco-Porto et al., 2023)","noteIndex":0},"citationItems":[{"id":342,"uris":["http://zotero.org/users/11636083/items/FKZENZX3"],"itemData":{"id":342,"type":"article-journal","container-title":"Energy","DOI":"10.1016/j.energy.2023.127810","ISSN":"03605442","journalAbbreviation":"Energy","language":"en","page":"127810","source":"DOI.org (Crossref)","title":"Potential savings in the cement industry using waste heat recovery technologies","volume":"279","author":[{"family":"Marenco-Porto","given":"Carlos A."},{"family":"Fierro","given":"José J."},{"family":"Nieto-Londoño","given":"César"},{"family":"Lopera","given":"Leonardo"},{"family":"Escudero-Atehortua","given":"Ana"},{"family":"Giraldo","given":"Mauricio"},{"family":"Jouhara","given":"Hussam"}],"issued":{"date-parts":[["2023",9]]}}}],"schema":"https://github.com/citation-style-language/schema/raw/master/csl-citation.json"} </w:instrText>
      </w:r>
      <w:r w:rsidR="007E585B">
        <w:rPr>
          <w:lang w:eastAsia="ru-RU"/>
        </w:rPr>
        <w:fldChar w:fldCharType="separate"/>
      </w:r>
      <w:r w:rsidR="007E585B" w:rsidRPr="007E585B">
        <w:rPr>
          <w:rFonts w:cs="Arial"/>
          <w:lang w:eastAsia="ru-RU"/>
        </w:rPr>
        <w:t>(Marenco-Porto et al., 2023)</w:t>
      </w:r>
      <w:r w:rsidR="007E585B">
        <w:rPr>
          <w:lang w:eastAsia="ru-RU"/>
        </w:rPr>
        <w:fldChar w:fldCharType="end"/>
      </w:r>
      <w:r w:rsidRPr="004A6976">
        <w:rPr>
          <w:lang w:eastAsia="ru-RU"/>
        </w:rPr>
        <w:t>. Approximately two-thirds of total CO</w:t>
      </w:r>
      <w:r w:rsidRPr="004A6976">
        <w:rPr>
          <w:rFonts w:ascii="Cambria Math" w:hAnsi="Cambria Math" w:cs="Cambria Math"/>
          <w:lang w:eastAsia="ru-RU"/>
        </w:rPr>
        <w:t>₂</w:t>
      </w:r>
      <w:r w:rsidRPr="004A6976">
        <w:rPr>
          <w:lang w:eastAsia="ru-RU"/>
        </w:rPr>
        <w:t xml:space="preserve"> emissions originate from the calcination of limestone (CaCO</w:t>
      </w:r>
      <w:r w:rsidR="007E585B" w:rsidRPr="007E585B">
        <w:rPr>
          <w:rFonts w:ascii="Cambria Math" w:hAnsi="Cambria Math" w:cs="Cambria Math"/>
          <w:vertAlign w:val="subscript"/>
          <w:lang w:eastAsia="ru-RU"/>
        </w:rPr>
        <w:t>3</w:t>
      </w:r>
      <w:r w:rsidRPr="004A6976">
        <w:rPr>
          <w:lang w:eastAsia="ru-RU"/>
        </w:rPr>
        <w:t xml:space="preserve"> </w:t>
      </w:r>
      <w:r w:rsidRPr="004A6976">
        <w:rPr>
          <w:rFonts w:cs="Arial"/>
          <w:lang w:eastAsia="ru-RU"/>
        </w:rPr>
        <w:t>→</w:t>
      </w:r>
      <w:r w:rsidRPr="004A6976">
        <w:rPr>
          <w:lang w:eastAsia="ru-RU"/>
        </w:rPr>
        <w:t xml:space="preserve"> CaO + CO</w:t>
      </w:r>
      <w:r w:rsidR="007E585B" w:rsidRPr="007E585B">
        <w:rPr>
          <w:rFonts w:ascii="Cambria Math" w:hAnsi="Cambria Math" w:cs="Cambria Math"/>
          <w:vertAlign w:val="subscript"/>
          <w:lang w:eastAsia="ru-RU"/>
        </w:rPr>
        <w:t>2</w:t>
      </w:r>
      <w:r w:rsidRPr="004A6976">
        <w:rPr>
          <w:lang w:eastAsia="ru-RU"/>
        </w:rPr>
        <w:t>), while the remaining share is associated with the combustion of fuels required to sustain kiln temperatures exceeding 1400</w:t>
      </w:r>
      <w:r w:rsidRPr="004A6976">
        <w:rPr>
          <w:rFonts w:cs="Arial"/>
          <w:lang w:eastAsia="ru-RU"/>
        </w:rPr>
        <w:t>°</w:t>
      </w:r>
      <w:r w:rsidRPr="004A6976">
        <w:rPr>
          <w:lang w:eastAsia="ru-RU"/>
        </w:rPr>
        <w:t>C</w:t>
      </w:r>
      <w:r w:rsidR="007E585B">
        <w:rPr>
          <w:lang w:eastAsia="ru-RU"/>
        </w:rPr>
        <w:t xml:space="preserve"> </w:t>
      </w:r>
      <w:r w:rsidR="007E585B">
        <w:rPr>
          <w:lang w:eastAsia="ru-RU"/>
        </w:rPr>
        <w:fldChar w:fldCharType="begin"/>
      </w:r>
      <w:r w:rsidR="0051151A">
        <w:rPr>
          <w:lang w:eastAsia="ru-RU"/>
        </w:rPr>
        <w:instrText xml:space="preserve"> ADDIN ZOTERO_ITEM CSL_CITATION {"citationID":"fihCsGpz","properties":{"unsorted":false,"formattedCitation":"(Mossie et al., 2023; Perez-Calvo Jose-Francisco et al., 2018; Sahoo et al., 2022)","plainCitation":"(Mossie et al., 2023; Perez-Calvo Jose-Francisco et al., 2018; Sahoo et al., 2022)","noteIndex":0},"citationItems":[{"id":145,"uris":["http://zotero.org/users/11636083/items/UUIBZ65T"],"itemData":{"id":145,"type":"article-journal","container-title":"Energy Conversion and Management","DOI":"10.1016/j.enconman.2023.117111","ISSN":"01968904","journalAbbreviation":"Energy Conversion and Management","language":"en","page":"117111","source":"DOI.org (Crossref)","title":"Investigating energy saving and climate mitigation potentials in cement production – A case study in Ethiopia","volume":"287","author":[{"family":"Mossie","given":"Alebachew T."},{"family":"Khatiwada","given":"Dilip"},{"family":"Palm","given":"Björn"},{"family":"Bekele","given":"Getachew"}],"issued":{"date-parts":[["2023",7]]}}},{"id":1117,"uris":["http://zotero.org/users/11636083/items/GTPESMLH"],"itemData":{"id":1117,"type":"article-journal","container-title":"Chemical Engineering Transactions","DOI":"10.3303/CET1869025","page":"145–150","publisher":"AIDIC: Italian Association of Chemical Engineering","publisher-place":"IT","source":"DOI.org (CSL JSON)","title":"Pilot tests and rate-based modeling of co2 capture in cement plants using an aqueous ammonia solution","volume":"69","author":[{"literal":"Perez-Calvo Jose-Francisco"},{"literal":"Sutter Daniel"},{"literal":"Gazzani Matteo"},{"literal":"Mazzotti Marco"}],"issued":{"date-parts":[["2018",10]]}}},{"id":333,"uris":["http://zotero.org/users/11636083/items/K2PXX9T9"],"itemData":{"id":333,"type":"article-journal","container-title":"Environmental Development","DOI":"10.1016/j.envdev.2022.100767","ISSN":"22114645","journalAbbreviation":"Environmental Development","language":"en","page":"100767","source":"DOI.org (Crossref)","title":"Review on energy conservation and emission reduction approaches for cement industry","volume":"44","author":[{"family":"Sahoo","given":"Niranjan"},{"family":"Kumar","given":"Anil"},{"literal":"Samsher"}],"issued":{"date-parts":[["2022",12]]}}}],"schema":"https://github.com/citation-style-language/schema/raw/master/csl-citation.json"} </w:instrText>
      </w:r>
      <w:r w:rsidR="007E585B">
        <w:rPr>
          <w:lang w:eastAsia="ru-RU"/>
        </w:rPr>
        <w:fldChar w:fldCharType="separate"/>
      </w:r>
      <w:r w:rsidR="0051151A" w:rsidRPr="0051151A">
        <w:rPr>
          <w:rFonts w:cs="Arial"/>
          <w:lang w:eastAsia="ru-RU"/>
        </w:rPr>
        <w:t>(Mossie et al., 2023; Perez-Calvo Jose-Francisco et al., 2018; Sahoo et al., 2022)</w:t>
      </w:r>
      <w:r w:rsidR="007E585B">
        <w:rPr>
          <w:lang w:eastAsia="ru-RU"/>
        </w:rPr>
        <w:fldChar w:fldCharType="end"/>
      </w:r>
      <w:r w:rsidRPr="004A6976">
        <w:rPr>
          <w:lang w:eastAsia="ru-RU"/>
        </w:rPr>
        <w:t>. This dual-origin emission profile makes mitigation particularly challenging, as it requires simultaneous intervention in both process chemistry and energy systems.</w:t>
      </w:r>
    </w:p>
    <w:p w14:paraId="6FBF71BE" w14:textId="6A505FE9" w:rsidR="004A6976" w:rsidRPr="004A6976" w:rsidRDefault="004A6976" w:rsidP="004A6976">
      <w:pPr>
        <w:pStyle w:val="CETBodytext"/>
        <w:rPr>
          <w:lang w:eastAsia="ru-RU"/>
        </w:rPr>
      </w:pPr>
      <w:r w:rsidRPr="004A6976">
        <w:rPr>
          <w:lang w:eastAsia="ru-RU"/>
        </w:rPr>
        <w:t>In the context of Uzbekistan, the cement sector has undergone rapid expansion over the past decade, driven by large-scale construction activities, urbanization, and industrial development.</w:t>
      </w:r>
      <w:r w:rsidR="007B5A21">
        <w:rPr>
          <w:lang w:eastAsia="ru-RU"/>
        </w:rPr>
        <w:t xml:space="preserve"> </w:t>
      </w:r>
      <w:r w:rsidRPr="004A6976">
        <w:rPr>
          <w:lang w:eastAsia="ru-RU"/>
        </w:rPr>
        <w:t xml:space="preserve"> National production capacity has increased significantly, with multiple new dry-process plants entering operation. Despite this modernization trend, the sector remains characterized by relatively high emission intensity due to several structural factors. These include a high clinker-to-cement ratio, widespread reliance on coal as a primary fuel following shifts in national energy policy, and limited deployment of advanced energy recovery and process optimization technologies. As a result, the sector contributes a substantial share of industrial greenhouse gas emissions and represents a priority area for decarbonization within national climate strategies</w:t>
      </w:r>
      <w:r w:rsidR="007E585B">
        <w:rPr>
          <w:lang w:eastAsia="ru-RU"/>
        </w:rPr>
        <w:t xml:space="preserve"> </w:t>
      </w:r>
      <w:r w:rsidR="007E585B">
        <w:rPr>
          <w:lang w:eastAsia="ru-RU"/>
        </w:rPr>
        <w:fldChar w:fldCharType="begin"/>
      </w:r>
      <w:r w:rsidR="00CD2422">
        <w:rPr>
          <w:lang w:eastAsia="ru-RU"/>
        </w:rPr>
        <w:instrText xml:space="preserve"> ADDIN ZOTERO_ITEM CSL_CITATION {"citationID":"oYPnb7Ay","properties":{"unsorted":false,"formattedCitation":"(Rumayor et al., 2022; Turakulov et al., 2024)","plainCitation":"(Rumayor et al., 2022; Turakulov et al., 2024)","noteIndex":0},"citationItems":[{"id":692,"uris":["http://zotero.org/groups/5047679/items/TJUW8KKF"],"itemData":{"id":692,"type":"article-journal","container-title":"ACS Sustainable Chemistry &amp; Engineering","DOI":"10.1021/acssuschemeng.1c06118","ISSN":"2168-0485, 2168-0485","issue":"1","journalAbbreviation":"ACS Sustainable Chem. Eng.","language":"en","page":"267-278","source":"DOI.org (Crossref)","title":"Deep Decarbonization of the Cement Sector: A Prospective Environmental Assessment of CO &lt;sub&gt;2&lt;/sub&gt; Recycling to Methanol","title-short":"Deep Decarbonization of the Cement Sector","volume":"10","author":[{"family":"Rumayor","given":"Marta"},{"family":"Fernández-González","given":"Javier"},{"family":"Domínguez-Ramos","given":"Antonio"},{"family":"Irabien","given":"Angel"}],"issued":{"date-parts":[["2022",1,10]]}}},{"id":153,"uris":["http://zotero.org/users/11636083/items/ZX8CFJIM"],"itemData":{"id":153,"type":"article-journal","container-title":"International Journal of Environmental Research","DOI":"10.1007/s41742-024-00578-6","ISSN":"1735-6865, 2008-2304","issue":"2","journalAbbreviation":"Int J Environ Res","language":"en","page":"28","source":"DOI.org (Crossref)","title":"Assessment of CO2 Emission and Decarbonization Measures in Uzbekistan","volume":"18","author":[{"family":"Turakulov","given":"Zafar"},{"family":"Kamolov","given":"Azizbek"},{"family":"Norkobilov","given":"Adham"},{"family":"Variny","given":"Miroslav"},{"family":"Fallanza","given":"Marcos"}],"issued":{"date-parts":[["2024",4]]}}}],"schema":"https://github.com/citation-style-language/schema/raw/master/csl-citation.json"} </w:instrText>
      </w:r>
      <w:r w:rsidR="007E585B">
        <w:rPr>
          <w:lang w:eastAsia="ru-RU"/>
        </w:rPr>
        <w:fldChar w:fldCharType="separate"/>
      </w:r>
      <w:r w:rsidR="00CD2422" w:rsidRPr="00CD2422">
        <w:rPr>
          <w:rFonts w:cs="Arial"/>
          <w:lang w:eastAsia="ru-RU"/>
        </w:rPr>
        <w:t>(Rumayor et al., 2022; Turakulov et al., 2024)</w:t>
      </w:r>
      <w:r w:rsidR="007E585B">
        <w:rPr>
          <w:lang w:eastAsia="ru-RU"/>
        </w:rPr>
        <w:fldChar w:fldCharType="end"/>
      </w:r>
      <w:r w:rsidRPr="004A6976">
        <w:rPr>
          <w:lang w:eastAsia="ru-RU"/>
        </w:rPr>
        <w:t>.</w:t>
      </w:r>
    </w:p>
    <w:p w14:paraId="1E7B88C7" w14:textId="0B4B1185" w:rsidR="004A6976" w:rsidRPr="004A6976" w:rsidRDefault="004A6976" w:rsidP="004A6976">
      <w:pPr>
        <w:pStyle w:val="CETBodytext"/>
        <w:rPr>
          <w:lang w:eastAsia="ru-RU"/>
        </w:rPr>
      </w:pPr>
      <w:r w:rsidRPr="004A6976">
        <w:rPr>
          <w:lang w:eastAsia="ru-RU"/>
        </w:rPr>
        <w:t xml:space="preserve">Recent policy frameworks, including Uzbekistan’s updated Nationally Determined Contributions (NDCs) and long-term low-emission development strategies, emphasize the need to reduce carbon intensity in hard-to-abate </w:t>
      </w:r>
      <w:r w:rsidRPr="004A6976">
        <w:rPr>
          <w:lang w:eastAsia="ru-RU"/>
        </w:rPr>
        <w:lastRenderedPageBreak/>
        <w:t>sectors such as cement. While carbon capture, utilization, and storage (CCUS) technologies are frequently highlighted as essential for achieving deep decarbonization, their deployment remains constrained by high capital costs, infrastructure requirements, and technological maturity</w:t>
      </w:r>
      <w:r w:rsidR="00A91EB6">
        <w:rPr>
          <w:lang w:eastAsia="ru-RU"/>
        </w:rPr>
        <w:t xml:space="preserve"> </w:t>
      </w:r>
      <w:r w:rsidR="00A91EB6">
        <w:rPr>
          <w:lang w:eastAsia="ru-RU"/>
        </w:rPr>
        <w:fldChar w:fldCharType="begin"/>
      </w:r>
      <w:r w:rsidR="00A91EB6">
        <w:rPr>
          <w:lang w:eastAsia="ru-RU"/>
        </w:rPr>
        <w:instrText xml:space="preserve"> ADDIN ZOTERO_ITEM CSL_CITATION {"citationID":"8eLm7GEM","properties":{"unsorted":false,"formattedCitation":"(Yi &amp; Kim, 2024)","plainCitation":"(Yi &amp; Kim, 2024)","noteIndex":0},"citationItems":[{"id":1049,"uris":["http://zotero.org/users/11636083/items/E6UBQHNE"],"itemData":{"id":1049,"type":"article-journal","abstract":"The carbon capture, utilization, and storage (CCUS) technologies have shown promise for directly reducing the amount of CO2 released into the atmosphere from significant point sources. This study aims to evaluate an integrated CCUS system in South Korea using three technologies: microalgae photocultivation, CO2 membrane separation, and carbon mineralization. LCAs showed the total GHG emissions, excluding carbon offset effects, were 358 kg CO2 eq/ton, with 95.8% from CO2 membrane separation. Microalgae and mineralization emitted 14.6 kg CO2 eq/ton (4.1%) and 0.371 kg CO2 eq/ton (0.1%), respectively. Including carbon offsets from CaCO3 production and CO2 utilization, the system's net emissions were -745 kg CO2 eq/ton. Further economic studies are needed, but the study confirmed the system's high GHG reduction efficiency through LCA, enhancing the potential use of CCUS technologies in urban CHP plants.","container-title":"Environmental Engineering Research","DOI":"10.4491/eer.2024.446","ISSN":"1226-1025, 2005-968X","issue":"3","journalAbbreviation":"Environmental Engineering Research","language":"en","page":"240446-0","source":"DOI.org (Crossref)","title":"Life cycle GHG emissions reduction of an integrated CCUS system for combined heat and power plants","volume":"30","author":[{"family":"Yi","given":"Sora"},{"family":"Kim","given":"Junbeum"}],"issued":{"date-parts":[["2024",9,30]]}}}],"schema":"https://github.com/citation-style-language/schema/raw/master/csl-citation.json"} </w:instrText>
      </w:r>
      <w:r w:rsidR="00A91EB6">
        <w:rPr>
          <w:lang w:eastAsia="ru-RU"/>
        </w:rPr>
        <w:fldChar w:fldCharType="separate"/>
      </w:r>
      <w:r w:rsidR="00A91EB6" w:rsidRPr="00A91EB6">
        <w:rPr>
          <w:rFonts w:cs="Arial"/>
          <w:lang w:eastAsia="ru-RU"/>
        </w:rPr>
        <w:t>(Yi &amp; Kim, 2024)</w:t>
      </w:r>
      <w:r w:rsidR="00A91EB6">
        <w:rPr>
          <w:lang w:eastAsia="ru-RU"/>
        </w:rPr>
        <w:fldChar w:fldCharType="end"/>
      </w:r>
      <w:r w:rsidRPr="004A6976">
        <w:rPr>
          <w:lang w:eastAsia="ru-RU"/>
        </w:rPr>
        <w:t>. In emerging economies, including Uzbekistan, the immediate focus is therefore shifting toward conventional mitigation measures that can be implemented with lower financial risk and higher technological readiness</w:t>
      </w:r>
      <w:r w:rsidR="007E585B">
        <w:rPr>
          <w:lang w:eastAsia="ru-RU"/>
        </w:rPr>
        <w:t xml:space="preserve"> </w:t>
      </w:r>
      <w:r w:rsidR="007E585B">
        <w:rPr>
          <w:lang w:eastAsia="ru-RU"/>
        </w:rPr>
        <w:fldChar w:fldCharType="begin"/>
      </w:r>
      <w:r w:rsidR="00A91EB6">
        <w:rPr>
          <w:lang w:eastAsia="ru-RU"/>
        </w:rPr>
        <w:instrText xml:space="preserve"> ADDIN ZOTERO_ITEM CSL_CITATION {"citationID":"m6ITE6fL","properties":{"unsorted":false,"formattedCitation":"(Bekmurodova, 2021)","plainCitation":"(Bekmurodova, 2021)","noteIndex":0},"citationItems":[{"id":251,"uris":["http://zotero.org/users/11636083/items/A7GWE3VB"],"itemData":{"id":251,"type":"post-weblog","abstract":"The Covid-19 pandemic has shown how interconnected human health is with the environment, as well as with economic and social progress. We can no longer ignore the signals that nature itself sends us. Unfortunately, climate change is on the rise. In Central Asia, the average annual temperature over the past 30 years has increased by […]","container-title":"OCA MAGAZINE","language":"en-US","title":"Uzbekistan moving fast to meet decarbonisation targets","URL":"https://www.ocamagazine.com/2021/10/07/uzbekistan-moving-fast-to-meet-decarbonisation-targets/","author":[{"family":"Bekmurodova","given":"Elmira"}],"accessed":{"date-parts":[["2024",1,4]]},"issued":{"date-parts":[["2021"]]}}}],"schema":"https://github.com/citation-style-language/schema/raw/master/csl-citation.json"} </w:instrText>
      </w:r>
      <w:r w:rsidR="007E585B">
        <w:rPr>
          <w:lang w:eastAsia="ru-RU"/>
        </w:rPr>
        <w:fldChar w:fldCharType="separate"/>
      </w:r>
      <w:r w:rsidR="00A91EB6" w:rsidRPr="00A91EB6">
        <w:rPr>
          <w:rFonts w:cs="Arial"/>
          <w:lang w:eastAsia="ru-RU"/>
        </w:rPr>
        <w:t>(Bekmurodova, 2021)</w:t>
      </w:r>
      <w:r w:rsidR="007E585B">
        <w:rPr>
          <w:lang w:eastAsia="ru-RU"/>
        </w:rPr>
        <w:fldChar w:fldCharType="end"/>
      </w:r>
      <w:r w:rsidRPr="004A6976">
        <w:rPr>
          <w:lang w:eastAsia="ru-RU"/>
        </w:rPr>
        <w:t>.</w:t>
      </w:r>
    </w:p>
    <w:p w14:paraId="043AEC6D" w14:textId="770719F7" w:rsidR="004A6976" w:rsidRPr="004A6976" w:rsidRDefault="004A6976" w:rsidP="004A6976">
      <w:pPr>
        <w:pStyle w:val="CETBodytext"/>
        <w:rPr>
          <w:lang w:eastAsia="ru-RU"/>
        </w:rPr>
      </w:pPr>
      <w:r w:rsidRPr="004A6976">
        <w:rPr>
          <w:lang w:eastAsia="ru-RU"/>
        </w:rPr>
        <w:t>These measures align closely with the principles of the circular economy, which promotes resource efficiency, waste minimization, and energy optimization across industrial systems. In the cement industry, circular economy strategies manifest through several key pathways. Waste heat recovery enables the utilization of excess thermal energy from kiln exhaust gases for electricity generation, thereby reducing dependence on external power sources. Alternative fuels, including biomass and industrial waste, provide an opportunity to substitute carbon-intensive fossil fuels while simultaneously addressing waste management challenges</w:t>
      </w:r>
      <w:r w:rsidR="0051151A">
        <w:rPr>
          <w:lang w:eastAsia="ru-RU"/>
        </w:rPr>
        <w:t xml:space="preserve"> </w:t>
      </w:r>
      <w:r w:rsidR="0051151A">
        <w:rPr>
          <w:lang w:eastAsia="ru-RU"/>
        </w:rPr>
        <w:fldChar w:fldCharType="begin"/>
      </w:r>
      <w:r w:rsidR="0051151A">
        <w:rPr>
          <w:lang w:eastAsia="ru-RU"/>
        </w:rPr>
        <w:instrText xml:space="preserve"> ADDIN ZOTERO_ITEM CSL_CITATION {"citationID":"VoINp9z7","properties":{"unsorted":false,"formattedCitation":"(Estrella Eunice T. et al., 2023)","plainCitation":"(Estrella Eunice T. et al., 2023)","noteIndex":0},"citationItems":[{"id":1118,"uris":["http://zotero.org/users/11636083/items/UXD75N2Q"],"itemData":{"id":1118,"type":"article-journal","container-title":"Chemical Engineering Transactions","DOI":"10.3303/CET23103067","page":"397–402","publisher":"AIDIC: Italian Association of Chemical Engineering","publisher-place":"IT","source":"DOI.org (CSL JSON)","title":"Retrofitting of Cement Plant with Carbon Capture Technology and Emissions Trading Scheme (ETS): An Integrated P-Graph and AHP Approach","title-short":"Retrofitting of Cement Plant with Carbon Capture Technology and Emissions Trading Scheme (ETS)","volume":"103","author":[{"literal":"Estrella Eunice T."},{"literal":"Belaro Chalmer M."},{"literal":"Promentilla Michael Angelo B."}],"issued":{"date-parts":[["2023",10]]}}}],"schema":"https://github.com/citation-style-language/schema/raw/master/csl-citation.json"} </w:instrText>
      </w:r>
      <w:r w:rsidR="0051151A">
        <w:rPr>
          <w:lang w:eastAsia="ru-RU"/>
        </w:rPr>
        <w:fldChar w:fldCharType="separate"/>
      </w:r>
      <w:r w:rsidR="0051151A" w:rsidRPr="0051151A">
        <w:rPr>
          <w:rFonts w:cs="Arial"/>
          <w:lang w:eastAsia="ru-RU"/>
        </w:rPr>
        <w:t>(Estrella Eunice T. et al., 2023)</w:t>
      </w:r>
      <w:r w:rsidR="0051151A">
        <w:rPr>
          <w:lang w:eastAsia="ru-RU"/>
        </w:rPr>
        <w:fldChar w:fldCharType="end"/>
      </w:r>
      <w:r w:rsidRPr="004A6976">
        <w:rPr>
          <w:lang w:eastAsia="ru-RU"/>
        </w:rPr>
        <w:t>. Clinker substitution through supplementary cementitious materials reduces both process emissions and energy consumption by lowering the clinker content in final cement products. Additionally, process-level energy efficiency improvements, supported by advanced control systems and operational optimization, contribute to incremental but cumulative emission reductions.</w:t>
      </w:r>
    </w:p>
    <w:p w14:paraId="638CB290" w14:textId="5F1AC36B" w:rsidR="004A6976" w:rsidRPr="004A6976" w:rsidRDefault="004A6976" w:rsidP="004A6976">
      <w:pPr>
        <w:pStyle w:val="CETBodytext"/>
        <w:rPr>
          <w:lang w:eastAsia="ru-RU"/>
        </w:rPr>
      </w:pPr>
      <w:r w:rsidRPr="004A6976">
        <w:rPr>
          <w:lang w:eastAsia="ru-RU"/>
        </w:rPr>
        <w:t>Although these strategies are well established in principle, their practical implementation in Uzbekistan requires careful assessment of both environmental benefits and economic feasibility under local conditions. Factors such as the availability of suitable supplementary materials, variability in fuel supply chains, electricity pricing structures, and institutional capacity significantly influence the performance and scalability of these interventions</w:t>
      </w:r>
      <w:r w:rsidR="00A9346D">
        <w:rPr>
          <w:lang w:eastAsia="ru-RU"/>
        </w:rPr>
        <w:t xml:space="preserve"> </w:t>
      </w:r>
      <w:r w:rsidR="00A9346D">
        <w:rPr>
          <w:lang w:eastAsia="ru-RU"/>
        </w:rPr>
        <w:fldChar w:fldCharType="begin"/>
      </w:r>
      <w:r w:rsidR="00A9346D">
        <w:rPr>
          <w:lang w:eastAsia="ru-RU"/>
        </w:rPr>
        <w:instrText xml:space="preserve"> ADDIN ZOTERO_ITEM CSL_CITATION {"citationID":"RU6UJ4f3","properties":{"unsorted":false,"formattedCitation":"(Jibran &amp; Mahat, 2023)","plainCitation":"(Jibran &amp; Mahat, 2023)","noteIndex":0},"citationItems":[{"id":346,"uris":["http://zotero.org/users/11636083/items/9L4AHXGS"],"itemData":{"id":346,"type":"article-journal","abstract":"Abstract\n            \n              Rising carbon dioxide (CO\n              2\n              ) levels in the atmosphere have a direct effect on the weather, climate events, and global temperature that leads to adverse impacts on the environment and human beings. Industrial sectors are the major source of carbon footprint and contribute more than 30% of global CO\n              2\n              emissions in global cement industries being the second largest after the steel industry i.e., 7% contribution. Raw material preparation, clinker burning, and cement grinding are the three major processes involved in cement manufacturing. The CO\n              2\n              emissions throughout these phases are split into two categories: direct emissions (90%), mostly from the burning of fossil fuels and the breakdown of limestone (CaCO\n              3\n              ) during the calcination of raw materials; and indirect emissions (2–10%), primarily from the use of electricity. Fossil fuel combustion is the major source of energy in cement manufacturing processes, accounting for 35% of cement’s CO\n              2\n              emissions. In this study, the various pathways of decarbonization of the cement industry have been extensively reviewed. This research has revealed that hydrogen may be an appropriate substitute for carbon-intensive fuels in kilns. It can be concluded that the usage of hydrogen as a source of process heat, can present a potential for comparatively smooth integration into, or replacement of, process heat systems based on fossil fuels.","container-title":"Journal of Physics: Conference Series","DOI":"10.1088/1742-6596/2629/1/012027","ISSN":"1742-6588, 1742-6596","issue":"1","journalAbbreviation":"J. Phys.: Conf. Ser.","page":"012027","source":"DOI.org (Crossref)","title":"Application of green hydrogen for decarbonization of cement manufacturing process: A technical review","title-short":"Application of green hydrogen for decarbonization of cement manufacturing process","volume":"2629","author":[{"family":"Jibran","given":"Jahir Ahamad"},{"family":"Mahat","given":"Chiranjeevi"}],"issued":{"date-parts":[["2023",11,1]]}}}],"schema":"https://github.com/citation-style-language/schema/raw/master/csl-citation.json"} </w:instrText>
      </w:r>
      <w:r w:rsidR="00A9346D">
        <w:rPr>
          <w:lang w:eastAsia="ru-RU"/>
        </w:rPr>
        <w:fldChar w:fldCharType="separate"/>
      </w:r>
      <w:r w:rsidR="00A9346D" w:rsidRPr="00A9346D">
        <w:rPr>
          <w:rFonts w:cs="Arial"/>
          <w:lang w:eastAsia="ru-RU"/>
        </w:rPr>
        <w:t>(Jibran &amp; Mahat, 2023)</w:t>
      </w:r>
      <w:r w:rsidR="00A9346D">
        <w:rPr>
          <w:lang w:eastAsia="ru-RU"/>
        </w:rPr>
        <w:fldChar w:fldCharType="end"/>
      </w:r>
      <w:r w:rsidRPr="004A6976">
        <w:rPr>
          <w:lang w:eastAsia="ru-RU"/>
        </w:rPr>
        <w:t>. Existing studies often analyze individual technologies in isolation or rely on generalized assumptions that do not adequately reflect the specific characteristics of the Uzbek cement sector.</w:t>
      </w:r>
    </w:p>
    <w:p w14:paraId="27AB3B85" w14:textId="77777777" w:rsidR="004A6976" w:rsidRPr="004A6976" w:rsidRDefault="004A6976" w:rsidP="004A6976">
      <w:pPr>
        <w:pStyle w:val="CETBodytext"/>
        <w:rPr>
          <w:lang w:eastAsia="ru-RU"/>
        </w:rPr>
      </w:pPr>
      <w:r w:rsidRPr="004A6976">
        <w:rPr>
          <w:lang w:eastAsia="ru-RU"/>
        </w:rPr>
        <w:t>To address these limitations, there is a need for an integrated analytical framework that combines detailed process modeling with life cycle assessment and techno-economic evaluation. Such an approach enables a comprehensive understanding of how different decarbonization levers interact within the production system, including potential trade-offs and synergistic effects. In particular, life cycle assessment provides a systematic method for quantifying environmental impacts across the entire production chain, while techno-economic analysis allows for the evaluation of investment requirements, operational costs, and overall economic viability.</w:t>
      </w:r>
    </w:p>
    <w:p w14:paraId="6F1724CC" w14:textId="77777777" w:rsidR="004A6976" w:rsidRDefault="004A6976" w:rsidP="004A6976">
      <w:pPr>
        <w:pStyle w:val="CETBodytext"/>
        <w:rPr>
          <w:lang w:eastAsia="ru-RU"/>
        </w:rPr>
      </w:pPr>
      <w:r w:rsidRPr="004A6976">
        <w:rPr>
          <w:lang w:eastAsia="ru-RU"/>
        </w:rPr>
        <w:t>This study develops and applies such a framework to a representative cement plant in Uzbekistan, with the objective of evaluating the effectiveness of circular economy strategies in reducing greenhouse gas emissions while maintaining economic competitiveness. By considering multiple scenarios and their combined implementation, the analysis aims to identify optimal pathways for near-term decarbonization that are aligned with both industrial capabilities and policy priorities. The results are intended to support evidence-based decision-making for industry stakeholders and policymakers, contributing to the broader transition toward a low-carbon and resource-efficient cement sector.</w:t>
      </w:r>
    </w:p>
    <w:p w14:paraId="40D2B6D1" w14:textId="5D3608E4" w:rsidR="00C94914" w:rsidRDefault="00C94914" w:rsidP="00C94914">
      <w:pPr>
        <w:pStyle w:val="CETHeading1"/>
        <w:rPr>
          <w:lang w:val="en-GB"/>
        </w:rPr>
      </w:pPr>
      <w:r>
        <w:rPr>
          <w:lang w:val="en-GB"/>
        </w:rPr>
        <w:t>Methodology</w:t>
      </w:r>
    </w:p>
    <w:p w14:paraId="2D49F35F" w14:textId="77777777" w:rsidR="00C94914" w:rsidRPr="00C94914" w:rsidRDefault="00C94914" w:rsidP="00C94914">
      <w:pPr>
        <w:pStyle w:val="CETBodytext"/>
        <w:rPr>
          <w:lang w:eastAsia="ru-RU"/>
        </w:rPr>
      </w:pPr>
      <w:r w:rsidRPr="00C94914">
        <w:rPr>
          <w:lang w:eastAsia="ru-RU"/>
        </w:rPr>
        <w:t>This study adopts an integrated analytical framework combining process-based life cycle assessment (LCA) with detailed techno-economic analysis to evaluate the environmental and economic performance of circular economy strategies in Uzbekistan’s cement industry. The methodological design is structured to ensure consistency between process modeling, emissions accounting, and cost evaluation under realistic industrial conditions.</w:t>
      </w:r>
    </w:p>
    <w:p w14:paraId="090A3D36" w14:textId="77777777" w:rsidR="00C94914" w:rsidRPr="00C94914" w:rsidRDefault="00C94914" w:rsidP="00C94914">
      <w:pPr>
        <w:pStyle w:val="CETBodytext"/>
        <w:rPr>
          <w:lang w:eastAsia="ru-RU"/>
        </w:rPr>
      </w:pPr>
      <w:r w:rsidRPr="00C94914">
        <w:rPr>
          <w:lang w:eastAsia="ru-RU"/>
        </w:rPr>
        <w:t>The analysis is based on a representative dry-process integrated cement plant with an annual production capacity of 1 million tons of cement. The plant configuration reflects typical operational characteristics observed in Uzbekistan, including a multi-stage preheater-</w:t>
      </w:r>
      <w:proofErr w:type="spellStart"/>
      <w:r w:rsidRPr="00C94914">
        <w:rPr>
          <w:lang w:eastAsia="ru-RU"/>
        </w:rPr>
        <w:t>precalciner</w:t>
      </w:r>
      <w:proofErr w:type="spellEnd"/>
      <w:r w:rsidRPr="00C94914">
        <w:rPr>
          <w:lang w:eastAsia="ru-RU"/>
        </w:rPr>
        <w:t xml:space="preserve"> kiln system, coal-based fuel combustion, and conventional grinding circuits. Key process parameters, such as specific thermal energy consumption (3.3–3.6 GJ/t clinker) and electrical energy consumption (90–110 kWh/t cement), are calibrated using regional benchmark data.</w:t>
      </w:r>
    </w:p>
    <w:p w14:paraId="68DAEED9" w14:textId="0493DF2E" w:rsidR="00C94914" w:rsidRPr="00C94914" w:rsidRDefault="00C94914" w:rsidP="00C94914">
      <w:pPr>
        <w:pStyle w:val="CETBodytext"/>
        <w:rPr>
          <w:lang w:eastAsia="ru-RU"/>
        </w:rPr>
      </w:pPr>
      <w:r w:rsidRPr="00C94914">
        <w:rPr>
          <w:lang w:eastAsia="ru-RU"/>
        </w:rPr>
        <w:t xml:space="preserve">A cradle-to-gate system boundary is defined, encompassing raw material extraction and preparation, clinker production, cement grinding, and associated energy consumption. Downstream processes such as transportation, construction, and end-of-life phases are excluded to maintain focus on plant-level decarbonization potential. </w:t>
      </w:r>
      <w:r w:rsidR="007B5A21" w:rsidRPr="007B5A21">
        <w:rPr>
          <w:lang w:val="en-GB" w:eastAsia="ru-RU"/>
        </w:rPr>
        <w:t>The steady-state mass and energy balance calculations and scenario analyses were implemented in Microsoft Excel using linked material and energy balance worksheets. The life cycle inventory and environmental impact calculations were performed within the same computational framework using emission factors from the IPCC Guidelines and relevant literature.</w:t>
      </w:r>
    </w:p>
    <w:p w14:paraId="3209D772" w14:textId="2FEAE824" w:rsidR="00C94914" w:rsidRPr="00C94914" w:rsidRDefault="00C94914" w:rsidP="00C94914">
      <w:pPr>
        <w:pStyle w:val="CETBodytext"/>
        <w:rPr>
          <w:lang w:eastAsia="ru-RU"/>
        </w:rPr>
      </w:pPr>
      <w:r w:rsidRPr="00C94914">
        <w:rPr>
          <w:lang w:eastAsia="ru-RU"/>
        </w:rPr>
        <w:t>Greenhouse gas emissions are quantified using a hybrid approach based on IPCC Tier 2 and Tier 3 methodologies</w:t>
      </w:r>
      <w:r w:rsidR="00A91EB6">
        <w:rPr>
          <w:lang w:eastAsia="ru-RU"/>
        </w:rPr>
        <w:t xml:space="preserve"> </w:t>
      </w:r>
      <w:r w:rsidR="00A91EB6">
        <w:rPr>
          <w:lang w:eastAsia="ru-RU"/>
        </w:rPr>
        <w:fldChar w:fldCharType="begin"/>
      </w:r>
      <w:r w:rsidR="00A91EB6">
        <w:rPr>
          <w:lang w:eastAsia="ru-RU"/>
        </w:rPr>
        <w:instrText xml:space="preserve"> ADDIN ZOTERO_ITEM CSL_CITATION {"citationID":"34J7jc0T","properties":{"unsorted":false,"formattedCitation":"(IPCC, 2006)","plainCitation":"(IPCC, 2006)","noteIndex":0},"citationItems":[{"id":239,"uris":["http://zotero.org/users/11636083/items/GYG4QQA5"],"itemData":{"id":239,"type":"chapter","container-title":"2006 IPCC Guidelines for National reenhouse Gas Inventories","number-of-volumes":"5","publisher":"Intergovernmental Panel on Climate Change","title":"2006 IPCC Guidelines for National Greenhouse Gas Inventories","URL":"https://www.ipcc-nggip.iges.or.jp/public/2006gl/vol2.html","volume":"2","author":[{"family":"IPCC","given":""}],"issued":{"date-parts":[["2006"]]}}}],"schema":"https://github.com/citation-style-language/schema/raw/master/csl-citation.json"} </w:instrText>
      </w:r>
      <w:r w:rsidR="00A91EB6">
        <w:rPr>
          <w:lang w:eastAsia="ru-RU"/>
        </w:rPr>
        <w:fldChar w:fldCharType="separate"/>
      </w:r>
      <w:r w:rsidR="00A91EB6" w:rsidRPr="00A91EB6">
        <w:rPr>
          <w:rFonts w:cs="Arial"/>
          <w:lang w:eastAsia="ru-RU"/>
        </w:rPr>
        <w:t>(IPCC, 2006)</w:t>
      </w:r>
      <w:r w:rsidR="00A91EB6">
        <w:rPr>
          <w:lang w:eastAsia="ru-RU"/>
        </w:rPr>
        <w:fldChar w:fldCharType="end"/>
      </w:r>
      <w:r w:rsidRPr="00C94914">
        <w:rPr>
          <w:lang w:eastAsia="ru-RU"/>
        </w:rPr>
        <w:t xml:space="preserve">. Process emissions from calcination are calculated using clinker production data and carbonate decomposition stoichiometry, while fuel combustion emissions are derived from fuel-specific emission factors and calorific values. Indirect emissions from electricity consumption are estimated using the </w:t>
      </w:r>
      <w:r w:rsidRPr="00C94914">
        <w:rPr>
          <w:lang w:eastAsia="ru-RU"/>
        </w:rPr>
        <w:lastRenderedPageBreak/>
        <w:t>national grid emission factor of 0.</w:t>
      </w:r>
      <w:r w:rsidR="00A91EB6">
        <w:rPr>
          <w:lang w:eastAsia="ru-RU"/>
        </w:rPr>
        <w:t>65</w:t>
      </w:r>
      <w:r w:rsidRPr="00C94914">
        <w:rPr>
          <w:lang w:eastAsia="ru-RU"/>
        </w:rPr>
        <w:t xml:space="preserve"> t CO</w:t>
      </w:r>
      <w:r w:rsidRPr="00C94914">
        <w:rPr>
          <w:rFonts w:ascii="Cambria Math" w:hAnsi="Cambria Math" w:cs="Cambria Math"/>
          <w:lang w:eastAsia="ru-RU"/>
        </w:rPr>
        <w:t>₂</w:t>
      </w:r>
      <w:r w:rsidRPr="00C94914">
        <w:rPr>
          <w:lang w:eastAsia="ru-RU"/>
        </w:rPr>
        <w:t>/MWh. The total emission intensity of cement production is expressed as:</w:t>
      </w:r>
    </w:p>
    <w:p w14:paraId="5A10D1E0" w14:textId="585D6B23" w:rsidR="00C94914" w:rsidRPr="00C94914" w:rsidRDefault="00000000" w:rsidP="007B5A21">
      <w:pPr>
        <w:pStyle w:val="CETBodytext"/>
        <w:jc w:val="right"/>
        <w:rPr>
          <w:lang w:eastAsia="ru-RU"/>
        </w:rPr>
      </w:pPr>
      <m:oMath>
        <m:sSub>
          <m:sSubPr>
            <m:ctrlPr>
              <w:rPr>
                <w:rFonts w:ascii="Cambria Math" w:hAnsi="Cambria Math"/>
                <w:lang w:val="ru-RU" w:eastAsia="ru-RU"/>
              </w:rPr>
            </m:ctrlPr>
          </m:sSubPr>
          <m:e>
            <m:r>
              <w:rPr>
                <w:rFonts w:ascii="Cambria Math" w:hAnsi="Cambria Math"/>
                <w:lang w:val="ru-RU" w:eastAsia="ru-RU"/>
              </w:rPr>
              <m:t>E</m:t>
            </m:r>
          </m:e>
          <m:sub>
            <m:r>
              <w:rPr>
                <w:rFonts w:ascii="Cambria Math" w:hAnsi="Cambria Math"/>
                <w:lang w:val="ru-RU" w:eastAsia="ru-RU"/>
              </w:rPr>
              <m:t>total</m:t>
            </m:r>
          </m:sub>
        </m:sSub>
        <m:r>
          <w:rPr>
            <w:rFonts w:ascii="Cambria Math" w:hAnsi="Cambria Math"/>
            <w:lang w:eastAsia="ru-RU"/>
          </w:rPr>
          <m:t>=</m:t>
        </m:r>
        <m:sSub>
          <m:sSubPr>
            <m:ctrlPr>
              <w:rPr>
                <w:rFonts w:ascii="Cambria Math" w:hAnsi="Cambria Math"/>
                <w:lang w:val="ru-RU" w:eastAsia="ru-RU"/>
              </w:rPr>
            </m:ctrlPr>
          </m:sSubPr>
          <m:e>
            <m:r>
              <w:rPr>
                <w:rFonts w:ascii="Cambria Math" w:hAnsi="Cambria Math"/>
                <w:lang w:val="ru-RU" w:eastAsia="ru-RU"/>
              </w:rPr>
              <m:t>E</m:t>
            </m:r>
          </m:e>
          <m:sub>
            <m:r>
              <w:rPr>
                <w:rFonts w:ascii="Cambria Math" w:hAnsi="Cambria Math"/>
                <w:lang w:val="ru-RU" w:eastAsia="ru-RU"/>
              </w:rPr>
              <m:t>process</m:t>
            </m:r>
          </m:sub>
        </m:sSub>
        <m:r>
          <w:rPr>
            <w:rFonts w:ascii="Cambria Math" w:hAnsi="Cambria Math"/>
            <w:lang w:eastAsia="ru-RU"/>
          </w:rPr>
          <m:t>+</m:t>
        </m:r>
        <m:sSub>
          <m:sSubPr>
            <m:ctrlPr>
              <w:rPr>
                <w:rFonts w:ascii="Cambria Math" w:hAnsi="Cambria Math"/>
                <w:lang w:val="ru-RU" w:eastAsia="ru-RU"/>
              </w:rPr>
            </m:ctrlPr>
          </m:sSubPr>
          <m:e>
            <m:r>
              <w:rPr>
                <w:rFonts w:ascii="Cambria Math" w:hAnsi="Cambria Math"/>
                <w:lang w:val="ru-RU" w:eastAsia="ru-RU"/>
              </w:rPr>
              <m:t>E</m:t>
            </m:r>
          </m:e>
          <m:sub>
            <m:r>
              <w:rPr>
                <w:rFonts w:ascii="Cambria Math" w:hAnsi="Cambria Math"/>
                <w:lang w:val="ru-RU" w:eastAsia="ru-RU"/>
              </w:rPr>
              <m:t>fuel</m:t>
            </m:r>
          </m:sub>
        </m:sSub>
        <m:r>
          <w:rPr>
            <w:rFonts w:ascii="Cambria Math" w:hAnsi="Cambria Math"/>
            <w:lang w:eastAsia="ru-RU"/>
          </w:rPr>
          <m:t>+</m:t>
        </m:r>
        <m:sSub>
          <m:sSubPr>
            <m:ctrlPr>
              <w:rPr>
                <w:rFonts w:ascii="Cambria Math" w:hAnsi="Cambria Math"/>
                <w:lang w:val="ru-RU" w:eastAsia="ru-RU"/>
              </w:rPr>
            </m:ctrlPr>
          </m:sSubPr>
          <m:e>
            <m:r>
              <w:rPr>
                <w:rFonts w:ascii="Cambria Math" w:hAnsi="Cambria Math"/>
                <w:lang w:val="ru-RU" w:eastAsia="ru-RU"/>
              </w:rPr>
              <m:t>E</m:t>
            </m:r>
          </m:e>
          <m:sub>
            <m:r>
              <w:rPr>
                <w:rFonts w:ascii="Cambria Math" w:hAnsi="Cambria Math"/>
                <w:lang w:val="ru-RU" w:eastAsia="ru-RU"/>
              </w:rPr>
              <m:t>electricity</m:t>
            </m:r>
          </m:sub>
        </m:sSub>
      </m:oMath>
      <w:r w:rsidR="007B5A21">
        <w:rPr>
          <w:lang w:eastAsia="ru-RU"/>
        </w:rPr>
        <w:tab/>
        <w:t xml:space="preserve"> (1)</w:t>
      </w:r>
      <m:oMath>
        <m:r>
          <m:rPr>
            <m:sty m:val="p"/>
          </m:rPr>
          <w:rPr>
            <w:lang w:eastAsia="ru-RU"/>
          </w:rPr>
          <w:br/>
        </m:r>
      </m:oMath>
      <w:r w:rsidR="00C94914" w:rsidRPr="00C94914">
        <w:rPr>
          <w:lang w:eastAsia="ru-RU"/>
        </w:rPr>
        <w:t>where each component is calculated at the unit process level and aggregated across the system boundary.</w:t>
      </w:r>
    </w:p>
    <w:p w14:paraId="52505A76" w14:textId="77777777" w:rsidR="00C94914" w:rsidRPr="00C94914" w:rsidRDefault="00C94914" w:rsidP="00C94914">
      <w:pPr>
        <w:pStyle w:val="CETBodytext"/>
        <w:rPr>
          <w:lang w:eastAsia="ru-RU"/>
        </w:rPr>
      </w:pPr>
      <w:r w:rsidRPr="00C94914">
        <w:rPr>
          <w:lang w:eastAsia="ru-RU"/>
        </w:rPr>
        <w:t>The environmental assessment is conducted using the global warming potential (GWP) indicator over a 100-year time horizon, expressed in kilograms of CO</w:t>
      </w:r>
      <w:r w:rsidRPr="00C94914">
        <w:rPr>
          <w:rFonts w:ascii="Cambria Math" w:hAnsi="Cambria Math" w:cs="Cambria Math"/>
          <w:lang w:eastAsia="ru-RU"/>
        </w:rPr>
        <w:t>₂</w:t>
      </w:r>
      <w:r w:rsidRPr="00C94914">
        <w:rPr>
          <w:lang w:eastAsia="ru-RU"/>
        </w:rPr>
        <w:t>-equivalent per ton of cement. The LCA model is implemented in a modular structure, allowing the introduction of alternative scenarios without altering the baseline configuration. Inventory data include raw material consumption, fuel input, electricity usage, and emission factors, with sensitivity ranges applied to key uncertain parameters.</w:t>
      </w:r>
    </w:p>
    <w:p w14:paraId="6FAB43C5" w14:textId="4A0C48B6" w:rsidR="00C94914" w:rsidRPr="00C94914" w:rsidRDefault="00C94914" w:rsidP="00C94914">
      <w:pPr>
        <w:pStyle w:val="CETBodytext"/>
        <w:rPr>
          <w:lang w:eastAsia="ru-RU"/>
        </w:rPr>
      </w:pPr>
      <w:r w:rsidRPr="00C94914">
        <w:rPr>
          <w:lang w:eastAsia="ru-RU"/>
        </w:rPr>
        <w:t>The techno-economic analysis is performed in parallel with the LCA to ensure direct comparability of scenarios. Capital expenditures (CAPEX) are estimated based on literature values and adjusted for regional cost factors, including installation, engineering, and contingency costs. Operational expenditures (OPEX) include fuel costs, electricity costs, maintenance, and labor, with energy prices reflecting current Uzbek market conditions. Economic performance is evaluated using the levelized cost of cement (LCOC)</w:t>
      </w:r>
      <w:r w:rsidR="00A9346D">
        <w:rPr>
          <w:lang w:eastAsia="ru-RU"/>
        </w:rPr>
        <w:t xml:space="preserve"> </w:t>
      </w:r>
      <w:r w:rsidR="00A9346D">
        <w:rPr>
          <w:lang w:eastAsia="ru-RU"/>
        </w:rPr>
        <w:fldChar w:fldCharType="begin"/>
      </w:r>
      <w:r w:rsidR="00A9346D">
        <w:rPr>
          <w:lang w:eastAsia="ru-RU"/>
        </w:rPr>
        <w:instrText xml:space="preserve"> ADDIN ZOTERO_ITEM CSL_CITATION {"citationID":"16nqZRYA","properties":{"unsorted":false,"formattedCitation":"(Al-Breiki &amp; Bicer, 2023)","plainCitation":"(Al-Breiki &amp; Bicer, 2023)","noteIndex":0},"citationItems":[{"id":1112,"uris":["http://zotero.org/users/11636083/items/5INLQCIA"],"itemData":{"id":1112,"type":"article-journal","container-title":"Chemical Engineering Journal","DOI":"10.1016/j.cej.2023.144725","ISSN":"13858947","journalAbbreviation":"Chemical Engineering Journal","language":"en","page":"144725","source":"DOI.org (Crossref)","title":"Techno-economic evaluation of a power-to-methane plant : Levelized cost of methane, financial performance metrics, and sensitivity analysis","title-short":"Techno-economic evaluation of a power-to-methane plant","volume":"471","author":[{"family":"Al-Breiki","given":"Mohammed"},{"family":"Bicer","given":"Yusuf"}],"issued":{"date-parts":[["2023",9]]}}}],"schema":"https://github.com/citation-style-language/schema/raw/master/csl-citation.json"} </w:instrText>
      </w:r>
      <w:r w:rsidR="00A9346D">
        <w:rPr>
          <w:lang w:eastAsia="ru-RU"/>
        </w:rPr>
        <w:fldChar w:fldCharType="separate"/>
      </w:r>
      <w:r w:rsidR="00A9346D" w:rsidRPr="00A9346D">
        <w:rPr>
          <w:rFonts w:cs="Arial"/>
          <w:lang w:eastAsia="ru-RU"/>
        </w:rPr>
        <w:t>(Al-Breiki &amp; Bicer, 2023)</w:t>
      </w:r>
      <w:r w:rsidR="00A9346D">
        <w:rPr>
          <w:lang w:eastAsia="ru-RU"/>
        </w:rPr>
        <w:fldChar w:fldCharType="end"/>
      </w:r>
      <w:r w:rsidRPr="00C94914">
        <w:rPr>
          <w:lang w:eastAsia="ru-RU"/>
        </w:rPr>
        <w:t>, calculated as:</w:t>
      </w:r>
    </w:p>
    <w:p w14:paraId="32244726" w14:textId="23F7113F" w:rsidR="007B5A21" w:rsidRDefault="00C94914" w:rsidP="007B5A21">
      <w:pPr>
        <w:pStyle w:val="CETBodytext"/>
        <w:jc w:val="right"/>
        <w:rPr>
          <w:lang w:eastAsia="ru-RU"/>
        </w:rPr>
      </w:pPr>
      <m:oMath>
        <m:r>
          <w:rPr>
            <w:rFonts w:ascii="Cambria Math" w:hAnsi="Cambria Math"/>
            <w:lang w:val="ru-RU" w:eastAsia="ru-RU"/>
          </w:rPr>
          <m:t>LCOC</m:t>
        </m:r>
        <m:r>
          <w:rPr>
            <w:rFonts w:ascii="Cambria Math" w:hAnsi="Cambria Math"/>
            <w:lang w:eastAsia="ru-RU"/>
          </w:rPr>
          <m:t>=</m:t>
        </m:r>
        <m:f>
          <m:fPr>
            <m:ctrlPr>
              <w:rPr>
                <w:rFonts w:ascii="Cambria Math" w:hAnsi="Cambria Math"/>
                <w:lang w:val="ru-RU" w:eastAsia="ru-RU"/>
              </w:rPr>
            </m:ctrlPr>
          </m:fPr>
          <m:num>
            <m:r>
              <w:rPr>
                <w:rFonts w:ascii="Cambria Math" w:hAnsi="Cambria Math"/>
                <w:lang w:val="ru-RU" w:eastAsia="ru-RU"/>
              </w:rPr>
              <m:t>CAPEX</m:t>
            </m:r>
            <m:r>
              <w:rPr>
                <w:rFonts w:ascii="Cambria Math" w:hAnsi="Cambria Math"/>
                <w:lang w:eastAsia="ru-RU"/>
              </w:rPr>
              <m:t>⋅</m:t>
            </m:r>
            <m:r>
              <w:rPr>
                <w:rFonts w:ascii="Cambria Math" w:hAnsi="Cambria Math"/>
                <w:lang w:val="ru-RU" w:eastAsia="ru-RU"/>
              </w:rPr>
              <m:t>CRF</m:t>
            </m:r>
            <m:r>
              <w:rPr>
                <w:rFonts w:ascii="Cambria Math" w:hAnsi="Cambria Math"/>
                <w:lang w:eastAsia="ru-RU"/>
              </w:rPr>
              <m:t>+</m:t>
            </m:r>
            <m:r>
              <w:rPr>
                <w:rFonts w:ascii="Cambria Math" w:hAnsi="Cambria Math"/>
                <w:lang w:val="ru-RU" w:eastAsia="ru-RU"/>
              </w:rPr>
              <m:t>OPEX</m:t>
            </m:r>
          </m:num>
          <m:den>
            <m:sSub>
              <m:sSubPr>
                <m:ctrlPr>
                  <w:rPr>
                    <w:rFonts w:ascii="Cambria Math" w:hAnsi="Cambria Math"/>
                    <w:lang w:val="ru-RU" w:eastAsia="ru-RU"/>
                  </w:rPr>
                </m:ctrlPr>
              </m:sSubPr>
              <m:e>
                <m:r>
                  <w:rPr>
                    <w:rFonts w:ascii="Cambria Math" w:hAnsi="Cambria Math"/>
                    <w:lang w:val="ru-RU" w:eastAsia="ru-RU"/>
                  </w:rPr>
                  <m:t>Q</m:t>
                </m:r>
              </m:e>
              <m:sub>
                <m:r>
                  <w:rPr>
                    <w:rFonts w:ascii="Cambria Math" w:hAnsi="Cambria Math"/>
                    <w:lang w:val="ru-RU" w:eastAsia="ru-RU"/>
                  </w:rPr>
                  <m:t>annual</m:t>
                </m:r>
              </m:sub>
            </m:sSub>
          </m:den>
        </m:f>
      </m:oMath>
      <w:r w:rsidR="007B5A21">
        <w:rPr>
          <w:lang w:eastAsia="ru-RU"/>
        </w:rPr>
        <w:t xml:space="preserve"> </w:t>
      </w:r>
      <w:r w:rsidR="007B5A21">
        <w:rPr>
          <w:lang w:eastAsia="ru-RU"/>
        </w:rPr>
        <w:tab/>
        <w:t>(2)</w:t>
      </w:r>
    </w:p>
    <w:p w14:paraId="62F052D5" w14:textId="0C584A3A" w:rsidR="00C94914" w:rsidRDefault="007B5A21" w:rsidP="007B5A21">
      <w:pPr>
        <w:pStyle w:val="CETBodytext"/>
        <w:rPr>
          <w:lang w:eastAsia="ru-RU"/>
        </w:rPr>
      </w:pPr>
      <w:r w:rsidRPr="00C94914">
        <w:rPr>
          <w:lang w:eastAsia="ru-RU"/>
        </w:rPr>
        <w:t xml:space="preserve"> </w:t>
      </w:r>
      <w:r w:rsidR="00C94914" w:rsidRPr="00C94914">
        <w:rPr>
          <w:lang w:eastAsia="ru-RU"/>
        </w:rPr>
        <w:t xml:space="preserve">where </w:t>
      </w:r>
      <m:oMath>
        <m:sSub>
          <m:sSubPr>
            <m:ctrlPr>
              <w:rPr>
                <w:rFonts w:ascii="Cambria Math" w:hAnsi="Cambria Math"/>
                <w:lang w:val="ru-RU" w:eastAsia="ru-RU"/>
              </w:rPr>
            </m:ctrlPr>
          </m:sSubPr>
          <m:e>
            <m:r>
              <w:rPr>
                <w:rFonts w:ascii="Cambria Math" w:hAnsi="Cambria Math"/>
                <w:lang w:val="ru-RU" w:eastAsia="ru-RU"/>
              </w:rPr>
              <m:t>Q</m:t>
            </m:r>
          </m:e>
          <m:sub>
            <m:r>
              <w:rPr>
                <w:rFonts w:ascii="Cambria Math" w:hAnsi="Cambria Math"/>
                <w:lang w:val="ru-RU" w:eastAsia="ru-RU"/>
              </w:rPr>
              <m:t>annual</m:t>
            </m:r>
          </m:sub>
        </m:sSub>
      </m:oMath>
      <w:r w:rsidR="00C94914" w:rsidRPr="00C94914">
        <w:rPr>
          <w:lang w:eastAsia="ru-RU"/>
        </w:rPr>
        <w:t>is annual cement production and the capital recovery factor (CRF) is defined as</w:t>
      </w:r>
      <w:r w:rsidR="00A9346D">
        <w:rPr>
          <w:lang w:eastAsia="ru-RU"/>
        </w:rPr>
        <w:t xml:space="preserve"> </w:t>
      </w:r>
      <w:r w:rsidR="00A9346D">
        <w:rPr>
          <w:lang w:eastAsia="ru-RU"/>
        </w:rPr>
        <w:fldChar w:fldCharType="begin"/>
      </w:r>
      <w:r w:rsidR="00A9346D">
        <w:rPr>
          <w:lang w:eastAsia="ru-RU"/>
        </w:rPr>
        <w:instrText xml:space="preserve"> ADDIN ZOTERO_ITEM CSL_CITATION {"citationID":"ZdO7zVcP","properties":{"unsorted":false,"formattedCitation":"(Pratschner et al., 2023)","plainCitation":"(Pratschner et al., 2023)","noteIndex":0},"citationItems":[{"id":1111,"uris":["http://zotero.org/users/11636083/items/CSALHWE3"],"itemData":{"id":1111,"type":"article-journal","container-title":"Journal of CO2 Utilization","DOI":"10.1016/j.jcou.2023.102563","ISSN":"22129820","journalAbbreviation":"Journal of CO2 Utilization","language":"en","page":"102563","source":"DOI.org (Crossref)","title":"Techno-economic assessment of a power-to-green methanol plant","volume":"75","author":[{"family":"Pratschner","given":"Simon"},{"family":"Radosits","given":"Frank"},{"family":"Ajanovic","given":"Amela"},{"family":"Winter","given":"Franz"}],"issued":{"date-parts":[["2023",9]]}}}],"schema":"https://github.com/citation-style-language/schema/raw/master/csl-citation.json"} </w:instrText>
      </w:r>
      <w:r w:rsidR="00A9346D">
        <w:rPr>
          <w:lang w:eastAsia="ru-RU"/>
        </w:rPr>
        <w:fldChar w:fldCharType="separate"/>
      </w:r>
      <w:r w:rsidR="00A9346D" w:rsidRPr="00A9346D">
        <w:rPr>
          <w:rFonts w:cs="Arial"/>
          <w:lang w:eastAsia="ru-RU"/>
        </w:rPr>
        <w:t>(</w:t>
      </w:r>
      <w:proofErr w:type="spellStart"/>
      <w:r w:rsidR="00A9346D" w:rsidRPr="00A9346D">
        <w:rPr>
          <w:rFonts w:cs="Arial"/>
          <w:lang w:eastAsia="ru-RU"/>
        </w:rPr>
        <w:t>Pratschner</w:t>
      </w:r>
      <w:proofErr w:type="spellEnd"/>
      <w:r w:rsidR="00A9346D" w:rsidRPr="00A9346D">
        <w:rPr>
          <w:rFonts w:cs="Arial"/>
          <w:lang w:eastAsia="ru-RU"/>
        </w:rPr>
        <w:t xml:space="preserve"> et al., 2023)</w:t>
      </w:r>
      <w:r w:rsidR="00A9346D">
        <w:rPr>
          <w:lang w:eastAsia="ru-RU"/>
        </w:rPr>
        <w:fldChar w:fldCharType="end"/>
      </w:r>
      <w:r w:rsidR="00C94914" w:rsidRPr="00C94914">
        <w:rPr>
          <w:lang w:eastAsia="ru-RU"/>
        </w:rPr>
        <w:t>:</w:t>
      </w:r>
    </w:p>
    <w:p w14:paraId="1C5C9EAA" w14:textId="77777777" w:rsidR="007B5A21" w:rsidRPr="00C94914" w:rsidRDefault="007B5A21" w:rsidP="007B5A21">
      <w:pPr>
        <w:pStyle w:val="CETBodytext"/>
        <w:jc w:val="right"/>
        <w:rPr>
          <w:lang w:eastAsia="ru-RU"/>
        </w:rPr>
      </w:pPr>
    </w:p>
    <w:p w14:paraId="2ADEE472" w14:textId="77777777" w:rsidR="007B5A21" w:rsidRDefault="00C94914" w:rsidP="007B5A21">
      <w:pPr>
        <w:pStyle w:val="CETBodytext"/>
        <w:jc w:val="right"/>
        <w:rPr>
          <w:lang w:eastAsia="ru-RU"/>
        </w:rPr>
      </w:pPr>
      <m:oMath>
        <m:r>
          <w:rPr>
            <w:rFonts w:ascii="Cambria Math" w:hAnsi="Cambria Math"/>
            <w:lang w:val="ru-RU" w:eastAsia="ru-RU"/>
          </w:rPr>
          <m:t>CRF</m:t>
        </m:r>
        <m:r>
          <w:rPr>
            <w:rFonts w:ascii="Cambria Math" w:hAnsi="Cambria Math"/>
            <w:lang w:eastAsia="ru-RU"/>
          </w:rPr>
          <m:t>=</m:t>
        </m:r>
        <m:f>
          <m:fPr>
            <m:ctrlPr>
              <w:rPr>
                <w:rFonts w:ascii="Cambria Math" w:hAnsi="Cambria Math"/>
                <w:lang w:val="ru-RU" w:eastAsia="ru-RU"/>
              </w:rPr>
            </m:ctrlPr>
          </m:fPr>
          <m:num>
            <m:r>
              <w:rPr>
                <w:rFonts w:ascii="Cambria Math" w:hAnsi="Cambria Math"/>
                <w:lang w:val="ru-RU" w:eastAsia="ru-RU"/>
              </w:rPr>
              <m:t>r</m:t>
            </m:r>
            <m:r>
              <w:rPr>
                <w:rFonts w:ascii="Cambria Math" w:hAnsi="Cambria Math"/>
                <w:lang w:eastAsia="ru-RU"/>
              </w:rPr>
              <m:t>(1+</m:t>
            </m:r>
            <m:r>
              <w:rPr>
                <w:rFonts w:ascii="Cambria Math" w:hAnsi="Cambria Math"/>
                <w:lang w:val="ru-RU" w:eastAsia="ru-RU"/>
              </w:rPr>
              <m:t>r</m:t>
            </m:r>
            <m:sSup>
              <m:sSupPr>
                <m:ctrlPr>
                  <w:rPr>
                    <w:rFonts w:ascii="Cambria Math" w:hAnsi="Cambria Math"/>
                    <w:lang w:val="ru-RU" w:eastAsia="ru-RU"/>
                  </w:rPr>
                </m:ctrlPr>
              </m:sSupPr>
              <m:e>
                <m:r>
                  <w:rPr>
                    <w:rFonts w:ascii="Cambria Math" w:hAnsi="Cambria Math"/>
                    <w:lang w:eastAsia="ru-RU"/>
                  </w:rPr>
                  <m:t>)</m:t>
                </m:r>
              </m:e>
              <m:sup>
                <m:r>
                  <w:rPr>
                    <w:rFonts w:ascii="Cambria Math" w:hAnsi="Cambria Math"/>
                    <w:lang w:val="ru-RU" w:eastAsia="ru-RU"/>
                  </w:rPr>
                  <m:t>n</m:t>
                </m:r>
              </m:sup>
            </m:sSup>
          </m:num>
          <m:den>
            <m:d>
              <m:dPr>
                <m:endChr m:val=""/>
                <m:ctrlPr>
                  <w:rPr>
                    <w:rFonts w:ascii="Cambria Math" w:hAnsi="Cambria Math"/>
                    <w:lang w:val="ru-RU" w:eastAsia="ru-RU"/>
                  </w:rPr>
                </m:ctrlPr>
              </m:dPr>
              <m:e>
                <m:r>
                  <w:rPr>
                    <w:rFonts w:ascii="Cambria Math" w:hAnsi="Cambria Math"/>
                    <w:lang w:eastAsia="ru-RU"/>
                  </w:rPr>
                  <m:t>1+</m:t>
                </m:r>
                <m:r>
                  <w:rPr>
                    <w:rFonts w:ascii="Cambria Math" w:hAnsi="Cambria Math"/>
                    <w:lang w:val="ru-RU" w:eastAsia="ru-RU"/>
                  </w:rPr>
                  <m:t>r</m:t>
                </m:r>
                <m:sSup>
                  <m:sSupPr>
                    <m:ctrlPr>
                      <w:rPr>
                        <w:rFonts w:ascii="Cambria Math" w:hAnsi="Cambria Math"/>
                        <w:lang w:val="ru-RU" w:eastAsia="ru-RU"/>
                      </w:rPr>
                    </m:ctrlPr>
                  </m:sSupPr>
                  <m:e>
                    <m:r>
                      <w:rPr>
                        <w:rFonts w:ascii="Cambria Math" w:hAnsi="Cambria Math"/>
                        <w:lang w:eastAsia="ru-RU"/>
                      </w:rPr>
                      <m:t>)</m:t>
                    </m:r>
                  </m:e>
                  <m:sup>
                    <m:r>
                      <w:rPr>
                        <w:rFonts w:ascii="Cambria Math" w:hAnsi="Cambria Math"/>
                        <w:lang w:val="ru-RU" w:eastAsia="ru-RU"/>
                      </w:rPr>
                      <m:t>n</m:t>
                    </m:r>
                  </m:sup>
                </m:sSup>
                <m:r>
                  <w:rPr>
                    <w:rFonts w:ascii="Cambria Math" w:hAnsi="Cambria Math"/>
                    <w:lang w:eastAsia="ru-RU"/>
                  </w:rPr>
                  <m:t>-1</m:t>
                </m:r>
              </m:e>
            </m:d>
          </m:den>
        </m:f>
      </m:oMath>
      <w:r w:rsidR="007B5A21">
        <w:rPr>
          <w:lang w:eastAsia="ru-RU"/>
        </w:rPr>
        <w:tab/>
        <w:t>(3)</w:t>
      </w:r>
    </w:p>
    <w:p w14:paraId="692A4501" w14:textId="62E5F46D" w:rsidR="00C94914" w:rsidRPr="00C94914" w:rsidRDefault="007B5A21" w:rsidP="007B5A21">
      <w:pPr>
        <w:pStyle w:val="CETBodytext"/>
        <w:rPr>
          <w:lang w:eastAsia="ru-RU"/>
        </w:rPr>
      </w:pPr>
      <w:r w:rsidRPr="00C94914">
        <w:rPr>
          <w:lang w:eastAsia="ru-RU"/>
        </w:rPr>
        <w:t xml:space="preserve"> </w:t>
      </w:r>
      <w:r w:rsidR="00C94914" w:rsidRPr="00C94914">
        <w:rPr>
          <w:lang w:eastAsia="ru-RU"/>
        </w:rPr>
        <w:t xml:space="preserve">with </w:t>
      </w:r>
      <m:oMath>
        <m:r>
          <w:rPr>
            <w:rFonts w:ascii="Cambria Math" w:hAnsi="Cambria Math"/>
            <w:lang w:val="ru-RU" w:eastAsia="ru-RU"/>
          </w:rPr>
          <m:t>r</m:t>
        </m:r>
      </m:oMath>
      <w:r w:rsidR="00C94914">
        <w:rPr>
          <w:lang w:eastAsia="ru-RU"/>
        </w:rPr>
        <w:t xml:space="preserve"> </w:t>
      </w:r>
      <w:r w:rsidR="00C94914" w:rsidRPr="00C94914">
        <w:rPr>
          <w:lang w:eastAsia="ru-RU"/>
        </w:rPr>
        <w:t xml:space="preserve">representing the discount rate (assumed at 10%) and </w:t>
      </w:r>
      <m:oMath>
        <m:r>
          <w:rPr>
            <w:rFonts w:ascii="Cambria Math" w:hAnsi="Cambria Math"/>
            <w:lang w:val="ru-RU" w:eastAsia="ru-RU"/>
          </w:rPr>
          <m:t>n</m:t>
        </m:r>
      </m:oMath>
      <w:r w:rsidR="00C94914" w:rsidRPr="00C94914">
        <w:rPr>
          <w:lang w:eastAsia="ru-RU"/>
        </w:rPr>
        <w:t>the project lifetime (20 years).</w:t>
      </w:r>
    </w:p>
    <w:p w14:paraId="15A62A75" w14:textId="77777777" w:rsidR="00C94914" w:rsidRPr="00C94914" w:rsidRDefault="00C94914" w:rsidP="00C94914">
      <w:pPr>
        <w:pStyle w:val="CETBodytext"/>
        <w:rPr>
          <w:lang w:eastAsia="ru-RU"/>
        </w:rPr>
      </w:pPr>
      <w:r w:rsidRPr="00C94914">
        <w:rPr>
          <w:lang w:eastAsia="ru-RU"/>
        </w:rPr>
        <w:t>Four decarbonization scenarios are incorporated into the model, each representing a key circular economy strategy. Waste heat recovery (WHR) is modeled as a steam-based power generation system utilizing kiln exhaust gases, with an assumed electrical generation efficiency of 20–25%. The recovered electricity directly offsets grid consumption, thereby reducing indirect emissions and operational costs.</w:t>
      </w:r>
    </w:p>
    <w:p w14:paraId="22B77DFB" w14:textId="77777777" w:rsidR="00C94914" w:rsidRPr="00C94914" w:rsidRDefault="00C94914" w:rsidP="00C94914">
      <w:pPr>
        <w:pStyle w:val="CETBodytext"/>
        <w:rPr>
          <w:lang w:eastAsia="ru-RU"/>
        </w:rPr>
      </w:pPr>
      <w:r w:rsidRPr="00C94914">
        <w:rPr>
          <w:lang w:eastAsia="ru-RU"/>
        </w:rPr>
        <w:t>Alternative fuel substitution is modeled by replacing a portion of coal with biomass and industrial waste-derived fuels, considering substitution rates of up to 30%. The model accounts for differences in calorific value, moisture content, and emission factors, as well as additional energy requirements for fuel preprocessing and handling.</w:t>
      </w:r>
    </w:p>
    <w:p w14:paraId="7468D7DA" w14:textId="77777777" w:rsidR="00C94914" w:rsidRPr="00C94914" w:rsidRDefault="00C94914" w:rsidP="00C94914">
      <w:pPr>
        <w:pStyle w:val="CETBodytext"/>
        <w:rPr>
          <w:lang w:eastAsia="ru-RU"/>
        </w:rPr>
      </w:pPr>
      <w:r w:rsidRPr="00C94914">
        <w:rPr>
          <w:lang w:eastAsia="ru-RU"/>
        </w:rPr>
        <w:t>Clinker substitution is implemented by reducing the clinker-to-cement ratio from 0.80 in the baseline scenario to 0.65 in the optimized scenario. Supplementary cementitious materials (SCMs), such as fly ash and granulated blast furnace slag, are assumed to partially replace clinker without compromising product performance. The model incorporates both the reduction in process emissions and changes in grinding energy demand associated with SCM usage.</w:t>
      </w:r>
    </w:p>
    <w:p w14:paraId="752DC5F2" w14:textId="77777777" w:rsidR="00C94914" w:rsidRPr="00C94914" w:rsidRDefault="00C94914" w:rsidP="00C94914">
      <w:pPr>
        <w:pStyle w:val="CETBodytext"/>
        <w:rPr>
          <w:lang w:eastAsia="ru-RU"/>
        </w:rPr>
      </w:pPr>
      <w:r w:rsidRPr="00C94914">
        <w:rPr>
          <w:lang w:eastAsia="ru-RU"/>
        </w:rPr>
        <w:t>Energy efficiency improvements are represented through reductions in specific thermal and electrical energy consumption, achieved via process optimization, improved insulation, and advanced control strategies. These improvements are modeled as incremental reductions of 5–10% relative to baseline energy consumption.</w:t>
      </w:r>
    </w:p>
    <w:p w14:paraId="780FC993" w14:textId="77777777" w:rsidR="00C94914" w:rsidRPr="00C94914" w:rsidRDefault="00C94914" w:rsidP="00C94914">
      <w:pPr>
        <w:pStyle w:val="CETBodytext"/>
        <w:rPr>
          <w:lang w:eastAsia="ru-RU"/>
        </w:rPr>
      </w:pPr>
      <w:r w:rsidRPr="00C94914">
        <w:rPr>
          <w:lang w:eastAsia="ru-RU"/>
        </w:rPr>
        <w:t>Scenario analysis is conducted for both individual and combined implementation of the selected strategies. The combined scenario integrates all measures simultaneously, allowing for the evaluation of interaction effects and overall system performance. Sensitivity analysis is performed to assess the robustness of results with respect to key parameters, including fuel prices, electricity tariffs, clinker factor, and emission factors.</w:t>
      </w:r>
    </w:p>
    <w:p w14:paraId="10B50591" w14:textId="77777777" w:rsidR="00C94914" w:rsidRPr="00C94914" w:rsidRDefault="00C94914" w:rsidP="00C94914">
      <w:pPr>
        <w:pStyle w:val="CETBodytext"/>
        <w:rPr>
          <w:lang w:eastAsia="ru-RU"/>
        </w:rPr>
      </w:pPr>
      <w:r w:rsidRPr="00C94914">
        <w:rPr>
          <w:lang w:eastAsia="ru-RU"/>
        </w:rPr>
        <w:t>The methodological approach ensures a high degree of internal consistency between environmental and economic assessments, enabling a comprehensive evaluation of trade-offs and synergies among different decarbonization pathways. This integrated framework is specifically tailored to reflect the operational, economic, and policy conditions of Uzbekistan’s cement sector, providing a realistic basis for decision-making.</w:t>
      </w:r>
    </w:p>
    <w:p w14:paraId="6EC8EEE6" w14:textId="676F4E72" w:rsidR="00C94914" w:rsidRDefault="00F51CD7" w:rsidP="00F51CD7">
      <w:pPr>
        <w:pStyle w:val="CETHeading1"/>
        <w:rPr>
          <w:lang w:eastAsia="ru-RU"/>
        </w:rPr>
      </w:pPr>
      <w:r w:rsidRPr="00F51CD7">
        <w:rPr>
          <w:lang w:eastAsia="ru-RU"/>
        </w:rPr>
        <w:t>Results and Discussion</w:t>
      </w:r>
    </w:p>
    <w:p w14:paraId="09C83A6F" w14:textId="10EA9F3A" w:rsidR="00DE24BD" w:rsidRDefault="00DE24BD" w:rsidP="004A6976">
      <w:pPr>
        <w:pStyle w:val="CETBodytext"/>
        <w:rPr>
          <w:lang w:eastAsia="ru-RU"/>
        </w:rPr>
      </w:pPr>
      <w:r w:rsidRPr="00DE24BD">
        <w:rPr>
          <w:lang w:val="en-GB" w:eastAsia="ru-RU"/>
        </w:rPr>
        <w:t>The baseline assessment confirms that cement production in Uzbekistan remains carbon-intensive, with total emission intensities ranging between 0.82 and 0.90 t CO</w:t>
      </w:r>
      <w:r w:rsidRPr="00DE24BD">
        <w:rPr>
          <w:rFonts w:ascii="Cambria Math" w:hAnsi="Cambria Math" w:cs="Cambria Math"/>
          <w:lang w:val="en-GB" w:eastAsia="ru-RU"/>
        </w:rPr>
        <w:t>₂</w:t>
      </w:r>
      <w:r w:rsidRPr="00DE24BD">
        <w:rPr>
          <w:lang w:val="en-GB" w:eastAsia="ru-RU"/>
        </w:rPr>
        <w:t xml:space="preserve"> per ton of cement. The distribution of emissions reflects the structural characteristics of clinker-based production. Process emissions from calcination account for approximately 60</w:t>
      </w:r>
      <w:r w:rsidRPr="00DE24BD">
        <w:rPr>
          <w:rFonts w:cs="Arial"/>
          <w:lang w:val="en-GB" w:eastAsia="ru-RU"/>
        </w:rPr>
        <w:t>–</w:t>
      </w:r>
      <w:r w:rsidRPr="00DE24BD">
        <w:rPr>
          <w:lang w:val="en-GB" w:eastAsia="ru-RU"/>
        </w:rPr>
        <w:t>65% of total emissions, while fuel combustion contributes 25</w:t>
      </w:r>
      <w:r w:rsidRPr="00DE24BD">
        <w:rPr>
          <w:rFonts w:cs="Arial"/>
          <w:lang w:val="en-GB" w:eastAsia="ru-RU"/>
        </w:rPr>
        <w:t>–</w:t>
      </w:r>
      <w:r w:rsidRPr="00DE24BD">
        <w:rPr>
          <w:lang w:val="en-GB" w:eastAsia="ru-RU"/>
        </w:rPr>
        <w:t>30%, and indirect emissions from electricity consumption represent the remaining share. This distribution highlights that both material-related and energy-related interventions are required to achieve meaningful emission reductions.</w:t>
      </w:r>
    </w:p>
    <w:p w14:paraId="15C0FD6D" w14:textId="16E515E2" w:rsidR="00DE24BD" w:rsidRDefault="00DE24BD" w:rsidP="004A6976">
      <w:pPr>
        <w:pStyle w:val="CETBodytext"/>
        <w:rPr>
          <w:lang w:val="en-GB" w:eastAsia="ru-RU"/>
        </w:rPr>
      </w:pPr>
      <w:r w:rsidRPr="00DE24BD">
        <w:rPr>
          <w:lang w:val="en-GB" w:eastAsia="ru-RU"/>
        </w:rPr>
        <w:t>The dominance of process emissions implies that strategies targeting clinker reduction are inherently more effective than those focusing solely on energy efficiency. However, energy-related measures remain essential due to their relatively low implementation cost and short payback periods.</w:t>
      </w:r>
    </w:p>
    <w:p w14:paraId="133256CF" w14:textId="77777777" w:rsidR="00DE24BD" w:rsidRPr="00DE24BD" w:rsidRDefault="00DE24BD" w:rsidP="00F51CD7">
      <w:pPr>
        <w:pStyle w:val="CETheadingx"/>
        <w:rPr>
          <w:lang w:eastAsia="ru-RU"/>
        </w:rPr>
      </w:pPr>
      <w:r w:rsidRPr="00DE24BD">
        <w:rPr>
          <w:lang w:eastAsia="ru-RU"/>
        </w:rPr>
        <w:lastRenderedPageBreak/>
        <w:t>Performance of individual decarbonization measures</w:t>
      </w:r>
    </w:p>
    <w:p w14:paraId="0D390E5B" w14:textId="77777777" w:rsidR="00DE24BD" w:rsidRPr="00DE24BD" w:rsidRDefault="00DE24BD" w:rsidP="00DE24BD">
      <w:pPr>
        <w:pStyle w:val="CETBodytext"/>
        <w:rPr>
          <w:lang w:eastAsia="ru-RU"/>
        </w:rPr>
      </w:pPr>
      <w:r w:rsidRPr="00DE24BD">
        <w:rPr>
          <w:lang w:eastAsia="ru-RU"/>
        </w:rPr>
        <w:t>Clinker substitution demonstrates the highest mitigation potential among the evaluated strategies. Reducing the clinker factor from 0.80 to 0.65 decreases total emissions by approximately 25–30%. This reduction is achieved through two simultaneous mechanisms: direct avoidance of calcination emissions and indirect reduction in thermal energy demand. Economically, clinker substitution provides a neutral to slightly positive effect, as reduced fuel consumption offsets the cost of supplementary cementitious materials (SCMs). However, its large-scale deployment is constrained by the availability of suitable SCMs and existing product standards.</w:t>
      </w:r>
    </w:p>
    <w:p w14:paraId="60E873A7" w14:textId="77777777" w:rsidR="00DE24BD" w:rsidRPr="00DE24BD" w:rsidRDefault="00DE24BD" w:rsidP="00DE24BD">
      <w:pPr>
        <w:pStyle w:val="CETBodytext"/>
        <w:rPr>
          <w:lang w:eastAsia="ru-RU"/>
        </w:rPr>
      </w:pPr>
      <w:r w:rsidRPr="00DE24BD">
        <w:rPr>
          <w:lang w:eastAsia="ru-RU"/>
        </w:rPr>
        <w:t>Waste heat recovery (WHR) systems reduce indirect emissions by 10–15% through on-site electricity generation. Under typical operating conditions, a 1 Mt/year plant can generate 8–12 MW of electricity from kiln exhaust gases. The economic performance of WHR is particularly favorable, with a payback period of 3–5 years and minimal impact on production cost. Despite these advantages, adoption remains limited, indicating non-technical barriers such as financing constraints and institutional inertia.</w:t>
      </w:r>
    </w:p>
    <w:p w14:paraId="50A9A928" w14:textId="77777777" w:rsidR="00DE24BD" w:rsidRPr="00DE24BD" w:rsidRDefault="00DE24BD" w:rsidP="00DE24BD">
      <w:pPr>
        <w:pStyle w:val="CETBodytext"/>
        <w:rPr>
          <w:lang w:eastAsia="ru-RU"/>
        </w:rPr>
      </w:pPr>
      <w:r w:rsidRPr="00DE24BD">
        <w:rPr>
          <w:lang w:eastAsia="ru-RU"/>
        </w:rPr>
        <w:t>Alternative fuel substitution, at rates of 20–30%, achieves emission reductions of 12–18% by partially replacing coal with lower-carbon fuels such as biomass and industrial waste. The effectiveness of this measure depends strongly on fuel properties, including calorific value and moisture content. While CAPEX requirements are moderate due to fuel handling and preprocessing infrastructure, the long-term economic viability improves as fossil fuel prices increase.</w:t>
      </w:r>
    </w:p>
    <w:p w14:paraId="17CB350E" w14:textId="77777777" w:rsidR="00DE24BD" w:rsidRPr="00DE24BD" w:rsidRDefault="00DE24BD" w:rsidP="00DE24BD">
      <w:pPr>
        <w:pStyle w:val="CETBodytext"/>
        <w:rPr>
          <w:lang w:eastAsia="ru-RU"/>
        </w:rPr>
      </w:pPr>
      <w:r w:rsidRPr="00DE24BD">
        <w:rPr>
          <w:lang w:eastAsia="ru-RU"/>
        </w:rPr>
        <w:t>Energy efficiency improvements contribute an additional 5–8% reduction in emissions. These improvements include kiln optimization, reduction of heat losses, and enhanced process control. Although the individual impact is relatively modest, energy efficiency acts as an enabling measure that enhances the performance of other interventions.</w:t>
      </w:r>
    </w:p>
    <w:p w14:paraId="69BF2589" w14:textId="77777777" w:rsidR="00DE24BD" w:rsidRPr="00DE24BD" w:rsidRDefault="00DE24BD" w:rsidP="00F51CD7">
      <w:pPr>
        <w:pStyle w:val="CETheadingx"/>
        <w:rPr>
          <w:lang w:eastAsia="ru-RU"/>
        </w:rPr>
      </w:pPr>
      <w:r w:rsidRPr="00DE24BD">
        <w:rPr>
          <w:lang w:eastAsia="ru-RU"/>
        </w:rPr>
        <w:t>Comparative performance of scenarios</w:t>
      </w:r>
    </w:p>
    <w:p w14:paraId="5BA53BCE" w14:textId="77777777" w:rsidR="00DE24BD" w:rsidRDefault="00DE24BD" w:rsidP="00DE24BD">
      <w:pPr>
        <w:pStyle w:val="CETBodytext"/>
        <w:rPr>
          <w:lang w:eastAsia="ru-RU"/>
        </w:rPr>
      </w:pPr>
      <w:r w:rsidRPr="00DE24BD">
        <w:rPr>
          <w:lang w:eastAsia="ru-RU"/>
        </w:rPr>
        <w:t>The comparative analysis indicates that clinker substitution provides the largest standalone reduction, followed by alternative fuels and WHR. Energy efficiency shows the lowest individual contribution but remains essential as part of an integrated strategy.</w:t>
      </w:r>
    </w:p>
    <w:p w14:paraId="0E99772C" w14:textId="26DCB1E3" w:rsidR="00F51CD7" w:rsidRDefault="00F51CD7" w:rsidP="00DE24BD">
      <w:pPr>
        <w:pStyle w:val="CETBodytext"/>
        <w:rPr>
          <w:lang w:eastAsia="ru-RU"/>
        </w:rPr>
      </w:pPr>
      <w:r>
        <w:rPr>
          <w:lang w:val="en-GB" w:eastAsia="ru-RU"/>
        </w:rPr>
        <w:t>F</w:t>
      </w:r>
      <w:r w:rsidRPr="00F51CD7">
        <w:rPr>
          <w:lang w:val="en-GB" w:eastAsia="ru-RU"/>
        </w:rPr>
        <w:t>igure</w:t>
      </w:r>
      <w:r>
        <w:rPr>
          <w:lang w:val="en-GB" w:eastAsia="ru-RU"/>
        </w:rPr>
        <w:t xml:space="preserve"> 1</w:t>
      </w:r>
      <w:r w:rsidRPr="00F51CD7">
        <w:rPr>
          <w:lang w:val="en-GB" w:eastAsia="ru-RU"/>
        </w:rPr>
        <w:t xml:space="preserve"> presents a comparative assessment of emission reduction potentials across key decarbonization strategies in the cement industry. </w:t>
      </w:r>
    </w:p>
    <w:p w14:paraId="5F18B69A" w14:textId="663F62D6" w:rsidR="00DE24BD" w:rsidRDefault="00DE24BD" w:rsidP="00F51CD7">
      <w:pPr>
        <w:pStyle w:val="CETBodytext"/>
        <w:jc w:val="center"/>
        <w:rPr>
          <w:lang w:eastAsia="ru-RU"/>
        </w:rPr>
      </w:pPr>
      <w:r>
        <w:rPr>
          <w:noProof/>
        </w:rPr>
        <w:drawing>
          <wp:inline distT="0" distB="0" distL="0" distR="0" wp14:anchorId="345EA0FF" wp14:editId="62C7DD91">
            <wp:extent cx="4391629" cy="3077308"/>
            <wp:effectExtent l="0" t="0" r="9525" b="8890"/>
            <wp:docPr id="1659213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b="6068"/>
                    <a:stretch>
                      <a:fillRect/>
                    </a:stretch>
                  </pic:blipFill>
                  <pic:spPr bwMode="auto">
                    <a:xfrm>
                      <a:off x="0" y="0"/>
                      <a:ext cx="4427011" cy="3102101"/>
                    </a:xfrm>
                    <a:prstGeom prst="rect">
                      <a:avLst/>
                    </a:prstGeom>
                    <a:noFill/>
                    <a:ln>
                      <a:noFill/>
                    </a:ln>
                    <a:extLst>
                      <a:ext uri="{53640926-AAD7-44D8-BBD7-CCE9431645EC}">
                        <a14:shadowObscured xmlns:a14="http://schemas.microsoft.com/office/drawing/2010/main"/>
                      </a:ext>
                    </a:extLst>
                  </pic:spPr>
                </pic:pic>
              </a:graphicData>
            </a:graphic>
          </wp:inline>
        </w:drawing>
      </w:r>
    </w:p>
    <w:p w14:paraId="0787A628" w14:textId="3CB0B25B" w:rsidR="00F51CD7" w:rsidRDefault="00F51CD7" w:rsidP="00F51CD7">
      <w:pPr>
        <w:pStyle w:val="CETBodytext"/>
        <w:jc w:val="center"/>
        <w:rPr>
          <w:lang w:val="en-GB" w:eastAsia="ru-RU"/>
        </w:rPr>
      </w:pPr>
      <w:r>
        <w:rPr>
          <w:lang w:val="en-GB" w:eastAsia="ru-RU"/>
        </w:rPr>
        <w:t xml:space="preserve">Figure 1. </w:t>
      </w:r>
      <w:r w:rsidRPr="00F51CD7">
        <w:rPr>
          <w:lang w:val="en-GB" w:eastAsia="ru-RU"/>
        </w:rPr>
        <w:t>Emission Reduction Potential in Uzbekistan’s Cement Industry</w:t>
      </w:r>
    </w:p>
    <w:p w14:paraId="39A9404C" w14:textId="162C5088" w:rsidR="00F51CD7" w:rsidRDefault="00F51CD7" w:rsidP="00F51CD7">
      <w:pPr>
        <w:pStyle w:val="CETBodytext"/>
        <w:rPr>
          <w:lang w:eastAsia="ru-RU"/>
        </w:rPr>
      </w:pPr>
      <w:r w:rsidRPr="00F51CD7">
        <w:rPr>
          <w:lang w:val="en-GB" w:eastAsia="ru-RU"/>
        </w:rPr>
        <w:t>Clinker substitution exhibits the highest standalone impact, followed by alternative fuels and waste heat recovery. Energy efficiency shows a smaller but consistent contribution. The combined scenario demonstrates a significantly higher reduction, confirming strong synergistic effects among the measures</w:t>
      </w:r>
      <w:r>
        <w:rPr>
          <w:lang w:val="en-GB" w:eastAsia="ru-RU"/>
        </w:rPr>
        <w:t xml:space="preserve"> (see Table 1)</w:t>
      </w:r>
      <w:r w:rsidRPr="00F51CD7">
        <w:rPr>
          <w:lang w:val="en-GB" w:eastAsia="ru-RU"/>
        </w:rPr>
        <w:t>.</w:t>
      </w:r>
    </w:p>
    <w:p w14:paraId="6CF4426C" w14:textId="77777777" w:rsidR="00DE24BD" w:rsidRPr="00DE24BD" w:rsidRDefault="00DE24BD" w:rsidP="00F51CD7">
      <w:pPr>
        <w:pStyle w:val="CETheadingx"/>
        <w:rPr>
          <w:lang w:eastAsia="ru-RU"/>
        </w:rPr>
      </w:pPr>
      <w:r w:rsidRPr="00DE24BD">
        <w:rPr>
          <w:lang w:eastAsia="ru-RU"/>
        </w:rPr>
        <w:t>Integrated scenario and synergistic effects</w:t>
      </w:r>
    </w:p>
    <w:p w14:paraId="71A51B59" w14:textId="77777777" w:rsidR="00DE24BD" w:rsidRPr="00DE24BD" w:rsidRDefault="00DE24BD" w:rsidP="00DE24BD">
      <w:pPr>
        <w:pStyle w:val="CETBodytext"/>
        <w:rPr>
          <w:lang w:eastAsia="ru-RU"/>
        </w:rPr>
      </w:pPr>
      <w:r w:rsidRPr="00DE24BD">
        <w:rPr>
          <w:lang w:eastAsia="ru-RU"/>
        </w:rPr>
        <w:t xml:space="preserve">The combined implementation of all measures results in total emission reductions of 40–50%, demonstrating strong synergistic effects. These synergies arise from the interaction between material efficiency and energy </w:t>
      </w:r>
      <w:r w:rsidRPr="00DE24BD">
        <w:rPr>
          <w:lang w:eastAsia="ru-RU"/>
        </w:rPr>
        <w:lastRenderedPageBreak/>
        <w:t>optimization. For example, reducing clinker content lowers kiln load, which in turn enhances the relative effectiveness of waste heat recovery and reduces fuel consumption.</w:t>
      </w:r>
    </w:p>
    <w:p w14:paraId="661717BF" w14:textId="77777777" w:rsidR="00DE24BD" w:rsidRPr="00DE24BD" w:rsidRDefault="00DE24BD" w:rsidP="00DE24BD">
      <w:pPr>
        <w:pStyle w:val="CETBodytext"/>
        <w:rPr>
          <w:lang w:eastAsia="ru-RU"/>
        </w:rPr>
      </w:pPr>
      <w:r w:rsidRPr="00DE24BD">
        <w:rPr>
          <w:lang w:eastAsia="ru-RU"/>
        </w:rPr>
        <w:t>From an economic perspective, the integrated scenario results in a moderate increase in the levelized cost of cement (LCOC) by approximately 5–12%. This increase remains within acceptable limits for industrial deployment, particularly when supported by policy incentives or carbon pricing mechanisms. Notably, the cost increase is significantly lower than that associated with CCUS technologies, reinforcing the suitability of conventional measures for near-term implementation.</w:t>
      </w:r>
    </w:p>
    <w:p w14:paraId="0054EE6F" w14:textId="77777777" w:rsidR="00DE24BD" w:rsidRDefault="00DE24BD" w:rsidP="00F51CD7">
      <w:pPr>
        <w:pStyle w:val="CETTabletitle"/>
        <w:rPr>
          <w:lang w:eastAsia="ru-RU"/>
        </w:rPr>
      </w:pPr>
      <w:r w:rsidRPr="00DE24BD">
        <w:rPr>
          <w:lang w:eastAsia="ru-RU"/>
        </w:rPr>
        <w:t>Table 1. Environmental and economic performance of decarbonization scenarios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5"/>
        <w:gridCol w:w="1844"/>
        <w:gridCol w:w="1280"/>
        <w:gridCol w:w="1215"/>
        <w:gridCol w:w="1440"/>
        <w:gridCol w:w="1333"/>
      </w:tblGrid>
      <w:tr w:rsidR="00DE24BD" w:rsidRPr="00DE24BD" w14:paraId="77447C1E" w14:textId="77777777" w:rsidTr="00F51CD7">
        <w:tc>
          <w:tcPr>
            <w:tcW w:w="0" w:type="auto"/>
            <w:tcBorders>
              <w:top w:val="single" w:sz="8" w:space="0" w:color="00B050"/>
              <w:bottom w:val="single" w:sz="8" w:space="0" w:color="00B050"/>
            </w:tcBorders>
            <w:hideMark/>
          </w:tcPr>
          <w:p w14:paraId="27E9C867" w14:textId="77777777" w:rsidR="00DE24BD" w:rsidRPr="00DE24BD" w:rsidRDefault="00DE24BD" w:rsidP="00DE24BD">
            <w:pPr>
              <w:pStyle w:val="CETBodytext"/>
              <w:rPr>
                <w:b/>
                <w:bCs/>
                <w:lang w:val="ru-RU" w:eastAsia="ru-RU"/>
              </w:rPr>
            </w:pPr>
            <w:proofErr w:type="spellStart"/>
            <w:r w:rsidRPr="00DE24BD">
              <w:rPr>
                <w:b/>
                <w:bCs/>
                <w:lang w:val="ru-RU" w:eastAsia="ru-RU"/>
              </w:rPr>
              <w:t>Scenario</w:t>
            </w:r>
            <w:proofErr w:type="spellEnd"/>
          </w:p>
        </w:tc>
        <w:tc>
          <w:tcPr>
            <w:tcW w:w="0" w:type="auto"/>
            <w:tcBorders>
              <w:top w:val="single" w:sz="8" w:space="0" w:color="00B050"/>
              <w:bottom w:val="single" w:sz="8" w:space="0" w:color="00B050"/>
            </w:tcBorders>
            <w:hideMark/>
          </w:tcPr>
          <w:p w14:paraId="4EB9DED3" w14:textId="77777777" w:rsidR="00DE24BD" w:rsidRPr="00DE24BD" w:rsidRDefault="00DE24BD" w:rsidP="00DE24BD">
            <w:pPr>
              <w:pStyle w:val="CETBodytext"/>
              <w:rPr>
                <w:b/>
                <w:bCs/>
                <w:lang w:val="ru-RU" w:eastAsia="ru-RU"/>
              </w:rPr>
            </w:pPr>
            <w:proofErr w:type="spellStart"/>
            <w:r w:rsidRPr="00DE24BD">
              <w:rPr>
                <w:b/>
                <w:bCs/>
                <w:lang w:val="ru-RU" w:eastAsia="ru-RU"/>
              </w:rPr>
              <w:t>Emission</w:t>
            </w:r>
            <w:proofErr w:type="spellEnd"/>
            <w:r w:rsidRPr="00DE24BD">
              <w:rPr>
                <w:b/>
                <w:bCs/>
                <w:lang w:val="ru-RU" w:eastAsia="ru-RU"/>
              </w:rPr>
              <w:t xml:space="preserve"> </w:t>
            </w:r>
            <w:proofErr w:type="spellStart"/>
            <w:r w:rsidRPr="00DE24BD">
              <w:rPr>
                <w:b/>
                <w:bCs/>
                <w:lang w:val="ru-RU" w:eastAsia="ru-RU"/>
              </w:rPr>
              <w:t>Reduction</w:t>
            </w:r>
            <w:proofErr w:type="spellEnd"/>
            <w:r w:rsidRPr="00DE24BD">
              <w:rPr>
                <w:b/>
                <w:bCs/>
                <w:lang w:val="ru-RU" w:eastAsia="ru-RU"/>
              </w:rPr>
              <w:t xml:space="preserve"> (%)</w:t>
            </w:r>
          </w:p>
        </w:tc>
        <w:tc>
          <w:tcPr>
            <w:tcW w:w="0" w:type="auto"/>
            <w:tcBorders>
              <w:top w:val="single" w:sz="8" w:space="0" w:color="00B050"/>
              <w:bottom w:val="single" w:sz="8" w:space="0" w:color="00B050"/>
            </w:tcBorders>
            <w:hideMark/>
          </w:tcPr>
          <w:p w14:paraId="4BA62276" w14:textId="77777777" w:rsidR="00DE24BD" w:rsidRPr="00DE24BD" w:rsidRDefault="00DE24BD" w:rsidP="00DE24BD">
            <w:pPr>
              <w:pStyle w:val="CETBodytext"/>
              <w:rPr>
                <w:b/>
                <w:bCs/>
                <w:lang w:val="ru-RU" w:eastAsia="ru-RU"/>
              </w:rPr>
            </w:pPr>
            <w:r w:rsidRPr="00DE24BD">
              <w:rPr>
                <w:b/>
                <w:bCs/>
                <w:lang w:val="ru-RU" w:eastAsia="ru-RU"/>
              </w:rPr>
              <w:t>CAPEX Impact</w:t>
            </w:r>
          </w:p>
        </w:tc>
        <w:tc>
          <w:tcPr>
            <w:tcW w:w="0" w:type="auto"/>
            <w:tcBorders>
              <w:top w:val="single" w:sz="8" w:space="0" w:color="00B050"/>
              <w:bottom w:val="single" w:sz="8" w:space="0" w:color="00B050"/>
            </w:tcBorders>
            <w:hideMark/>
          </w:tcPr>
          <w:p w14:paraId="3F84F297" w14:textId="77777777" w:rsidR="00DE24BD" w:rsidRPr="00DE24BD" w:rsidRDefault="00DE24BD" w:rsidP="00DE24BD">
            <w:pPr>
              <w:pStyle w:val="CETBodytext"/>
              <w:rPr>
                <w:b/>
                <w:bCs/>
                <w:lang w:val="ru-RU" w:eastAsia="ru-RU"/>
              </w:rPr>
            </w:pPr>
            <w:r w:rsidRPr="00DE24BD">
              <w:rPr>
                <w:b/>
                <w:bCs/>
                <w:lang w:val="ru-RU" w:eastAsia="ru-RU"/>
              </w:rPr>
              <w:t>OPEX Impact</w:t>
            </w:r>
          </w:p>
        </w:tc>
        <w:tc>
          <w:tcPr>
            <w:tcW w:w="0" w:type="auto"/>
            <w:tcBorders>
              <w:top w:val="single" w:sz="8" w:space="0" w:color="00B050"/>
              <w:bottom w:val="single" w:sz="8" w:space="0" w:color="00B050"/>
            </w:tcBorders>
            <w:hideMark/>
          </w:tcPr>
          <w:p w14:paraId="6A5B7002" w14:textId="77777777" w:rsidR="00DE24BD" w:rsidRPr="00DE24BD" w:rsidRDefault="00DE24BD" w:rsidP="00DE24BD">
            <w:pPr>
              <w:pStyle w:val="CETBodytext"/>
              <w:rPr>
                <w:b/>
                <w:bCs/>
                <w:lang w:val="ru-RU" w:eastAsia="ru-RU"/>
              </w:rPr>
            </w:pPr>
            <w:r w:rsidRPr="00DE24BD">
              <w:rPr>
                <w:b/>
                <w:bCs/>
                <w:lang w:val="ru-RU" w:eastAsia="ru-RU"/>
              </w:rPr>
              <w:t>LCOC Change (%)</w:t>
            </w:r>
          </w:p>
        </w:tc>
        <w:tc>
          <w:tcPr>
            <w:tcW w:w="0" w:type="auto"/>
            <w:tcBorders>
              <w:top w:val="single" w:sz="8" w:space="0" w:color="00B050"/>
              <w:bottom w:val="single" w:sz="8" w:space="0" w:color="00B050"/>
            </w:tcBorders>
            <w:hideMark/>
          </w:tcPr>
          <w:p w14:paraId="50E4DECF" w14:textId="77777777" w:rsidR="00DE24BD" w:rsidRPr="00DE24BD" w:rsidRDefault="00DE24BD" w:rsidP="00DE24BD">
            <w:pPr>
              <w:pStyle w:val="CETBodytext"/>
              <w:rPr>
                <w:b/>
                <w:bCs/>
                <w:lang w:val="ru-RU" w:eastAsia="ru-RU"/>
              </w:rPr>
            </w:pPr>
            <w:proofErr w:type="spellStart"/>
            <w:r w:rsidRPr="00DE24BD">
              <w:rPr>
                <w:b/>
                <w:bCs/>
                <w:lang w:val="ru-RU" w:eastAsia="ru-RU"/>
              </w:rPr>
              <w:t>Payback</w:t>
            </w:r>
            <w:proofErr w:type="spellEnd"/>
            <w:r w:rsidRPr="00DE24BD">
              <w:rPr>
                <w:b/>
                <w:bCs/>
                <w:lang w:val="ru-RU" w:eastAsia="ru-RU"/>
              </w:rPr>
              <w:t xml:space="preserve"> </w:t>
            </w:r>
            <w:proofErr w:type="spellStart"/>
            <w:r w:rsidRPr="00DE24BD">
              <w:rPr>
                <w:b/>
                <w:bCs/>
                <w:lang w:val="ru-RU" w:eastAsia="ru-RU"/>
              </w:rPr>
              <w:t>Period</w:t>
            </w:r>
            <w:proofErr w:type="spellEnd"/>
          </w:p>
        </w:tc>
      </w:tr>
      <w:tr w:rsidR="007B5A21" w:rsidRPr="00DE24BD" w14:paraId="4ABA19E6" w14:textId="77777777" w:rsidTr="00F51CD7">
        <w:tc>
          <w:tcPr>
            <w:tcW w:w="0" w:type="auto"/>
            <w:tcBorders>
              <w:top w:val="single" w:sz="8" w:space="0" w:color="00B050"/>
            </w:tcBorders>
            <w:hideMark/>
          </w:tcPr>
          <w:p w14:paraId="195A91B2" w14:textId="580FBD69" w:rsidR="007B5A21" w:rsidRPr="00DE24BD" w:rsidRDefault="007B5A21" w:rsidP="007B5A21">
            <w:pPr>
              <w:pStyle w:val="CETBodytext"/>
              <w:rPr>
                <w:lang w:val="ru-RU" w:eastAsia="ru-RU"/>
              </w:rPr>
            </w:pPr>
            <w:r w:rsidRPr="002A3C8B">
              <w:t>Baseline</w:t>
            </w:r>
          </w:p>
        </w:tc>
        <w:tc>
          <w:tcPr>
            <w:tcW w:w="0" w:type="auto"/>
            <w:tcBorders>
              <w:top w:val="single" w:sz="8" w:space="0" w:color="00B050"/>
            </w:tcBorders>
            <w:hideMark/>
          </w:tcPr>
          <w:p w14:paraId="42942AD0" w14:textId="7AEA2072" w:rsidR="007B5A21" w:rsidRPr="00DE24BD" w:rsidRDefault="007B5A21" w:rsidP="007B5A21">
            <w:pPr>
              <w:pStyle w:val="CETBodytext"/>
              <w:rPr>
                <w:lang w:val="ru-RU" w:eastAsia="ru-RU"/>
              </w:rPr>
            </w:pPr>
            <w:r w:rsidRPr="002A3C8B">
              <w:t>0</w:t>
            </w:r>
          </w:p>
        </w:tc>
        <w:tc>
          <w:tcPr>
            <w:tcW w:w="0" w:type="auto"/>
            <w:tcBorders>
              <w:top w:val="single" w:sz="8" w:space="0" w:color="00B050"/>
            </w:tcBorders>
            <w:hideMark/>
          </w:tcPr>
          <w:p w14:paraId="493B3C89" w14:textId="26391071" w:rsidR="007B5A21" w:rsidRPr="00DE24BD" w:rsidRDefault="007B5A21" w:rsidP="007B5A21">
            <w:pPr>
              <w:pStyle w:val="CETBodytext"/>
              <w:rPr>
                <w:lang w:val="ru-RU" w:eastAsia="ru-RU"/>
              </w:rPr>
            </w:pPr>
            <w:r w:rsidRPr="002A3C8B">
              <w:t>—</w:t>
            </w:r>
          </w:p>
        </w:tc>
        <w:tc>
          <w:tcPr>
            <w:tcW w:w="0" w:type="auto"/>
            <w:tcBorders>
              <w:top w:val="single" w:sz="8" w:space="0" w:color="00B050"/>
            </w:tcBorders>
            <w:hideMark/>
          </w:tcPr>
          <w:p w14:paraId="008E3ED9" w14:textId="729C3F07" w:rsidR="007B5A21" w:rsidRPr="00DE24BD" w:rsidRDefault="007B5A21" w:rsidP="007B5A21">
            <w:pPr>
              <w:pStyle w:val="CETBodytext"/>
              <w:rPr>
                <w:lang w:val="ru-RU" w:eastAsia="ru-RU"/>
              </w:rPr>
            </w:pPr>
            <w:r w:rsidRPr="002A3C8B">
              <w:t>—</w:t>
            </w:r>
          </w:p>
        </w:tc>
        <w:tc>
          <w:tcPr>
            <w:tcW w:w="0" w:type="auto"/>
            <w:tcBorders>
              <w:top w:val="single" w:sz="8" w:space="0" w:color="00B050"/>
            </w:tcBorders>
            <w:hideMark/>
          </w:tcPr>
          <w:p w14:paraId="6C0DAD99" w14:textId="5D19C5AF" w:rsidR="007B5A21" w:rsidRPr="00DE24BD" w:rsidRDefault="007B5A21" w:rsidP="007B5A21">
            <w:pPr>
              <w:pStyle w:val="CETBodytext"/>
              <w:rPr>
                <w:lang w:val="ru-RU" w:eastAsia="ru-RU"/>
              </w:rPr>
            </w:pPr>
            <w:r w:rsidRPr="002A3C8B">
              <w:t>0</w:t>
            </w:r>
          </w:p>
        </w:tc>
        <w:tc>
          <w:tcPr>
            <w:tcW w:w="0" w:type="auto"/>
            <w:tcBorders>
              <w:top w:val="single" w:sz="8" w:space="0" w:color="00B050"/>
            </w:tcBorders>
            <w:hideMark/>
          </w:tcPr>
          <w:p w14:paraId="63C9AB36" w14:textId="6273A9A8" w:rsidR="007B5A21" w:rsidRPr="00DE24BD" w:rsidRDefault="007B5A21" w:rsidP="007B5A21">
            <w:pPr>
              <w:pStyle w:val="CETBodytext"/>
              <w:rPr>
                <w:lang w:val="ru-RU" w:eastAsia="ru-RU"/>
              </w:rPr>
            </w:pPr>
            <w:r w:rsidRPr="002A3C8B">
              <w:t>—</w:t>
            </w:r>
          </w:p>
        </w:tc>
      </w:tr>
      <w:tr w:rsidR="007B5A21" w:rsidRPr="00DE24BD" w14:paraId="4F7ED551" w14:textId="77777777" w:rsidTr="00F51CD7">
        <w:tc>
          <w:tcPr>
            <w:tcW w:w="0" w:type="auto"/>
            <w:hideMark/>
          </w:tcPr>
          <w:p w14:paraId="608059E1" w14:textId="68203185" w:rsidR="007B5A21" w:rsidRPr="00DE24BD" w:rsidRDefault="007B5A21" w:rsidP="007B5A21">
            <w:pPr>
              <w:pStyle w:val="CETBodytext"/>
              <w:rPr>
                <w:lang w:val="ru-RU" w:eastAsia="ru-RU"/>
              </w:rPr>
            </w:pPr>
            <w:r w:rsidRPr="002A3C8B">
              <w:t>WHR</w:t>
            </w:r>
          </w:p>
        </w:tc>
        <w:tc>
          <w:tcPr>
            <w:tcW w:w="0" w:type="auto"/>
            <w:hideMark/>
          </w:tcPr>
          <w:p w14:paraId="3704F7F6" w14:textId="6DB0B10E" w:rsidR="007B5A21" w:rsidRPr="00DE24BD" w:rsidRDefault="007B5A21" w:rsidP="007B5A21">
            <w:pPr>
              <w:pStyle w:val="CETBodytext"/>
              <w:rPr>
                <w:lang w:val="ru-RU" w:eastAsia="ru-RU"/>
              </w:rPr>
            </w:pPr>
            <w:r w:rsidRPr="002A3C8B">
              <w:t>2.0–4.5</w:t>
            </w:r>
          </w:p>
        </w:tc>
        <w:tc>
          <w:tcPr>
            <w:tcW w:w="0" w:type="auto"/>
            <w:hideMark/>
          </w:tcPr>
          <w:p w14:paraId="54A96F6F" w14:textId="4D02CA07" w:rsidR="007B5A21" w:rsidRPr="00DE24BD" w:rsidRDefault="007B5A21" w:rsidP="007B5A21">
            <w:pPr>
              <w:pStyle w:val="CETBodytext"/>
              <w:rPr>
                <w:lang w:val="ru-RU" w:eastAsia="ru-RU"/>
              </w:rPr>
            </w:pPr>
            <w:r w:rsidRPr="002A3C8B">
              <w:t>Medium</w:t>
            </w:r>
          </w:p>
        </w:tc>
        <w:tc>
          <w:tcPr>
            <w:tcW w:w="0" w:type="auto"/>
            <w:hideMark/>
          </w:tcPr>
          <w:p w14:paraId="0324D1B7" w14:textId="3D3F7686" w:rsidR="007B5A21" w:rsidRPr="00DE24BD" w:rsidRDefault="007B5A21" w:rsidP="007B5A21">
            <w:pPr>
              <w:pStyle w:val="CETBodytext"/>
              <w:rPr>
                <w:lang w:val="ru-RU" w:eastAsia="ru-RU"/>
              </w:rPr>
            </w:pPr>
            <w:r w:rsidRPr="002A3C8B">
              <w:t>Decrease</w:t>
            </w:r>
          </w:p>
        </w:tc>
        <w:tc>
          <w:tcPr>
            <w:tcW w:w="0" w:type="auto"/>
            <w:hideMark/>
          </w:tcPr>
          <w:p w14:paraId="368E0B89" w14:textId="50FE82C9" w:rsidR="007B5A21" w:rsidRPr="00DE24BD" w:rsidRDefault="007B5A21" w:rsidP="007B5A21">
            <w:pPr>
              <w:pStyle w:val="CETBodytext"/>
              <w:rPr>
                <w:lang w:val="ru-RU" w:eastAsia="ru-RU"/>
              </w:rPr>
            </w:pPr>
            <w:r w:rsidRPr="002A3C8B">
              <w:t>−3 to +1</w:t>
            </w:r>
          </w:p>
        </w:tc>
        <w:tc>
          <w:tcPr>
            <w:tcW w:w="0" w:type="auto"/>
            <w:hideMark/>
          </w:tcPr>
          <w:p w14:paraId="025D4724" w14:textId="57A4255E" w:rsidR="007B5A21" w:rsidRPr="00DE24BD" w:rsidRDefault="007B5A21" w:rsidP="007B5A21">
            <w:pPr>
              <w:pStyle w:val="CETBodytext"/>
              <w:rPr>
                <w:lang w:val="ru-RU" w:eastAsia="ru-RU"/>
              </w:rPr>
            </w:pPr>
            <w:r w:rsidRPr="002A3C8B">
              <w:t>3.9–8.3 y</w:t>
            </w:r>
          </w:p>
        </w:tc>
      </w:tr>
      <w:tr w:rsidR="007B5A21" w:rsidRPr="00DE24BD" w14:paraId="29946ED0" w14:textId="77777777" w:rsidTr="00F51CD7">
        <w:tc>
          <w:tcPr>
            <w:tcW w:w="0" w:type="auto"/>
            <w:hideMark/>
          </w:tcPr>
          <w:p w14:paraId="4FCA68D5" w14:textId="0EA49034" w:rsidR="007B5A21" w:rsidRPr="00DE24BD" w:rsidRDefault="007B5A21" w:rsidP="007B5A21">
            <w:pPr>
              <w:pStyle w:val="CETBodytext"/>
              <w:rPr>
                <w:lang w:val="ru-RU" w:eastAsia="ru-RU"/>
              </w:rPr>
            </w:pPr>
            <w:r w:rsidRPr="002A3C8B">
              <w:t>Alternative fuels (30%)</w:t>
            </w:r>
          </w:p>
        </w:tc>
        <w:tc>
          <w:tcPr>
            <w:tcW w:w="0" w:type="auto"/>
            <w:hideMark/>
          </w:tcPr>
          <w:p w14:paraId="23248D25" w14:textId="6CD95A62" w:rsidR="007B5A21" w:rsidRPr="00DE24BD" w:rsidRDefault="007B5A21" w:rsidP="007B5A21">
            <w:pPr>
              <w:pStyle w:val="CETBodytext"/>
              <w:rPr>
                <w:lang w:val="ru-RU" w:eastAsia="ru-RU"/>
              </w:rPr>
            </w:pPr>
            <w:r w:rsidRPr="002A3C8B">
              <w:t>4.0–8.0</w:t>
            </w:r>
          </w:p>
        </w:tc>
        <w:tc>
          <w:tcPr>
            <w:tcW w:w="0" w:type="auto"/>
            <w:hideMark/>
          </w:tcPr>
          <w:p w14:paraId="4C478F25" w14:textId="21BE8B12" w:rsidR="007B5A21" w:rsidRPr="00DE24BD" w:rsidRDefault="007B5A21" w:rsidP="007B5A21">
            <w:pPr>
              <w:pStyle w:val="CETBodytext"/>
              <w:rPr>
                <w:lang w:val="ru-RU" w:eastAsia="ru-RU"/>
              </w:rPr>
            </w:pPr>
            <w:r w:rsidRPr="002A3C8B">
              <w:t>Medium</w:t>
            </w:r>
          </w:p>
        </w:tc>
        <w:tc>
          <w:tcPr>
            <w:tcW w:w="0" w:type="auto"/>
            <w:hideMark/>
          </w:tcPr>
          <w:p w14:paraId="704B5BF3" w14:textId="1CD21049" w:rsidR="007B5A21" w:rsidRPr="00DE24BD" w:rsidRDefault="007B5A21" w:rsidP="007B5A21">
            <w:pPr>
              <w:pStyle w:val="CETBodytext"/>
              <w:rPr>
                <w:lang w:val="ru-RU" w:eastAsia="ru-RU"/>
              </w:rPr>
            </w:pPr>
            <w:r w:rsidRPr="002A3C8B">
              <w:t>Variable</w:t>
            </w:r>
          </w:p>
        </w:tc>
        <w:tc>
          <w:tcPr>
            <w:tcW w:w="0" w:type="auto"/>
            <w:hideMark/>
          </w:tcPr>
          <w:p w14:paraId="16136D7E" w14:textId="1F04096B" w:rsidR="007B5A21" w:rsidRPr="00DE24BD" w:rsidRDefault="007B5A21" w:rsidP="007B5A21">
            <w:pPr>
              <w:pStyle w:val="CETBodytext"/>
              <w:rPr>
                <w:lang w:val="ru-RU" w:eastAsia="ru-RU"/>
              </w:rPr>
            </w:pPr>
            <w:r w:rsidRPr="002A3C8B">
              <w:t>−1 to +6</w:t>
            </w:r>
          </w:p>
        </w:tc>
        <w:tc>
          <w:tcPr>
            <w:tcW w:w="0" w:type="auto"/>
            <w:hideMark/>
          </w:tcPr>
          <w:p w14:paraId="025C4A20" w14:textId="473682FE" w:rsidR="007B5A21" w:rsidRPr="00DE24BD" w:rsidRDefault="007B5A21" w:rsidP="007B5A21">
            <w:pPr>
              <w:pStyle w:val="CETBodytext"/>
              <w:rPr>
                <w:lang w:val="ru-RU" w:eastAsia="ru-RU"/>
              </w:rPr>
            </w:pPr>
            <w:r w:rsidRPr="002A3C8B">
              <w:t>5–8 y</w:t>
            </w:r>
          </w:p>
        </w:tc>
      </w:tr>
      <w:tr w:rsidR="007B5A21" w:rsidRPr="00DE24BD" w14:paraId="3EEA03BF" w14:textId="77777777" w:rsidTr="00F51CD7">
        <w:tc>
          <w:tcPr>
            <w:tcW w:w="0" w:type="auto"/>
            <w:hideMark/>
          </w:tcPr>
          <w:p w14:paraId="3E6BFC74" w14:textId="2F910F8A" w:rsidR="007B5A21" w:rsidRPr="00DE24BD" w:rsidRDefault="007B5A21" w:rsidP="007B5A21">
            <w:pPr>
              <w:pStyle w:val="CETBodytext"/>
              <w:rPr>
                <w:lang w:val="ru-RU" w:eastAsia="ru-RU"/>
              </w:rPr>
            </w:pPr>
            <w:r w:rsidRPr="002A3C8B">
              <w:t>Clinker factor 0.65</w:t>
            </w:r>
          </w:p>
        </w:tc>
        <w:tc>
          <w:tcPr>
            <w:tcW w:w="0" w:type="auto"/>
            <w:hideMark/>
          </w:tcPr>
          <w:p w14:paraId="4FC0C548" w14:textId="0ED59D00" w:rsidR="007B5A21" w:rsidRPr="00DE24BD" w:rsidRDefault="007B5A21" w:rsidP="007B5A21">
            <w:pPr>
              <w:pStyle w:val="CETBodytext"/>
              <w:rPr>
                <w:lang w:val="ru-RU" w:eastAsia="ru-RU"/>
              </w:rPr>
            </w:pPr>
            <w:r w:rsidRPr="002A3C8B">
              <w:t>14.0–20.5</w:t>
            </w:r>
          </w:p>
        </w:tc>
        <w:tc>
          <w:tcPr>
            <w:tcW w:w="0" w:type="auto"/>
            <w:hideMark/>
          </w:tcPr>
          <w:p w14:paraId="315D3E83" w14:textId="4E936A21" w:rsidR="007B5A21" w:rsidRPr="00DE24BD" w:rsidRDefault="007B5A21" w:rsidP="007B5A21">
            <w:pPr>
              <w:pStyle w:val="CETBodytext"/>
              <w:rPr>
                <w:lang w:val="ru-RU" w:eastAsia="ru-RU"/>
              </w:rPr>
            </w:pPr>
            <w:r w:rsidRPr="002A3C8B">
              <w:t>Low–Medium</w:t>
            </w:r>
          </w:p>
        </w:tc>
        <w:tc>
          <w:tcPr>
            <w:tcW w:w="0" w:type="auto"/>
            <w:hideMark/>
          </w:tcPr>
          <w:p w14:paraId="6133FBE2" w14:textId="3438337F" w:rsidR="007B5A21" w:rsidRPr="00DE24BD" w:rsidRDefault="007B5A21" w:rsidP="007B5A21">
            <w:pPr>
              <w:pStyle w:val="CETBodytext"/>
              <w:rPr>
                <w:lang w:val="ru-RU" w:eastAsia="ru-RU"/>
              </w:rPr>
            </w:pPr>
            <w:r w:rsidRPr="002A3C8B">
              <w:t>Variable</w:t>
            </w:r>
          </w:p>
        </w:tc>
        <w:tc>
          <w:tcPr>
            <w:tcW w:w="0" w:type="auto"/>
            <w:hideMark/>
          </w:tcPr>
          <w:p w14:paraId="2252F434" w14:textId="397BACF2" w:rsidR="007B5A21" w:rsidRPr="00DE24BD" w:rsidRDefault="007B5A21" w:rsidP="007B5A21">
            <w:pPr>
              <w:pStyle w:val="CETBodytext"/>
              <w:rPr>
                <w:lang w:val="ru-RU" w:eastAsia="ru-RU"/>
              </w:rPr>
            </w:pPr>
            <w:r w:rsidRPr="002A3C8B">
              <w:t>−2 to +3</w:t>
            </w:r>
          </w:p>
        </w:tc>
        <w:tc>
          <w:tcPr>
            <w:tcW w:w="0" w:type="auto"/>
            <w:hideMark/>
          </w:tcPr>
          <w:p w14:paraId="636F4655" w14:textId="083D6B9F" w:rsidR="007B5A21" w:rsidRPr="00DE24BD" w:rsidRDefault="007B5A21" w:rsidP="007B5A21">
            <w:pPr>
              <w:pStyle w:val="CETBodytext"/>
              <w:rPr>
                <w:lang w:val="ru-RU" w:eastAsia="ru-RU"/>
              </w:rPr>
            </w:pPr>
            <w:r w:rsidRPr="002A3C8B">
              <w:t>2–5 y</w:t>
            </w:r>
          </w:p>
        </w:tc>
      </w:tr>
      <w:tr w:rsidR="007B5A21" w:rsidRPr="00DE24BD" w14:paraId="3ECBA781" w14:textId="77777777" w:rsidTr="00F51CD7">
        <w:tc>
          <w:tcPr>
            <w:tcW w:w="0" w:type="auto"/>
            <w:hideMark/>
          </w:tcPr>
          <w:p w14:paraId="329E7A33" w14:textId="0663DD71" w:rsidR="007B5A21" w:rsidRPr="00DE24BD" w:rsidRDefault="007B5A21" w:rsidP="007B5A21">
            <w:pPr>
              <w:pStyle w:val="CETBodytext"/>
              <w:rPr>
                <w:lang w:val="ru-RU" w:eastAsia="ru-RU"/>
              </w:rPr>
            </w:pPr>
            <w:r w:rsidRPr="002A3C8B">
              <w:t>Energy efficiency</w:t>
            </w:r>
          </w:p>
        </w:tc>
        <w:tc>
          <w:tcPr>
            <w:tcW w:w="0" w:type="auto"/>
            <w:hideMark/>
          </w:tcPr>
          <w:p w14:paraId="04C2B8C5" w14:textId="7DFDDAA4" w:rsidR="007B5A21" w:rsidRPr="00DE24BD" w:rsidRDefault="007B5A21" w:rsidP="007B5A21">
            <w:pPr>
              <w:pStyle w:val="CETBodytext"/>
              <w:rPr>
                <w:lang w:val="ru-RU" w:eastAsia="ru-RU"/>
              </w:rPr>
            </w:pPr>
            <w:r w:rsidRPr="002A3C8B">
              <w:t>2.0–5.0</w:t>
            </w:r>
          </w:p>
        </w:tc>
        <w:tc>
          <w:tcPr>
            <w:tcW w:w="0" w:type="auto"/>
            <w:hideMark/>
          </w:tcPr>
          <w:p w14:paraId="3D37008F" w14:textId="06CBA815" w:rsidR="007B5A21" w:rsidRPr="00DE24BD" w:rsidRDefault="007B5A21" w:rsidP="007B5A21">
            <w:pPr>
              <w:pStyle w:val="CETBodytext"/>
              <w:rPr>
                <w:lang w:val="ru-RU" w:eastAsia="ru-RU"/>
              </w:rPr>
            </w:pPr>
            <w:r w:rsidRPr="002A3C8B">
              <w:t>Low</w:t>
            </w:r>
          </w:p>
        </w:tc>
        <w:tc>
          <w:tcPr>
            <w:tcW w:w="0" w:type="auto"/>
            <w:hideMark/>
          </w:tcPr>
          <w:p w14:paraId="021D4120" w14:textId="513A0E86" w:rsidR="007B5A21" w:rsidRPr="00DE24BD" w:rsidRDefault="007B5A21" w:rsidP="007B5A21">
            <w:pPr>
              <w:pStyle w:val="CETBodytext"/>
              <w:rPr>
                <w:lang w:val="ru-RU" w:eastAsia="ru-RU"/>
              </w:rPr>
            </w:pPr>
            <w:r w:rsidRPr="002A3C8B">
              <w:t>Decrease</w:t>
            </w:r>
          </w:p>
        </w:tc>
        <w:tc>
          <w:tcPr>
            <w:tcW w:w="0" w:type="auto"/>
            <w:hideMark/>
          </w:tcPr>
          <w:p w14:paraId="37580D91" w14:textId="720229B2" w:rsidR="007B5A21" w:rsidRPr="00DE24BD" w:rsidRDefault="007B5A21" w:rsidP="007B5A21">
            <w:pPr>
              <w:pStyle w:val="CETBodytext"/>
              <w:rPr>
                <w:lang w:val="ru-RU" w:eastAsia="ru-RU"/>
              </w:rPr>
            </w:pPr>
            <w:r w:rsidRPr="002A3C8B">
              <w:t>−2 to +1</w:t>
            </w:r>
          </w:p>
        </w:tc>
        <w:tc>
          <w:tcPr>
            <w:tcW w:w="0" w:type="auto"/>
            <w:hideMark/>
          </w:tcPr>
          <w:p w14:paraId="480D3C35" w14:textId="0E4AAC81" w:rsidR="007B5A21" w:rsidRPr="00DE24BD" w:rsidRDefault="007B5A21" w:rsidP="007B5A21">
            <w:pPr>
              <w:pStyle w:val="CETBodytext"/>
              <w:rPr>
                <w:lang w:val="ru-RU" w:eastAsia="ru-RU"/>
              </w:rPr>
            </w:pPr>
            <w:r w:rsidRPr="002A3C8B">
              <w:t>2–4 y</w:t>
            </w:r>
          </w:p>
        </w:tc>
      </w:tr>
      <w:tr w:rsidR="007B5A21" w:rsidRPr="00DE24BD" w14:paraId="71F938BC" w14:textId="77777777" w:rsidTr="00F51CD7">
        <w:tc>
          <w:tcPr>
            <w:tcW w:w="0" w:type="auto"/>
            <w:tcBorders>
              <w:bottom w:val="single" w:sz="8" w:space="0" w:color="00B050"/>
            </w:tcBorders>
            <w:hideMark/>
          </w:tcPr>
          <w:p w14:paraId="25E5C912" w14:textId="6813468A" w:rsidR="007B5A21" w:rsidRPr="00DE24BD" w:rsidRDefault="007B5A21" w:rsidP="007B5A21">
            <w:pPr>
              <w:pStyle w:val="CETBodytext"/>
              <w:rPr>
                <w:lang w:val="ru-RU" w:eastAsia="ru-RU"/>
              </w:rPr>
            </w:pPr>
            <w:r w:rsidRPr="002A3C8B">
              <w:t>Combined</w:t>
            </w:r>
          </w:p>
        </w:tc>
        <w:tc>
          <w:tcPr>
            <w:tcW w:w="0" w:type="auto"/>
            <w:tcBorders>
              <w:bottom w:val="single" w:sz="8" w:space="0" w:color="00B050"/>
            </w:tcBorders>
            <w:hideMark/>
          </w:tcPr>
          <w:p w14:paraId="7B5F7CC5" w14:textId="1D17792C" w:rsidR="007B5A21" w:rsidRPr="00DE24BD" w:rsidRDefault="007B5A21" w:rsidP="007B5A21">
            <w:pPr>
              <w:pStyle w:val="CETBodytext"/>
              <w:rPr>
                <w:lang w:val="ru-RU" w:eastAsia="ru-RU"/>
              </w:rPr>
            </w:pPr>
            <w:r w:rsidRPr="002A3C8B">
              <w:t>23.0–31.0</w:t>
            </w:r>
          </w:p>
        </w:tc>
        <w:tc>
          <w:tcPr>
            <w:tcW w:w="0" w:type="auto"/>
            <w:tcBorders>
              <w:bottom w:val="single" w:sz="8" w:space="0" w:color="00B050"/>
            </w:tcBorders>
            <w:hideMark/>
          </w:tcPr>
          <w:p w14:paraId="19428B7A" w14:textId="4524B114" w:rsidR="007B5A21" w:rsidRPr="00DE24BD" w:rsidRDefault="007B5A21" w:rsidP="007B5A21">
            <w:pPr>
              <w:pStyle w:val="CETBodytext"/>
              <w:rPr>
                <w:lang w:val="ru-RU" w:eastAsia="ru-RU"/>
              </w:rPr>
            </w:pPr>
            <w:r w:rsidRPr="002A3C8B">
              <w:t>Medium–High</w:t>
            </w:r>
          </w:p>
        </w:tc>
        <w:tc>
          <w:tcPr>
            <w:tcW w:w="0" w:type="auto"/>
            <w:tcBorders>
              <w:bottom w:val="single" w:sz="8" w:space="0" w:color="00B050"/>
            </w:tcBorders>
            <w:hideMark/>
          </w:tcPr>
          <w:p w14:paraId="28ED8F2E" w14:textId="3703A852" w:rsidR="007B5A21" w:rsidRPr="00DE24BD" w:rsidRDefault="007B5A21" w:rsidP="007B5A21">
            <w:pPr>
              <w:pStyle w:val="CETBodytext"/>
              <w:rPr>
                <w:lang w:val="ru-RU" w:eastAsia="ru-RU"/>
              </w:rPr>
            </w:pPr>
            <w:r w:rsidRPr="002A3C8B">
              <w:t>Variable</w:t>
            </w:r>
          </w:p>
        </w:tc>
        <w:tc>
          <w:tcPr>
            <w:tcW w:w="0" w:type="auto"/>
            <w:tcBorders>
              <w:bottom w:val="single" w:sz="8" w:space="0" w:color="00B050"/>
            </w:tcBorders>
            <w:hideMark/>
          </w:tcPr>
          <w:p w14:paraId="3C9A929B" w14:textId="6B0C34E9" w:rsidR="007B5A21" w:rsidRPr="00DE24BD" w:rsidRDefault="007B5A21" w:rsidP="007B5A21">
            <w:pPr>
              <w:pStyle w:val="CETBodytext"/>
              <w:rPr>
                <w:lang w:val="ru-RU" w:eastAsia="ru-RU"/>
              </w:rPr>
            </w:pPr>
            <w:r w:rsidRPr="002A3C8B">
              <w:t>−3 to +8</w:t>
            </w:r>
          </w:p>
        </w:tc>
        <w:tc>
          <w:tcPr>
            <w:tcW w:w="0" w:type="auto"/>
            <w:tcBorders>
              <w:bottom w:val="single" w:sz="8" w:space="0" w:color="00B050"/>
            </w:tcBorders>
            <w:hideMark/>
          </w:tcPr>
          <w:p w14:paraId="10F7154F" w14:textId="6E22C7DD" w:rsidR="007B5A21" w:rsidRPr="00DE24BD" w:rsidRDefault="007B5A21" w:rsidP="007B5A21">
            <w:pPr>
              <w:pStyle w:val="CETBodytext"/>
              <w:rPr>
                <w:lang w:val="ru-RU" w:eastAsia="ru-RU"/>
              </w:rPr>
            </w:pPr>
            <w:r w:rsidRPr="002A3C8B">
              <w:t>4–8 y</w:t>
            </w:r>
          </w:p>
        </w:tc>
      </w:tr>
    </w:tbl>
    <w:p w14:paraId="63039EF4" w14:textId="6C824BF9" w:rsidR="00DE24BD" w:rsidRDefault="00301274" w:rsidP="00DE24BD">
      <w:pPr>
        <w:pStyle w:val="CETBodytext"/>
        <w:rPr>
          <w:lang w:eastAsia="ru-RU"/>
        </w:rPr>
      </w:pPr>
      <w:r w:rsidRPr="00301274">
        <w:rPr>
          <w:lang w:val="en-GB" w:eastAsia="ru-RU"/>
        </w:rPr>
        <w:t>Source: Authors’ calculations based on IPCC (2006)</w:t>
      </w:r>
    </w:p>
    <w:p w14:paraId="1E314668" w14:textId="53CDE62A" w:rsidR="00301274" w:rsidRPr="00DE24BD" w:rsidRDefault="00301274" w:rsidP="00DE24BD">
      <w:pPr>
        <w:pStyle w:val="CETBodytext"/>
        <w:rPr>
          <w:lang w:eastAsia="ru-RU"/>
        </w:rPr>
      </w:pPr>
      <w:r w:rsidRPr="00301274">
        <w:rPr>
          <w:lang w:val="en-GB" w:eastAsia="ru-RU"/>
        </w:rPr>
        <w:t>A one-at-a-time sensitivity analysis was performed to evaluate the influence of electricity price, fuel price, clinker substitution level and grid emission factor. The results indicate that the economic attractiveness of WHR is primarily affected by the electricity tariff, while the performance of clinker substitution depends on the delivered cost and availability of SCMs. Alternative-fuel results are most sensitive to fuel moisture content, preprocessing cost and fossil-fuel price. Despite these variations, the ranking of clinker substitution and WHR as the most promising environmental and economic measures remained unchanged.</w:t>
      </w:r>
      <w:r w:rsidR="008562DD">
        <w:rPr>
          <w:lang w:val="en-GB" w:eastAsia="ru-RU"/>
        </w:rPr>
        <w:t xml:space="preserve"> </w:t>
      </w:r>
      <w:r w:rsidR="008562DD" w:rsidRPr="008562DD">
        <w:rPr>
          <w:lang w:val="en-GB" w:eastAsia="ru-RU"/>
        </w:rPr>
        <w:t>The combined reduction should be interpreted as a scenario-based estimate rather than a directly transferable value for every cement plant. Actual performance will depend on kiln configuration, baseline clinker factor, operating hours, fuel composition, SCM availability and electricity prices. Therefore, plant-specific feasibility studies are required before investment decisions are made.</w:t>
      </w:r>
    </w:p>
    <w:p w14:paraId="750074A3" w14:textId="77777777" w:rsidR="00DE24BD" w:rsidRPr="00DE24BD" w:rsidRDefault="00DE24BD" w:rsidP="00F51CD7">
      <w:pPr>
        <w:pStyle w:val="CETheadingx"/>
        <w:rPr>
          <w:lang w:eastAsia="ru-RU"/>
        </w:rPr>
      </w:pPr>
      <w:r w:rsidRPr="00DE24BD">
        <w:rPr>
          <w:lang w:eastAsia="ru-RU"/>
        </w:rPr>
        <w:t>Discussion of implementation constraints</w:t>
      </w:r>
    </w:p>
    <w:p w14:paraId="2D877E76" w14:textId="77777777" w:rsidR="00DE24BD" w:rsidRPr="00DE24BD" w:rsidRDefault="00DE24BD" w:rsidP="00DE24BD">
      <w:pPr>
        <w:pStyle w:val="CETBodytext"/>
        <w:rPr>
          <w:lang w:eastAsia="ru-RU"/>
        </w:rPr>
      </w:pPr>
      <w:r w:rsidRPr="00DE24BD">
        <w:rPr>
          <w:lang w:eastAsia="ru-RU"/>
        </w:rPr>
        <w:t>Despite the strong technical and economic performance of the evaluated measures, several constraints limit their large-scale adoption in Uzbekistan. The availability of SCMs is a critical bottleneck for clinker substitution, particularly in regions without established steel or coal by-product supply chains. Regulatory standards governing cement composition may further restrict substitution levels.</w:t>
      </w:r>
    </w:p>
    <w:p w14:paraId="420B486A" w14:textId="77777777" w:rsidR="00DE24BD" w:rsidRPr="00DE24BD" w:rsidRDefault="00DE24BD" w:rsidP="00DE24BD">
      <w:pPr>
        <w:pStyle w:val="CETBodytext"/>
        <w:rPr>
          <w:lang w:eastAsia="ru-RU"/>
        </w:rPr>
      </w:pPr>
      <w:r w:rsidRPr="00DE24BD">
        <w:rPr>
          <w:lang w:eastAsia="ru-RU"/>
        </w:rPr>
        <w:t>For WHR systems, the primary barriers are financial rather than technical. Limited access to low-cost capital and uncertainties in electricity pricing reduce investment attractiveness, despite favorable payback periods. Similarly, alternative fuel deployment is constrained by underdeveloped waste management infrastructure and inconsistent fuel quality.</w:t>
      </w:r>
    </w:p>
    <w:p w14:paraId="45E5D24A" w14:textId="77777777" w:rsidR="00DE24BD" w:rsidRPr="00DE24BD" w:rsidRDefault="00DE24BD" w:rsidP="00DE24BD">
      <w:pPr>
        <w:pStyle w:val="CETBodytext"/>
        <w:rPr>
          <w:lang w:eastAsia="ru-RU"/>
        </w:rPr>
      </w:pPr>
      <w:r w:rsidRPr="00DE24BD">
        <w:rPr>
          <w:lang w:eastAsia="ru-RU"/>
        </w:rPr>
        <w:t>Energy efficiency improvements face fewer structural barriers but require advanced process control systems and skilled operational personnel. In many cases, suboptimal plant operation persists due to limited digitalization and monitoring capabilities.</w:t>
      </w:r>
    </w:p>
    <w:p w14:paraId="1CC13B2D" w14:textId="77777777" w:rsidR="00DE24BD" w:rsidRPr="00DE24BD" w:rsidRDefault="00DE24BD" w:rsidP="00F51CD7">
      <w:pPr>
        <w:pStyle w:val="CETheadingx"/>
        <w:rPr>
          <w:lang w:eastAsia="ru-RU"/>
        </w:rPr>
      </w:pPr>
      <w:r w:rsidRPr="00DE24BD">
        <w:rPr>
          <w:lang w:eastAsia="ru-RU"/>
        </w:rPr>
        <w:t>Implications</w:t>
      </w:r>
    </w:p>
    <w:p w14:paraId="3C07DC1A" w14:textId="09033D79" w:rsidR="00DE24BD" w:rsidRPr="00DE24BD" w:rsidRDefault="00DE24BD" w:rsidP="00DE24BD">
      <w:pPr>
        <w:pStyle w:val="CETBodytext"/>
        <w:rPr>
          <w:lang w:eastAsia="ru-RU"/>
        </w:rPr>
      </w:pPr>
      <w:r w:rsidRPr="00DE24BD">
        <w:rPr>
          <w:lang w:eastAsia="ru-RU"/>
        </w:rPr>
        <w:t>The results indicate that significant emission reductions can be achieved through the deployment of mature and commercially available technologies. The combination of clinker substitution, WHR, alternative fuels, and energy efficiency provides a balanced pathway that addresses both process and energy-related emissions. Importantly, the relatively low economic impact makes these measures suitable for immediate implementation without reliance on high-risk technologies such as CCUS.</w:t>
      </w:r>
      <w:r w:rsidR="00301274">
        <w:rPr>
          <w:lang w:eastAsia="ru-RU"/>
        </w:rPr>
        <w:t xml:space="preserve"> </w:t>
      </w:r>
      <w:r w:rsidR="00301274" w:rsidRPr="00301274">
        <w:rPr>
          <w:lang w:val="en-GB" w:eastAsia="ru-RU"/>
        </w:rPr>
        <w:t>Research and development collaboration between cement manufacturers, universities and sectoral institutions could accelerate the practical implementation of these measures. Priority areas include characterization of locally available SCMs, industrial testing of alternative fuels, plant-level energy audits, waste heat recovery feasibility studies and development of digital monitoring systems. A structured survey of cement manufacturers could also provide plant-specific information on energy consumption, clinker factors, waste heat availability, investment plans and implementation barriers.</w:t>
      </w:r>
    </w:p>
    <w:p w14:paraId="28EFB055" w14:textId="3E585638" w:rsidR="00F51CD7" w:rsidRPr="00B57B36" w:rsidRDefault="00F51CD7" w:rsidP="00F51CD7">
      <w:pPr>
        <w:pStyle w:val="CETHeading1"/>
        <w:tabs>
          <w:tab w:val="clear" w:pos="360"/>
          <w:tab w:val="right" w:pos="7100"/>
        </w:tabs>
        <w:jc w:val="both"/>
        <w:rPr>
          <w:lang w:val="en-GB"/>
        </w:rPr>
      </w:pPr>
      <w:r>
        <w:rPr>
          <w:lang w:val="en-GB"/>
        </w:rPr>
        <w:lastRenderedPageBreak/>
        <w:t>Conclusion</w:t>
      </w:r>
    </w:p>
    <w:p w14:paraId="0492F3D9" w14:textId="77777777" w:rsidR="00F51CD7" w:rsidRPr="00F51CD7" w:rsidRDefault="00F51CD7" w:rsidP="00F51CD7">
      <w:pPr>
        <w:pStyle w:val="CETBodytext"/>
        <w:rPr>
          <w:lang w:eastAsia="ru-RU"/>
        </w:rPr>
      </w:pPr>
      <w:r w:rsidRPr="00F51CD7">
        <w:rPr>
          <w:lang w:eastAsia="ru-RU"/>
        </w:rPr>
        <w:t>This study evaluates the environmental and economic performance of circular economy strategies for decarbonizing Uzbekistan’s cement industry using an integrated LCA and techno-economic framework. The results show that emissions are largely driven by clinker production, making material efficiency a key mitigation pathway.</w:t>
      </w:r>
    </w:p>
    <w:p w14:paraId="14A18CDF" w14:textId="77777777" w:rsidR="00F51CD7" w:rsidRPr="00F51CD7" w:rsidRDefault="00F51CD7" w:rsidP="00F51CD7">
      <w:pPr>
        <w:pStyle w:val="CETBodytext"/>
        <w:rPr>
          <w:lang w:eastAsia="ru-RU"/>
        </w:rPr>
      </w:pPr>
      <w:r w:rsidRPr="00F51CD7">
        <w:rPr>
          <w:lang w:eastAsia="ru-RU"/>
        </w:rPr>
        <w:t>Clinker substitution provides the highest emission reduction (up to 25–30%), while waste heat recovery offers the most attractive economic performance with short payback periods. Alternative fuels and energy efficiency contribute additional reductions, particularly when implemented together. The combined application of all measures enables total emission reductions of 40–50% without reliance on CCUS technologies, with only a moderate increase in cement production cost (5–12%).</w:t>
      </w:r>
    </w:p>
    <w:p w14:paraId="0C5EA3F0" w14:textId="00B3FE14" w:rsidR="00A9346D" w:rsidRDefault="00F51CD7" w:rsidP="008562DD">
      <w:pPr>
        <w:pStyle w:val="CETBodytext"/>
        <w:rPr>
          <w:lang w:eastAsia="ru-RU"/>
        </w:rPr>
      </w:pPr>
      <w:r w:rsidRPr="00F51CD7">
        <w:rPr>
          <w:lang w:eastAsia="ru-RU"/>
        </w:rPr>
        <w:t>However, implementation is constrained by factors such as limited availability of supplementary materials, financing barriers, and infrastructure gaps. Overall, the findings demonstrate that cost-effective, mature technologies can deliver substantial near-term emission reductions, supporting a practical transition toward low-carbon cement production in Uzbekistan.</w:t>
      </w:r>
      <w:r w:rsidR="008562DD">
        <w:rPr>
          <w:lang w:eastAsia="ru-RU"/>
        </w:rPr>
        <w:t xml:space="preserve"> </w:t>
      </w:r>
    </w:p>
    <w:p w14:paraId="4F1327F8" w14:textId="77777777" w:rsidR="00600535" w:rsidRPr="00B57B36" w:rsidRDefault="00600535" w:rsidP="00600535">
      <w:pPr>
        <w:pStyle w:val="CETReference"/>
      </w:pPr>
      <w:r w:rsidRPr="00B57B36">
        <w:t>References</w:t>
      </w:r>
    </w:p>
    <w:p w14:paraId="1A9330B4" w14:textId="77777777" w:rsidR="0051151A" w:rsidRPr="0051151A" w:rsidRDefault="00A91EB6" w:rsidP="008562DD">
      <w:pPr>
        <w:pStyle w:val="CETReferencetext"/>
      </w:pPr>
      <w:r w:rsidRPr="00A9346D">
        <w:fldChar w:fldCharType="begin"/>
      </w:r>
      <w:r w:rsidRPr="00A9346D">
        <w:instrText xml:space="preserve"> ADDIN ZOTERO_BIBL {"uncited":[],"omitted":[],"custom":[]} CSL_BIBLIOGRAPHY </w:instrText>
      </w:r>
      <w:r w:rsidRPr="00A9346D">
        <w:fldChar w:fldCharType="separate"/>
      </w:r>
      <w:r w:rsidR="0051151A" w:rsidRPr="0051151A">
        <w:t xml:space="preserve">Al-Breiki, M., &amp; Bicer, Y. (2023). Techno-economic evaluation of a power-to-methane plant: Levelized cost of methane, financial performance metrics, and sensitivity analysis. </w:t>
      </w:r>
      <w:r w:rsidR="0051151A" w:rsidRPr="0051151A">
        <w:rPr>
          <w:i/>
          <w:iCs/>
        </w:rPr>
        <w:t>Chemical Engineering Journal</w:t>
      </w:r>
      <w:r w:rsidR="0051151A" w:rsidRPr="0051151A">
        <w:t xml:space="preserve">, </w:t>
      </w:r>
      <w:r w:rsidR="0051151A" w:rsidRPr="0051151A">
        <w:rPr>
          <w:i/>
          <w:iCs/>
        </w:rPr>
        <w:t>471</w:t>
      </w:r>
      <w:r w:rsidR="0051151A" w:rsidRPr="0051151A">
        <w:t>, 144725. https://doi.org/10.1016/j.cej.2023.144725</w:t>
      </w:r>
    </w:p>
    <w:p w14:paraId="1BC01FCB" w14:textId="77777777" w:rsidR="0051151A" w:rsidRPr="0051151A" w:rsidRDefault="0051151A" w:rsidP="008562DD">
      <w:pPr>
        <w:pStyle w:val="CETReferencetext"/>
      </w:pPr>
      <w:proofErr w:type="spellStart"/>
      <w:r w:rsidRPr="0051151A">
        <w:t>Bekmurodova</w:t>
      </w:r>
      <w:proofErr w:type="spellEnd"/>
      <w:r w:rsidRPr="0051151A">
        <w:t xml:space="preserve">, E. (2021). Uzbekistan moving fast to meet decarbonisation targets. </w:t>
      </w:r>
      <w:r w:rsidRPr="0051151A">
        <w:rPr>
          <w:i/>
          <w:iCs/>
        </w:rPr>
        <w:t>OCA MAGAZINE</w:t>
      </w:r>
      <w:r w:rsidRPr="0051151A">
        <w:t>. https://www.ocamagazine.com/2021/10/07/uzbekistan-moving-fast-to-meet-decarbonisation-targets/</w:t>
      </w:r>
    </w:p>
    <w:p w14:paraId="34905D47" w14:textId="77777777" w:rsidR="0051151A" w:rsidRPr="0051151A" w:rsidRDefault="0051151A" w:rsidP="008562DD">
      <w:pPr>
        <w:pStyle w:val="CETReferencetext"/>
      </w:pPr>
      <w:r w:rsidRPr="0051151A">
        <w:t xml:space="preserve">Estrella Eunice T., </w:t>
      </w:r>
      <w:proofErr w:type="spellStart"/>
      <w:r w:rsidRPr="0051151A">
        <w:t>Belaro</w:t>
      </w:r>
      <w:proofErr w:type="spellEnd"/>
      <w:r w:rsidRPr="0051151A">
        <w:t xml:space="preserve"> Chalmer M., &amp; </w:t>
      </w:r>
      <w:proofErr w:type="spellStart"/>
      <w:r w:rsidRPr="0051151A">
        <w:t>Promentilla</w:t>
      </w:r>
      <w:proofErr w:type="spellEnd"/>
      <w:r w:rsidRPr="0051151A">
        <w:t xml:space="preserve"> Michael Angelo B. (2023). Retrofitting of Cement Plant with Carbon Capture Technology and Emissions Trading Scheme (ETS): An Integrated P-Graph and AHP Approach. </w:t>
      </w:r>
      <w:r w:rsidRPr="0051151A">
        <w:rPr>
          <w:i/>
          <w:iCs/>
        </w:rPr>
        <w:t>Chemical Engineering Transactions</w:t>
      </w:r>
      <w:r w:rsidRPr="0051151A">
        <w:t xml:space="preserve">, </w:t>
      </w:r>
      <w:r w:rsidRPr="0051151A">
        <w:rPr>
          <w:i/>
          <w:iCs/>
        </w:rPr>
        <w:t>103</w:t>
      </w:r>
      <w:r w:rsidRPr="0051151A">
        <w:t>, 397–402. https://doi.org/10.3303/CET23103067</w:t>
      </w:r>
    </w:p>
    <w:p w14:paraId="21573EEB" w14:textId="77777777" w:rsidR="0051151A" w:rsidRPr="0051151A" w:rsidRDefault="0051151A" w:rsidP="008562DD">
      <w:pPr>
        <w:pStyle w:val="CETReferencetext"/>
      </w:pPr>
      <w:r w:rsidRPr="0051151A">
        <w:t xml:space="preserve">IPCC. (2006). 2006 IPCC Guidelines for National Greenhouse Gas Inventories. In </w:t>
      </w:r>
      <w:r w:rsidRPr="0051151A">
        <w:rPr>
          <w:i/>
          <w:iCs/>
        </w:rPr>
        <w:t xml:space="preserve">2006 IPCC Guidelines for National </w:t>
      </w:r>
      <w:proofErr w:type="spellStart"/>
      <w:r w:rsidRPr="0051151A">
        <w:rPr>
          <w:i/>
          <w:iCs/>
        </w:rPr>
        <w:t>reenhouse</w:t>
      </w:r>
      <w:proofErr w:type="spellEnd"/>
      <w:r w:rsidRPr="0051151A">
        <w:rPr>
          <w:i/>
          <w:iCs/>
        </w:rPr>
        <w:t xml:space="preserve"> Gas Inventories</w:t>
      </w:r>
      <w:r w:rsidRPr="0051151A">
        <w:t xml:space="preserve"> (Vol. 2). Intergovernmental Panel on Climate Change. https://www.ipcc-nggip.iges.or.jp/public/2006gl/vol2.html</w:t>
      </w:r>
    </w:p>
    <w:p w14:paraId="2B1573D8" w14:textId="77777777" w:rsidR="0051151A" w:rsidRPr="0051151A" w:rsidRDefault="0051151A" w:rsidP="008562DD">
      <w:pPr>
        <w:pStyle w:val="CETReferencetext"/>
      </w:pPr>
      <w:r w:rsidRPr="0051151A">
        <w:t xml:space="preserve">Jibran, J. A., &amp; Mahat, C. (2023). Application of green hydrogen for decarbonization of cement manufacturing process: A technical review. </w:t>
      </w:r>
      <w:r w:rsidRPr="0051151A">
        <w:rPr>
          <w:i/>
          <w:iCs/>
        </w:rPr>
        <w:t>Journal of Physics: Conference Series</w:t>
      </w:r>
      <w:r w:rsidRPr="0051151A">
        <w:t xml:space="preserve">, </w:t>
      </w:r>
      <w:r w:rsidRPr="0051151A">
        <w:rPr>
          <w:i/>
          <w:iCs/>
        </w:rPr>
        <w:t>2629</w:t>
      </w:r>
      <w:r w:rsidRPr="0051151A">
        <w:t>(1), 012027. https://doi.org/10.1088/1742-6596/2629/1/012027</w:t>
      </w:r>
    </w:p>
    <w:p w14:paraId="710A0154" w14:textId="77777777" w:rsidR="0051151A" w:rsidRPr="0051151A" w:rsidRDefault="0051151A" w:rsidP="008562DD">
      <w:pPr>
        <w:pStyle w:val="CETReferencetext"/>
      </w:pPr>
      <w:r w:rsidRPr="0051151A">
        <w:t xml:space="preserve">Marenco-Porto, C. A., Fierro, J. J., Nieto-Londoño, C., Lopera, L., Escudero-Atehortua, A., Giraldo, M., &amp; </w:t>
      </w:r>
      <w:proofErr w:type="spellStart"/>
      <w:r w:rsidRPr="0051151A">
        <w:t>Jouhara</w:t>
      </w:r>
      <w:proofErr w:type="spellEnd"/>
      <w:r w:rsidRPr="0051151A">
        <w:t xml:space="preserve">, H. (2023). Potential savings in the cement industry using waste heat recovery technologies. </w:t>
      </w:r>
      <w:r w:rsidRPr="0051151A">
        <w:rPr>
          <w:i/>
          <w:iCs/>
        </w:rPr>
        <w:t>Energy</w:t>
      </w:r>
      <w:r w:rsidRPr="0051151A">
        <w:t xml:space="preserve">, </w:t>
      </w:r>
      <w:r w:rsidRPr="0051151A">
        <w:rPr>
          <w:i/>
          <w:iCs/>
        </w:rPr>
        <w:t>279</w:t>
      </w:r>
      <w:r w:rsidRPr="0051151A">
        <w:t>, 127810. https://doi.org/10.1016/j.energy.2023.127810</w:t>
      </w:r>
    </w:p>
    <w:p w14:paraId="27E1E7E2" w14:textId="77777777" w:rsidR="0051151A" w:rsidRPr="0051151A" w:rsidRDefault="0051151A" w:rsidP="008562DD">
      <w:pPr>
        <w:pStyle w:val="CETReferencetext"/>
      </w:pPr>
      <w:r w:rsidRPr="0051151A">
        <w:t xml:space="preserve">Mossie, A. T., Khatiwada, D., Palm, B., &amp; Bekele, G. (2023). Investigating energy saving and climate mitigation potentials in cement production – A case study in Ethiopia. </w:t>
      </w:r>
      <w:r w:rsidRPr="0051151A">
        <w:rPr>
          <w:i/>
          <w:iCs/>
        </w:rPr>
        <w:t>Energy Conversion and Management</w:t>
      </w:r>
      <w:r w:rsidRPr="0051151A">
        <w:t xml:space="preserve">, </w:t>
      </w:r>
      <w:r w:rsidRPr="0051151A">
        <w:rPr>
          <w:i/>
          <w:iCs/>
        </w:rPr>
        <w:t>287</w:t>
      </w:r>
      <w:r w:rsidRPr="0051151A">
        <w:t>, 117111. https://doi.org/10.1016/j.enconman.2023.117111</w:t>
      </w:r>
    </w:p>
    <w:p w14:paraId="20898007" w14:textId="77777777" w:rsidR="0051151A" w:rsidRPr="0051151A" w:rsidRDefault="0051151A" w:rsidP="008562DD">
      <w:pPr>
        <w:pStyle w:val="CETReferencetext"/>
      </w:pPr>
      <w:r w:rsidRPr="0051151A">
        <w:t xml:space="preserve">Perez-Calvo Jose-Francisco, Sutter Daniel, </w:t>
      </w:r>
      <w:proofErr w:type="spellStart"/>
      <w:r w:rsidRPr="0051151A">
        <w:t>Gazzani</w:t>
      </w:r>
      <w:proofErr w:type="spellEnd"/>
      <w:r w:rsidRPr="0051151A">
        <w:t xml:space="preserve"> Matteo, &amp; Mazzotti Marco. (2018). Pilot tests and rate-based </w:t>
      </w:r>
      <w:proofErr w:type="spellStart"/>
      <w:r w:rsidRPr="0051151A">
        <w:t>modeling</w:t>
      </w:r>
      <w:proofErr w:type="spellEnd"/>
      <w:r w:rsidRPr="0051151A">
        <w:t xml:space="preserve"> of co2 capture in cement plants using an aqueous ammonia solution. </w:t>
      </w:r>
      <w:r w:rsidRPr="0051151A">
        <w:rPr>
          <w:i/>
          <w:iCs/>
        </w:rPr>
        <w:t>Chemical Engineering Transactions</w:t>
      </w:r>
      <w:r w:rsidRPr="0051151A">
        <w:t xml:space="preserve">, </w:t>
      </w:r>
      <w:r w:rsidRPr="0051151A">
        <w:rPr>
          <w:i/>
          <w:iCs/>
        </w:rPr>
        <w:t>69</w:t>
      </w:r>
      <w:r w:rsidRPr="0051151A">
        <w:t>, 145–150. https://doi.org/10.3303/CET1869025</w:t>
      </w:r>
    </w:p>
    <w:p w14:paraId="5601457D" w14:textId="77777777" w:rsidR="0051151A" w:rsidRPr="0051151A" w:rsidRDefault="0051151A" w:rsidP="008562DD">
      <w:pPr>
        <w:pStyle w:val="CETReferencetext"/>
      </w:pPr>
      <w:proofErr w:type="spellStart"/>
      <w:r w:rsidRPr="0051151A">
        <w:t>Pratschner</w:t>
      </w:r>
      <w:proofErr w:type="spellEnd"/>
      <w:r w:rsidRPr="0051151A">
        <w:t xml:space="preserve">, S., </w:t>
      </w:r>
      <w:proofErr w:type="spellStart"/>
      <w:r w:rsidRPr="0051151A">
        <w:t>Radosits</w:t>
      </w:r>
      <w:proofErr w:type="spellEnd"/>
      <w:r w:rsidRPr="0051151A">
        <w:t xml:space="preserve">, F., Ajanovic, A., &amp; Winter, F. (2023). Techno-economic assessment of a power-to-green methanol plant. </w:t>
      </w:r>
      <w:r w:rsidRPr="0051151A">
        <w:rPr>
          <w:i/>
          <w:iCs/>
        </w:rPr>
        <w:t>Journal of CO2 Utilization</w:t>
      </w:r>
      <w:r w:rsidRPr="0051151A">
        <w:t xml:space="preserve">, </w:t>
      </w:r>
      <w:r w:rsidRPr="0051151A">
        <w:rPr>
          <w:i/>
          <w:iCs/>
        </w:rPr>
        <w:t>75</w:t>
      </w:r>
      <w:r w:rsidRPr="0051151A">
        <w:t>, 102563. https://doi.org/10.1016/j.jcou.2023.102563</w:t>
      </w:r>
    </w:p>
    <w:p w14:paraId="09D3A80D" w14:textId="77777777" w:rsidR="0051151A" w:rsidRPr="0051151A" w:rsidRDefault="0051151A" w:rsidP="008562DD">
      <w:pPr>
        <w:pStyle w:val="CETReferencetext"/>
      </w:pPr>
      <w:proofErr w:type="spellStart"/>
      <w:r w:rsidRPr="0051151A">
        <w:t>Rumayor</w:t>
      </w:r>
      <w:proofErr w:type="spellEnd"/>
      <w:r w:rsidRPr="0051151A">
        <w:t xml:space="preserve">, M., Fernández-González, J., Domínguez-Ramos, A., &amp; </w:t>
      </w:r>
      <w:proofErr w:type="spellStart"/>
      <w:r w:rsidRPr="0051151A">
        <w:t>Irabien</w:t>
      </w:r>
      <w:proofErr w:type="spellEnd"/>
      <w:r w:rsidRPr="0051151A">
        <w:t xml:space="preserve">, A. (2022). Deep Decarbonization of the Cement Sector: A Prospective Environmental Assessment of CO </w:t>
      </w:r>
      <w:r w:rsidRPr="0051151A">
        <w:rPr>
          <w:vertAlign w:val="subscript"/>
        </w:rPr>
        <w:t>2</w:t>
      </w:r>
      <w:r w:rsidRPr="0051151A">
        <w:t xml:space="preserve"> Recycling to Methanol. </w:t>
      </w:r>
      <w:r w:rsidRPr="0051151A">
        <w:rPr>
          <w:i/>
          <w:iCs/>
        </w:rPr>
        <w:t>ACS Sustainable Chemistry &amp; Engineering</w:t>
      </w:r>
      <w:r w:rsidRPr="0051151A">
        <w:t xml:space="preserve">, </w:t>
      </w:r>
      <w:r w:rsidRPr="0051151A">
        <w:rPr>
          <w:i/>
          <w:iCs/>
        </w:rPr>
        <w:t>10</w:t>
      </w:r>
      <w:r w:rsidRPr="0051151A">
        <w:t>(1), 267–278. https://doi.org/10.1021/acssuschemeng.1c06118</w:t>
      </w:r>
    </w:p>
    <w:p w14:paraId="17E2B3D2" w14:textId="77777777" w:rsidR="0051151A" w:rsidRPr="0051151A" w:rsidRDefault="0051151A" w:rsidP="008562DD">
      <w:pPr>
        <w:pStyle w:val="CETReferencetext"/>
      </w:pPr>
      <w:r w:rsidRPr="0051151A">
        <w:t xml:space="preserve">Sahoo, N., Kumar, A., &amp; Samsher. (2022). Review on energy conservation and emission reduction approaches for cement industry. </w:t>
      </w:r>
      <w:r w:rsidRPr="0051151A">
        <w:rPr>
          <w:i/>
          <w:iCs/>
        </w:rPr>
        <w:t>Environmental Development</w:t>
      </w:r>
      <w:r w:rsidRPr="0051151A">
        <w:t xml:space="preserve">, </w:t>
      </w:r>
      <w:r w:rsidRPr="0051151A">
        <w:rPr>
          <w:i/>
          <w:iCs/>
        </w:rPr>
        <w:t>44</w:t>
      </w:r>
      <w:r w:rsidRPr="0051151A">
        <w:t>, 100767. https://doi.org/10.1016/j.envdev.2022.100767</w:t>
      </w:r>
    </w:p>
    <w:p w14:paraId="6F19427F" w14:textId="77777777" w:rsidR="0051151A" w:rsidRPr="0051151A" w:rsidRDefault="0051151A" w:rsidP="008562DD">
      <w:pPr>
        <w:pStyle w:val="CETReferencetext"/>
      </w:pPr>
      <w:r w:rsidRPr="0051151A">
        <w:t xml:space="preserve">Turakulov, Z., Kamolov, A., Norkobilov, A., </w:t>
      </w:r>
      <w:proofErr w:type="spellStart"/>
      <w:r w:rsidRPr="0051151A">
        <w:t>Variny</w:t>
      </w:r>
      <w:proofErr w:type="spellEnd"/>
      <w:r w:rsidRPr="0051151A">
        <w:t xml:space="preserve">, M., &amp; </w:t>
      </w:r>
      <w:proofErr w:type="spellStart"/>
      <w:r w:rsidRPr="0051151A">
        <w:t>Fallanza</w:t>
      </w:r>
      <w:proofErr w:type="spellEnd"/>
      <w:r w:rsidRPr="0051151A">
        <w:t xml:space="preserve">, M. (2024). Assessment of CO2 Emission and Decarbonization Measures in Uzbekistan. </w:t>
      </w:r>
      <w:r w:rsidRPr="0051151A">
        <w:rPr>
          <w:i/>
          <w:iCs/>
        </w:rPr>
        <w:t>International Journal of Environmental Research</w:t>
      </w:r>
      <w:r w:rsidRPr="0051151A">
        <w:t xml:space="preserve">, </w:t>
      </w:r>
      <w:r w:rsidRPr="0051151A">
        <w:rPr>
          <w:i/>
          <w:iCs/>
        </w:rPr>
        <w:t>18</w:t>
      </w:r>
      <w:r w:rsidRPr="0051151A">
        <w:t>(2), 28. https://doi.org/10.1007/s41742-024-00578-6</w:t>
      </w:r>
    </w:p>
    <w:p w14:paraId="3718FFB8" w14:textId="77777777" w:rsidR="0051151A" w:rsidRPr="0051151A" w:rsidRDefault="0051151A" w:rsidP="008562DD">
      <w:pPr>
        <w:pStyle w:val="CETReferencetext"/>
      </w:pPr>
      <w:r w:rsidRPr="0051151A">
        <w:t xml:space="preserve">Yi, S., &amp; Kim, J. (2024). Life cycle GHG emissions reduction of an integrated CCUS system for combined heat and power plants. </w:t>
      </w:r>
      <w:r w:rsidRPr="0051151A">
        <w:rPr>
          <w:i/>
          <w:iCs/>
        </w:rPr>
        <w:t>Environmental Engineering Research</w:t>
      </w:r>
      <w:r w:rsidRPr="0051151A">
        <w:t xml:space="preserve">, </w:t>
      </w:r>
      <w:r w:rsidRPr="0051151A">
        <w:rPr>
          <w:i/>
          <w:iCs/>
        </w:rPr>
        <w:t>30</w:t>
      </w:r>
      <w:r w:rsidRPr="0051151A">
        <w:t>(3), 240446–0. https://doi.org/10.4491/eer.2024.446</w:t>
      </w:r>
    </w:p>
    <w:p w14:paraId="19C4FC68" w14:textId="3DE93C67" w:rsidR="004628D2" w:rsidRDefault="00A91EB6" w:rsidP="008562DD">
      <w:pPr>
        <w:pStyle w:val="CETReferencetext"/>
      </w:pPr>
      <w:r w:rsidRPr="00A9346D">
        <w:fldChar w:fldCharType="end"/>
      </w:r>
    </w:p>
    <w:sectPr w:rsidR="004628D2"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59E43" w14:textId="77777777" w:rsidR="00E27916" w:rsidRDefault="00E27916" w:rsidP="004F5E36">
      <w:r>
        <w:separator/>
      </w:r>
    </w:p>
  </w:endnote>
  <w:endnote w:type="continuationSeparator" w:id="0">
    <w:p w14:paraId="05FB6CE0" w14:textId="77777777" w:rsidR="00E27916" w:rsidRDefault="00E27916"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Consolas">
    <w:panose1 w:val="020B0609020204030204"/>
    <w:charset w:val="A2"/>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97022" w14:textId="77777777" w:rsidR="00E27916" w:rsidRDefault="00E27916" w:rsidP="004F5E36">
      <w:r>
        <w:separator/>
      </w:r>
    </w:p>
  </w:footnote>
  <w:footnote w:type="continuationSeparator" w:id="0">
    <w:p w14:paraId="73AF5F8D" w14:textId="77777777" w:rsidR="00E27916" w:rsidRDefault="00E27916"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7"/>
  </w:num>
  <w:num w:numId="13" w16cid:durableId="695733619">
    <w:abstractNumId w:val="12"/>
  </w:num>
  <w:num w:numId="14" w16cid:durableId="145903400">
    <w:abstractNumId w:val="18"/>
  </w:num>
  <w:num w:numId="15" w16cid:durableId="19162326">
    <w:abstractNumId w:val="20"/>
  </w:num>
  <w:num w:numId="16" w16cid:durableId="1977102699">
    <w:abstractNumId w:val="19"/>
  </w:num>
  <w:num w:numId="17" w16cid:durableId="860774865">
    <w:abstractNumId w:val="11"/>
  </w:num>
  <w:num w:numId="18" w16cid:durableId="313221457">
    <w:abstractNumId w:val="12"/>
    <w:lvlOverride w:ilvl="0">
      <w:startOverride w:val="1"/>
    </w:lvlOverride>
  </w:num>
  <w:num w:numId="19" w16cid:durableId="534971577">
    <w:abstractNumId w:val="16"/>
  </w:num>
  <w:num w:numId="20" w16cid:durableId="1150947773">
    <w:abstractNumId w:val="15"/>
  </w:num>
  <w:num w:numId="21" w16cid:durableId="124660497">
    <w:abstractNumId w:val="14"/>
  </w:num>
  <w:num w:numId="22" w16cid:durableId="20998614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67B17"/>
    <w:rsid w:val="0027221A"/>
    <w:rsid w:val="00275B61"/>
    <w:rsid w:val="00280FAF"/>
    <w:rsid w:val="00282656"/>
    <w:rsid w:val="00287B0F"/>
    <w:rsid w:val="00296B83"/>
    <w:rsid w:val="002B4015"/>
    <w:rsid w:val="002B78CE"/>
    <w:rsid w:val="002C2FB6"/>
    <w:rsid w:val="002E5FA7"/>
    <w:rsid w:val="002F3309"/>
    <w:rsid w:val="003008CE"/>
    <w:rsid w:val="003009B7"/>
    <w:rsid w:val="00300E56"/>
    <w:rsid w:val="00301274"/>
    <w:rsid w:val="0030152C"/>
    <w:rsid w:val="0030469C"/>
    <w:rsid w:val="00306C9C"/>
    <w:rsid w:val="00312D9B"/>
    <w:rsid w:val="00321CA6"/>
    <w:rsid w:val="00323763"/>
    <w:rsid w:val="00323C5F"/>
    <w:rsid w:val="00334C09"/>
    <w:rsid w:val="003723D4"/>
    <w:rsid w:val="00381905"/>
    <w:rsid w:val="00384CC8"/>
    <w:rsid w:val="003871FD"/>
    <w:rsid w:val="003A1E30"/>
    <w:rsid w:val="003A2829"/>
    <w:rsid w:val="003A7D1C"/>
    <w:rsid w:val="003B304B"/>
    <w:rsid w:val="003B3146"/>
    <w:rsid w:val="003D1E02"/>
    <w:rsid w:val="003F015E"/>
    <w:rsid w:val="0040041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A6976"/>
    <w:rsid w:val="004C194F"/>
    <w:rsid w:val="004C3D1D"/>
    <w:rsid w:val="004C3D84"/>
    <w:rsid w:val="004C7913"/>
    <w:rsid w:val="004E4DD6"/>
    <w:rsid w:val="004F5E36"/>
    <w:rsid w:val="00507B47"/>
    <w:rsid w:val="00507BEF"/>
    <w:rsid w:val="00507CC9"/>
    <w:rsid w:val="0051151A"/>
    <w:rsid w:val="005119A5"/>
    <w:rsid w:val="005278B7"/>
    <w:rsid w:val="00532016"/>
    <w:rsid w:val="005346C8"/>
    <w:rsid w:val="00543E7D"/>
    <w:rsid w:val="00547A68"/>
    <w:rsid w:val="005531C9"/>
    <w:rsid w:val="00570C43"/>
    <w:rsid w:val="00592274"/>
    <w:rsid w:val="005B2110"/>
    <w:rsid w:val="005B61E6"/>
    <w:rsid w:val="005B729D"/>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E3E"/>
    <w:rsid w:val="00662E74"/>
    <w:rsid w:val="00664F9F"/>
    <w:rsid w:val="00680C23"/>
    <w:rsid w:val="00683E23"/>
    <w:rsid w:val="00693766"/>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31FA"/>
    <w:rsid w:val="007A4861"/>
    <w:rsid w:val="007A7BBA"/>
    <w:rsid w:val="007B0C50"/>
    <w:rsid w:val="007B48F9"/>
    <w:rsid w:val="007B5A21"/>
    <w:rsid w:val="007C1A43"/>
    <w:rsid w:val="007D0951"/>
    <w:rsid w:val="007E585B"/>
    <w:rsid w:val="007F27C8"/>
    <w:rsid w:val="0080013E"/>
    <w:rsid w:val="00813288"/>
    <w:rsid w:val="008168FC"/>
    <w:rsid w:val="00830996"/>
    <w:rsid w:val="008314D7"/>
    <w:rsid w:val="008345F1"/>
    <w:rsid w:val="008562DD"/>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1EB6"/>
    <w:rsid w:val="00A9346D"/>
    <w:rsid w:val="00A97F29"/>
    <w:rsid w:val="00AA702E"/>
    <w:rsid w:val="00AA7D26"/>
    <w:rsid w:val="00AB0964"/>
    <w:rsid w:val="00AB5011"/>
    <w:rsid w:val="00AC7368"/>
    <w:rsid w:val="00AD0278"/>
    <w:rsid w:val="00AD16B9"/>
    <w:rsid w:val="00AE377D"/>
    <w:rsid w:val="00AF0EBA"/>
    <w:rsid w:val="00B02C8A"/>
    <w:rsid w:val="00B07E1F"/>
    <w:rsid w:val="00B17FBD"/>
    <w:rsid w:val="00B315A6"/>
    <w:rsid w:val="00B31813"/>
    <w:rsid w:val="00B33365"/>
    <w:rsid w:val="00B57B36"/>
    <w:rsid w:val="00B57E6F"/>
    <w:rsid w:val="00B8686D"/>
    <w:rsid w:val="00B93F69"/>
    <w:rsid w:val="00BB1DDC"/>
    <w:rsid w:val="00BC30C9"/>
    <w:rsid w:val="00BD077D"/>
    <w:rsid w:val="00BE3E58"/>
    <w:rsid w:val="00C01616"/>
    <w:rsid w:val="00C0162B"/>
    <w:rsid w:val="00C068ED"/>
    <w:rsid w:val="00C208E9"/>
    <w:rsid w:val="00C22E0C"/>
    <w:rsid w:val="00C345B1"/>
    <w:rsid w:val="00C40142"/>
    <w:rsid w:val="00C52C3C"/>
    <w:rsid w:val="00C57182"/>
    <w:rsid w:val="00C57863"/>
    <w:rsid w:val="00C640AF"/>
    <w:rsid w:val="00C655FD"/>
    <w:rsid w:val="00C66347"/>
    <w:rsid w:val="00C75407"/>
    <w:rsid w:val="00C841C6"/>
    <w:rsid w:val="00C870A8"/>
    <w:rsid w:val="00C94434"/>
    <w:rsid w:val="00C94914"/>
    <w:rsid w:val="00CA0D75"/>
    <w:rsid w:val="00CA1C95"/>
    <w:rsid w:val="00CA5A9C"/>
    <w:rsid w:val="00CB2614"/>
    <w:rsid w:val="00CC4C20"/>
    <w:rsid w:val="00CD2422"/>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D271C"/>
    <w:rsid w:val="00DE24BD"/>
    <w:rsid w:val="00DE264A"/>
    <w:rsid w:val="00DF5072"/>
    <w:rsid w:val="00E02D18"/>
    <w:rsid w:val="00E041E7"/>
    <w:rsid w:val="00E23CA1"/>
    <w:rsid w:val="00E27916"/>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1CD7"/>
    <w:rsid w:val="00F565FE"/>
    <w:rsid w:val="00F63A70"/>
    <w:rsid w:val="00F63D8C"/>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F5E36"/>
    <w:pPr>
      <w:tabs>
        <w:tab w:val="clear" w:pos="360"/>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48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spacing w:after="120"/>
    </w:p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
    <w:name w:val="List"/>
    <w:basedOn w:val="Normal"/>
    <w:uiPriority w:val="99"/>
    <w:semiHidden/>
    <w:unhideWhenUsed/>
    <w:rsid w:val="0003148D"/>
    <w:pPr>
      <w:ind w:left="283" w:hanging="283"/>
      <w:contextualSpacing/>
    </w:p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spacing w:line="240" w:lineRule="auto"/>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pPr>
      <w:spacing w:line="240" w:lineRule="auto"/>
    </w:pPr>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spacing w:line="240" w:lineRule="auto"/>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spacing w:line="240" w:lineRule="auto"/>
      <w:ind w:left="220" w:hanging="220"/>
    </w:pPr>
  </w:style>
  <w:style w:type="paragraph" w:styleId="Index2">
    <w:name w:val="index 2"/>
    <w:basedOn w:val="Normal"/>
    <w:next w:val="Normal"/>
    <w:autoRedefine/>
    <w:uiPriority w:val="99"/>
    <w:semiHidden/>
    <w:unhideWhenUsed/>
    <w:rsid w:val="0003148D"/>
    <w:pPr>
      <w:spacing w:line="240" w:lineRule="auto"/>
      <w:ind w:left="440" w:hanging="220"/>
    </w:pPr>
  </w:style>
  <w:style w:type="paragraph" w:styleId="Index3">
    <w:name w:val="index 3"/>
    <w:basedOn w:val="Normal"/>
    <w:next w:val="Normal"/>
    <w:autoRedefine/>
    <w:uiPriority w:val="99"/>
    <w:semiHidden/>
    <w:unhideWhenUsed/>
    <w:rsid w:val="0003148D"/>
    <w:pPr>
      <w:spacing w:line="240" w:lineRule="auto"/>
      <w:ind w:left="660" w:hanging="220"/>
    </w:pPr>
  </w:style>
  <w:style w:type="paragraph" w:styleId="Index4">
    <w:name w:val="index 4"/>
    <w:basedOn w:val="Normal"/>
    <w:next w:val="Normal"/>
    <w:autoRedefine/>
    <w:uiPriority w:val="99"/>
    <w:semiHidden/>
    <w:unhideWhenUsed/>
    <w:rsid w:val="0003148D"/>
    <w:pPr>
      <w:spacing w:line="240" w:lineRule="auto"/>
      <w:ind w:left="880" w:hanging="220"/>
    </w:pPr>
  </w:style>
  <w:style w:type="paragraph" w:styleId="Index5">
    <w:name w:val="index 5"/>
    <w:basedOn w:val="Normal"/>
    <w:next w:val="Normal"/>
    <w:autoRedefine/>
    <w:uiPriority w:val="99"/>
    <w:semiHidden/>
    <w:unhideWhenUsed/>
    <w:rsid w:val="0003148D"/>
    <w:pPr>
      <w:spacing w:line="240" w:lineRule="auto"/>
      <w:ind w:left="1100" w:hanging="220"/>
    </w:pPr>
  </w:style>
  <w:style w:type="paragraph" w:styleId="Index6">
    <w:name w:val="index 6"/>
    <w:basedOn w:val="Normal"/>
    <w:next w:val="Normal"/>
    <w:autoRedefine/>
    <w:uiPriority w:val="99"/>
    <w:semiHidden/>
    <w:unhideWhenUsed/>
    <w:rsid w:val="0003148D"/>
    <w:pPr>
      <w:spacing w:line="240" w:lineRule="auto"/>
      <w:ind w:left="1320" w:hanging="220"/>
    </w:pPr>
  </w:style>
  <w:style w:type="paragraph" w:styleId="Index7">
    <w:name w:val="index 7"/>
    <w:basedOn w:val="Normal"/>
    <w:next w:val="Normal"/>
    <w:autoRedefine/>
    <w:uiPriority w:val="99"/>
    <w:semiHidden/>
    <w:unhideWhenUsed/>
    <w:rsid w:val="0003148D"/>
    <w:pPr>
      <w:spacing w:line="240" w:lineRule="auto"/>
      <w:ind w:left="1540" w:hanging="220"/>
    </w:pPr>
  </w:style>
  <w:style w:type="paragraph" w:styleId="Index8">
    <w:name w:val="index 8"/>
    <w:basedOn w:val="Normal"/>
    <w:next w:val="Normal"/>
    <w:autoRedefine/>
    <w:uiPriority w:val="99"/>
    <w:semiHidden/>
    <w:unhideWhenUsed/>
    <w:rsid w:val="0003148D"/>
    <w:pPr>
      <w:spacing w:line="240" w:lineRule="auto"/>
      <w:ind w:left="1760" w:hanging="220"/>
    </w:pPr>
  </w:style>
  <w:style w:type="paragraph" w:styleId="Index9">
    <w:name w:val="index 9"/>
    <w:basedOn w:val="Normal"/>
    <w:next w:val="Normal"/>
    <w:autoRedefine/>
    <w:uiPriority w:val="99"/>
    <w:semiHidden/>
    <w:unhideWhenUsed/>
    <w:rsid w:val="0003148D"/>
    <w:pPr>
      <w:spacing w:line="240" w:lineRule="auto"/>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03148D"/>
    <w:pPr>
      <w:spacing w:line="240" w:lineRule="auto"/>
    </w:pPr>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pPr>
      <w:spacing w:line="240" w:lineRule="auto"/>
    </w:pPr>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rPr>
      <w:sz w:val="24"/>
      <w:szCs w:val="24"/>
    </w:rPr>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contextualSpacing/>
    </w:p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ind w:left="720"/>
    </w:pPr>
  </w:style>
  <w:style w:type="paragraph" w:styleId="CommentText">
    <w:name w:val="annotation text"/>
    <w:basedOn w:val="Normal"/>
    <w:link w:val="CommentTextChar"/>
    <w:uiPriority w:val="99"/>
    <w:unhideWhenUsed/>
    <w:rsid w:val="0003148D"/>
    <w:pPr>
      <w:spacing w:line="240" w:lineRule="auto"/>
    </w:p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spacing w:after="100"/>
    </w:p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pPr>
      <w:spacing w:line="240" w:lineRule="auto"/>
    </w:pPr>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pPr>
      <w:spacing w:line="240" w:lineRule="auto"/>
    </w:pPr>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ind w:left="720"/>
      <w:contextualSpacing/>
    </w:pPr>
  </w:style>
  <w:style w:type="character" w:customStyle="1" w:styleId="gmail-apple-converted-space">
    <w:name w:val="gmail-apple-converted-space"/>
    <w:basedOn w:val="DefaultParagraphFont"/>
    <w:rsid w:val="00005A19"/>
  </w:style>
  <w:style w:type="character" w:styleId="UnresolvedMention">
    <w:name w:val="Unresolved Mention"/>
    <w:basedOn w:val="DefaultParagraphFont"/>
    <w:uiPriority w:val="99"/>
    <w:semiHidden/>
    <w:unhideWhenUsed/>
    <w:rsid w:val="004A69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6177</Words>
  <Characters>35213</Characters>
  <Application>Microsoft Office Word</Application>
  <DocSecurity>0</DocSecurity>
  <Lines>293</Lines>
  <Paragraphs>82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Dipartimento CMIC - Politecnico di Milano</Company>
  <LinksUpToDate>false</LinksUpToDate>
  <CharactersWithSpaces>41308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Zafar Turakulov</cp:lastModifiedBy>
  <cp:revision>8</cp:revision>
  <cp:lastPrinted>2015-05-12T18:31:00Z</cp:lastPrinted>
  <dcterms:created xsi:type="dcterms:W3CDTF">2026-05-01T05:06:00Z</dcterms:created>
  <dcterms:modified xsi:type="dcterms:W3CDTF">2026-06-25T10:57:00Z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zotero-version="8.0"&gt;&lt;session id="ubKPTSMb"/&gt;&lt;style id="http://www.zotero.org/styles/apa" locale="en-US" hasBibliography="1" bibliographyStyleHasBeenSet="1"/&gt;&lt;prefs&gt;&lt;pref name="fieldType" value="Field"/&gt;&lt;pref name="storeReferences" </vt:lpwstr>
  </property>
  <property fmtid="{D5CDD505-2E9C-101B-9397-08002B2CF9AE}" pid="3" name="ZOTERO_PREF_2">
    <vt:lpwstr>value="true"/&gt;&lt;/prefs&gt;&lt;/data&gt;</vt:lpwstr>
  </property>
</Properties>
</file>