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EE2A26" w14:paraId="2A131A54" w14:textId="77777777" w:rsidTr="00602411">
        <w:trPr>
          <w:trHeight w:val="852"/>
          <w:jc w:val="center"/>
        </w:trPr>
        <w:tc>
          <w:tcPr>
            <w:tcW w:w="6940" w:type="dxa"/>
            <w:vMerge w:val="restart"/>
            <w:tcBorders>
              <w:right w:val="single" w:sz="4" w:space="0" w:color="auto"/>
            </w:tcBorders>
          </w:tcPr>
          <w:p w14:paraId="38C3D2BA" w14:textId="77777777" w:rsidR="000A03B2" w:rsidRPr="00EE2A26" w:rsidRDefault="000A03B2" w:rsidP="00DE264A">
            <w:pPr>
              <w:tabs>
                <w:tab w:val="left" w:pos="-108"/>
              </w:tabs>
              <w:ind w:left="-108"/>
              <w:jc w:val="left"/>
              <w:rPr>
                <w:rFonts w:cs="Arial"/>
                <w:b/>
                <w:bCs/>
                <w:i/>
                <w:iCs/>
                <w:color w:val="000066"/>
                <w:sz w:val="12"/>
                <w:szCs w:val="12"/>
                <w:lang w:eastAsia="it-IT"/>
              </w:rPr>
            </w:pPr>
            <w:bookmarkStart w:id="0" w:name="_Hlk145068772"/>
            <w:bookmarkStart w:id="1" w:name="_GoBack"/>
            <w:bookmarkEnd w:id="1"/>
            <w:r w:rsidRPr="00EE2A2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EE2A26">
              <w:rPr>
                <w:rFonts w:ascii="AdvP6960" w:hAnsi="AdvP6960" w:cs="AdvP6960"/>
                <w:color w:val="241F20"/>
                <w:szCs w:val="18"/>
                <w:lang w:eastAsia="it-IT"/>
              </w:rPr>
              <w:t xml:space="preserve"> </w:t>
            </w:r>
            <w:r w:rsidRPr="00EE2A26">
              <w:rPr>
                <w:rFonts w:cs="Arial"/>
                <w:b/>
                <w:bCs/>
                <w:i/>
                <w:iCs/>
                <w:color w:val="000066"/>
                <w:sz w:val="24"/>
                <w:szCs w:val="24"/>
                <w:lang w:eastAsia="it-IT"/>
              </w:rPr>
              <w:t>CHEMICAL ENGINEERING</w:t>
            </w:r>
            <w:r w:rsidRPr="00EE2A26">
              <w:rPr>
                <w:rFonts w:cs="Arial"/>
                <w:b/>
                <w:bCs/>
                <w:i/>
                <w:iCs/>
                <w:color w:val="0033FF"/>
                <w:sz w:val="24"/>
                <w:szCs w:val="24"/>
                <w:lang w:eastAsia="it-IT"/>
              </w:rPr>
              <w:t xml:space="preserve"> </w:t>
            </w:r>
            <w:r w:rsidRPr="00EE2A26">
              <w:rPr>
                <w:rFonts w:cs="Arial"/>
                <w:b/>
                <w:bCs/>
                <w:i/>
                <w:iCs/>
                <w:color w:val="666666"/>
                <w:sz w:val="24"/>
                <w:szCs w:val="24"/>
                <w:lang w:eastAsia="it-IT"/>
              </w:rPr>
              <w:t>TRANSACTIONS</w:t>
            </w:r>
            <w:r w:rsidRPr="00EE2A26">
              <w:rPr>
                <w:color w:val="333333"/>
                <w:sz w:val="24"/>
                <w:szCs w:val="24"/>
                <w:lang w:eastAsia="it-IT"/>
              </w:rPr>
              <w:t xml:space="preserve"> </w:t>
            </w:r>
            <w:r w:rsidRPr="00EE2A26">
              <w:rPr>
                <w:rFonts w:cs="Arial"/>
                <w:b/>
                <w:bCs/>
                <w:i/>
                <w:iCs/>
                <w:color w:val="000066"/>
                <w:sz w:val="27"/>
                <w:szCs w:val="27"/>
                <w:lang w:eastAsia="it-IT"/>
              </w:rPr>
              <w:br/>
            </w:r>
          </w:p>
          <w:p w14:paraId="4B780582" w14:textId="753620B8" w:rsidR="000A03B2" w:rsidRPr="00EE2A26" w:rsidRDefault="00A76EFC" w:rsidP="001D21AF">
            <w:pPr>
              <w:tabs>
                <w:tab w:val="left" w:pos="-108"/>
              </w:tabs>
              <w:ind w:left="-108"/>
              <w:rPr>
                <w:rFonts w:cs="Arial"/>
                <w:b/>
                <w:bCs/>
                <w:i/>
                <w:iCs/>
                <w:color w:val="000066"/>
                <w:sz w:val="22"/>
                <w:szCs w:val="22"/>
                <w:lang w:eastAsia="it-IT"/>
              </w:rPr>
            </w:pPr>
            <w:r w:rsidRPr="00EE2A26">
              <w:rPr>
                <w:rFonts w:cs="Arial"/>
                <w:b/>
                <w:bCs/>
                <w:i/>
                <w:iCs/>
                <w:color w:val="000066"/>
                <w:sz w:val="22"/>
                <w:szCs w:val="22"/>
                <w:lang w:eastAsia="it-IT"/>
              </w:rPr>
              <w:t>VOL.</w:t>
            </w:r>
            <w:r w:rsidR="00785BF9" w:rsidRPr="00EE2A26">
              <w:rPr>
                <w:rFonts w:cs="Arial"/>
                <w:b/>
                <w:bCs/>
                <w:i/>
                <w:iCs/>
                <w:color w:val="000066"/>
                <w:sz w:val="22"/>
                <w:szCs w:val="22"/>
                <w:lang w:eastAsia="it-IT"/>
              </w:rPr>
              <w:t xml:space="preserve"> </w:t>
            </w:r>
            <w:r w:rsidR="00AD0278" w:rsidRPr="00EE2A26">
              <w:rPr>
                <w:rFonts w:cs="Arial"/>
                <w:b/>
                <w:bCs/>
                <w:i/>
                <w:iCs/>
                <w:color w:val="000066"/>
                <w:sz w:val="22"/>
                <w:szCs w:val="22"/>
                <w:lang w:eastAsia="it-IT"/>
              </w:rPr>
              <w:t>xxx</w:t>
            </w:r>
            <w:r w:rsidR="007B48F9" w:rsidRPr="00EE2A26">
              <w:rPr>
                <w:rFonts w:cs="Arial"/>
                <w:b/>
                <w:bCs/>
                <w:i/>
                <w:iCs/>
                <w:color w:val="000066"/>
                <w:sz w:val="22"/>
                <w:szCs w:val="22"/>
                <w:lang w:eastAsia="it-IT"/>
              </w:rPr>
              <w:t>,</w:t>
            </w:r>
            <w:r w:rsidR="00FA5F5F" w:rsidRPr="00EE2A26">
              <w:rPr>
                <w:rFonts w:cs="Arial"/>
                <w:b/>
                <w:bCs/>
                <w:i/>
                <w:iCs/>
                <w:color w:val="000066"/>
                <w:sz w:val="22"/>
                <w:szCs w:val="22"/>
                <w:lang w:eastAsia="it-IT"/>
              </w:rPr>
              <w:t xml:space="preserve"> </w:t>
            </w:r>
            <w:r w:rsidR="0030152C" w:rsidRPr="00EE2A26">
              <w:rPr>
                <w:rFonts w:cs="Arial"/>
                <w:b/>
                <w:bCs/>
                <w:i/>
                <w:iCs/>
                <w:color w:val="000066"/>
                <w:sz w:val="22"/>
                <w:szCs w:val="22"/>
                <w:lang w:eastAsia="it-IT"/>
              </w:rPr>
              <w:t>202</w:t>
            </w:r>
            <w:r w:rsidR="00AD0278" w:rsidRPr="00EE2A26">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EE2A26" w:rsidRDefault="000A03B2" w:rsidP="00CD5FE2">
            <w:pPr>
              <w:spacing w:line="140" w:lineRule="atLeast"/>
              <w:jc w:val="right"/>
              <w:rPr>
                <w:rFonts w:cs="Arial"/>
                <w:sz w:val="14"/>
                <w:szCs w:val="14"/>
              </w:rPr>
            </w:pPr>
            <w:r w:rsidRPr="00EE2A26">
              <w:rPr>
                <w:rFonts w:cs="Arial"/>
                <w:sz w:val="14"/>
                <w:szCs w:val="14"/>
              </w:rPr>
              <w:t>A publication of</w:t>
            </w:r>
          </w:p>
          <w:p w14:paraId="599E5441" w14:textId="77777777" w:rsidR="000A03B2" w:rsidRPr="00EE2A26" w:rsidRDefault="000A03B2" w:rsidP="00CD5FE2">
            <w:pPr>
              <w:jc w:val="right"/>
            </w:pPr>
            <w:r w:rsidRPr="00EE2A2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EE2A26" w14:paraId="380FA3CD" w14:textId="77777777" w:rsidTr="00602411">
        <w:trPr>
          <w:trHeight w:val="567"/>
          <w:jc w:val="center"/>
        </w:trPr>
        <w:tc>
          <w:tcPr>
            <w:tcW w:w="6940" w:type="dxa"/>
            <w:vMerge/>
            <w:tcBorders>
              <w:right w:val="single" w:sz="4" w:space="0" w:color="auto"/>
            </w:tcBorders>
          </w:tcPr>
          <w:p w14:paraId="39E5E4C1" w14:textId="77777777" w:rsidR="000A03B2" w:rsidRPr="00EE2A2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EE2A26" w:rsidRDefault="000A03B2" w:rsidP="00CD5FE2">
            <w:pPr>
              <w:spacing w:line="140" w:lineRule="atLeast"/>
              <w:jc w:val="right"/>
              <w:rPr>
                <w:rFonts w:cs="Arial"/>
                <w:sz w:val="14"/>
                <w:szCs w:val="14"/>
              </w:rPr>
            </w:pPr>
            <w:r w:rsidRPr="00EE2A26">
              <w:rPr>
                <w:rFonts w:cs="Arial"/>
                <w:sz w:val="14"/>
                <w:szCs w:val="14"/>
              </w:rPr>
              <w:t>The Italian Association</w:t>
            </w:r>
          </w:p>
          <w:p w14:paraId="7522B1D2" w14:textId="77777777" w:rsidR="000A03B2" w:rsidRPr="00EE2A26" w:rsidRDefault="000A03B2" w:rsidP="00CD5FE2">
            <w:pPr>
              <w:spacing w:line="140" w:lineRule="atLeast"/>
              <w:jc w:val="right"/>
              <w:rPr>
                <w:rFonts w:cs="Arial"/>
                <w:sz w:val="14"/>
                <w:szCs w:val="14"/>
              </w:rPr>
            </w:pPr>
            <w:r w:rsidRPr="00EE2A26">
              <w:rPr>
                <w:rFonts w:cs="Arial"/>
                <w:sz w:val="14"/>
                <w:szCs w:val="14"/>
              </w:rPr>
              <w:t>of Chemical Engineering</w:t>
            </w:r>
          </w:p>
          <w:p w14:paraId="4F0CC5DE" w14:textId="47FDB2FC" w:rsidR="000A03B2" w:rsidRPr="00EE2A26" w:rsidRDefault="000D0268" w:rsidP="00CD5FE2">
            <w:pPr>
              <w:spacing w:line="140" w:lineRule="atLeast"/>
              <w:jc w:val="right"/>
              <w:rPr>
                <w:rFonts w:cs="Arial"/>
                <w:sz w:val="13"/>
                <w:szCs w:val="13"/>
              </w:rPr>
            </w:pPr>
            <w:r w:rsidRPr="00EE2A26">
              <w:rPr>
                <w:rFonts w:cs="Arial"/>
                <w:sz w:val="13"/>
                <w:szCs w:val="13"/>
              </w:rPr>
              <w:t>Online at www.cetjournal.it</w:t>
            </w:r>
          </w:p>
        </w:tc>
      </w:tr>
      <w:tr w:rsidR="000A03B2" w:rsidRPr="00EE2A26" w14:paraId="2D1B7169" w14:textId="77777777" w:rsidTr="00602411">
        <w:trPr>
          <w:trHeight w:val="68"/>
          <w:jc w:val="center"/>
        </w:trPr>
        <w:tc>
          <w:tcPr>
            <w:tcW w:w="8782" w:type="dxa"/>
            <w:gridSpan w:val="2"/>
          </w:tcPr>
          <w:p w14:paraId="1D8DD3C9" w14:textId="174205F6" w:rsidR="00AA7D26" w:rsidRPr="00EE2A26" w:rsidRDefault="004A5E57" w:rsidP="00CB2614">
            <w:pPr>
              <w:ind w:left="-107"/>
              <w:outlineLvl w:val="2"/>
              <w:rPr>
                <w:rFonts w:ascii="Tahoma" w:hAnsi="Tahoma" w:cs="Tahoma"/>
                <w:color w:val="000000"/>
                <w:sz w:val="14"/>
                <w:szCs w:val="14"/>
                <w:lang w:val="it-IT"/>
              </w:rPr>
            </w:pPr>
            <w:r w:rsidRPr="00EE2A26">
              <w:rPr>
                <w:rFonts w:ascii="Tahoma" w:hAnsi="Tahoma" w:cs="Tahoma"/>
                <w:iCs/>
                <w:color w:val="333333"/>
                <w:sz w:val="14"/>
                <w:szCs w:val="14"/>
                <w:lang w:val="it-IT" w:eastAsia="it-IT"/>
              </w:rPr>
              <w:t>Guest Editors:</w:t>
            </w:r>
            <w:r w:rsidRPr="00EE2A26">
              <w:rPr>
                <w:rFonts w:ascii="Tahoma" w:hAnsi="Tahoma" w:cs="Tahoma"/>
                <w:color w:val="000000"/>
                <w:sz w:val="14"/>
                <w:szCs w:val="14"/>
                <w:lang w:val="it-IT"/>
              </w:rPr>
              <w:t xml:space="preserve"> </w:t>
            </w:r>
            <w:r w:rsidR="00CB2614" w:rsidRPr="00EE2A26">
              <w:rPr>
                <w:rFonts w:ascii="Tahoma" w:hAnsi="Tahoma" w:cs="Tahoma"/>
                <w:color w:val="000000"/>
                <w:sz w:val="14"/>
                <w:szCs w:val="14"/>
                <w:lang w:val="it-IT"/>
              </w:rPr>
              <w:t>Flavio Manenti, Botir Usmonov, Alessandro Di Pretoro</w:t>
            </w:r>
          </w:p>
          <w:p w14:paraId="1B0F1814" w14:textId="4E0E23AB" w:rsidR="000A03B2" w:rsidRPr="00EE2A26" w:rsidRDefault="00AA7D26" w:rsidP="001F1A4E">
            <w:pPr>
              <w:tabs>
                <w:tab w:val="left" w:pos="-108"/>
              </w:tabs>
              <w:spacing w:line="140" w:lineRule="atLeast"/>
              <w:ind w:left="-107"/>
              <w:jc w:val="left"/>
            </w:pPr>
            <w:r w:rsidRPr="00EE2A26">
              <w:rPr>
                <w:rFonts w:ascii="Tahoma" w:hAnsi="Tahoma" w:cs="Tahoma"/>
                <w:iCs/>
                <w:color w:val="333333"/>
                <w:sz w:val="14"/>
                <w:szCs w:val="14"/>
                <w:lang w:eastAsia="it-IT"/>
              </w:rPr>
              <w:t>Copyright © 202</w:t>
            </w:r>
            <w:r w:rsidR="00005884" w:rsidRPr="00EE2A26">
              <w:rPr>
                <w:rFonts w:ascii="Tahoma" w:hAnsi="Tahoma" w:cs="Tahoma"/>
                <w:iCs/>
                <w:color w:val="333333"/>
                <w:sz w:val="14"/>
                <w:szCs w:val="14"/>
                <w:lang w:eastAsia="it-IT"/>
              </w:rPr>
              <w:t>6</w:t>
            </w:r>
            <w:r w:rsidRPr="00EE2A26">
              <w:rPr>
                <w:rFonts w:ascii="Tahoma" w:hAnsi="Tahoma" w:cs="Tahoma"/>
                <w:iCs/>
                <w:color w:val="333333"/>
                <w:sz w:val="14"/>
                <w:szCs w:val="14"/>
                <w:lang w:eastAsia="it-IT"/>
              </w:rPr>
              <w:t>, AIDIC Servizi S.r.l.</w:t>
            </w:r>
            <w:r w:rsidRPr="00EE2A26">
              <w:rPr>
                <w:rFonts w:ascii="Tahoma" w:hAnsi="Tahoma" w:cs="Tahoma"/>
                <w:iCs/>
                <w:color w:val="333333"/>
                <w:sz w:val="14"/>
                <w:szCs w:val="14"/>
                <w:lang w:eastAsia="it-IT"/>
              </w:rPr>
              <w:br/>
            </w:r>
            <w:r w:rsidRPr="00EE2A26">
              <w:rPr>
                <w:rFonts w:ascii="Tahoma" w:hAnsi="Tahoma" w:cs="Tahoma"/>
                <w:b/>
                <w:iCs/>
                <w:color w:val="000000"/>
                <w:sz w:val="14"/>
                <w:szCs w:val="14"/>
                <w:lang w:eastAsia="it-IT"/>
              </w:rPr>
              <w:t>ISBN</w:t>
            </w:r>
            <w:r w:rsidRPr="00EE2A26">
              <w:rPr>
                <w:rFonts w:ascii="Tahoma" w:hAnsi="Tahoma" w:cs="Tahoma"/>
                <w:iCs/>
                <w:color w:val="000000"/>
                <w:sz w:val="14"/>
                <w:szCs w:val="14"/>
                <w:lang w:eastAsia="it-IT"/>
              </w:rPr>
              <w:t xml:space="preserve"> </w:t>
            </w:r>
            <w:r w:rsidR="00D2582C" w:rsidRPr="00EE2A26">
              <w:rPr>
                <w:rFonts w:ascii="Tahoma" w:hAnsi="Tahoma" w:cs="Tahoma"/>
                <w:sz w:val="14"/>
                <w:szCs w:val="14"/>
              </w:rPr>
              <w:t>979-12-81206-</w:t>
            </w:r>
            <w:r w:rsidR="00005884" w:rsidRPr="00EE2A26">
              <w:rPr>
                <w:rFonts w:ascii="Tahoma" w:hAnsi="Tahoma" w:cs="Tahoma"/>
                <w:sz w:val="14"/>
                <w:szCs w:val="14"/>
              </w:rPr>
              <w:t>xx</w:t>
            </w:r>
            <w:r w:rsidR="009041F8" w:rsidRPr="00EE2A26">
              <w:rPr>
                <w:rFonts w:ascii="Tahoma" w:hAnsi="Tahoma" w:cs="Tahoma"/>
                <w:sz w:val="14"/>
                <w:szCs w:val="14"/>
              </w:rPr>
              <w:t>-</w:t>
            </w:r>
            <w:r w:rsidR="00005884" w:rsidRPr="00EE2A26">
              <w:rPr>
                <w:rFonts w:ascii="Tahoma" w:hAnsi="Tahoma" w:cs="Tahoma"/>
                <w:sz w:val="14"/>
                <w:szCs w:val="14"/>
              </w:rPr>
              <w:t>x</w:t>
            </w:r>
            <w:r w:rsidRPr="00EE2A26">
              <w:rPr>
                <w:rFonts w:ascii="Tahoma" w:hAnsi="Tahoma" w:cs="Tahoma"/>
                <w:iCs/>
                <w:color w:val="333333"/>
                <w:sz w:val="14"/>
                <w:szCs w:val="14"/>
                <w:lang w:eastAsia="it-IT"/>
              </w:rPr>
              <w:t xml:space="preserve">; </w:t>
            </w:r>
            <w:r w:rsidRPr="00EE2A26">
              <w:rPr>
                <w:rFonts w:ascii="Tahoma" w:hAnsi="Tahoma" w:cs="Tahoma"/>
                <w:b/>
                <w:iCs/>
                <w:color w:val="333333"/>
                <w:sz w:val="14"/>
                <w:szCs w:val="14"/>
                <w:lang w:eastAsia="it-IT"/>
              </w:rPr>
              <w:t>ISSN</w:t>
            </w:r>
            <w:r w:rsidRPr="00EE2A26">
              <w:rPr>
                <w:rFonts w:ascii="Tahoma" w:hAnsi="Tahoma" w:cs="Tahoma"/>
                <w:iCs/>
                <w:color w:val="333333"/>
                <w:sz w:val="14"/>
                <w:szCs w:val="14"/>
                <w:lang w:eastAsia="it-IT"/>
              </w:rPr>
              <w:t xml:space="preserve"> 2283-9216</w:t>
            </w:r>
            <w:r w:rsidR="002F762F" w:rsidRPr="00EE2A26">
              <w:rPr>
                <w:rFonts w:ascii="Tahoma" w:hAnsi="Tahoma" w:cs="Tahoma"/>
                <w:iCs/>
                <w:color w:val="333333"/>
                <w:sz w:val="14"/>
                <w:szCs w:val="14"/>
                <w:lang w:eastAsia="it-IT"/>
              </w:rPr>
              <w:t xml:space="preserve"> </w:t>
            </w:r>
          </w:p>
        </w:tc>
      </w:tr>
    </w:tbl>
    <w:bookmarkEnd w:id="0"/>
    <w:p w14:paraId="2E667253" w14:textId="2B9F784F" w:rsidR="00E978D0" w:rsidRPr="00EE2A26" w:rsidRDefault="00602411" w:rsidP="00E978D0">
      <w:pPr>
        <w:pStyle w:val="CETTitle"/>
      </w:pPr>
      <w:r w:rsidRPr="00EE2A26">
        <w:t>ASSESSMENT METHODS FOR DIGITAL TRANSFORMATION IN THE CONSTRUCTION INDUSTRY</w:t>
      </w:r>
    </w:p>
    <w:p w14:paraId="0488FED2" w14:textId="49E78C4B" w:rsidR="00B57E6F" w:rsidRPr="00EE2A26" w:rsidRDefault="00602411" w:rsidP="00B57E6F">
      <w:pPr>
        <w:pStyle w:val="CETAuthors"/>
      </w:pPr>
      <w:r w:rsidRPr="00EE2A26">
        <w:t>Rustam Musaxonov</w:t>
      </w:r>
    </w:p>
    <w:p w14:paraId="3D72B0B0" w14:textId="1907B48C" w:rsidR="00B57E6F" w:rsidRPr="00EE2A26" w:rsidRDefault="00BD153C" w:rsidP="00B57E6F">
      <w:pPr>
        <w:pStyle w:val="CETAddress"/>
      </w:pPr>
      <w:r w:rsidRPr="00EE2A26">
        <w:t>Tashkent institute of chemical technology, Navoi Street, 32, Tashkent, Uzbekistan, 100011</w:t>
      </w:r>
      <w:r w:rsidR="00B57E6F" w:rsidRPr="00EE2A26">
        <w:t xml:space="preserve">, </w:t>
      </w:r>
      <w:r w:rsidR="005D2435" w:rsidRPr="00EE2A26">
        <w:t>info@tkti.uz</w:t>
      </w:r>
    </w:p>
    <w:p w14:paraId="73F1267A" w14:textId="66814B5F" w:rsidR="00B57E6F" w:rsidRPr="00EE2A26" w:rsidRDefault="008278B0" w:rsidP="00B57E6F">
      <w:pPr>
        <w:pStyle w:val="CETemail"/>
      </w:pPr>
      <w:r w:rsidRPr="00EE2A26">
        <w:t>ron25my</w:t>
      </w:r>
      <w:r w:rsidR="00B57E6F" w:rsidRPr="00EE2A26">
        <w:t>@</w:t>
      </w:r>
      <w:r w:rsidRPr="00EE2A26">
        <w:t>gmail</w:t>
      </w:r>
      <w:r w:rsidR="00B57E6F" w:rsidRPr="00EE2A26">
        <w:t>.com</w:t>
      </w:r>
    </w:p>
    <w:p w14:paraId="37A61FCE" w14:textId="5D1F41E0" w:rsidR="00DA24C6" w:rsidRPr="00EE2A26" w:rsidRDefault="001A4437" w:rsidP="00DC35F1">
      <w:pPr>
        <w:pStyle w:val="CETnumberingbullets"/>
        <w:numPr>
          <w:ilvl w:val="0"/>
          <w:numId w:val="0"/>
        </w:numPr>
        <w:jc w:val="both"/>
      </w:pPr>
      <w:r w:rsidRPr="00EE2A26">
        <w:t>This article analyzes the methods for assessing digital transformation in the construction industry through a comprehensive approach. The primary objective of the research is to determine the level of digital maturity within construction enterprises, evaluate its impact on economic efficiency, and develop a scientifically grounded methodology for measuring this process. The study employs a mixed-methods approach, integrating quantitative and qualitative analysis to examine empirical data. The empirical analysis, conducted across five construction organizations, reveals that digital technologies have been implemented in 68% of the cases.The research findings indicate that Building Information Modeling (BIM) is the most prevalent digital solution (54%), while the adoption rates for cloud platforms (47%), IoT (29%), Big Data (22%), and Artificial Intelligence (18%) remain relatively low. Statistical analysis identified a strong correlation between the level of digital transformation and economic performance indicators, showing a positive correlation with labor productivity (r = 0.71) and a negative correlation with project duration (r = -0.64). In enterprises that have implemented digital technologies, project timelines were reduced by an average of 20%, costs decreased by 13%, and labor productivity increased by 17%. As a result of the study, a "Digital Maturity Index" model was developed to assess digital transformation in the construction industry. This model allows for an integrated evaluation of key factors, including technological infrastructure, human capital, management systems, and financial resources.</w:t>
      </w:r>
    </w:p>
    <w:p w14:paraId="476B2F2E" w14:textId="77777777" w:rsidR="00600535" w:rsidRPr="00EE2A26" w:rsidRDefault="00600535" w:rsidP="00600535">
      <w:pPr>
        <w:pStyle w:val="CETHeading1"/>
        <w:rPr>
          <w:lang w:val="en-GB"/>
        </w:rPr>
      </w:pPr>
      <w:r w:rsidRPr="00EE2A26">
        <w:rPr>
          <w:lang w:val="en-GB"/>
        </w:rPr>
        <w:t>Introduction</w:t>
      </w:r>
    </w:p>
    <w:p w14:paraId="6F2ACC4B" w14:textId="2774C7E4" w:rsidR="00DC35F1" w:rsidRPr="00EE2A26" w:rsidRDefault="00DF6094" w:rsidP="0069434D">
      <w:pPr>
        <w:spacing w:line="240" w:lineRule="auto"/>
        <w:rPr>
          <w:rFonts w:cs="Arial"/>
          <w:szCs w:val="18"/>
          <w:lang w:val="en-US" w:eastAsia="ru-RU"/>
        </w:rPr>
      </w:pPr>
      <w:r w:rsidRPr="00EE2A26">
        <w:rPr>
          <w:rFonts w:cs="Arial"/>
          <w:szCs w:val="18"/>
          <w:lang w:val="en-US" w:eastAsia="ru-RU"/>
        </w:rPr>
        <w:t>The construction industry is a key sector of the national economy and plays a crucial role in infrastructure development. In Uzbekistan, this priority is reflected in the "Uzbekistan–2030" Strategy, which promotes the digitalization of the real economy and supports the implementation of Construction 4.0 principles</w:t>
      </w:r>
      <w:r w:rsidR="000A455C" w:rsidRPr="00EE2A26">
        <w:rPr>
          <w:rFonts w:cs="Arial"/>
          <w:szCs w:val="18"/>
          <w:lang w:val="en-US" w:eastAsia="ru-RU"/>
        </w:rPr>
        <w:t>. This conceptual roadmap envisions the automation of construction processes and enhanced operational efficiency through the implementation of Building Information Modeling (BIM), Artificial Intelligence (AI), the Internet of Things (IoT), and Big Data analytics. Notably, the digital transformation imperatives underlying “Construction 4.0” closely parallel those of “Process and Chemical Engineering 4.0”: both domains grapple with the automation of complex, resource-intensive workflows, the optimization of energy and material efficiency, and the integration of real-time data-driven control systems. Industrial enterprises such as Akhangarancement and Uzmetkombinat, which operate at the intersection of construction materials production and process manufacturing, exemplify this convergence — rendering the methodological insights of this study directly applicable to the broader process engineering sector. International empirical evidence, including reports from McKinsey &amp; Company and the Boston Consulting Group, suggests that the holistic application of digital tools can mitigate project expenditures by 15–20% and significantly compress project delivery timelines. Such potential necessitates a rigorous, scientifically-based evaluation of the economic returns of digital transformation. While prominent domestic enterprises—such as Akhangarancement, Qizilqumsement, Bekabadcement, Quvasoycement, and Uzmetkombinat—have initiated phased digital reforms to streamline logistics and automate production, a unified and systematic methodology for assessing digital maturity remains elusive. The overarching objective of this research is to delineate the structural components of digital transformation in construction, establish criteria for assessing maturity levels, and analyze these processes through econometric modeling. The specific objectives include:</w:t>
      </w:r>
    </w:p>
    <w:p w14:paraId="57EC479D" w14:textId="77777777" w:rsidR="00DC35F1" w:rsidRPr="00EE2A26" w:rsidRDefault="00DC35F1" w:rsidP="0069434D">
      <w:pPr>
        <w:numPr>
          <w:ilvl w:val="0"/>
          <w:numId w:val="23"/>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Synthesizing the theoretical and conceptual frameworks of digital transformation within the construction domain;</w:t>
      </w:r>
    </w:p>
    <w:p w14:paraId="1E84414E" w14:textId="77777777" w:rsidR="00DC35F1" w:rsidRPr="00EE2A26" w:rsidRDefault="00DC35F1" w:rsidP="0069434D">
      <w:pPr>
        <w:numPr>
          <w:ilvl w:val="0"/>
          <w:numId w:val="23"/>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lastRenderedPageBreak/>
        <w:t>Conducting a comparative analysis of international methodologies for digital maturity assessment;</w:t>
      </w:r>
    </w:p>
    <w:p w14:paraId="52CA1D0F" w14:textId="77777777" w:rsidR="00DC35F1" w:rsidRPr="00EE2A26" w:rsidRDefault="00DC35F1" w:rsidP="0069434D">
      <w:pPr>
        <w:numPr>
          <w:ilvl w:val="0"/>
          <w:numId w:val="23"/>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Identifying digitalization drivers based on regional construction clusters in Uzbekistan;</w:t>
      </w:r>
    </w:p>
    <w:p w14:paraId="2EC9AC7B" w14:textId="77777777" w:rsidR="00DC35F1" w:rsidRPr="00EE2A26" w:rsidRDefault="00DC35F1" w:rsidP="0069434D">
      <w:pPr>
        <w:numPr>
          <w:ilvl w:val="0"/>
          <w:numId w:val="23"/>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Designing a multidimensional model for the comprehensive evaluation of digital transformation;</w:t>
      </w:r>
    </w:p>
    <w:p w14:paraId="09EAB0F8" w14:textId="77777777" w:rsidR="00DC35F1" w:rsidRPr="00EE2A26" w:rsidRDefault="00DC35F1" w:rsidP="0069434D">
      <w:pPr>
        <w:numPr>
          <w:ilvl w:val="0"/>
          <w:numId w:val="23"/>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Formulating strategic recommendations to enhance the innovative development of industry enterprises.</w:t>
      </w:r>
    </w:p>
    <w:p w14:paraId="0B93DC1C" w14:textId="11D1B1AD" w:rsidR="00DC35F1" w:rsidRPr="00EE2A26" w:rsidRDefault="00DC35F1" w:rsidP="0069434D">
      <w:pPr>
        <w:tabs>
          <w:tab w:val="num" w:pos="284"/>
        </w:tabs>
        <w:spacing w:line="240" w:lineRule="auto"/>
        <w:rPr>
          <w:rFonts w:cs="Arial"/>
          <w:szCs w:val="18"/>
          <w:lang w:val="en-US" w:eastAsia="ru-RU"/>
        </w:rPr>
      </w:pPr>
      <w:r w:rsidRPr="00EE2A26">
        <w:rPr>
          <w:rFonts w:cs="Arial"/>
          <w:szCs w:val="18"/>
          <w:lang w:val="en-US" w:eastAsia="ru-RU"/>
        </w:rPr>
        <w:t>The scientific novelty of the research is characterized by the following:</w:t>
      </w:r>
    </w:p>
    <w:p w14:paraId="426FD29F" w14:textId="77777777" w:rsidR="00DC35F1" w:rsidRPr="00EE2A26" w:rsidRDefault="00DC35F1" w:rsidP="0069434D">
      <w:pPr>
        <w:numPr>
          <w:ilvl w:val="0"/>
          <w:numId w:val="24"/>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The development of a "Digital Maturity Index" (DMI) that integrates technological infrastructure, data governance quality, and human capital competencies;</w:t>
      </w:r>
    </w:p>
    <w:p w14:paraId="56EFFD4B" w14:textId="77777777" w:rsidR="00DC35F1" w:rsidRPr="00EE2A26" w:rsidRDefault="00DC35F1" w:rsidP="0069434D">
      <w:pPr>
        <w:numPr>
          <w:ilvl w:val="0"/>
          <w:numId w:val="24"/>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The harmonization of international performance indicators with localized metrics to evaluate the efficiency of construction material production and logistics;</w:t>
      </w:r>
    </w:p>
    <w:p w14:paraId="4FD516CA" w14:textId="77777777" w:rsidR="00DC35F1" w:rsidRPr="00EE2A26" w:rsidRDefault="00DC35F1" w:rsidP="0069434D">
      <w:pPr>
        <w:numPr>
          <w:ilvl w:val="0"/>
          <w:numId w:val="24"/>
        </w:numPr>
        <w:tabs>
          <w:tab w:val="clear" w:pos="720"/>
          <w:tab w:val="clear" w:pos="7100"/>
          <w:tab w:val="num" w:pos="284"/>
        </w:tabs>
        <w:spacing w:line="240" w:lineRule="auto"/>
        <w:ind w:left="0" w:firstLine="0"/>
        <w:rPr>
          <w:rFonts w:cs="Arial"/>
          <w:szCs w:val="18"/>
          <w:lang w:val="en-US" w:eastAsia="ru-RU"/>
        </w:rPr>
      </w:pPr>
      <w:r w:rsidRPr="00EE2A26">
        <w:rPr>
          <w:rFonts w:cs="Arial"/>
          <w:szCs w:val="18"/>
          <w:lang w:val="en-US" w:eastAsia="ru-RU"/>
        </w:rPr>
        <w:t>The adaptation of econometric models to the national context to quantify the economic impact of BIM technologies.</w:t>
      </w:r>
    </w:p>
    <w:p w14:paraId="1AED3853" w14:textId="3CD8167B" w:rsidR="00600535" w:rsidRPr="00EE2A26" w:rsidRDefault="00DC35F1" w:rsidP="0069434D">
      <w:pPr>
        <w:pStyle w:val="CETListbullets"/>
        <w:ind w:left="113" w:firstLine="0"/>
      </w:pPr>
      <w:r w:rsidRPr="00EE2A26">
        <w:rPr>
          <w:rFonts w:cs="Arial"/>
          <w:szCs w:val="18"/>
          <w:lang w:val="en-US" w:eastAsia="ru-RU"/>
        </w:rPr>
        <w:t>The findings of this research hold significant practical value for optimizing the management of digital transitions, enhancing investment attractiveness, and refining strategic planning within construction enterprises.</w:t>
      </w:r>
    </w:p>
    <w:p w14:paraId="5741900F" w14:textId="7F952BB5" w:rsidR="00453E24" w:rsidRPr="00EE2A26" w:rsidRDefault="00DC35F1" w:rsidP="00DC35F1">
      <w:pPr>
        <w:pStyle w:val="CETHeading1"/>
      </w:pPr>
      <w:r w:rsidRPr="00EE2A26">
        <w:t>Literature Review</w:t>
      </w:r>
    </w:p>
    <w:p w14:paraId="5436D977" w14:textId="426FFD42" w:rsidR="00453E24" w:rsidRPr="00EE2A26" w:rsidRDefault="008122AF" w:rsidP="00453E24">
      <w:pPr>
        <w:pStyle w:val="CETBodytext"/>
        <w:rPr>
          <w:lang w:val="en-GB"/>
        </w:rPr>
      </w:pPr>
      <w:r w:rsidRPr="00EE2A26">
        <w:t>In the realm of digital economy theory, the seminal research conducted by Erik Brynjolfsson and Andrew McAfee remains highly influential. Their empirical findings demonstrate that</w:t>
      </w:r>
      <w:r w:rsidR="00E1201B" w:rsidRPr="00EE2A26">
        <w:t xml:space="preserve"> the integration of digital technologies can catalyze a 15–25% surge in labor productivity while substantially mitigating operational expenditures and fostering the</w:t>
      </w:r>
      <w:r w:rsidR="00BA14B5" w:rsidRPr="00EE2A26">
        <w:t xml:space="preserve"> creation of new economic value</w:t>
      </w:r>
      <w:r w:rsidR="00E1201B" w:rsidRPr="00EE2A26">
        <w:t xml:space="preserve">. Within the construction sector, the Building Information Modeling (BIM) framework, pioneered by Chuck Eastman, serves as a fundamental methodological cornerstone for digitalization. Scholarly assessments indicate that BIM adoption can reduce project errors by up to 30% and streamline administrative workflows by 20–25%. Complementing this, Rafael Sacks provides empirical evidence that BIM-driven integrated management systems yield a significant increase in production efficiency. Furthermore, the "Lean Construction" philosophy advocated by Lauri Koskela focuses on optimizing productivity by eliminating non-value-adding operations. Research suggests that this paradigm can reduce industrial waste and inefficiencies </w:t>
      </w:r>
      <w:r w:rsidR="00AD6BCC" w:rsidRPr="00EE2A26">
        <w:t>in construction projects by 20–35%. Corroborating this perspective, the World Economic Forum (2016) posits that</w:t>
      </w:r>
      <w:r w:rsidR="00E1201B" w:rsidRPr="00EE2A26">
        <w:t xml:space="preserve"> digital technology implementation could amplify overall production efficiency in construction by up to 50%. Similarly, McKinsey &amp; Company (2020) analysis indicates that digitalization offers a potential reduction in total project costs ranging from 15% to 20%. Scholarly inquiries within the CIS (Commonwealth of Independent States) have prioritized the regional specificities of digital transitions in construction. Irina Gerasina, for instance, has developed frameworks for evaluating corporate competitiveness in the building materials industry, highlighting the intrinsic link between advanced management systems and economic viability. Her research establishes a direct correlation between an enterprise's technological maturity and its respective market share. Additionally, researchers from Russia and Kazakhstan have devised comprehensive metric systems to quantify digital transformation levels. These frameworks emphasize technological infrastructure, investment intensity, and managerial efficacy as primary indicators</w:t>
      </w:r>
      <w:r w:rsidR="00E55EE8" w:rsidRPr="00EE2A26">
        <w:t>.</w:t>
      </w:r>
      <w:r w:rsidR="00E1201B" w:rsidRPr="00EE2A26">
        <w:t xml:space="preserve"> Domestic scholars in Uzbekistan have extensively investigated the economic dynamics, management paradigms, and innovative trajectories of the construction industry. Local studies suggest that enhancing corporate governance structures within the building materials sector can boost production efficiency by 12–15%, affirming the critical role of strategic management in economic </w:t>
      </w:r>
      <w:r w:rsidR="00A443F9" w:rsidRPr="00EE2A26">
        <w:t>outcomes.</w:t>
      </w:r>
      <w:r w:rsidR="00143835" w:rsidRPr="00EE2A26">
        <w:t xml:space="preserve"> </w:t>
      </w:r>
      <w:r w:rsidR="00E1201B" w:rsidRPr="00EE2A26">
        <w:t xml:space="preserve">At the intersection of process engineering and industrial digitalization, several studies published in Chemical Engineering Transactions are directly relevant to this research. </w:t>
      </w:r>
      <w:r w:rsidR="00B72596" w:rsidRPr="00EE2A26">
        <w:t xml:space="preserve">Ferranti </w:t>
      </w:r>
      <w:r w:rsidR="00255BB0" w:rsidRPr="00EE2A26">
        <w:t>et al.</w:t>
      </w:r>
      <w:r w:rsidR="00E1201B" w:rsidRPr="00EE2A26">
        <w:t xml:space="preserve"> (2021) demonstrated that a data-driven digital twin of a BASF chemical production site — modelling 76 interconnected process variables — enabled effective production and maintenance planning, illustrating the applicability of such virtual models to resource-intensive industrial plants including cement facilities (</w:t>
      </w:r>
      <w:r w:rsidR="00B72596" w:rsidRPr="00EE2A26">
        <w:t>Ferranti</w:t>
      </w:r>
      <w:r w:rsidR="00255BB0" w:rsidRPr="00EE2A26">
        <w:t xml:space="preserve"> et al.</w:t>
      </w:r>
      <w:r w:rsidR="00E1201B" w:rsidRPr="00EE2A26">
        <w:t xml:space="preserve"> 2021, Data-driven Digital</w:t>
      </w:r>
      <w:r w:rsidR="00E87D51" w:rsidRPr="00EE2A26">
        <w:t xml:space="preserve"> Twin of a Chemical Productions</w:t>
      </w:r>
      <w:r w:rsidR="00E1201B" w:rsidRPr="00EE2A26">
        <w:t>ite for Production and Utilities Planning, Chemical Engineering Transactions, 86, 913–918, DOI:10.3303/CET2186153). Furthermore, Imran et al. (2023) examined digitalization enablers for sustainable pharmaceutical manufacturing under Industry 4.0 frameworks, identifying IoT integration, real-time process monitoring, and human capital development as the decisive factors for successful transitions — findings that closely parallel the barriers id</w:t>
      </w:r>
      <w:r w:rsidR="009338F3" w:rsidRPr="00EE2A26">
        <w:t>entified in this study (Imran et al.</w:t>
      </w:r>
      <w:r w:rsidR="00E1201B" w:rsidRPr="00EE2A26">
        <w:t xml:space="preserve"> 2023, A Perspective on the Role of Digitalization Enablers in Sustainable Pharmaceutical Manufacturing, Chemical Engineering Transactions, 105, 361–366, DOI:10.3303/CET23105061). </w:t>
      </w:r>
      <w:r w:rsidR="00BC5DBF" w:rsidRPr="00EE2A26">
        <w:t>Additionally, research by Buruzs and Kozma (2023) within CET on circular economy implementation in the construction industry confirms that digital resource tracking and process automation are prerequisites for sector-wide sustainability transitions, reinforcing the strategic rationale for the Digital Maturity Index model proposed in the present study</w:t>
      </w:r>
      <w:r w:rsidR="00E1201B" w:rsidRPr="00EE2A26">
        <w:t>.</w:t>
      </w:r>
    </w:p>
    <w:p w14:paraId="04963A06" w14:textId="4F889C59" w:rsidR="00600535" w:rsidRPr="00EE2A26" w:rsidRDefault="00DC35F1" w:rsidP="00B07436">
      <w:pPr>
        <w:pStyle w:val="CETHeading1"/>
        <w:rPr>
          <w:lang w:val="en-GB"/>
        </w:rPr>
      </w:pPr>
      <w:r w:rsidRPr="00EE2A26">
        <w:rPr>
          <w:lang w:val="en-GB"/>
        </w:rPr>
        <w:lastRenderedPageBreak/>
        <w:t>Research Methodology</w:t>
      </w:r>
    </w:p>
    <w:p w14:paraId="551E1CD2" w14:textId="63C135C9" w:rsidR="00B07436" w:rsidRPr="00EE2A26" w:rsidRDefault="00B07436" w:rsidP="00FE6CE2">
      <w:pPr>
        <w:pStyle w:val="aff1"/>
        <w:rPr>
          <w:rFonts w:cs="Arial"/>
          <w:sz w:val="18"/>
          <w:szCs w:val="18"/>
          <w:lang w:val="en-US"/>
        </w:rPr>
      </w:pPr>
      <w:r w:rsidRPr="00EE2A26">
        <w:rPr>
          <w:rFonts w:cs="Arial"/>
          <w:sz w:val="18"/>
          <w:szCs w:val="18"/>
          <w:lang w:val="en-US"/>
        </w:rPr>
        <w:t xml:space="preserve">The methodology of this study is structured as a comprehensive "research roadmap" designed for the systematic evaluation of digital transformation processes within the construction industry. This study utilizes a </w:t>
      </w:r>
      <w:r w:rsidRPr="00EE2A26">
        <w:rPr>
          <w:rFonts w:cs="Arial"/>
          <w:bCs/>
          <w:sz w:val="18"/>
          <w:szCs w:val="18"/>
          <w:lang w:val="en-US"/>
        </w:rPr>
        <w:t>mixed-methods research design</w:t>
      </w:r>
      <w:r w:rsidRPr="00EE2A26">
        <w:rPr>
          <w:rFonts w:cs="Arial"/>
          <w:sz w:val="18"/>
          <w:szCs w:val="18"/>
          <w:lang w:val="en-US"/>
        </w:rPr>
        <w:t>, integrating both quantitative and qualitative analytical techniques. This methodological synthesis facilitates a holistic exploration of the multifaceted dimensions of digital transformation, encompassing technological, economic,</w:t>
      </w:r>
      <w:r w:rsidR="00442E7B" w:rsidRPr="00EE2A26">
        <w:rPr>
          <w:rFonts w:cs="Arial"/>
          <w:sz w:val="18"/>
          <w:szCs w:val="18"/>
          <w:lang w:val="en-US"/>
        </w:rPr>
        <w:t xml:space="preserve"> and institutional determinants</w:t>
      </w:r>
      <w:r w:rsidRPr="00EE2A26">
        <w:rPr>
          <w:rFonts w:cs="Arial"/>
          <w:sz w:val="18"/>
          <w:szCs w:val="18"/>
          <w:lang w:val="en-US"/>
        </w:rPr>
        <w:t>. A hierarchical system of methods was employed to achieve the research objectives:</w:t>
      </w:r>
    </w:p>
    <w:p w14:paraId="7F447E6D" w14:textId="77777777" w:rsidR="00B07436" w:rsidRPr="00EE2A26" w:rsidRDefault="00B07436" w:rsidP="00FE6CE2">
      <w:pPr>
        <w:pStyle w:val="aff1"/>
        <w:numPr>
          <w:ilvl w:val="0"/>
          <w:numId w:val="25"/>
        </w:numPr>
        <w:tabs>
          <w:tab w:val="clear" w:pos="720"/>
          <w:tab w:val="clear" w:pos="7100"/>
          <w:tab w:val="num" w:pos="284"/>
        </w:tabs>
        <w:spacing w:line="240" w:lineRule="auto"/>
        <w:ind w:left="0" w:firstLine="0"/>
        <w:rPr>
          <w:rFonts w:cs="Arial"/>
          <w:sz w:val="18"/>
          <w:szCs w:val="18"/>
          <w:lang w:val="en-US"/>
        </w:rPr>
      </w:pPr>
      <w:r w:rsidRPr="00EE2A26">
        <w:rPr>
          <w:rFonts w:cs="Arial"/>
          <w:bCs/>
          <w:sz w:val="18"/>
          <w:szCs w:val="18"/>
          <w:lang w:val="en-US"/>
        </w:rPr>
        <w:t>Statistical Analysis:</w:t>
      </w:r>
      <w:r w:rsidRPr="00EE2A26">
        <w:rPr>
          <w:rFonts w:cs="Arial"/>
          <w:sz w:val="18"/>
          <w:szCs w:val="18"/>
          <w:lang w:val="en-US"/>
        </w:rPr>
        <w:t xml:space="preserve"> Quantitative techniques were used to assess the relationship between the utilization of BIM, ERP, and Cloud technologies and key performance indicators (profitability, cost reduction, and labor productivity). Preliminary findings indicate that increased digital adoption corresponds with an average 15–20% rise in labor productivity.</w:t>
      </w:r>
    </w:p>
    <w:p w14:paraId="01B30926" w14:textId="77777777" w:rsidR="00B07436" w:rsidRPr="00EE2A26" w:rsidRDefault="00B07436" w:rsidP="00FE6CE2">
      <w:pPr>
        <w:pStyle w:val="aff1"/>
        <w:numPr>
          <w:ilvl w:val="0"/>
          <w:numId w:val="2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Qualitative Analysis:</w:t>
      </w:r>
      <w:r w:rsidRPr="00EE2A26">
        <w:rPr>
          <w:rFonts w:cs="Arial"/>
          <w:sz w:val="18"/>
          <w:szCs w:val="18"/>
          <w:lang w:val="en-US"/>
        </w:rPr>
        <w:t xml:space="preserve"> In-depth interviews and content analysis were conducted to evaluate corporate governance models, digital competencies, and innovation maturity. Notably, over 70% of experts identified human capital as the primary determinant of successful digital transition.</w:t>
      </w:r>
    </w:p>
    <w:p w14:paraId="4C72997F" w14:textId="77777777" w:rsidR="00B07436" w:rsidRPr="00EE2A26" w:rsidRDefault="00B07436" w:rsidP="00FE6CE2">
      <w:pPr>
        <w:pStyle w:val="aff1"/>
        <w:numPr>
          <w:ilvl w:val="0"/>
          <w:numId w:val="2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Comparative Analysis:</w:t>
      </w:r>
      <w:r w:rsidRPr="00EE2A26">
        <w:rPr>
          <w:rFonts w:cs="Arial"/>
          <w:sz w:val="18"/>
          <w:szCs w:val="18"/>
          <w:lang w:val="en-US"/>
        </w:rPr>
        <w:t xml:space="preserve"> Digital development levels were benchmarked across varying enterprise scales (large, medium, and small). Results show that digitalization in large-scale enterprises is approximately 1.7–1.8 times higher than in small-scale counterparts.</w:t>
      </w:r>
    </w:p>
    <w:p w14:paraId="63777ACC" w14:textId="77777777" w:rsidR="00B07436" w:rsidRPr="00EE2A26" w:rsidRDefault="00B07436" w:rsidP="00FE6CE2">
      <w:pPr>
        <w:pStyle w:val="aff1"/>
        <w:numPr>
          <w:ilvl w:val="0"/>
          <w:numId w:val="2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Benchmarking Analysis:</w:t>
      </w:r>
      <w:r w:rsidRPr="00EE2A26">
        <w:rPr>
          <w:rFonts w:cs="Arial"/>
          <w:sz w:val="18"/>
          <w:szCs w:val="18"/>
          <w:lang w:val="en-US"/>
        </w:rPr>
        <w:t xml:space="preserve"> National findings were compared with global benchmarks. For instance, while BIM adoption in the construction sectors of Singapore and Germany ranges between 70–80%, the adoption rate within the studied organizations was recorded at 50–55%.</w:t>
      </w:r>
    </w:p>
    <w:p w14:paraId="79AED6E5" w14:textId="77777777" w:rsidR="00B07436" w:rsidRPr="00EE2A26" w:rsidRDefault="00B07436" w:rsidP="00E12C7B">
      <w:pPr>
        <w:pStyle w:val="aff1"/>
        <w:numPr>
          <w:ilvl w:val="0"/>
          <w:numId w:val="25"/>
        </w:numPr>
        <w:tabs>
          <w:tab w:val="clear" w:pos="720"/>
          <w:tab w:val="clear" w:pos="7100"/>
          <w:tab w:val="num" w:pos="284"/>
        </w:tabs>
        <w:spacing w:before="100" w:beforeAutospacing="1" w:line="240" w:lineRule="auto"/>
        <w:ind w:left="0" w:firstLine="0"/>
        <w:rPr>
          <w:rFonts w:cs="Arial"/>
          <w:sz w:val="18"/>
          <w:szCs w:val="18"/>
          <w:lang w:val="en-US"/>
        </w:rPr>
      </w:pPr>
      <w:r w:rsidRPr="00EE2A26">
        <w:rPr>
          <w:rFonts w:cs="Arial"/>
          <w:bCs/>
          <w:sz w:val="18"/>
          <w:szCs w:val="18"/>
          <w:lang w:val="en-US"/>
        </w:rPr>
        <w:t>Delphi Method (Expert Evaluation):</w:t>
      </w:r>
      <w:r w:rsidRPr="00EE2A26">
        <w:rPr>
          <w:rFonts w:cs="Arial"/>
          <w:sz w:val="18"/>
          <w:szCs w:val="18"/>
          <w:lang w:val="en-US"/>
        </w:rPr>
        <w:t xml:space="preserve"> Weighting coefficients for digital transformation indicators were established through surveys with 15 leading industry specialists. The primary factors identified were technological infrastructure (0.32), human capital (0.27), management systems (0.21), and financial resources (0.20).</w:t>
      </w:r>
    </w:p>
    <w:p w14:paraId="788CFCBC" w14:textId="46973D90" w:rsidR="00B07436" w:rsidRPr="00EE2A26" w:rsidRDefault="00B07436" w:rsidP="008D4860">
      <w:pPr>
        <w:pStyle w:val="aff1"/>
        <w:rPr>
          <w:rFonts w:cs="Arial"/>
          <w:sz w:val="18"/>
          <w:szCs w:val="18"/>
          <w:lang w:val="en-US"/>
        </w:rPr>
      </w:pPr>
      <w:r w:rsidRPr="00EE2A26">
        <w:rPr>
          <w:rFonts w:cs="Arial"/>
          <w:sz w:val="18"/>
          <w:szCs w:val="18"/>
          <w:lang w:val="en-US"/>
        </w:rPr>
        <w:t>The study utilized a combination of primary and secondary data sources:</w:t>
      </w:r>
      <w:r w:rsidR="008D4860" w:rsidRPr="00EE2A26">
        <w:rPr>
          <w:rFonts w:cs="Arial"/>
          <w:sz w:val="18"/>
          <w:szCs w:val="18"/>
          <w:lang w:val="en-US"/>
        </w:rPr>
        <w:t xml:space="preserve"> </w:t>
      </w:r>
      <w:r w:rsidRPr="00EE2A26">
        <w:rPr>
          <w:rFonts w:cs="Arial"/>
          <w:bCs/>
          <w:sz w:val="18"/>
          <w:szCs w:val="18"/>
          <w:lang w:val="en-US"/>
        </w:rPr>
        <w:t>Primary Data:</w:t>
      </w:r>
      <w:r w:rsidRPr="00EE2A26">
        <w:rPr>
          <w:rFonts w:cs="Arial"/>
          <w:sz w:val="18"/>
          <w:szCs w:val="18"/>
          <w:lang w:val="en-US"/>
        </w:rPr>
        <w:t xml:space="preserve"> Surveys conducted among construction enterprises and semi-structured interviews with approximately 20 experts (Sample distribution: 35% large, 40% med</w:t>
      </w:r>
      <w:r w:rsidR="008D4860" w:rsidRPr="00EE2A26">
        <w:rPr>
          <w:rFonts w:cs="Arial"/>
          <w:sz w:val="18"/>
          <w:szCs w:val="18"/>
          <w:lang w:val="en-US"/>
        </w:rPr>
        <w:t xml:space="preserve">ium, and 25% small enterprises); </w:t>
      </w:r>
      <w:r w:rsidRPr="00EE2A26">
        <w:rPr>
          <w:rFonts w:cs="Arial"/>
          <w:bCs/>
          <w:sz w:val="18"/>
          <w:szCs w:val="18"/>
          <w:lang w:val="en-US"/>
        </w:rPr>
        <w:t>Secondary Data:</w:t>
      </w:r>
      <w:r w:rsidRPr="00EE2A26">
        <w:rPr>
          <w:rFonts w:cs="Arial"/>
          <w:sz w:val="18"/>
          <w:szCs w:val="18"/>
          <w:lang w:val="en-US"/>
        </w:rPr>
        <w:t xml:space="preserve"> Reports from the State Statistics Committee of Uzbekistan, the World Bank, the Asian Development Bank, and national regulatory frameworks.</w:t>
      </w:r>
    </w:p>
    <w:p w14:paraId="53C8B6DA" w14:textId="77777777" w:rsidR="00B07436" w:rsidRPr="00EE2A26" w:rsidRDefault="00B07436" w:rsidP="00B07436">
      <w:pPr>
        <w:pStyle w:val="aff1"/>
        <w:rPr>
          <w:rFonts w:cs="Arial"/>
          <w:sz w:val="18"/>
          <w:szCs w:val="18"/>
          <w:lang w:val="en-US"/>
        </w:rPr>
      </w:pPr>
      <w:r w:rsidRPr="00EE2A26">
        <w:rPr>
          <w:rFonts w:cs="Arial"/>
          <w:sz w:val="18"/>
          <w:szCs w:val="18"/>
          <w:lang w:val="en-US"/>
        </w:rPr>
        <w:t xml:space="preserve">Quantitative data were processed using </w:t>
      </w:r>
      <w:r w:rsidRPr="00EE2A26">
        <w:rPr>
          <w:rFonts w:cs="Arial"/>
          <w:bCs/>
          <w:sz w:val="18"/>
          <w:szCs w:val="18"/>
          <w:lang w:val="en-US"/>
        </w:rPr>
        <w:t>SPSS</w:t>
      </w:r>
      <w:r w:rsidRPr="00EE2A26">
        <w:rPr>
          <w:rFonts w:cs="Arial"/>
          <w:sz w:val="18"/>
          <w:szCs w:val="18"/>
          <w:lang w:val="en-US"/>
        </w:rPr>
        <w:t xml:space="preserve"> and </w:t>
      </w:r>
      <w:r w:rsidRPr="00EE2A26">
        <w:rPr>
          <w:rFonts w:cs="Arial"/>
          <w:bCs/>
          <w:sz w:val="18"/>
          <w:szCs w:val="18"/>
          <w:lang w:val="en-US"/>
        </w:rPr>
        <w:t>Stata</w:t>
      </w:r>
      <w:r w:rsidRPr="00EE2A26">
        <w:rPr>
          <w:rFonts w:cs="Arial"/>
          <w:sz w:val="18"/>
          <w:szCs w:val="18"/>
          <w:lang w:val="en-US"/>
        </w:rPr>
        <w:t xml:space="preserve"> software, employing descriptive statistics, correlation analysis (</w:t>
      </w:r>
      <w:r w:rsidRPr="00EE2A26">
        <w:rPr>
          <w:rStyle w:val="math-inline"/>
          <w:rFonts w:cs="Arial"/>
          <w:sz w:val="18"/>
          <w:szCs w:val="18"/>
          <w:lang w:val="en-US"/>
        </w:rPr>
        <w:t>r = 0.65–0.72</w:t>
      </w:r>
      <w:r w:rsidRPr="00EE2A26">
        <w:rPr>
          <w:rFonts w:cs="Arial"/>
          <w:sz w:val="18"/>
          <w:szCs w:val="18"/>
          <w:lang w:val="en-US"/>
        </w:rPr>
        <w:t xml:space="preserve">), and regression modeling to quantify the impact of digital factors on efficiency. Qualitative data were coded and themed using </w:t>
      </w:r>
      <w:r w:rsidRPr="00EE2A26">
        <w:rPr>
          <w:rFonts w:cs="Arial"/>
          <w:bCs/>
          <w:sz w:val="18"/>
          <w:szCs w:val="18"/>
          <w:lang w:val="en-US"/>
        </w:rPr>
        <w:t>NVivo</w:t>
      </w:r>
      <w:r w:rsidRPr="00EE2A26">
        <w:rPr>
          <w:rFonts w:cs="Arial"/>
          <w:sz w:val="18"/>
          <w:szCs w:val="18"/>
          <w:lang w:val="en-US"/>
        </w:rPr>
        <w:t xml:space="preserve"> software.</w:t>
      </w:r>
    </w:p>
    <w:p w14:paraId="561B9B17" w14:textId="77777777" w:rsidR="00B07436" w:rsidRPr="00EE2A26" w:rsidRDefault="00B07436" w:rsidP="00B07436">
      <w:pPr>
        <w:pStyle w:val="aff1"/>
        <w:rPr>
          <w:rFonts w:cs="Arial"/>
          <w:sz w:val="18"/>
          <w:szCs w:val="18"/>
          <w:lang w:val="en-US"/>
        </w:rPr>
      </w:pPr>
      <w:r w:rsidRPr="00EE2A26">
        <w:rPr>
          <w:rFonts w:cs="Arial"/>
          <w:sz w:val="18"/>
          <w:szCs w:val="18"/>
          <w:lang w:val="en-US"/>
        </w:rPr>
        <w:t>The selected methodology aligns strictly with the research objectives. The quantitative approach ensures measurable precision, while qualitative analysis elucidates causal relationships. The reliability of the study is reinforced by the following factors:</w:t>
      </w:r>
    </w:p>
    <w:p w14:paraId="7C19AFA6" w14:textId="77777777" w:rsidR="00B07436" w:rsidRPr="00EE2A26" w:rsidRDefault="00B07436" w:rsidP="008D4860">
      <w:pPr>
        <w:pStyle w:val="aff1"/>
        <w:numPr>
          <w:ilvl w:val="0"/>
          <w:numId w:val="27"/>
        </w:numPr>
        <w:tabs>
          <w:tab w:val="clear" w:pos="720"/>
          <w:tab w:val="clear" w:pos="7100"/>
          <w:tab w:val="num" w:pos="284"/>
        </w:tabs>
        <w:spacing w:line="240" w:lineRule="auto"/>
        <w:ind w:left="0" w:firstLine="0"/>
        <w:rPr>
          <w:rFonts w:cs="Arial"/>
          <w:sz w:val="18"/>
          <w:szCs w:val="18"/>
          <w:lang w:val="en-US"/>
        </w:rPr>
      </w:pPr>
      <w:r w:rsidRPr="00EE2A26">
        <w:rPr>
          <w:rFonts w:cs="Arial"/>
          <w:bCs/>
          <w:sz w:val="18"/>
          <w:szCs w:val="18"/>
          <w:lang w:val="en-US"/>
        </w:rPr>
        <w:t>Methodological Triangulation:</w:t>
      </w:r>
      <w:r w:rsidRPr="00EE2A26">
        <w:rPr>
          <w:rFonts w:cs="Arial"/>
          <w:sz w:val="18"/>
          <w:szCs w:val="18"/>
          <w:lang w:val="en-US"/>
        </w:rPr>
        <w:t xml:space="preserve"> Cross-verification of results through diverse analytical methods.</w:t>
      </w:r>
    </w:p>
    <w:p w14:paraId="00745B89" w14:textId="77777777" w:rsidR="00B07436" w:rsidRPr="00EE2A26" w:rsidRDefault="00B07436" w:rsidP="008D4860">
      <w:pPr>
        <w:pStyle w:val="aff1"/>
        <w:numPr>
          <w:ilvl w:val="0"/>
          <w:numId w:val="27"/>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Representative Sampling:</w:t>
      </w:r>
      <w:r w:rsidRPr="00EE2A26">
        <w:rPr>
          <w:rFonts w:cs="Arial"/>
          <w:sz w:val="18"/>
          <w:szCs w:val="18"/>
          <w:lang w:val="en-US"/>
        </w:rPr>
        <w:t xml:space="preserve"> Inclusion of diverse construction entities across the industry.</w:t>
      </w:r>
    </w:p>
    <w:p w14:paraId="26CC21E3" w14:textId="77777777" w:rsidR="004C1477" w:rsidRPr="00EE2A26" w:rsidRDefault="00B07436" w:rsidP="008D4860">
      <w:pPr>
        <w:pStyle w:val="aff1"/>
        <w:numPr>
          <w:ilvl w:val="0"/>
          <w:numId w:val="27"/>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Cronbach’s Alpha:</w:t>
      </w:r>
      <w:r w:rsidRPr="00EE2A26">
        <w:rPr>
          <w:rFonts w:cs="Arial"/>
          <w:sz w:val="18"/>
          <w:szCs w:val="18"/>
          <w:lang w:val="en-US"/>
        </w:rPr>
        <w:t xml:space="preserve"> The survey instrument demonstrated high internal consistency with a coefficient of 0.81.</w:t>
      </w:r>
    </w:p>
    <w:p w14:paraId="51BA1200" w14:textId="30D642C4" w:rsidR="00600535" w:rsidRPr="00EE2A26" w:rsidRDefault="00B07436" w:rsidP="008D4860">
      <w:pPr>
        <w:pStyle w:val="aff1"/>
        <w:numPr>
          <w:ilvl w:val="0"/>
          <w:numId w:val="27"/>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Statistical Significance:</w:t>
      </w:r>
      <w:r w:rsidRPr="00EE2A26">
        <w:rPr>
          <w:rFonts w:cs="Arial"/>
          <w:sz w:val="18"/>
          <w:szCs w:val="18"/>
          <w:lang w:val="en-US"/>
        </w:rPr>
        <w:t xml:space="preserve"> All key findings were validated at a significance level of </w:t>
      </w:r>
      <w:r w:rsidRPr="00EE2A26">
        <w:rPr>
          <w:rStyle w:val="math-inline"/>
          <w:rFonts w:cs="Arial"/>
          <w:sz w:val="18"/>
          <w:szCs w:val="18"/>
          <w:lang w:val="en-US"/>
        </w:rPr>
        <w:t>p &lt; 0.05.</w:t>
      </w:r>
    </w:p>
    <w:p w14:paraId="68D26B83" w14:textId="1E00F2DA" w:rsidR="00600535" w:rsidRPr="00EE2A26" w:rsidRDefault="004C1477" w:rsidP="00527C4C">
      <w:pPr>
        <w:pStyle w:val="CETHeading1"/>
      </w:pPr>
      <w:r w:rsidRPr="00EE2A26">
        <w:t>Research Results</w:t>
      </w:r>
      <w:r w:rsidR="00527C4C" w:rsidRPr="00EE2A26">
        <w:t xml:space="preserve"> and </w:t>
      </w:r>
      <w:r w:rsidR="00527C4C" w:rsidRPr="00EE2A26">
        <w:rPr>
          <w:lang w:val="en-GB"/>
        </w:rPr>
        <w:t>Discussion</w:t>
      </w:r>
    </w:p>
    <w:p w14:paraId="46F3734F" w14:textId="77777777" w:rsidR="004C1477" w:rsidRPr="00EE2A26" w:rsidRDefault="004C1477" w:rsidP="004C1477">
      <w:pPr>
        <w:pStyle w:val="CETBodytext"/>
        <w:rPr>
          <w:lang w:val="en-GB"/>
        </w:rPr>
      </w:pPr>
      <w:r w:rsidRPr="00EE2A26">
        <w:rPr>
          <w:lang w:val="en-GB"/>
        </w:rPr>
        <w:t>This section systematically delineates the findings of the empirical study focused on evaluating the trajectory of digital transformation within the construction industry. The results are synthesized exclusively from aggregated statistical data, maintaining a rigorous standard of objectivity in their interpretation. The research encompasses an analysis of construction material manufacturers and infrastructure organizations operating between 2020 and 2025.</w:t>
      </w:r>
    </w:p>
    <w:p w14:paraId="049B7F69" w14:textId="77777777" w:rsidR="004C1477" w:rsidRPr="00EE2A26" w:rsidRDefault="004C1477" w:rsidP="004C1477">
      <w:pPr>
        <w:pStyle w:val="CETBodytext"/>
        <w:rPr>
          <w:lang w:val="en-GB"/>
        </w:rPr>
      </w:pPr>
      <w:r w:rsidRPr="00EE2A26">
        <w:rPr>
          <w:lang w:val="en-GB"/>
        </w:rPr>
        <w:t>Sample Composition and General Indicators. The empirical analysis was conducted across a representative sample of organizations, categorized by enterprise scale. The structural breakdown is as follows:</w:t>
      </w:r>
    </w:p>
    <w:p w14:paraId="33F8138F" w14:textId="57FDB8BE" w:rsidR="00600535" w:rsidRPr="00EE2A26" w:rsidRDefault="004C1477" w:rsidP="004C1477">
      <w:pPr>
        <w:pStyle w:val="CETBodytext"/>
        <w:rPr>
          <w:i/>
          <w:lang w:val="en-GB"/>
        </w:rPr>
      </w:pPr>
      <w:r w:rsidRPr="00EE2A26">
        <w:rPr>
          <w:i/>
          <w:lang w:val="en-GB"/>
        </w:rPr>
        <w:t>Table 1. Distribution of Surveyed Organizations</w:t>
      </w:r>
    </w:p>
    <w:p w14:paraId="3BA54696" w14:textId="4E91C21B" w:rsidR="004C1477" w:rsidRPr="00EE2A26" w:rsidRDefault="004C1477" w:rsidP="004C1477">
      <w:pPr>
        <w:pStyle w:val="CETBodytext"/>
        <w:rPr>
          <w:lang w:val="en-GB"/>
        </w:rPr>
      </w:pP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3261"/>
        <w:gridCol w:w="1842"/>
        <w:gridCol w:w="2835"/>
      </w:tblGrid>
      <w:tr w:rsidR="00C37CF6" w:rsidRPr="00EE2A26" w14:paraId="0FC70999" w14:textId="77777777" w:rsidTr="00C37CF6">
        <w:tc>
          <w:tcPr>
            <w:tcW w:w="3261" w:type="dxa"/>
            <w:tcBorders>
              <w:top w:val="single" w:sz="12" w:space="0" w:color="008000"/>
              <w:bottom w:val="single" w:sz="6" w:space="0" w:color="008000"/>
            </w:tcBorders>
            <w:shd w:val="clear" w:color="auto" w:fill="FFFFFF"/>
          </w:tcPr>
          <w:p w14:paraId="21DA6828" w14:textId="44DC909C" w:rsidR="00C37CF6" w:rsidRPr="00EE2A26" w:rsidRDefault="00C37CF6" w:rsidP="001E0923">
            <w:pPr>
              <w:pStyle w:val="CETBodytext"/>
              <w:rPr>
                <w:lang w:val="en-GB"/>
              </w:rPr>
            </w:pPr>
            <w:r w:rsidRPr="00EE2A26">
              <w:rPr>
                <w:rFonts w:cs="Arial"/>
                <w:b/>
                <w:bCs/>
                <w:color w:val="1F1F1F"/>
                <w:szCs w:val="18"/>
                <w:bdr w:val="none" w:sz="0" w:space="0" w:color="auto" w:frame="1"/>
                <w:lang w:eastAsia="ru-RU"/>
              </w:rPr>
              <w:t>Enterprise Category</w:t>
            </w:r>
          </w:p>
        </w:tc>
        <w:tc>
          <w:tcPr>
            <w:tcW w:w="1842" w:type="dxa"/>
            <w:tcBorders>
              <w:top w:val="single" w:sz="12" w:space="0" w:color="008000"/>
              <w:bottom w:val="single" w:sz="6" w:space="0" w:color="008000"/>
            </w:tcBorders>
            <w:shd w:val="clear" w:color="auto" w:fill="FFFFFF"/>
          </w:tcPr>
          <w:p w14:paraId="52DA79DB" w14:textId="2D09D04B" w:rsidR="00C37CF6" w:rsidRPr="00EE2A26" w:rsidRDefault="00C37CF6" w:rsidP="001E0923">
            <w:pPr>
              <w:pStyle w:val="CETBodytext"/>
              <w:rPr>
                <w:lang w:val="en-GB"/>
              </w:rPr>
            </w:pPr>
            <w:r w:rsidRPr="00EE2A26">
              <w:rPr>
                <w:rFonts w:cs="Arial"/>
                <w:b/>
                <w:bCs/>
                <w:color w:val="1F1F1F"/>
                <w:szCs w:val="18"/>
                <w:bdr w:val="none" w:sz="0" w:space="0" w:color="auto" w:frame="1"/>
                <w:lang w:eastAsia="ru-RU"/>
              </w:rPr>
              <w:t>Share (%)</w:t>
            </w:r>
          </w:p>
        </w:tc>
        <w:tc>
          <w:tcPr>
            <w:tcW w:w="2835" w:type="dxa"/>
            <w:tcBorders>
              <w:top w:val="single" w:sz="12" w:space="0" w:color="008000"/>
              <w:bottom w:val="single" w:sz="6" w:space="0" w:color="008000"/>
            </w:tcBorders>
            <w:shd w:val="clear" w:color="auto" w:fill="FFFFFF"/>
          </w:tcPr>
          <w:p w14:paraId="2281B0A9" w14:textId="4E45CDC8" w:rsidR="00C37CF6" w:rsidRPr="00EE2A26" w:rsidRDefault="00C37CF6" w:rsidP="001E0923">
            <w:pPr>
              <w:pStyle w:val="CETBodytext"/>
              <w:rPr>
                <w:lang w:val="en-GB"/>
              </w:rPr>
            </w:pPr>
            <w:r w:rsidRPr="00EE2A26">
              <w:rPr>
                <w:rFonts w:cs="Arial"/>
                <w:b/>
                <w:bCs/>
                <w:color w:val="1F1F1F"/>
                <w:szCs w:val="18"/>
                <w:bdr w:val="none" w:sz="0" w:space="0" w:color="auto" w:frame="1"/>
                <w:lang w:eastAsia="ru-RU"/>
              </w:rPr>
              <w:t>Number of Entities</w:t>
            </w:r>
          </w:p>
        </w:tc>
      </w:tr>
      <w:tr w:rsidR="00C37CF6" w:rsidRPr="00EE2A26" w14:paraId="4AD889A5" w14:textId="77777777" w:rsidTr="00C37CF6">
        <w:tc>
          <w:tcPr>
            <w:tcW w:w="3261" w:type="dxa"/>
            <w:shd w:val="clear" w:color="auto" w:fill="FFFFFF"/>
          </w:tcPr>
          <w:p w14:paraId="61C7DB0B" w14:textId="43F8A4B5" w:rsidR="00C37CF6" w:rsidRPr="00EE2A26" w:rsidRDefault="00C37CF6" w:rsidP="001E0923">
            <w:pPr>
              <w:pStyle w:val="CETBodytext"/>
              <w:rPr>
                <w:lang w:val="en-GB"/>
              </w:rPr>
            </w:pPr>
            <w:r w:rsidRPr="00EE2A26">
              <w:rPr>
                <w:rFonts w:cs="Arial"/>
                <w:color w:val="1F1F1F"/>
                <w:szCs w:val="18"/>
                <w:bdr w:val="none" w:sz="0" w:space="0" w:color="auto" w:frame="1"/>
                <w:lang w:eastAsia="ru-RU"/>
              </w:rPr>
              <w:t>Large-scale</w:t>
            </w:r>
          </w:p>
        </w:tc>
        <w:tc>
          <w:tcPr>
            <w:tcW w:w="1842" w:type="dxa"/>
            <w:shd w:val="clear" w:color="auto" w:fill="FFFFFF"/>
          </w:tcPr>
          <w:p w14:paraId="4B2B1222" w14:textId="34D388A6" w:rsidR="00C37CF6" w:rsidRPr="00EE2A26" w:rsidRDefault="00C37CF6" w:rsidP="001E0923">
            <w:pPr>
              <w:pStyle w:val="CETBodytext"/>
              <w:rPr>
                <w:lang w:val="en-GB"/>
              </w:rPr>
            </w:pPr>
            <w:r w:rsidRPr="00EE2A26">
              <w:rPr>
                <w:rFonts w:cs="Arial"/>
                <w:color w:val="1F1F1F"/>
                <w:szCs w:val="18"/>
                <w:bdr w:val="none" w:sz="0" w:space="0" w:color="auto" w:frame="1"/>
                <w:lang w:eastAsia="ru-RU"/>
              </w:rPr>
              <w:t>35%</w:t>
            </w:r>
          </w:p>
        </w:tc>
        <w:tc>
          <w:tcPr>
            <w:tcW w:w="2835" w:type="dxa"/>
            <w:shd w:val="clear" w:color="auto" w:fill="FFFFFF"/>
          </w:tcPr>
          <w:p w14:paraId="4E6373B9" w14:textId="322E1A6D" w:rsidR="00C37CF6" w:rsidRPr="00EE2A26" w:rsidRDefault="00C37CF6" w:rsidP="001E0923">
            <w:pPr>
              <w:pStyle w:val="CETBodytext"/>
              <w:rPr>
                <w:lang w:val="en-GB"/>
              </w:rPr>
            </w:pPr>
            <w:r w:rsidRPr="00EE2A26">
              <w:rPr>
                <w:rFonts w:cs="Arial"/>
                <w:color w:val="1F1F1F"/>
                <w:szCs w:val="18"/>
                <w:bdr w:val="none" w:sz="0" w:space="0" w:color="auto" w:frame="1"/>
                <w:lang w:eastAsia="ru-RU"/>
              </w:rPr>
              <w:t>42</w:t>
            </w:r>
          </w:p>
        </w:tc>
      </w:tr>
      <w:tr w:rsidR="00C37CF6" w:rsidRPr="00EE2A26" w14:paraId="19911F16" w14:textId="77777777" w:rsidTr="00C37CF6">
        <w:tc>
          <w:tcPr>
            <w:tcW w:w="3261" w:type="dxa"/>
            <w:shd w:val="clear" w:color="auto" w:fill="FFFFFF"/>
          </w:tcPr>
          <w:p w14:paraId="70255901" w14:textId="2DB8A46F"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Medium-scale</w:t>
            </w:r>
          </w:p>
        </w:tc>
        <w:tc>
          <w:tcPr>
            <w:tcW w:w="1842" w:type="dxa"/>
            <w:shd w:val="clear" w:color="auto" w:fill="FFFFFF"/>
          </w:tcPr>
          <w:p w14:paraId="63D461F0" w14:textId="1F891230"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40%</w:t>
            </w:r>
          </w:p>
        </w:tc>
        <w:tc>
          <w:tcPr>
            <w:tcW w:w="2835" w:type="dxa"/>
            <w:shd w:val="clear" w:color="auto" w:fill="FFFFFF"/>
          </w:tcPr>
          <w:p w14:paraId="65BE27A6" w14:textId="688B8970"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48</w:t>
            </w:r>
          </w:p>
        </w:tc>
      </w:tr>
      <w:tr w:rsidR="00C37CF6" w:rsidRPr="00EE2A26" w14:paraId="3DE15E6A" w14:textId="77777777" w:rsidTr="00C37CF6">
        <w:tc>
          <w:tcPr>
            <w:tcW w:w="3261" w:type="dxa"/>
            <w:shd w:val="clear" w:color="auto" w:fill="FFFFFF"/>
          </w:tcPr>
          <w:p w14:paraId="61D4A6E7" w14:textId="4C246AE6"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Small-scale</w:t>
            </w:r>
          </w:p>
        </w:tc>
        <w:tc>
          <w:tcPr>
            <w:tcW w:w="1842" w:type="dxa"/>
            <w:shd w:val="clear" w:color="auto" w:fill="FFFFFF"/>
          </w:tcPr>
          <w:p w14:paraId="3613C7DB" w14:textId="2C25D1E6"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25%</w:t>
            </w:r>
          </w:p>
        </w:tc>
        <w:tc>
          <w:tcPr>
            <w:tcW w:w="2835" w:type="dxa"/>
            <w:shd w:val="clear" w:color="auto" w:fill="FFFFFF"/>
          </w:tcPr>
          <w:p w14:paraId="2FE6F187" w14:textId="41F21DF3" w:rsidR="00C37CF6" w:rsidRPr="00EE2A26" w:rsidRDefault="00C37CF6" w:rsidP="001E0923">
            <w:pPr>
              <w:pStyle w:val="CETBodytext"/>
              <w:ind w:right="-1"/>
              <w:rPr>
                <w:rFonts w:cs="Arial"/>
                <w:szCs w:val="18"/>
                <w:lang w:val="en-GB"/>
              </w:rPr>
            </w:pPr>
            <w:r w:rsidRPr="00EE2A26">
              <w:rPr>
                <w:rFonts w:cs="Arial"/>
                <w:color w:val="1F1F1F"/>
                <w:szCs w:val="18"/>
                <w:bdr w:val="none" w:sz="0" w:space="0" w:color="auto" w:frame="1"/>
                <w:lang w:eastAsia="ru-RU"/>
              </w:rPr>
              <w:t>30</w:t>
            </w:r>
          </w:p>
        </w:tc>
      </w:tr>
    </w:tbl>
    <w:p w14:paraId="48D068F0" w14:textId="7E56A4F0" w:rsidR="004C1477" w:rsidRPr="00EE2A26" w:rsidRDefault="004C1477" w:rsidP="004C1477">
      <w:pPr>
        <w:pStyle w:val="CETBodytext"/>
        <w:rPr>
          <w:lang w:val="en-GB"/>
        </w:rPr>
      </w:pPr>
    </w:p>
    <w:p w14:paraId="7BE5803A" w14:textId="264EC5B0" w:rsidR="00C967CB" w:rsidRPr="00EE2A26" w:rsidRDefault="0052123F" w:rsidP="00C967CB">
      <w:pPr>
        <w:pStyle w:val="aff1"/>
        <w:rPr>
          <w:rFonts w:cs="Arial"/>
          <w:sz w:val="18"/>
          <w:szCs w:val="18"/>
          <w:lang w:val="en-US"/>
        </w:rPr>
      </w:pPr>
      <w:r w:rsidRPr="00EE2A26">
        <w:rPr>
          <w:rFonts w:cs="Arial"/>
          <w:sz w:val="18"/>
          <w:szCs w:val="18"/>
          <w:lang w:val="en-US"/>
        </w:rPr>
        <w:t>Survey findings reveal that 68% of the organizations have implemented at least one core digital technology, while 32% remain at a rudim</w:t>
      </w:r>
      <w:r w:rsidR="0048510C" w:rsidRPr="00EE2A26">
        <w:rPr>
          <w:rFonts w:cs="Arial"/>
          <w:sz w:val="18"/>
          <w:szCs w:val="18"/>
          <w:lang w:val="en-US"/>
        </w:rPr>
        <w:t>entary level of digitalization.</w:t>
      </w:r>
    </w:p>
    <w:p w14:paraId="620F8F3E" w14:textId="72EA5344" w:rsidR="00C967CB" w:rsidRPr="00EE2A26" w:rsidRDefault="00C967CB" w:rsidP="00AD08B6">
      <w:pPr>
        <w:pStyle w:val="41"/>
        <w:rPr>
          <w:rFonts w:ascii="Arial" w:hAnsi="Arial" w:cs="Arial"/>
          <w:b w:val="0"/>
          <w:i w:val="0"/>
          <w:color w:val="auto"/>
          <w:szCs w:val="18"/>
          <w:lang w:val="en-US"/>
        </w:rPr>
      </w:pPr>
      <w:r w:rsidRPr="00EE2A26">
        <w:rPr>
          <w:rFonts w:ascii="Arial" w:hAnsi="Arial" w:cs="Arial"/>
          <w:b w:val="0"/>
          <w:i w:val="0"/>
          <w:color w:val="auto"/>
          <w:szCs w:val="18"/>
          <w:lang w:val="en-US"/>
        </w:rPr>
        <w:lastRenderedPageBreak/>
        <w:t>Deployment of Digital Technologies</w:t>
      </w:r>
      <w:r w:rsidR="00AD08B6" w:rsidRPr="00EE2A26">
        <w:rPr>
          <w:rFonts w:ascii="Arial" w:hAnsi="Arial" w:cs="Arial"/>
          <w:b w:val="0"/>
          <w:i w:val="0"/>
          <w:color w:val="auto"/>
          <w:szCs w:val="18"/>
          <w:lang w:val="en-US"/>
        </w:rPr>
        <w:t xml:space="preserve">. </w:t>
      </w:r>
      <w:r w:rsidRPr="00EE2A26">
        <w:rPr>
          <w:rFonts w:ascii="Arial" w:hAnsi="Arial" w:cs="Arial"/>
          <w:b w:val="0"/>
          <w:i w:val="0"/>
          <w:color w:val="auto"/>
          <w:szCs w:val="18"/>
          <w:lang w:val="en-US"/>
        </w:rPr>
        <w:t>By 2025, the adoption rates of various digital solutions within these enterprises highlighted a significant technological gap:</w:t>
      </w:r>
    </w:p>
    <w:p w14:paraId="09F727C6" w14:textId="687B8B56" w:rsidR="00C967CB" w:rsidRPr="00EE2A26" w:rsidRDefault="00C967CB" w:rsidP="00C967CB">
      <w:pPr>
        <w:pStyle w:val="aff1"/>
        <w:rPr>
          <w:rFonts w:cs="Arial"/>
          <w:bCs/>
          <w:i/>
          <w:sz w:val="18"/>
          <w:szCs w:val="18"/>
          <w:lang w:val="en-US"/>
        </w:rPr>
      </w:pPr>
      <w:r w:rsidRPr="00EE2A26">
        <w:rPr>
          <w:rFonts w:cs="Arial"/>
          <w:bCs/>
          <w:i/>
          <w:sz w:val="18"/>
          <w:szCs w:val="18"/>
          <w:lang w:val="en-US"/>
        </w:rPr>
        <w:t>Table 2. Adoption Rate of Digital Technologies (as of 2025)</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820"/>
        <w:gridCol w:w="3685"/>
      </w:tblGrid>
      <w:tr w:rsidR="00500980" w:rsidRPr="00EE2A26" w14:paraId="6F030CF2" w14:textId="77777777" w:rsidTr="00500980">
        <w:tc>
          <w:tcPr>
            <w:tcW w:w="4820" w:type="dxa"/>
            <w:tcBorders>
              <w:top w:val="single" w:sz="12" w:space="0" w:color="008000"/>
              <w:bottom w:val="single" w:sz="6" w:space="0" w:color="008000"/>
            </w:tcBorders>
            <w:shd w:val="clear" w:color="auto" w:fill="FFFFFF"/>
          </w:tcPr>
          <w:p w14:paraId="48AC7226" w14:textId="023E6CD7" w:rsidR="00500980" w:rsidRPr="00EE2A26" w:rsidRDefault="00500980" w:rsidP="00500980">
            <w:pPr>
              <w:pStyle w:val="CETBodytext"/>
              <w:rPr>
                <w:lang w:val="en-GB"/>
              </w:rPr>
            </w:pPr>
            <w:r w:rsidRPr="00EE2A26">
              <w:rPr>
                <w:rFonts w:cs="Arial"/>
                <w:b/>
                <w:bCs/>
                <w:color w:val="1F1F1F"/>
                <w:szCs w:val="18"/>
                <w:bdr w:val="none" w:sz="0" w:space="0" w:color="auto" w:frame="1"/>
                <w:lang w:eastAsia="ru-RU"/>
              </w:rPr>
              <w:t>Technology Type</w:t>
            </w:r>
          </w:p>
        </w:tc>
        <w:tc>
          <w:tcPr>
            <w:tcW w:w="3685" w:type="dxa"/>
            <w:tcBorders>
              <w:top w:val="single" w:sz="12" w:space="0" w:color="008000"/>
              <w:bottom w:val="single" w:sz="6" w:space="0" w:color="008000"/>
            </w:tcBorders>
            <w:shd w:val="clear" w:color="auto" w:fill="FFFFFF"/>
          </w:tcPr>
          <w:p w14:paraId="1AA3E8C2" w14:textId="0F01B43E" w:rsidR="00500980" w:rsidRPr="00EE2A26" w:rsidRDefault="00500980" w:rsidP="00500980">
            <w:pPr>
              <w:pStyle w:val="CETBodytext"/>
              <w:rPr>
                <w:lang w:val="en-GB"/>
              </w:rPr>
            </w:pPr>
            <w:r w:rsidRPr="00EE2A26">
              <w:rPr>
                <w:rFonts w:cs="Arial"/>
                <w:b/>
                <w:bCs/>
                <w:color w:val="1F1F1F"/>
                <w:szCs w:val="18"/>
                <w:bdr w:val="none" w:sz="0" w:space="0" w:color="auto" w:frame="1"/>
                <w:lang w:eastAsia="ru-RU"/>
              </w:rPr>
              <w:t>Implementation Share (%)</w:t>
            </w:r>
          </w:p>
        </w:tc>
      </w:tr>
      <w:tr w:rsidR="00500980" w:rsidRPr="00EE2A26" w14:paraId="0CAA642C" w14:textId="77777777" w:rsidTr="00500980">
        <w:tc>
          <w:tcPr>
            <w:tcW w:w="4820" w:type="dxa"/>
            <w:shd w:val="clear" w:color="auto" w:fill="FFFFFF"/>
          </w:tcPr>
          <w:p w14:paraId="631489F0" w14:textId="0C180A41" w:rsidR="00500980" w:rsidRPr="00EE2A26" w:rsidRDefault="00500980" w:rsidP="00500980">
            <w:pPr>
              <w:pStyle w:val="CETBodytext"/>
              <w:rPr>
                <w:lang w:val="en-GB"/>
              </w:rPr>
            </w:pPr>
            <w:r w:rsidRPr="00EE2A26">
              <w:rPr>
                <w:rFonts w:cs="Arial"/>
                <w:color w:val="1F1F1F"/>
                <w:szCs w:val="18"/>
                <w:bdr w:val="none" w:sz="0" w:space="0" w:color="auto" w:frame="1"/>
                <w:lang w:eastAsia="ru-RU"/>
              </w:rPr>
              <w:t>Building Information Modeling (BIM)</w:t>
            </w:r>
          </w:p>
        </w:tc>
        <w:tc>
          <w:tcPr>
            <w:tcW w:w="3685" w:type="dxa"/>
            <w:shd w:val="clear" w:color="auto" w:fill="FFFFFF"/>
          </w:tcPr>
          <w:p w14:paraId="25FC96ED" w14:textId="7A2297D4" w:rsidR="00500980" w:rsidRPr="00EE2A26" w:rsidRDefault="00500980" w:rsidP="00500980">
            <w:pPr>
              <w:pStyle w:val="CETBodytext"/>
              <w:rPr>
                <w:lang w:val="en-GB"/>
              </w:rPr>
            </w:pPr>
            <w:r w:rsidRPr="00EE2A26">
              <w:rPr>
                <w:rFonts w:cs="Arial"/>
                <w:color w:val="1F1F1F"/>
                <w:szCs w:val="18"/>
                <w:bdr w:val="none" w:sz="0" w:space="0" w:color="auto" w:frame="1"/>
                <w:lang w:eastAsia="ru-RU"/>
              </w:rPr>
              <w:t>54%</w:t>
            </w:r>
          </w:p>
        </w:tc>
      </w:tr>
      <w:tr w:rsidR="00500980" w:rsidRPr="00EE2A26" w14:paraId="72D1A02E" w14:textId="77777777" w:rsidTr="00500980">
        <w:tc>
          <w:tcPr>
            <w:tcW w:w="4820" w:type="dxa"/>
            <w:shd w:val="clear" w:color="auto" w:fill="FFFFFF"/>
          </w:tcPr>
          <w:p w14:paraId="7FD1B3D6" w14:textId="350F8F20" w:rsidR="00500980" w:rsidRPr="00EE2A26" w:rsidRDefault="00500980" w:rsidP="00500980">
            <w:pPr>
              <w:pStyle w:val="CETBodytext"/>
              <w:ind w:right="-1"/>
              <w:rPr>
                <w:rFonts w:cs="Arial"/>
                <w:szCs w:val="18"/>
                <w:lang w:val="en-GB"/>
              </w:rPr>
            </w:pPr>
            <w:r w:rsidRPr="00EE2A26">
              <w:rPr>
                <w:rFonts w:cs="Arial"/>
                <w:color w:val="1F1F1F"/>
                <w:szCs w:val="18"/>
                <w:bdr w:val="none" w:sz="0" w:space="0" w:color="auto" w:frame="1"/>
                <w:lang w:eastAsia="ru-RU"/>
              </w:rPr>
              <w:t>Cloud Computing</w:t>
            </w:r>
          </w:p>
        </w:tc>
        <w:tc>
          <w:tcPr>
            <w:tcW w:w="3685" w:type="dxa"/>
            <w:shd w:val="clear" w:color="auto" w:fill="FFFFFF"/>
          </w:tcPr>
          <w:p w14:paraId="2AED205D" w14:textId="664B7957" w:rsidR="00500980" w:rsidRPr="00EE2A26" w:rsidRDefault="00500980" w:rsidP="00500980">
            <w:pPr>
              <w:pStyle w:val="CETBodytext"/>
              <w:ind w:right="-1"/>
              <w:rPr>
                <w:rFonts w:cs="Arial"/>
                <w:szCs w:val="18"/>
                <w:lang w:val="en-GB"/>
              </w:rPr>
            </w:pPr>
            <w:r w:rsidRPr="00EE2A26">
              <w:rPr>
                <w:rFonts w:cs="Arial"/>
                <w:color w:val="1F1F1F"/>
                <w:szCs w:val="18"/>
                <w:bdr w:val="none" w:sz="0" w:space="0" w:color="auto" w:frame="1"/>
                <w:lang w:eastAsia="ru-RU"/>
              </w:rPr>
              <w:t>47%</w:t>
            </w:r>
          </w:p>
        </w:tc>
      </w:tr>
      <w:tr w:rsidR="00500980" w:rsidRPr="00EE2A26" w14:paraId="64A8467D" w14:textId="77777777" w:rsidTr="00500980">
        <w:tc>
          <w:tcPr>
            <w:tcW w:w="4820" w:type="dxa"/>
            <w:shd w:val="clear" w:color="auto" w:fill="FFFFFF"/>
          </w:tcPr>
          <w:p w14:paraId="6EFAF434" w14:textId="1DEDA6A5" w:rsidR="00500980" w:rsidRPr="00EE2A26" w:rsidRDefault="00500980" w:rsidP="00500980">
            <w:pPr>
              <w:pStyle w:val="CETBodytext"/>
              <w:ind w:right="-1"/>
              <w:rPr>
                <w:rFonts w:cs="Arial"/>
                <w:szCs w:val="18"/>
                <w:lang w:val="en-GB"/>
              </w:rPr>
            </w:pPr>
            <w:r w:rsidRPr="00EE2A26">
              <w:rPr>
                <w:rFonts w:cs="Arial"/>
                <w:color w:val="1F1F1F"/>
                <w:szCs w:val="18"/>
                <w:bdr w:val="none" w:sz="0" w:space="0" w:color="auto" w:frame="1"/>
                <w:lang w:eastAsia="ru-RU"/>
              </w:rPr>
              <w:t>Internet of Things (IoT)</w:t>
            </w:r>
          </w:p>
        </w:tc>
        <w:tc>
          <w:tcPr>
            <w:tcW w:w="3685" w:type="dxa"/>
            <w:shd w:val="clear" w:color="auto" w:fill="FFFFFF"/>
          </w:tcPr>
          <w:p w14:paraId="2C775385" w14:textId="56FC9C05" w:rsidR="00500980" w:rsidRPr="00EE2A26" w:rsidRDefault="00500980" w:rsidP="00500980">
            <w:pPr>
              <w:pStyle w:val="CETBodytext"/>
              <w:ind w:right="-1"/>
              <w:rPr>
                <w:rFonts w:cs="Arial"/>
                <w:szCs w:val="18"/>
                <w:lang w:val="en-GB"/>
              </w:rPr>
            </w:pPr>
            <w:r w:rsidRPr="00EE2A26">
              <w:rPr>
                <w:rFonts w:cs="Arial"/>
                <w:color w:val="1F1F1F"/>
                <w:szCs w:val="18"/>
                <w:bdr w:val="none" w:sz="0" w:space="0" w:color="auto" w:frame="1"/>
                <w:lang w:eastAsia="ru-RU"/>
              </w:rPr>
              <w:t>29%</w:t>
            </w:r>
          </w:p>
        </w:tc>
      </w:tr>
      <w:tr w:rsidR="00500980" w:rsidRPr="00EE2A26" w14:paraId="320D9046" w14:textId="77777777" w:rsidTr="00500980">
        <w:tc>
          <w:tcPr>
            <w:tcW w:w="4820" w:type="dxa"/>
            <w:shd w:val="clear" w:color="auto" w:fill="FFFFFF"/>
          </w:tcPr>
          <w:p w14:paraId="088DBFA8" w14:textId="33FA4C66" w:rsidR="00500980" w:rsidRPr="00EE2A26" w:rsidRDefault="00500980" w:rsidP="00500980">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Big Data Analytics</w:t>
            </w:r>
          </w:p>
        </w:tc>
        <w:tc>
          <w:tcPr>
            <w:tcW w:w="3685" w:type="dxa"/>
            <w:shd w:val="clear" w:color="auto" w:fill="FFFFFF"/>
          </w:tcPr>
          <w:p w14:paraId="40FE4A8D" w14:textId="2451C411" w:rsidR="00500980" w:rsidRPr="00EE2A26" w:rsidRDefault="00500980" w:rsidP="00500980">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22%</w:t>
            </w:r>
          </w:p>
        </w:tc>
      </w:tr>
      <w:tr w:rsidR="00500980" w:rsidRPr="00EE2A26" w14:paraId="2C4D5B69" w14:textId="77777777" w:rsidTr="00500980">
        <w:tc>
          <w:tcPr>
            <w:tcW w:w="4820" w:type="dxa"/>
            <w:shd w:val="clear" w:color="auto" w:fill="FFFFFF"/>
          </w:tcPr>
          <w:p w14:paraId="4E3E6474" w14:textId="6FDB7FF0" w:rsidR="00500980" w:rsidRPr="00EE2A26" w:rsidRDefault="00500980" w:rsidP="00500980">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Artificial Intelligence (AI)</w:t>
            </w:r>
          </w:p>
        </w:tc>
        <w:tc>
          <w:tcPr>
            <w:tcW w:w="3685" w:type="dxa"/>
            <w:shd w:val="clear" w:color="auto" w:fill="FFFFFF"/>
          </w:tcPr>
          <w:p w14:paraId="4AA092E7" w14:textId="52C80A21" w:rsidR="00500980" w:rsidRPr="00EE2A26" w:rsidRDefault="00500980" w:rsidP="00500980">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18%</w:t>
            </w:r>
          </w:p>
        </w:tc>
      </w:tr>
    </w:tbl>
    <w:p w14:paraId="7CCE9BB8" w14:textId="77777777" w:rsidR="00AD08B6" w:rsidRPr="00EE2A26" w:rsidRDefault="00AD08B6" w:rsidP="00C967CB">
      <w:pPr>
        <w:pStyle w:val="aff1"/>
        <w:rPr>
          <w:rFonts w:cs="Arial"/>
          <w:sz w:val="18"/>
          <w:szCs w:val="18"/>
          <w:lang w:val="en-US"/>
        </w:rPr>
      </w:pPr>
    </w:p>
    <w:p w14:paraId="3F3A462D" w14:textId="2C42C2F0" w:rsidR="00C967CB" w:rsidRPr="00EE2A26" w:rsidRDefault="00C967CB" w:rsidP="00C967CB">
      <w:pPr>
        <w:pStyle w:val="aff1"/>
        <w:rPr>
          <w:rFonts w:cs="Arial"/>
          <w:sz w:val="18"/>
          <w:szCs w:val="18"/>
          <w:lang w:val="en-US"/>
        </w:rPr>
      </w:pPr>
      <w:r w:rsidRPr="00EE2A26">
        <w:rPr>
          <w:rFonts w:cs="Arial"/>
          <w:sz w:val="18"/>
          <w:szCs w:val="18"/>
          <w:lang w:val="en-US"/>
        </w:rPr>
        <w:t>Analysis indicates that while automation and ERP systems are relatively widespread among cement and metallurgical giants, the integration of advanced AI and Big Data analytics remains in the nascent stages.</w:t>
      </w:r>
      <w:r w:rsidR="00C403CC" w:rsidRPr="00EE2A26">
        <w:rPr>
          <w:rFonts w:cs="Arial"/>
          <w:sz w:val="18"/>
          <w:szCs w:val="18"/>
          <w:lang w:val="en-US"/>
        </w:rPr>
        <w:t xml:space="preserve"> </w:t>
      </w:r>
      <w:r w:rsidRPr="00EE2A26">
        <w:rPr>
          <w:rFonts w:cs="Arial"/>
          <w:sz w:val="18"/>
          <w:szCs w:val="18"/>
          <w:lang w:val="en-US"/>
        </w:rPr>
        <w:t>Assessment of Digital Maturity</w:t>
      </w:r>
      <w:r w:rsidR="00500980" w:rsidRPr="00EE2A26">
        <w:rPr>
          <w:rFonts w:cs="Arial"/>
          <w:sz w:val="18"/>
          <w:szCs w:val="18"/>
          <w:lang w:val="en-US"/>
        </w:rPr>
        <w:t xml:space="preserve">. </w:t>
      </w:r>
      <w:r w:rsidRPr="00EE2A26">
        <w:rPr>
          <w:rFonts w:cs="Arial"/>
          <w:sz w:val="18"/>
          <w:szCs w:val="18"/>
          <w:lang w:val="en-US"/>
        </w:rPr>
        <w:t>Digital maturity was quantified using a specialized integral index:</w:t>
      </w:r>
    </w:p>
    <w:p w14:paraId="24619849" w14:textId="4909B90B" w:rsidR="00D3047A" w:rsidRPr="00EE2A26" w:rsidRDefault="00D3047A" w:rsidP="00C96172">
      <w:pPr>
        <w:pStyle w:val="aff1"/>
        <w:jc w:val="center"/>
        <w:rPr>
          <w:rFonts w:cs="Arial"/>
          <w:sz w:val="18"/>
          <w:szCs w:val="18"/>
          <w:lang w:val="en-US"/>
        </w:rPr>
      </w:pPr>
      <m:oMathPara>
        <m:oMath>
          <m:r>
            <w:rPr>
              <w:rFonts w:ascii="Cambria Math" w:hAnsi="Cambria Math"/>
              <w:lang w:val="en-US" w:eastAsia="ru-RU"/>
            </w:rPr>
            <m:t>DMI</m:t>
          </m:r>
          <m:r>
            <w:rPr>
              <w:rFonts w:ascii="Cambria Math" w:eastAsia="Cambria Math" w:hAnsi="Cambria Math" w:cs="Cambria Math"/>
              <w:lang w:val="en-US" w:eastAsia="ru-RU"/>
            </w:rPr>
            <m:t>=</m:t>
          </m:r>
          <m:nary>
            <m:naryPr>
              <m:chr m:val="∑"/>
              <m:grow m:val="1"/>
              <m:ctrlPr>
                <w:rPr>
                  <w:rFonts w:ascii="Cambria Math" w:hAnsi="Cambria Math"/>
                  <w:lang w:val="en-US" w:eastAsia="ru-RU"/>
                </w:rPr>
              </m:ctrlPr>
            </m:naryPr>
            <m:sub>
              <m:r>
                <w:rPr>
                  <w:rFonts w:ascii="Cambria Math" w:eastAsia="Cambria Math" w:hAnsi="Cambria Math" w:cs="Cambria Math"/>
                  <w:lang w:val="en-US" w:eastAsia="ru-RU"/>
                </w:rPr>
                <m:t>i=1</m:t>
              </m:r>
            </m:sub>
            <m:sup>
              <m:r>
                <w:rPr>
                  <w:rFonts w:ascii="Cambria Math" w:eastAsia="Cambria Math" w:hAnsi="Cambria Math" w:cs="Cambria Math"/>
                  <w:lang w:val="en-US" w:eastAsia="ru-RU"/>
                </w:rPr>
                <m:t>n</m:t>
              </m:r>
            </m:sup>
            <m:e>
              <m:sSub>
                <m:sSubPr>
                  <m:ctrlPr>
                    <w:rPr>
                      <w:rFonts w:ascii="Cambria Math" w:hAnsi="Cambria Math"/>
                      <w:i/>
                      <w:lang w:val="en-US" w:eastAsia="ru-RU"/>
                    </w:rPr>
                  </m:ctrlPr>
                </m:sSubPr>
                <m:e>
                  <m:r>
                    <w:rPr>
                      <w:rFonts w:ascii="Cambria Math" w:hAnsi="Cambria Math"/>
                      <w:lang w:val="en-US" w:eastAsia="ru-RU"/>
                    </w:rPr>
                    <m:t>w</m:t>
                  </m:r>
                </m:e>
                <m:sub>
                  <m:r>
                    <w:rPr>
                      <w:rFonts w:ascii="Cambria Math" w:hAnsi="Cambria Math"/>
                      <w:lang w:val="en-US" w:eastAsia="ru-RU"/>
                    </w:rPr>
                    <m:t>i</m:t>
                  </m:r>
                </m:sub>
              </m:sSub>
              <m:sSub>
                <m:sSubPr>
                  <m:ctrlPr>
                    <w:rPr>
                      <w:rFonts w:ascii="Cambria Math" w:hAnsi="Cambria Math"/>
                      <w:lang w:val="en-US" w:eastAsia="ru-RU"/>
                    </w:rPr>
                  </m:ctrlPr>
                </m:sSubPr>
                <m:e>
                  <m:r>
                    <w:rPr>
                      <w:rFonts w:ascii="Cambria Math" w:hAnsi="Cambria Math"/>
                      <w:lang w:val="en-US" w:eastAsia="ru-RU"/>
                    </w:rPr>
                    <m:t>x</m:t>
                  </m:r>
                </m:e>
                <m:sub>
                  <m:r>
                    <w:rPr>
                      <w:rFonts w:ascii="Cambria Math" w:hAnsi="Cambria Math"/>
                      <w:lang w:val="en-US" w:eastAsia="ru-RU"/>
                    </w:rPr>
                    <m:t>i</m:t>
                  </m:r>
                </m:sub>
              </m:sSub>
            </m:e>
          </m:nary>
        </m:oMath>
      </m:oMathPara>
    </w:p>
    <w:p w14:paraId="2BFF43AE" w14:textId="63A0B594" w:rsidR="00C967CB" w:rsidRPr="00EE2A26" w:rsidRDefault="00C967CB" w:rsidP="002A5945">
      <w:pPr>
        <w:pStyle w:val="aff1"/>
        <w:rPr>
          <w:rFonts w:cs="Arial"/>
          <w:sz w:val="18"/>
          <w:szCs w:val="18"/>
        </w:rPr>
      </w:pPr>
      <w:r w:rsidRPr="00EE2A26">
        <w:rPr>
          <w:rFonts w:cs="Arial"/>
          <w:bCs/>
          <w:sz w:val="18"/>
          <w:szCs w:val="18"/>
        </w:rPr>
        <w:t>DMI</w:t>
      </w:r>
      <w:r w:rsidRPr="00EE2A26">
        <w:rPr>
          <w:rFonts w:cs="Arial"/>
          <w:sz w:val="18"/>
          <w:szCs w:val="18"/>
        </w:rPr>
        <w:t xml:space="preserve"> = Digital Maturity Index</w:t>
      </w:r>
    </w:p>
    <w:p w14:paraId="7AD42840" w14:textId="77777777" w:rsidR="00C967CB" w:rsidRPr="00EE2A26" w:rsidRDefault="00C967CB" w:rsidP="002A5945">
      <w:pPr>
        <w:pStyle w:val="aff1"/>
        <w:tabs>
          <w:tab w:val="clear" w:pos="7100"/>
        </w:tabs>
        <w:spacing w:line="240" w:lineRule="auto"/>
        <w:jc w:val="left"/>
        <w:rPr>
          <w:rFonts w:cs="Arial"/>
          <w:sz w:val="18"/>
          <w:szCs w:val="18"/>
        </w:rPr>
      </w:pPr>
      <w:r w:rsidRPr="00EE2A26">
        <w:rPr>
          <w:rStyle w:val="math-inline"/>
          <w:rFonts w:cs="Arial"/>
          <w:bCs/>
          <w:i/>
          <w:sz w:val="18"/>
          <w:szCs w:val="18"/>
        </w:rPr>
        <w:t>w</w:t>
      </w:r>
      <w:r w:rsidRPr="00EE2A26">
        <w:rPr>
          <w:rStyle w:val="math-inline"/>
          <w:rFonts w:cs="Arial"/>
          <w:bCs/>
          <w:i/>
          <w:sz w:val="18"/>
          <w:szCs w:val="18"/>
          <w:vertAlign w:val="subscript"/>
        </w:rPr>
        <w:t>i</w:t>
      </w:r>
      <w:r w:rsidRPr="00EE2A26">
        <w:rPr>
          <w:rFonts w:cs="Arial"/>
          <w:sz w:val="18"/>
          <w:szCs w:val="18"/>
        </w:rPr>
        <w:t xml:space="preserve"> = Indicator weight</w:t>
      </w:r>
    </w:p>
    <w:p w14:paraId="38190860" w14:textId="6D417F79" w:rsidR="00C967CB" w:rsidRPr="00EE2A26" w:rsidRDefault="00C967CB" w:rsidP="002A5945">
      <w:pPr>
        <w:pStyle w:val="aff1"/>
        <w:tabs>
          <w:tab w:val="clear" w:pos="7100"/>
        </w:tabs>
        <w:spacing w:line="240" w:lineRule="auto"/>
        <w:jc w:val="left"/>
        <w:rPr>
          <w:rFonts w:cs="Arial"/>
          <w:sz w:val="18"/>
          <w:szCs w:val="18"/>
        </w:rPr>
      </w:pPr>
      <w:r w:rsidRPr="00EE2A26">
        <w:rPr>
          <w:rStyle w:val="math-inline"/>
          <w:rFonts w:cs="Arial"/>
          <w:bCs/>
          <w:i/>
          <w:sz w:val="18"/>
          <w:szCs w:val="18"/>
        </w:rPr>
        <w:t>x</w:t>
      </w:r>
      <w:r w:rsidRPr="00EE2A26">
        <w:rPr>
          <w:rStyle w:val="math-inline"/>
          <w:rFonts w:cs="Arial"/>
          <w:bCs/>
          <w:i/>
          <w:sz w:val="18"/>
          <w:szCs w:val="18"/>
          <w:vertAlign w:val="subscript"/>
        </w:rPr>
        <w:t>i</w:t>
      </w:r>
      <w:r w:rsidRPr="00EE2A26">
        <w:rPr>
          <w:rFonts w:cs="Arial"/>
          <w:sz w:val="18"/>
          <w:szCs w:val="18"/>
        </w:rPr>
        <w:t xml:space="preserve"> = Indicator value</w:t>
      </w:r>
    </w:p>
    <w:p w14:paraId="04C42E3C" w14:textId="3AFDE2B2" w:rsidR="00DE6BC7" w:rsidRPr="00EE2A26" w:rsidRDefault="00DE6BC7" w:rsidP="002A5945">
      <w:pPr>
        <w:pStyle w:val="aff1"/>
        <w:tabs>
          <w:tab w:val="clear" w:pos="7100"/>
        </w:tabs>
        <w:spacing w:line="240" w:lineRule="auto"/>
        <w:jc w:val="left"/>
        <w:rPr>
          <w:rFonts w:cs="Arial"/>
          <w:sz w:val="18"/>
          <w:szCs w:val="18"/>
        </w:rPr>
      </w:pPr>
      <w:r w:rsidRPr="00EE2A26">
        <w:rPr>
          <w:rFonts w:cs="Arial"/>
          <w:sz w:val="18"/>
          <w:szCs w:val="18"/>
        </w:rPr>
        <w:t>n = Total number of indicators</w:t>
      </w:r>
    </w:p>
    <w:p w14:paraId="55583B5B" w14:textId="77777777" w:rsidR="00690B3D" w:rsidRPr="00EE2A26" w:rsidRDefault="00C967CB" w:rsidP="00690B3D">
      <w:pPr>
        <w:pStyle w:val="aff1"/>
        <w:rPr>
          <w:rFonts w:cs="Arial"/>
          <w:sz w:val="18"/>
          <w:szCs w:val="18"/>
          <w:lang w:val="en-US"/>
        </w:rPr>
      </w:pPr>
      <w:r w:rsidRPr="00EE2A26">
        <w:rPr>
          <w:rFonts w:cs="Arial"/>
          <w:sz w:val="18"/>
          <w:szCs w:val="18"/>
          <w:lang w:val="en-US"/>
        </w:rPr>
        <w:t xml:space="preserve">The results categorized the organizations into three maturity tiers: </w:t>
      </w:r>
      <w:r w:rsidRPr="00EE2A26">
        <w:rPr>
          <w:rFonts w:cs="Arial"/>
          <w:bCs/>
          <w:sz w:val="18"/>
          <w:szCs w:val="18"/>
          <w:lang w:val="en-US"/>
        </w:rPr>
        <w:t>26% Low</w:t>
      </w:r>
      <w:r w:rsidRPr="00EE2A26">
        <w:rPr>
          <w:rFonts w:cs="Arial"/>
          <w:sz w:val="18"/>
          <w:szCs w:val="18"/>
          <w:lang w:val="en-US"/>
        </w:rPr>
        <w:t xml:space="preserve">, </w:t>
      </w:r>
      <w:r w:rsidRPr="00EE2A26">
        <w:rPr>
          <w:rFonts w:cs="Arial"/>
          <w:bCs/>
          <w:sz w:val="18"/>
          <w:szCs w:val="18"/>
          <w:lang w:val="en-US"/>
        </w:rPr>
        <w:t>49% Intermediate</w:t>
      </w:r>
      <w:r w:rsidRPr="00EE2A26">
        <w:rPr>
          <w:rFonts w:cs="Arial"/>
          <w:sz w:val="18"/>
          <w:szCs w:val="18"/>
          <w:lang w:val="en-US"/>
        </w:rPr>
        <w:t xml:space="preserve">, and </w:t>
      </w:r>
      <w:r w:rsidRPr="00EE2A26">
        <w:rPr>
          <w:rFonts w:cs="Arial"/>
          <w:bCs/>
          <w:sz w:val="18"/>
          <w:szCs w:val="18"/>
          <w:lang w:val="en-US"/>
        </w:rPr>
        <w:t>25% High</w:t>
      </w:r>
      <w:r w:rsidRPr="00EE2A26">
        <w:rPr>
          <w:rFonts w:cs="Arial"/>
          <w:sz w:val="18"/>
          <w:szCs w:val="18"/>
          <w:lang w:val="en-US"/>
        </w:rPr>
        <w:t>.</w:t>
      </w:r>
    </w:p>
    <w:p w14:paraId="624F644D" w14:textId="3470834B" w:rsidR="00C967CB" w:rsidRPr="00EE2A26" w:rsidRDefault="00C967CB" w:rsidP="00C967CB">
      <w:pPr>
        <w:pStyle w:val="aff1"/>
        <w:rPr>
          <w:rFonts w:cs="Arial"/>
          <w:sz w:val="18"/>
          <w:szCs w:val="18"/>
          <w:lang w:val="en-US"/>
        </w:rPr>
      </w:pPr>
      <w:r w:rsidRPr="00EE2A26">
        <w:rPr>
          <w:rFonts w:cs="Arial"/>
          <w:sz w:val="18"/>
          <w:szCs w:val="18"/>
          <w:lang w:val="en-US"/>
        </w:rPr>
        <w:t>Impact on Operational Performance</w:t>
      </w:r>
      <w:r w:rsidR="00690B3D" w:rsidRPr="00EE2A26">
        <w:rPr>
          <w:rFonts w:cs="Arial"/>
          <w:sz w:val="18"/>
          <w:szCs w:val="18"/>
          <w:lang w:val="en-US"/>
        </w:rPr>
        <w:t xml:space="preserve">. </w:t>
      </w:r>
      <w:r w:rsidRPr="00EE2A26">
        <w:rPr>
          <w:rFonts w:cs="Arial"/>
          <w:sz w:val="18"/>
          <w:szCs w:val="18"/>
          <w:lang w:val="en-US"/>
        </w:rPr>
        <w:t>The study identified a clear correlation between digital integration and improved economic outcomes:</w:t>
      </w:r>
    </w:p>
    <w:p w14:paraId="1AC7DB08" w14:textId="5B69B6ED" w:rsidR="00C967CB" w:rsidRPr="00EE2A26" w:rsidRDefault="00C967CB" w:rsidP="00C967CB">
      <w:pPr>
        <w:pStyle w:val="aff1"/>
        <w:rPr>
          <w:rFonts w:cs="Arial"/>
          <w:bCs/>
          <w:i/>
          <w:sz w:val="18"/>
          <w:szCs w:val="18"/>
          <w:lang w:val="en-US"/>
        </w:rPr>
      </w:pPr>
      <w:r w:rsidRPr="00EE2A26">
        <w:rPr>
          <w:rFonts w:cs="Arial"/>
          <w:bCs/>
          <w:i/>
          <w:sz w:val="18"/>
          <w:szCs w:val="18"/>
          <w:lang w:val="en-US"/>
        </w:rPr>
        <w:t>Table 3. Economic Impact of Digital Transformation</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820"/>
        <w:gridCol w:w="3685"/>
      </w:tblGrid>
      <w:tr w:rsidR="00690B3D" w:rsidRPr="00EE2A26" w14:paraId="121E356A" w14:textId="77777777" w:rsidTr="00E05AA9">
        <w:tc>
          <w:tcPr>
            <w:tcW w:w="4820" w:type="dxa"/>
            <w:tcBorders>
              <w:top w:val="single" w:sz="12" w:space="0" w:color="008000"/>
              <w:bottom w:val="single" w:sz="6" w:space="0" w:color="008000"/>
            </w:tcBorders>
            <w:shd w:val="clear" w:color="auto" w:fill="FFFFFF"/>
          </w:tcPr>
          <w:p w14:paraId="5F4358B4" w14:textId="42035F06" w:rsidR="00690B3D" w:rsidRPr="00EE2A26" w:rsidRDefault="00690B3D" w:rsidP="00690B3D">
            <w:pPr>
              <w:pStyle w:val="CETBodytext"/>
              <w:rPr>
                <w:lang w:val="en-GB"/>
              </w:rPr>
            </w:pPr>
            <w:r w:rsidRPr="00EE2A26">
              <w:rPr>
                <w:rFonts w:cs="Arial"/>
                <w:b/>
                <w:bCs/>
                <w:color w:val="1F1F1F"/>
                <w:szCs w:val="18"/>
                <w:bdr w:val="none" w:sz="0" w:space="0" w:color="auto" w:frame="1"/>
                <w:lang w:eastAsia="ru-RU"/>
              </w:rPr>
              <w:t>Performance Metric</w:t>
            </w:r>
          </w:p>
        </w:tc>
        <w:tc>
          <w:tcPr>
            <w:tcW w:w="3685" w:type="dxa"/>
            <w:tcBorders>
              <w:top w:val="single" w:sz="12" w:space="0" w:color="008000"/>
              <w:bottom w:val="single" w:sz="6" w:space="0" w:color="008000"/>
            </w:tcBorders>
            <w:shd w:val="clear" w:color="auto" w:fill="FFFFFF"/>
          </w:tcPr>
          <w:p w14:paraId="35AEE89A" w14:textId="2D887AA7" w:rsidR="00690B3D" w:rsidRPr="00EE2A26" w:rsidRDefault="00690B3D" w:rsidP="00690B3D">
            <w:pPr>
              <w:pStyle w:val="CETBodytext"/>
              <w:rPr>
                <w:lang w:val="en-GB"/>
              </w:rPr>
            </w:pPr>
            <w:r w:rsidRPr="00EE2A26">
              <w:rPr>
                <w:rFonts w:cs="Arial"/>
                <w:b/>
                <w:bCs/>
                <w:color w:val="1F1F1F"/>
                <w:szCs w:val="18"/>
                <w:bdr w:val="none" w:sz="0" w:space="0" w:color="auto" w:frame="1"/>
                <w:lang w:eastAsia="ru-RU"/>
              </w:rPr>
              <w:t>Percentage Change (%)</w:t>
            </w:r>
          </w:p>
        </w:tc>
      </w:tr>
      <w:tr w:rsidR="00690B3D" w:rsidRPr="00EE2A26" w14:paraId="7AF6BF82" w14:textId="77777777" w:rsidTr="00E05AA9">
        <w:tc>
          <w:tcPr>
            <w:tcW w:w="4820" w:type="dxa"/>
            <w:shd w:val="clear" w:color="auto" w:fill="FFFFFF"/>
          </w:tcPr>
          <w:p w14:paraId="2BF3D257" w14:textId="1C73F865" w:rsidR="00690B3D" w:rsidRPr="00EE2A26" w:rsidRDefault="00690B3D" w:rsidP="00690B3D">
            <w:pPr>
              <w:pStyle w:val="CETBodytext"/>
              <w:rPr>
                <w:lang w:val="en-GB"/>
              </w:rPr>
            </w:pPr>
            <w:r w:rsidRPr="00EE2A26">
              <w:rPr>
                <w:rFonts w:cs="Arial"/>
                <w:color w:val="1F1F1F"/>
                <w:szCs w:val="18"/>
                <w:bdr w:val="none" w:sz="0" w:space="0" w:color="auto" w:frame="1"/>
                <w:lang w:eastAsia="ru-RU"/>
              </w:rPr>
              <w:t>Project Duration</w:t>
            </w:r>
          </w:p>
        </w:tc>
        <w:tc>
          <w:tcPr>
            <w:tcW w:w="3685" w:type="dxa"/>
            <w:shd w:val="clear" w:color="auto" w:fill="FFFFFF"/>
          </w:tcPr>
          <w:p w14:paraId="43D91B3D" w14:textId="17C2A3A0" w:rsidR="00690B3D" w:rsidRPr="00EE2A26" w:rsidRDefault="00690B3D" w:rsidP="00690B3D">
            <w:pPr>
              <w:pStyle w:val="CETBodytext"/>
              <w:rPr>
                <w:lang w:val="en-GB"/>
              </w:rPr>
            </w:pPr>
            <w:r w:rsidRPr="00EE2A26">
              <w:rPr>
                <w:rFonts w:cs="Arial"/>
                <w:color w:val="1F1F1F"/>
                <w:szCs w:val="18"/>
                <w:bdr w:val="none" w:sz="0" w:space="0" w:color="auto" w:frame="1"/>
                <w:lang w:eastAsia="ru-RU"/>
              </w:rPr>
              <w:t>–20%</w:t>
            </w:r>
          </w:p>
        </w:tc>
      </w:tr>
      <w:tr w:rsidR="00690B3D" w:rsidRPr="00EE2A26" w14:paraId="328497D8" w14:textId="77777777" w:rsidTr="00E05AA9">
        <w:tc>
          <w:tcPr>
            <w:tcW w:w="4820" w:type="dxa"/>
            <w:shd w:val="clear" w:color="auto" w:fill="FFFFFF"/>
          </w:tcPr>
          <w:p w14:paraId="671DE1F3" w14:textId="62A67E96" w:rsidR="00690B3D" w:rsidRPr="00EE2A26" w:rsidRDefault="00690B3D" w:rsidP="00690B3D">
            <w:pPr>
              <w:pStyle w:val="CETBodytext"/>
              <w:ind w:right="-1"/>
              <w:rPr>
                <w:rFonts w:cs="Arial"/>
                <w:szCs w:val="18"/>
                <w:lang w:val="en-GB"/>
              </w:rPr>
            </w:pPr>
            <w:r w:rsidRPr="00EE2A26">
              <w:rPr>
                <w:rFonts w:cs="Arial"/>
                <w:color w:val="1F1F1F"/>
                <w:szCs w:val="18"/>
                <w:bdr w:val="none" w:sz="0" w:space="0" w:color="auto" w:frame="1"/>
                <w:lang w:eastAsia="ru-RU"/>
              </w:rPr>
              <w:t>Construction Expenditures</w:t>
            </w:r>
          </w:p>
        </w:tc>
        <w:tc>
          <w:tcPr>
            <w:tcW w:w="3685" w:type="dxa"/>
            <w:shd w:val="clear" w:color="auto" w:fill="FFFFFF"/>
          </w:tcPr>
          <w:p w14:paraId="00720DB5" w14:textId="1A3C7CFD" w:rsidR="00690B3D" w:rsidRPr="00EE2A26" w:rsidRDefault="00690B3D" w:rsidP="00690B3D">
            <w:pPr>
              <w:pStyle w:val="CETBodytext"/>
              <w:ind w:right="-1"/>
              <w:rPr>
                <w:rFonts w:cs="Arial"/>
                <w:szCs w:val="18"/>
                <w:lang w:val="en-GB"/>
              </w:rPr>
            </w:pPr>
            <w:r w:rsidRPr="00EE2A26">
              <w:rPr>
                <w:rFonts w:cs="Arial"/>
                <w:color w:val="1F1F1F"/>
                <w:szCs w:val="18"/>
                <w:bdr w:val="none" w:sz="0" w:space="0" w:color="auto" w:frame="1"/>
                <w:lang w:eastAsia="ru-RU"/>
              </w:rPr>
              <w:t>–13%</w:t>
            </w:r>
          </w:p>
        </w:tc>
      </w:tr>
      <w:tr w:rsidR="00690B3D" w:rsidRPr="00EE2A26" w14:paraId="39E0DC55" w14:textId="77777777" w:rsidTr="00E05AA9">
        <w:tc>
          <w:tcPr>
            <w:tcW w:w="4820" w:type="dxa"/>
            <w:shd w:val="clear" w:color="auto" w:fill="FFFFFF"/>
          </w:tcPr>
          <w:p w14:paraId="23C21110" w14:textId="47684F05" w:rsidR="00690B3D" w:rsidRPr="00EE2A26" w:rsidRDefault="00690B3D" w:rsidP="00690B3D">
            <w:pPr>
              <w:pStyle w:val="CETBodytext"/>
              <w:ind w:right="-1"/>
              <w:rPr>
                <w:rFonts w:cs="Arial"/>
                <w:szCs w:val="18"/>
                <w:lang w:val="en-GB"/>
              </w:rPr>
            </w:pPr>
            <w:r w:rsidRPr="00EE2A26">
              <w:rPr>
                <w:rFonts w:cs="Arial"/>
                <w:color w:val="1F1F1F"/>
                <w:szCs w:val="18"/>
                <w:bdr w:val="none" w:sz="0" w:space="0" w:color="auto" w:frame="1"/>
                <w:lang w:eastAsia="ru-RU"/>
              </w:rPr>
              <w:t>Error Rate</w:t>
            </w:r>
          </w:p>
        </w:tc>
        <w:tc>
          <w:tcPr>
            <w:tcW w:w="3685" w:type="dxa"/>
            <w:shd w:val="clear" w:color="auto" w:fill="FFFFFF"/>
          </w:tcPr>
          <w:p w14:paraId="67155EC0" w14:textId="7A41A0F7" w:rsidR="00690B3D" w:rsidRPr="00EE2A26" w:rsidRDefault="00690B3D" w:rsidP="00690B3D">
            <w:pPr>
              <w:pStyle w:val="CETBodytext"/>
              <w:ind w:right="-1"/>
              <w:rPr>
                <w:rFonts w:cs="Arial"/>
                <w:szCs w:val="18"/>
                <w:lang w:val="en-GB"/>
              </w:rPr>
            </w:pPr>
            <w:r w:rsidRPr="00EE2A26">
              <w:rPr>
                <w:rFonts w:cs="Arial"/>
                <w:color w:val="1F1F1F"/>
                <w:szCs w:val="18"/>
                <w:bdr w:val="none" w:sz="0" w:space="0" w:color="auto" w:frame="1"/>
                <w:lang w:eastAsia="ru-RU"/>
              </w:rPr>
              <w:t>–25%</w:t>
            </w:r>
          </w:p>
        </w:tc>
      </w:tr>
      <w:tr w:rsidR="00690B3D" w:rsidRPr="00EE2A26" w14:paraId="61805A09" w14:textId="77777777" w:rsidTr="00E05AA9">
        <w:tc>
          <w:tcPr>
            <w:tcW w:w="4820" w:type="dxa"/>
            <w:shd w:val="clear" w:color="auto" w:fill="FFFFFF"/>
          </w:tcPr>
          <w:p w14:paraId="02716C52" w14:textId="3738533C" w:rsidR="00690B3D" w:rsidRPr="00EE2A26" w:rsidRDefault="00690B3D" w:rsidP="00690B3D">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Labor Productivity</w:t>
            </w:r>
          </w:p>
        </w:tc>
        <w:tc>
          <w:tcPr>
            <w:tcW w:w="3685" w:type="dxa"/>
            <w:shd w:val="clear" w:color="auto" w:fill="FFFFFF"/>
          </w:tcPr>
          <w:p w14:paraId="5455252F" w14:textId="09D84EEC" w:rsidR="00690B3D" w:rsidRPr="00EE2A26" w:rsidRDefault="00690B3D" w:rsidP="00690B3D">
            <w:pPr>
              <w:pStyle w:val="CETBodytext"/>
              <w:ind w:right="-1"/>
              <w:rPr>
                <w:rFonts w:cs="Arial"/>
                <w:color w:val="1F1F1F"/>
                <w:szCs w:val="18"/>
                <w:bdr w:val="none" w:sz="0" w:space="0" w:color="auto" w:frame="1"/>
                <w:lang w:eastAsia="ru-RU"/>
              </w:rPr>
            </w:pPr>
            <w:r w:rsidRPr="00EE2A26">
              <w:rPr>
                <w:rFonts w:cs="Arial"/>
                <w:color w:val="1F1F1F"/>
                <w:szCs w:val="18"/>
                <w:bdr w:val="none" w:sz="0" w:space="0" w:color="auto" w:frame="1"/>
                <w:lang w:eastAsia="ru-RU"/>
              </w:rPr>
              <w:t>+17%</w:t>
            </w:r>
          </w:p>
        </w:tc>
      </w:tr>
    </w:tbl>
    <w:p w14:paraId="497F1528" w14:textId="69DDFBE7" w:rsidR="00C967CB" w:rsidRPr="00EE2A26" w:rsidRDefault="00C967CB" w:rsidP="0069434D">
      <w:pPr>
        <w:pStyle w:val="41"/>
        <w:rPr>
          <w:rFonts w:ascii="Arial" w:hAnsi="Arial" w:cs="Arial"/>
          <w:b w:val="0"/>
          <w:i w:val="0"/>
          <w:color w:val="auto"/>
          <w:szCs w:val="18"/>
          <w:lang w:val="en-US"/>
        </w:rPr>
      </w:pPr>
      <w:r w:rsidRPr="00EE2A26">
        <w:rPr>
          <w:rFonts w:ascii="Arial" w:hAnsi="Arial" w:cs="Arial"/>
          <w:b w:val="0"/>
          <w:i w:val="0"/>
          <w:color w:val="auto"/>
          <w:szCs w:val="18"/>
        </w:rPr>
        <w:t>Correlation Analysis</w:t>
      </w:r>
      <w:r w:rsidR="00F70C1A" w:rsidRPr="00EE2A26">
        <w:rPr>
          <w:rFonts w:ascii="Arial" w:hAnsi="Arial" w:cs="Arial"/>
          <w:b w:val="0"/>
          <w:i w:val="0"/>
          <w:color w:val="auto"/>
          <w:szCs w:val="18"/>
        </w:rPr>
        <w:t xml:space="preserve">. </w:t>
      </w:r>
      <w:r w:rsidRPr="00EE2A26">
        <w:rPr>
          <w:rFonts w:ascii="Arial" w:hAnsi="Arial" w:cs="Arial"/>
          <w:b w:val="0"/>
          <w:i w:val="0"/>
          <w:color w:val="auto"/>
          <w:szCs w:val="18"/>
          <w:lang w:val="en-US"/>
        </w:rPr>
        <w:t>The relationship between variables was calculated using the correlation coefficient (</w:t>
      </w:r>
      <w:r w:rsidRPr="00EE2A26">
        <w:rPr>
          <w:rStyle w:val="math-inline"/>
          <w:rFonts w:ascii="Arial" w:hAnsi="Arial" w:cs="Arial"/>
          <w:b w:val="0"/>
          <w:i w:val="0"/>
          <w:color w:val="auto"/>
          <w:szCs w:val="18"/>
          <w:lang w:val="en-US"/>
        </w:rPr>
        <w:t>r</w:t>
      </w:r>
      <w:r w:rsidRPr="00EE2A26">
        <w:rPr>
          <w:rFonts w:ascii="Arial" w:hAnsi="Arial" w:cs="Arial"/>
          <w:b w:val="0"/>
          <w:i w:val="0"/>
          <w:color w:val="auto"/>
          <w:szCs w:val="18"/>
          <w:lang w:val="en-US"/>
        </w:rPr>
        <w:t>):</w:t>
      </w:r>
      <w:r w:rsidR="00F70C1A" w:rsidRPr="00EE2A26">
        <w:rPr>
          <w:rFonts w:ascii="Arial" w:hAnsi="Arial" w:cs="Arial"/>
          <w:b w:val="0"/>
          <w:i w:val="0"/>
          <w:color w:val="auto"/>
          <w:szCs w:val="18"/>
          <w:lang w:val="en-US"/>
        </w:rPr>
        <w:t xml:space="preserve"> </w:t>
      </w:r>
      <w:r w:rsidRPr="00EE2A26">
        <w:rPr>
          <w:rFonts w:ascii="Arial" w:hAnsi="Arial" w:cs="Arial"/>
          <w:b w:val="0"/>
          <w:bCs w:val="0"/>
          <w:i w:val="0"/>
          <w:color w:val="auto"/>
          <w:szCs w:val="18"/>
          <w:lang w:val="en-US"/>
        </w:rPr>
        <w:t>Digitalization and Labor Productivity:</w:t>
      </w:r>
      <w:r w:rsidRPr="00EE2A26">
        <w:rPr>
          <w:rFonts w:ascii="Arial" w:hAnsi="Arial" w:cs="Arial"/>
          <w:b w:val="0"/>
          <w:i w:val="0"/>
          <w:color w:val="auto"/>
          <w:szCs w:val="18"/>
          <w:lang w:val="en-US"/>
        </w:rPr>
        <w:t xml:space="preserve"> </w:t>
      </w:r>
      <w:r w:rsidRPr="00EE2A26">
        <w:rPr>
          <w:rStyle w:val="math-inline"/>
          <w:rFonts w:ascii="Arial" w:hAnsi="Arial" w:cs="Arial"/>
          <w:b w:val="0"/>
          <w:i w:val="0"/>
          <w:color w:val="auto"/>
          <w:szCs w:val="18"/>
          <w:lang w:val="en-US"/>
        </w:rPr>
        <w:t>r = 0.71</w:t>
      </w:r>
      <w:r w:rsidRPr="00EE2A26">
        <w:rPr>
          <w:rFonts w:ascii="Arial" w:hAnsi="Arial" w:cs="Arial"/>
          <w:b w:val="0"/>
          <w:i w:val="0"/>
          <w:color w:val="auto"/>
          <w:szCs w:val="18"/>
          <w:lang w:val="en-US"/>
        </w:rPr>
        <w:t xml:space="preserve"> (Strong positive correlation)</w:t>
      </w:r>
      <w:r w:rsidR="00F70C1A" w:rsidRPr="00EE2A26">
        <w:rPr>
          <w:rFonts w:ascii="Arial" w:hAnsi="Arial" w:cs="Arial"/>
          <w:b w:val="0"/>
          <w:i w:val="0"/>
          <w:color w:val="auto"/>
          <w:szCs w:val="18"/>
          <w:lang w:val="en-US"/>
        </w:rPr>
        <w:t xml:space="preserve">; </w:t>
      </w:r>
      <w:r w:rsidRPr="00EE2A26">
        <w:rPr>
          <w:rFonts w:ascii="Arial" w:hAnsi="Arial" w:cs="Arial"/>
          <w:b w:val="0"/>
          <w:bCs w:val="0"/>
          <w:i w:val="0"/>
          <w:color w:val="auto"/>
          <w:szCs w:val="18"/>
          <w:lang w:val="en-US"/>
        </w:rPr>
        <w:t>Digitalization and Project Lead Time:</w:t>
      </w:r>
      <w:r w:rsidRPr="00EE2A26">
        <w:rPr>
          <w:rFonts w:ascii="Arial" w:hAnsi="Arial" w:cs="Arial"/>
          <w:b w:val="0"/>
          <w:i w:val="0"/>
          <w:color w:val="auto"/>
          <w:szCs w:val="18"/>
          <w:lang w:val="en-US"/>
        </w:rPr>
        <w:t xml:space="preserve"> </w:t>
      </w:r>
      <w:r w:rsidRPr="00EE2A26">
        <w:rPr>
          <w:rStyle w:val="math-inline"/>
          <w:rFonts w:ascii="Arial" w:hAnsi="Arial" w:cs="Arial"/>
          <w:b w:val="0"/>
          <w:i w:val="0"/>
          <w:color w:val="auto"/>
          <w:szCs w:val="18"/>
          <w:lang w:val="en-US"/>
        </w:rPr>
        <w:t>r = –0.64</w:t>
      </w:r>
      <w:r w:rsidRPr="00EE2A26">
        <w:rPr>
          <w:rFonts w:ascii="Arial" w:hAnsi="Arial" w:cs="Arial"/>
          <w:b w:val="0"/>
          <w:i w:val="0"/>
          <w:color w:val="auto"/>
          <w:szCs w:val="18"/>
          <w:lang w:val="en-US"/>
        </w:rPr>
        <w:t xml:space="preserve"> (Strong negative correlation)</w:t>
      </w:r>
      <w:r w:rsidR="002A5945" w:rsidRPr="00EE2A26">
        <w:rPr>
          <w:rFonts w:ascii="Arial" w:hAnsi="Arial" w:cs="Arial"/>
          <w:b w:val="0"/>
          <w:i w:val="0"/>
          <w:color w:val="auto"/>
          <w:szCs w:val="18"/>
          <w:lang w:val="en-US"/>
        </w:rPr>
        <w:t xml:space="preserve"> </w:t>
      </w:r>
      <w:r w:rsidRPr="00EE2A26">
        <w:rPr>
          <w:rFonts w:ascii="Arial" w:hAnsi="Arial" w:cs="Arial"/>
          <w:b w:val="0"/>
          <w:i w:val="0"/>
          <w:color w:val="auto"/>
          <w:szCs w:val="18"/>
          <w:lang w:val="en-US"/>
        </w:rPr>
        <w:t>Analysis of Critical Success Factors</w:t>
      </w:r>
      <w:r w:rsidR="00F70C1A" w:rsidRPr="00EE2A26">
        <w:rPr>
          <w:rFonts w:ascii="Arial" w:hAnsi="Arial" w:cs="Arial"/>
          <w:b w:val="0"/>
          <w:i w:val="0"/>
          <w:color w:val="auto"/>
          <w:szCs w:val="18"/>
          <w:lang w:val="en-US"/>
        </w:rPr>
        <w:t xml:space="preserve">. </w:t>
      </w:r>
      <w:r w:rsidRPr="00EE2A26">
        <w:rPr>
          <w:rFonts w:ascii="Arial" w:hAnsi="Arial" w:cs="Arial"/>
          <w:b w:val="0"/>
          <w:i w:val="0"/>
          <w:color w:val="auto"/>
          <w:szCs w:val="18"/>
          <w:lang w:val="en-US"/>
        </w:rPr>
        <w:t>The successful transition to digital operations is driven by several key determinants:</w:t>
      </w:r>
    </w:p>
    <w:p w14:paraId="2B5B7DCB" w14:textId="77777777" w:rsidR="00C967CB" w:rsidRPr="00EE2A26" w:rsidRDefault="00C967CB" w:rsidP="0069434D">
      <w:pPr>
        <w:pStyle w:val="aff1"/>
        <w:numPr>
          <w:ilvl w:val="0"/>
          <w:numId w:val="30"/>
        </w:numPr>
        <w:tabs>
          <w:tab w:val="clear" w:pos="720"/>
          <w:tab w:val="clear" w:pos="7100"/>
          <w:tab w:val="num" w:pos="284"/>
        </w:tabs>
        <w:spacing w:line="240" w:lineRule="auto"/>
        <w:ind w:left="0" w:firstLine="0"/>
        <w:rPr>
          <w:rFonts w:cs="Arial"/>
          <w:sz w:val="18"/>
          <w:szCs w:val="18"/>
        </w:rPr>
      </w:pPr>
      <w:r w:rsidRPr="00EE2A26">
        <w:rPr>
          <w:rFonts w:cs="Arial"/>
          <w:bCs/>
          <w:sz w:val="18"/>
          <w:szCs w:val="18"/>
        </w:rPr>
        <w:t>Technological Infrastructure:</w:t>
      </w:r>
      <w:r w:rsidRPr="00EE2A26">
        <w:rPr>
          <w:rFonts w:cs="Arial"/>
          <w:sz w:val="18"/>
          <w:szCs w:val="18"/>
        </w:rPr>
        <w:t xml:space="preserve"> 78%</w:t>
      </w:r>
    </w:p>
    <w:p w14:paraId="6FF59B8D" w14:textId="77777777" w:rsidR="00C967CB" w:rsidRPr="00EE2A26" w:rsidRDefault="00C967CB" w:rsidP="00E81E99">
      <w:pPr>
        <w:pStyle w:val="aff1"/>
        <w:numPr>
          <w:ilvl w:val="0"/>
          <w:numId w:val="30"/>
        </w:numPr>
        <w:tabs>
          <w:tab w:val="clear" w:pos="720"/>
          <w:tab w:val="clear" w:pos="7100"/>
          <w:tab w:val="num" w:pos="284"/>
        </w:tabs>
        <w:spacing w:before="100" w:beforeAutospacing="1" w:after="100" w:afterAutospacing="1" w:line="240" w:lineRule="auto"/>
        <w:ind w:left="0" w:firstLine="0"/>
        <w:rPr>
          <w:rFonts w:cs="Arial"/>
          <w:sz w:val="18"/>
          <w:szCs w:val="18"/>
        </w:rPr>
      </w:pPr>
      <w:r w:rsidRPr="00EE2A26">
        <w:rPr>
          <w:rFonts w:cs="Arial"/>
          <w:bCs/>
          <w:sz w:val="18"/>
          <w:szCs w:val="18"/>
        </w:rPr>
        <w:t>Human Capital Competency:</w:t>
      </w:r>
      <w:r w:rsidRPr="00EE2A26">
        <w:rPr>
          <w:rFonts w:cs="Arial"/>
          <w:sz w:val="18"/>
          <w:szCs w:val="18"/>
        </w:rPr>
        <w:t xml:space="preserve"> 72%</w:t>
      </w:r>
    </w:p>
    <w:p w14:paraId="1D92F4F7" w14:textId="77777777" w:rsidR="00A20A86" w:rsidRPr="00EE2A26" w:rsidRDefault="00C967CB" w:rsidP="001B1362">
      <w:pPr>
        <w:pStyle w:val="aff1"/>
        <w:numPr>
          <w:ilvl w:val="0"/>
          <w:numId w:val="30"/>
        </w:numPr>
        <w:tabs>
          <w:tab w:val="clear" w:pos="720"/>
          <w:tab w:val="clear" w:pos="7100"/>
          <w:tab w:val="num" w:pos="284"/>
        </w:tabs>
        <w:spacing w:line="240" w:lineRule="auto"/>
        <w:ind w:left="0" w:firstLine="0"/>
        <w:rPr>
          <w:rFonts w:cs="Arial"/>
          <w:sz w:val="18"/>
          <w:szCs w:val="18"/>
        </w:rPr>
      </w:pPr>
      <w:r w:rsidRPr="00EE2A26">
        <w:rPr>
          <w:rFonts w:cs="Arial"/>
          <w:bCs/>
          <w:sz w:val="18"/>
          <w:szCs w:val="18"/>
        </w:rPr>
        <w:t>Management Systems:</w:t>
      </w:r>
      <w:r w:rsidRPr="00EE2A26">
        <w:rPr>
          <w:rFonts w:cs="Arial"/>
          <w:sz w:val="18"/>
          <w:szCs w:val="18"/>
        </w:rPr>
        <w:t xml:space="preserve"> 64%</w:t>
      </w:r>
    </w:p>
    <w:p w14:paraId="734FF9F7" w14:textId="3F7ED381" w:rsidR="00391854" w:rsidRPr="00EE2A26" w:rsidRDefault="00C967CB" w:rsidP="001B1362">
      <w:pPr>
        <w:pStyle w:val="aff1"/>
        <w:numPr>
          <w:ilvl w:val="0"/>
          <w:numId w:val="30"/>
        </w:numPr>
        <w:tabs>
          <w:tab w:val="clear" w:pos="720"/>
          <w:tab w:val="clear" w:pos="7100"/>
          <w:tab w:val="num" w:pos="284"/>
        </w:tabs>
        <w:spacing w:line="240" w:lineRule="auto"/>
        <w:ind w:left="0" w:firstLine="0"/>
        <w:rPr>
          <w:rFonts w:cs="Arial"/>
          <w:sz w:val="18"/>
          <w:szCs w:val="18"/>
        </w:rPr>
      </w:pPr>
      <w:r w:rsidRPr="00EE2A26">
        <w:rPr>
          <w:rFonts w:cs="Arial"/>
          <w:bCs/>
          <w:sz w:val="18"/>
          <w:szCs w:val="18"/>
        </w:rPr>
        <w:t>Financial Resource Allocation:</w:t>
      </w:r>
      <w:r w:rsidRPr="00EE2A26">
        <w:rPr>
          <w:rFonts w:cs="Arial"/>
          <w:sz w:val="18"/>
          <w:szCs w:val="18"/>
        </w:rPr>
        <w:t xml:space="preserve"> 59%</w:t>
      </w:r>
      <w:r w:rsidR="00313724" w:rsidRPr="00EE2A26">
        <w:rPr>
          <w:rFonts w:cs="Arial"/>
          <w:sz w:val="18"/>
          <w:szCs w:val="18"/>
        </w:rPr>
        <w:t xml:space="preserve">. </w:t>
      </w:r>
      <w:r w:rsidRPr="00EE2A26">
        <w:rPr>
          <w:rFonts w:cs="Arial"/>
          <w:sz w:val="18"/>
          <w:szCs w:val="18"/>
        </w:rPr>
        <w:t>Identification of Barriers</w:t>
      </w:r>
      <w:r w:rsidR="00313724" w:rsidRPr="00EE2A26">
        <w:rPr>
          <w:rFonts w:cs="Arial"/>
          <w:bCs/>
          <w:sz w:val="18"/>
          <w:szCs w:val="18"/>
        </w:rPr>
        <w:t xml:space="preserve">: </w:t>
      </w:r>
      <w:r w:rsidR="00E81E99" w:rsidRPr="00EE2A26">
        <w:rPr>
          <w:rFonts w:cs="Arial"/>
          <w:sz w:val="18"/>
          <w:szCs w:val="18"/>
          <w:lang w:val="en-US"/>
        </w:rPr>
        <w:t>The primary obstacles hindering digital progress include high implementation costs (57%), shortage of qualified personnel (46%), system integration complexities (39%), and organizational resistance to change (28%). Of these, the shortage of qualified personnel (46%) is directly addressed by Recommendation 3 (Advancement of Human Capital) outlined in the Conclusion. Specifically, this recommendation proposes: (a) establishing sector-specific digital competency training programmes in partnership with technical universities and vocational institutes; (b) introducing mandatory digital literacy modules into the professional development curricula of construction engineers and project managers; and (c) creating industry-government co-funded incentive schemes to attract and retain digitally skilled specialists within domestic enterprises. Importantly, the expert survey data (72% of respondents identifying human capital as the primary success factor) further corroborates that targeted investment in workforce upskilling is not only the most urgent intervention, but also the one most likely to unlock adoption of advanced technologies such as AI and Big Data, whose current implementation rates (18–22%) remain the lowest of all digital solutions assessed</w:t>
      </w:r>
      <w:r w:rsidRPr="00EE2A26">
        <w:rPr>
          <w:rFonts w:cs="Arial"/>
          <w:sz w:val="18"/>
          <w:szCs w:val="18"/>
          <w:lang w:val="en-US"/>
        </w:rPr>
        <w:t>.</w:t>
      </w:r>
    </w:p>
    <w:p w14:paraId="0B0DC60C" w14:textId="6241F3A5" w:rsidR="00C967CB" w:rsidRPr="00EE2A26" w:rsidRDefault="00C967CB" w:rsidP="0069434D">
      <w:pPr>
        <w:pStyle w:val="aff1"/>
        <w:tabs>
          <w:tab w:val="clear" w:pos="7100"/>
        </w:tabs>
        <w:spacing w:line="240" w:lineRule="auto"/>
        <w:rPr>
          <w:rFonts w:cs="Arial"/>
          <w:sz w:val="18"/>
          <w:szCs w:val="18"/>
        </w:rPr>
      </w:pPr>
      <w:r w:rsidRPr="00EE2A26">
        <w:rPr>
          <w:rFonts w:cs="Arial"/>
          <w:sz w:val="18"/>
          <w:szCs w:val="18"/>
          <w:lang w:val="en-US"/>
        </w:rPr>
        <w:t>Stages of Digital Evolution</w:t>
      </w:r>
      <w:r w:rsidR="00F70C1A" w:rsidRPr="00EE2A26">
        <w:rPr>
          <w:rFonts w:cs="Arial"/>
          <w:szCs w:val="18"/>
          <w:lang w:val="en-US"/>
        </w:rPr>
        <w:t xml:space="preserve">. </w:t>
      </w:r>
      <w:r w:rsidRPr="00EE2A26">
        <w:rPr>
          <w:rFonts w:cs="Arial"/>
          <w:sz w:val="18"/>
          <w:szCs w:val="18"/>
          <w:lang w:val="en-US"/>
        </w:rPr>
        <w:t>The industry exhibits a phased evolutionary pattern: 34% are in the Initial stage, 41% are in the Developing stage, and 25% have reached an Integrated digital environment.</w:t>
      </w:r>
      <w:r w:rsidR="00391854" w:rsidRPr="00EE2A26">
        <w:rPr>
          <w:rFonts w:cs="Arial"/>
          <w:szCs w:val="18"/>
          <w:lang w:val="en-US"/>
        </w:rPr>
        <w:t xml:space="preserve"> </w:t>
      </w:r>
      <w:r w:rsidRPr="00EE2A26">
        <w:rPr>
          <w:rFonts w:cs="Arial"/>
          <w:sz w:val="18"/>
          <w:szCs w:val="18"/>
        </w:rPr>
        <w:t>Benchmarking and Comparative Insights</w:t>
      </w:r>
      <w:r w:rsidR="00BB06AE" w:rsidRPr="00EE2A26">
        <w:rPr>
          <w:rFonts w:cs="Arial"/>
          <w:szCs w:val="18"/>
        </w:rPr>
        <w:t xml:space="preserve">. </w:t>
      </w:r>
      <w:r w:rsidRPr="00EE2A26">
        <w:rPr>
          <w:rFonts w:cs="Arial"/>
          <w:sz w:val="18"/>
          <w:szCs w:val="18"/>
          <w:lang w:val="en-US"/>
        </w:rPr>
        <w:t>Digitalization levels in large enterprises are 1.8 times higher than in small-scale organizations.</w:t>
      </w:r>
      <w:r w:rsidR="00BB06AE" w:rsidRPr="00EE2A26">
        <w:rPr>
          <w:rFonts w:cs="Arial"/>
          <w:szCs w:val="18"/>
          <w:lang w:val="en-US"/>
        </w:rPr>
        <w:t xml:space="preserve"> </w:t>
      </w:r>
      <w:r w:rsidRPr="00EE2A26">
        <w:rPr>
          <w:rFonts w:cs="Arial"/>
          <w:sz w:val="18"/>
          <w:szCs w:val="18"/>
          <w:lang w:val="en-US"/>
        </w:rPr>
        <w:t>The domestic BIM adoption rate remains 20–25% lower than international benchmarks.</w:t>
      </w:r>
      <w:r w:rsidR="00391854" w:rsidRPr="00EE2A26">
        <w:rPr>
          <w:rFonts w:cs="Arial"/>
          <w:szCs w:val="18"/>
          <w:lang w:val="en-US"/>
        </w:rPr>
        <w:t xml:space="preserve"> </w:t>
      </w:r>
      <w:r w:rsidRPr="00EE2A26">
        <w:rPr>
          <w:rFonts w:cs="Arial"/>
          <w:sz w:val="18"/>
          <w:szCs w:val="18"/>
          <w:lang w:val="en-US"/>
        </w:rPr>
        <w:t>Synthesis of Trends</w:t>
      </w:r>
      <w:r w:rsidR="00BB06AE" w:rsidRPr="00EE2A26">
        <w:rPr>
          <w:rFonts w:cs="Arial"/>
          <w:szCs w:val="18"/>
          <w:lang w:val="en-US"/>
        </w:rPr>
        <w:t xml:space="preserve">. </w:t>
      </w:r>
      <w:r w:rsidRPr="00EE2A26">
        <w:rPr>
          <w:rFonts w:cs="Arial"/>
          <w:sz w:val="18"/>
          <w:szCs w:val="18"/>
          <w:lang w:val="en-US"/>
        </w:rPr>
        <w:t>The empirical evidence confirms that digital technologies are being adopted incrementally, with large-scale enterprises serving as the primary catalysts. There is a direct functional link between digital maturity and operational efficiency, with human capital and agile management acting as the decisive factors for success.</w:t>
      </w:r>
    </w:p>
    <w:p w14:paraId="5820BA54" w14:textId="77777777" w:rsidR="00527C4C" w:rsidRPr="00EE2A26" w:rsidRDefault="00BB06AE" w:rsidP="00CA7694">
      <w:pPr>
        <w:pStyle w:val="aff1"/>
        <w:rPr>
          <w:rFonts w:cs="Arial"/>
          <w:sz w:val="18"/>
          <w:szCs w:val="18"/>
          <w:lang w:val="en-US"/>
        </w:rPr>
      </w:pPr>
      <w:r w:rsidRPr="00EE2A26">
        <w:rPr>
          <w:rFonts w:cs="Arial"/>
          <w:sz w:val="18"/>
          <w:szCs w:val="18"/>
          <w:lang w:val="en-US"/>
        </w:rPr>
        <w:lastRenderedPageBreak/>
        <w:t>This section provides a comparative analysis of the empirical findings in relation to the theoretical frameworks identified in the literature review. It evaluates the scientific validity of the results and elucidates the practical implications of the observed trends, while also addressing the unique aspects of the findings and the methodological limitations of the study.</w:t>
      </w:r>
    </w:p>
    <w:p w14:paraId="7DAAA2A2" w14:textId="15DA09C9" w:rsidR="00BB06AE" w:rsidRPr="00EE2A26" w:rsidRDefault="00BB06AE" w:rsidP="00CA7694">
      <w:pPr>
        <w:pStyle w:val="aff1"/>
        <w:rPr>
          <w:rFonts w:cs="Arial"/>
          <w:sz w:val="18"/>
          <w:szCs w:val="18"/>
          <w:lang w:val="en-US"/>
        </w:rPr>
      </w:pPr>
      <w:r w:rsidRPr="00EE2A26">
        <w:rPr>
          <w:rFonts w:cs="Arial"/>
          <w:sz w:val="18"/>
          <w:szCs w:val="18"/>
          <w:lang w:val="en-US"/>
        </w:rPr>
        <w:t>Synthesis of Empirical Results and Theoretical Frameworks</w:t>
      </w:r>
      <w:r w:rsidR="00527C4C" w:rsidRPr="00EE2A26">
        <w:rPr>
          <w:rFonts w:cs="Arial"/>
          <w:sz w:val="18"/>
          <w:szCs w:val="18"/>
          <w:lang w:val="en-US"/>
        </w:rPr>
        <w:t xml:space="preserve">. </w:t>
      </w:r>
      <w:r w:rsidRPr="00EE2A26">
        <w:rPr>
          <w:rFonts w:cs="Arial"/>
          <w:sz w:val="18"/>
          <w:szCs w:val="18"/>
          <w:lang w:val="en-US"/>
        </w:rPr>
        <w:t xml:space="preserve">The research findings exhibit a strong alignment with established academic paradigms. Specifically, the hypothesis that digital transformation enhances production efficiency was empirically validated. The implementation of BIM and ERP technologies in construction organizations </w:t>
      </w:r>
      <w:r w:rsidR="002A5765" w:rsidRPr="00EE2A26">
        <w:rPr>
          <w:rFonts w:cs="Arial"/>
          <w:sz w:val="18"/>
          <w:szCs w:val="18"/>
          <w:lang w:val="en-US"/>
        </w:rPr>
        <w:t>resulted in a reduction of project timelines by an average of 20% and a decrease in operational costs by 13%</w:t>
      </w:r>
      <w:r w:rsidRPr="00EE2A26">
        <w:rPr>
          <w:rFonts w:cs="Arial"/>
          <w:sz w:val="18"/>
          <w:szCs w:val="18"/>
          <w:lang w:val="en-US"/>
        </w:rPr>
        <w:t xml:space="preserve">. These results corroborate the theoretical perspectives of </w:t>
      </w:r>
      <w:r w:rsidRPr="00EE2A26">
        <w:rPr>
          <w:rFonts w:cs="Arial"/>
          <w:bCs/>
          <w:sz w:val="18"/>
          <w:szCs w:val="18"/>
          <w:lang w:val="en-US"/>
        </w:rPr>
        <w:t>Erik Brynjolfsson and Andrew McAfee</w:t>
      </w:r>
      <w:r w:rsidRPr="00EE2A26">
        <w:rPr>
          <w:rFonts w:cs="Arial"/>
          <w:sz w:val="18"/>
          <w:szCs w:val="18"/>
          <w:lang w:val="en-US"/>
        </w:rPr>
        <w:t xml:space="preserve"> regarding the positive economic impact of digital integration.</w:t>
      </w:r>
    </w:p>
    <w:p w14:paraId="77856CFD" w14:textId="77777777" w:rsidR="00527C4C" w:rsidRPr="00EE2A26" w:rsidRDefault="00BB06AE" w:rsidP="00CA7694">
      <w:pPr>
        <w:pStyle w:val="aff1"/>
        <w:rPr>
          <w:rFonts w:cs="Arial"/>
          <w:sz w:val="18"/>
          <w:szCs w:val="18"/>
          <w:lang w:val="en-US"/>
        </w:rPr>
      </w:pPr>
      <w:r w:rsidRPr="00EE2A26">
        <w:rPr>
          <w:rFonts w:cs="Arial"/>
          <w:sz w:val="18"/>
          <w:szCs w:val="18"/>
          <w:lang w:val="en-US"/>
        </w:rPr>
        <w:t xml:space="preserve">Furthermore, the high prevalence of BIM adoption (54%) provides practical confirmation of the conceptual models developed by </w:t>
      </w:r>
      <w:r w:rsidRPr="00EE2A26">
        <w:rPr>
          <w:rFonts w:cs="Arial"/>
          <w:bCs/>
          <w:sz w:val="18"/>
          <w:szCs w:val="18"/>
          <w:lang w:val="en-US"/>
        </w:rPr>
        <w:t>Chuck Eastman and Rafael Sacks</w:t>
      </w:r>
      <w:r w:rsidRPr="00EE2A26">
        <w:rPr>
          <w:rFonts w:cs="Arial"/>
          <w:sz w:val="18"/>
          <w:szCs w:val="18"/>
          <w:lang w:val="en-US"/>
        </w:rPr>
        <w:t>, establishing BIM as the primary digital instrument within the modern construction workflow.</w:t>
      </w:r>
    </w:p>
    <w:p w14:paraId="10B4DBFD" w14:textId="76955C14" w:rsidR="00BB06AE" w:rsidRPr="00EE2A26" w:rsidRDefault="00BB06AE" w:rsidP="00CA7694">
      <w:pPr>
        <w:pStyle w:val="aff1"/>
        <w:rPr>
          <w:rFonts w:cs="Arial"/>
          <w:sz w:val="18"/>
          <w:szCs w:val="18"/>
          <w:lang w:val="en-US"/>
        </w:rPr>
      </w:pPr>
      <w:r w:rsidRPr="00EE2A26">
        <w:rPr>
          <w:rFonts w:cs="Arial"/>
          <w:sz w:val="18"/>
          <w:szCs w:val="18"/>
          <w:lang w:val="en-US"/>
        </w:rPr>
        <w:t>Comparative Enterprise Analysis within the National Context</w:t>
      </w:r>
      <w:r w:rsidR="00527C4C" w:rsidRPr="00EE2A26">
        <w:rPr>
          <w:rFonts w:cs="Arial"/>
          <w:sz w:val="18"/>
          <w:szCs w:val="18"/>
          <w:lang w:val="en-US"/>
        </w:rPr>
        <w:t xml:space="preserve">. </w:t>
      </w:r>
      <w:r w:rsidRPr="00EE2A26">
        <w:rPr>
          <w:rFonts w:cs="Arial"/>
          <w:sz w:val="18"/>
          <w:szCs w:val="18"/>
          <w:lang w:val="en-US"/>
        </w:rPr>
        <w:t>The empirical results are further substantiated by the operational experiences of leading industrial entities in Uzbekistan:</w:t>
      </w:r>
    </w:p>
    <w:p w14:paraId="0568310A" w14:textId="77777777" w:rsidR="00BB06AE" w:rsidRPr="00EE2A26" w:rsidRDefault="00BB06AE" w:rsidP="00CA7694">
      <w:pPr>
        <w:pStyle w:val="aff1"/>
        <w:numPr>
          <w:ilvl w:val="0"/>
          <w:numId w:val="32"/>
        </w:numPr>
        <w:tabs>
          <w:tab w:val="clear" w:pos="720"/>
          <w:tab w:val="clear" w:pos="7100"/>
          <w:tab w:val="num" w:pos="284"/>
        </w:tabs>
        <w:spacing w:line="240" w:lineRule="auto"/>
        <w:ind w:left="0" w:firstLine="0"/>
        <w:rPr>
          <w:rFonts w:cs="Arial"/>
          <w:sz w:val="18"/>
          <w:szCs w:val="18"/>
          <w:lang w:val="en-US"/>
        </w:rPr>
      </w:pPr>
      <w:r w:rsidRPr="00EE2A26">
        <w:rPr>
          <w:rFonts w:cs="Arial"/>
          <w:bCs/>
          <w:sz w:val="18"/>
          <w:szCs w:val="18"/>
          <w:lang w:val="en-US"/>
        </w:rPr>
        <w:t>Akhangarancement and Qizilqumsement:</w:t>
      </w:r>
      <w:r w:rsidRPr="00EE2A26">
        <w:rPr>
          <w:rFonts w:cs="Arial"/>
          <w:sz w:val="18"/>
          <w:szCs w:val="18"/>
          <w:lang w:val="en-US"/>
        </w:rPr>
        <w:t xml:space="preserve"> The automation of production cycles and the digitalization of logistics systems have led to a measurable surge in overall manufacturing efficiency.</w:t>
      </w:r>
    </w:p>
    <w:p w14:paraId="092DF2A0" w14:textId="77777777" w:rsidR="00BB06AE" w:rsidRPr="00EE2A26" w:rsidRDefault="00BB06AE" w:rsidP="00CA7694">
      <w:pPr>
        <w:pStyle w:val="aff1"/>
        <w:numPr>
          <w:ilvl w:val="0"/>
          <w:numId w:val="32"/>
        </w:numPr>
        <w:tabs>
          <w:tab w:val="clear" w:pos="720"/>
          <w:tab w:val="clear" w:pos="7100"/>
          <w:tab w:val="num" w:pos="284"/>
        </w:tabs>
        <w:spacing w:line="240" w:lineRule="auto"/>
        <w:ind w:left="0" w:firstLine="0"/>
        <w:rPr>
          <w:rFonts w:cs="Arial"/>
          <w:sz w:val="18"/>
          <w:szCs w:val="18"/>
          <w:lang w:val="en-US"/>
        </w:rPr>
      </w:pPr>
      <w:r w:rsidRPr="00EE2A26">
        <w:rPr>
          <w:rFonts w:cs="Arial"/>
          <w:bCs/>
          <w:sz w:val="18"/>
          <w:szCs w:val="18"/>
          <w:lang w:val="en-US"/>
        </w:rPr>
        <w:t>Bekabadcement and Quvasoycement:</w:t>
      </w:r>
      <w:r w:rsidRPr="00EE2A26">
        <w:rPr>
          <w:rFonts w:cs="Arial"/>
          <w:sz w:val="18"/>
          <w:szCs w:val="18"/>
          <w:lang w:val="en-US"/>
        </w:rPr>
        <w:t xml:space="preserve"> Digital interventions have facilitated the optimization of energy consumption and a reduction in industrial waste.</w:t>
      </w:r>
    </w:p>
    <w:p w14:paraId="675C0CEB" w14:textId="77777777" w:rsidR="005E7C04" w:rsidRPr="00EE2A26" w:rsidRDefault="00BB06AE" w:rsidP="00CA7694">
      <w:pPr>
        <w:pStyle w:val="aff1"/>
        <w:numPr>
          <w:ilvl w:val="0"/>
          <w:numId w:val="32"/>
        </w:numPr>
        <w:tabs>
          <w:tab w:val="clear" w:pos="720"/>
          <w:tab w:val="clear" w:pos="7100"/>
          <w:tab w:val="num" w:pos="284"/>
        </w:tabs>
        <w:spacing w:line="240" w:lineRule="auto"/>
        <w:ind w:left="0" w:firstLine="0"/>
        <w:rPr>
          <w:rFonts w:cs="Arial"/>
          <w:sz w:val="18"/>
          <w:szCs w:val="18"/>
          <w:lang w:val="en-US"/>
        </w:rPr>
      </w:pPr>
      <w:r w:rsidRPr="00EE2A26">
        <w:rPr>
          <w:rFonts w:cs="Arial"/>
          <w:sz w:val="18"/>
          <w:szCs w:val="18"/>
          <w:lang w:val="en-US"/>
        </w:rPr>
        <w:t>Uzmetkombinat: The deployment of digital control systems in metal structure production has significantly compressed the production cycle. These case studies reinforce the premise that digital transformation is a critical driver of industrial productivity.</w:t>
      </w:r>
    </w:p>
    <w:p w14:paraId="306E3AF4" w14:textId="77777777" w:rsidR="00450EEB" w:rsidRPr="00EE2A26" w:rsidRDefault="00BB06AE" w:rsidP="00CA7694">
      <w:pPr>
        <w:pStyle w:val="aff1"/>
        <w:tabs>
          <w:tab w:val="clear" w:pos="7100"/>
        </w:tabs>
        <w:spacing w:line="240" w:lineRule="auto"/>
        <w:rPr>
          <w:rFonts w:cs="Arial"/>
          <w:sz w:val="18"/>
          <w:szCs w:val="18"/>
          <w:lang w:val="en-US"/>
        </w:rPr>
      </w:pPr>
      <w:r w:rsidRPr="00EE2A26">
        <w:rPr>
          <w:rFonts w:cs="Arial"/>
          <w:sz w:val="18"/>
          <w:szCs w:val="18"/>
          <w:lang w:val="en-US"/>
        </w:rPr>
        <w:t>Unique Insights and Scientific Nuances</w:t>
      </w:r>
      <w:r w:rsidR="005E7C04" w:rsidRPr="00EE2A26">
        <w:rPr>
          <w:rFonts w:cs="Arial"/>
          <w:sz w:val="18"/>
          <w:szCs w:val="18"/>
          <w:lang w:val="en-US"/>
        </w:rPr>
        <w:t xml:space="preserve">. </w:t>
      </w:r>
      <w:r w:rsidRPr="00EE2A26">
        <w:rPr>
          <w:rFonts w:cs="Arial"/>
          <w:sz w:val="18"/>
          <w:szCs w:val="18"/>
          <w:lang w:val="en-US"/>
        </w:rPr>
        <w:t xml:space="preserve">A notable divergence from certain academic expectations was observed regarding advanced technologies. Despite the high theoretical potential of </w:t>
      </w:r>
      <w:r w:rsidRPr="00EE2A26">
        <w:rPr>
          <w:rFonts w:cs="Arial"/>
          <w:bCs/>
          <w:sz w:val="18"/>
          <w:szCs w:val="18"/>
          <w:lang w:val="en-US"/>
        </w:rPr>
        <w:t>Artificial Intelligence (AI)</w:t>
      </w:r>
      <w:r w:rsidRPr="00EE2A26">
        <w:rPr>
          <w:rFonts w:cs="Arial"/>
          <w:sz w:val="18"/>
          <w:szCs w:val="18"/>
          <w:lang w:val="en-US"/>
        </w:rPr>
        <w:t xml:space="preserve"> and </w:t>
      </w:r>
      <w:r w:rsidRPr="00EE2A26">
        <w:rPr>
          <w:rFonts w:cs="Arial"/>
          <w:bCs/>
          <w:sz w:val="18"/>
          <w:szCs w:val="18"/>
          <w:lang w:val="en-US"/>
        </w:rPr>
        <w:t>Big Data</w:t>
      </w:r>
      <w:r w:rsidRPr="00EE2A26">
        <w:rPr>
          <w:rFonts w:cs="Arial"/>
          <w:sz w:val="18"/>
          <w:szCs w:val="18"/>
          <w:lang w:val="en-US"/>
        </w:rPr>
        <w:t>, their actual implementation rate remains modest at 18–22%. This indicates that while these tools are celebrated in literature as high-efficiency catalysts, their practical application in the local sector is still in its nascent, exploratory phase.</w:t>
      </w:r>
      <w:r w:rsidR="00450EEB" w:rsidRPr="00EE2A26">
        <w:rPr>
          <w:rFonts w:cs="Arial"/>
          <w:sz w:val="18"/>
          <w:szCs w:val="18"/>
          <w:lang w:val="en-US"/>
        </w:rPr>
        <w:t xml:space="preserve"> </w:t>
      </w:r>
      <w:r w:rsidRPr="00EE2A26">
        <w:rPr>
          <w:rFonts w:cs="Arial"/>
          <w:sz w:val="18"/>
          <w:szCs w:val="18"/>
          <w:lang w:val="en-US"/>
        </w:rPr>
        <w:t xml:space="preserve">Additionally, the study highlights the decisive role of </w:t>
      </w:r>
      <w:r w:rsidRPr="00EE2A26">
        <w:rPr>
          <w:rFonts w:cs="Arial"/>
          <w:bCs/>
          <w:sz w:val="18"/>
          <w:szCs w:val="18"/>
          <w:lang w:val="en-US"/>
        </w:rPr>
        <w:t>human capital</w:t>
      </w:r>
      <w:r w:rsidRPr="00EE2A26">
        <w:rPr>
          <w:rFonts w:cs="Arial"/>
          <w:sz w:val="18"/>
          <w:szCs w:val="18"/>
          <w:lang w:val="en-US"/>
        </w:rPr>
        <w:t xml:space="preserve"> and </w:t>
      </w:r>
      <w:r w:rsidRPr="00EE2A26">
        <w:rPr>
          <w:rFonts w:cs="Arial"/>
          <w:bCs/>
          <w:sz w:val="18"/>
          <w:szCs w:val="18"/>
          <w:lang w:val="en-US"/>
        </w:rPr>
        <w:t>governance structures</w:t>
      </w:r>
      <w:r w:rsidRPr="00EE2A26">
        <w:rPr>
          <w:rFonts w:cs="Arial"/>
          <w:sz w:val="18"/>
          <w:szCs w:val="18"/>
          <w:lang w:val="en-US"/>
        </w:rPr>
        <w:t xml:space="preserve">. With 72% of experts identifying employee competency as the critical success factor and 64% emphasizing management frameworks, these findings enrich the systemic approach advocated by </w:t>
      </w:r>
      <w:r w:rsidRPr="00EE2A26">
        <w:rPr>
          <w:rFonts w:cs="Arial"/>
          <w:bCs/>
          <w:sz w:val="18"/>
          <w:szCs w:val="18"/>
          <w:lang w:val="en-US"/>
        </w:rPr>
        <w:t>Lauri Koskela</w:t>
      </w:r>
      <w:r w:rsidRPr="00EE2A26">
        <w:rPr>
          <w:rFonts w:cs="Arial"/>
          <w:sz w:val="18"/>
          <w:szCs w:val="18"/>
          <w:lang w:val="en-US"/>
        </w:rPr>
        <w:t xml:space="preserve"> with fresh empirical evidence.</w:t>
      </w:r>
    </w:p>
    <w:p w14:paraId="455CAF2D" w14:textId="7D51B468" w:rsidR="00BB06AE" w:rsidRPr="00EE2A26" w:rsidRDefault="00BB06AE" w:rsidP="00450EEB">
      <w:pPr>
        <w:pStyle w:val="aff1"/>
        <w:tabs>
          <w:tab w:val="clear" w:pos="7100"/>
        </w:tabs>
        <w:spacing w:line="240" w:lineRule="auto"/>
        <w:rPr>
          <w:rFonts w:cs="Arial"/>
          <w:sz w:val="18"/>
          <w:szCs w:val="18"/>
        </w:rPr>
      </w:pPr>
      <w:r w:rsidRPr="00EE2A26">
        <w:rPr>
          <w:rFonts w:cs="Arial"/>
          <w:sz w:val="18"/>
          <w:szCs w:val="18"/>
          <w:lang w:val="en-US"/>
        </w:rPr>
        <w:t>International Benchmarking</w:t>
      </w:r>
      <w:r w:rsidR="00450EEB" w:rsidRPr="00EE2A26">
        <w:rPr>
          <w:rFonts w:cs="Arial"/>
          <w:sz w:val="18"/>
          <w:szCs w:val="18"/>
          <w:lang w:val="en-US"/>
        </w:rPr>
        <w:t xml:space="preserve">. </w:t>
      </w:r>
      <w:r w:rsidRPr="00EE2A26">
        <w:rPr>
          <w:rFonts w:cs="Arial"/>
          <w:sz w:val="18"/>
          <w:szCs w:val="18"/>
          <w:lang w:val="en-US"/>
        </w:rPr>
        <w:t xml:space="preserve">A comparative assessment against global standards reveals distinct developmental gaps. While BIM adoption in developed economies fluctuates between 70–80%, local enterprises exhibit a rate of 50–55%. </w:t>
      </w:r>
      <w:r w:rsidRPr="00EE2A26">
        <w:rPr>
          <w:rFonts w:cs="Arial"/>
          <w:sz w:val="18"/>
          <w:szCs w:val="18"/>
        </w:rPr>
        <w:t>This disparity is attributable to several structural factors:</w:t>
      </w:r>
    </w:p>
    <w:p w14:paraId="0FB93D9F" w14:textId="77777777" w:rsidR="00BB06AE" w:rsidRPr="00EE2A26" w:rsidRDefault="00BB06AE" w:rsidP="00450EEB">
      <w:pPr>
        <w:pStyle w:val="aff1"/>
        <w:numPr>
          <w:ilvl w:val="0"/>
          <w:numId w:val="33"/>
        </w:numPr>
        <w:tabs>
          <w:tab w:val="clear" w:pos="720"/>
          <w:tab w:val="clear" w:pos="7100"/>
          <w:tab w:val="left" w:pos="284"/>
        </w:tabs>
        <w:spacing w:line="240" w:lineRule="auto"/>
        <w:ind w:left="0" w:firstLine="0"/>
        <w:jc w:val="left"/>
        <w:rPr>
          <w:rFonts w:cs="Arial"/>
          <w:sz w:val="18"/>
          <w:szCs w:val="18"/>
          <w:lang w:val="en-US"/>
        </w:rPr>
      </w:pPr>
      <w:r w:rsidRPr="00EE2A26">
        <w:rPr>
          <w:rFonts w:cs="Arial"/>
          <w:sz w:val="18"/>
          <w:szCs w:val="18"/>
          <w:lang w:val="en-US"/>
        </w:rPr>
        <w:t>The relative maturity of technological infrastructure;</w:t>
      </w:r>
    </w:p>
    <w:p w14:paraId="507DC24B" w14:textId="77777777" w:rsidR="00BB06AE" w:rsidRPr="00EE2A26" w:rsidRDefault="00BB06AE" w:rsidP="00450EEB">
      <w:pPr>
        <w:pStyle w:val="aff1"/>
        <w:numPr>
          <w:ilvl w:val="0"/>
          <w:numId w:val="33"/>
        </w:numPr>
        <w:tabs>
          <w:tab w:val="clear" w:pos="720"/>
          <w:tab w:val="clear" w:pos="7100"/>
          <w:tab w:val="left" w:pos="284"/>
        </w:tabs>
        <w:spacing w:line="240" w:lineRule="auto"/>
        <w:ind w:left="0" w:firstLine="0"/>
        <w:jc w:val="left"/>
        <w:rPr>
          <w:rFonts w:cs="Arial"/>
          <w:sz w:val="18"/>
          <w:szCs w:val="18"/>
          <w:lang w:val="en-US"/>
        </w:rPr>
      </w:pPr>
      <w:r w:rsidRPr="00EE2A26">
        <w:rPr>
          <w:rFonts w:cs="Arial"/>
          <w:sz w:val="18"/>
          <w:szCs w:val="18"/>
          <w:lang w:val="en-US"/>
        </w:rPr>
        <w:t>Constraints in investment capital allocation;</w:t>
      </w:r>
    </w:p>
    <w:p w14:paraId="25DB27BC" w14:textId="669D10D0" w:rsidR="00B5387B" w:rsidRPr="00EE2A26" w:rsidRDefault="00BB06AE" w:rsidP="00B5387B">
      <w:pPr>
        <w:pStyle w:val="aff1"/>
        <w:numPr>
          <w:ilvl w:val="0"/>
          <w:numId w:val="33"/>
        </w:numPr>
        <w:tabs>
          <w:tab w:val="clear" w:pos="720"/>
          <w:tab w:val="clear" w:pos="7100"/>
          <w:tab w:val="left" w:pos="284"/>
        </w:tabs>
        <w:spacing w:line="240" w:lineRule="auto"/>
        <w:ind w:left="0" w:firstLine="0"/>
        <w:jc w:val="left"/>
        <w:rPr>
          <w:rFonts w:cs="Arial"/>
          <w:sz w:val="18"/>
          <w:szCs w:val="18"/>
          <w:lang w:val="en-US"/>
        </w:rPr>
      </w:pPr>
      <w:r w:rsidRPr="00EE2A26">
        <w:rPr>
          <w:rFonts w:cs="Arial"/>
          <w:sz w:val="18"/>
          <w:szCs w:val="18"/>
          <w:lang w:val="en-US"/>
        </w:rPr>
        <w:t>A shortage of specialized digital talent. Furthermore, unlike the strategic and holistic digital transitions seen internationally, the process in domestic enterprises is characterized by a phased and somewhat asymmetrical evolution.</w:t>
      </w:r>
    </w:p>
    <w:p w14:paraId="1DDFE5EF" w14:textId="474FDC87" w:rsidR="00BB06AE" w:rsidRPr="00EE2A26" w:rsidRDefault="00BB06AE" w:rsidP="00B5387B">
      <w:pPr>
        <w:pStyle w:val="aff1"/>
        <w:tabs>
          <w:tab w:val="clear" w:pos="7100"/>
          <w:tab w:val="left" w:pos="284"/>
        </w:tabs>
        <w:spacing w:line="240" w:lineRule="auto"/>
        <w:rPr>
          <w:rFonts w:cs="Arial"/>
          <w:sz w:val="18"/>
          <w:szCs w:val="18"/>
          <w:lang w:val="en-US"/>
        </w:rPr>
      </w:pPr>
      <w:r w:rsidRPr="00EE2A26">
        <w:rPr>
          <w:rFonts w:cs="Arial"/>
          <w:sz w:val="18"/>
          <w:szCs w:val="18"/>
          <w:lang w:val="en-US"/>
        </w:rPr>
        <w:t>Methodological Limitations</w:t>
      </w:r>
      <w:r w:rsidR="00B5387B" w:rsidRPr="00EE2A26">
        <w:rPr>
          <w:rFonts w:cs="Arial"/>
          <w:sz w:val="18"/>
          <w:szCs w:val="18"/>
          <w:lang w:val="en-US"/>
        </w:rPr>
        <w:t xml:space="preserve">. </w:t>
      </w:r>
      <w:r w:rsidRPr="00EE2A26">
        <w:rPr>
          <w:rFonts w:cs="Arial"/>
          <w:sz w:val="18"/>
          <w:szCs w:val="18"/>
          <w:lang w:val="en-US"/>
        </w:rPr>
        <w:t>To ensure an objective interpretation of the findings, several limitations must be acknowledged:</w:t>
      </w:r>
    </w:p>
    <w:p w14:paraId="3184B36E" w14:textId="77777777" w:rsidR="00BB06AE" w:rsidRPr="00EE2A26" w:rsidRDefault="00BB06AE" w:rsidP="00B5387B">
      <w:pPr>
        <w:pStyle w:val="aff1"/>
        <w:numPr>
          <w:ilvl w:val="0"/>
          <w:numId w:val="34"/>
        </w:numPr>
        <w:tabs>
          <w:tab w:val="clear" w:pos="720"/>
          <w:tab w:val="clear" w:pos="7100"/>
          <w:tab w:val="num" w:pos="284"/>
        </w:tabs>
        <w:spacing w:line="240" w:lineRule="auto"/>
        <w:ind w:left="0" w:firstLine="0"/>
        <w:jc w:val="left"/>
        <w:rPr>
          <w:rFonts w:cs="Arial"/>
          <w:sz w:val="18"/>
          <w:szCs w:val="18"/>
          <w:lang w:val="en-US"/>
        </w:rPr>
      </w:pPr>
      <w:r w:rsidRPr="00EE2A26">
        <w:rPr>
          <w:rFonts w:cs="Arial"/>
          <w:bCs/>
          <w:sz w:val="18"/>
          <w:szCs w:val="18"/>
          <w:lang w:val="en-US"/>
        </w:rPr>
        <w:t>Sample Size:</w:t>
      </w:r>
      <w:r w:rsidRPr="00EE2A26">
        <w:rPr>
          <w:rFonts w:cs="Arial"/>
          <w:sz w:val="18"/>
          <w:szCs w:val="18"/>
          <w:lang w:val="en-US"/>
        </w:rPr>
        <w:t xml:space="preserve"> The study focused on five representative enterprises; thus, the generalizability of the results across the entire industry may have certain constraints.</w:t>
      </w:r>
    </w:p>
    <w:p w14:paraId="4AE43FE1" w14:textId="77777777" w:rsidR="00BB06AE" w:rsidRPr="00EE2A26" w:rsidRDefault="00BB06AE" w:rsidP="00B5387B">
      <w:pPr>
        <w:pStyle w:val="aff1"/>
        <w:numPr>
          <w:ilvl w:val="0"/>
          <w:numId w:val="34"/>
        </w:numPr>
        <w:tabs>
          <w:tab w:val="clear" w:pos="720"/>
          <w:tab w:val="clear" w:pos="7100"/>
          <w:tab w:val="num" w:pos="284"/>
        </w:tabs>
        <w:spacing w:line="240" w:lineRule="auto"/>
        <w:ind w:left="0" w:firstLine="0"/>
        <w:jc w:val="left"/>
        <w:rPr>
          <w:rFonts w:cs="Arial"/>
          <w:sz w:val="18"/>
          <w:szCs w:val="18"/>
          <w:lang w:val="en-US"/>
        </w:rPr>
      </w:pPr>
      <w:r w:rsidRPr="00EE2A26">
        <w:rPr>
          <w:rFonts w:cs="Arial"/>
          <w:bCs/>
          <w:sz w:val="18"/>
          <w:szCs w:val="18"/>
          <w:lang w:val="en-US"/>
        </w:rPr>
        <w:t>Subjectivity Factor:</w:t>
      </w:r>
      <w:r w:rsidRPr="00EE2A26">
        <w:rPr>
          <w:rFonts w:cs="Arial"/>
          <w:sz w:val="18"/>
          <w:szCs w:val="18"/>
          <w:lang w:val="en-US"/>
        </w:rPr>
        <w:t xml:space="preserve"> Data derived from surveys and interviews may be influenced by the subjective perceptions of the respondents.</w:t>
      </w:r>
    </w:p>
    <w:p w14:paraId="31736811" w14:textId="77777777" w:rsidR="00BB06AE" w:rsidRPr="00EE2A26" w:rsidRDefault="00BB06AE" w:rsidP="00B5387B">
      <w:pPr>
        <w:pStyle w:val="aff1"/>
        <w:numPr>
          <w:ilvl w:val="0"/>
          <w:numId w:val="34"/>
        </w:numPr>
        <w:tabs>
          <w:tab w:val="clear" w:pos="720"/>
          <w:tab w:val="clear" w:pos="7100"/>
          <w:tab w:val="num" w:pos="284"/>
        </w:tabs>
        <w:spacing w:line="240" w:lineRule="auto"/>
        <w:ind w:left="0" w:firstLine="0"/>
        <w:jc w:val="left"/>
        <w:rPr>
          <w:rFonts w:cs="Arial"/>
          <w:sz w:val="18"/>
          <w:szCs w:val="18"/>
          <w:lang w:val="en-US"/>
        </w:rPr>
      </w:pPr>
      <w:r w:rsidRPr="00EE2A26">
        <w:rPr>
          <w:rFonts w:cs="Arial"/>
          <w:bCs/>
          <w:sz w:val="18"/>
          <w:szCs w:val="18"/>
          <w:lang w:val="en-US"/>
        </w:rPr>
        <w:t>Geographic Scope:</w:t>
      </w:r>
      <w:r w:rsidRPr="00EE2A26">
        <w:rPr>
          <w:rFonts w:cs="Arial"/>
          <w:sz w:val="18"/>
          <w:szCs w:val="18"/>
          <w:lang w:val="en-US"/>
        </w:rPr>
        <w:t xml:space="preserve"> The research is specifically tailored to the economic environment of Uzbekistan, which may limit its direct applicability to other regional contexts.</w:t>
      </w:r>
    </w:p>
    <w:p w14:paraId="070B84A0" w14:textId="5B4545CA" w:rsidR="00304318" w:rsidRPr="00EE2A26" w:rsidRDefault="00BB06AE" w:rsidP="00304318">
      <w:pPr>
        <w:pStyle w:val="aff1"/>
        <w:numPr>
          <w:ilvl w:val="0"/>
          <w:numId w:val="34"/>
        </w:numPr>
        <w:tabs>
          <w:tab w:val="clear" w:pos="720"/>
          <w:tab w:val="clear" w:pos="7100"/>
          <w:tab w:val="num" w:pos="284"/>
        </w:tabs>
        <w:spacing w:line="240" w:lineRule="auto"/>
        <w:ind w:left="0" w:firstLine="0"/>
        <w:jc w:val="left"/>
        <w:rPr>
          <w:rFonts w:cs="Arial"/>
          <w:sz w:val="18"/>
          <w:szCs w:val="18"/>
          <w:lang w:val="en-US"/>
        </w:rPr>
      </w:pPr>
      <w:r w:rsidRPr="00EE2A26">
        <w:rPr>
          <w:rFonts w:cs="Arial"/>
          <w:bCs/>
          <w:sz w:val="18"/>
          <w:szCs w:val="18"/>
          <w:lang w:val="en-US"/>
        </w:rPr>
        <w:t>Temporal Constraint:</w:t>
      </w:r>
      <w:r w:rsidRPr="00EE2A26">
        <w:rPr>
          <w:rFonts w:cs="Arial"/>
          <w:sz w:val="18"/>
          <w:szCs w:val="18"/>
          <w:lang w:val="en-US"/>
        </w:rPr>
        <w:t xml:space="preserve"> The study provides a cross-sectional view and may not fully capture the long-term, longitudinal effects of digital transformation.</w:t>
      </w:r>
    </w:p>
    <w:p w14:paraId="55094556" w14:textId="2A7CAABC" w:rsidR="00BB06AE" w:rsidRPr="00EE2A26" w:rsidRDefault="00304318" w:rsidP="00304318">
      <w:pPr>
        <w:pStyle w:val="CETHeading1"/>
        <w:numPr>
          <w:ilvl w:val="0"/>
          <w:numId w:val="0"/>
        </w:numPr>
      </w:pPr>
      <w:r w:rsidRPr="00EE2A26">
        <w:t>5. Conclusion</w:t>
      </w:r>
    </w:p>
    <w:p w14:paraId="61AFBD8C" w14:textId="6BED21B9" w:rsidR="00BB06AE" w:rsidRPr="00EE2A26" w:rsidRDefault="00BB06AE" w:rsidP="00BB06AE">
      <w:pPr>
        <w:pStyle w:val="aff1"/>
        <w:rPr>
          <w:rFonts w:cs="Arial"/>
          <w:sz w:val="18"/>
          <w:szCs w:val="18"/>
          <w:lang w:val="en-US"/>
        </w:rPr>
      </w:pPr>
      <w:r w:rsidRPr="00EE2A26">
        <w:rPr>
          <w:rFonts w:cs="Arial"/>
          <w:sz w:val="18"/>
          <w:szCs w:val="18"/>
          <w:lang w:val="en-US"/>
        </w:rPr>
        <w:t>This study provides a systematic and comprehensive analysis of the evaluation of digital transformation within the construction industry. In accordance with the initial research objectives, significant scientific results have been achieved. The primary goal—the development and scientific validation of an effective methodology for assessing the degree of digital transition in construction—has been fully realized.</w:t>
      </w:r>
      <w:r w:rsidR="00304318" w:rsidRPr="00EE2A26">
        <w:rPr>
          <w:rFonts w:cs="Arial"/>
          <w:sz w:val="18"/>
          <w:szCs w:val="18"/>
          <w:lang w:val="en-US"/>
        </w:rPr>
        <w:t xml:space="preserve"> </w:t>
      </w:r>
      <w:r w:rsidRPr="00EE2A26">
        <w:rPr>
          <w:rFonts w:cs="Arial"/>
          <w:sz w:val="18"/>
          <w:szCs w:val="18"/>
          <w:lang w:val="en-US"/>
        </w:rPr>
        <w:t>Key Findings</w:t>
      </w:r>
      <w:r w:rsidR="00304318" w:rsidRPr="00EE2A26">
        <w:rPr>
          <w:rFonts w:cs="Arial"/>
          <w:sz w:val="18"/>
          <w:szCs w:val="18"/>
          <w:lang w:val="en-US"/>
        </w:rPr>
        <w:t xml:space="preserve">: </w:t>
      </w:r>
      <w:r w:rsidRPr="00EE2A26">
        <w:rPr>
          <w:rFonts w:cs="Arial"/>
          <w:sz w:val="18"/>
          <w:szCs w:val="18"/>
          <w:lang w:val="en-US"/>
        </w:rPr>
        <w:t xml:space="preserve">Empirical analysis demonstrates that the level of digital maturity within the construction sector exerts a direct and substantial influence on organizational economic performance. Enterprises that have integrated digital technologies </w:t>
      </w:r>
      <w:r w:rsidR="00A7626E" w:rsidRPr="00EE2A26">
        <w:rPr>
          <w:rFonts w:cs="Arial"/>
          <w:sz w:val="18"/>
          <w:szCs w:val="18"/>
          <w:lang w:val="en-US"/>
        </w:rPr>
        <w:t>exhibited a measurable reduction in project lead times (averaging 20%), a decrease in operational expenditures (13%), and an improvement in labor productivity (17%)</w:t>
      </w:r>
      <w:r w:rsidRPr="00EE2A26">
        <w:rPr>
          <w:rFonts w:cs="Arial"/>
          <w:sz w:val="18"/>
          <w:szCs w:val="18"/>
          <w:lang w:val="en-US"/>
        </w:rPr>
        <w:t>. These findings confirm that digital transformation serves as a critical strategic determinant in enhancing industrial efficiency.</w:t>
      </w:r>
      <w:r w:rsidR="00304318" w:rsidRPr="00EE2A26">
        <w:rPr>
          <w:rFonts w:cs="Arial"/>
          <w:sz w:val="18"/>
          <w:szCs w:val="18"/>
          <w:lang w:val="en-US"/>
        </w:rPr>
        <w:t xml:space="preserve"> </w:t>
      </w:r>
      <w:r w:rsidRPr="00EE2A26">
        <w:rPr>
          <w:rFonts w:cs="Arial"/>
          <w:sz w:val="18"/>
          <w:szCs w:val="18"/>
          <w:lang w:val="en-US"/>
        </w:rPr>
        <w:t xml:space="preserve">Furthermore, the research establishes that the evaluation of digital transformation must transcend purely technological metrics. A holistic assessment necessitates the integration of multifaceted factors, including management frameworks, </w:t>
      </w:r>
      <w:r w:rsidRPr="00EE2A26">
        <w:rPr>
          <w:rFonts w:cs="Arial"/>
          <w:sz w:val="18"/>
          <w:szCs w:val="18"/>
          <w:lang w:val="en-US"/>
        </w:rPr>
        <w:lastRenderedPageBreak/>
        <w:t>human capital potential, organizational culture, and financial resource allocation. The "Digital Maturity Index" model, developed as part of this study, facilitates the precise identification of development stages and enables effective segmentation of construction enterprises.</w:t>
      </w:r>
      <w:r w:rsidR="00304318" w:rsidRPr="00EE2A26">
        <w:rPr>
          <w:rFonts w:cs="Arial"/>
          <w:sz w:val="18"/>
          <w:szCs w:val="18"/>
          <w:lang w:val="en-US"/>
        </w:rPr>
        <w:t xml:space="preserve"> </w:t>
      </w:r>
      <w:r w:rsidRPr="00EE2A26">
        <w:rPr>
          <w:rFonts w:cs="Arial"/>
          <w:sz w:val="18"/>
          <w:szCs w:val="18"/>
          <w:lang w:val="en-US"/>
        </w:rPr>
        <w:t>The study also identifies that digitalization in the construction sector is an incremental process characterized by significant disparities between organizations. Large-scale enterprises demonstrate a higher degree of digital adoption compared to small-scale firms, a discrepancy primarily driven by their superior financial capacity and technological infrastructure.</w:t>
      </w:r>
      <w:r w:rsidR="00304318" w:rsidRPr="00EE2A26">
        <w:rPr>
          <w:rFonts w:cs="Arial"/>
          <w:sz w:val="18"/>
          <w:szCs w:val="18"/>
          <w:lang w:val="en-US"/>
        </w:rPr>
        <w:t xml:space="preserve"> </w:t>
      </w:r>
      <w:r w:rsidRPr="00EE2A26">
        <w:rPr>
          <w:rFonts w:cs="Arial"/>
          <w:sz w:val="18"/>
          <w:szCs w:val="18"/>
          <w:lang w:val="en-US"/>
        </w:rPr>
        <w:t>Practical Recommendations</w:t>
      </w:r>
      <w:r w:rsidR="00304318" w:rsidRPr="00EE2A26">
        <w:rPr>
          <w:rFonts w:cs="Arial"/>
          <w:sz w:val="18"/>
          <w:szCs w:val="18"/>
          <w:lang w:val="en-US"/>
        </w:rPr>
        <w:t xml:space="preserve">: </w:t>
      </w:r>
      <w:r w:rsidRPr="00EE2A26">
        <w:rPr>
          <w:rFonts w:cs="Arial"/>
          <w:sz w:val="18"/>
          <w:szCs w:val="18"/>
          <w:lang w:val="en-US"/>
        </w:rPr>
        <w:t>Based on the research outcomes, the following practical measures are proposed to optimize digital transformation within the construction industry:</w:t>
      </w:r>
    </w:p>
    <w:p w14:paraId="2E078784" w14:textId="77777777" w:rsidR="00BB06AE" w:rsidRPr="00EE2A26" w:rsidRDefault="00BB06AE" w:rsidP="000E4FB0">
      <w:pPr>
        <w:pStyle w:val="aff1"/>
        <w:numPr>
          <w:ilvl w:val="0"/>
          <w:numId w:val="35"/>
        </w:numPr>
        <w:tabs>
          <w:tab w:val="clear" w:pos="720"/>
          <w:tab w:val="clear" w:pos="7100"/>
          <w:tab w:val="num" w:pos="284"/>
        </w:tabs>
        <w:spacing w:line="240" w:lineRule="auto"/>
        <w:ind w:left="0" w:firstLine="0"/>
        <w:rPr>
          <w:rFonts w:cs="Arial"/>
          <w:sz w:val="18"/>
          <w:szCs w:val="18"/>
          <w:lang w:val="en-US"/>
        </w:rPr>
      </w:pPr>
      <w:r w:rsidRPr="00EE2A26">
        <w:rPr>
          <w:rFonts w:cs="Arial"/>
          <w:bCs/>
          <w:sz w:val="18"/>
          <w:szCs w:val="18"/>
          <w:lang w:val="en-US"/>
        </w:rPr>
        <w:t>Implementation of Strategic Frameworks:</w:t>
      </w:r>
      <w:r w:rsidRPr="00EE2A26">
        <w:rPr>
          <w:rFonts w:cs="Arial"/>
          <w:sz w:val="18"/>
          <w:szCs w:val="18"/>
          <w:lang w:val="en-US"/>
        </w:rPr>
        <w:t xml:space="preserve"> Construction firms should develop long-term digital transformation roadmaps and execute them through a phased approach.</w:t>
      </w:r>
    </w:p>
    <w:p w14:paraId="71E6A838" w14:textId="77777777" w:rsidR="00BB06AE" w:rsidRPr="00EE2A26" w:rsidRDefault="00BB06AE" w:rsidP="000E4FB0">
      <w:pPr>
        <w:pStyle w:val="aff1"/>
        <w:numPr>
          <w:ilvl w:val="0"/>
          <w:numId w:val="3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Prioritization of Core Technologies:</w:t>
      </w:r>
      <w:r w:rsidRPr="00EE2A26">
        <w:rPr>
          <w:rFonts w:cs="Arial"/>
          <w:sz w:val="18"/>
          <w:szCs w:val="18"/>
          <w:lang w:val="en-US"/>
        </w:rPr>
        <w:t xml:space="preserve"> High priority should be given to the adoption of Building Information Modeling (BIM), Enterprise Resource Planning (ERP), cloud-based platforms, and advanced data analytics.</w:t>
      </w:r>
    </w:p>
    <w:p w14:paraId="38D0614F" w14:textId="77777777" w:rsidR="00BB06AE" w:rsidRPr="00EE2A26" w:rsidRDefault="00BB06AE" w:rsidP="000E4FB0">
      <w:pPr>
        <w:pStyle w:val="aff1"/>
        <w:numPr>
          <w:ilvl w:val="0"/>
          <w:numId w:val="3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Advancement of Human Capital:</w:t>
      </w:r>
      <w:r w:rsidRPr="00EE2A26">
        <w:rPr>
          <w:rFonts w:cs="Arial"/>
          <w:sz w:val="18"/>
          <w:szCs w:val="18"/>
          <w:lang w:val="en-US"/>
        </w:rPr>
        <w:t xml:space="preserve"> It is essential to enhance the digital competencies of the workforce through specialized training programs and the promotion of an innovation-oriented mindset.</w:t>
      </w:r>
    </w:p>
    <w:p w14:paraId="2D31DC02" w14:textId="77777777" w:rsidR="00BB06AE" w:rsidRPr="00EE2A26" w:rsidRDefault="00BB06AE" w:rsidP="000E4FB0">
      <w:pPr>
        <w:pStyle w:val="aff1"/>
        <w:numPr>
          <w:ilvl w:val="0"/>
          <w:numId w:val="35"/>
        </w:numPr>
        <w:tabs>
          <w:tab w:val="clear" w:pos="720"/>
          <w:tab w:val="clear" w:pos="7100"/>
          <w:tab w:val="num" w:pos="284"/>
        </w:tabs>
        <w:spacing w:before="100" w:beforeAutospacing="1" w:after="100" w:afterAutospacing="1" w:line="240" w:lineRule="auto"/>
        <w:ind w:left="0" w:firstLine="0"/>
        <w:rPr>
          <w:rFonts w:cs="Arial"/>
          <w:sz w:val="18"/>
          <w:szCs w:val="18"/>
          <w:lang w:val="en-US"/>
        </w:rPr>
      </w:pPr>
      <w:r w:rsidRPr="00EE2A26">
        <w:rPr>
          <w:rFonts w:cs="Arial"/>
          <w:bCs/>
          <w:sz w:val="18"/>
          <w:szCs w:val="18"/>
          <w:lang w:val="en-US"/>
        </w:rPr>
        <w:t>Modernization of Management Systems:</w:t>
      </w:r>
      <w:r w:rsidRPr="00EE2A26">
        <w:rPr>
          <w:rFonts w:cs="Arial"/>
          <w:sz w:val="18"/>
          <w:szCs w:val="18"/>
          <w:lang w:val="en-US"/>
        </w:rPr>
        <w:t xml:space="preserve"> Digitalizing decision-making processes and implementing agile management mechanisms are crucial for maintaining competitive resilience.</w:t>
      </w:r>
    </w:p>
    <w:p w14:paraId="3E32D8B9" w14:textId="5F394C5C" w:rsidR="00BB06AE" w:rsidRPr="00EE2A26" w:rsidRDefault="00BB06AE" w:rsidP="000E4FB0">
      <w:pPr>
        <w:pStyle w:val="aff1"/>
        <w:numPr>
          <w:ilvl w:val="0"/>
          <w:numId w:val="35"/>
        </w:numPr>
        <w:tabs>
          <w:tab w:val="clear" w:pos="720"/>
          <w:tab w:val="clear" w:pos="7100"/>
          <w:tab w:val="num" w:pos="284"/>
        </w:tabs>
        <w:spacing w:line="240" w:lineRule="auto"/>
        <w:ind w:left="0" w:firstLine="0"/>
        <w:rPr>
          <w:rFonts w:cs="Arial"/>
          <w:sz w:val="18"/>
          <w:szCs w:val="18"/>
          <w:lang w:val="en-US"/>
        </w:rPr>
      </w:pPr>
      <w:r w:rsidRPr="00EE2A26">
        <w:rPr>
          <w:rFonts w:cs="Arial"/>
          <w:sz w:val="18"/>
          <w:szCs w:val="18"/>
          <w:lang w:val="en-US"/>
        </w:rPr>
        <w:t>Governmental Policy Support: Accelerating sector-wide digitalization requires refining the regulatory framework, developing national digital infrastructure, and providing targeted support for small and medium-sized enterprises (SMEs).</w:t>
      </w:r>
    </w:p>
    <w:p w14:paraId="4F1327F8" w14:textId="77777777" w:rsidR="00600535" w:rsidRPr="00EE2A26" w:rsidRDefault="00600535" w:rsidP="00600535">
      <w:pPr>
        <w:pStyle w:val="CETReference"/>
      </w:pPr>
      <w:r w:rsidRPr="00EE2A26">
        <w:t>References</w:t>
      </w:r>
    </w:p>
    <w:p w14:paraId="4468CA76" w14:textId="77777777" w:rsidR="0024249D" w:rsidRPr="00EE2A26" w:rsidRDefault="0024249D" w:rsidP="0024249D">
      <w:pPr>
        <w:pStyle w:val="CETReferencetext"/>
      </w:pPr>
      <w:r w:rsidRPr="00EE2A26">
        <w:t>Azhar S., 2011, Building information modeling (BIM): Trends, benefits, risks, and challenges for the AEC industry, Leadership and Management in Engineering, 11(3), 241–252.</w:t>
      </w:r>
    </w:p>
    <w:p w14:paraId="443751B0" w14:textId="77777777" w:rsidR="0024249D" w:rsidRPr="00EE2A26" w:rsidRDefault="0024249D" w:rsidP="0024249D">
      <w:pPr>
        <w:pStyle w:val="CETReferencetext"/>
      </w:pPr>
      <w:r w:rsidRPr="00EE2A26">
        <w:t>Brynjolfsson E., McAfee A., 2014, The second machine age: Work, progress, and prosperity in a time of brilliant technologies, W. W. Norton &amp; Company, New York, USA.</w:t>
      </w:r>
    </w:p>
    <w:p w14:paraId="20D400B1" w14:textId="77777777" w:rsidR="0024249D" w:rsidRPr="00EE2A26" w:rsidRDefault="0024249D" w:rsidP="0024249D">
      <w:pPr>
        <w:pStyle w:val="CETReferencetext"/>
      </w:pPr>
      <w:r w:rsidRPr="00EE2A26">
        <w:t>Brynjolfsson E., McAfee A., 2017, Machine, platform, crowd: Harnessing our digital future, W. W. Norton &amp; Company, New York, USA.</w:t>
      </w:r>
    </w:p>
    <w:p w14:paraId="1A5EFEE6" w14:textId="77777777" w:rsidR="0024249D" w:rsidRPr="00EE2A26" w:rsidRDefault="0024249D" w:rsidP="0024249D">
      <w:pPr>
        <w:pStyle w:val="CETReferencetext"/>
      </w:pPr>
      <w:r w:rsidRPr="00EE2A26">
        <w:t>Deloitte, 2021, Digital transformation in construction industry, Deloitte Insights.</w:t>
      </w:r>
    </w:p>
    <w:p w14:paraId="58068DE5" w14:textId="77777777" w:rsidR="0024249D" w:rsidRPr="00EE2A26" w:rsidRDefault="0024249D" w:rsidP="0024249D">
      <w:pPr>
        <w:pStyle w:val="CETReferencetext"/>
      </w:pPr>
      <w:r w:rsidRPr="00EE2A26">
        <w:t>Eastman C., Teicholz P., Sacks R., Liston K., 2011, BIM handbook: A guide to building information modeling for owners, managers, designers, engineers and contractors, John Wiley &amp; Sons, New Jersey, USA.</w:t>
      </w:r>
    </w:p>
    <w:p w14:paraId="24AA77BB" w14:textId="77777777" w:rsidR="0024249D" w:rsidRPr="00EE2A26" w:rsidRDefault="0024249D" w:rsidP="0024249D">
      <w:pPr>
        <w:pStyle w:val="CETReferencetext"/>
      </w:pPr>
      <w:r w:rsidRPr="00EE2A26">
        <w:t>Koskela L., 2000, An exploration towards a production theory and its application to construction, PhD Thesis, VTT Technical Research Centre of Finland.</w:t>
      </w:r>
    </w:p>
    <w:p w14:paraId="751B0342" w14:textId="77777777" w:rsidR="0024249D" w:rsidRPr="00EE2A26" w:rsidRDefault="0024249D" w:rsidP="0024249D">
      <w:pPr>
        <w:pStyle w:val="CETReferencetext"/>
      </w:pPr>
      <w:r w:rsidRPr="00EE2A26">
        <w:t>KPMG, 2020, Global construction survey 2020, KPMG International.</w:t>
      </w:r>
    </w:p>
    <w:p w14:paraId="74BAD2B8" w14:textId="77777777" w:rsidR="0024249D" w:rsidRPr="00EE2A26" w:rsidRDefault="0024249D" w:rsidP="0024249D">
      <w:pPr>
        <w:pStyle w:val="CETReferencetext"/>
      </w:pPr>
      <w:r w:rsidRPr="00EE2A26">
        <w:t>McKinsey &amp; Company, 2020, The next normal in construction: How disruption is reshaping the world’s largest ecosystem, McKinsey Global Institute.</w:t>
      </w:r>
    </w:p>
    <w:p w14:paraId="3F00D66C" w14:textId="77777777" w:rsidR="0024249D" w:rsidRPr="00EE2A26" w:rsidRDefault="0024249D" w:rsidP="0024249D">
      <w:pPr>
        <w:pStyle w:val="CETReferencetext"/>
      </w:pPr>
      <w:r w:rsidRPr="00EE2A26">
        <w:t>Porter M.E., Heppelmann J.E., 2014, How smart, connected products are transforming competition, Harvard Business Review, 92(11), 64–88.</w:t>
      </w:r>
    </w:p>
    <w:p w14:paraId="0247A4B6" w14:textId="77777777" w:rsidR="0024249D" w:rsidRPr="00EE2A26" w:rsidRDefault="0024249D" w:rsidP="0024249D">
      <w:pPr>
        <w:pStyle w:val="CETReferencetext"/>
      </w:pPr>
      <w:r w:rsidRPr="00EE2A26">
        <w:t>President of the Republic of Uzbekistan, 2023, “Uzbekistan – 2030” Strategy: Strategic document on the development of the digital economy, Lex.uz Legal Database https://lex.uz/docs/6600413 accessed 15.04.2026.</w:t>
      </w:r>
    </w:p>
    <w:p w14:paraId="6F664F3F" w14:textId="77777777" w:rsidR="0024249D" w:rsidRPr="00EE2A26" w:rsidRDefault="0024249D" w:rsidP="0024249D">
      <w:pPr>
        <w:pStyle w:val="CETReferencetext"/>
      </w:pPr>
      <w:r w:rsidRPr="00EE2A26">
        <w:t>Rogers E.M., 2003, Diffusion of innovations, 5th ed., Free Press, New York, USA.</w:t>
      </w:r>
    </w:p>
    <w:p w14:paraId="377C19EA" w14:textId="77777777" w:rsidR="0024249D" w:rsidRPr="00EE2A26" w:rsidRDefault="0024249D" w:rsidP="0024249D">
      <w:pPr>
        <w:pStyle w:val="CETReferencetext"/>
      </w:pPr>
      <w:r w:rsidRPr="00EE2A26">
        <w:t>Ross J.W., Beath C.M., Mocker M., 2019, Designed for digital: How to architect your business for sustained success, MIT Press, Cambridge, MA, USA.</w:t>
      </w:r>
    </w:p>
    <w:p w14:paraId="6C55EF19" w14:textId="77777777" w:rsidR="0024249D" w:rsidRPr="00EE2A26" w:rsidRDefault="0024249D" w:rsidP="0024249D">
      <w:pPr>
        <w:pStyle w:val="CETReferencetext"/>
      </w:pPr>
      <w:r w:rsidRPr="00EE2A26">
        <w:t>Sacks R., Eastman C., Lee G., Teicholz P., 2018, BIM handbook: A guide to building information modeling for owners, managers, designers, engineers and contractors, 3rd ed., John Wiley &amp; Sons, New Jersey, USA.</w:t>
      </w:r>
    </w:p>
    <w:p w14:paraId="3E087120" w14:textId="77777777" w:rsidR="0024249D" w:rsidRPr="00EE2A26" w:rsidRDefault="0024249D" w:rsidP="0024249D">
      <w:pPr>
        <w:pStyle w:val="CETReferencetext"/>
      </w:pPr>
      <w:r w:rsidRPr="00EE2A26">
        <w:t>State Committee of the Republic of Uzbekistan on Statistics, 2025, Statistical indicators of the construction sector, Tashkent, Uzbekistan.</w:t>
      </w:r>
    </w:p>
    <w:p w14:paraId="615DCF44" w14:textId="336ACE51" w:rsidR="00160847" w:rsidRPr="00EE2A26" w:rsidRDefault="0024249D" w:rsidP="00160847">
      <w:pPr>
        <w:pStyle w:val="CETReferencetext"/>
      </w:pPr>
      <w:r w:rsidRPr="00EE2A26">
        <w:t>Succar B., 2009, Building information modelling framework: A research and delivery foundation for industry stakeholders, Automation in Construction, 18(3), 357–375.</w:t>
      </w:r>
    </w:p>
    <w:p w14:paraId="66E53E97" w14:textId="7D50F303" w:rsidR="00160847" w:rsidRPr="00EE2A26" w:rsidRDefault="00160847" w:rsidP="00160847">
      <w:pPr>
        <w:pStyle w:val="CETReferencetext"/>
      </w:pPr>
      <w:r w:rsidRPr="00EE2A26">
        <w:t>Ferranti F., Vingerhoets G., Manenti F., Vallerio M., 2021, Data-driven Digital Twin of a Chemical Productionsite for Production and Utilities Planning, Chemical Engineering Transactions, 86, 913-918</w:t>
      </w:r>
      <w:r w:rsidR="00026675" w:rsidRPr="00EE2A26">
        <w:t>,</w:t>
      </w:r>
      <w:r w:rsidRPr="00EE2A26">
        <w:t xml:space="preserve"> DOI:10.3303/CET2186153</w:t>
      </w:r>
    </w:p>
    <w:p w14:paraId="039F0D5D" w14:textId="55501C0D" w:rsidR="00160847" w:rsidRPr="00EE2A26" w:rsidRDefault="00160847" w:rsidP="00160847">
      <w:pPr>
        <w:pStyle w:val="CETReferencetext"/>
      </w:pPr>
      <w:r w:rsidRPr="00EE2A26">
        <w:t xml:space="preserve">Imran F., Lueck R., Jordan C., Herwig C., Harasek M., 2023, A Perspective on the Role of Digitalization Enablers in Sustainable Pharmaceutical Manufacturing, Chemical Engineering Transactions, 105, </w:t>
      </w:r>
      <w:r w:rsidR="000057C2" w:rsidRPr="00EE2A26">
        <w:t>361-366</w:t>
      </w:r>
      <w:r w:rsidR="00026675" w:rsidRPr="00EE2A26">
        <w:t>,</w:t>
      </w:r>
      <w:r w:rsidR="000057C2" w:rsidRPr="00EE2A26">
        <w:t xml:space="preserve"> DOI:10.3303/CET23105061</w:t>
      </w:r>
    </w:p>
    <w:p w14:paraId="19C4FC68" w14:textId="54B8EC5A" w:rsidR="004628D2" w:rsidRPr="00EE2A26" w:rsidRDefault="00160847" w:rsidP="00160847">
      <w:pPr>
        <w:pStyle w:val="CETReferencetext"/>
      </w:pPr>
      <w:r w:rsidRPr="00EE2A26">
        <w:t xml:space="preserve">Buruzs A., Kozma K., 2023, The Realization of a Circular Economy in the Construction Industry and Its Adaptation to EU Standards in Hungary, Chemical Engineering Transactions, 107, </w:t>
      </w:r>
      <w:r w:rsidR="000057C2" w:rsidRPr="00EE2A26">
        <w:t>535-540</w:t>
      </w:r>
      <w:r w:rsidR="00026675" w:rsidRPr="00EE2A26">
        <w:t>,</w:t>
      </w:r>
      <w:r w:rsidR="000057C2" w:rsidRPr="00EE2A26">
        <w:t xml:space="preserve"> DOI:10.3303/CET23107090</w:t>
      </w:r>
    </w:p>
    <w:sectPr w:rsidR="004628D2" w:rsidRPr="00EE2A2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E7BB2" w14:textId="77777777" w:rsidR="00815B13" w:rsidRDefault="00815B13" w:rsidP="004F5E36">
      <w:r>
        <w:separator/>
      </w:r>
    </w:p>
  </w:endnote>
  <w:endnote w:type="continuationSeparator" w:id="0">
    <w:p w14:paraId="29A73191" w14:textId="77777777" w:rsidR="00815B13" w:rsidRDefault="00815B13"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5639C" w14:textId="77777777" w:rsidR="00815B13" w:rsidRDefault="00815B13" w:rsidP="004F5E36">
      <w:r>
        <w:separator/>
      </w:r>
    </w:p>
  </w:footnote>
  <w:footnote w:type="continuationSeparator" w:id="0">
    <w:p w14:paraId="548388BD" w14:textId="77777777" w:rsidR="00815B13" w:rsidRDefault="00815B13"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981272"/>
    <w:multiLevelType w:val="multilevel"/>
    <w:tmpl w:val="53C652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5608F9"/>
    <w:multiLevelType w:val="multilevel"/>
    <w:tmpl w:val="53C652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6E5E63"/>
    <w:multiLevelType w:val="multilevel"/>
    <w:tmpl w:val="53C652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930FFC"/>
    <w:multiLevelType w:val="multilevel"/>
    <w:tmpl w:val="EE8C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5" w15:restartNumberingAfterBreak="0">
    <w:nsid w:val="255C69FF"/>
    <w:multiLevelType w:val="multilevel"/>
    <w:tmpl w:val="450C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FC361B4"/>
    <w:multiLevelType w:val="multilevel"/>
    <w:tmpl w:val="53C652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490827"/>
    <w:multiLevelType w:val="multilevel"/>
    <w:tmpl w:val="EDE6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5" w15:restartNumberingAfterBreak="0">
    <w:nsid w:val="58AD32D2"/>
    <w:multiLevelType w:val="multilevel"/>
    <w:tmpl w:val="B5F2A69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2642D6"/>
    <w:multiLevelType w:val="multilevel"/>
    <w:tmpl w:val="B5F2A69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C980210"/>
    <w:multiLevelType w:val="multilevel"/>
    <w:tmpl w:val="816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D17C1"/>
    <w:multiLevelType w:val="multilevel"/>
    <w:tmpl w:val="EB96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441518"/>
    <w:multiLevelType w:val="multilevel"/>
    <w:tmpl w:val="D812A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A6398E"/>
    <w:multiLevelType w:val="multilevel"/>
    <w:tmpl w:val="90FC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2B57FB"/>
    <w:multiLevelType w:val="multilevel"/>
    <w:tmpl w:val="F0A6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4"/>
  </w:num>
  <w:num w:numId="13">
    <w:abstractNumId w:val="17"/>
  </w:num>
  <w:num w:numId="14">
    <w:abstractNumId w:val="27"/>
  </w:num>
  <w:num w:numId="15">
    <w:abstractNumId w:val="32"/>
  </w:num>
  <w:num w:numId="16">
    <w:abstractNumId w:val="31"/>
  </w:num>
  <w:num w:numId="17">
    <w:abstractNumId w:val="16"/>
  </w:num>
  <w:num w:numId="18">
    <w:abstractNumId w:val="17"/>
    <w:lvlOverride w:ilvl="0">
      <w:startOverride w:val="1"/>
    </w:lvlOverride>
  </w:num>
  <w:num w:numId="19">
    <w:abstractNumId w:val="23"/>
  </w:num>
  <w:num w:numId="20">
    <w:abstractNumId w:val="22"/>
  </w:num>
  <w:num w:numId="21">
    <w:abstractNumId w:val="19"/>
  </w:num>
  <w:num w:numId="22">
    <w:abstractNumId w:val="18"/>
  </w:num>
  <w:num w:numId="23">
    <w:abstractNumId w:val="10"/>
  </w:num>
  <w:num w:numId="24">
    <w:abstractNumId w:val="21"/>
  </w:num>
  <w:num w:numId="25">
    <w:abstractNumId w:val="11"/>
  </w:num>
  <w:num w:numId="26">
    <w:abstractNumId w:val="12"/>
  </w:num>
  <w:num w:numId="27">
    <w:abstractNumId w:val="34"/>
  </w:num>
  <w:num w:numId="28">
    <w:abstractNumId w:val="33"/>
  </w:num>
  <w:num w:numId="29">
    <w:abstractNumId w:val="15"/>
  </w:num>
  <w:num w:numId="30">
    <w:abstractNumId w:val="29"/>
  </w:num>
  <w:num w:numId="31">
    <w:abstractNumId w:val="13"/>
  </w:num>
  <w:num w:numId="32">
    <w:abstractNumId w:val="26"/>
  </w:num>
  <w:num w:numId="33">
    <w:abstractNumId w:val="25"/>
  </w:num>
  <w:num w:numId="34">
    <w:abstractNumId w:val="30"/>
  </w:num>
  <w:num w:numId="35">
    <w:abstractNumId w:val="20"/>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9"/>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3C9"/>
    <w:rsid w:val="00000DE0"/>
    <w:rsid w:val="000027C0"/>
    <w:rsid w:val="000052FB"/>
    <w:rsid w:val="000057C2"/>
    <w:rsid w:val="00005884"/>
    <w:rsid w:val="00005A19"/>
    <w:rsid w:val="0001119D"/>
    <w:rsid w:val="000117CB"/>
    <w:rsid w:val="00014B4E"/>
    <w:rsid w:val="000173F9"/>
    <w:rsid w:val="0001746F"/>
    <w:rsid w:val="00026675"/>
    <w:rsid w:val="000311B5"/>
    <w:rsid w:val="000313C8"/>
    <w:rsid w:val="0003148D"/>
    <w:rsid w:val="00031EEC"/>
    <w:rsid w:val="00037DCA"/>
    <w:rsid w:val="00051566"/>
    <w:rsid w:val="00052510"/>
    <w:rsid w:val="00053D02"/>
    <w:rsid w:val="00055394"/>
    <w:rsid w:val="000562A9"/>
    <w:rsid w:val="00057C85"/>
    <w:rsid w:val="00062A9A"/>
    <w:rsid w:val="000631D0"/>
    <w:rsid w:val="00065058"/>
    <w:rsid w:val="00082F41"/>
    <w:rsid w:val="00086C39"/>
    <w:rsid w:val="0009371C"/>
    <w:rsid w:val="00095552"/>
    <w:rsid w:val="000A03B2"/>
    <w:rsid w:val="000A113C"/>
    <w:rsid w:val="000A455C"/>
    <w:rsid w:val="000B295C"/>
    <w:rsid w:val="000B30F6"/>
    <w:rsid w:val="000D0268"/>
    <w:rsid w:val="000D34BE"/>
    <w:rsid w:val="000D61FD"/>
    <w:rsid w:val="000E0E1D"/>
    <w:rsid w:val="000E102F"/>
    <w:rsid w:val="000E36F1"/>
    <w:rsid w:val="000E3A73"/>
    <w:rsid w:val="000E414A"/>
    <w:rsid w:val="000E4FB0"/>
    <w:rsid w:val="000E75FD"/>
    <w:rsid w:val="000F093C"/>
    <w:rsid w:val="000F5286"/>
    <w:rsid w:val="000F787B"/>
    <w:rsid w:val="00101F02"/>
    <w:rsid w:val="00104173"/>
    <w:rsid w:val="00104203"/>
    <w:rsid w:val="001126C2"/>
    <w:rsid w:val="0012091F"/>
    <w:rsid w:val="00120E23"/>
    <w:rsid w:val="00124AAD"/>
    <w:rsid w:val="00126BC2"/>
    <w:rsid w:val="001308B6"/>
    <w:rsid w:val="0013121F"/>
    <w:rsid w:val="00131FE6"/>
    <w:rsid w:val="0013263F"/>
    <w:rsid w:val="001331DF"/>
    <w:rsid w:val="00134DE4"/>
    <w:rsid w:val="0014034D"/>
    <w:rsid w:val="00140FE3"/>
    <w:rsid w:val="00143835"/>
    <w:rsid w:val="00144D16"/>
    <w:rsid w:val="00150E59"/>
    <w:rsid w:val="00152DE3"/>
    <w:rsid w:val="00160847"/>
    <w:rsid w:val="00164CF9"/>
    <w:rsid w:val="001667A6"/>
    <w:rsid w:val="00172D26"/>
    <w:rsid w:val="00176A5D"/>
    <w:rsid w:val="00183EAA"/>
    <w:rsid w:val="00184AD6"/>
    <w:rsid w:val="001856DB"/>
    <w:rsid w:val="00186100"/>
    <w:rsid w:val="001878A5"/>
    <w:rsid w:val="0019292A"/>
    <w:rsid w:val="00194E99"/>
    <w:rsid w:val="001A249B"/>
    <w:rsid w:val="001A4437"/>
    <w:rsid w:val="001A4AF7"/>
    <w:rsid w:val="001A5C38"/>
    <w:rsid w:val="001B0349"/>
    <w:rsid w:val="001B1E93"/>
    <w:rsid w:val="001B65C1"/>
    <w:rsid w:val="001C0A28"/>
    <w:rsid w:val="001C260F"/>
    <w:rsid w:val="001C33F1"/>
    <w:rsid w:val="001C684B"/>
    <w:rsid w:val="001D0CFB"/>
    <w:rsid w:val="001D21AF"/>
    <w:rsid w:val="001D53FC"/>
    <w:rsid w:val="001E0261"/>
    <w:rsid w:val="001E0923"/>
    <w:rsid w:val="001F1A4E"/>
    <w:rsid w:val="001F42A5"/>
    <w:rsid w:val="001F4CA9"/>
    <w:rsid w:val="001F7B9D"/>
    <w:rsid w:val="00201C93"/>
    <w:rsid w:val="002137AB"/>
    <w:rsid w:val="002224B4"/>
    <w:rsid w:val="002231F0"/>
    <w:rsid w:val="0024249D"/>
    <w:rsid w:val="002447EF"/>
    <w:rsid w:val="00251115"/>
    <w:rsid w:val="00251550"/>
    <w:rsid w:val="00254831"/>
    <w:rsid w:val="00255BB0"/>
    <w:rsid w:val="00263B05"/>
    <w:rsid w:val="0026400B"/>
    <w:rsid w:val="0027221A"/>
    <w:rsid w:val="00275B61"/>
    <w:rsid w:val="00277DCD"/>
    <w:rsid w:val="00280FAF"/>
    <w:rsid w:val="00282656"/>
    <w:rsid w:val="00296B83"/>
    <w:rsid w:val="002A5765"/>
    <w:rsid w:val="002A5945"/>
    <w:rsid w:val="002A676F"/>
    <w:rsid w:val="002B3B32"/>
    <w:rsid w:val="002B4015"/>
    <w:rsid w:val="002B78CE"/>
    <w:rsid w:val="002C2FB6"/>
    <w:rsid w:val="002D0ED2"/>
    <w:rsid w:val="002E5FA7"/>
    <w:rsid w:val="002F3309"/>
    <w:rsid w:val="002F762F"/>
    <w:rsid w:val="003004C2"/>
    <w:rsid w:val="003008CE"/>
    <w:rsid w:val="003009B7"/>
    <w:rsid w:val="00300E56"/>
    <w:rsid w:val="0030152C"/>
    <w:rsid w:val="00304318"/>
    <w:rsid w:val="0030469C"/>
    <w:rsid w:val="0030679F"/>
    <w:rsid w:val="00313724"/>
    <w:rsid w:val="003150F5"/>
    <w:rsid w:val="00321CA6"/>
    <w:rsid w:val="00323763"/>
    <w:rsid w:val="00323C5F"/>
    <w:rsid w:val="00327795"/>
    <w:rsid w:val="0033239A"/>
    <w:rsid w:val="00334C09"/>
    <w:rsid w:val="00335F85"/>
    <w:rsid w:val="0034754F"/>
    <w:rsid w:val="003723D4"/>
    <w:rsid w:val="00377E65"/>
    <w:rsid w:val="00381905"/>
    <w:rsid w:val="00384CC8"/>
    <w:rsid w:val="0038719F"/>
    <w:rsid w:val="003871FD"/>
    <w:rsid w:val="00391854"/>
    <w:rsid w:val="00391FAF"/>
    <w:rsid w:val="00392434"/>
    <w:rsid w:val="00392B70"/>
    <w:rsid w:val="003A1E30"/>
    <w:rsid w:val="003A2829"/>
    <w:rsid w:val="003A7D1C"/>
    <w:rsid w:val="003A7FD6"/>
    <w:rsid w:val="003B267F"/>
    <w:rsid w:val="003B304B"/>
    <w:rsid w:val="003B3146"/>
    <w:rsid w:val="003D1E02"/>
    <w:rsid w:val="003E403E"/>
    <w:rsid w:val="003F015E"/>
    <w:rsid w:val="00400414"/>
    <w:rsid w:val="00401234"/>
    <w:rsid w:val="00402B76"/>
    <w:rsid w:val="00405870"/>
    <w:rsid w:val="0041446B"/>
    <w:rsid w:val="0042032B"/>
    <w:rsid w:val="00423480"/>
    <w:rsid w:val="00424BBD"/>
    <w:rsid w:val="0044071E"/>
    <w:rsid w:val="00442E7B"/>
    <w:rsid w:val="0044329C"/>
    <w:rsid w:val="00450EEB"/>
    <w:rsid w:val="00453E24"/>
    <w:rsid w:val="00457456"/>
    <w:rsid w:val="004577FE"/>
    <w:rsid w:val="00457B9C"/>
    <w:rsid w:val="004604EA"/>
    <w:rsid w:val="0046164A"/>
    <w:rsid w:val="004628D2"/>
    <w:rsid w:val="00462BC0"/>
    <w:rsid w:val="00462DCD"/>
    <w:rsid w:val="004648AD"/>
    <w:rsid w:val="004703A9"/>
    <w:rsid w:val="00470D0F"/>
    <w:rsid w:val="004718E8"/>
    <w:rsid w:val="004760DE"/>
    <w:rsid w:val="004763D7"/>
    <w:rsid w:val="00480065"/>
    <w:rsid w:val="004825CC"/>
    <w:rsid w:val="00482804"/>
    <w:rsid w:val="004831B9"/>
    <w:rsid w:val="0048510C"/>
    <w:rsid w:val="00491CEF"/>
    <w:rsid w:val="00493AAA"/>
    <w:rsid w:val="0049413C"/>
    <w:rsid w:val="004A004E"/>
    <w:rsid w:val="004A24CF"/>
    <w:rsid w:val="004A3822"/>
    <w:rsid w:val="004A4C75"/>
    <w:rsid w:val="004A5E57"/>
    <w:rsid w:val="004C1477"/>
    <w:rsid w:val="004C194F"/>
    <w:rsid w:val="004C3D1D"/>
    <w:rsid w:val="004C3D84"/>
    <w:rsid w:val="004C3FD7"/>
    <w:rsid w:val="004C703D"/>
    <w:rsid w:val="004C7913"/>
    <w:rsid w:val="004D605C"/>
    <w:rsid w:val="004E2521"/>
    <w:rsid w:val="004E4DD6"/>
    <w:rsid w:val="004F5E36"/>
    <w:rsid w:val="004F7E11"/>
    <w:rsid w:val="00500980"/>
    <w:rsid w:val="00503627"/>
    <w:rsid w:val="00507B47"/>
    <w:rsid w:val="00507BEF"/>
    <w:rsid w:val="00507CC9"/>
    <w:rsid w:val="005119A5"/>
    <w:rsid w:val="00511BE7"/>
    <w:rsid w:val="00517EDD"/>
    <w:rsid w:val="0052123F"/>
    <w:rsid w:val="005277FB"/>
    <w:rsid w:val="005278B7"/>
    <w:rsid w:val="00527C4C"/>
    <w:rsid w:val="00532016"/>
    <w:rsid w:val="005346C8"/>
    <w:rsid w:val="00536D02"/>
    <w:rsid w:val="00543E7D"/>
    <w:rsid w:val="00546685"/>
    <w:rsid w:val="00547A68"/>
    <w:rsid w:val="005531C9"/>
    <w:rsid w:val="00554653"/>
    <w:rsid w:val="005643FB"/>
    <w:rsid w:val="005665A3"/>
    <w:rsid w:val="0056685C"/>
    <w:rsid w:val="00570C43"/>
    <w:rsid w:val="00572266"/>
    <w:rsid w:val="005746A8"/>
    <w:rsid w:val="0057708D"/>
    <w:rsid w:val="00583944"/>
    <w:rsid w:val="005870B1"/>
    <w:rsid w:val="00592274"/>
    <w:rsid w:val="005A5453"/>
    <w:rsid w:val="005B2110"/>
    <w:rsid w:val="005B61E6"/>
    <w:rsid w:val="005C77E1"/>
    <w:rsid w:val="005D2435"/>
    <w:rsid w:val="005D668A"/>
    <w:rsid w:val="005D6A2F"/>
    <w:rsid w:val="005D6FA5"/>
    <w:rsid w:val="005E0592"/>
    <w:rsid w:val="005E1A82"/>
    <w:rsid w:val="005E794C"/>
    <w:rsid w:val="005E7C04"/>
    <w:rsid w:val="005F0229"/>
    <w:rsid w:val="005F0A28"/>
    <w:rsid w:val="005F0E5E"/>
    <w:rsid w:val="005F413D"/>
    <w:rsid w:val="005F4582"/>
    <w:rsid w:val="00600535"/>
    <w:rsid w:val="00602411"/>
    <w:rsid w:val="006024C7"/>
    <w:rsid w:val="00610CD6"/>
    <w:rsid w:val="00612ABB"/>
    <w:rsid w:val="00620DEE"/>
    <w:rsid w:val="00621F92"/>
    <w:rsid w:val="0062280A"/>
    <w:rsid w:val="006231E1"/>
    <w:rsid w:val="00623E93"/>
    <w:rsid w:val="00625639"/>
    <w:rsid w:val="00631B33"/>
    <w:rsid w:val="006417BA"/>
    <w:rsid w:val="0064184D"/>
    <w:rsid w:val="00641CDA"/>
    <w:rsid w:val="006422CC"/>
    <w:rsid w:val="00642D13"/>
    <w:rsid w:val="00645608"/>
    <w:rsid w:val="00651D18"/>
    <w:rsid w:val="00656E56"/>
    <w:rsid w:val="00660E3E"/>
    <w:rsid w:val="00662E74"/>
    <w:rsid w:val="00664F9F"/>
    <w:rsid w:val="00680C23"/>
    <w:rsid w:val="00683A57"/>
    <w:rsid w:val="00683E23"/>
    <w:rsid w:val="00687DB7"/>
    <w:rsid w:val="00690B3D"/>
    <w:rsid w:val="00693766"/>
    <w:rsid w:val="0069434D"/>
    <w:rsid w:val="006A3281"/>
    <w:rsid w:val="006B4888"/>
    <w:rsid w:val="006C2E45"/>
    <w:rsid w:val="006C359C"/>
    <w:rsid w:val="006C5579"/>
    <w:rsid w:val="006D0241"/>
    <w:rsid w:val="006D3403"/>
    <w:rsid w:val="006D6E8B"/>
    <w:rsid w:val="006D7209"/>
    <w:rsid w:val="006E545C"/>
    <w:rsid w:val="006E737D"/>
    <w:rsid w:val="006F144A"/>
    <w:rsid w:val="00707DD1"/>
    <w:rsid w:val="00713973"/>
    <w:rsid w:val="007204FF"/>
    <w:rsid w:val="00720A24"/>
    <w:rsid w:val="00721062"/>
    <w:rsid w:val="00732386"/>
    <w:rsid w:val="0073514D"/>
    <w:rsid w:val="007447F3"/>
    <w:rsid w:val="0075499F"/>
    <w:rsid w:val="007617CC"/>
    <w:rsid w:val="00765DF0"/>
    <w:rsid w:val="007661C8"/>
    <w:rsid w:val="0077098D"/>
    <w:rsid w:val="00771A5C"/>
    <w:rsid w:val="00780F23"/>
    <w:rsid w:val="00785BF9"/>
    <w:rsid w:val="00787CBE"/>
    <w:rsid w:val="007931FA"/>
    <w:rsid w:val="00797491"/>
    <w:rsid w:val="007A1541"/>
    <w:rsid w:val="007A4861"/>
    <w:rsid w:val="007A7969"/>
    <w:rsid w:val="007A7BBA"/>
    <w:rsid w:val="007B0C50"/>
    <w:rsid w:val="007B48F9"/>
    <w:rsid w:val="007C1A43"/>
    <w:rsid w:val="007C76E1"/>
    <w:rsid w:val="007D0951"/>
    <w:rsid w:val="007D548C"/>
    <w:rsid w:val="007E3196"/>
    <w:rsid w:val="007F27C8"/>
    <w:rsid w:val="0080013E"/>
    <w:rsid w:val="0080408B"/>
    <w:rsid w:val="008122AF"/>
    <w:rsid w:val="00813288"/>
    <w:rsid w:val="00815B13"/>
    <w:rsid w:val="008168FC"/>
    <w:rsid w:val="00824D2E"/>
    <w:rsid w:val="00826EDD"/>
    <w:rsid w:val="008278B0"/>
    <w:rsid w:val="0083035A"/>
    <w:rsid w:val="00830996"/>
    <w:rsid w:val="008314D7"/>
    <w:rsid w:val="008345F1"/>
    <w:rsid w:val="00847E23"/>
    <w:rsid w:val="0085090F"/>
    <w:rsid w:val="00852FEC"/>
    <w:rsid w:val="0085523E"/>
    <w:rsid w:val="00865319"/>
    <w:rsid w:val="00865B07"/>
    <w:rsid w:val="008667EA"/>
    <w:rsid w:val="0087637F"/>
    <w:rsid w:val="00882B1D"/>
    <w:rsid w:val="00892AD5"/>
    <w:rsid w:val="008A1512"/>
    <w:rsid w:val="008B0774"/>
    <w:rsid w:val="008B5B96"/>
    <w:rsid w:val="008C0BB7"/>
    <w:rsid w:val="008D2D79"/>
    <w:rsid w:val="008D32B9"/>
    <w:rsid w:val="008D433B"/>
    <w:rsid w:val="008D4860"/>
    <w:rsid w:val="008D4A16"/>
    <w:rsid w:val="008E209A"/>
    <w:rsid w:val="008E45BC"/>
    <w:rsid w:val="008E566E"/>
    <w:rsid w:val="008E76FA"/>
    <w:rsid w:val="008F1568"/>
    <w:rsid w:val="0090161A"/>
    <w:rsid w:val="00901EB6"/>
    <w:rsid w:val="009041F8"/>
    <w:rsid w:val="009043F8"/>
    <w:rsid w:val="00904C62"/>
    <w:rsid w:val="00906B8C"/>
    <w:rsid w:val="009159E1"/>
    <w:rsid w:val="00922BA8"/>
    <w:rsid w:val="00924DAC"/>
    <w:rsid w:val="00927058"/>
    <w:rsid w:val="009326A1"/>
    <w:rsid w:val="009338F3"/>
    <w:rsid w:val="00933DDD"/>
    <w:rsid w:val="009344B8"/>
    <w:rsid w:val="00935C43"/>
    <w:rsid w:val="00942750"/>
    <w:rsid w:val="00943E2B"/>
    <w:rsid w:val="009450CE"/>
    <w:rsid w:val="009459BB"/>
    <w:rsid w:val="00947179"/>
    <w:rsid w:val="0095164B"/>
    <w:rsid w:val="00954090"/>
    <w:rsid w:val="009558D0"/>
    <w:rsid w:val="009573E7"/>
    <w:rsid w:val="00961E94"/>
    <w:rsid w:val="00963E05"/>
    <w:rsid w:val="00964A45"/>
    <w:rsid w:val="00967843"/>
    <w:rsid w:val="00967D54"/>
    <w:rsid w:val="00971028"/>
    <w:rsid w:val="00984E09"/>
    <w:rsid w:val="00993B84"/>
    <w:rsid w:val="00996483"/>
    <w:rsid w:val="00996F5A"/>
    <w:rsid w:val="009B041A"/>
    <w:rsid w:val="009B28BB"/>
    <w:rsid w:val="009B606F"/>
    <w:rsid w:val="009C37C3"/>
    <w:rsid w:val="009C7C86"/>
    <w:rsid w:val="009D2FF7"/>
    <w:rsid w:val="009E7884"/>
    <w:rsid w:val="009E788A"/>
    <w:rsid w:val="009F0E08"/>
    <w:rsid w:val="009F6679"/>
    <w:rsid w:val="009F67F3"/>
    <w:rsid w:val="00A017E4"/>
    <w:rsid w:val="00A020EB"/>
    <w:rsid w:val="00A04CE9"/>
    <w:rsid w:val="00A079AE"/>
    <w:rsid w:val="00A1763D"/>
    <w:rsid w:val="00A17CEC"/>
    <w:rsid w:val="00A201BB"/>
    <w:rsid w:val="00A2087C"/>
    <w:rsid w:val="00A20A86"/>
    <w:rsid w:val="00A22CA7"/>
    <w:rsid w:val="00A25196"/>
    <w:rsid w:val="00A25EE6"/>
    <w:rsid w:val="00A26CBB"/>
    <w:rsid w:val="00A27EF0"/>
    <w:rsid w:val="00A36F95"/>
    <w:rsid w:val="00A37780"/>
    <w:rsid w:val="00A412BF"/>
    <w:rsid w:val="00A42361"/>
    <w:rsid w:val="00A443F9"/>
    <w:rsid w:val="00A46ECE"/>
    <w:rsid w:val="00A50B20"/>
    <w:rsid w:val="00A51390"/>
    <w:rsid w:val="00A60194"/>
    <w:rsid w:val="00A60D13"/>
    <w:rsid w:val="00A7223D"/>
    <w:rsid w:val="00A72745"/>
    <w:rsid w:val="00A7626E"/>
    <w:rsid w:val="00A76EFC"/>
    <w:rsid w:val="00A81FF1"/>
    <w:rsid w:val="00A87D50"/>
    <w:rsid w:val="00A91010"/>
    <w:rsid w:val="00A952D0"/>
    <w:rsid w:val="00A97F29"/>
    <w:rsid w:val="00AA1E9D"/>
    <w:rsid w:val="00AA702E"/>
    <w:rsid w:val="00AA7D26"/>
    <w:rsid w:val="00AB0964"/>
    <w:rsid w:val="00AB5011"/>
    <w:rsid w:val="00AB59C6"/>
    <w:rsid w:val="00AC1AF7"/>
    <w:rsid w:val="00AC3D22"/>
    <w:rsid w:val="00AC707A"/>
    <w:rsid w:val="00AC7368"/>
    <w:rsid w:val="00AD0278"/>
    <w:rsid w:val="00AD08B6"/>
    <w:rsid w:val="00AD16B9"/>
    <w:rsid w:val="00AD6BCC"/>
    <w:rsid w:val="00AD7F72"/>
    <w:rsid w:val="00AE377D"/>
    <w:rsid w:val="00AF0EBA"/>
    <w:rsid w:val="00AF4434"/>
    <w:rsid w:val="00AF79A1"/>
    <w:rsid w:val="00B004CB"/>
    <w:rsid w:val="00B02C8A"/>
    <w:rsid w:val="00B07436"/>
    <w:rsid w:val="00B1447F"/>
    <w:rsid w:val="00B17FBD"/>
    <w:rsid w:val="00B315A6"/>
    <w:rsid w:val="00B31813"/>
    <w:rsid w:val="00B33365"/>
    <w:rsid w:val="00B5264E"/>
    <w:rsid w:val="00B5387B"/>
    <w:rsid w:val="00B5439E"/>
    <w:rsid w:val="00B54ABE"/>
    <w:rsid w:val="00B57B36"/>
    <w:rsid w:val="00B57E6F"/>
    <w:rsid w:val="00B72596"/>
    <w:rsid w:val="00B8686D"/>
    <w:rsid w:val="00B87BEE"/>
    <w:rsid w:val="00B92B64"/>
    <w:rsid w:val="00B93F69"/>
    <w:rsid w:val="00B960CB"/>
    <w:rsid w:val="00BA14B5"/>
    <w:rsid w:val="00BB06AE"/>
    <w:rsid w:val="00BB1DDC"/>
    <w:rsid w:val="00BB2C82"/>
    <w:rsid w:val="00BB630A"/>
    <w:rsid w:val="00BC30C9"/>
    <w:rsid w:val="00BC5DBF"/>
    <w:rsid w:val="00BD077D"/>
    <w:rsid w:val="00BD153C"/>
    <w:rsid w:val="00BD1C53"/>
    <w:rsid w:val="00BD45C1"/>
    <w:rsid w:val="00BD7FF4"/>
    <w:rsid w:val="00BE3E58"/>
    <w:rsid w:val="00BF0CD7"/>
    <w:rsid w:val="00BF2122"/>
    <w:rsid w:val="00BF55CD"/>
    <w:rsid w:val="00C01616"/>
    <w:rsid w:val="00C0162B"/>
    <w:rsid w:val="00C068ED"/>
    <w:rsid w:val="00C17BDD"/>
    <w:rsid w:val="00C208E9"/>
    <w:rsid w:val="00C22E0C"/>
    <w:rsid w:val="00C345B1"/>
    <w:rsid w:val="00C34C7B"/>
    <w:rsid w:val="00C3785F"/>
    <w:rsid w:val="00C37CF6"/>
    <w:rsid w:val="00C40142"/>
    <w:rsid w:val="00C403CC"/>
    <w:rsid w:val="00C409C2"/>
    <w:rsid w:val="00C50313"/>
    <w:rsid w:val="00C52C3C"/>
    <w:rsid w:val="00C5605A"/>
    <w:rsid w:val="00C56063"/>
    <w:rsid w:val="00C57182"/>
    <w:rsid w:val="00C57863"/>
    <w:rsid w:val="00C63998"/>
    <w:rsid w:val="00C640AF"/>
    <w:rsid w:val="00C655FD"/>
    <w:rsid w:val="00C65A1E"/>
    <w:rsid w:val="00C75407"/>
    <w:rsid w:val="00C841C6"/>
    <w:rsid w:val="00C870A8"/>
    <w:rsid w:val="00C90CB8"/>
    <w:rsid w:val="00C94434"/>
    <w:rsid w:val="00C95170"/>
    <w:rsid w:val="00C96172"/>
    <w:rsid w:val="00C9644F"/>
    <w:rsid w:val="00C967CB"/>
    <w:rsid w:val="00CA0D75"/>
    <w:rsid w:val="00CA1C95"/>
    <w:rsid w:val="00CA2977"/>
    <w:rsid w:val="00CA5A9C"/>
    <w:rsid w:val="00CA7694"/>
    <w:rsid w:val="00CB2614"/>
    <w:rsid w:val="00CC4C20"/>
    <w:rsid w:val="00CC56EF"/>
    <w:rsid w:val="00CD3517"/>
    <w:rsid w:val="00CD5FE2"/>
    <w:rsid w:val="00CE7C68"/>
    <w:rsid w:val="00CF0910"/>
    <w:rsid w:val="00D02B4C"/>
    <w:rsid w:val="00D040C4"/>
    <w:rsid w:val="00D047FE"/>
    <w:rsid w:val="00D11709"/>
    <w:rsid w:val="00D20AD1"/>
    <w:rsid w:val="00D2582C"/>
    <w:rsid w:val="00D26126"/>
    <w:rsid w:val="00D3047A"/>
    <w:rsid w:val="00D4163B"/>
    <w:rsid w:val="00D46B7E"/>
    <w:rsid w:val="00D5064A"/>
    <w:rsid w:val="00D57C84"/>
    <w:rsid w:val="00D6057D"/>
    <w:rsid w:val="00D61023"/>
    <w:rsid w:val="00D71640"/>
    <w:rsid w:val="00D82E80"/>
    <w:rsid w:val="00D836C5"/>
    <w:rsid w:val="00D84576"/>
    <w:rsid w:val="00D87BBE"/>
    <w:rsid w:val="00DA1399"/>
    <w:rsid w:val="00DA24C6"/>
    <w:rsid w:val="00DA33AF"/>
    <w:rsid w:val="00DA3677"/>
    <w:rsid w:val="00DA4D7B"/>
    <w:rsid w:val="00DC35F1"/>
    <w:rsid w:val="00DC43C2"/>
    <w:rsid w:val="00DD271C"/>
    <w:rsid w:val="00DE264A"/>
    <w:rsid w:val="00DE2818"/>
    <w:rsid w:val="00DE37AF"/>
    <w:rsid w:val="00DE6BC7"/>
    <w:rsid w:val="00DF5072"/>
    <w:rsid w:val="00DF6094"/>
    <w:rsid w:val="00E02D18"/>
    <w:rsid w:val="00E041E7"/>
    <w:rsid w:val="00E054BA"/>
    <w:rsid w:val="00E1201B"/>
    <w:rsid w:val="00E12C7B"/>
    <w:rsid w:val="00E23CA1"/>
    <w:rsid w:val="00E31494"/>
    <w:rsid w:val="00E409A8"/>
    <w:rsid w:val="00E40C2E"/>
    <w:rsid w:val="00E47D61"/>
    <w:rsid w:val="00E50C12"/>
    <w:rsid w:val="00E55EE8"/>
    <w:rsid w:val="00E57CB8"/>
    <w:rsid w:val="00E65B91"/>
    <w:rsid w:val="00E65C04"/>
    <w:rsid w:val="00E70EFB"/>
    <w:rsid w:val="00E7209D"/>
    <w:rsid w:val="00E7254C"/>
    <w:rsid w:val="00E72EAD"/>
    <w:rsid w:val="00E77223"/>
    <w:rsid w:val="00E81E99"/>
    <w:rsid w:val="00E82597"/>
    <w:rsid w:val="00E842EA"/>
    <w:rsid w:val="00E8528B"/>
    <w:rsid w:val="00E85B94"/>
    <w:rsid w:val="00E87D51"/>
    <w:rsid w:val="00E978D0"/>
    <w:rsid w:val="00EA4613"/>
    <w:rsid w:val="00EA7F91"/>
    <w:rsid w:val="00EB1523"/>
    <w:rsid w:val="00EB4364"/>
    <w:rsid w:val="00EB4F77"/>
    <w:rsid w:val="00EC0E49"/>
    <w:rsid w:val="00EC101F"/>
    <w:rsid w:val="00EC1D9F"/>
    <w:rsid w:val="00ED4FA1"/>
    <w:rsid w:val="00EE0131"/>
    <w:rsid w:val="00EE17B0"/>
    <w:rsid w:val="00EE2A26"/>
    <w:rsid w:val="00EE5BC6"/>
    <w:rsid w:val="00EE643C"/>
    <w:rsid w:val="00EF06D9"/>
    <w:rsid w:val="00EF0982"/>
    <w:rsid w:val="00EF5231"/>
    <w:rsid w:val="00F126A5"/>
    <w:rsid w:val="00F1451B"/>
    <w:rsid w:val="00F25E53"/>
    <w:rsid w:val="00F3049E"/>
    <w:rsid w:val="00F30C64"/>
    <w:rsid w:val="00F32BA2"/>
    <w:rsid w:val="00F32CDB"/>
    <w:rsid w:val="00F3348F"/>
    <w:rsid w:val="00F37280"/>
    <w:rsid w:val="00F41EE4"/>
    <w:rsid w:val="00F565FE"/>
    <w:rsid w:val="00F63A70"/>
    <w:rsid w:val="00F63D8C"/>
    <w:rsid w:val="00F70C1A"/>
    <w:rsid w:val="00F7534E"/>
    <w:rsid w:val="00F75F05"/>
    <w:rsid w:val="00F825EB"/>
    <w:rsid w:val="00F86B0F"/>
    <w:rsid w:val="00F93EDF"/>
    <w:rsid w:val="00F96BD7"/>
    <w:rsid w:val="00FA1802"/>
    <w:rsid w:val="00FA21D0"/>
    <w:rsid w:val="00FA5F5F"/>
    <w:rsid w:val="00FB0E34"/>
    <w:rsid w:val="00FB730C"/>
    <w:rsid w:val="00FC2695"/>
    <w:rsid w:val="00FC3E03"/>
    <w:rsid w:val="00FC3FC1"/>
    <w:rsid w:val="00FC49A0"/>
    <w:rsid w:val="00FC76D1"/>
    <w:rsid w:val="00FE6CE2"/>
    <w:rsid w:val="00FF06EB"/>
    <w:rsid w:val="00FF3317"/>
    <w:rsid w:val="00FF795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90B3D"/>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math-inline">
    <w:name w:val="math-inline"/>
    <w:basedOn w:val="a2"/>
    <w:rsid w:val="00B07436"/>
  </w:style>
  <w:style w:type="character" w:styleId="afffe">
    <w:name w:val="Placeholder Text"/>
    <w:basedOn w:val="a2"/>
    <w:uiPriority w:val="99"/>
    <w:semiHidden/>
    <w:rsid w:val="002548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4183">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55846175">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634293">
      <w:bodyDiv w:val="1"/>
      <w:marLeft w:val="0"/>
      <w:marRight w:val="0"/>
      <w:marTop w:val="0"/>
      <w:marBottom w:val="0"/>
      <w:divBdr>
        <w:top w:val="none" w:sz="0" w:space="0" w:color="auto"/>
        <w:left w:val="none" w:sz="0" w:space="0" w:color="auto"/>
        <w:bottom w:val="none" w:sz="0" w:space="0" w:color="auto"/>
        <w:right w:val="none" w:sz="0" w:space="0" w:color="auto"/>
      </w:divBdr>
      <w:divsChild>
        <w:div w:id="1117673308">
          <w:marLeft w:val="0"/>
          <w:marRight w:val="0"/>
          <w:marTop w:val="0"/>
          <w:marBottom w:val="0"/>
          <w:divBdr>
            <w:top w:val="none" w:sz="0" w:space="0" w:color="auto"/>
            <w:left w:val="none" w:sz="0" w:space="0" w:color="auto"/>
            <w:bottom w:val="none" w:sz="0" w:space="0" w:color="auto"/>
            <w:right w:val="none" w:sz="0" w:space="0" w:color="auto"/>
          </w:divBdr>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D0A82-6BF3-45F8-AB74-9410788E2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4206</Words>
  <Characters>23979</Characters>
  <Application>Microsoft Office Word</Application>
  <DocSecurity>0</DocSecurity>
  <Lines>199</Lines>
  <Paragraphs>56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255</cp:revision>
  <cp:lastPrinted>2015-05-12T18:31:00Z</cp:lastPrinted>
  <dcterms:created xsi:type="dcterms:W3CDTF">2026-02-10T10:00:00Z</dcterms:created>
  <dcterms:modified xsi:type="dcterms:W3CDTF">2026-06-03T14:09:00Z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