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996E50">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ru-RU" w:eastAsia="zh-CN"/>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zh-CN"/>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996E50">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996E50">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xml:space="preserve">, AIDIC </w:t>
            </w:r>
            <w:proofErr w:type="spellStart"/>
            <w:r w:rsidRPr="00B57B36">
              <w:rPr>
                <w:rFonts w:ascii="Tahoma" w:hAnsi="Tahoma" w:cs="Tahoma"/>
                <w:iCs/>
                <w:color w:val="333333"/>
                <w:sz w:val="14"/>
                <w:szCs w:val="14"/>
                <w:lang w:eastAsia="it-IT"/>
              </w:rPr>
              <w:t>Servizi</w:t>
            </w:r>
            <w:proofErr w:type="spellEnd"/>
            <w:r w:rsidRPr="00B57B36">
              <w:rPr>
                <w:rFonts w:ascii="Tahoma" w:hAnsi="Tahoma" w:cs="Tahoma"/>
                <w:iCs/>
                <w:color w:val="333333"/>
                <w:sz w:val="14"/>
                <w:szCs w:val="14"/>
                <w:lang w:eastAsia="it-IT"/>
              </w:rPr>
              <w:t xml:space="preserve"> </w:t>
            </w:r>
            <w:proofErr w:type="spellStart"/>
            <w:r w:rsidRPr="00B57B36">
              <w:rPr>
                <w:rFonts w:ascii="Tahoma" w:hAnsi="Tahoma" w:cs="Tahoma"/>
                <w:iCs/>
                <w:color w:val="333333"/>
                <w:sz w:val="14"/>
                <w:szCs w:val="14"/>
                <w:lang w:eastAsia="it-IT"/>
              </w:rPr>
              <w:t>S.r.l</w:t>
            </w:r>
            <w:proofErr w:type="spellEnd"/>
            <w:r w:rsidRPr="00B57B36">
              <w:rPr>
                <w:rFonts w:ascii="Tahoma" w:hAnsi="Tahoma" w:cs="Tahoma"/>
                <w:iCs/>
                <w:color w:val="333333"/>
                <w:sz w:val="14"/>
                <w:szCs w:val="14"/>
                <w:lang w:eastAsia="it-IT"/>
              </w:rPr>
              <w:t>.</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08FEF07D" w:rsidR="00E978D0" w:rsidRPr="00B57B36" w:rsidRDefault="00996E50" w:rsidP="00E978D0">
      <w:pPr>
        <w:pStyle w:val="CETTitle"/>
      </w:pPr>
      <w:r>
        <w:rPr>
          <w:rFonts w:cs="Arial"/>
          <w:color w:val="000000"/>
          <w:sz w:val="27"/>
          <w:szCs w:val="27"/>
          <w:shd w:val="clear" w:color="auto" w:fill="FFFFFF"/>
        </w:rPr>
        <w:t>Using education and digital tools as instruments of soft power: the case of China</w:t>
      </w:r>
    </w:p>
    <w:p w14:paraId="19C4FC68" w14:textId="3BB8D854" w:rsidR="004628D2" w:rsidRPr="002437D5" w:rsidRDefault="00A46911" w:rsidP="00A46911">
      <w:pPr>
        <w:pStyle w:val="CETAuthors"/>
        <w:rPr>
          <w:vertAlign w:val="superscript"/>
        </w:rPr>
      </w:pPr>
      <w:r>
        <w:t>Latifboy Sabirov</w:t>
      </w:r>
      <w:r w:rsidR="00B57E6F" w:rsidRPr="00B57B36">
        <w:rPr>
          <w:vertAlign w:val="superscript"/>
        </w:rPr>
        <w:t>a</w:t>
      </w:r>
      <w:r w:rsidRPr="00B57B36">
        <w:t>*</w:t>
      </w:r>
      <w:r>
        <w:t>, Shoazim Shazamanov</w:t>
      </w:r>
      <w:r w:rsidR="00B57E6F" w:rsidRPr="00B57B36">
        <w:rPr>
          <w:vertAlign w:val="superscript"/>
        </w:rPr>
        <w:t>b,</w:t>
      </w:r>
      <w:r>
        <w:rPr>
          <w:vertAlign w:val="superscript"/>
        </w:rPr>
        <w:t xml:space="preserve"> </w:t>
      </w:r>
      <w:r>
        <w:t>Oybek Sirojov</w:t>
      </w:r>
      <w:r w:rsidRPr="00B57B36">
        <w:rPr>
          <w:vertAlign w:val="superscript"/>
        </w:rPr>
        <w:t>a</w:t>
      </w:r>
      <w:r>
        <w:rPr>
          <w:vertAlign w:val="superscript"/>
        </w:rPr>
        <w:t xml:space="preserve"> </w:t>
      </w:r>
      <w:r>
        <w:t>, Aktam Avlakulov</w:t>
      </w:r>
      <w:r w:rsidRPr="00B57B36">
        <w:rPr>
          <w:vertAlign w:val="superscript"/>
        </w:rPr>
        <w:t>a</w:t>
      </w:r>
      <w:r>
        <w:rPr>
          <w:vertAlign w:val="superscript"/>
        </w:rPr>
        <w:t xml:space="preserve"> </w:t>
      </w:r>
      <w:r>
        <w:t>, Shahlo Murz</w:t>
      </w:r>
      <w:r w:rsidR="00712EBE">
        <w:t>ay</w:t>
      </w:r>
      <w:r>
        <w:t>eva</w:t>
      </w:r>
      <w:r w:rsidRPr="00B57B36">
        <w:rPr>
          <w:vertAlign w:val="superscript"/>
        </w:rPr>
        <w:t>a</w:t>
      </w:r>
      <w:r>
        <w:rPr>
          <w:vertAlign w:val="superscript"/>
        </w:rPr>
        <w:t xml:space="preserve"> </w:t>
      </w:r>
    </w:p>
    <w:p w14:paraId="46F642E0" w14:textId="27AA3B77" w:rsidR="00A46911" w:rsidRPr="00A46911" w:rsidRDefault="00A46911" w:rsidP="00A46911">
      <w:pPr>
        <w:pStyle w:val="CETAuthors"/>
        <w:rPr>
          <w:sz w:val="18"/>
          <w:szCs w:val="18"/>
        </w:rPr>
      </w:pPr>
      <w:r w:rsidRPr="00A46911">
        <w:rPr>
          <w:sz w:val="18"/>
          <w:szCs w:val="18"/>
          <w:vertAlign w:val="superscript"/>
        </w:rPr>
        <w:t xml:space="preserve">a </w:t>
      </w:r>
      <w:r w:rsidRPr="00A46911">
        <w:rPr>
          <w:sz w:val="18"/>
          <w:szCs w:val="18"/>
        </w:rPr>
        <w:t>Department of social-political sciences, Tashkent institute of chemical technology,</w:t>
      </w:r>
      <w:r w:rsidR="00996E50">
        <w:rPr>
          <w:sz w:val="18"/>
          <w:szCs w:val="18"/>
        </w:rPr>
        <w:t xml:space="preserve"> Tashkent,</w:t>
      </w:r>
      <w:r w:rsidRPr="00A46911">
        <w:rPr>
          <w:sz w:val="18"/>
          <w:szCs w:val="18"/>
        </w:rPr>
        <w:t xml:space="preserve"> Uzbekistan</w:t>
      </w:r>
      <w:r w:rsidR="00996E50">
        <w:rPr>
          <w:sz w:val="18"/>
          <w:szCs w:val="18"/>
        </w:rPr>
        <w:t xml:space="preserve"> latifboysabirov1804@gmail.com</w:t>
      </w:r>
    </w:p>
    <w:p w14:paraId="2381177B" w14:textId="5DD67272" w:rsidR="00A46911" w:rsidRDefault="00A46911" w:rsidP="00A46911">
      <w:pPr>
        <w:pStyle w:val="CETAuthors"/>
        <w:rPr>
          <w:sz w:val="18"/>
          <w:szCs w:val="18"/>
        </w:rPr>
      </w:pPr>
      <w:r w:rsidRPr="00A46911">
        <w:rPr>
          <w:sz w:val="18"/>
          <w:szCs w:val="18"/>
          <w:vertAlign w:val="superscript"/>
        </w:rPr>
        <w:t xml:space="preserve">b </w:t>
      </w:r>
      <w:r w:rsidRPr="00A46911">
        <w:rPr>
          <w:sz w:val="18"/>
          <w:szCs w:val="18"/>
        </w:rPr>
        <w:t>Department of social-political sciences</w:t>
      </w:r>
      <w:r>
        <w:rPr>
          <w:sz w:val="18"/>
          <w:szCs w:val="18"/>
        </w:rPr>
        <w:t>,</w:t>
      </w:r>
      <w:r w:rsidRPr="00A46911">
        <w:rPr>
          <w:sz w:val="18"/>
          <w:szCs w:val="18"/>
        </w:rPr>
        <w:t xml:space="preserve"> </w:t>
      </w:r>
      <w:r>
        <w:rPr>
          <w:sz w:val="18"/>
          <w:szCs w:val="18"/>
        </w:rPr>
        <w:t>R</w:t>
      </w:r>
      <w:r w:rsidRPr="00A46911">
        <w:rPr>
          <w:sz w:val="18"/>
          <w:szCs w:val="18"/>
        </w:rPr>
        <w:t>enaissance University of Education</w:t>
      </w:r>
      <w:r>
        <w:rPr>
          <w:sz w:val="18"/>
          <w:szCs w:val="18"/>
        </w:rPr>
        <w:t>, Tashkent</w:t>
      </w:r>
      <w:r w:rsidRPr="00A46911">
        <w:t xml:space="preserve"> </w:t>
      </w:r>
      <w:r w:rsidRPr="00A46911">
        <w:rPr>
          <w:sz w:val="18"/>
          <w:szCs w:val="18"/>
        </w:rPr>
        <w:t>100071</w:t>
      </w:r>
      <w:r w:rsidR="00996E50">
        <w:rPr>
          <w:sz w:val="18"/>
          <w:szCs w:val="18"/>
        </w:rPr>
        <w:t>, Uzbekistan.</w:t>
      </w:r>
    </w:p>
    <w:p w14:paraId="7EE22E52" w14:textId="77777777" w:rsidR="00EE20A3" w:rsidRDefault="00EE20A3" w:rsidP="00A46911">
      <w:pPr>
        <w:pStyle w:val="CETAuthors"/>
        <w:rPr>
          <w:sz w:val="18"/>
          <w:szCs w:val="18"/>
        </w:rPr>
      </w:pPr>
    </w:p>
    <w:p w14:paraId="4662B9B6" w14:textId="77777777" w:rsidR="00BF7481" w:rsidRPr="00BF7481" w:rsidRDefault="00BF7481" w:rsidP="007B73F0">
      <w:pPr>
        <w:pStyle w:val="CETAuthors"/>
        <w:spacing w:after="0"/>
        <w:rPr>
          <w:b/>
          <w:sz w:val="18"/>
          <w:szCs w:val="18"/>
        </w:rPr>
      </w:pPr>
      <w:r w:rsidRPr="00BF7481">
        <w:rPr>
          <w:b/>
          <w:sz w:val="18"/>
          <w:szCs w:val="18"/>
        </w:rPr>
        <w:t xml:space="preserve">Abstract </w:t>
      </w:r>
    </w:p>
    <w:p w14:paraId="76E7A337" w14:textId="28AF27E4" w:rsidR="00D47497" w:rsidRDefault="00D47497" w:rsidP="007B73F0">
      <w:pPr>
        <w:pStyle w:val="CETAuthors"/>
        <w:spacing w:after="0"/>
        <w:rPr>
          <w:sz w:val="18"/>
          <w:szCs w:val="18"/>
        </w:rPr>
      </w:pPr>
      <w:r w:rsidRPr="00D47497">
        <w:rPr>
          <w:sz w:val="18"/>
          <w:szCs w:val="18"/>
        </w:rPr>
        <w:t>China increasingly uses education and digital tools as instruments of soft power to strengthen its international influence and shape its global image. Education has become one of the main channels of China’s public diplomacy through scholarships, university cooperation, academic exchanges, Chinese language promotion and Confucius Institutes. At the same time, digital platforms, online media, social networks and virtual learning tools allow China to expand its cultural and political communication with foreign audiences more rapidly and widely. This article examines how educational initiatives and digital technologies function together in China’s soft power strategy, especially in the context of the Belt and Road Initiative. The study is based on qualitative analysis of academic literature, official documents and digital public diplomacy materials. The findings show that education and digital tools form a complementary system of influence; however, their effectiveness is limited by geopolitical distrust, concerns about propaganda, and debates over the credibility of China’s international communication.</w:t>
      </w:r>
    </w:p>
    <w:p w14:paraId="4E92809C" w14:textId="77777777" w:rsidR="007B73F0" w:rsidRDefault="007B73F0" w:rsidP="007B73F0">
      <w:pPr>
        <w:pStyle w:val="CETAuthors"/>
        <w:spacing w:after="0"/>
        <w:rPr>
          <w:b/>
          <w:sz w:val="18"/>
          <w:szCs w:val="18"/>
        </w:rPr>
      </w:pPr>
    </w:p>
    <w:p w14:paraId="629A2194" w14:textId="7092E61B" w:rsidR="00CC2031" w:rsidRPr="00CC2031" w:rsidRDefault="00CC2031" w:rsidP="007B73F0">
      <w:pPr>
        <w:pStyle w:val="CETAuthors"/>
        <w:spacing w:after="0"/>
        <w:rPr>
          <w:b/>
          <w:sz w:val="18"/>
          <w:szCs w:val="18"/>
        </w:rPr>
      </w:pPr>
      <w:r w:rsidRPr="00CC2031">
        <w:rPr>
          <w:b/>
          <w:sz w:val="18"/>
          <w:szCs w:val="18"/>
        </w:rPr>
        <w:t xml:space="preserve">Keywords: </w:t>
      </w:r>
      <w:r w:rsidRPr="00CC2031">
        <w:rPr>
          <w:sz w:val="18"/>
          <w:szCs w:val="18"/>
        </w:rPr>
        <w:t>China</w:t>
      </w:r>
      <w:r>
        <w:rPr>
          <w:sz w:val="18"/>
          <w:szCs w:val="18"/>
        </w:rPr>
        <w:t>,</w:t>
      </w:r>
      <w:r w:rsidRPr="00CC2031">
        <w:rPr>
          <w:sz w:val="18"/>
          <w:szCs w:val="18"/>
        </w:rPr>
        <w:t xml:space="preserve"> </w:t>
      </w:r>
      <w:r>
        <w:rPr>
          <w:sz w:val="18"/>
          <w:szCs w:val="18"/>
        </w:rPr>
        <w:t>e</w:t>
      </w:r>
      <w:r w:rsidRPr="00CC2031">
        <w:rPr>
          <w:sz w:val="18"/>
          <w:szCs w:val="18"/>
        </w:rPr>
        <w:t>ducation</w:t>
      </w:r>
      <w:r>
        <w:rPr>
          <w:sz w:val="18"/>
          <w:szCs w:val="18"/>
        </w:rPr>
        <w:t>,</w:t>
      </w:r>
      <w:r w:rsidRPr="00CC2031">
        <w:rPr>
          <w:sz w:val="18"/>
          <w:szCs w:val="18"/>
        </w:rPr>
        <w:t xml:space="preserve"> </w:t>
      </w:r>
      <w:r>
        <w:rPr>
          <w:sz w:val="18"/>
          <w:szCs w:val="18"/>
        </w:rPr>
        <w:t>d</w:t>
      </w:r>
      <w:r w:rsidRPr="00CC2031">
        <w:rPr>
          <w:sz w:val="18"/>
          <w:szCs w:val="18"/>
        </w:rPr>
        <w:t>iplomacy</w:t>
      </w:r>
      <w:r>
        <w:rPr>
          <w:sz w:val="18"/>
          <w:szCs w:val="18"/>
        </w:rPr>
        <w:t>,</w:t>
      </w:r>
      <w:r w:rsidRPr="00CC2031">
        <w:rPr>
          <w:sz w:val="18"/>
          <w:szCs w:val="18"/>
        </w:rPr>
        <w:t xml:space="preserve"> </w:t>
      </w:r>
      <w:r>
        <w:rPr>
          <w:sz w:val="18"/>
          <w:szCs w:val="18"/>
        </w:rPr>
        <w:t>d</w:t>
      </w:r>
      <w:r w:rsidRPr="00CC2031">
        <w:rPr>
          <w:sz w:val="18"/>
          <w:szCs w:val="18"/>
        </w:rPr>
        <w:t>igitalization</w:t>
      </w:r>
      <w:r>
        <w:rPr>
          <w:sz w:val="18"/>
          <w:szCs w:val="18"/>
        </w:rPr>
        <w:t>,</w:t>
      </w:r>
      <w:r w:rsidRPr="00CC2031">
        <w:rPr>
          <w:sz w:val="18"/>
          <w:szCs w:val="18"/>
        </w:rPr>
        <w:t xml:space="preserve"> </w:t>
      </w:r>
      <w:r>
        <w:rPr>
          <w:sz w:val="18"/>
          <w:szCs w:val="18"/>
        </w:rPr>
        <w:t>c</w:t>
      </w:r>
      <w:r w:rsidRPr="00CC2031">
        <w:rPr>
          <w:sz w:val="18"/>
          <w:szCs w:val="18"/>
        </w:rPr>
        <w:t>ulture</w:t>
      </w:r>
      <w:r>
        <w:rPr>
          <w:sz w:val="18"/>
          <w:szCs w:val="18"/>
        </w:rPr>
        <w:t>,</w:t>
      </w:r>
      <w:r w:rsidRPr="00CC2031">
        <w:rPr>
          <w:sz w:val="18"/>
          <w:szCs w:val="18"/>
        </w:rPr>
        <w:t xml:space="preserve"> Influence</w:t>
      </w:r>
      <w:r>
        <w:rPr>
          <w:sz w:val="18"/>
          <w:szCs w:val="18"/>
        </w:rPr>
        <w:t>,</w:t>
      </w:r>
      <w:r w:rsidRPr="00CC2031">
        <w:rPr>
          <w:sz w:val="18"/>
          <w:szCs w:val="18"/>
        </w:rPr>
        <w:t xml:space="preserve"> </w:t>
      </w:r>
      <w:r>
        <w:rPr>
          <w:sz w:val="18"/>
          <w:szCs w:val="18"/>
        </w:rPr>
        <w:t>c</w:t>
      </w:r>
      <w:r w:rsidRPr="00CC2031">
        <w:rPr>
          <w:sz w:val="18"/>
          <w:szCs w:val="18"/>
        </w:rPr>
        <w:t>ommunication</w:t>
      </w:r>
      <w:r>
        <w:rPr>
          <w:sz w:val="18"/>
          <w:szCs w:val="18"/>
        </w:rPr>
        <w:t>.</w:t>
      </w:r>
    </w:p>
    <w:p w14:paraId="21D7D854" w14:textId="77777777" w:rsidR="007B73F0" w:rsidRDefault="007B73F0" w:rsidP="007B73F0">
      <w:pPr>
        <w:pStyle w:val="CETAuthors"/>
        <w:spacing w:after="0"/>
        <w:rPr>
          <w:rFonts w:eastAsiaTheme="minorEastAsia"/>
          <w:b/>
          <w:sz w:val="18"/>
          <w:szCs w:val="18"/>
          <w:lang w:val="en-US" w:eastAsia="zh-CN"/>
        </w:rPr>
      </w:pPr>
    </w:p>
    <w:p w14:paraId="77ADA2F7" w14:textId="4AC5D060" w:rsidR="00D47497" w:rsidRDefault="00D47497" w:rsidP="007B73F0">
      <w:pPr>
        <w:pStyle w:val="CETAuthors"/>
        <w:spacing w:after="0"/>
        <w:rPr>
          <w:rFonts w:eastAsiaTheme="minorEastAsia"/>
          <w:b/>
          <w:sz w:val="18"/>
          <w:szCs w:val="18"/>
          <w:lang w:val="en-US" w:eastAsia="zh-CN"/>
        </w:rPr>
      </w:pPr>
      <w:r w:rsidRPr="00D47497">
        <w:rPr>
          <w:rFonts w:eastAsiaTheme="minorEastAsia"/>
          <w:b/>
          <w:sz w:val="18"/>
          <w:szCs w:val="18"/>
          <w:lang w:val="en-US" w:eastAsia="zh-CN"/>
        </w:rPr>
        <w:t>1.In</w:t>
      </w:r>
      <w:r w:rsidR="00951D17">
        <w:rPr>
          <w:rFonts w:eastAsiaTheme="minorEastAsia"/>
          <w:b/>
          <w:sz w:val="18"/>
          <w:szCs w:val="18"/>
          <w:lang w:val="en-US" w:eastAsia="zh-CN"/>
        </w:rPr>
        <w:t>t</w:t>
      </w:r>
      <w:r w:rsidRPr="00D47497">
        <w:rPr>
          <w:rFonts w:eastAsiaTheme="minorEastAsia"/>
          <w:b/>
          <w:sz w:val="18"/>
          <w:szCs w:val="18"/>
          <w:lang w:val="en-US" w:eastAsia="zh-CN"/>
        </w:rPr>
        <w:t>r</w:t>
      </w:r>
      <w:r w:rsidR="00951D17">
        <w:rPr>
          <w:rFonts w:eastAsiaTheme="minorEastAsia"/>
          <w:b/>
          <w:sz w:val="18"/>
          <w:szCs w:val="18"/>
          <w:lang w:val="en-US" w:eastAsia="zh-CN"/>
        </w:rPr>
        <w:t>o</w:t>
      </w:r>
      <w:r w:rsidRPr="00D47497">
        <w:rPr>
          <w:rFonts w:eastAsiaTheme="minorEastAsia"/>
          <w:b/>
          <w:sz w:val="18"/>
          <w:szCs w:val="18"/>
          <w:lang w:val="en-US" w:eastAsia="zh-CN"/>
        </w:rPr>
        <w:t xml:space="preserve">duction </w:t>
      </w:r>
    </w:p>
    <w:p w14:paraId="2689E2AB" w14:textId="339FC0CD" w:rsidR="00D47497"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In modern international relations, a state's influence is determined not only by its military, economic, or political might, but also by its ability to project an attractive image abroad. This form of influence is commonly defined as "soft power," the ability to achieve desired outcomes through the appeal of culture, values, education, and foreign policy behavior, rather than through coercion or pressure (Nye, 2004). For China, soft power has become an important pillar of its foreign policy strategy, especially as its economic, technological, and politic</w:t>
      </w:r>
      <w:r>
        <w:rPr>
          <w:rFonts w:eastAsiaTheme="minorEastAsia"/>
          <w:sz w:val="18"/>
          <w:szCs w:val="18"/>
          <w:lang w:val="en-US" w:eastAsia="zh-CN"/>
        </w:rPr>
        <w:t>al presence in the world grows.</w:t>
      </w:r>
      <w:r w:rsidRPr="00775586">
        <w:rPr>
          <w:rFonts w:eastAsiaTheme="minorEastAsia"/>
          <w:sz w:val="18"/>
          <w:szCs w:val="18"/>
          <w:lang w:val="en-US" w:eastAsia="zh-CN"/>
        </w:rPr>
        <w:t>Education is one of the key tools of China's soft power. Through scholarship programs, academic exchanges, university cooperation, and the attraction of international students, China seeks to build long-term ties with foreign audiences. Educational diplomacy not only disseminates knowledge of the Chinese language and culture but also creates a more favorable perception of China among future professionals, researchers, and political elites (Hartig, 2016). Confucius Institutes play a special role in this process, being seen as an important mechanism for China's cultural diplomacy and the promotion of the Chine</w:t>
      </w:r>
      <w:r>
        <w:rPr>
          <w:rFonts w:eastAsiaTheme="minorEastAsia"/>
          <w:sz w:val="18"/>
          <w:szCs w:val="18"/>
          <w:lang w:val="en-US" w:eastAsia="zh-CN"/>
        </w:rPr>
        <w:t>se language abroad (Pan, 2013).</w:t>
      </w:r>
      <w:r w:rsidRPr="00775586">
        <w:rPr>
          <w:rFonts w:eastAsiaTheme="minorEastAsia"/>
          <w:sz w:val="18"/>
          <w:szCs w:val="18"/>
          <w:lang w:val="en-US" w:eastAsia="zh-CN"/>
        </w:rPr>
        <w:t xml:space="preserve"> Along with education, digital tools are becoming increasingly important. The development of social media, online media, digital educational platforms, and virtual diplomacy has transformed the ways in which states communicate internationally. China actively uses digital channels to disseminate information about its culture, economic achievements, technological development, and foreign policy initiatives. In this context, digital diplomacy is an extension of traditional public diplomacy, but is distinguished by its greater speed, scale, and ability to directly interact with foreign au</w:t>
      </w:r>
      <w:r>
        <w:rPr>
          <w:rFonts w:eastAsiaTheme="minorEastAsia"/>
          <w:sz w:val="18"/>
          <w:szCs w:val="18"/>
          <w:lang w:val="en-US" w:eastAsia="zh-CN"/>
        </w:rPr>
        <w:t>diences (Bjola &amp; Holmes, 2015).</w:t>
      </w:r>
      <w:r w:rsidRPr="00775586">
        <w:rPr>
          <w:rFonts w:eastAsiaTheme="minorEastAsia"/>
          <w:sz w:val="18"/>
          <w:szCs w:val="18"/>
          <w:lang w:val="en-US" w:eastAsia="zh-CN"/>
        </w:rPr>
        <w:t xml:space="preserve"> The combination of educational and digital mechanisms makes Chinese soft power more modern and flexible. Education fosters long-term cultural and academic ties, while digital technologies allow China to quickly disseminate its ideas and images to a wide international audience. This is particularly evident within the Belt and Road Initiative, where educational cooperation, personnel training, university programs, and digital communications are used to strengthen ties between China and partner countries (Yang, 2015). However, the effectiveness of these tools depends not only on their scale but also on </w:t>
      </w:r>
      <w:r w:rsidRPr="00775586">
        <w:rPr>
          <w:rFonts w:eastAsiaTheme="minorEastAsia"/>
          <w:sz w:val="18"/>
          <w:szCs w:val="18"/>
          <w:lang w:val="en-US" w:eastAsia="zh-CN"/>
        </w:rPr>
        <w:lastRenderedPageBreak/>
        <w:t>the level of trust in China, the perception of its policies abroad, and the ability of Chinese soft power to generate genuine appeal rather than being perceived solely as an instrument of state influence (d'Hooghe, 2015).</w:t>
      </w:r>
    </w:p>
    <w:p w14:paraId="32A2774C" w14:textId="77777777" w:rsidR="007B73F0" w:rsidRDefault="007B73F0" w:rsidP="007B73F0">
      <w:pPr>
        <w:pStyle w:val="CETAuthors"/>
        <w:spacing w:after="0"/>
        <w:rPr>
          <w:rFonts w:eastAsiaTheme="minorEastAsia"/>
          <w:b/>
          <w:sz w:val="18"/>
          <w:szCs w:val="18"/>
          <w:lang w:val="en-US" w:eastAsia="zh-CN"/>
        </w:rPr>
      </w:pPr>
    </w:p>
    <w:p w14:paraId="67FB2D9C" w14:textId="655CC29A" w:rsidR="00775586" w:rsidRDefault="00775586" w:rsidP="007B73F0">
      <w:pPr>
        <w:pStyle w:val="CETAuthors"/>
        <w:spacing w:after="0"/>
        <w:rPr>
          <w:rFonts w:eastAsiaTheme="minorEastAsia"/>
          <w:b/>
          <w:sz w:val="18"/>
          <w:szCs w:val="18"/>
          <w:lang w:val="en-US" w:eastAsia="zh-CN"/>
        </w:rPr>
      </w:pPr>
      <w:r w:rsidRPr="00712EBE">
        <w:rPr>
          <w:rFonts w:eastAsiaTheme="minorEastAsia"/>
          <w:b/>
          <w:sz w:val="18"/>
          <w:szCs w:val="18"/>
          <w:lang w:val="en-US" w:eastAsia="zh-CN"/>
        </w:rPr>
        <w:t>2.</w:t>
      </w:r>
      <w:r w:rsidRPr="00775586">
        <w:rPr>
          <w:rFonts w:eastAsiaTheme="minorEastAsia"/>
          <w:b/>
          <w:sz w:val="18"/>
          <w:szCs w:val="18"/>
          <w:lang w:val="en-US" w:eastAsia="zh-CN"/>
        </w:rPr>
        <w:t>Materials and methods</w:t>
      </w:r>
    </w:p>
    <w:p w14:paraId="04DE0E10" w14:textId="77777777" w:rsidR="007B73F0" w:rsidRDefault="007B73F0" w:rsidP="007B73F0">
      <w:pPr>
        <w:pStyle w:val="CETAuthors"/>
        <w:spacing w:after="0"/>
        <w:rPr>
          <w:rFonts w:eastAsiaTheme="minorEastAsia"/>
          <w:b/>
          <w:sz w:val="18"/>
          <w:szCs w:val="18"/>
          <w:lang w:val="en-US" w:eastAsia="zh-CN"/>
        </w:rPr>
      </w:pPr>
    </w:p>
    <w:p w14:paraId="7E5172FD" w14:textId="1DC760EC" w:rsidR="00775586" w:rsidRDefault="00775586" w:rsidP="007B73F0">
      <w:pPr>
        <w:pStyle w:val="CETAuthors"/>
        <w:spacing w:after="0"/>
        <w:rPr>
          <w:rFonts w:eastAsiaTheme="minorEastAsia"/>
          <w:b/>
          <w:sz w:val="18"/>
          <w:szCs w:val="18"/>
          <w:lang w:val="en-US" w:eastAsia="zh-CN"/>
        </w:rPr>
      </w:pPr>
      <w:r w:rsidRPr="00775586">
        <w:rPr>
          <w:rFonts w:eastAsiaTheme="minorEastAsia"/>
          <w:b/>
          <w:sz w:val="18"/>
          <w:szCs w:val="18"/>
          <w:lang w:val="en-US" w:eastAsia="zh-CN"/>
        </w:rPr>
        <w:t>2.1 Educational soft power materials</w:t>
      </w:r>
    </w:p>
    <w:p w14:paraId="197DCC0C" w14:textId="77777777" w:rsidR="007B73F0" w:rsidRDefault="007B73F0" w:rsidP="007B73F0">
      <w:pPr>
        <w:pStyle w:val="CETAuthors"/>
        <w:spacing w:after="0"/>
        <w:rPr>
          <w:rFonts w:eastAsiaTheme="minorEastAsia"/>
          <w:sz w:val="18"/>
          <w:szCs w:val="18"/>
          <w:lang w:val="en-US" w:eastAsia="zh-CN"/>
        </w:rPr>
      </w:pPr>
    </w:p>
    <w:p w14:paraId="67BF15D6" w14:textId="2B1681C9" w:rsidR="00775586" w:rsidRPr="00775586"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The educational dimension of China’s soft power was examined through materials related to scholarships, university cooperation, academic exchange programs, international student mobility, Chinese language teaching, and Confucius Institutes. These materials were selected because education creates long-term contact between China and foreign societies. Unlike short-term media campaigns, educational cooperation allows foreign students, teachers, researchers, and professionals to experience Chinese culture, academic life, and social development directly.</w:t>
      </w:r>
    </w:p>
    <w:p w14:paraId="59BF0C34" w14:textId="77777777" w:rsidR="00775586" w:rsidRPr="00775586"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Special attention was given to Chinese government scholarships and university programs for international students. These programs are important because they help China attract young people from different regions, especially from developing countries and states participating in the Belt and Road Initiative. Through study in Chinese universities, foreign students become familiar with China’s language, culture, technological progress, and development model. In this sense, education functions not only as an academic activity, but also as a channel of cultural diplomacy and image-building.</w:t>
      </w:r>
    </w:p>
    <w:p w14:paraId="7924B45E" w14:textId="77777777" w:rsidR="00775586"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The role of Confucius Institutes was also analyzed as an institutional mechanism of China’s educational and cultural diplomacy. These institutes promote Chinese language, organize cultural events, support academic cooperation, and introduce foreign audiences to Chinese traditions and contemporary society. At the same time, their role is often debated because some countries view them as instruments of state influence. Therefore, Confucius Institutes were examined both as tools of cultural attraction and as objects of international criticism (Hartig, 2016).</w:t>
      </w:r>
    </w:p>
    <w:p w14:paraId="718780EE" w14:textId="77777777" w:rsidR="00775586" w:rsidRPr="00775586" w:rsidRDefault="00775586" w:rsidP="007B73F0">
      <w:pPr>
        <w:pStyle w:val="CETAuthors"/>
        <w:spacing w:after="0"/>
        <w:rPr>
          <w:rFonts w:eastAsiaTheme="minorEastAsia"/>
          <w:sz w:val="18"/>
          <w:szCs w:val="18"/>
          <w:lang w:val="en-US" w:eastAsia="zh-CN"/>
        </w:rPr>
      </w:pPr>
    </w:p>
    <w:p w14:paraId="7DA82C78" w14:textId="77777777" w:rsidR="00775586" w:rsidRDefault="00775586" w:rsidP="007B73F0">
      <w:pPr>
        <w:pStyle w:val="CETAuthors"/>
        <w:spacing w:after="0"/>
        <w:rPr>
          <w:rFonts w:eastAsiaTheme="minorEastAsia"/>
          <w:b/>
          <w:sz w:val="18"/>
          <w:szCs w:val="18"/>
          <w:lang w:val="en-US" w:eastAsia="zh-CN"/>
        </w:rPr>
      </w:pPr>
      <w:r w:rsidRPr="00775586">
        <w:rPr>
          <w:rFonts w:eastAsiaTheme="minorEastAsia"/>
          <w:b/>
          <w:sz w:val="18"/>
          <w:szCs w:val="18"/>
          <w:lang w:val="en-US" w:eastAsia="zh-CN"/>
        </w:rPr>
        <w:t>2.2 Digital diplomacy and online communication materials</w:t>
      </w:r>
    </w:p>
    <w:p w14:paraId="60AEBC31" w14:textId="77777777" w:rsidR="00775586" w:rsidRPr="00775586" w:rsidRDefault="00775586" w:rsidP="007B73F0">
      <w:pPr>
        <w:pStyle w:val="CETAuthors"/>
        <w:spacing w:after="0"/>
        <w:rPr>
          <w:rFonts w:eastAsiaTheme="minorEastAsia"/>
          <w:b/>
          <w:sz w:val="18"/>
          <w:szCs w:val="18"/>
          <w:lang w:val="en-US" w:eastAsia="zh-CN"/>
        </w:rPr>
      </w:pPr>
    </w:p>
    <w:p w14:paraId="327D52B8" w14:textId="77777777" w:rsidR="00775586" w:rsidRPr="00775586"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The second group of materials focused on China’s use of digital tools in public diplomacy and international communication. These materials included official websites, online media platforms, social media accounts, digital educational resources, virtual cultural programs, and online public diplomacy activities. They were selected because digital communication has become one of the fastest ways for states to reach foreign audiences and shape international perceptions.</w:t>
      </w:r>
    </w:p>
    <w:p w14:paraId="4F945758" w14:textId="77777777" w:rsidR="00775586" w:rsidRPr="00775586"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Particular attention was paid to how China uses digital platforms to promote its culture, political narratives, economic achievements, technological development, and foreign policy initiatives. Online media and social networks allow China to present its own interpretation of global events, respond to criticism, and promote a positive image of the country. Digital tools also make it possible to reach younger audiences who receive information mainly through online platforms rather than traditional diplomatic channels.</w:t>
      </w:r>
    </w:p>
    <w:p w14:paraId="37ECDEEB" w14:textId="77777777" w:rsidR="00775586"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Digital education was also considered as part of China’s soft power strategy. Online Chinese language courses, virtual lectures, academic webinars, digital university cooperation, and online cultural programs allow China to continue educational diplomacy beyond physical mobility. This became especially important as international education increasingly moved toward hybrid and digital formats. Thus, digital tools do not replace educational soft power, but expand its reach and accessibility.</w:t>
      </w:r>
    </w:p>
    <w:p w14:paraId="2A769086" w14:textId="77777777" w:rsidR="00775586" w:rsidRPr="00775586" w:rsidRDefault="00775586" w:rsidP="007B73F0">
      <w:pPr>
        <w:pStyle w:val="CETAuthors"/>
        <w:spacing w:after="0"/>
        <w:rPr>
          <w:rFonts w:eastAsiaTheme="minorEastAsia"/>
          <w:sz w:val="18"/>
          <w:szCs w:val="18"/>
          <w:lang w:val="en-US" w:eastAsia="zh-CN"/>
        </w:rPr>
      </w:pPr>
    </w:p>
    <w:p w14:paraId="06DD9C38" w14:textId="77777777" w:rsidR="00775586" w:rsidRDefault="00775586" w:rsidP="007B73F0">
      <w:pPr>
        <w:pStyle w:val="CETAuthors"/>
        <w:spacing w:after="0"/>
        <w:rPr>
          <w:rFonts w:eastAsiaTheme="minorEastAsia"/>
          <w:b/>
          <w:sz w:val="18"/>
          <w:szCs w:val="18"/>
          <w:lang w:val="en-US" w:eastAsia="zh-CN"/>
        </w:rPr>
      </w:pPr>
      <w:r w:rsidRPr="00775586">
        <w:rPr>
          <w:rFonts w:eastAsiaTheme="minorEastAsia"/>
          <w:b/>
          <w:sz w:val="18"/>
          <w:szCs w:val="18"/>
          <w:lang w:val="en-US" w:eastAsia="zh-CN"/>
        </w:rPr>
        <w:t>2.3 Analytical procedure</w:t>
      </w:r>
    </w:p>
    <w:p w14:paraId="21932DA9" w14:textId="77777777" w:rsidR="00775586" w:rsidRPr="00775586" w:rsidRDefault="00775586" w:rsidP="007B73F0">
      <w:pPr>
        <w:pStyle w:val="CETAuthors"/>
        <w:spacing w:after="0"/>
        <w:rPr>
          <w:rFonts w:eastAsiaTheme="minorEastAsia"/>
          <w:b/>
          <w:sz w:val="18"/>
          <w:szCs w:val="18"/>
          <w:lang w:val="en-US" w:eastAsia="zh-CN"/>
        </w:rPr>
      </w:pPr>
    </w:p>
    <w:p w14:paraId="769F0A24" w14:textId="77777777" w:rsidR="00775586" w:rsidRPr="00775586"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The study used qualitative document analysis and content analysis. At the first stage, academic literature and official materials were reviewed to identify the main instruments of China’s educational and digital soft power. These sources were then grouped into two main categories: education-based instruments and digital-based instruments. This classification made it possible to compare traditional forms of soft power with newer digital mechanisms.</w:t>
      </w:r>
    </w:p>
    <w:p w14:paraId="2CD1C041" w14:textId="77777777" w:rsidR="00775586" w:rsidRPr="00775586"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At the second stage, the selected materials were analyzed according to their functions in China’s soft power strategy. The main analytical categories included cultural attraction, language promotion, academic influence, international image-building, digital visibility, and support for broader foreign policy initiatives. This approach helped to show how different instruments work separately and how they support each other within one strategy.</w:t>
      </w:r>
    </w:p>
    <w:p w14:paraId="13B7A228" w14:textId="77777777" w:rsidR="00775586"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At the third stage, the relationship between education and digital tools was examined. The analysis focused on how digital platforms strengthen educational diplomacy through online learning, virtual cultural exchange, and digital communication with foreign students. It also considered how educational institutions support China’s digital presence by producing knowledge, organizing online events, and maintaining international academic networks. Document analysis was used because it allows systematic interpretation of written materials and helps identify key themes in qualitative research (Bowen, 2009).</w:t>
      </w:r>
    </w:p>
    <w:p w14:paraId="3D11DE3C" w14:textId="77777777" w:rsidR="00775586" w:rsidRPr="00775586" w:rsidRDefault="00775586" w:rsidP="007B73F0">
      <w:pPr>
        <w:pStyle w:val="CETAuthors"/>
        <w:spacing w:after="0"/>
        <w:rPr>
          <w:rFonts w:eastAsiaTheme="minorEastAsia"/>
          <w:sz w:val="18"/>
          <w:szCs w:val="18"/>
          <w:lang w:val="en-US" w:eastAsia="zh-CN"/>
        </w:rPr>
      </w:pPr>
    </w:p>
    <w:p w14:paraId="26B2305F" w14:textId="77777777" w:rsidR="00775586" w:rsidRDefault="00775586" w:rsidP="007B73F0">
      <w:pPr>
        <w:pStyle w:val="CETAuthors"/>
        <w:spacing w:after="0"/>
        <w:rPr>
          <w:rFonts w:eastAsiaTheme="minorEastAsia"/>
          <w:b/>
          <w:sz w:val="18"/>
          <w:szCs w:val="18"/>
          <w:lang w:val="en-US" w:eastAsia="zh-CN"/>
        </w:rPr>
      </w:pPr>
      <w:r w:rsidRPr="00775586">
        <w:rPr>
          <w:rFonts w:eastAsiaTheme="minorEastAsia"/>
          <w:b/>
          <w:sz w:val="18"/>
          <w:szCs w:val="18"/>
          <w:lang w:val="en-US" w:eastAsia="zh-CN"/>
        </w:rPr>
        <w:t>2.4 Evaluation criteria</w:t>
      </w:r>
    </w:p>
    <w:p w14:paraId="036E647E" w14:textId="77777777" w:rsidR="00775586" w:rsidRPr="00775586" w:rsidRDefault="00775586" w:rsidP="007B73F0">
      <w:pPr>
        <w:pStyle w:val="CETAuthors"/>
        <w:spacing w:after="0"/>
        <w:rPr>
          <w:rFonts w:eastAsiaTheme="minorEastAsia"/>
          <w:b/>
          <w:sz w:val="18"/>
          <w:szCs w:val="18"/>
          <w:lang w:val="en-US" w:eastAsia="zh-CN"/>
        </w:rPr>
      </w:pPr>
    </w:p>
    <w:p w14:paraId="333D598A" w14:textId="77777777" w:rsidR="00775586" w:rsidRPr="00775586" w:rsidRDefault="00775586" w:rsidP="007B73F0">
      <w:pPr>
        <w:pStyle w:val="CETAuthors"/>
        <w:spacing w:after="0"/>
        <w:rPr>
          <w:rFonts w:eastAsiaTheme="minorEastAsia"/>
          <w:sz w:val="18"/>
          <w:szCs w:val="18"/>
          <w:lang w:val="en-US" w:eastAsia="zh-CN"/>
        </w:rPr>
      </w:pPr>
      <w:r w:rsidRPr="00775586">
        <w:rPr>
          <w:rFonts w:eastAsiaTheme="minorEastAsia"/>
          <w:sz w:val="18"/>
          <w:szCs w:val="18"/>
          <w:lang w:val="en-US" w:eastAsia="zh-CN"/>
        </w:rPr>
        <w:t xml:space="preserve">The effectiveness of China’s education and digital tools was assessed according to several qualitative criteria. The first criterion was the ability to attract foreign audiences through language, culture, academic opportunities, and technological modernization. The second criterion was the capacity to strengthen China’s international visibility through </w:t>
      </w:r>
      <w:r w:rsidRPr="00775586">
        <w:rPr>
          <w:rFonts w:eastAsiaTheme="minorEastAsia"/>
          <w:sz w:val="18"/>
          <w:szCs w:val="18"/>
          <w:lang w:val="en-US" w:eastAsia="zh-CN"/>
        </w:rPr>
        <w:lastRenderedPageBreak/>
        <w:t>universities, Confucius Institutes, digital media, and online platforms. The third criterion was the contribution of these instruments to long-term cooperation, especially with countries involved in the Belt and Road Initiative.</w:t>
      </w:r>
    </w:p>
    <w:p w14:paraId="26A01D85" w14:textId="0FB73B66" w:rsidR="00D47497" w:rsidRDefault="00775586" w:rsidP="007B73F0">
      <w:pPr>
        <w:pStyle w:val="CETAuthors"/>
        <w:spacing w:after="0"/>
        <w:rPr>
          <w:rFonts w:eastAsiaTheme="minorEastAsia"/>
          <w:sz w:val="18"/>
          <w:szCs w:val="18"/>
          <w:lang w:val="en-US" w:eastAsia="zh-CN"/>
        </w:rPr>
      </w:pPr>
      <w:r>
        <w:rPr>
          <w:rFonts w:eastAsiaTheme="minorEastAsia"/>
          <w:sz w:val="18"/>
          <w:szCs w:val="18"/>
          <w:lang w:val="en-US" w:eastAsia="zh-CN"/>
        </w:rPr>
        <w:tab/>
      </w:r>
      <w:r w:rsidRPr="00775586">
        <w:rPr>
          <w:rFonts w:eastAsiaTheme="minorEastAsia"/>
          <w:sz w:val="18"/>
          <w:szCs w:val="18"/>
          <w:lang w:val="en-US" w:eastAsia="zh-CN"/>
        </w:rPr>
        <w:t>The study also considered the limitations of China’s soft power strategy. These include geopolitical distrust, criticism of Confucius Institutes, concerns about propaganda, restrictions in China’s digital environment, and competition with Western models of public diplomacy. These limitations are important because soft power depends not only on the existence of cultural or educational programs, but also on credib</w:t>
      </w:r>
      <w:r>
        <w:rPr>
          <w:rFonts w:eastAsiaTheme="minorEastAsia"/>
          <w:sz w:val="18"/>
          <w:szCs w:val="18"/>
          <w:lang w:val="en-US" w:eastAsia="zh-CN"/>
        </w:rPr>
        <w:t xml:space="preserve">ility and voluntary attraction. </w:t>
      </w:r>
      <w:r w:rsidRPr="00775586">
        <w:rPr>
          <w:rFonts w:eastAsiaTheme="minorEastAsia"/>
          <w:sz w:val="18"/>
          <w:szCs w:val="18"/>
          <w:lang w:val="en-US" w:eastAsia="zh-CN"/>
        </w:rPr>
        <w:t>Therefore, the evaluation was based on a balanced approach. China’s educational and digital tools were analyzed as important instruments of influence, but not as automatically successful mechanisms. Their effectiveness depends on how foreign audiences perceive China, whether they trust Chinese institutions and media, and whether China’s international communication creates genuine attraction. This corresponds to the concept of soft power as the ability to influence others through attraction rather than coercion or payment (Nye, 2004).</w:t>
      </w:r>
    </w:p>
    <w:p w14:paraId="3FD28321" w14:textId="77777777" w:rsidR="00775586" w:rsidRDefault="00775586" w:rsidP="007B73F0">
      <w:pPr>
        <w:pStyle w:val="CETAuthors"/>
        <w:spacing w:after="0"/>
        <w:rPr>
          <w:rFonts w:eastAsiaTheme="minorEastAsia"/>
          <w:sz w:val="18"/>
          <w:szCs w:val="18"/>
          <w:lang w:val="en-US" w:eastAsia="zh-CN"/>
        </w:rPr>
      </w:pPr>
    </w:p>
    <w:p w14:paraId="09FD7171" w14:textId="2AF199EE" w:rsidR="00775586" w:rsidRDefault="00775586" w:rsidP="007B73F0">
      <w:pPr>
        <w:pStyle w:val="CETAuthors"/>
        <w:spacing w:after="0"/>
        <w:rPr>
          <w:rFonts w:eastAsiaTheme="minorEastAsia"/>
          <w:b/>
          <w:sz w:val="18"/>
          <w:szCs w:val="18"/>
          <w:lang w:val="en-US" w:eastAsia="zh-CN"/>
        </w:rPr>
      </w:pPr>
      <w:r w:rsidRPr="00775586">
        <w:rPr>
          <w:rFonts w:eastAsiaTheme="minorEastAsia"/>
          <w:b/>
          <w:sz w:val="18"/>
          <w:szCs w:val="18"/>
          <w:lang w:val="en-US" w:eastAsia="zh-CN"/>
        </w:rPr>
        <w:t>3. Results and discussion</w:t>
      </w:r>
    </w:p>
    <w:p w14:paraId="11AAFD34" w14:textId="77777777" w:rsidR="00775586" w:rsidRDefault="00775586" w:rsidP="007B73F0">
      <w:pPr>
        <w:pStyle w:val="CETAuthors"/>
        <w:spacing w:after="0"/>
        <w:rPr>
          <w:rFonts w:eastAsiaTheme="minorEastAsia"/>
          <w:b/>
          <w:sz w:val="18"/>
          <w:szCs w:val="18"/>
          <w:lang w:val="en-US" w:eastAsia="zh-CN"/>
        </w:rPr>
      </w:pPr>
    </w:p>
    <w:p w14:paraId="35225320" w14:textId="77777777" w:rsidR="00EE20A3" w:rsidRPr="00EE20A3" w:rsidRDefault="00EE20A3" w:rsidP="007B73F0">
      <w:pPr>
        <w:pStyle w:val="CETAuthors"/>
        <w:spacing w:after="0"/>
        <w:rPr>
          <w:rFonts w:eastAsiaTheme="minorEastAsia"/>
          <w:b/>
          <w:sz w:val="18"/>
          <w:szCs w:val="18"/>
          <w:lang w:val="en-US" w:eastAsia="zh-CN"/>
        </w:rPr>
      </w:pPr>
      <w:r w:rsidRPr="00EE20A3">
        <w:rPr>
          <w:rFonts w:eastAsiaTheme="minorEastAsia"/>
          <w:b/>
          <w:sz w:val="18"/>
          <w:szCs w:val="18"/>
          <w:lang w:val="en-US" w:eastAsia="zh-CN"/>
        </w:rPr>
        <w:t>3.1 Education as a long-term instrument of China’s soft power</w:t>
      </w:r>
    </w:p>
    <w:p w14:paraId="3B50F011" w14:textId="77777777" w:rsidR="007B73F0" w:rsidRDefault="007B73F0" w:rsidP="007B73F0">
      <w:pPr>
        <w:pStyle w:val="CETAuthors"/>
        <w:spacing w:after="0"/>
        <w:rPr>
          <w:rFonts w:eastAsiaTheme="minorEastAsia"/>
          <w:sz w:val="18"/>
          <w:szCs w:val="18"/>
          <w:lang w:val="en-US" w:eastAsia="zh-CN"/>
        </w:rPr>
      </w:pPr>
    </w:p>
    <w:p w14:paraId="09BE943C" w14:textId="09F6FA1E" w:rsid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The results show that education is one of the most important long-term instruments of China’s soft power, because it creates stable and continuous relations between China and foreign societies. Through scholarships, university cooperation, exchange programs and Chinese language education, China establishes direct contact with foreign students, researchers and academic institutions. These educational contacts help foreign audiences become more familiar with Chinese culture, society, history, economic development and modernization experience. International students who study in China may later become informal cultural mediators, since they return to their home countries with personal knowledge and practical experience of Chinese society. In this sense, education works not only as academic cooperation, but also as a mechanism of cultural diplomacy, image-building and long-term influence (King, 2013).</w:t>
      </w:r>
    </w:p>
    <w:p w14:paraId="6E453DDA" w14:textId="77777777" w:rsidR="00746435" w:rsidRDefault="00746435" w:rsidP="007B73F0">
      <w:pPr>
        <w:pStyle w:val="CETAuthors"/>
        <w:spacing w:after="0"/>
        <w:rPr>
          <w:rFonts w:eastAsiaTheme="minorEastAsia"/>
          <w:sz w:val="18"/>
          <w:szCs w:val="18"/>
          <w:lang w:val="en-US" w:eastAsia="zh-CN"/>
        </w:rPr>
      </w:pPr>
    </w:p>
    <w:p w14:paraId="62E5F756" w14:textId="6DB25A75" w:rsidR="00746435" w:rsidRDefault="00746435" w:rsidP="007B73F0">
      <w:pPr>
        <w:pStyle w:val="CETAuthors"/>
        <w:spacing w:after="0"/>
        <w:rPr>
          <w:rFonts w:eastAsiaTheme="minorEastAsia"/>
          <w:sz w:val="18"/>
          <w:szCs w:val="18"/>
          <w:lang w:val="en-US" w:eastAsia="zh-CN"/>
        </w:rPr>
      </w:pPr>
      <w:r w:rsidRPr="00746435">
        <w:rPr>
          <w:rFonts w:eastAsiaTheme="minorEastAsia"/>
          <w:sz w:val="18"/>
          <w:szCs w:val="18"/>
          <w:lang w:val="en-US" w:eastAsia="zh-CN"/>
        </w:rPr>
        <w:t>Table 1. Education and Digital Tools in China's Soft Power Strategy</w:t>
      </w:r>
    </w:p>
    <w:tbl>
      <w:tblPr>
        <w:tblStyle w:val="afffb"/>
        <w:tblW w:w="0" w:type="auto"/>
        <w:tblLook w:val="04A0" w:firstRow="1" w:lastRow="0" w:firstColumn="1" w:lastColumn="0" w:noHBand="0" w:noVBand="1"/>
      </w:tblPr>
      <w:tblGrid>
        <w:gridCol w:w="2336"/>
        <w:gridCol w:w="2336"/>
        <w:gridCol w:w="2336"/>
        <w:gridCol w:w="2337"/>
      </w:tblGrid>
      <w:tr w:rsidR="00746435" w14:paraId="6D26E85D" w14:textId="77777777" w:rsidTr="000B7652">
        <w:tc>
          <w:tcPr>
            <w:tcW w:w="2336" w:type="dxa"/>
          </w:tcPr>
          <w:p w14:paraId="4F26E1CB" w14:textId="77777777" w:rsidR="00746435" w:rsidRPr="00746435" w:rsidRDefault="00746435" w:rsidP="000B7652">
            <w:pPr>
              <w:pStyle w:val="CETAuthors"/>
              <w:spacing w:after="0"/>
              <w:jc w:val="center"/>
              <w:rPr>
                <w:rFonts w:eastAsiaTheme="minorEastAsia"/>
                <w:b/>
                <w:sz w:val="18"/>
                <w:szCs w:val="18"/>
                <w:lang w:val="en-US" w:eastAsia="zh-CN"/>
              </w:rPr>
            </w:pPr>
            <w:r w:rsidRPr="00746435">
              <w:rPr>
                <w:rFonts w:eastAsiaTheme="minorEastAsia"/>
                <w:b/>
                <w:sz w:val="18"/>
                <w:szCs w:val="18"/>
                <w:lang w:val="en-US" w:eastAsia="zh-CN"/>
              </w:rPr>
              <w:t>Instrument</w:t>
            </w:r>
          </w:p>
        </w:tc>
        <w:tc>
          <w:tcPr>
            <w:tcW w:w="2336" w:type="dxa"/>
          </w:tcPr>
          <w:p w14:paraId="21B0F88C" w14:textId="77777777" w:rsidR="00746435" w:rsidRPr="00746435" w:rsidRDefault="00746435" w:rsidP="000B7652">
            <w:pPr>
              <w:pStyle w:val="CETAuthors"/>
              <w:spacing w:after="0"/>
              <w:jc w:val="center"/>
              <w:rPr>
                <w:rFonts w:eastAsiaTheme="minorEastAsia"/>
                <w:b/>
                <w:sz w:val="18"/>
                <w:szCs w:val="18"/>
                <w:lang w:val="en-US" w:eastAsia="zh-CN"/>
              </w:rPr>
            </w:pPr>
            <w:r w:rsidRPr="00746435">
              <w:rPr>
                <w:rFonts w:eastAsiaTheme="minorEastAsia"/>
                <w:b/>
                <w:sz w:val="18"/>
                <w:szCs w:val="18"/>
                <w:lang w:val="en-US" w:eastAsia="zh-CN"/>
              </w:rPr>
              <w:t>Main function</w:t>
            </w:r>
          </w:p>
        </w:tc>
        <w:tc>
          <w:tcPr>
            <w:tcW w:w="2336" w:type="dxa"/>
          </w:tcPr>
          <w:p w14:paraId="1D3BE5E2" w14:textId="77777777" w:rsidR="00746435" w:rsidRPr="00746435" w:rsidRDefault="00746435" w:rsidP="000B7652">
            <w:pPr>
              <w:pStyle w:val="CETAuthors"/>
              <w:spacing w:after="0"/>
              <w:jc w:val="center"/>
              <w:rPr>
                <w:rFonts w:eastAsiaTheme="minorEastAsia"/>
                <w:b/>
                <w:sz w:val="18"/>
                <w:szCs w:val="18"/>
                <w:lang w:val="en-US" w:eastAsia="zh-CN"/>
              </w:rPr>
            </w:pPr>
            <w:r w:rsidRPr="00746435">
              <w:rPr>
                <w:rFonts w:eastAsiaTheme="minorEastAsia"/>
                <w:b/>
                <w:sz w:val="18"/>
                <w:szCs w:val="18"/>
                <w:lang w:val="en-US" w:eastAsia="zh-CN"/>
              </w:rPr>
              <w:t>Contribution to Soft Power</w:t>
            </w:r>
          </w:p>
        </w:tc>
        <w:tc>
          <w:tcPr>
            <w:tcW w:w="2337" w:type="dxa"/>
          </w:tcPr>
          <w:p w14:paraId="1DEECC78" w14:textId="77777777" w:rsidR="00746435" w:rsidRPr="00746435" w:rsidRDefault="00746435" w:rsidP="000B7652">
            <w:pPr>
              <w:pStyle w:val="CETAuthors"/>
              <w:spacing w:after="0"/>
              <w:jc w:val="center"/>
              <w:rPr>
                <w:rFonts w:eastAsiaTheme="minorEastAsia"/>
                <w:b/>
                <w:sz w:val="18"/>
                <w:szCs w:val="18"/>
                <w:lang w:val="en-US" w:eastAsia="zh-CN"/>
              </w:rPr>
            </w:pPr>
            <w:r w:rsidRPr="00746435">
              <w:rPr>
                <w:rFonts w:eastAsiaTheme="minorEastAsia"/>
                <w:b/>
                <w:sz w:val="18"/>
                <w:szCs w:val="18"/>
                <w:lang w:val="en-US" w:eastAsia="zh-CN"/>
              </w:rPr>
              <w:t>Main Limitation</w:t>
            </w:r>
          </w:p>
        </w:tc>
      </w:tr>
      <w:tr w:rsidR="00746435" w14:paraId="171FAD4B" w14:textId="77777777" w:rsidTr="000B7652">
        <w:tc>
          <w:tcPr>
            <w:tcW w:w="2336" w:type="dxa"/>
          </w:tcPr>
          <w:p w14:paraId="08AD30A6" w14:textId="77777777" w:rsidR="00746435" w:rsidRPr="00F7389D" w:rsidRDefault="00746435"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Educational Scholarships and Programs</w:t>
            </w:r>
          </w:p>
        </w:tc>
        <w:tc>
          <w:tcPr>
            <w:tcW w:w="2336" w:type="dxa"/>
          </w:tcPr>
          <w:p w14:paraId="77300354"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Scholarships and training for international students</w:t>
            </w:r>
          </w:p>
        </w:tc>
        <w:tc>
          <w:tcPr>
            <w:tcW w:w="2336" w:type="dxa"/>
          </w:tcPr>
          <w:p w14:paraId="07FCA21C"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Builds long-term ties and familiarity with China</w:t>
            </w:r>
          </w:p>
        </w:tc>
        <w:tc>
          <w:tcPr>
            <w:tcW w:w="2337" w:type="dxa"/>
          </w:tcPr>
          <w:p w14:paraId="01E3B191"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Concerns about political influence and academic freedom</w:t>
            </w:r>
          </w:p>
        </w:tc>
      </w:tr>
      <w:tr w:rsidR="00746435" w14:paraId="514CB0AB" w14:textId="77777777" w:rsidTr="000B7652">
        <w:tc>
          <w:tcPr>
            <w:tcW w:w="2336" w:type="dxa"/>
          </w:tcPr>
          <w:p w14:paraId="3547D0C5" w14:textId="77777777" w:rsidR="00746435" w:rsidRPr="00F7389D" w:rsidRDefault="00746435"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University Cooperation and Academic Exchange</w:t>
            </w:r>
          </w:p>
        </w:tc>
        <w:tc>
          <w:tcPr>
            <w:tcW w:w="2336" w:type="dxa"/>
          </w:tcPr>
          <w:p w14:paraId="1F20DABA"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Research partnerships and student exchanges</w:t>
            </w:r>
          </w:p>
        </w:tc>
        <w:tc>
          <w:tcPr>
            <w:tcW w:w="2336" w:type="dxa"/>
          </w:tcPr>
          <w:p w14:paraId="4A73DE26"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Strengthens academic networks and institutional trust</w:t>
            </w:r>
          </w:p>
        </w:tc>
        <w:tc>
          <w:tcPr>
            <w:tcW w:w="2337" w:type="dxa"/>
          </w:tcPr>
          <w:p w14:paraId="5A1E23B5"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Geopolitical tensions and transparency concerns</w:t>
            </w:r>
          </w:p>
        </w:tc>
      </w:tr>
      <w:tr w:rsidR="00746435" w14:paraId="5AC43480" w14:textId="77777777" w:rsidTr="000B7652">
        <w:tc>
          <w:tcPr>
            <w:tcW w:w="2336" w:type="dxa"/>
          </w:tcPr>
          <w:p w14:paraId="062268C4" w14:textId="77777777" w:rsidR="00746435" w:rsidRPr="00F7389D" w:rsidRDefault="00746435"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Confucius Institutes</w:t>
            </w:r>
          </w:p>
        </w:tc>
        <w:tc>
          <w:tcPr>
            <w:tcW w:w="2336" w:type="dxa"/>
          </w:tcPr>
          <w:p w14:paraId="7119D61B"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Chinese language and cultural promotion</w:t>
            </w:r>
          </w:p>
        </w:tc>
        <w:tc>
          <w:tcPr>
            <w:tcW w:w="2336" w:type="dxa"/>
          </w:tcPr>
          <w:p w14:paraId="0737BEC7"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Enhances cultural understanding and attraction</w:t>
            </w:r>
          </w:p>
        </w:tc>
        <w:tc>
          <w:tcPr>
            <w:tcW w:w="2337" w:type="dxa"/>
          </w:tcPr>
          <w:p w14:paraId="009E7A3D"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Criticism regarding propaganda and censorship</w:t>
            </w:r>
          </w:p>
        </w:tc>
      </w:tr>
      <w:tr w:rsidR="00746435" w14:paraId="1DDC095E" w14:textId="77777777" w:rsidTr="000B7652">
        <w:tc>
          <w:tcPr>
            <w:tcW w:w="2336" w:type="dxa"/>
          </w:tcPr>
          <w:p w14:paraId="341EF123" w14:textId="77777777" w:rsidR="00746435" w:rsidRPr="00F7389D" w:rsidRDefault="00746435"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Digital and Social Media Platforms</w:t>
            </w:r>
          </w:p>
        </w:tc>
        <w:tc>
          <w:tcPr>
            <w:tcW w:w="2336" w:type="dxa"/>
          </w:tcPr>
          <w:p w14:paraId="22159A77"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Online communication and public diplomacy</w:t>
            </w:r>
          </w:p>
        </w:tc>
        <w:tc>
          <w:tcPr>
            <w:tcW w:w="2336" w:type="dxa"/>
          </w:tcPr>
          <w:p w14:paraId="31D39D66"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Expands global visibility and outreach</w:t>
            </w:r>
          </w:p>
        </w:tc>
        <w:tc>
          <w:tcPr>
            <w:tcW w:w="2337" w:type="dxa"/>
          </w:tcPr>
          <w:p w14:paraId="1E4A278D"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Credibility and information-control concerns</w:t>
            </w:r>
          </w:p>
        </w:tc>
      </w:tr>
      <w:tr w:rsidR="00746435" w14:paraId="4C00D8A6" w14:textId="77777777" w:rsidTr="000B7652">
        <w:tc>
          <w:tcPr>
            <w:tcW w:w="2336" w:type="dxa"/>
          </w:tcPr>
          <w:p w14:paraId="1D601705" w14:textId="77777777" w:rsidR="00746435" w:rsidRPr="00F7389D" w:rsidRDefault="00746435"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Online Education and Digital Learning</w:t>
            </w:r>
          </w:p>
        </w:tc>
        <w:tc>
          <w:tcPr>
            <w:tcW w:w="2336" w:type="dxa"/>
          </w:tcPr>
          <w:p w14:paraId="0A5FD351"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MOOCs, webinars and virtual learning</w:t>
            </w:r>
          </w:p>
        </w:tc>
        <w:tc>
          <w:tcPr>
            <w:tcW w:w="2336" w:type="dxa"/>
          </w:tcPr>
          <w:p w14:paraId="193A7C41"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Increases accessibility and educational influence</w:t>
            </w:r>
          </w:p>
        </w:tc>
        <w:tc>
          <w:tcPr>
            <w:tcW w:w="2337" w:type="dxa"/>
          </w:tcPr>
          <w:p w14:paraId="73BD9B6F"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Limited personal interaction</w:t>
            </w:r>
          </w:p>
        </w:tc>
      </w:tr>
      <w:tr w:rsidR="00746435" w14:paraId="7E5EC56A" w14:textId="77777777" w:rsidTr="000B7652">
        <w:tc>
          <w:tcPr>
            <w:tcW w:w="2336" w:type="dxa"/>
          </w:tcPr>
          <w:p w14:paraId="578444BA" w14:textId="77777777" w:rsidR="00746435" w:rsidRPr="00F7389D" w:rsidRDefault="00746435"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Belt and Road Initiative (BRI) Integration</w:t>
            </w:r>
          </w:p>
        </w:tc>
        <w:tc>
          <w:tcPr>
            <w:tcW w:w="2336" w:type="dxa"/>
          </w:tcPr>
          <w:p w14:paraId="084D670B"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Educational and digital cooperation projects</w:t>
            </w:r>
          </w:p>
        </w:tc>
        <w:tc>
          <w:tcPr>
            <w:tcW w:w="2336" w:type="dxa"/>
          </w:tcPr>
          <w:p w14:paraId="1C76D1D0"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Supports long-term partnerships and cooperation</w:t>
            </w:r>
          </w:p>
        </w:tc>
        <w:tc>
          <w:tcPr>
            <w:tcW w:w="2337" w:type="dxa"/>
          </w:tcPr>
          <w:p w14:paraId="155BD09D" w14:textId="77777777" w:rsidR="00746435" w:rsidRDefault="00746435" w:rsidP="00F7389D">
            <w:pPr>
              <w:pStyle w:val="CETAuthors"/>
              <w:spacing w:after="0"/>
              <w:jc w:val="center"/>
              <w:rPr>
                <w:rFonts w:eastAsiaTheme="minorEastAsia"/>
                <w:sz w:val="18"/>
                <w:szCs w:val="18"/>
                <w:lang w:val="en-US" w:eastAsia="zh-CN"/>
              </w:rPr>
            </w:pPr>
            <w:r w:rsidRPr="00746435">
              <w:rPr>
                <w:rFonts w:eastAsiaTheme="minorEastAsia"/>
                <w:sz w:val="18"/>
                <w:szCs w:val="18"/>
                <w:lang w:val="en-US" w:eastAsia="zh-CN"/>
              </w:rPr>
              <w:t>Dependence and geopolitical concerns</w:t>
            </w:r>
          </w:p>
        </w:tc>
      </w:tr>
    </w:tbl>
    <w:p w14:paraId="61D388FE" w14:textId="77777777" w:rsidR="00746435" w:rsidRPr="00EE20A3" w:rsidRDefault="00746435" w:rsidP="007B73F0">
      <w:pPr>
        <w:pStyle w:val="CETAuthors"/>
        <w:spacing w:after="0"/>
        <w:rPr>
          <w:rFonts w:eastAsiaTheme="minorEastAsia"/>
          <w:sz w:val="18"/>
          <w:szCs w:val="18"/>
          <w:lang w:val="en-US" w:eastAsia="zh-CN"/>
        </w:rPr>
      </w:pPr>
    </w:p>
    <w:p w14:paraId="72584241" w14:textId="77777777" w:rsidR="00EE20A3" w:rsidRP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Educational soft power is especially visible in China’s cooperation with developing countries. Many students from Asia, Africa and other regions are attracted by scholarship opportunities, affordable education and the growing reputation of Chinese universities. These programs help China build positive relations with future professionals, officials, academics and business elites. As a result, educational cooperation supports China’s broader foreign policy goals by strengthening people-to-people contacts and increasing cultural familiarity. Therefore, education can be considered a strategic tool that connects academic development with international influence.</w:t>
      </w:r>
    </w:p>
    <w:p w14:paraId="6CBE71FC" w14:textId="77777777" w:rsidR="007B73F0" w:rsidRDefault="007B73F0" w:rsidP="007B73F0">
      <w:pPr>
        <w:pStyle w:val="CETAuthors"/>
        <w:spacing w:after="0"/>
        <w:rPr>
          <w:rFonts w:eastAsiaTheme="minorEastAsia"/>
          <w:b/>
          <w:sz w:val="18"/>
          <w:szCs w:val="18"/>
          <w:lang w:val="en-US" w:eastAsia="zh-CN"/>
        </w:rPr>
      </w:pPr>
    </w:p>
    <w:p w14:paraId="7C948BEF" w14:textId="66768AF9" w:rsidR="00EE20A3" w:rsidRPr="00EE20A3" w:rsidRDefault="00EE20A3" w:rsidP="007B73F0">
      <w:pPr>
        <w:pStyle w:val="CETAuthors"/>
        <w:spacing w:after="0"/>
        <w:rPr>
          <w:rFonts w:eastAsiaTheme="minorEastAsia"/>
          <w:b/>
          <w:sz w:val="18"/>
          <w:szCs w:val="18"/>
          <w:lang w:val="en-US" w:eastAsia="zh-CN"/>
        </w:rPr>
      </w:pPr>
      <w:r w:rsidRPr="00EE20A3">
        <w:rPr>
          <w:rFonts w:eastAsiaTheme="minorEastAsia"/>
          <w:b/>
          <w:sz w:val="18"/>
          <w:szCs w:val="18"/>
          <w:lang w:val="en-US" w:eastAsia="zh-CN"/>
        </w:rPr>
        <w:t>3.2 Digital tools as instruments of public diplomacy</w:t>
      </w:r>
    </w:p>
    <w:p w14:paraId="587D820B" w14:textId="77777777" w:rsidR="007B73F0" w:rsidRDefault="007B73F0" w:rsidP="007B73F0">
      <w:pPr>
        <w:pStyle w:val="CETAuthors"/>
        <w:spacing w:after="0"/>
        <w:rPr>
          <w:rFonts w:eastAsiaTheme="minorEastAsia"/>
          <w:sz w:val="18"/>
          <w:szCs w:val="18"/>
          <w:lang w:val="en-US" w:eastAsia="zh-CN"/>
        </w:rPr>
      </w:pPr>
    </w:p>
    <w:p w14:paraId="69B9DD9A" w14:textId="708925D6" w:rsidR="00EE20A3" w:rsidRP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 xml:space="preserve">Digital tools have become an important part of China’s contemporary soft power strategy. Online media, official websites, social networks, video platforms and digital educational resources allow China to communicate with foreign audiences more quickly and widely than through traditional diplomatic channels. These tools help China present its own narratives about culture, economic modernization, technological progress and international cooperation. Digital communication is especially important for young people and students, who often receive information mainly through </w:t>
      </w:r>
      <w:r w:rsidRPr="00EE20A3">
        <w:rPr>
          <w:rFonts w:eastAsiaTheme="minorEastAsia"/>
          <w:sz w:val="18"/>
          <w:szCs w:val="18"/>
          <w:lang w:val="en-US" w:eastAsia="zh-CN"/>
        </w:rPr>
        <w:lastRenderedPageBreak/>
        <w:t>online platforms. In this sense, digital diplomacy expands the scale, speed and accessibility of public diplomacy (Zaharna et al., 2013).</w:t>
      </w:r>
    </w:p>
    <w:p w14:paraId="6EECFB9B" w14:textId="77777777" w:rsidR="00EE20A3" w:rsidRP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China uses digital platforms not only to spread cultural information, but also to promote its foreign policy image. Through multilingual media, online campaigns and virtual events, China presents itself as a modern, technologically advanced and globally responsible actor. Digital tools also allow China to respond to international criticism and explain its position on global issues. At the same time, digital diplomacy is more effective when it creates trust and dialogue rather than one-way information flow. Therefore, the success of China’s digital soft power depends on the credibility of its messages and the ability to engage foreign audiences in a persuasive way.</w:t>
      </w:r>
    </w:p>
    <w:p w14:paraId="2F36DAD9" w14:textId="77777777" w:rsidR="007B73F0" w:rsidRDefault="007B73F0" w:rsidP="007B73F0">
      <w:pPr>
        <w:pStyle w:val="CETAuthors"/>
        <w:spacing w:after="0"/>
        <w:rPr>
          <w:rFonts w:eastAsiaTheme="minorEastAsia"/>
          <w:b/>
          <w:sz w:val="18"/>
          <w:szCs w:val="18"/>
          <w:lang w:val="en-US" w:eastAsia="zh-CN"/>
        </w:rPr>
      </w:pPr>
    </w:p>
    <w:p w14:paraId="27B9159F" w14:textId="203BBFB9" w:rsidR="00EE20A3" w:rsidRPr="00EE20A3" w:rsidRDefault="00EE20A3" w:rsidP="007B73F0">
      <w:pPr>
        <w:pStyle w:val="CETAuthors"/>
        <w:spacing w:after="0"/>
        <w:rPr>
          <w:rFonts w:eastAsiaTheme="minorEastAsia"/>
          <w:b/>
          <w:sz w:val="18"/>
          <w:szCs w:val="18"/>
          <w:lang w:val="en-US" w:eastAsia="zh-CN"/>
        </w:rPr>
      </w:pPr>
      <w:r w:rsidRPr="00EE20A3">
        <w:rPr>
          <w:rFonts w:eastAsiaTheme="minorEastAsia"/>
          <w:b/>
          <w:sz w:val="18"/>
          <w:szCs w:val="18"/>
          <w:lang w:val="en-US" w:eastAsia="zh-CN"/>
        </w:rPr>
        <w:t>3.3 Interaction between education and digital diplomacy</w:t>
      </w:r>
    </w:p>
    <w:p w14:paraId="762124AE" w14:textId="77777777" w:rsidR="007B73F0" w:rsidRDefault="007B73F0" w:rsidP="007B73F0">
      <w:pPr>
        <w:pStyle w:val="CETAuthors"/>
        <w:spacing w:after="0"/>
        <w:rPr>
          <w:rFonts w:eastAsiaTheme="minorEastAsia"/>
          <w:sz w:val="18"/>
          <w:szCs w:val="18"/>
          <w:lang w:val="en-US" w:eastAsia="zh-CN"/>
        </w:rPr>
      </w:pPr>
    </w:p>
    <w:p w14:paraId="655C8521" w14:textId="154AEADF" w:rsidR="00EE20A3" w:rsidRP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The findings indicate that education and digital tools are closely connected in China’s soft power strategy. Education creates long-term intellectual and cultural relations, while digital tools make these relations broader, faster and more accessible. Online Chinese language courses, virtual cultural events, digital university platforms and academic webinars allow China to continue educational diplomacy in digital space. This is especially important when physical mobility is limited or when foreign audiences cannot directly participate in programs inside China. Thus, digital technologies do not replace traditional educational diplomacy, but strengthen and expand it.</w:t>
      </w:r>
    </w:p>
    <w:p w14:paraId="364F9A86" w14:textId="77777777" w:rsidR="00EE20A3" w:rsidRP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Universities and cultural institutions can use digital platforms to attract foreign students, promote scholarship programs, organize virtual lectures and maintain contact with alumni. Digital media can also spread information about Chinese universities, research opportunities, cultural events and academic cooperation. As a result, education provides content and institutional legitimacy, while digital tools provide speed, visibility and global reach. This interaction creates a more flexible model of soft power, where academic cooperation and digital communication work together. Such a model allows China to influence both physical and online spaces of international communication (Wang, 2011).</w:t>
      </w:r>
    </w:p>
    <w:p w14:paraId="605B0E2D" w14:textId="77777777" w:rsidR="007B73F0" w:rsidRDefault="007B73F0" w:rsidP="007B73F0">
      <w:pPr>
        <w:pStyle w:val="CETAuthors"/>
        <w:spacing w:after="0"/>
        <w:rPr>
          <w:rFonts w:eastAsiaTheme="minorEastAsia"/>
          <w:b/>
          <w:sz w:val="18"/>
          <w:szCs w:val="18"/>
          <w:lang w:val="en-US" w:eastAsia="zh-CN"/>
        </w:rPr>
      </w:pPr>
    </w:p>
    <w:p w14:paraId="27D3E90B" w14:textId="55CE247F" w:rsidR="00EE20A3" w:rsidRPr="00EE20A3" w:rsidRDefault="00EE20A3" w:rsidP="007B73F0">
      <w:pPr>
        <w:pStyle w:val="CETAuthors"/>
        <w:spacing w:after="0"/>
        <w:rPr>
          <w:rFonts w:eastAsiaTheme="minorEastAsia"/>
          <w:b/>
          <w:sz w:val="18"/>
          <w:szCs w:val="18"/>
          <w:lang w:val="en-US" w:eastAsia="zh-CN"/>
        </w:rPr>
      </w:pPr>
      <w:r w:rsidRPr="00EE20A3">
        <w:rPr>
          <w:rFonts w:eastAsiaTheme="minorEastAsia"/>
          <w:b/>
          <w:sz w:val="18"/>
          <w:szCs w:val="18"/>
          <w:lang w:val="en-US" w:eastAsia="zh-CN"/>
        </w:rPr>
        <w:t>3.4 Effectiveness and main achievements</w:t>
      </w:r>
    </w:p>
    <w:p w14:paraId="7848A0BA" w14:textId="77777777" w:rsidR="007B73F0" w:rsidRDefault="007B73F0" w:rsidP="007B73F0">
      <w:pPr>
        <w:pStyle w:val="CETAuthors"/>
        <w:spacing w:after="0"/>
        <w:rPr>
          <w:rFonts w:eastAsiaTheme="minorEastAsia"/>
          <w:sz w:val="18"/>
          <w:szCs w:val="18"/>
          <w:lang w:val="en-US" w:eastAsia="zh-CN"/>
        </w:rPr>
      </w:pPr>
    </w:p>
    <w:p w14:paraId="22DD9802" w14:textId="35722D82" w:rsidR="00EE20A3" w:rsidRP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The use of education and digital tools has helped China increase its international visibility and cultural presence. Chinese universities, scholarship programs and cultural institutions have contributed to the spread of Chinese language and culture in many regions. These instruments are especially important in developing countries and states connected with the Belt and Road Initiative, where China promotes academic cooperation, professional training and people-to-people exchange. Through these programs, China strengthens not only cultural links, but also political, economic and institutional cooperation. This shows that soft power can support broader strategic relations when it is connected with education and development.</w:t>
      </w:r>
    </w:p>
    <w:p w14:paraId="3E5830AF" w14:textId="4B53A7F9" w:rsid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Digital tools have also increased the speed and scale of China’s public diplomacy. Online education, digital media and virtual cultural programs make Chinese soft power more accessible to people who cannot study or travel in China. They also help China reach wider audiences and promote its image beyond traditional diplomatic networks. As a result, China can combine long-term educational influence with immediate digital communication. This creates a more integrated model of soft power, where academic cooperation, cultural promotion and online communication support each other (Kurlantzick, 2007).</w:t>
      </w:r>
    </w:p>
    <w:p w14:paraId="635FDAEA" w14:textId="77777777" w:rsidR="00F7389D" w:rsidRDefault="00F7389D" w:rsidP="007B73F0">
      <w:pPr>
        <w:pStyle w:val="CETAuthors"/>
        <w:spacing w:after="0"/>
        <w:rPr>
          <w:rFonts w:eastAsiaTheme="minorEastAsia"/>
          <w:sz w:val="18"/>
          <w:szCs w:val="18"/>
          <w:lang w:val="en-US" w:eastAsia="zh-CN"/>
        </w:rPr>
      </w:pPr>
    </w:p>
    <w:p w14:paraId="0A6849B2" w14:textId="0AE12759" w:rsidR="00746435" w:rsidRDefault="00F7389D" w:rsidP="007B73F0">
      <w:pPr>
        <w:pStyle w:val="CETAuthors"/>
        <w:spacing w:after="0"/>
        <w:rPr>
          <w:rFonts w:eastAsiaTheme="minorEastAsia"/>
          <w:sz w:val="18"/>
          <w:szCs w:val="18"/>
          <w:lang w:val="en-US" w:eastAsia="zh-CN"/>
        </w:rPr>
      </w:pPr>
      <w:r w:rsidRPr="00F7389D">
        <w:rPr>
          <w:rFonts w:eastAsiaTheme="minorEastAsia"/>
          <w:sz w:val="18"/>
          <w:szCs w:val="18"/>
          <w:lang w:val="en-US" w:eastAsia="zh-CN"/>
        </w:rPr>
        <w:t xml:space="preserve">Table </w:t>
      </w:r>
      <w:r>
        <w:rPr>
          <w:rFonts w:eastAsiaTheme="minorEastAsia"/>
          <w:sz w:val="18"/>
          <w:szCs w:val="18"/>
          <w:lang w:val="en-US" w:eastAsia="zh-CN"/>
        </w:rPr>
        <w:t>2</w:t>
      </w:r>
      <w:r w:rsidRPr="00F7389D">
        <w:rPr>
          <w:rFonts w:eastAsiaTheme="minorEastAsia"/>
          <w:sz w:val="18"/>
          <w:szCs w:val="18"/>
          <w:lang w:val="en-US" w:eastAsia="zh-CN"/>
        </w:rPr>
        <w:t>. Selected Indicators of China's Educational and Digital Soft Power</w:t>
      </w:r>
    </w:p>
    <w:tbl>
      <w:tblPr>
        <w:tblStyle w:val="afffb"/>
        <w:tblW w:w="0" w:type="auto"/>
        <w:tblLook w:val="04A0" w:firstRow="1" w:lastRow="0" w:firstColumn="1" w:lastColumn="0" w:noHBand="0" w:noVBand="1"/>
      </w:tblPr>
      <w:tblGrid>
        <w:gridCol w:w="3115"/>
        <w:gridCol w:w="3115"/>
        <w:gridCol w:w="3115"/>
      </w:tblGrid>
      <w:tr w:rsidR="00F7389D" w14:paraId="1AA752DE" w14:textId="77777777" w:rsidTr="00F7389D">
        <w:tc>
          <w:tcPr>
            <w:tcW w:w="3115" w:type="dxa"/>
          </w:tcPr>
          <w:p w14:paraId="65D72ED1" w14:textId="564EAAFC" w:rsidR="00F7389D" w:rsidRPr="00F7389D" w:rsidRDefault="00F7389D"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Indicator</w:t>
            </w:r>
          </w:p>
        </w:tc>
        <w:tc>
          <w:tcPr>
            <w:tcW w:w="3115" w:type="dxa"/>
          </w:tcPr>
          <w:p w14:paraId="0B2BEA9C" w14:textId="0C025ED8" w:rsidR="00F7389D" w:rsidRPr="00F7389D" w:rsidRDefault="00F7389D"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Value</w:t>
            </w:r>
          </w:p>
        </w:tc>
        <w:tc>
          <w:tcPr>
            <w:tcW w:w="3115" w:type="dxa"/>
          </w:tcPr>
          <w:p w14:paraId="2ED41E9E" w14:textId="4CEF6DDC" w:rsidR="00F7389D" w:rsidRPr="00F7389D" w:rsidRDefault="00F7389D"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Year</w:t>
            </w:r>
          </w:p>
        </w:tc>
      </w:tr>
      <w:tr w:rsidR="00F7389D" w14:paraId="20EFE69D" w14:textId="77777777" w:rsidTr="00F7389D">
        <w:tc>
          <w:tcPr>
            <w:tcW w:w="3115" w:type="dxa"/>
          </w:tcPr>
          <w:p w14:paraId="2022BC5B" w14:textId="7B389582" w:rsidR="00F7389D" w:rsidRPr="00F7389D" w:rsidRDefault="00F7389D"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International students in China</w:t>
            </w:r>
          </w:p>
        </w:tc>
        <w:tc>
          <w:tcPr>
            <w:tcW w:w="3115" w:type="dxa"/>
          </w:tcPr>
          <w:p w14:paraId="6FA0C141" w14:textId="6E3C3A00" w:rsidR="00F7389D" w:rsidRDefault="00F7389D" w:rsidP="00F7389D">
            <w:pPr>
              <w:pStyle w:val="CETAuthors"/>
              <w:spacing w:after="0"/>
              <w:jc w:val="center"/>
              <w:rPr>
                <w:rFonts w:eastAsiaTheme="minorEastAsia"/>
                <w:sz w:val="18"/>
                <w:szCs w:val="18"/>
                <w:lang w:val="en-US" w:eastAsia="zh-CN"/>
              </w:rPr>
            </w:pPr>
            <w:r w:rsidRPr="00F7389D">
              <w:rPr>
                <w:rFonts w:eastAsiaTheme="minorEastAsia"/>
                <w:sz w:val="18"/>
                <w:szCs w:val="18"/>
                <w:lang w:val="en-US" w:eastAsia="zh-CN"/>
              </w:rPr>
              <w:t>492,185</w:t>
            </w:r>
          </w:p>
        </w:tc>
        <w:tc>
          <w:tcPr>
            <w:tcW w:w="3115" w:type="dxa"/>
          </w:tcPr>
          <w:p w14:paraId="0522BE6C" w14:textId="60D9775C" w:rsidR="00F7389D" w:rsidRDefault="00F7389D" w:rsidP="00F7389D">
            <w:pPr>
              <w:pStyle w:val="CETAuthors"/>
              <w:spacing w:after="0"/>
              <w:jc w:val="center"/>
              <w:rPr>
                <w:rFonts w:eastAsiaTheme="minorEastAsia"/>
                <w:sz w:val="18"/>
                <w:szCs w:val="18"/>
                <w:lang w:val="en-US" w:eastAsia="zh-CN"/>
              </w:rPr>
            </w:pPr>
            <w:r>
              <w:rPr>
                <w:rFonts w:eastAsiaTheme="minorEastAsia"/>
                <w:sz w:val="18"/>
                <w:szCs w:val="18"/>
                <w:lang w:val="en-US" w:eastAsia="zh-CN"/>
              </w:rPr>
              <w:t>2018</w:t>
            </w:r>
          </w:p>
        </w:tc>
      </w:tr>
      <w:tr w:rsidR="00F7389D" w14:paraId="52FAF6F3" w14:textId="77777777" w:rsidTr="00F7389D">
        <w:tc>
          <w:tcPr>
            <w:tcW w:w="3115" w:type="dxa"/>
          </w:tcPr>
          <w:p w14:paraId="2E6EE369" w14:textId="0C768E6E" w:rsidR="00F7389D" w:rsidRPr="00F7389D" w:rsidRDefault="00F7389D"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Chinese Government Scholarship recipients</w:t>
            </w:r>
          </w:p>
        </w:tc>
        <w:tc>
          <w:tcPr>
            <w:tcW w:w="3115" w:type="dxa"/>
          </w:tcPr>
          <w:p w14:paraId="6F170CD5" w14:textId="06057421" w:rsidR="00F7389D" w:rsidRDefault="00F7389D" w:rsidP="00F7389D">
            <w:pPr>
              <w:pStyle w:val="CETAuthors"/>
              <w:spacing w:after="0"/>
              <w:jc w:val="center"/>
              <w:rPr>
                <w:rFonts w:eastAsiaTheme="minorEastAsia"/>
                <w:sz w:val="18"/>
                <w:szCs w:val="18"/>
                <w:lang w:val="en-US" w:eastAsia="zh-CN"/>
              </w:rPr>
            </w:pPr>
            <w:r w:rsidRPr="00F7389D">
              <w:rPr>
                <w:rFonts w:eastAsiaTheme="minorEastAsia"/>
                <w:sz w:val="18"/>
                <w:szCs w:val="18"/>
                <w:lang w:val="en-US" w:eastAsia="zh-CN"/>
              </w:rPr>
              <w:t>63,041</w:t>
            </w:r>
          </w:p>
        </w:tc>
        <w:tc>
          <w:tcPr>
            <w:tcW w:w="3115" w:type="dxa"/>
          </w:tcPr>
          <w:p w14:paraId="6254317A" w14:textId="38E1C76A" w:rsidR="00F7389D" w:rsidRDefault="00F7389D" w:rsidP="00F7389D">
            <w:pPr>
              <w:pStyle w:val="CETAuthors"/>
              <w:spacing w:after="0"/>
              <w:jc w:val="center"/>
              <w:rPr>
                <w:rFonts w:eastAsiaTheme="minorEastAsia"/>
                <w:sz w:val="18"/>
                <w:szCs w:val="18"/>
                <w:lang w:val="en-US" w:eastAsia="zh-CN"/>
              </w:rPr>
            </w:pPr>
            <w:r>
              <w:rPr>
                <w:rFonts w:eastAsiaTheme="minorEastAsia"/>
                <w:sz w:val="18"/>
                <w:szCs w:val="18"/>
                <w:lang w:val="en-US" w:eastAsia="zh-CN"/>
              </w:rPr>
              <w:t>2018</w:t>
            </w:r>
          </w:p>
        </w:tc>
      </w:tr>
      <w:tr w:rsidR="00F7389D" w14:paraId="58629802" w14:textId="77777777" w:rsidTr="00F7389D">
        <w:tc>
          <w:tcPr>
            <w:tcW w:w="3115" w:type="dxa"/>
          </w:tcPr>
          <w:p w14:paraId="00E0BC1F" w14:textId="13816035" w:rsidR="00F7389D" w:rsidRPr="00F7389D" w:rsidRDefault="00F7389D"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Sino-foreign cooperative education programs</w:t>
            </w:r>
          </w:p>
        </w:tc>
        <w:tc>
          <w:tcPr>
            <w:tcW w:w="3115" w:type="dxa"/>
          </w:tcPr>
          <w:p w14:paraId="489D9DB2" w14:textId="2C4FC055" w:rsidR="00F7389D" w:rsidRDefault="00F7389D" w:rsidP="00F7389D">
            <w:pPr>
              <w:pStyle w:val="CETAuthors"/>
              <w:spacing w:after="0"/>
              <w:jc w:val="center"/>
              <w:rPr>
                <w:rFonts w:eastAsiaTheme="minorEastAsia"/>
                <w:sz w:val="18"/>
                <w:szCs w:val="18"/>
                <w:lang w:val="en-US" w:eastAsia="zh-CN"/>
              </w:rPr>
            </w:pPr>
            <w:r w:rsidRPr="00F7389D">
              <w:rPr>
                <w:rFonts w:eastAsiaTheme="minorEastAsia"/>
                <w:sz w:val="18"/>
                <w:szCs w:val="18"/>
                <w:lang w:val="en-US" w:eastAsia="zh-CN"/>
              </w:rPr>
              <w:t>2,700+</w:t>
            </w:r>
          </w:p>
        </w:tc>
        <w:tc>
          <w:tcPr>
            <w:tcW w:w="3115" w:type="dxa"/>
          </w:tcPr>
          <w:p w14:paraId="61B7847D" w14:textId="0689927B" w:rsidR="00F7389D" w:rsidRDefault="00F7389D" w:rsidP="00F7389D">
            <w:pPr>
              <w:pStyle w:val="CETAuthors"/>
              <w:spacing w:after="0"/>
              <w:jc w:val="center"/>
              <w:rPr>
                <w:rFonts w:eastAsiaTheme="minorEastAsia"/>
                <w:sz w:val="18"/>
                <w:szCs w:val="18"/>
                <w:lang w:val="en-US" w:eastAsia="zh-CN"/>
              </w:rPr>
            </w:pPr>
            <w:r>
              <w:rPr>
                <w:rFonts w:eastAsiaTheme="minorEastAsia"/>
                <w:sz w:val="18"/>
                <w:szCs w:val="18"/>
                <w:lang w:val="en-US" w:eastAsia="zh-CN"/>
              </w:rPr>
              <w:t>2023</w:t>
            </w:r>
          </w:p>
        </w:tc>
      </w:tr>
      <w:tr w:rsidR="00F7389D" w14:paraId="4FC4D7B7" w14:textId="77777777" w:rsidTr="00F7389D">
        <w:tc>
          <w:tcPr>
            <w:tcW w:w="3115" w:type="dxa"/>
          </w:tcPr>
          <w:p w14:paraId="596E7472" w14:textId="45518BC2" w:rsidR="00F7389D" w:rsidRPr="00F7389D" w:rsidRDefault="00F7389D"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Belt and Road scholarships provided annually</w:t>
            </w:r>
          </w:p>
        </w:tc>
        <w:tc>
          <w:tcPr>
            <w:tcW w:w="3115" w:type="dxa"/>
          </w:tcPr>
          <w:p w14:paraId="7D760C95" w14:textId="2A92A83E" w:rsidR="00F7389D" w:rsidRDefault="00F7389D" w:rsidP="00F7389D">
            <w:pPr>
              <w:pStyle w:val="CETAuthors"/>
              <w:spacing w:after="0"/>
              <w:jc w:val="center"/>
              <w:rPr>
                <w:rFonts w:eastAsiaTheme="minorEastAsia"/>
                <w:sz w:val="18"/>
                <w:szCs w:val="18"/>
                <w:lang w:val="en-US" w:eastAsia="zh-CN"/>
              </w:rPr>
            </w:pPr>
            <w:r w:rsidRPr="00F7389D">
              <w:rPr>
                <w:rFonts w:eastAsiaTheme="minorEastAsia"/>
                <w:sz w:val="18"/>
                <w:szCs w:val="18"/>
                <w:lang w:val="en-US" w:eastAsia="zh-CN"/>
              </w:rPr>
              <w:t>10,000</w:t>
            </w:r>
          </w:p>
        </w:tc>
        <w:tc>
          <w:tcPr>
            <w:tcW w:w="3115" w:type="dxa"/>
          </w:tcPr>
          <w:p w14:paraId="34CDA1CC" w14:textId="2FA4A686" w:rsidR="00F7389D" w:rsidRDefault="00F7389D" w:rsidP="00F7389D">
            <w:pPr>
              <w:pStyle w:val="CETAuthors"/>
              <w:spacing w:after="0"/>
              <w:jc w:val="center"/>
              <w:rPr>
                <w:rFonts w:eastAsiaTheme="minorEastAsia"/>
                <w:sz w:val="18"/>
                <w:szCs w:val="18"/>
                <w:lang w:val="en-US" w:eastAsia="zh-CN"/>
              </w:rPr>
            </w:pPr>
            <w:r>
              <w:rPr>
                <w:rFonts w:eastAsiaTheme="minorEastAsia"/>
                <w:sz w:val="18"/>
                <w:szCs w:val="18"/>
                <w:lang w:val="en-US" w:eastAsia="zh-CN"/>
              </w:rPr>
              <w:t>Since 2016</w:t>
            </w:r>
          </w:p>
        </w:tc>
      </w:tr>
      <w:tr w:rsidR="00F7389D" w14:paraId="652EC337" w14:textId="77777777" w:rsidTr="00F7389D">
        <w:tc>
          <w:tcPr>
            <w:tcW w:w="3115" w:type="dxa"/>
          </w:tcPr>
          <w:p w14:paraId="4D9461B2" w14:textId="05E092BF" w:rsidR="00F7389D" w:rsidRPr="00F7389D" w:rsidRDefault="00F7389D"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Confucius Institutes worldwide</w:t>
            </w:r>
          </w:p>
        </w:tc>
        <w:tc>
          <w:tcPr>
            <w:tcW w:w="3115" w:type="dxa"/>
          </w:tcPr>
          <w:p w14:paraId="5074B7D0" w14:textId="00D85DE1" w:rsidR="00F7389D" w:rsidRDefault="00F7389D" w:rsidP="00F7389D">
            <w:pPr>
              <w:pStyle w:val="CETAuthors"/>
              <w:spacing w:after="0"/>
              <w:jc w:val="center"/>
              <w:rPr>
                <w:rFonts w:eastAsiaTheme="minorEastAsia"/>
                <w:sz w:val="18"/>
                <w:szCs w:val="18"/>
                <w:lang w:val="en-US" w:eastAsia="zh-CN"/>
              </w:rPr>
            </w:pPr>
            <w:r w:rsidRPr="00F7389D">
              <w:rPr>
                <w:rFonts w:eastAsiaTheme="minorEastAsia"/>
                <w:sz w:val="18"/>
                <w:szCs w:val="18"/>
                <w:lang w:val="en-US" w:eastAsia="zh-CN"/>
              </w:rPr>
              <w:t>541</w:t>
            </w:r>
          </w:p>
        </w:tc>
        <w:tc>
          <w:tcPr>
            <w:tcW w:w="3115" w:type="dxa"/>
          </w:tcPr>
          <w:p w14:paraId="28BC91B6" w14:textId="2BB6DFF8" w:rsidR="00F7389D" w:rsidRDefault="00F7389D" w:rsidP="00F7389D">
            <w:pPr>
              <w:pStyle w:val="CETAuthors"/>
              <w:spacing w:after="0"/>
              <w:jc w:val="center"/>
              <w:rPr>
                <w:rFonts w:eastAsiaTheme="minorEastAsia"/>
                <w:sz w:val="18"/>
                <w:szCs w:val="18"/>
                <w:lang w:val="en-US" w:eastAsia="zh-CN"/>
              </w:rPr>
            </w:pPr>
            <w:r>
              <w:rPr>
                <w:rFonts w:eastAsiaTheme="minorEastAsia"/>
                <w:sz w:val="18"/>
                <w:szCs w:val="18"/>
                <w:lang w:val="en-US" w:eastAsia="zh-CN"/>
              </w:rPr>
              <w:t>2020</w:t>
            </w:r>
          </w:p>
        </w:tc>
      </w:tr>
      <w:tr w:rsidR="00F7389D" w14:paraId="4372D7BF" w14:textId="77777777" w:rsidTr="00F7389D">
        <w:tc>
          <w:tcPr>
            <w:tcW w:w="3115" w:type="dxa"/>
          </w:tcPr>
          <w:p w14:paraId="4E03F57D" w14:textId="1979A7EF" w:rsidR="00F7389D" w:rsidRPr="00F7389D" w:rsidRDefault="00F7389D" w:rsidP="00F7389D">
            <w:pPr>
              <w:pStyle w:val="CETAuthors"/>
              <w:spacing w:after="0"/>
              <w:jc w:val="center"/>
              <w:rPr>
                <w:rFonts w:eastAsiaTheme="minorEastAsia"/>
                <w:b/>
                <w:sz w:val="18"/>
                <w:szCs w:val="18"/>
                <w:lang w:val="en-US" w:eastAsia="zh-CN"/>
              </w:rPr>
            </w:pPr>
            <w:r w:rsidRPr="00F7389D">
              <w:rPr>
                <w:rFonts w:eastAsiaTheme="minorEastAsia"/>
                <w:b/>
                <w:sz w:val="18"/>
                <w:szCs w:val="18"/>
                <w:lang w:val="en-US" w:eastAsia="zh-CN"/>
              </w:rPr>
              <w:t>Confucius Classrooms worldwide</w:t>
            </w:r>
          </w:p>
        </w:tc>
        <w:tc>
          <w:tcPr>
            <w:tcW w:w="3115" w:type="dxa"/>
          </w:tcPr>
          <w:p w14:paraId="08ED9474" w14:textId="28BDBAA3" w:rsidR="00F7389D" w:rsidRDefault="00F7389D" w:rsidP="00F7389D">
            <w:pPr>
              <w:pStyle w:val="CETAuthors"/>
              <w:spacing w:after="0"/>
              <w:jc w:val="center"/>
              <w:rPr>
                <w:rFonts w:eastAsiaTheme="minorEastAsia"/>
                <w:sz w:val="18"/>
                <w:szCs w:val="18"/>
                <w:lang w:val="en-US" w:eastAsia="zh-CN"/>
              </w:rPr>
            </w:pPr>
            <w:r w:rsidRPr="00F7389D">
              <w:rPr>
                <w:rFonts w:eastAsiaTheme="minorEastAsia"/>
                <w:sz w:val="18"/>
                <w:szCs w:val="18"/>
                <w:lang w:val="en-US" w:eastAsia="zh-CN"/>
              </w:rPr>
              <w:t>1,170</w:t>
            </w:r>
          </w:p>
        </w:tc>
        <w:tc>
          <w:tcPr>
            <w:tcW w:w="3115" w:type="dxa"/>
          </w:tcPr>
          <w:p w14:paraId="1D64EA07" w14:textId="2BAEC12A" w:rsidR="00F7389D" w:rsidRDefault="00F7389D" w:rsidP="00F7389D">
            <w:pPr>
              <w:pStyle w:val="CETAuthors"/>
              <w:spacing w:after="0"/>
              <w:jc w:val="center"/>
              <w:rPr>
                <w:rFonts w:eastAsiaTheme="minorEastAsia"/>
                <w:sz w:val="18"/>
                <w:szCs w:val="18"/>
                <w:lang w:val="en-US" w:eastAsia="zh-CN"/>
              </w:rPr>
            </w:pPr>
            <w:r>
              <w:rPr>
                <w:rFonts w:eastAsiaTheme="minorEastAsia"/>
                <w:sz w:val="18"/>
                <w:szCs w:val="18"/>
                <w:lang w:val="en-US" w:eastAsia="zh-CN"/>
              </w:rPr>
              <w:t>2020</w:t>
            </w:r>
          </w:p>
        </w:tc>
      </w:tr>
    </w:tbl>
    <w:p w14:paraId="721E5F78" w14:textId="1C608449" w:rsidR="00746435" w:rsidRDefault="00F7389D" w:rsidP="007B73F0">
      <w:pPr>
        <w:pStyle w:val="CETAuthors"/>
        <w:spacing w:after="0"/>
        <w:rPr>
          <w:rFonts w:eastAsiaTheme="minorEastAsia"/>
          <w:sz w:val="18"/>
          <w:szCs w:val="18"/>
          <w:lang w:val="en-US" w:eastAsia="zh-CN"/>
        </w:rPr>
      </w:pPr>
      <w:r w:rsidRPr="00F7389D">
        <w:rPr>
          <w:rFonts w:eastAsiaTheme="minorEastAsia"/>
          <w:sz w:val="18"/>
          <w:szCs w:val="18"/>
          <w:lang w:val="en-US" w:eastAsia="zh-CN"/>
        </w:rPr>
        <w:t>https://doi.org/10.3389/fsoc.2022.793018</w:t>
      </w:r>
    </w:p>
    <w:p w14:paraId="4AA09FA0" w14:textId="77777777" w:rsidR="007B73F0" w:rsidRDefault="007B73F0" w:rsidP="007B73F0">
      <w:pPr>
        <w:pStyle w:val="CETAuthors"/>
        <w:spacing w:after="0"/>
        <w:rPr>
          <w:rFonts w:eastAsiaTheme="minorEastAsia"/>
          <w:b/>
          <w:sz w:val="18"/>
          <w:szCs w:val="18"/>
          <w:lang w:val="en-US" w:eastAsia="zh-CN"/>
        </w:rPr>
      </w:pPr>
    </w:p>
    <w:p w14:paraId="22755AB3" w14:textId="6127B03B" w:rsidR="00EE20A3" w:rsidRPr="00EE20A3" w:rsidRDefault="00EE20A3" w:rsidP="007B73F0">
      <w:pPr>
        <w:pStyle w:val="CETAuthors"/>
        <w:spacing w:after="0"/>
        <w:rPr>
          <w:rFonts w:eastAsiaTheme="minorEastAsia"/>
          <w:b/>
          <w:sz w:val="18"/>
          <w:szCs w:val="18"/>
          <w:lang w:val="en-US" w:eastAsia="zh-CN"/>
        </w:rPr>
      </w:pPr>
      <w:r w:rsidRPr="00EE20A3">
        <w:rPr>
          <w:rFonts w:eastAsiaTheme="minorEastAsia"/>
          <w:b/>
          <w:sz w:val="18"/>
          <w:szCs w:val="18"/>
          <w:lang w:val="en-US" w:eastAsia="zh-CN"/>
        </w:rPr>
        <w:t>3.5 Challenges and limitations</w:t>
      </w:r>
    </w:p>
    <w:p w14:paraId="3C30C13E" w14:textId="77777777" w:rsidR="007B73F0" w:rsidRDefault="007B73F0" w:rsidP="007B73F0">
      <w:pPr>
        <w:pStyle w:val="CETAuthors"/>
        <w:spacing w:after="0"/>
        <w:rPr>
          <w:rFonts w:eastAsiaTheme="minorEastAsia"/>
          <w:sz w:val="18"/>
          <w:szCs w:val="18"/>
          <w:lang w:val="en-US" w:eastAsia="zh-CN"/>
        </w:rPr>
      </w:pPr>
      <w:bookmarkStart w:id="1" w:name="_GoBack"/>
      <w:bookmarkEnd w:id="1"/>
    </w:p>
    <w:p w14:paraId="33030457" w14:textId="453F5FEB" w:rsid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 xml:space="preserve">Despite these achievements, China’s soft power strategy faces several limitations. The first major challenge is the issue of trust, because in some countries Chinese educational and digital initiatives are viewed as closely connected with the state. This can reduce the attractiveness of Chinese soft power, especially when foreign audiences associate it with political messaging rather than open cultural exchange. Some cultural and educational programs may be interpreted </w:t>
      </w:r>
      <w:r w:rsidRPr="00EE20A3">
        <w:rPr>
          <w:rFonts w:eastAsiaTheme="minorEastAsia"/>
          <w:sz w:val="18"/>
          <w:szCs w:val="18"/>
          <w:lang w:val="en-US" w:eastAsia="zh-CN"/>
        </w:rPr>
        <w:lastRenderedPageBreak/>
        <w:t>not only as cooperation, but also as instruments of influence. Therefore, the perception of China’s soft power differs depending on political context, media environment and relations with China.</w:t>
      </w:r>
    </w:p>
    <w:p w14:paraId="2B4F97A9" w14:textId="77777777" w:rsidR="00746435" w:rsidRPr="00EE20A3" w:rsidRDefault="00746435" w:rsidP="007B73F0">
      <w:pPr>
        <w:pStyle w:val="CETAuthors"/>
        <w:spacing w:after="0"/>
        <w:rPr>
          <w:rFonts w:eastAsiaTheme="minorEastAsia"/>
          <w:sz w:val="18"/>
          <w:szCs w:val="18"/>
          <w:lang w:val="en-US" w:eastAsia="zh-CN"/>
        </w:rPr>
      </w:pPr>
    </w:p>
    <w:p w14:paraId="6CD85FD8" w14:textId="0C84195E" w:rsidR="00775586"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Another limitation is criticism of Chinese cultural institutions and state-supported media. Some observers argue that these institutions may promote selective narratives and avoid politically sensitive topics. Digital diplomacy also faces credibility problems, because online audiences may question the neutrality of state-supported content. Geopolitical tensions, competition with Western countries and concerns about digital security also influence how China’s soft power is perceived abroad. Therefore, the success of China’s education and digital diplomacy depends not only on the number of programs and platforms, but also on openness, credibility and genuine attraction (Edney, 2012).</w:t>
      </w:r>
    </w:p>
    <w:p w14:paraId="764D35F7" w14:textId="77777777" w:rsidR="007B73F0" w:rsidRDefault="007B73F0" w:rsidP="007B73F0">
      <w:pPr>
        <w:pStyle w:val="CETAuthors"/>
        <w:spacing w:after="0"/>
        <w:rPr>
          <w:rFonts w:eastAsiaTheme="minorEastAsia"/>
          <w:b/>
          <w:sz w:val="18"/>
          <w:szCs w:val="18"/>
          <w:lang w:val="en-US" w:eastAsia="zh-CN"/>
        </w:rPr>
      </w:pPr>
    </w:p>
    <w:p w14:paraId="0CA1D082" w14:textId="08FD3E57" w:rsidR="00EE20A3" w:rsidRDefault="00EE20A3" w:rsidP="007B73F0">
      <w:pPr>
        <w:pStyle w:val="CETAuthors"/>
        <w:spacing w:after="0"/>
        <w:rPr>
          <w:rFonts w:eastAsiaTheme="minorEastAsia"/>
          <w:b/>
          <w:sz w:val="18"/>
          <w:szCs w:val="18"/>
          <w:lang w:val="en-US" w:eastAsia="zh-CN"/>
        </w:rPr>
      </w:pPr>
      <w:r w:rsidRPr="00EE20A3">
        <w:rPr>
          <w:rFonts w:eastAsiaTheme="minorEastAsia"/>
          <w:b/>
          <w:sz w:val="18"/>
          <w:szCs w:val="18"/>
          <w:lang w:val="en-US" w:eastAsia="zh-CN"/>
        </w:rPr>
        <w:t>4.Conclusions</w:t>
      </w:r>
    </w:p>
    <w:p w14:paraId="2DA0B2EF" w14:textId="77777777" w:rsidR="007B73F0" w:rsidRDefault="007B73F0" w:rsidP="007B73F0">
      <w:pPr>
        <w:pStyle w:val="CETAuthors"/>
        <w:spacing w:after="0"/>
        <w:rPr>
          <w:rFonts w:eastAsiaTheme="minorEastAsia"/>
          <w:sz w:val="18"/>
          <w:szCs w:val="18"/>
          <w:lang w:val="en-US" w:eastAsia="zh-CN"/>
        </w:rPr>
      </w:pPr>
    </w:p>
    <w:p w14:paraId="63850ADA" w14:textId="0A099B8A" w:rsidR="00EE20A3" w:rsidRP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Education and digital tools have become significant and interconnected instruments in China’s contemporary soft power strategy. The analysis demonstrates that China uses educational cooperation not only as a form of academic exchange, but also as a long-term mechanism for building cultural familiarity, institutional trust and positive perceptions among foreign audiences. Scholarships, university partnerships, academic mobility, Chinese language promotion and Confucius Institutes contribute to the formation of stable people-to-people relations between China and other countries. These instruments are especially important because education creates direct personal experience, which can influence how foreign students, researchers and professionals understand China’s culture, society and development model.</w:t>
      </w:r>
    </w:p>
    <w:p w14:paraId="139017DE" w14:textId="77777777" w:rsidR="00EE20A3" w:rsidRP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The digital dimension has expanded the scope and intensity of China’s soft power practices. Digital media, online platforms, virtual education, social networks and official communication channels enable China to reach international audiences more rapidly and on a broader scale. These tools allow China to promote cultural narratives, explain foreign policy initiatives, present technological achievements and maintain communication with foreign publics beyond traditional diplomatic institutions. In this sense, digital diplomacy increases the visibility of China’s international image and strengthens its capacity to participate in global information flows.</w:t>
      </w:r>
    </w:p>
    <w:p w14:paraId="36247F1C" w14:textId="77777777" w:rsidR="00EE20A3" w:rsidRP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The combination of education and digital tools shows that China’s soft power strategy is becoming more complex and multidimensional. Educational initiatives create long-term human, academic and cultural networks, while digital instruments provide speed, accessibility and wider dissemination of messages. Together, they form a complementary system in which universities, cultural institutions, online media and digital learning platforms support each other. This interaction is particularly relevant in the context of globalization, where influence is shaped not only through physical presence, but also through digital communication and transnational knowledge networks.</w:t>
      </w:r>
    </w:p>
    <w:p w14:paraId="299D23DD" w14:textId="4A7BDCF1" w:rsidR="00EE20A3" w:rsidRPr="00EE20A3" w:rsidRDefault="00EE20A3" w:rsidP="007B73F0">
      <w:pPr>
        <w:pStyle w:val="CETAuthors"/>
        <w:spacing w:after="0"/>
        <w:rPr>
          <w:rFonts w:eastAsiaTheme="minorEastAsia"/>
          <w:sz w:val="18"/>
          <w:szCs w:val="18"/>
          <w:lang w:val="en-US" w:eastAsia="zh-CN"/>
        </w:rPr>
      </w:pPr>
      <w:r w:rsidRPr="00EE20A3">
        <w:rPr>
          <w:rFonts w:eastAsiaTheme="minorEastAsia"/>
          <w:sz w:val="18"/>
          <w:szCs w:val="18"/>
          <w:lang w:val="en-US" w:eastAsia="zh-CN"/>
        </w:rPr>
        <w:t>At the same time, the findings indicate that the effectiveness of China’s soft power is not automatic. The expansion of educational programs and digital platforms does not necessarily produce attraction if foreign audiences perceive these initiatives as overly state-centered or politically motivated. Concerns about propaganda, academic freedom, digital credibility, data security and geopolitical competition continue to limit the acceptance of China’s soft power in some regions. Therefore, the main challenge for China is not only to increase the number of its educational and digital initiatives, but also to strengthen their credibility, openness and capacity for genuine intercultural dialogue.</w:t>
      </w:r>
    </w:p>
    <w:p w14:paraId="521B1518" w14:textId="6B83FDDB" w:rsidR="00F7389D" w:rsidRDefault="00EE20A3" w:rsidP="00F7389D">
      <w:pPr>
        <w:rPr>
          <w:rFonts w:eastAsiaTheme="minorEastAsia"/>
          <w:b/>
          <w:lang w:val="en-US" w:eastAsia="zh-CN"/>
        </w:rPr>
      </w:pPr>
      <w:r w:rsidRPr="00EE20A3">
        <w:rPr>
          <w:rFonts w:eastAsiaTheme="minorEastAsia"/>
          <w:lang w:val="en-US" w:eastAsia="zh-CN"/>
        </w:rPr>
        <w:t>Overall, education and digital tools play an important role in strengthening China’s international presence and promoting its national image. They provide China with channels for cultural communication, academic cooperation, public diplomacy and international image-building. However, their long-term success depends on</w:t>
      </w:r>
      <w:r w:rsidR="00CC2031">
        <w:rPr>
          <w:rFonts w:eastAsiaTheme="minorEastAsia"/>
          <w:lang w:val="en-US" w:eastAsia="zh-CN"/>
        </w:rPr>
        <w:t xml:space="preserve"> </w:t>
      </w:r>
      <w:r w:rsidRPr="00EE20A3">
        <w:rPr>
          <w:rFonts w:eastAsiaTheme="minorEastAsia"/>
          <w:lang w:val="en-US" w:eastAsia="zh-CN"/>
        </w:rPr>
        <w:t>the extent to which they can</w:t>
      </w:r>
      <w:r w:rsidR="00F7389D">
        <w:rPr>
          <w:rFonts w:eastAsiaTheme="minorEastAsia"/>
          <w:lang w:val="en-US" w:eastAsia="zh-CN"/>
        </w:rPr>
        <w:t xml:space="preserve"> </w:t>
      </w:r>
      <w:r w:rsidRPr="00EE20A3">
        <w:rPr>
          <w:rFonts w:eastAsiaTheme="minorEastAsia"/>
          <w:lang w:val="en-US" w:eastAsia="zh-CN"/>
        </w:rPr>
        <w:t>generate voluntary attraction, mutual understanding and trust among foreign audiences. For this reason, China’s soft power should be understood not simply as institutional expansion, but</w:t>
      </w:r>
      <w:r w:rsidR="00712EBE">
        <w:rPr>
          <w:rFonts w:eastAsiaTheme="minorEastAsia"/>
          <w:lang w:val="en-US" w:eastAsia="zh-CN"/>
        </w:rPr>
        <w:t> </w:t>
      </w:r>
      <w:r w:rsidRPr="00EE20A3">
        <w:rPr>
          <w:rFonts w:eastAsiaTheme="minorEastAsia"/>
          <w:lang w:val="en-US" w:eastAsia="zh-CN"/>
        </w:rPr>
        <w:t>as a process that requires credibility, responsiveness and the ability to engage with diverse international perceptions.</w:t>
      </w:r>
    </w:p>
    <w:p w14:paraId="49C30452" w14:textId="1723C3CC" w:rsidR="00EE20A3" w:rsidRDefault="00EE20A3" w:rsidP="00F7389D">
      <w:pPr>
        <w:pStyle w:val="CETAuthors"/>
        <w:spacing w:after="0"/>
        <w:rPr>
          <w:rFonts w:eastAsiaTheme="minorEastAsia"/>
          <w:b/>
          <w:sz w:val="18"/>
          <w:szCs w:val="18"/>
          <w:lang w:val="en-US" w:eastAsia="zh-CN"/>
        </w:rPr>
      </w:pPr>
      <w:r w:rsidRPr="00EE20A3">
        <w:rPr>
          <w:rFonts w:eastAsiaTheme="minorEastAsia"/>
          <w:b/>
          <w:sz w:val="18"/>
          <w:szCs w:val="18"/>
          <w:lang w:val="en-US" w:eastAsia="zh-CN"/>
        </w:rPr>
        <w:lastRenderedPageBreak/>
        <w:t>References</w:t>
      </w:r>
    </w:p>
    <w:p w14:paraId="1B6A23F2"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Nye J.S., 2004, Soft Power: The Means to Success in World Politics, PublicAffairs, New York.</w:t>
      </w:r>
    </w:p>
    <w:p w14:paraId="42D2806F"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Nye J.S., 1990, Soft power, Foreign Policy 80, 153–171.</w:t>
      </w:r>
    </w:p>
    <w:p w14:paraId="3789EB51"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d’Hooghe I., 2015, China’s Public Diplomacy, Brill Nijhoff, Leiden.</w:t>
      </w:r>
    </w:p>
    <w:p w14:paraId="67FDB6DA"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Hartig F., 2016, Chinese Public Diplomacy: The Rise of the Confucius Institute, Routledge, London.</w:t>
      </w:r>
    </w:p>
    <w:p w14:paraId="7F6B1975"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Pan S.Y., 2013, Confucius Institute project: China’s cultural diplomacy and soft power projection, Asian Education and Development Studies 2(1), 22–33.</w:t>
      </w:r>
    </w:p>
    <w:p w14:paraId="43148264"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Kurlantzick J., 2007, Charm Offensive: How China’s Soft Power Is Transforming the World, Yale University Press, New Haven.</w:t>
      </w:r>
    </w:p>
    <w:p w14:paraId="648C21D5"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Edney K., 2012, Soft power and the Chinese propaganda system, Journal of Contemporary China 21(78), 899–914.</w:t>
      </w:r>
    </w:p>
    <w:p w14:paraId="27C56FD1"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Gill B., Huang Y., 2006, Sources and limits of Chinese “soft power”, Survival 48(2), 17–36.</w:t>
      </w:r>
    </w:p>
    <w:p w14:paraId="5233A90D"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Li M., 2009, Soft power in Chinese discourse: Popularity and prospect, The Pacific Review 22(1), 1–21.</w:t>
      </w:r>
    </w:p>
    <w:p w14:paraId="6AF646C1"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Rawnsley G.D., 2015, To know us is to love us: Public diplomacy and international broadcasting in contemporary Russia and China, Politics 35(3–4), 273–286.</w:t>
      </w:r>
    </w:p>
    <w:p w14:paraId="3516D8D6"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Bjola C., Holmes M., 2015, Digital Diplomacy: Theory and Practice, Routledge, London.</w:t>
      </w:r>
    </w:p>
    <w:p w14:paraId="56686336"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Manor I., 2019, The Digitalization of Public Diplomacy, Palgrave Macmillan, Cham.</w:t>
      </w:r>
    </w:p>
    <w:p w14:paraId="52EE894A"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Yang R., 2015, China’s soft power projection in higher education, International Higher Education 46, 24–25.</w:t>
      </w:r>
    </w:p>
    <w:p w14:paraId="6F53D29A"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King K., 2013, China’s Aid and Soft Power in Africa: The Case of Education and Training, James Currey, Woodbridge.</w:t>
      </w:r>
    </w:p>
    <w:p w14:paraId="488D05BF"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Paradise J.F., 2009, China and international harmony: The role of Confucius Institutes in bolstering Beijing’s soft power, Asian Survey 49(4), 647–669.</w:t>
      </w:r>
    </w:p>
    <w:p w14:paraId="65223A7D" w14:textId="77777777"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Bowen G.A., 2009, Document analysis as a qualitative research method, Qualitative Research Journal 9(2), 27–40.</w:t>
      </w:r>
    </w:p>
    <w:p w14:paraId="646CCC3C" w14:textId="4D5632A8" w:rsidR="00EE20A3" w:rsidRPr="00EE20A3" w:rsidRDefault="00EE20A3" w:rsidP="00EE20A3">
      <w:pPr>
        <w:pStyle w:val="CETAuthors"/>
        <w:rPr>
          <w:rFonts w:eastAsiaTheme="minorEastAsia"/>
          <w:sz w:val="18"/>
          <w:szCs w:val="18"/>
          <w:lang w:val="en-US" w:eastAsia="zh-CN"/>
        </w:rPr>
      </w:pPr>
      <w:r w:rsidRPr="00EE20A3">
        <w:rPr>
          <w:rFonts w:eastAsiaTheme="minorEastAsia"/>
          <w:sz w:val="18"/>
          <w:szCs w:val="18"/>
          <w:lang w:val="en-US" w:eastAsia="zh-CN"/>
        </w:rPr>
        <w:t>Shambaugh D., 2013, China Goes Global: The Partial Power, Oxford University Press, Oxford.</w:t>
      </w:r>
    </w:p>
    <w:sectPr w:rsidR="00EE20A3" w:rsidRPr="00EE20A3" w:rsidSect="00CC2031">
      <w:type w:val="continuous"/>
      <w:pgSz w:w="11906" w:h="16838" w:code="9"/>
      <w:pgMar w:top="1134" w:right="850" w:bottom="1134"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B84C3" w14:textId="77777777" w:rsidR="008432FE" w:rsidRDefault="008432FE" w:rsidP="004F5E36">
      <w:r>
        <w:separator/>
      </w:r>
    </w:p>
  </w:endnote>
  <w:endnote w:type="continuationSeparator" w:id="0">
    <w:p w14:paraId="0083F7E0" w14:textId="77777777" w:rsidR="008432FE" w:rsidRDefault="008432F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9418B" w14:textId="77777777" w:rsidR="008432FE" w:rsidRDefault="008432FE" w:rsidP="004F5E36">
      <w:r>
        <w:separator/>
      </w:r>
    </w:p>
  </w:footnote>
  <w:footnote w:type="continuationSeparator" w:id="0">
    <w:p w14:paraId="53BD0ACA" w14:textId="77777777" w:rsidR="008432FE" w:rsidRDefault="008432F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071F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37D5"/>
    <w:rsid w:val="002447EF"/>
    <w:rsid w:val="00251550"/>
    <w:rsid w:val="00263B05"/>
    <w:rsid w:val="0027221A"/>
    <w:rsid w:val="00275B61"/>
    <w:rsid w:val="002771D5"/>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536EB"/>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2EBE"/>
    <w:rsid w:val="00713973"/>
    <w:rsid w:val="00720A24"/>
    <w:rsid w:val="00732386"/>
    <w:rsid w:val="0073514D"/>
    <w:rsid w:val="007447F3"/>
    <w:rsid w:val="00746435"/>
    <w:rsid w:val="0075499F"/>
    <w:rsid w:val="007617CC"/>
    <w:rsid w:val="00765DF0"/>
    <w:rsid w:val="007661C8"/>
    <w:rsid w:val="0077098D"/>
    <w:rsid w:val="00775586"/>
    <w:rsid w:val="00785BF9"/>
    <w:rsid w:val="007931FA"/>
    <w:rsid w:val="007A4861"/>
    <w:rsid w:val="007A7BBA"/>
    <w:rsid w:val="007B0C50"/>
    <w:rsid w:val="007B48F9"/>
    <w:rsid w:val="007B73F0"/>
    <w:rsid w:val="007C1A43"/>
    <w:rsid w:val="007D0951"/>
    <w:rsid w:val="007F27C8"/>
    <w:rsid w:val="0080013E"/>
    <w:rsid w:val="00813288"/>
    <w:rsid w:val="008168FC"/>
    <w:rsid w:val="00830996"/>
    <w:rsid w:val="008314D7"/>
    <w:rsid w:val="008345F1"/>
    <w:rsid w:val="008432FE"/>
    <w:rsid w:val="00865B07"/>
    <w:rsid w:val="008667EA"/>
    <w:rsid w:val="0087637F"/>
    <w:rsid w:val="00892AD5"/>
    <w:rsid w:val="008A1512"/>
    <w:rsid w:val="008D0BD5"/>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1D17"/>
    <w:rsid w:val="00954090"/>
    <w:rsid w:val="009573E7"/>
    <w:rsid w:val="00963E05"/>
    <w:rsid w:val="00964A45"/>
    <w:rsid w:val="00967843"/>
    <w:rsid w:val="00967D54"/>
    <w:rsid w:val="00971028"/>
    <w:rsid w:val="00993B84"/>
    <w:rsid w:val="00996483"/>
    <w:rsid w:val="00996E50"/>
    <w:rsid w:val="00996F5A"/>
    <w:rsid w:val="009B041A"/>
    <w:rsid w:val="009C37C3"/>
    <w:rsid w:val="009C7C86"/>
    <w:rsid w:val="009D2FF7"/>
    <w:rsid w:val="009E7884"/>
    <w:rsid w:val="009E788A"/>
    <w:rsid w:val="009F0E08"/>
    <w:rsid w:val="00A079AE"/>
    <w:rsid w:val="00A1763D"/>
    <w:rsid w:val="00A17CEC"/>
    <w:rsid w:val="00A26CBB"/>
    <w:rsid w:val="00A27EF0"/>
    <w:rsid w:val="00A316B8"/>
    <w:rsid w:val="00A42361"/>
    <w:rsid w:val="00A4691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040F"/>
    <w:rsid w:val="00B17FBD"/>
    <w:rsid w:val="00B315A6"/>
    <w:rsid w:val="00B31813"/>
    <w:rsid w:val="00B33365"/>
    <w:rsid w:val="00B57B36"/>
    <w:rsid w:val="00B57E6F"/>
    <w:rsid w:val="00B8686D"/>
    <w:rsid w:val="00B93F69"/>
    <w:rsid w:val="00BB1DDC"/>
    <w:rsid w:val="00BC30C9"/>
    <w:rsid w:val="00BD077D"/>
    <w:rsid w:val="00BE3E58"/>
    <w:rsid w:val="00BF7481"/>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2031"/>
    <w:rsid w:val="00CC4C20"/>
    <w:rsid w:val="00CD3517"/>
    <w:rsid w:val="00CD5FE2"/>
    <w:rsid w:val="00CE7C68"/>
    <w:rsid w:val="00D02B4C"/>
    <w:rsid w:val="00D040C4"/>
    <w:rsid w:val="00D20AD1"/>
    <w:rsid w:val="00D2582C"/>
    <w:rsid w:val="00D33A85"/>
    <w:rsid w:val="00D46B7E"/>
    <w:rsid w:val="00D47497"/>
    <w:rsid w:val="00D57C84"/>
    <w:rsid w:val="00D6057D"/>
    <w:rsid w:val="00D71640"/>
    <w:rsid w:val="00D836C5"/>
    <w:rsid w:val="00D84576"/>
    <w:rsid w:val="00DA1399"/>
    <w:rsid w:val="00DA24C6"/>
    <w:rsid w:val="00DA4D7B"/>
    <w:rsid w:val="00DB2DBD"/>
    <w:rsid w:val="00DD271C"/>
    <w:rsid w:val="00DE264A"/>
    <w:rsid w:val="00DF5072"/>
    <w:rsid w:val="00E02D18"/>
    <w:rsid w:val="00E041E7"/>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C66E8"/>
    <w:rsid w:val="00EE0131"/>
    <w:rsid w:val="00EE17B0"/>
    <w:rsid w:val="00EE20A3"/>
    <w:rsid w:val="00EF06D9"/>
    <w:rsid w:val="00EF0982"/>
    <w:rsid w:val="00F126A5"/>
    <w:rsid w:val="00F3049E"/>
    <w:rsid w:val="00F30C64"/>
    <w:rsid w:val="00F32BA2"/>
    <w:rsid w:val="00F32CDB"/>
    <w:rsid w:val="00F3348F"/>
    <w:rsid w:val="00F37280"/>
    <w:rsid w:val="00F41EE4"/>
    <w:rsid w:val="00F565FE"/>
    <w:rsid w:val="00F63A70"/>
    <w:rsid w:val="00F63D8C"/>
    <w:rsid w:val="00F7389D"/>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535A7-7553-43F8-BB71-AE19A696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TotalTime>
  <Pages>6</Pages>
  <Words>3784</Words>
  <Characters>21572</Characters>
  <Application>Microsoft Office Word</Application>
  <DocSecurity>0</DocSecurity>
  <Lines>179</Lines>
  <Paragraphs>50</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 </cp:lastModifiedBy>
  <cp:revision>8</cp:revision>
  <cp:lastPrinted>2015-05-12T18:31:00Z</cp:lastPrinted>
  <dcterms:created xsi:type="dcterms:W3CDTF">2026-07-09T13:58:00Z</dcterms:created>
  <dcterms:modified xsi:type="dcterms:W3CDTF">2026-08-13T03:53:00Z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