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731D732F" w14:textId="53EE8ED1" w:rsidR="005823C2" w:rsidRPr="005823C2" w:rsidRDefault="005823C2" w:rsidP="005823C2">
      <w:pPr>
        <w:pStyle w:val="CETTitle"/>
        <w:rPr>
          <w:b/>
          <w:bCs/>
          <w:iCs/>
          <w:lang w:val="en-US"/>
        </w:rPr>
      </w:pPr>
      <w:r w:rsidRPr="005823C2">
        <w:rPr>
          <w:bCs/>
          <w:iCs/>
          <w:lang w:val="en-US"/>
        </w:rPr>
        <w:t>Intelligent Control of Diesel Fuel Hydrotreating under Nonlinear and Uncertain Operating Conditions</w:t>
      </w:r>
    </w:p>
    <w:p w14:paraId="0488FED2" w14:textId="3F566CA5" w:rsidR="00B57E6F" w:rsidRPr="00B57B36" w:rsidRDefault="005823C2" w:rsidP="00B57E6F">
      <w:pPr>
        <w:pStyle w:val="CETAuthors"/>
      </w:pPr>
      <w:r w:rsidRPr="005823C2">
        <w:rPr>
          <w:iCs/>
          <w:lang w:val="en-US"/>
        </w:rPr>
        <w:t>Charos Daniyarova</w:t>
      </w:r>
      <w:r w:rsidR="00B57E6F" w:rsidRPr="00B57B36">
        <w:rPr>
          <w:vertAlign w:val="superscript"/>
        </w:rPr>
        <w:t>a</w:t>
      </w:r>
      <w:r w:rsidRPr="00B57B36">
        <w:rPr>
          <w:vertAlign w:val="superscript"/>
        </w:rPr>
        <w:t>,</w:t>
      </w:r>
      <w:r>
        <w:t>*</w:t>
      </w:r>
      <w:r w:rsidR="00B57E6F" w:rsidRPr="00B57B36">
        <w:t xml:space="preserve">, </w:t>
      </w:r>
      <w:r w:rsidRPr="005823C2">
        <w:rPr>
          <w:iCs/>
          <w:lang w:val="en-US"/>
        </w:rPr>
        <w:t>Noil</w:t>
      </w:r>
      <w:r>
        <w:rPr>
          <w:iCs/>
          <w:lang w:val="en-US"/>
        </w:rPr>
        <w:t>a</w:t>
      </w:r>
      <w:r w:rsidRPr="005823C2">
        <w:rPr>
          <w:iCs/>
          <w:lang w:val="en-US"/>
        </w:rPr>
        <w:t>khon Yakubova</w:t>
      </w:r>
      <w:r>
        <w:rPr>
          <w:vertAlign w:val="superscript"/>
        </w:rPr>
        <w:t>b</w:t>
      </w:r>
      <w:r w:rsidR="00B57E6F" w:rsidRPr="00B57B36">
        <w:t>,</w:t>
      </w:r>
      <w:r w:rsidRPr="005823C2">
        <w:rPr>
          <w:rFonts w:asciiTheme="minorHAnsi" w:eastAsiaTheme="minorHAnsi" w:hAnsiTheme="minorHAnsi" w:cstheme="minorBidi"/>
          <w:i/>
          <w:iCs/>
          <w:noProof w:val="0"/>
          <w:sz w:val="22"/>
          <w:szCs w:val="22"/>
          <w:lang w:val="en-US"/>
        </w:rPr>
        <w:t xml:space="preserve"> </w:t>
      </w:r>
      <w:r w:rsidRPr="005823C2">
        <w:rPr>
          <w:iCs/>
          <w:lang w:val="en-US"/>
        </w:rPr>
        <w:t>Komil Usmanov</w:t>
      </w:r>
      <w:r>
        <w:rPr>
          <w:vertAlign w:val="superscript"/>
        </w:rPr>
        <w:t>c</w:t>
      </w:r>
      <w:r w:rsidRPr="005823C2">
        <w:rPr>
          <w:i/>
          <w:iCs/>
          <w:lang w:val="en-US"/>
        </w:rPr>
        <w:t xml:space="preserve">, </w:t>
      </w:r>
      <w:r w:rsidRPr="005823C2">
        <w:rPr>
          <w:iCs/>
          <w:lang w:val="en-US"/>
        </w:rPr>
        <w:t>Jaloliddin Eshbobaev</w:t>
      </w:r>
      <w:r>
        <w:rPr>
          <w:iCs/>
          <w:vertAlign w:val="superscript"/>
          <w:lang w:val="en-US"/>
        </w:rPr>
        <w:t>d</w:t>
      </w:r>
      <w:r w:rsidR="00B57E6F" w:rsidRPr="00B57B36">
        <w:t xml:space="preserve"> </w:t>
      </w:r>
    </w:p>
    <w:p w14:paraId="6DF87D44" w14:textId="77777777" w:rsidR="005823C2" w:rsidRDefault="00B57E6F" w:rsidP="00B57E6F">
      <w:pPr>
        <w:pStyle w:val="CETAddress"/>
        <w:rPr>
          <w:vertAlign w:val="superscript"/>
        </w:rPr>
      </w:pPr>
      <w:r w:rsidRPr="00B57B36">
        <w:rPr>
          <w:vertAlign w:val="superscript"/>
        </w:rPr>
        <w:t>a</w:t>
      </w:r>
      <w:r w:rsidR="005823C2" w:rsidRPr="005823C2">
        <w:rPr>
          <w:rFonts w:asciiTheme="minorHAnsi" w:eastAsiaTheme="minorHAnsi" w:hAnsiTheme="minorHAnsi" w:cstheme="minorBidi"/>
          <w:i/>
          <w:iCs/>
          <w:noProof w:val="0"/>
          <w:sz w:val="22"/>
          <w:szCs w:val="22"/>
          <w:lang w:val="en-US"/>
        </w:rPr>
        <w:t xml:space="preserve"> </w:t>
      </w:r>
      <w:r w:rsidR="005823C2" w:rsidRPr="005823C2">
        <w:rPr>
          <w:iCs/>
          <w:lang w:val="en-US"/>
        </w:rPr>
        <w:t>Department of Automation and Digital Control, Tashkent Institute of Chemical Technology, Tashkent 100011, Uzbekistan</w:t>
      </w:r>
      <w:r w:rsidR="005823C2" w:rsidRPr="005823C2">
        <w:rPr>
          <w:vertAlign w:val="superscript"/>
        </w:rPr>
        <w:t xml:space="preserve"> </w:t>
      </w:r>
    </w:p>
    <w:p w14:paraId="3D72B0B0" w14:textId="374505B3" w:rsidR="00B57E6F" w:rsidRPr="00B57B36" w:rsidRDefault="00B57E6F" w:rsidP="00B57E6F">
      <w:pPr>
        <w:pStyle w:val="CETAddress"/>
      </w:pPr>
      <w:r w:rsidRPr="00B57B36">
        <w:rPr>
          <w:vertAlign w:val="superscript"/>
        </w:rPr>
        <w:t>b</w:t>
      </w:r>
      <w:r w:rsidR="005823C2" w:rsidRPr="005823C2">
        <w:rPr>
          <w:rFonts w:asciiTheme="minorHAnsi" w:eastAsiaTheme="minorHAnsi" w:hAnsiTheme="minorHAnsi" w:cstheme="minorBidi"/>
          <w:i/>
          <w:iCs/>
          <w:noProof w:val="0"/>
          <w:sz w:val="22"/>
          <w:szCs w:val="22"/>
          <w:lang w:val="en-US"/>
        </w:rPr>
        <w:t xml:space="preserve"> </w:t>
      </w:r>
      <w:r w:rsidR="005823C2" w:rsidRPr="005823C2">
        <w:rPr>
          <w:i/>
          <w:iCs/>
          <w:lang w:val="en-US"/>
        </w:rPr>
        <w:t>Department of Control System and Information Processing, Tashkent State Technical University, Tashkent 100095, Uzbekistan</w:t>
      </w:r>
    </w:p>
    <w:p w14:paraId="73F1267A" w14:textId="7F29BC89" w:rsidR="00B57E6F" w:rsidRPr="00B57B36" w:rsidRDefault="00B57E6F" w:rsidP="00B57E6F">
      <w:pPr>
        <w:pStyle w:val="CETemail"/>
      </w:pPr>
      <w:r>
        <w:t xml:space="preserve"> </w:t>
      </w:r>
      <w:r w:rsidR="005823C2">
        <w:t>borkinovakamolaxon@gmail.com</w:t>
      </w:r>
    </w:p>
    <w:p w14:paraId="00C1234F" w14:textId="0F2B9FCF" w:rsidR="005823C2" w:rsidRPr="001A5B2E" w:rsidRDefault="001A5B2E" w:rsidP="001A5B2E">
      <w:pPr>
        <w:pStyle w:val="CETHeading1"/>
        <w:numPr>
          <w:ilvl w:val="0"/>
          <w:numId w:val="0"/>
        </w:numPr>
        <w:jc w:val="both"/>
        <w:rPr>
          <w:b w:val="0"/>
          <w:bCs/>
          <w:iCs/>
          <w:sz w:val="18"/>
          <w:szCs w:val="18"/>
        </w:rPr>
      </w:pPr>
      <w:r w:rsidRPr="001A5B2E">
        <w:rPr>
          <w:b w:val="0"/>
          <w:bCs/>
          <w:iCs/>
          <w:sz w:val="18"/>
          <w:szCs w:val="18"/>
        </w:rPr>
        <w:t>Diesel fuel hydrotreating is a critical refining process aimed at reducing sulfur content and improving fuel quality under strict environmental regulations. The process is characterized by strong nonlinear dynamics, multivariable interactions, and uncertainty due to feed variability and operational disturbances, which limit the effectiveness of conventional PID control. This study proposes an intelligent control approach based on a nonlinear reactor model derived from mass and heat balance equations. The control framework integrates neural network approximation, fuzzy logic decision-making, and adaptive mechanisms to handle nonlinearities and uncertainty. The system is implemented in MATLAB/Simulink. Simulation results show improved dyna</w:t>
      </w:r>
      <w:r w:rsidR="00F861D6">
        <w:rPr>
          <w:b w:val="0"/>
          <w:bCs/>
          <w:iCs/>
          <w:sz w:val="18"/>
          <w:szCs w:val="18"/>
        </w:rPr>
        <w:t>mic performance, including a 25-</w:t>
      </w:r>
      <w:r w:rsidRPr="001A5B2E">
        <w:rPr>
          <w:b w:val="0"/>
          <w:bCs/>
          <w:iCs/>
          <w:sz w:val="18"/>
          <w:szCs w:val="18"/>
        </w:rPr>
        <w:t>30%</w:t>
      </w:r>
      <w:r w:rsidR="00FC4AE1">
        <w:rPr>
          <w:b w:val="0"/>
          <w:bCs/>
          <w:iCs/>
          <w:sz w:val="18"/>
          <w:szCs w:val="18"/>
        </w:rPr>
        <w:t xml:space="preserve"> reduction in settling time, 15-</w:t>
      </w:r>
      <w:bookmarkStart w:id="1" w:name="_GoBack"/>
      <w:bookmarkEnd w:id="1"/>
      <w:r w:rsidRPr="001A5B2E">
        <w:rPr>
          <w:b w:val="0"/>
          <w:bCs/>
          <w:iCs/>
          <w:sz w:val="18"/>
          <w:szCs w:val="18"/>
        </w:rPr>
        <w:t>20% lower error, and enhanced robustness and energy efficiency compared to conventional control methods.</w:t>
      </w:r>
    </w:p>
    <w:p w14:paraId="0787DFE1" w14:textId="483179B3" w:rsidR="001A5B2E" w:rsidRPr="00B57B36" w:rsidRDefault="001A5B2E" w:rsidP="00437932">
      <w:pPr>
        <w:pStyle w:val="CETHeading1"/>
        <w:numPr>
          <w:ilvl w:val="0"/>
          <w:numId w:val="25"/>
        </w:numPr>
        <w:rPr>
          <w:lang w:val="en-GB"/>
        </w:rPr>
      </w:pPr>
      <w:r w:rsidRPr="00B57B36">
        <w:rPr>
          <w:lang w:val="en-GB"/>
        </w:rPr>
        <w:t>Introduction</w:t>
      </w:r>
    </w:p>
    <w:p w14:paraId="69F80B1E" w14:textId="28B4CA24" w:rsidR="00442CA9" w:rsidRPr="00442CA9" w:rsidRDefault="00871256" w:rsidP="0034537D">
      <w:pPr>
        <w:pStyle w:val="CETBodytext"/>
        <w:ind w:firstLine="426"/>
        <w:rPr>
          <w:bCs/>
          <w:iCs/>
        </w:rPr>
      </w:pPr>
      <w:r w:rsidRPr="00871256">
        <w:rPr>
          <w:bCs/>
          <w:iCs/>
        </w:rPr>
        <w:t>Diesel fuel hydrotreating is a key technological process in petroleum refining aimed at reducing sulfur-containing compounds and improving diesel fuel quality in accordance with modern environmental standards. The process is carried out in catalytic reactors under complex thermal and concentration conditions, where temperature, feed composition, hydrogen supply, reaction kinetics and heat transfer are strongly interconnected. Therefore, maintaining stable control of the hydrotreating reactor is essential for ensuring product quality, energy</w:t>
      </w:r>
      <w:r>
        <w:rPr>
          <w:bCs/>
          <w:iCs/>
        </w:rPr>
        <w:t xml:space="preserve"> efficiency and safe operation.</w:t>
      </w:r>
      <w:r w:rsidR="00AD39A7">
        <w:rPr>
          <w:bCs/>
          <w:iCs/>
        </w:rPr>
        <w:t xml:space="preserve"> </w:t>
      </w:r>
      <w:r w:rsidRPr="00871256">
        <w:rPr>
          <w:bCs/>
          <w:iCs/>
        </w:rPr>
        <w:t>The control of diesel fuel hydrotreating is complicated by nonlinear dynamics, multivariable interactions and uncertainty in operating conditions. The reaction rate depends nonlinearly on temperature and concentration, while reactor temperature and outlet concentration are influenced by feed flow rate, coolant flow rate and external disturbances. In real industrial environments, additional uncertainty arises due to variations in feedstock composition, instability of hydrogen supply and limited availability of real-time measurements. These factors significantly reduce the effectiveness of conventional PID controllers, which are typically tuned for fixed operating conditions and cannot adequately compensate for nonlinear behaviour. In modern industrial practice, advanced control strategies such as model predictive control have been widely studied to improve system performance; however, their application in highly nonlinear and uncertain environments remains challe</w:t>
      </w:r>
      <w:r>
        <w:rPr>
          <w:bCs/>
          <w:iCs/>
        </w:rPr>
        <w:t xml:space="preserve">nging </w:t>
      </w:r>
      <w:r w:rsidR="00AD39A7">
        <w:rPr>
          <w:bCs/>
          <w:iCs/>
        </w:rPr>
        <w:fldChar w:fldCharType="begin"/>
      </w:r>
      <w:r w:rsidR="0034537D">
        <w:rPr>
          <w:bCs/>
          <w:iCs/>
        </w:rPr>
        <w:instrText xml:space="preserve"> ADDIN ZOTERO_ITEM CSL_CITATION {"citationID":"XSirRh5V","properties":{"formattedCitation":"(Qin &amp; Badgwell, 2003)","plainCitation":"(Qin &amp; Badgwell, 2003)","noteIndex":0},"citationItems":[{"id":217,"uris":["http://zotero.org/users/16283040/items/T6HJD72E"],"itemData":{"id":217,"type":"article-journal","container-title":"Control Engineering Practice","DOI":"10.1016/S0967-0661(02)00186-7","ISSN":"09670661","issue":"7","journalAbbreviation":"Control Engineering Practice","language":"en","license":"https://www.elsevier.com/tdm/userlicense/1.0/","page":"733-764","source":"DOI.org (Crossref)","title":"A survey of industrial model predictive control technology","volume":"11","author":[{"family":"Qin","given":"S.Joe"},{"family":"Badgwell","given":"Thomas A."}],"issued":{"date-parts":[["2003",7]]}}}],"schema":"https://github.com/citation-style-language/schema/raw/master/csl-citation.json"} </w:instrText>
      </w:r>
      <w:r w:rsidR="00AD39A7">
        <w:rPr>
          <w:bCs/>
          <w:iCs/>
        </w:rPr>
        <w:fldChar w:fldCharType="separate"/>
      </w:r>
      <w:r w:rsidR="00AD39A7" w:rsidRPr="00AD39A7">
        <w:rPr>
          <w:rFonts w:cs="Arial"/>
        </w:rPr>
        <w:t>(Qin &amp; Badgwell, 2003)</w:t>
      </w:r>
      <w:r w:rsidR="00AD39A7">
        <w:rPr>
          <w:bCs/>
          <w:iCs/>
        </w:rPr>
        <w:fldChar w:fldCharType="end"/>
      </w:r>
      <w:r>
        <w:rPr>
          <w:bCs/>
          <w:iCs/>
        </w:rPr>
        <w:t xml:space="preserve">. </w:t>
      </w:r>
      <w:r w:rsidRPr="00871256">
        <w:rPr>
          <w:bCs/>
          <w:iCs/>
        </w:rPr>
        <w:t>To address these challenges, intelligent control methods have emerged as a promising solution for nonlinear and uncertain systems. Neural network-based approaches allow accurate approximation of nonlinear system dynamics, while adaptive algorithms improve control performance by adjusting parameters in real time</w:t>
      </w:r>
      <w:r w:rsidR="009E4AEF">
        <w:rPr>
          <w:bCs/>
          <w:iCs/>
        </w:rPr>
        <w:t xml:space="preserve"> </w:t>
      </w:r>
      <w:r w:rsidR="009E4AEF">
        <w:rPr>
          <w:bCs/>
          <w:iCs/>
        </w:rPr>
        <w:fldChar w:fldCharType="begin"/>
      </w:r>
      <w:r w:rsidR="0087622B">
        <w:rPr>
          <w:bCs/>
          <w:iCs/>
        </w:rPr>
        <w:instrText xml:space="preserve"> ADDIN ZOTERO_ITEM CSL_CITATION {"citationID":"AZU0Pqbw","properties":{"unsorted":false,"formattedCitation":"(K. Usmanov, Yakubova, Rejabov, \\uc0\\u1080{} \\uc0\\u1076{}\\uc0\\u1088{}., 2026; Zhao \\uc0\\u1080{} \\uc0\\u1076{}\\uc0\\u1088{}., 2016)","plainCitation":"(K. Usmanov, Yakubova, Rejabov, и др., 2026; Zhao и др., 2016)","noteIndex":0},"citationItems":[{"id":200,"uris":["http://zotero.org/groups/6434347/items/JGN9CQJP"],"itemData":{"id":200,"type":"paper-conference","container-title":"ECP 2025","DOI":"10.3390/engproc2025117042","event-title":"ECP 2025","language":"en","page":"42","publisher":"MDPI","source":"DOI.org (Crossref)","title":"Prediction of Drying Efficiency in Cabinet Solar Dryers for Medicinal Plants Using Artificial Neural Networks","URL":"https://www.mdpi.com/2673-4591/117/1/42","author":[{"family":"Usmanov","given":"Komil"},{"family":"Yakubova","given":"Noilakhon"},{"family":"Rejabov","given":"Sarvar"},{"family":"Eshbobaev","given":"Jaloliddin"},{"family":"Yusupov","given":"Mirjalol"}],"accessed":{"date-parts":[["2026",2,19]]},"issued":{"date-parts":[["2026",2,2]]}}},{"id":215,"uris":["http://zotero.org/users/16283040/items/7M52A6JE"],"itemData":{"id":215,"type":"article-journal","container-title":"IEEE Transactions on Cybernetics","DOI":"10.1109/TCYB.2015.2447153","ISSN":"2168-2267, 2168-2275","issue":"6","journalAbbreviation":"IEEE Trans. Cybern.","license":"https://ieeexplore.ieee.org/Xplorehelp/downloads/license-information/IEEE.html","page":"1476-1483","source":"DOI.org (Crossref)","title":"Fuzzy Adaptive Control Design and Discretization for a Class of Nonlinear Uncertain Systems","volume":"46","author":[{"family":"Zhao","given":"Xudong"},{"family":"Shi","given":"Peng"},{"family":"Zheng","given":"Xiaolong"}],"issued":{"date-parts":[["2016",6]]}}}],"schema":"https://github.com/citation-style-language/schema/raw/master/csl-citation.json"} </w:instrText>
      </w:r>
      <w:r w:rsidR="009E4AEF">
        <w:rPr>
          <w:bCs/>
          <w:iCs/>
        </w:rPr>
        <w:fldChar w:fldCharType="separate"/>
      </w:r>
      <w:r w:rsidR="0087622B" w:rsidRPr="0087622B">
        <w:rPr>
          <w:rFonts w:cs="Arial"/>
          <w:szCs w:val="24"/>
        </w:rPr>
        <w:t xml:space="preserve">(K. Usmanov, Yakubova, Rejabov, </w:t>
      </w:r>
      <w:r w:rsidR="0087622B">
        <w:rPr>
          <w:rFonts w:cs="Arial"/>
          <w:szCs w:val="24"/>
        </w:rPr>
        <w:t>et al</w:t>
      </w:r>
      <w:r w:rsidR="0087622B" w:rsidRPr="0087622B">
        <w:rPr>
          <w:rFonts w:cs="Arial"/>
          <w:szCs w:val="24"/>
        </w:rPr>
        <w:t xml:space="preserve">., 2026; Zhao </w:t>
      </w:r>
      <w:r w:rsidR="0087622B">
        <w:rPr>
          <w:rFonts w:cs="Arial"/>
          <w:szCs w:val="24"/>
        </w:rPr>
        <w:t>et al</w:t>
      </w:r>
      <w:r w:rsidR="0087622B" w:rsidRPr="0087622B">
        <w:rPr>
          <w:rFonts w:cs="Arial"/>
          <w:szCs w:val="24"/>
        </w:rPr>
        <w:t>., 2016)</w:t>
      </w:r>
      <w:r w:rsidR="009E4AEF">
        <w:rPr>
          <w:bCs/>
          <w:iCs/>
        </w:rPr>
        <w:fldChar w:fldCharType="end"/>
      </w:r>
      <w:r w:rsidRPr="00871256">
        <w:rPr>
          <w:bCs/>
          <w:iCs/>
        </w:rPr>
        <w:t xml:space="preserve">. In addition, fuzzy adaptive control methods provide an effective framework for decision-making under uncertainty, enabling robust performance in systems with incomplete or noisy </w:t>
      </w:r>
      <w:r>
        <w:rPr>
          <w:bCs/>
          <w:iCs/>
        </w:rPr>
        <w:t xml:space="preserve">information </w:t>
      </w:r>
      <w:r w:rsidR="00C23AD9">
        <w:rPr>
          <w:bCs/>
          <w:iCs/>
        </w:rPr>
        <w:fldChar w:fldCharType="begin"/>
      </w:r>
      <w:r w:rsidR="0034537D">
        <w:rPr>
          <w:bCs/>
          <w:iCs/>
        </w:rPr>
        <w:instrText xml:space="preserve"> ADDIN ZOTERO_ITEM CSL_CITATION {"citationID":"CSXIrAie","properties":{"formattedCitation":"(Zhou \\uc0\\u1080{} \\uc0\\u1076{}\\uc0\\u1088{}., 2023)","plainCitation":"(Zhou и др., 2023)","noteIndex":0},"citationItems":[{"id":214,"uris":["http://zotero.org/users/16283040/items/E2FFBSPF"],"itemData":{"id":214,"type":"article-journal","container-title":"Applied Intelligence","DOI":"10.1007/s10489-022-04133-8","ISSN":"0924-669X, 1573-7497","issue":"11","journalAbbreviation":"Appl Intell","language":"en","page":"13569-13592","source":"DOI.org (Crossref)","title":"A self-organizing fuzzy neural network modeling approach using an adaptive quantum particle swarm optimization","volume":"53","author":[{"family":"Zhou","given":"Hongbiao"},{"family":"Li","given":"Yang"},{"family":"Xu","given":"Haoyuan"},{"family":"Su","given":"Yan"},{"family":"Chen","given":"Lianghai"}],"issued":{"date-parts":[["2023",6]]}}}],"schema":"https://github.com/citation-style-language/schema/raw/master/csl-citation.json"} </w:instrText>
      </w:r>
      <w:r w:rsidR="00C23AD9">
        <w:rPr>
          <w:bCs/>
          <w:iCs/>
        </w:rPr>
        <w:fldChar w:fldCharType="separate"/>
      </w:r>
      <w:r w:rsidR="0034537D" w:rsidRPr="0034537D">
        <w:rPr>
          <w:rFonts w:cs="Arial"/>
          <w:szCs w:val="24"/>
        </w:rPr>
        <w:t xml:space="preserve">(Zhou </w:t>
      </w:r>
      <w:r w:rsidR="006D2B5D">
        <w:rPr>
          <w:rFonts w:cs="Arial"/>
          <w:szCs w:val="24"/>
        </w:rPr>
        <w:t>et al</w:t>
      </w:r>
      <w:r w:rsidR="0034537D" w:rsidRPr="0034537D">
        <w:rPr>
          <w:rFonts w:cs="Arial"/>
          <w:szCs w:val="24"/>
        </w:rPr>
        <w:t>., 2023)</w:t>
      </w:r>
      <w:r w:rsidR="00C23AD9">
        <w:rPr>
          <w:bCs/>
          <w:iCs/>
        </w:rPr>
        <w:fldChar w:fldCharType="end"/>
      </w:r>
      <w:r>
        <w:rPr>
          <w:bCs/>
          <w:iCs/>
        </w:rPr>
        <w:t xml:space="preserve">. </w:t>
      </w:r>
      <w:r w:rsidRPr="00871256">
        <w:rPr>
          <w:bCs/>
          <w:iCs/>
        </w:rPr>
        <w:t>Recent studies have demonstrated the effectiveness of hybrid intelligent control approaches in complex thermal and energy systems. In particular, the integration of fuzzy logic and advanced adaptive mechanisms has shown significant improvements in robustness and energy efficiency compared to conventional control methods</w:t>
      </w:r>
      <w:r w:rsidR="00C23AD9">
        <w:rPr>
          <w:bCs/>
          <w:iCs/>
        </w:rPr>
        <w:t xml:space="preserve"> </w:t>
      </w:r>
      <w:r w:rsidR="00C23AD9">
        <w:rPr>
          <w:bCs/>
          <w:iCs/>
        </w:rPr>
        <w:fldChar w:fldCharType="begin"/>
      </w:r>
      <w:r w:rsidR="0034537D">
        <w:rPr>
          <w:bCs/>
          <w:iCs/>
        </w:rPr>
        <w:instrText xml:space="preserve"> ADDIN ZOTERO_ITEM CSL_CITATION {"citationID":"EQQOz2wc","properties":{"formattedCitation":"(Yakubova \\uc0\\u1080{} \\uc0\\u1076{}\\uc0\\u1088{}., 2026)","plainCitation":"(Yakubova и др., 2026)","dontUpdate":true,"noteIndex":0},"citationItems":[{"id":173,"uris":["http://zotero.org/users/16283040/items/AYIBNFIV"],"itemData":{"id":173,"type":"paper-conference","container-title":"ECP 2025","DOI":"10.3390/engproc2025117033","event-title":"ECP 2025","language":"en","page":"33","publisher":"MDPI","source":"DOI.org (Crossref)","title":"Hybrid Quantum-Fuzzy Control for Intelligent Steam Heating Management in Thermal Power Plants","URL":"https://www.mdpi.com/2673-4591/117/1/33","author":[{"family":"Yakubova","given":"Noilakhon"},{"family":"Istanbullu","given":"Ayhan"},{"family":"Siddiqov","given":"Isomiddin"},{"family":"Usmanov","given":"Komil"}],"accessed":{"date-parts":[["2026",2,4]]},"issued":{"date-parts":[["2026",1,26]]}}}],"schema":"https://github.com/citation-style-language/schema/raw/master/csl-citation.json"} </w:instrText>
      </w:r>
      <w:r w:rsidR="00C23AD9">
        <w:rPr>
          <w:bCs/>
          <w:iCs/>
        </w:rPr>
        <w:fldChar w:fldCharType="separate"/>
      </w:r>
      <w:r w:rsidR="00C23AD9" w:rsidRPr="00C23AD9">
        <w:rPr>
          <w:rFonts w:cs="Arial"/>
          <w:szCs w:val="24"/>
        </w:rPr>
        <w:t xml:space="preserve">(Yakubova </w:t>
      </w:r>
      <w:r w:rsidR="00F861D6">
        <w:rPr>
          <w:rFonts w:cs="Arial"/>
          <w:szCs w:val="24"/>
        </w:rPr>
        <w:t>et al</w:t>
      </w:r>
      <w:r w:rsidR="00C23AD9" w:rsidRPr="00C23AD9">
        <w:rPr>
          <w:rFonts w:cs="Arial"/>
          <w:szCs w:val="24"/>
        </w:rPr>
        <w:t>., 2026)</w:t>
      </w:r>
      <w:r w:rsidR="00C23AD9">
        <w:rPr>
          <w:bCs/>
          <w:iCs/>
        </w:rPr>
        <w:fldChar w:fldCharType="end"/>
      </w:r>
      <w:r w:rsidRPr="00871256">
        <w:rPr>
          <w:bCs/>
          <w:iCs/>
        </w:rPr>
        <w:t xml:space="preserve">. Similar intelligent control strategies have been successfully applied to nonlinear drying processes, confirming their ability to handle variable environmental and operational conditions </w:t>
      </w:r>
      <w:r w:rsidR="00C23AD9">
        <w:rPr>
          <w:bCs/>
          <w:iCs/>
        </w:rPr>
        <w:lastRenderedPageBreak/>
        <w:fldChar w:fldCharType="begin"/>
      </w:r>
      <w:r w:rsidR="0034537D">
        <w:rPr>
          <w:bCs/>
          <w:iCs/>
        </w:rPr>
        <w:instrText xml:space="preserve"> ADDIN ZOTERO_ITEM CSL_CITATION {"citationID":"iQKykrTY","properties":{"formattedCitation":"(K. Usmanov \\uc0\\u1080{} \\uc0\\u1076{}\\uc0\\u1088{}., 2026)","plainCitation":"(K. Usmanov и др., 2026)","dontUpdate":true,"noteIndex":0},"citationItems":[{"id":174,"uris":["http://zotero.org/users/16283040/items/NTTCCG9Q"],"itemData":{"id":174,"type":"paper-conference","container-title":"ECP 2025","DOI":"10.3390/engproc2025117035","event-title":"ECP 2025","language":"en","page":"35","publisher":"MDPI","source":"DOI.org (Crossref)","title":"Fuzzy-Logic-Based Intelligent Control of a Cabinet Solar Dryer for Plantago major Leaves Under Real Climatic Conditions in Tashkent","URL":"https://www.mdpi.com/2673-4591/117/1/35","author":[{"family":"Usmanov","given":"Komil"},{"family":"Yakubova","given":"Noilakhon"},{"family":"Sultanova","given":"Shakhnoza"},{"family":"Turakulov","given":"Zafar"}],"accessed":{"date-parts":[["2026",2,4]]},"issued":{"date-parts":[["2026",1,28]]}}}],"schema":"https://github.com/citation-style-language/schema/raw/master/csl-citation.json"} </w:instrText>
      </w:r>
      <w:r w:rsidR="00C23AD9">
        <w:rPr>
          <w:bCs/>
          <w:iCs/>
        </w:rPr>
        <w:fldChar w:fldCharType="separate"/>
      </w:r>
      <w:r w:rsidR="00C23AD9" w:rsidRPr="00C23AD9">
        <w:rPr>
          <w:rFonts w:cs="Arial"/>
          <w:szCs w:val="24"/>
        </w:rPr>
        <w:t xml:space="preserve">(K. Usmanov </w:t>
      </w:r>
      <w:r w:rsidR="0096062B">
        <w:rPr>
          <w:rFonts w:cs="Arial"/>
          <w:szCs w:val="24"/>
        </w:rPr>
        <w:t>et al</w:t>
      </w:r>
      <w:r w:rsidR="00C23AD9" w:rsidRPr="00C23AD9">
        <w:rPr>
          <w:rFonts w:cs="Arial"/>
          <w:szCs w:val="24"/>
        </w:rPr>
        <w:t>., 2026)</w:t>
      </w:r>
      <w:r w:rsidR="00C23AD9">
        <w:rPr>
          <w:bCs/>
          <w:iCs/>
        </w:rPr>
        <w:fldChar w:fldCharType="end"/>
      </w:r>
      <w:r w:rsidRPr="00871256">
        <w:rPr>
          <w:bCs/>
          <w:iCs/>
        </w:rPr>
        <w:t>. Furthermore, the synthesis of control systems for diesel fuel hydrotreating processes using advanced methods highlights the importance of nonlinear and adaptive control frameworks for achieving st</w:t>
      </w:r>
      <w:r>
        <w:rPr>
          <w:bCs/>
          <w:iCs/>
        </w:rPr>
        <w:t>able operation</w:t>
      </w:r>
      <w:r w:rsidR="00C23AD9">
        <w:rPr>
          <w:bCs/>
          <w:iCs/>
        </w:rPr>
        <w:t xml:space="preserve"> </w:t>
      </w:r>
      <w:r w:rsidR="00C23AD9">
        <w:rPr>
          <w:bCs/>
          <w:iCs/>
        </w:rPr>
        <w:fldChar w:fldCharType="begin"/>
      </w:r>
      <w:r w:rsidR="0034537D">
        <w:rPr>
          <w:bCs/>
          <w:iCs/>
        </w:rPr>
        <w:instrText xml:space="preserve"> ADDIN ZOTERO_ITEM CSL_CITATION {"citationID":"EpkMANMp","properties":{"formattedCitation":"(K. I. Usmanov \\uc0\\u1080{} \\uc0\\u1076{}\\uc0\\u1088{}., 2023)","plainCitation":"(K. I. Usmanov и др., 2023)","dontUpdate":true,"noteIndex":0},"citationItems":[{"id":19,"uris":["http://zotero.org/users/16283040/items/FKHVTKNK"],"itemData":{"id":19,"type":"article-journal","abstract":"Currently, one of the main important tasks at oil refineries is to increase their productivity and product quality. Hydrotreating of diesel fuel is important in the oil refining process. The main purpose of hydrotreating is to improve the quality of fuel and remove sulfur, nitrogen and oxygen compounds from it. The diesel fuel hydrotreating process has a significant impact on product quality. As an object of study, a chemical reactor has a nonlinear characteristic and has the property of a reverse chemical reaction during the hydrotreating of diesel fuel. Also, the diesel fuel hydrotreating process is considered a nonlinear and multidimensional control object, and all its parameters cannot be measured online. Therefore, a mathematical model was developed that takes into account the features of the technological process that arises when creating a highly efficient control system. The article deals with the synthesis of effective algorithms for controlling a chemical reactor and developed a synergistic controller for a class of indefinite nonlinear dynamic systems. The synthesis of control laws is performed by the method of analytical design of aggregated controllers (ADAR).","container-title":"E3S Web of Conferences","DOI":"10.1051/e3sconf/202345801025","ISSN":"2267-1242","journalAbbreviation":"E3S Web of Conf.","license":"https://creativecommons.org/licenses/by/4.0/","page":"01025","source":"DOI.org (Crossref)","title":"Synthesis of a control system for the process of diesel fuel hydropuring with the Adar method","volume":"458","author":[{"family":"Usmanov","given":"K.I."},{"family":"Yakubova","given":"N.S."},{"family":"Urmanova","given":"V.T."},{"family":"Abdurasulova","given":"G.E."}],"editor":[{"family":"Pukhkal","given":"V."},{"family":"Uvarova","given":"S."}],"issued":{"date-parts":[["2023"]]}}}],"schema":"https://github.com/citation-style-language/schema/raw/master/csl-citation.json"} </w:instrText>
      </w:r>
      <w:r w:rsidR="00C23AD9">
        <w:rPr>
          <w:bCs/>
          <w:iCs/>
        </w:rPr>
        <w:fldChar w:fldCharType="separate"/>
      </w:r>
      <w:r w:rsidR="001C257C">
        <w:rPr>
          <w:rFonts w:cs="Arial"/>
          <w:szCs w:val="24"/>
        </w:rPr>
        <w:t>(K. I. Usmanov et al</w:t>
      </w:r>
      <w:r w:rsidR="00C23AD9" w:rsidRPr="00C23AD9">
        <w:rPr>
          <w:rFonts w:cs="Arial"/>
          <w:szCs w:val="24"/>
        </w:rPr>
        <w:t>., 2023)</w:t>
      </w:r>
      <w:r w:rsidR="00C23AD9">
        <w:rPr>
          <w:bCs/>
          <w:iCs/>
        </w:rPr>
        <w:fldChar w:fldCharType="end"/>
      </w:r>
      <w:r w:rsidR="0034537D">
        <w:rPr>
          <w:bCs/>
          <w:iCs/>
        </w:rPr>
        <w:t xml:space="preserve">. </w:t>
      </w:r>
      <w:r w:rsidR="0034537D" w:rsidRPr="0034537D">
        <w:rPr>
          <w:bCs/>
          <w:iCs/>
        </w:rPr>
        <w:t>Recent studies have further demonstrated that hybrid intelligent control architectures integrating adaptive learning and fuzzy reasoning significantly improve the dynamic performance and robustness of nonlinear industr</w:t>
      </w:r>
      <w:r w:rsidR="0034537D">
        <w:rPr>
          <w:bCs/>
          <w:iCs/>
        </w:rPr>
        <w:t xml:space="preserve">ial processes </w:t>
      </w:r>
      <w:r w:rsidR="0034537D">
        <w:rPr>
          <w:bCs/>
          <w:iCs/>
        </w:rPr>
        <w:fldChar w:fldCharType="begin"/>
      </w:r>
      <w:r w:rsidR="0034537D">
        <w:rPr>
          <w:bCs/>
          <w:iCs/>
        </w:rPr>
        <w:instrText xml:space="preserve"> ADDIN ZOTERO_ITEM CSL_CITATION {"citationID":"g2JJHjdR","properties":{"unsorted":false,"formattedCitation":"(K. Usmanov \\uc0\\u1080{} \\uc0\\u1076{}\\uc0\\u1088{}., 2023)","plainCitation":"(K. Usmanov и др., 2023)","noteIndex":0},"citationItems":[{"id":23,"uris":["http://zotero.org/users/16283040/items/6GX3N6EF"],"itemData":{"id":23,"type":"paper-conference","container-title":"The 4th International Electronic Conference on Applied Sciences","DOI":"10.3390/ASEC2023-16274","event-title":"The 4th International Electronic Conference on Applied Sciences","language":"en","license":"https://creativecommons.org/licenses/by/4.0/","page":"198","publisher":"MDPI","source":"DOI.org (Crossref)","title":"Modeling and Optimization of the Ammonium Solution Extraction Process","URL":"https://www.mdpi.com/2673-4591/56/1/198","author":[{"family":"Usmanov","given":"Komil"},{"family":"Eshbobaev","given":"Jaloliddin"},{"family":"Yakubova","given":"Noilakhon"}],"accessed":{"date-parts":[["2025",1,30]]},"issued":{"date-parts":[["2023",11,15]]}}}],"schema":"https://github.com/citation-style-language/schema/raw/master/csl-citation.json"} </w:instrText>
      </w:r>
      <w:r w:rsidR="0034537D">
        <w:rPr>
          <w:bCs/>
          <w:iCs/>
        </w:rPr>
        <w:fldChar w:fldCharType="separate"/>
      </w:r>
      <w:r w:rsidR="0034537D" w:rsidRPr="0034537D">
        <w:rPr>
          <w:rFonts w:cs="Arial"/>
          <w:szCs w:val="24"/>
        </w:rPr>
        <w:t xml:space="preserve">(K. Usmanov </w:t>
      </w:r>
      <w:r w:rsidR="0034537D">
        <w:rPr>
          <w:rFonts w:cs="Arial"/>
          <w:szCs w:val="24"/>
        </w:rPr>
        <w:t>et al</w:t>
      </w:r>
      <w:r w:rsidR="0034537D" w:rsidRPr="0034537D">
        <w:rPr>
          <w:rFonts w:cs="Arial"/>
          <w:szCs w:val="24"/>
        </w:rPr>
        <w:t>., 2023)</w:t>
      </w:r>
      <w:r w:rsidR="0034537D">
        <w:rPr>
          <w:bCs/>
          <w:iCs/>
        </w:rPr>
        <w:fldChar w:fldCharType="end"/>
      </w:r>
      <w:r w:rsidR="0034537D">
        <w:rPr>
          <w:bCs/>
          <w:iCs/>
        </w:rPr>
        <w:t xml:space="preserve">. </w:t>
      </w:r>
      <w:r w:rsidR="009342F7" w:rsidRPr="009342F7">
        <w:rPr>
          <w:bCs/>
          <w:iCs/>
          <w:lang w:val="en-GB"/>
        </w:rPr>
        <w:t>Furthermore, recent advances in deep learning have demonstrated significant potential for capturing highly complex nonlinear relationships in industrial processes, enabling improved prediction accuracy and control performance in dynamic environments</w:t>
      </w:r>
      <w:r w:rsidR="00194C95">
        <w:rPr>
          <w:bCs/>
          <w:iCs/>
          <w:lang w:val="en-GB"/>
        </w:rPr>
        <w:t xml:space="preserve"> </w:t>
      </w:r>
      <w:r w:rsidR="00194C95">
        <w:rPr>
          <w:bCs/>
          <w:iCs/>
          <w:lang w:val="en-GB"/>
        </w:rPr>
        <w:fldChar w:fldCharType="begin"/>
      </w:r>
      <w:r w:rsidR="0034537D">
        <w:rPr>
          <w:bCs/>
          <w:iCs/>
          <w:lang w:val="en-GB"/>
        </w:rPr>
        <w:instrText xml:space="preserve"> ADDIN ZOTERO_ITEM CSL_CITATION {"citationID":"fQWFDr9o","properties":{"formattedCitation":"(LeCun \\uc0\\u1080{} \\uc0\\u1076{}\\uc0\\u1088{}., 2015)","plainCitation":"(LeCun и др., 2015)","dontUpdate":true,"noteIndex":0},"citationItems":[{"id":213,"uris":["http://zotero.org/users/16283040/items/JNDFN5W5"],"itemData":{"id":213,"type":"article-journal","container-title":"Nature","DOI":"10.1038/nature14539","ISSN":"0028-0836, 1476-4687","issue":"7553","journalAbbreviation":"Nature","language":"en","page":"436-444","source":"DOI.org (Crossref)","title":"Deep learning","volume":"521","author":[{"family":"LeCun","given":"Yann"},{"family":"Bengio","given":"Yoshua"},{"family":"Hinton","given":"Geoffrey"}],"issued":{"date-parts":[["2015",5,28]]}}}],"schema":"https://github.com/citation-style-language/schema/raw/master/csl-citation.json"} </w:instrText>
      </w:r>
      <w:r w:rsidR="00194C95">
        <w:rPr>
          <w:bCs/>
          <w:iCs/>
          <w:lang w:val="en-GB"/>
        </w:rPr>
        <w:fldChar w:fldCharType="separate"/>
      </w:r>
      <w:r w:rsidR="00194C95" w:rsidRPr="00194C95">
        <w:rPr>
          <w:rFonts w:cs="Arial"/>
          <w:szCs w:val="24"/>
        </w:rPr>
        <w:t xml:space="preserve">(LeCun </w:t>
      </w:r>
      <w:r w:rsidR="001C257C">
        <w:rPr>
          <w:rFonts w:cs="Arial"/>
          <w:szCs w:val="24"/>
        </w:rPr>
        <w:t>et al</w:t>
      </w:r>
      <w:r w:rsidR="00194C95" w:rsidRPr="00194C95">
        <w:rPr>
          <w:rFonts w:cs="Arial"/>
          <w:szCs w:val="24"/>
        </w:rPr>
        <w:t>., 2015)</w:t>
      </w:r>
      <w:r w:rsidR="00194C95">
        <w:rPr>
          <w:bCs/>
          <w:iCs/>
          <w:lang w:val="en-GB"/>
        </w:rPr>
        <w:fldChar w:fldCharType="end"/>
      </w:r>
      <w:r w:rsidR="009342F7" w:rsidRPr="009342F7">
        <w:rPr>
          <w:bCs/>
          <w:iCs/>
          <w:lang w:val="en-GB"/>
        </w:rPr>
        <w:t xml:space="preserve">. </w:t>
      </w:r>
      <w:r w:rsidR="00194C95" w:rsidRPr="00194C95">
        <w:rPr>
          <w:bCs/>
          <w:iCs/>
          <w:lang w:val="en-GB"/>
        </w:rPr>
        <w:t>In addition, data-driven modeling and control approaches based on artificial intelligence have shown strong capability in handling uncertainty and improving robustness in complex industrial systems</w:t>
      </w:r>
      <w:r w:rsidR="00194C95">
        <w:rPr>
          <w:bCs/>
          <w:iCs/>
          <w:lang w:val="en-GB"/>
        </w:rPr>
        <w:t xml:space="preserve"> </w:t>
      </w:r>
      <w:r w:rsidR="00194C95">
        <w:rPr>
          <w:bCs/>
          <w:iCs/>
          <w:lang w:val="en-GB"/>
        </w:rPr>
        <w:fldChar w:fldCharType="begin"/>
      </w:r>
      <w:r w:rsidR="0034537D">
        <w:rPr>
          <w:bCs/>
          <w:iCs/>
          <w:lang w:val="en-GB"/>
        </w:rPr>
        <w:instrText xml:space="preserve"> ADDIN ZOTERO_ITEM CSL_CITATION {"citationID":"u1pxRjSX","properties":{"formattedCitation":"(Papadimitrakis &amp; Alexandridis, 2022)","plainCitation":"(Papadimitrakis &amp; Alexandridis, 2022)","noteIndex":0},"citationItems":[{"id":212,"uris":["http://zotero.org/users/16283040/items/MCCJ226M"],"itemData":{"id":212,"type":"article-journal","container-title":"Applied Soft Computing","DOI":"10.1016/j.asoc.2022.108646","ISSN":"15684946","journalAbbreviation":"Applied Soft Computing","language":"en","page":"108646","source":"DOI.org (Crossref)","title":"Active vehicle suspension control using road preview model predictive control and radial basis function networks","volume":"120","author":[{"family":"Papadimitrakis","given":"Myron"},{"family":"Alexandridis","given":"Alex"}],"issued":{"date-parts":[["2022",5]]}}}],"schema":"https://github.com/citation-style-language/schema/raw/master/csl-citation.json"} </w:instrText>
      </w:r>
      <w:r w:rsidR="00194C95">
        <w:rPr>
          <w:bCs/>
          <w:iCs/>
          <w:lang w:val="en-GB"/>
        </w:rPr>
        <w:fldChar w:fldCharType="separate"/>
      </w:r>
      <w:r w:rsidR="00194C95" w:rsidRPr="00194C95">
        <w:rPr>
          <w:rFonts w:cs="Arial"/>
        </w:rPr>
        <w:t>(Papadimitrakis &amp; Alexandridis, 2022)</w:t>
      </w:r>
      <w:r w:rsidR="00194C95">
        <w:rPr>
          <w:bCs/>
          <w:iCs/>
          <w:lang w:val="en-GB"/>
        </w:rPr>
        <w:fldChar w:fldCharType="end"/>
      </w:r>
      <w:r w:rsidR="009342F7" w:rsidRPr="009342F7">
        <w:rPr>
          <w:bCs/>
          <w:iCs/>
          <w:lang w:val="en-GB"/>
        </w:rPr>
        <w:t>.</w:t>
      </w:r>
      <w:r w:rsidR="009342F7">
        <w:rPr>
          <w:bCs/>
          <w:iCs/>
          <w:lang w:val="en-GB"/>
        </w:rPr>
        <w:t xml:space="preserve"> </w:t>
      </w:r>
      <w:r w:rsidRPr="00871256">
        <w:rPr>
          <w:bCs/>
          <w:iCs/>
        </w:rPr>
        <w:t>The purpose of this study is to develop an intelligent control framework for diesel fuel hydrotreating under nonlinear and uncertain operating conditions. The proposed approach is implemented in MATLAB/Simulink and compared with a conventional PID controller in terms of dynamic performance, robustness and energy efficiency.</w:t>
      </w:r>
    </w:p>
    <w:p w14:paraId="64EEF3A2" w14:textId="62ACECC1" w:rsidR="00442CA9" w:rsidRPr="00442CA9" w:rsidRDefault="00442CA9" w:rsidP="00437932">
      <w:pPr>
        <w:pStyle w:val="CETHeading1"/>
        <w:numPr>
          <w:ilvl w:val="0"/>
          <w:numId w:val="25"/>
        </w:numPr>
      </w:pPr>
      <w:r w:rsidRPr="00442CA9">
        <w:t>Methodology</w:t>
      </w:r>
    </w:p>
    <w:p w14:paraId="3E05848A" w14:textId="45F67DDD" w:rsidR="00442CA9" w:rsidRDefault="00442CA9" w:rsidP="00442CA9">
      <w:pPr>
        <w:pStyle w:val="CETBodytext"/>
        <w:ind w:firstLine="567"/>
        <w:rPr>
          <w:lang w:val="en-GB"/>
        </w:rPr>
      </w:pPr>
      <w:r>
        <w:rPr>
          <w:lang w:val="en-GB"/>
        </w:rPr>
        <w:tab/>
      </w:r>
      <w:r w:rsidRPr="00442CA9">
        <w:rPr>
          <w:lang w:val="en-GB"/>
        </w:rPr>
        <w:t>The methodology is based on the development of a nonlinear dynamic model of the hydrotreating reactor and the synthesis of an intelligent control system</w:t>
      </w:r>
      <w:r w:rsidR="0087622B" w:rsidRPr="0087622B">
        <w:t xml:space="preserve"> </w:t>
      </w:r>
      <w:r w:rsidR="0087622B">
        <w:rPr>
          <w:lang w:val="ru-RU"/>
        </w:rPr>
        <w:fldChar w:fldCharType="begin"/>
      </w:r>
      <w:r w:rsidR="0087622B" w:rsidRPr="0087622B">
        <w:instrText xml:space="preserve"> ADDIN ZOTERO_ITEM CSL_CITATION {"citationID":"FqIvxEmZ","properties":{"unsorted":false,"formattedCitation":"(Sheikhi Kordkheili &amp; Rahimpour, 2023)","plainCitation":"(Sheikhi Kordkheili &amp; Rahimpour, 2023)","noteIndex":0},"citationItems":[{"id":248,"uris":["http://zotero.org/users/16283040/items/2KAQYIBK"],"itemData":{"id":248,"type":"article-journal","container-title":"Mathematics and Computers in Simulation","DOI":"10.1016/j.matcom.2022.11.012","ISSN":"03784754","journalAbbreviation":"Mathematics and Computers in Simulation","language":"en","page":"198-215","source":"DOI.org (Crossref)","title":"Artificial neural network and semi-empirical modeling of industrial-scale Gasoil hydrodesulfurization reactor temperature profile","volume":"206","author":[{"family":"Sheikhi Kordkheili","given":"Masoud"},{"family":"Rahimpour","given":"Farshad"}],"issued":{"date-parts":[["2023",4]]}}}],"schema":"https://github.com/citation-style-language/schema/raw/master/csl-citation.json"} </w:instrText>
      </w:r>
      <w:r w:rsidR="0087622B">
        <w:rPr>
          <w:lang w:val="ru-RU"/>
        </w:rPr>
        <w:fldChar w:fldCharType="separate"/>
      </w:r>
      <w:r w:rsidR="0087622B" w:rsidRPr="0087622B">
        <w:rPr>
          <w:rFonts w:cs="Arial"/>
        </w:rPr>
        <w:t>(Sheikhi Kordkheili &amp; Rahimpour, 2023)</w:t>
      </w:r>
      <w:r w:rsidR="0087622B">
        <w:rPr>
          <w:lang w:val="ru-RU"/>
        </w:rPr>
        <w:fldChar w:fldCharType="end"/>
      </w:r>
      <w:r w:rsidRPr="00442CA9">
        <w:rPr>
          <w:lang w:val="en-GB"/>
        </w:rPr>
        <w:t>. The reactor is considered as a nonlinear, multivariable and uncertain control object. According to the modelling approach used in the provided source, the main controlled technological parameters are the reactor temperature and the outlet component concentration, while the control actions are associated with feed flow</w:t>
      </w:r>
      <w:r w:rsidR="00627E53">
        <w:rPr>
          <w:lang w:val="en-GB"/>
        </w:rPr>
        <w:t xml:space="preserve"> rate and coolant flow rate </w:t>
      </w:r>
    </w:p>
    <w:p w14:paraId="3A86A719" w14:textId="0F577777" w:rsidR="00442CA9" w:rsidRDefault="00442CA9" w:rsidP="00627E53">
      <w:pPr>
        <w:pStyle w:val="CETBodytext"/>
        <w:ind w:left="720"/>
        <w:rPr>
          <w:lang w:val="en-GB"/>
        </w:rPr>
      </w:pPr>
      <w:r w:rsidRPr="00442CA9">
        <w:rPr>
          <w:lang w:val="en-GB"/>
        </w:rPr>
        <w:t>The material balance equation for the reacting component is written as:</w:t>
      </w:r>
    </w:p>
    <w:p w14:paraId="09B7F141" w14:textId="72ED2D07" w:rsidR="00627E53" w:rsidRPr="00007A36" w:rsidRDefault="003C7CE7" w:rsidP="00007A36">
      <w:pPr>
        <w:pStyle w:val="CETBodytext"/>
        <w:tabs>
          <w:tab w:val="clear" w:pos="7100"/>
          <w:tab w:val="right" w:pos="720"/>
        </w:tabs>
        <w:ind w:left="720"/>
        <w:jc w:val="center"/>
        <w:rPr>
          <w:lang w:val="en-GB"/>
        </w:rPr>
      </w:pPr>
      <m:oMath>
        <m:f>
          <m:fPr>
            <m:ctrlPr>
              <w:rPr>
                <w:rFonts w:ascii="Cambria Math" w:hAnsi="Cambria Math"/>
                <w:i/>
                <w:sz w:val="20"/>
                <w:lang w:val="en-GB"/>
              </w:rPr>
            </m:ctrlPr>
          </m:fPr>
          <m:num>
            <m:r>
              <w:rPr>
                <w:rFonts w:ascii="Cambria Math" w:hAnsi="Cambria Math"/>
                <w:sz w:val="20"/>
                <w:lang w:val="en-GB"/>
              </w:rPr>
              <m:t>dC(t)</m:t>
            </m:r>
          </m:num>
          <m:den>
            <m:r>
              <w:rPr>
                <w:rFonts w:ascii="Cambria Math" w:hAnsi="Cambria Math"/>
                <w:sz w:val="20"/>
                <w:lang w:val="en-GB"/>
              </w:rPr>
              <m:t>dt</m:t>
            </m:r>
          </m:den>
        </m:f>
        <m:r>
          <w:rPr>
            <w:rFonts w:ascii="Cambria Math" w:hAnsi="Cambria Math"/>
            <w:sz w:val="20"/>
            <w:lang w:val="en-GB"/>
          </w:rPr>
          <m:t>=</m:t>
        </m:r>
        <m:f>
          <m:fPr>
            <m:ctrlPr>
              <w:rPr>
                <w:rFonts w:ascii="Cambria Math" w:hAnsi="Cambria Math"/>
                <w:i/>
                <w:sz w:val="20"/>
                <w:lang w:val="en-GB"/>
              </w:rPr>
            </m:ctrlPr>
          </m:fPr>
          <m:num>
            <m:r>
              <w:rPr>
                <w:rFonts w:ascii="Cambria Math" w:hAnsi="Cambria Math"/>
                <w:sz w:val="20"/>
                <w:lang w:val="en-GB"/>
              </w:rPr>
              <m:t>F</m:t>
            </m:r>
          </m:num>
          <m:den>
            <m:r>
              <w:rPr>
                <w:rFonts w:ascii="Cambria Math" w:hAnsi="Cambria Math"/>
                <w:sz w:val="20"/>
                <w:lang w:val="en-GB"/>
              </w:rPr>
              <m:t>V</m:t>
            </m:r>
          </m:den>
        </m:f>
        <m:d>
          <m:dPr>
            <m:ctrlPr>
              <w:rPr>
                <w:rFonts w:ascii="Cambria Math" w:hAnsi="Cambria Math"/>
                <w:i/>
                <w:sz w:val="20"/>
                <w:lang w:val="en-GB"/>
              </w:rPr>
            </m:ctrlPr>
          </m:dPr>
          <m:e>
            <m:sSub>
              <m:sSubPr>
                <m:ctrlPr>
                  <w:rPr>
                    <w:rFonts w:ascii="Cambria Math" w:hAnsi="Cambria Math"/>
                    <w:i/>
                    <w:sz w:val="20"/>
                    <w:lang w:val="en-GB"/>
                  </w:rPr>
                </m:ctrlPr>
              </m:sSubPr>
              <m:e>
                <m:r>
                  <w:rPr>
                    <w:rFonts w:ascii="Cambria Math" w:hAnsi="Cambria Math"/>
                    <w:sz w:val="20"/>
                    <w:lang w:val="en-GB"/>
                  </w:rPr>
                  <m:t>C</m:t>
                </m:r>
              </m:e>
              <m:sub>
                <m:r>
                  <w:rPr>
                    <w:rFonts w:ascii="Cambria Math" w:hAnsi="Cambria Math"/>
                    <w:sz w:val="20"/>
                    <w:lang w:val="en-GB"/>
                  </w:rPr>
                  <m:t>in</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-C</m:t>
            </m:r>
            <m:d>
              <m:dPr>
                <m:ctrlPr>
                  <w:rPr>
                    <w:rFonts w:ascii="Cambria Math" w:hAnsi="Cambria Math"/>
                    <w:i/>
                    <w:sz w:val="20"/>
                    <w:lang w:val="en-GB"/>
                  </w:rPr>
                </m:ctrlPr>
              </m:dPr>
              <m:e>
                <m:r>
                  <w:rPr>
                    <w:rFonts w:ascii="Cambria Math" w:hAnsi="Cambria Math"/>
                    <w:sz w:val="20"/>
                    <w:lang w:val="en-GB"/>
                  </w:rPr>
                  <m:t>t</m:t>
                </m:r>
              </m:e>
            </m:d>
          </m:e>
        </m:d>
        <m:r>
          <w:rPr>
            <w:rFonts w:ascii="Cambria Math" w:hAnsi="Cambria Math"/>
            <w:sz w:val="20"/>
            <w:lang w:val="en-GB"/>
          </w:rPr>
          <m:t>-r(C,T)</m:t>
        </m:r>
      </m:oMath>
      <w:r w:rsidR="00007A36" w:rsidRPr="00007A36">
        <w:rPr>
          <w:lang w:val="en-GB"/>
        </w:rPr>
        <w:tab/>
        <w:t>(1)</w:t>
      </w:r>
    </w:p>
    <w:p w14:paraId="048487F6" w14:textId="24398F91" w:rsidR="00627E53" w:rsidRDefault="00F349D7" w:rsidP="00035542">
      <w:pPr>
        <w:pStyle w:val="CETBodytext"/>
        <w:rPr>
          <w:lang w:val="en-GB"/>
        </w:rPr>
      </w:pPr>
      <w:r>
        <w:rPr>
          <w:lang w:val="en-GB"/>
        </w:rPr>
        <w:t xml:space="preserve"> </w:t>
      </w:r>
      <w:r w:rsidR="00035542" w:rsidRPr="00035542">
        <w:rPr>
          <w:lang w:val="en-GB"/>
        </w:rPr>
        <w:t xml:space="preserve">where </w:t>
      </w:r>
      <m:oMath>
        <m:r>
          <w:rPr>
            <w:rFonts w:ascii="Cambria Math" w:hAnsi="Cambria Math"/>
            <w:lang w:val="en-GB"/>
          </w:rPr>
          <m:t>C(t)</m:t>
        </m:r>
      </m:oMath>
      <w:r w:rsidR="00035542" w:rsidRPr="00035542">
        <w:rPr>
          <w:lang w:val="en-GB"/>
        </w:rPr>
        <w:t xml:space="preserve"> is the concentration in the reactor,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in</m:t>
            </m:r>
          </m:sub>
        </m:sSub>
        <m:d>
          <m:dPr>
            <m:ctrlPr>
              <w:rPr>
                <w:rFonts w:ascii="Cambria Math" w:hAnsi="Cambria Math"/>
                <w:i/>
                <w:lang w:val="en-GB"/>
              </w:rPr>
            </m:ctrlPr>
          </m:dPr>
          <m:e>
            <m:r>
              <w:rPr>
                <w:rFonts w:ascii="Cambria Math" w:hAnsi="Cambria Math"/>
                <w:lang w:val="en-GB"/>
              </w:rPr>
              <m:t>t</m:t>
            </m:r>
          </m:e>
        </m:d>
        <m:r>
          <w:rPr>
            <w:rFonts w:ascii="Cambria Math" w:hAnsi="Cambria Math"/>
            <w:lang w:val="en-GB"/>
          </w:rPr>
          <m:t xml:space="preserve"> </m:t>
        </m:r>
      </m:oMath>
      <w:r w:rsidR="00035542" w:rsidRPr="00035542">
        <w:rPr>
          <w:lang w:val="en-GB"/>
        </w:rPr>
        <w:t xml:space="preserve">the inlet concentration, </w:t>
      </w:r>
      <m:oMath>
        <m:r>
          <w:rPr>
            <w:rFonts w:ascii="Cambria Math" w:hAnsi="Cambria Math"/>
            <w:lang w:val="en-GB"/>
          </w:rPr>
          <m:t>F</m:t>
        </m:r>
      </m:oMath>
      <w:r w:rsidR="00035542" w:rsidRPr="00035542">
        <w:rPr>
          <w:lang w:val="en-GB"/>
        </w:rPr>
        <w:t xml:space="preserve">  is the volumetric flow rate, </w:t>
      </w:r>
      <m:oMath>
        <m:r>
          <w:rPr>
            <w:rFonts w:ascii="Cambria Math" w:hAnsi="Cambria Math"/>
            <w:lang w:val="en-GB"/>
          </w:rPr>
          <m:t>V</m:t>
        </m:r>
      </m:oMath>
      <w:r w:rsidR="00035542" w:rsidRPr="00035542">
        <w:rPr>
          <w:lang w:val="en-GB"/>
        </w:rPr>
        <w:t xml:space="preserve"> is the reactor volume, and </w:t>
      </w:r>
      <m:oMath>
        <m:r>
          <w:rPr>
            <w:rFonts w:ascii="Cambria Math" w:hAnsi="Cambria Math"/>
            <w:lang w:val="en-GB"/>
          </w:rPr>
          <m:t>r(C,T)</m:t>
        </m:r>
      </m:oMath>
      <w:r w:rsidR="00035542" w:rsidRPr="00035542">
        <w:rPr>
          <w:lang w:val="en-GB"/>
        </w:rPr>
        <w:t xml:space="preserve"> is the reaction rate. Since the hydrotreating reaction depends strongly on temperature, the reaction rate is expressed by the Arrhenius-type nonlinear function:</w:t>
      </w:r>
    </w:p>
    <w:p w14:paraId="6E5C5573" w14:textId="0AEDED6C" w:rsidR="00292316" w:rsidRPr="00007A36" w:rsidRDefault="002071CE" w:rsidP="00007A36">
      <w:pPr>
        <w:pStyle w:val="CETBodytext"/>
        <w:tabs>
          <w:tab w:val="clear" w:pos="7100"/>
          <w:tab w:val="right" w:pos="720"/>
        </w:tabs>
        <w:ind w:left="720"/>
        <w:jc w:val="center"/>
        <w:rPr>
          <w:lang w:val="en-GB"/>
        </w:rPr>
      </w:pPr>
      <m:oMath>
        <m:r>
          <w:rPr>
            <w:rFonts w:ascii="Cambria Math" w:hAnsi="Cambria Math"/>
            <w:sz w:val="20"/>
            <w:lang w:val="en-GB"/>
          </w:rPr>
          <m:t>r</m:t>
        </m:r>
        <m:d>
          <m:dPr>
            <m:ctrlPr>
              <w:rPr>
                <w:rFonts w:ascii="Cambria Math" w:hAnsi="Cambria Math"/>
                <w:i/>
                <w:sz w:val="20"/>
                <w:lang w:val="en-GB"/>
              </w:rPr>
            </m:ctrlPr>
          </m:dPr>
          <m:e>
            <m:r>
              <w:rPr>
                <w:rFonts w:ascii="Cambria Math" w:hAnsi="Cambria Math"/>
                <w:sz w:val="20"/>
                <w:lang w:val="en-GB"/>
              </w:rPr>
              <m:t>C,T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k</m:t>
            </m:r>
          </m:e>
          <m:sub>
            <m:r>
              <w:rPr>
                <w:rFonts w:ascii="Cambria Math" w:hAnsi="Cambria Math"/>
                <w:sz w:val="20"/>
                <w:lang w:val="en-GB"/>
              </w:rPr>
              <m:t>0</m:t>
            </m:r>
          </m:sub>
        </m:sSub>
        <m:r>
          <w:rPr>
            <w:rFonts w:ascii="Cambria Math" w:hAnsi="Cambria Math"/>
            <w:sz w:val="20"/>
            <w:lang w:val="en-GB"/>
          </w:rPr>
          <m:t>exp(-</m:t>
        </m:r>
        <m:f>
          <m:fPr>
            <m:ctrlPr>
              <w:rPr>
                <w:rFonts w:ascii="Cambria Math" w:hAnsi="Cambria Math"/>
                <w:i/>
                <w:sz w:val="20"/>
                <w:lang w:val="en-GB"/>
              </w:rPr>
            </m:ctrlPr>
          </m:fPr>
          <m:num>
            <m:r>
              <w:rPr>
                <w:rFonts w:ascii="Cambria Math" w:hAnsi="Cambria Math"/>
                <w:sz w:val="20"/>
                <w:lang w:val="en-GB"/>
              </w:rPr>
              <m:t>E</m:t>
            </m:r>
          </m:num>
          <m:den>
            <m:r>
              <w:rPr>
                <w:rFonts w:ascii="Cambria Math" w:hAnsi="Cambria Math"/>
                <w:sz w:val="20"/>
                <w:lang w:val="en-GB"/>
              </w:rPr>
              <m:t>RT</m:t>
            </m:r>
            <m:d>
              <m:dPr>
                <m:ctrlPr>
                  <w:rPr>
                    <w:rFonts w:ascii="Cambria Math" w:hAnsi="Cambria Math"/>
                    <w:i/>
                    <w:sz w:val="20"/>
                    <w:lang w:val="en-GB"/>
                  </w:rPr>
                </m:ctrlPr>
              </m:dPr>
              <m:e>
                <m:r>
                  <w:rPr>
                    <w:rFonts w:ascii="Cambria Math" w:hAnsi="Cambria Math"/>
                    <w:sz w:val="20"/>
                    <w:lang w:val="en-GB"/>
                  </w:rPr>
                  <m:t>t</m:t>
                </m:r>
              </m:e>
            </m:d>
          </m:den>
        </m:f>
        <m:r>
          <w:rPr>
            <w:rFonts w:ascii="Cambria Math" w:hAnsi="Cambria Math"/>
            <w:sz w:val="20"/>
            <w:lang w:val="en-GB"/>
          </w:rPr>
          <m:t>)</m:t>
        </m:r>
        <m:sSup>
          <m:sSupPr>
            <m:ctrlPr>
              <w:rPr>
                <w:rFonts w:ascii="Cambria Math" w:hAnsi="Cambria Math"/>
                <w:i/>
                <w:sz w:val="20"/>
                <w:lang w:val="en-GB"/>
              </w:rPr>
            </m:ctrlPr>
          </m:sSupPr>
          <m:e>
            <m:r>
              <w:rPr>
                <w:rFonts w:ascii="Cambria Math" w:hAnsi="Cambria Math"/>
                <w:sz w:val="20"/>
                <w:lang w:val="en-GB"/>
              </w:rPr>
              <m:t>C</m:t>
            </m:r>
          </m:e>
          <m:sup>
            <m:r>
              <w:rPr>
                <w:rFonts w:ascii="Cambria Math" w:hAnsi="Cambria Math"/>
                <w:sz w:val="20"/>
                <w:lang w:val="en-GB"/>
              </w:rPr>
              <m:t>n</m:t>
            </m:r>
          </m:sup>
        </m:sSup>
        <m:r>
          <w:rPr>
            <w:rFonts w:ascii="Cambria Math" w:hAnsi="Cambria Math"/>
            <w:sz w:val="20"/>
            <w:lang w:val="en-GB"/>
          </w:rPr>
          <m:t>(t)</m:t>
        </m:r>
      </m:oMath>
      <w:r w:rsidR="00007A36">
        <w:rPr>
          <w:lang w:val="en-GB"/>
        </w:rPr>
        <w:tab/>
      </w:r>
      <w:r w:rsidR="00007A36" w:rsidRPr="00007A36">
        <w:rPr>
          <w:lang w:val="en-GB"/>
        </w:rPr>
        <w:t>(2)</w:t>
      </w:r>
    </w:p>
    <w:p w14:paraId="67470201" w14:textId="0033943C" w:rsidR="00292316" w:rsidRDefault="002071CE" w:rsidP="00292316">
      <w:pPr>
        <w:pStyle w:val="CETBodytext"/>
        <w:rPr>
          <w:lang w:val="en-GB"/>
        </w:rPr>
      </w:pPr>
      <w:r w:rsidRPr="002071CE">
        <w:rPr>
          <w:lang w:val="en-GB"/>
        </w:rPr>
        <w:t xml:space="preserve">where </w:t>
      </w:r>
      <m:oMath>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0</m:t>
            </m:r>
          </m:sub>
        </m:sSub>
      </m:oMath>
      <w:r w:rsidRPr="002071CE">
        <w:rPr>
          <w:lang w:val="en-GB"/>
        </w:rPr>
        <w:t xml:space="preserve"> is the pre-exponential factor, </w:t>
      </w:r>
      <w:r w:rsidRPr="002071CE">
        <w:rPr>
          <w:i/>
          <w:lang w:val="en-GB"/>
        </w:rPr>
        <w:t>E</w:t>
      </w:r>
      <w:r>
        <w:rPr>
          <w:lang w:val="en-GB"/>
        </w:rPr>
        <w:t xml:space="preserve"> </w:t>
      </w:r>
      <w:r w:rsidRPr="002071CE">
        <w:rPr>
          <w:lang w:val="en-GB"/>
        </w:rPr>
        <w:t xml:space="preserve">is the activation energy, </w:t>
      </w:r>
      <w:r w:rsidRPr="002071CE">
        <w:rPr>
          <w:i/>
          <w:lang w:val="en-GB"/>
        </w:rPr>
        <w:t>R</w:t>
      </w:r>
      <w:r w:rsidRPr="002071CE">
        <w:rPr>
          <w:lang w:val="en-GB"/>
        </w:rPr>
        <w:t xml:space="preserve"> is the universal gas constant, </w:t>
      </w:r>
      <w:r w:rsidRPr="002071CE">
        <w:rPr>
          <w:i/>
          <w:lang w:val="en-GB"/>
        </w:rPr>
        <w:t>T(t)</w:t>
      </w:r>
      <w:r w:rsidRPr="002071CE">
        <w:rPr>
          <w:lang w:val="en-GB"/>
        </w:rPr>
        <w:t xml:space="preserve"> is the reactor temperature, and </w:t>
      </w:r>
      <w:r w:rsidR="00F349D7" w:rsidRPr="00F349D7">
        <w:rPr>
          <w:i/>
          <w:lang w:val="en-GB"/>
        </w:rPr>
        <w:t>n</w:t>
      </w:r>
      <w:r w:rsidRPr="002071CE">
        <w:rPr>
          <w:lang w:val="en-GB"/>
        </w:rPr>
        <w:t xml:space="preserve"> is the reaction order. This equation shows that temperature variations directly influence the reaction rate and, consequently, the concentration dynamics.</w:t>
      </w:r>
    </w:p>
    <w:p w14:paraId="75D9ED08" w14:textId="550171EB" w:rsidR="00627E53" w:rsidRDefault="005401F8" w:rsidP="00627E53">
      <w:pPr>
        <w:pStyle w:val="CETBodytext"/>
        <w:ind w:left="720"/>
        <w:rPr>
          <w:lang w:val="en-GB"/>
        </w:rPr>
      </w:pPr>
      <w:r w:rsidRPr="005401F8">
        <w:rPr>
          <w:lang w:val="en-GB"/>
        </w:rPr>
        <w:t>The reactor temperature is described by the heat balance equation:</w:t>
      </w:r>
    </w:p>
    <w:p w14:paraId="3EC4AB14" w14:textId="5C3CD911" w:rsidR="005401F8" w:rsidRPr="00007A36" w:rsidRDefault="003C7CE7" w:rsidP="00007A36">
      <w:pPr>
        <w:pStyle w:val="CETBodytext"/>
        <w:tabs>
          <w:tab w:val="clear" w:pos="7100"/>
          <w:tab w:val="right" w:pos="720"/>
        </w:tabs>
        <w:ind w:left="720"/>
        <w:jc w:val="center"/>
        <w:rPr>
          <w:lang w:val="en-GB"/>
        </w:rPr>
      </w:pPr>
      <m:oMath>
        <m:f>
          <m:fPr>
            <m:ctrlPr>
              <w:rPr>
                <w:rFonts w:ascii="Cambria Math" w:hAnsi="Cambria Math"/>
                <w:i/>
                <w:sz w:val="20"/>
                <w:lang w:val="en-GB"/>
              </w:rPr>
            </m:ctrlPr>
          </m:fPr>
          <m:num>
            <m:r>
              <w:rPr>
                <w:rFonts w:ascii="Cambria Math" w:hAnsi="Cambria Math"/>
                <w:sz w:val="20"/>
                <w:lang w:val="en-GB"/>
              </w:rPr>
              <m:t>dT(t)</m:t>
            </m:r>
          </m:num>
          <m:den>
            <m:r>
              <w:rPr>
                <w:rFonts w:ascii="Cambria Math" w:hAnsi="Cambria Math"/>
                <w:sz w:val="20"/>
                <w:lang w:val="en-GB"/>
              </w:rPr>
              <m:t>dt</m:t>
            </m:r>
          </m:den>
        </m:f>
        <m:r>
          <w:rPr>
            <w:rFonts w:ascii="Cambria Math" w:hAnsi="Cambria Math"/>
            <w:sz w:val="20"/>
            <w:lang w:val="en-GB"/>
          </w:rPr>
          <m:t>=</m:t>
        </m:r>
        <m:f>
          <m:fPr>
            <m:ctrlPr>
              <w:rPr>
                <w:rFonts w:ascii="Cambria Math" w:hAnsi="Cambria Math"/>
                <w:i/>
                <w:sz w:val="20"/>
                <w:lang w:val="en-GB"/>
              </w:rPr>
            </m:ctrlPr>
          </m:fPr>
          <m:num>
            <m:r>
              <w:rPr>
                <w:rFonts w:ascii="Cambria Math" w:hAnsi="Cambria Math"/>
                <w:sz w:val="20"/>
                <w:lang w:val="en-GB"/>
              </w:rPr>
              <m:t>F</m:t>
            </m:r>
          </m:num>
          <m:den>
            <m:r>
              <w:rPr>
                <w:rFonts w:ascii="Cambria Math" w:hAnsi="Cambria Math"/>
                <w:sz w:val="20"/>
                <w:lang w:val="en-GB"/>
              </w:rPr>
              <m:t>V</m:t>
            </m:r>
          </m:den>
        </m:f>
        <m:d>
          <m:dPr>
            <m:ctrlPr>
              <w:rPr>
                <w:rFonts w:ascii="Cambria Math" w:hAnsi="Cambria Math"/>
                <w:i/>
                <w:sz w:val="20"/>
                <w:lang w:val="en-GB"/>
              </w:rPr>
            </m:ctrlPr>
          </m:dPr>
          <m:e>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in</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-T</m:t>
            </m:r>
            <m:d>
              <m:dPr>
                <m:ctrlPr>
                  <w:rPr>
                    <w:rFonts w:ascii="Cambria Math" w:hAnsi="Cambria Math"/>
                    <w:i/>
                    <w:sz w:val="20"/>
                    <w:lang w:val="en-GB"/>
                  </w:rPr>
                </m:ctrlPr>
              </m:dPr>
              <m:e>
                <m:r>
                  <w:rPr>
                    <w:rFonts w:ascii="Cambria Math" w:hAnsi="Cambria Math"/>
                    <w:sz w:val="20"/>
                    <w:lang w:val="en-GB"/>
                  </w:rPr>
                  <m:t>t</m:t>
                </m:r>
              </m:e>
            </m:d>
          </m:e>
        </m:d>
        <m:r>
          <w:rPr>
            <w:rFonts w:ascii="Cambria Math" w:hAnsi="Cambria Math"/>
            <w:sz w:val="20"/>
            <w:lang w:val="en-GB"/>
          </w:rPr>
          <m:t>+</m:t>
        </m:r>
        <m:f>
          <m:fPr>
            <m:ctrlPr>
              <w:rPr>
                <w:rFonts w:ascii="Cambria Math" w:hAnsi="Cambria Math"/>
                <w:i/>
                <w:sz w:val="20"/>
                <w:lang w:val="en-GB"/>
              </w:rPr>
            </m:ctrlPr>
          </m:fPr>
          <m:num>
            <m:r>
              <w:rPr>
                <w:rFonts w:ascii="Cambria Math" w:hAnsi="Cambria Math"/>
                <w:sz w:val="20"/>
                <w:lang w:val="en-GB"/>
              </w:rPr>
              <m:t>-∆H</m:t>
            </m:r>
          </m:num>
          <m:den>
            <m:r>
              <w:rPr>
                <w:rFonts w:ascii="Cambria Math" w:hAnsi="Cambria Math"/>
                <w:sz w:val="20"/>
                <w:lang w:val="en-GB"/>
              </w:rPr>
              <m:t>ρ</m:t>
            </m:r>
            <m:sSub>
              <m:sSubPr>
                <m:ctrlPr>
                  <w:rPr>
                    <w:rFonts w:ascii="Cambria Math" w:hAnsi="Cambria Math"/>
                    <w:i/>
                    <w:sz w:val="20"/>
                    <w:lang w:val="en-GB"/>
                  </w:rPr>
                </m:ctrlPr>
              </m:sSubPr>
              <m:e>
                <m:r>
                  <w:rPr>
                    <w:rFonts w:ascii="Cambria Math" w:hAnsi="Cambria Math"/>
                    <w:sz w:val="20"/>
                    <w:lang w:val="en-GB"/>
                  </w:rPr>
                  <m:t>C</m:t>
                </m:r>
              </m:e>
              <m:sub>
                <m:r>
                  <w:rPr>
                    <w:rFonts w:ascii="Cambria Math" w:hAnsi="Cambria Math"/>
                    <w:sz w:val="20"/>
                    <w:lang w:val="en-GB"/>
                  </w:rPr>
                  <m:t>ρ</m:t>
                </m:r>
              </m:sub>
            </m:sSub>
          </m:den>
        </m:f>
        <m:r>
          <w:rPr>
            <w:rFonts w:ascii="Cambria Math" w:hAnsi="Cambria Math"/>
            <w:sz w:val="20"/>
            <w:lang w:val="en-GB"/>
          </w:rPr>
          <m:t>r</m:t>
        </m:r>
        <m:d>
          <m:dPr>
            <m:ctrlPr>
              <w:rPr>
                <w:rFonts w:ascii="Cambria Math" w:hAnsi="Cambria Math"/>
                <w:i/>
                <w:sz w:val="20"/>
                <w:lang w:val="en-GB"/>
              </w:rPr>
            </m:ctrlPr>
          </m:dPr>
          <m:e>
            <m:r>
              <w:rPr>
                <w:rFonts w:ascii="Cambria Math" w:hAnsi="Cambria Math"/>
                <w:sz w:val="20"/>
                <w:lang w:val="en-GB"/>
              </w:rPr>
              <m:t>C,T</m:t>
            </m:r>
          </m:e>
        </m:d>
        <m:r>
          <w:rPr>
            <w:rFonts w:ascii="Cambria Math" w:hAnsi="Cambria Math"/>
            <w:sz w:val="20"/>
            <w:lang w:val="en-GB"/>
          </w:rPr>
          <m:t>+</m:t>
        </m:r>
        <m:f>
          <m:fPr>
            <m:ctrlPr>
              <w:rPr>
                <w:rFonts w:ascii="Cambria Math" w:hAnsi="Cambria Math"/>
                <w:i/>
                <w:sz w:val="20"/>
                <w:lang w:val="en-GB"/>
              </w:rPr>
            </m:ctrlPr>
          </m:fPr>
          <m:num>
            <m:r>
              <w:rPr>
                <w:rFonts w:ascii="Cambria Math" w:hAnsi="Cambria Math"/>
                <w:sz w:val="20"/>
                <w:lang w:val="en-GB"/>
              </w:rPr>
              <m:t>UA</m:t>
            </m:r>
          </m:num>
          <m:den>
            <m:r>
              <w:rPr>
                <w:rFonts w:ascii="Cambria Math" w:hAnsi="Cambria Math"/>
                <w:sz w:val="20"/>
                <w:lang w:val="en-GB"/>
              </w:rPr>
              <m:t>ρ</m:t>
            </m:r>
            <m:sSub>
              <m:sSubPr>
                <m:ctrlPr>
                  <w:rPr>
                    <w:rFonts w:ascii="Cambria Math" w:hAnsi="Cambria Math"/>
                    <w:i/>
                    <w:sz w:val="20"/>
                    <w:lang w:val="en-GB"/>
                  </w:rPr>
                </m:ctrlPr>
              </m:sSubPr>
              <m:e>
                <m:r>
                  <w:rPr>
                    <w:rFonts w:ascii="Cambria Math" w:hAnsi="Cambria Math"/>
                    <w:sz w:val="20"/>
                    <w:lang w:val="en-GB"/>
                  </w:rPr>
                  <m:t>C</m:t>
                </m:r>
              </m:e>
              <m:sub>
                <m:r>
                  <w:rPr>
                    <w:rFonts w:ascii="Cambria Math" w:hAnsi="Cambria Math"/>
                    <w:sz w:val="20"/>
                    <w:lang w:val="en-GB"/>
                  </w:rPr>
                  <m:t>ρ</m:t>
                </m:r>
              </m:sub>
            </m:sSub>
          </m:den>
        </m:f>
        <m:d>
          <m:dPr>
            <m:ctrlPr>
              <w:rPr>
                <w:rFonts w:ascii="Cambria Math" w:hAnsi="Cambria Math"/>
                <w:i/>
                <w:sz w:val="20"/>
                <w:lang w:val="en-GB"/>
              </w:rPr>
            </m:ctrlPr>
          </m:dPr>
          <m:e>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C</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-T</m:t>
            </m:r>
            <m:d>
              <m:dPr>
                <m:ctrlPr>
                  <w:rPr>
                    <w:rFonts w:ascii="Cambria Math" w:hAnsi="Cambria Math"/>
                    <w:i/>
                    <w:sz w:val="20"/>
                    <w:lang w:val="en-GB"/>
                  </w:rPr>
                </m:ctrlPr>
              </m:dPr>
              <m:e>
                <m:r>
                  <w:rPr>
                    <w:rFonts w:ascii="Cambria Math" w:hAnsi="Cambria Math"/>
                    <w:sz w:val="20"/>
                    <w:lang w:val="en-GB"/>
                  </w:rPr>
                  <m:t>t</m:t>
                </m:r>
              </m:e>
            </m:d>
          </m:e>
        </m:d>
      </m:oMath>
      <w:r w:rsidR="00007A36">
        <w:rPr>
          <w:lang w:val="en-GB"/>
        </w:rPr>
        <w:tab/>
      </w:r>
      <w:r w:rsidR="00007A36" w:rsidRPr="00007A36">
        <w:rPr>
          <w:lang w:val="en-GB"/>
        </w:rPr>
        <w:t>(3)</w:t>
      </w:r>
    </w:p>
    <w:p w14:paraId="19E3F4A9" w14:textId="6BA9BC07" w:rsidR="005401F8" w:rsidRDefault="005401F8" w:rsidP="005401F8">
      <w:pPr>
        <w:pStyle w:val="CETBodytext"/>
        <w:rPr>
          <w:lang w:val="en-GB"/>
        </w:rPr>
      </w:pPr>
      <w:r w:rsidRPr="005401F8">
        <w:rPr>
          <w:lang w:val="en-GB"/>
        </w:rPr>
        <w:t>where</w:t>
      </w:r>
      <m:oMath>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in</m:t>
            </m:r>
          </m:sub>
        </m:sSub>
        <m:r>
          <w:rPr>
            <w:rFonts w:ascii="Cambria Math" w:hAnsi="Cambria Math"/>
            <w:lang w:val="en-GB"/>
          </w:rPr>
          <m:t>(t)</m:t>
        </m:r>
      </m:oMath>
      <w:r w:rsidRPr="005401F8">
        <w:rPr>
          <w:lang w:val="en-GB"/>
        </w:rPr>
        <w:t xml:space="preserve"> is the inlet 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sub>
        </m:sSub>
        <m:r>
          <w:rPr>
            <w:rFonts w:ascii="Cambria Math" w:hAnsi="Cambria Math"/>
            <w:lang w:val="en-GB"/>
          </w:rPr>
          <m:t>(t)</m:t>
        </m:r>
      </m:oMath>
      <w:r w:rsidRPr="005401F8">
        <w:rPr>
          <w:lang w:val="en-GB"/>
        </w:rPr>
        <w:t xml:space="preserve"> is the coolant temperature, </w:t>
      </w:r>
      <m:oMath>
        <m:r>
          <w:rPr>
            <w:rFonts w:ascii="Cambria Math" w:hAnsi="Cambria Math"/>
            <w:lang w:val="en-GB"/>
          </w:rPr>
          <m:t>∆H</m:t>
        </m:r>
      </m:oMath>
      <w:r w:rsidR="00F349D7" w:rsidRPr="005401F8">
        <w:rPr>
          <w:lang w:val="en-GB"/>
        </w:rPr>
        <w:t xml:space="preserve"> </w:t>
      </w:r>
      <w:r w:rsidRPr="005401F8">
        <w:rPr>
          <w:lang w:val="en-GB"/>
        </w:rPr>
        <w:t xml:space="preserve">is the heat effect of reaction, </w:t>
      </w:r>
      <m:oMath>
        <m:r>
          <w:rPr>
            <w:rFonts w:ascii="Cambria Math" w:hAnsi="Cambria Math"/>
            <w:lang w:val="en-GB"/>
          </w:rPr>
          <m:t xml:space="preserve">ρ </m:t>
        </m:r>
      </m:oMath>
      <w:r w:rsidRPr="005401F8">
        <w:rPr>
          <w:lang w:val="en-GB"/>
        </w:rPr>
        <w:t xml:space="preserve">is the density of the reaction mixture,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p</m:t>
            </m:r>
          </m:sub>
        </m:sSub>
      </m:oMath>
      <w:r w:rsidR="00F349D7" w:rsidRPr="005401F8">
        <w:rPr>
          <w:lang w:val="en-GB"/>
        </w:rPr>
        <w:t xml:space="preserve"> </w:t>
      </w:r>
      <w:r w:rsidRPr="005401F8">
        <w:rPr>
          <w:lang w:val="en-GB"/>
        </w:rPr>
        <w:t xml:space="preserve">is the heat capacity, </w:t>
      </w:r>
      <m:oMath>
        <m:r>
          <w:rPr>
            <w:rFonts w:ascii="Cambria Math" w:hAnsi="Cambria Math"/>
            <w:lang w:val="en-GB"/>
          </w:rPr>
          <m:t>U</m:t>
        </m:r>
      </m:oMath>
      <w:r w:rsidRPr="005401F8">
        <w:rPr>
          <w:lang w:val="en-GB"/>
        </w:rPr>
        <w:t xml:space="preserve"> is the heat transfer coefficient, and </w:t>
      </w:r>
      <m:oMath>
        <m:r>
          <w:rPr>
            <w:rFonts w:ascii="Cambria Math" w:hAnsi="Cambria Math"/>
            <w:lang w:val="en-GB"/>
          </w:rPr>
          <m:t>A</m:t>
        </m:r>
      </m:oMath>
      <w:r w:rsidRPr="005401F8">
        <w:rPr>
          <w:lang w:val="en-GB"/>
        </w:rPr>
        <w:t xml:space="preserve"> is the heat excha</w:t>
      </w:r>
      <w:r w:rsidR="00E200BB">
        <w:rPr>
          <w:lang w:val="en-GB"/>
        </w:rPr>
        <w:t>nge surface area. Equations (1)-</w:t>
      </w:r>
      <w:r w:rsidRPr="005401F8">
        <w:rPr>
          <w:lang w:val="en-GB"/>
        </w:rPr>
        <w:t>(3) form the nonlinear dynamic model of the hydrotreating reactor.</w:t>
      </w:r>
    </w:p>
    <w:p w14:paraId="4F4FBB4A" w14:textId="1481EB1E" w:rsidR="0091626F" w:rsidRDefault="0091626F" w:rsidP="0091626F">
      <w:pPr>
        <w:pStyle w:val="CETBodytext"/>
        <w:ind w:firstLine="426"/>
        <w:rPr>
          <w:lang w:val="en-GB"/>
        </w:rPr>
      </w:pPr>
      <w:r w:rsidRPr="0091626F">
        <w:rPr>
          <w:highlight w:val="yellow"/>
          <w:lang w:val="en-GB"/>
        </w:rPr>
        <w:t>The nominal operating conditions, kinetic parameters, thermophysical properties, and PID tuning constants adopted for the comparative simulations are summarized in Table 1. The parameters were selected within physically reasonable ranges reported for diesel hydrotreating systems and were kept identical for both control strategies.</w:t>
      </w:r>
    </w:p>
    <w:tbl>
      <w:tblPr>
        <w:tblStyle w:val="afffb"/>
        <w:tblW w:w="0" w:type="auto"/>
        <w:tblInd w:w="720" w:type="dxa"/>
        <w:tblLook w:val="04A0" w:firstRow="1" w:lastRow="0" w:firstColumn="1" w:lastColumn="0" w:noHBand="0" w:noVBand="1"/>
      </w:tblPr>
      <w:tblGrid>
        <w:gridCol w:w="2014"/>
        <w:gridCol w:w="2014"/>
        <w:gridCol w:w="2014"/>
        <w:gridCol w:w="2015"/>
      </w:tblGrid>
      <w:tr w:rsidR="0091626F" w14:paraId="4054C12B" w14:textId="77777777" w:rsidTr="0091626F">
        <w:tc>
          <w:tcPr>
            <w:tcW w:w="2014" w:type="dxa"/>
            <w:vAlign w:val="center"/>
          </w:tcPr>
          <w:p w14:paraId="7FB37166" w14:textId="7F0444E7" w:rsidR="0091626F" w:rsidRPr="0091626F" w:rsidRDefault="0091626F" w:rsidP="0091626F">
            <w:pPr>
              <w:pStyle w:val="CETBodytext"/>
              <w:jc w:val="center"/>
              <w:rPr>
                <w:rFonts w:cs="Arial"/>
                <w:lang w:val="en-GB"/>
              </w:rPr>
            </w:pPr>
            <w:r w:rsidRPr="0091626F">
              <w:rPr>
                <w:rFonts w:cs="Arial"/>
                <w:b/>
                <w:bCs/>
              </w:rPr>
              <w:t>Parameter</w:t>
            </w:r>
          </w:p>
        </w:tc>
        <w:tc>
          <w:tcPr>
            <w:tcW w:w="2014" w:type="dxa"/>
            <w:vAlign w:val="center"/>
          </w:tcPr>
          <w:p w14:paraId="221260C0" w14:textId="61D45B43" w:rsidR="0091626F" w:rsidRPr="0091626F" w:rsidRDefault="0091626F" w:rsidP="0091626F">
            <w:pPr>
              <w:pStyle w:val="CETBodytext"/>
              <w:jc w:val="center"/>
              <w:rPr>
                <w:rFonts w:cs="Arial"/>
                <w:lang w:val="en-GB"/>
              </w:rPr>
            </w:pPr>
            <w:r w:rsidRPr="0091626F">
              <w:rPr>
                <w:rFonts w:cs="Arial"/>
                <w:b/>
                <w:bCs/>
              </w:rPr>
              <w:t>Symbol</w:t>
            </w:r>
          </w:p>
        </w:tc>
        <w:tc>
          <w:tcPr>
            <w:tcW w:w="2014" w:type="dxa"/>
            <w:vAlign w:val="center"/>
          </w:tcPr>
          <w:p w14:paraId="3616619E" w14:textId="2ABDF13B" w:rsidR="0091626F" w:rsidRPr="0091626F" w:rsidRDefault="0091626F" w:rsidP="0091626F">
            <w:pPr>
              <w:pStyle w:val="CETBodytext"/>
              <w:jc w:val="center"/>
              <w:rPr>
                <w:rFonts w:cs="Arial"/>
                <w:lang w:val="en-GB"/>
              </w:rPr>
            </w:pPr>
            <w:r w:rsidRPr="0091626F">
              <w:rPr>
                <w:rFonts w:cs="Arial"/>
                <w:b/>
                <w:bCs/>
              </w:rPr>
              <w:t>Value</w:t>
            </w:r>
          </w:p>
        </w:tc>
        <w:tc>
          <w:tcPr>
            <w:tcW w:w="2015" w:type="dxa"/>
            <w:vAlign w:val="center"/>
          </w:tcPr>
          <w:p w14:paraId="13ABC943" w14:textId="53DC40BF" w:rsidR="0091626F" w:rsidRPr="0091626F" w:rsidRDefault="0091626F" w:rsidP="0091626F">
            <w:pPr>
              <w:pStyle w:val="CETBodytext"/>
              <w:jc w:val="center"/>
              <w:rPr>
                <w:rFonts w:cs="Arial"/>
                <w:lang w:val="en-GB"/>
              </w:rPr>
            </w:pPr>
            <w:r w:rsidRPr="0091626F">
              <w:rPr>
                <w:rFonts w:cs="Arial"/>
                <w:b/>
                <w:bCs/>
              </w:rPr>
              <w:t>Unit</w:t>
            </w:r>
          </w:p>
        </w:tc>
      </w:tr>
      <w:tr w:rsidR="0091626F" w14:paraId="6D2A0C8C" w14:textId="77777777" w:rsidTr="0091626F">
        <w:tc>
          <w:tcPr>
            <w:tcW w:w="2014" w:type="dxa"/>
            <w:vAlign w:val="center"/>
          </w:tcPr>
          <w:p w14:paraId="0E836072" w14:textId="43ACB0D5" w:rsidR="0091626F" w:rsidRPr="0091626F" w:rsidRDefault="0091626F" w:rsidP="0091626F">
            <w:pPr>
              <w:pStyle w:val="CETBodytext"/>
              <w:jc w:val="center"/>
              <w:rPr>
                <w:rFonts w:cs="Arial"/>
                <w:lang w:val="en-GB"/>
              </w:rPr>
            </w:pPr>
            <w:r w:rsidRPr="0091626F">
              <w:rPr>
                <w:rFonts w:cs="Arial"/>
              </w:rPr>
              <w:t>Reactor working volume</w:t>
            </w:r>
          </w:p>
        </w:tc>
        <w:tc>
          <w:tcPr>
            <w:tcW w:w="2014" w:type="dxa"/>
            <w:vAlign w:val="center"/>
          </w:tcPr>
          <w:p w14:paraId="6117B660" w14:textId="40915CF1" w:rsidR="0091626F" w:rsidRPr="0091626F" w:rsidRDefault="0091626F" w:rsidP="0091626F">
            <w:pPr>
              <w:pStyle w:val="CETBodytext"/>
              <w:jc w:val="center"/>
              <w:rPr>
                <w:rFonts w:cs="Arial"/>
                <w:lang w:val="en-GB"/>
              </w:rPr>
            </w:pPr>
            <m:oMathPara>
              <m:oMath>
                <m:r>
                  <w:rPr>
                    <w:rFonts w:ascii="Cambria Math" w:hAnsi="Cambria Math"/>
                    <w:sz w:val="20"/>
                    <w:lang w:val="en-GB"/>
                  </w:rPr>
                  <m:t>V</m:t>
                </m:r>
              </m:oMath>
            </m:oMathPara>
          </w:p>
        </w:tc>
        <w:tc>
          <w:tcPr>
            <w:tcW w:w="2014" w:type="dxa"/>
            <w:vAlign w:val="center"/>
          </w:tcPr>
          <w:p w14:paraId="65BC6D38" w14:textId="12A979A9" w:rsidR="0091626F" w:rsidRPr="0091626F" w:rsidRDefault="0091626F" w:rsidP="0091626F">
            <w:pPr>
              <w:pStyle w:val="CETBodytext"/>
              <w:jc w:val="center"/>
              <w:rPr>
                <w:rFonts w:cs="Arial"/>
                <w:lang w:val="en-GB"/>
              </w:rPr>
            </w:pPr>
            <w:r w:rsidRPr="0091626F">
              <w:rPr>
                <w:rFonts w:cs="Arial"/>
              </w:rPr>
              <w:t>5.0</w:t>
            </w:r>
          </w:p>
        </w:tc>
        <w:tc>
          <w:tcPr>
            <w:tcW w:w="2015" w:type="dxa"/>
            <w:vAlign w:val="center"/>
          </w:tcPr>
          <w:p w14:paraId="08B6F036" w14:textId="6C212F83" w:rsidR="0091626F" w:rsidRPr="0091626F" w:rsidRDefault="003C7CE7" w:rsidP="0091626F">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m</m:t>
                    </m:r>
                  </m:e>
                  <m:sup>
                    <m:r>
                      <w:rPr>
                        <w:rFonts w:ascii="Cambria Math" w:hAnsi="Cambria Math"/>
                        <w:sz w:val="20"/>
                        <w:lang w:val="en-GB"/>
                      </w:rPr>
                      <m:t>3</m:t>
                    </m:r>
                  </m:sup>
                </m:sSup>
              </m:oMath>
            </m:oMathPara>
          </w:p>
        </w:tc>
      </w:tr>
      <w:tr w:rsidR="0091626F" w14:paraId="6E060BD6" w14:textId="77777777" w:rsidTr="0091626F">
        <w:tc>
          <w:tcPr>
            <w:tcW w:w="2014" w:type="dxa"/>
            <w:vAlign w:val="center"/>
          </w:tcPr>
          <w:p w14:paraId="01305B43" w14:textId="2CBFA3B9" w:rsidR="0091626F" w:rsidRPr="0091626F" w:rsidRDefault="0091626F" w:rsidP="0091626F">
            <w:pPr>
              <w:pStyle w:val="CETBodytext"/>
              <w:jc w:val="center"/>
              <w:rPr>
                <w:rFonts w:cs="Arial"/>
                <w:lang w:val="en-GB"/>
              </w:rPr>
            </w:pPr>
            <w:r w:rsidRPr="0091626F">
              <w:rPr>
                <w:rFonts w:cs="Arial"/>
              </w:rPr>
              <w:t>Nominal feed flow rate</w:t>
            </w:r>
          </w:p>
        </w:tc>
        <w:tc>
          <w:tcPr>
            <w:tcW w:w="2014" w:type="dxa"/>
            <w:vAlign w:val="center"/>
          </w:tcPr>
          <w:p w14:paraId="3729CB51" w14:textId="58698CD1" w:rsidR="0091626F" w:rsidRPr="0091626F" w:rsidRDefault="0091626F" w:rsidP="0091626F">
            <w:pPr>
              <w:pStyle w:val="CETBodytext"/>
              <w:jc w:val="center"/>
              <w:rPr>
                <w:rFonts w:cs="Arial"/>
                <w:lang w:val="en-GB"/>
              </w:rPr>
            </w:pPr>
            <m:oMathPara>
              <m:oMath>
                <m:r>
                  <w:rPr>
                    <w:rFonts w:ascii="Cambria Math" w:hAnsi="Cambria Math"/>
                    <w:sz w:val="20"/>
                    <w:lang w:val="en-GB"/>
                  </w:rPr>
                  <m:t>F</m:t>
                </m:r>
              </m:oMath>
            </m:oMathPara>
          </w:p>
        </w:tc>
        <w:tc>
          <w:tcPr>
            <w:tcW w:w="2014" w:type="dxa"/>
            <w:vAlign w:val="center"/>
          </w:tcPr>
          <w:p w14:paraId="5969C22F" w14:textId="383E2D9C" w:rsidR="0091626F" w:rsidRPr="0091626F" w:rsidRDefault="0091626F" w:rsidP="0091626F">
            <w:pPr>
              <w:pStyle w:val="CETBodytext"/>
              <w:jc w:val="center"/>
              <w:rPr>
                <w:rFonts w:cs="Arial"/>
                <w:lang w:val="en-GB"/>
              </w:rPr>
            </w:pPr>
            <w:r w:rsidRPr="0091626F">
              <w:rPr>
                <w:rFonts w:cs="Arial"/>
              </w:rPr>
              <w:t>0.025</w:t>
            </w:r>
          </w:p>
        </w:tc>
        <w:tc>
          <w:tcPr>
            <w:tcW w:w="2015" w:type="dxa"/>
            <w:vAlign w:val="center"/>
          </w:tcPr>
          <w:p w14:paraId="494B6F9F" w14:textId="647A07EA" w:rsidR="0091626F" w:rsidRPr="0091626F" w:rsidRDefault="003C7CE7" w:rsidP="0091626F">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m</m:t>
                    </m:r>
                  </m:e>
                  <m:sup>
                    <m:r>
                      <w:rPr>
                        <w:rFonts w:ascii="Cambria Math" w:hAnsi="Cambria Math"/>
                        <w:sz w:val="20"/>
                        <w:lang w:val="en-GB"/>
                      </w:rPr>
                      <m:t>3</m:t>
                    </m:r>
                  </m:sup>
                </m:sSup>
                <m:r>
                  <w:rPr>
                    <w:rFonts w:ascii="Cambria Math" w:hAnsi="Cambria Math"/>
                    <w:sz w:val="20"/>
                    <w:lang w:val="en-GB"/>
                  </w:rPr>
                  <m:t>/s</m:t>
                </m:r>
              </m:oMath>
            </m:oMathPara>
          </w:p>
        </w:tc>
      </w:tr>
      <w:tr w:rsidR="0091626F" w14:paraId="7E39396E" w14:textId="77777777" w:rsidTr="0091626F">
        <w:tc>
          <w:tcPr>
            <w:tcW w:w="2014" w:type="dxa"/>
            <w:vAlign w:val="center"/>
          </w:tcPr>
          <w:p w14:paraId="79011237" w14:textId="7C79A88A" w:rsidR="0091626F" w:rsidRPr="0091626F" w:rsidRDefault="0091626F" w:rsidP="0091626F">
            <w:pPr>
              <w:pStyle w:val="CETBodytext"/>
              <w:jc w:val="center"/>
              <w:rPr>
                <w:rFonts w:cs="Arial"/>
                <w:lang w:val="en-GB"/>
              </w:rPr>
            </w:pPr>
            <w:r w:rsidRPr="0091626F">
              <w:rPr>
                <w:rFonts w:cs="Arial"/>
              </w:rPr>
              <w:t>Inlet component concentration</w:t>
            </w:r>
          </w:p>
        </w:tc>
        <w:tc>
          <w:tcPr>
            <w:tcW w:w="2014" w:type="dxa"/>
            <w:vAlign w:val="center"/>
          </w:tcPr>
          <w:p w14:paraId="3924C363" w14:textId="722FEBD4" w:rsidR="0091626F" w:rsidRPr="0091626F" w:rsidRDefault="003C7CE7" w:rsidP="0091626F">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C</m:t>
                    </m:r>
                  </m:e>
                  <m:sub>
                    <m:r>
                      <w:rPr>
                        <w:rFonts w:ascii="Cambria Math" w:hAnsi="Cambria Math"/>
                        <w:sz w:val="20"/>
                        <w:lang w:val="en-GB"/>
                      </w:rPr>
                      <m:t>in</m:t>
                    </m:r>
                  </m:sub>
                </m:sSub>
              </m:oMath>
            </m:oMathPara>
          </w:p>
        </w:tc>
        <w:tc>
          <w:tcPr>
            <w:tcW w:w="2014" w:type="dxa"/>
            <w:vAlign w:val="center"/>
          </w:tcPr>
          <w:p w14:paraId="52688D19" w14:textId="5C466116" w:rsidR="0091626F" w:rsidRPr="0091626F" w:rsidRDefault="0091626F" w:rsidP="0091626F">
            <w:pPr>
              <w:pStyle w:val="CETBodytext"/>
              <w:jc w:val="center"/>
              <w:rPr>
                <w:rFonts w:cs="Arial"/>
                <w:lang w:val="en-GB"/>
              </w:rPr>
            </w:pPr>
            <w:r w:rsidRPr="0091626F">
              <w:rPr>
                <w:rFonts w:cs="Arial"/>
              </w:rPr>
              <w:t>12.0</w:t>
            </w:r>
          </w:p>
        </w:tc>
        <w:tc>
          <w:tcPr>
            <w:tcW w:w="2015" w:type="dxa"/>
            <w:vAlign w:val="center"/>
          </w:tcPr>
          <w:p w14:paraId="0FF9D3A6" w14:textId="78EA3991" w:rsidR="0091626F" w:rsidRPr="0091626F" w:rsidRDefault="003C7CE7" w:rsidP="0091626F">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mol/m</m:t>
                    </m:r>
                  </m:e>
                  <m:sup>
                    <m:r>
                      <w:rPr>
                        <w:rFonts w:ascii="Cambria Math" w:hAnsi="Cambria Math"/>
                        <w:sz w:val="20"/>
                        <w:lang w:val="en-GB"/>
                      </w:rPr>
                      <m:t>3</m:t>
                    </m:r>
                  </m:sup>
                </m:sSup>
              </m:oMath>
            </m:oMathPara>
          </w:p>
        </w:tc>
      </w:tr>
      <w:tr w:rsidR="0091626F" w14:paraId="5287F5BC" w14:textId="77777777" w:rsidTr="0091626F">
        <w:tc>
          <w:tcPr>
            <w:tcW w:w="2014" w:type="dxa"/>
            <w:vAlign w:val="center"/>
          </w:tcPr>
          <w:p w14:paraId="745D1EA7" w14:textId="1FD15B3F" w:rsidR="0091626F" w:rsidRPr="0091626F" w:rsidRDefault="0091626F" w:rsidP="0091626F">
            <w:pPr>
              <w:pStyle w:val="CETBodytext"/>
              <w:jc w:val="center"/>
              <w:rPr>
                <w:rFonts w:cs="Arial"/>
                <w:lang w:val="en-GB"/>
              </w:rPr>
            </w:pPr>
            <w:r w:rsidRPr="0091626F">
              <w:rPr>
                <w:rFonts w:cs="Arial"/>
              </w:rPr>
              <w:t>Reference outlet concentration</w:t>
            </w:r>
          </w:p>
        </w:tc>
        <w:tc>
          <w:tcPr>
            <w:tcW w:w="2014" w:type="dxa"/>
            <w:vAlign w:val="center"/>
          </w:tcPr>
          <w:p w14:paraId="336DE9E0" w14:textId="63033C89" w:rsidR="0091626F" w:rsidRPr="0091626F" w:rsidRDefault="003C7CE7" w:rsidP="0091626F">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С</m:t>
                    </m:r>
                  </m:e>
                  <m:sub>
                    <m:r>
                      <w:rPr>
                        <w:rFonts w:ascii="Cambria Math" w:hAnsi="Cambria Math"/>
                        <w:sz w:val="20"/>
                        <w:lang w:val="en-GB"/>
                      </w:rPr>
                      <m:t>ref</m:t>
                    </m:r>
                  </m:sub>
                </m:sSub>
              </m:oMath>
            </m:oMathPara>
          </w:p>
        </w:tc>
        <w:tc>
          <w:tcPr>
            <w:tcW w:w="2014" w:type="dxa"/>
            <w:vAlign w:val="center"/>
          </w:tcPr>
          <w:p w14:paraId="1AB1FDEF" w14:textId="312EED5B" w:rsidR="0091626F" w:rsidRPr="0091626F" w:rsidRDefault="0091626F" w:rsidP="0091626F">
            <w:pPr>
              <w:pStyle w:val="CETBodytext"/>
              <w:jc w:val="center"/>
              <w:rPr>
                <w:rFonts w:cs="Arial"/>
                <w:lang w:val="en-GB"/>
              </w:rPr>
            </w:pPr>
            <w:r w:rsidRPr="0091626F">
              <w:rPr>
                <w:rFonts w:cs="Arial"/>
              </w:rPr>
              <w:t>10.0</w:t>
            </w:r>
          </w:p>
        </w:tc>
        <w:tc>
          <w:tcPr>
            <w:tcW w:w="2015" w:type="dxa"/>
            <w:vAlign w:val="center"/>
          </w:tcPr>
          <w:p w14:paraId="39677F35" w14:textId="75FC7FF4" w:rsidR="0091626F" w:rsidRPr="0091626F" w:rsidRDefault="003C7CE7" w:rsidP="0091626F">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mol/m</m:t>
                    </m:r>
                  </m:e>
                  <m:sup>
                    <m:r>
                      <w:rPr>
                        <w:rFonts w:ascii="Cambria Math" w:hAnsi="Cambria Math"/>
                        <w:sz w:val="20"/>
                        <w:lang w:val="en-GB"/>
                      </w:rPr>
                      <m:t>3</m:t>
                    </m:r>
                  </m:sup>
                </m:sSup>
              </m:oMath>
            </m:oMathPara>
          </w:p>
        </w:tc>
      </w:tr>
      <w:tr w:rsidR="0091626F" w14:paraId="5D1BA9AE" w14:textId="77777777" w:rsidTr="0091626F">
        <w:tc>
          <w:tcPr>
            <w:tcW w:w="2014" w:type="dxa"/>
            <w:vAlign w:val="center"/>
          </w:tcPr>
          <w:p w14:paraId="44EB1333" w14:textId="776F1114" w:rsidR="0091626F" w:rsidRPr="0091626F" w:rsidRDefault="0091626F" w:rsidP="0091626F">
            <w:pPr>
              <w:pStyle w:val="CETBodytext"/>
              <w:jc w:val="center"/>
              <w:rPr>
                <w:rFonts w:cs="Arial"/>
                <w:lang w:val="en-GB"/>
              </w:rPr>
            </w:pPr>
            <w:r w:rsidRPr="0091626F">
              <w:rPr>
                <w:rFonts w:cs="Arial"/>
              </w:rPr>
              <w:t>Inlet feed temperature</w:t>
            </w:r>
          </w:p>
        </w:tc>
        <w:tc>
          <w:tcPr>
            <w:tcW w:w="2014" w:type="dxa"/>
            <w:vAlign w:val="center"/>
          </w:tcPr>
          <w:p w14:paraId="094C6692" w14:textId="6BAC781E" w:rsidR="0091626F" w:rsidRPr="0091626F" w:rsidRDefault="003C7CE7" w:rsidP="0091626F">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in</m:t>
                    </m:r>
                  </m:sub>
                </m:sSub>
              </m:oMath>
            </m:oMathPara>
          </w:p>
        </w:tc>
        <w:tc>
          <w:tcPr>
            <w:tcW w:w="2014" w:type="dxa"/>
            <w:vAlign w:val="center"/>
          </w:tcPr>
          <w:p w14:paraId="530796C0" w14:textId="42B81E4B" w:rsidR="0091626F" w:rsidRPr="0091626F" w:rsidRDefault="0091626F" w:rsidP="0091626F">
            <w:pPr>
              <w:pStyle w:val="CETBodytext"/>
              <w:jc w:val="center"/>
              <w:rPr>
                <w:rFonts w:cs="Arial"/>
                <w:lang w:val="en-GB"/>
              </w:rPr>
            </w:pPr>
            <w:r w:rsidRPr="0091626F">
              <w:rPr>
                <w:rFonts w:cs="Arial"/>
              </w:rPr>
              <w:t>330</w:t>
            </w:r>
          </w:p>
        </w:tc>
        <w:tc>
          <w:tcPr>
            <w:tcW w:w="2015" w:type="dxa"/>
            <w:vAlign w:val="center"/>
          </w:tcPr>
          <w:p w14:paraId="652F27ED" w14:textId="5E7241CE" w:rsidR="0091626F" w:rsidRPr="0091626F" w:rsidRDefault="00165F6E" w:rsidP="00165F6E">
            <w:pPr>
              <w:pStyle w:val="CETBodytext"/>
              <w:jc w:val="center"/>
              <w:rPr>
                <w:rFonts w:cs="Arial"/>
                <w:lang w:val="en-GB"/>
              </w:rPr>
            </w:pPr>
            <m:oMathPara>
              <m:oMath>
                <m:r>
                  <w:rPr>
                    <w:rFonts w:ascii="Cambria Math" w:hAnsi="Cambria Math"/>
                    <w:sz w:val="20"/>
                    <w:lang w:val="en-GB"/>
                  </w:rPr>
                  <m:t>K</m:t>
                </m:r>
              </m:oMath>
            </m:oMathPara>
          </w:p>
        </w:tc>
      </w:tr>
      <w:tr w:rsidR="0091626F" w14:paraId="621A314E" w14:textId="77777777" w:rsidTr="0091626F">
        <w:tc>
          <w:tcPr>
            <w:tcW w:w="2014" w:type="dxa"/>
            <w:vAlign w:val="center"/>
          </w:tcPr>
          <w:p w14:paraId="09495859" w14:textId="367D62DC" w:rsidR="0091626F" w:rsidRPr="0091626F" w:rsidRDefault="0091626F" w:rsidP="0091626F">
            <w:pPr>
              <w:pStyle w:val="CETBodytext"/>
              <w:jc w:val="center"/>
              <w:rPr>
                <w:rFonts w:cs="Arial"/>
                <w:lang w:val="en-GB"/>
              </w:rPr>
            </w:pPr>
            <w:r w:rsidRPr="0091626F">
              <w:rPr>
                <w:rFonts w:cs="Arial"/>
              </w:rPr>
              <w:t>Reactor-temperature reference</w:t>
            </w:r>
          </w:p>
        </w:tc>
        <w:tc>
          <w:tcPr>
            <w:tcW w:w="2014" w:type="dxa"/>
            <w:vAlign w:val="center"/>
          </w:tcPr>
          <w:p w14:paraId="5DCF0388" w14:textId="029436AE" w:rsidR="0091626F" w:rsidRPr="0091626F" w:rsidRDefault="003C7CE7" w:rsidP="0091626F">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ref</m:t>
                    </m:r>
                  </m:sub>
                </m:sSub>
              </m:oMath>
            </m:oMathPara>
          </w:p>
        </w:tc>
        <w:tc>
          <w:tcPr>
            <w:tcW w:w="2014" w:type="dxa"/>
            <w:vAlign w:val="center"/>
          </w:tcPr>
          <w:p w14:paraId="69C750E5" w14:textId="3C3710D4" w:rsidR="0091626F" w:rsidRPr="0091626F" w:rsidRDefault="0091626F" w:rsidP="0091626F">
            <w:pPr>
              <w:pStyle w:val="CETBodytext"/>
              <w:jc w:val="center"/>
              <w:rPr>
                <w:rFonts w:cs="Arial"/>
                <w:lang w:val="en-GB"/>
              </w:rPr>
            </w:pPr>
            <w:r w:rsidRPr="0091626F">
              <w:rPr>
                <w:rFonts w:cs="Arial"/>
              </w:rPr>
              <w:t>350</w:t>
            </w:r>
          </w:p>
        </w:tc>
        <w:tc>
          <w:tcPr>
            <w:tcW w:w="2015" w:type="dxa"/>
            <w:vAlign w:val="center"/>
          </w:tcPr>
          <w:p w14:paraId="1E774EE4" w14:textId="67B62C92" w:rsidR="0091626F" w:rsidRPr="0091626F" w:rsidRDefault="00165F6E" w:rsidP="0091626F">
            <w:pPr>
              <w:pStyle w:val="CETBodytext"/>
              <w:jc w:val="center"/>
              <w:rPr>
                <w:rFonts w:cs="Arial"/>
                <w:lang w:val="en-GB"/>
              </w:rPr>
            </w:pPr>
            <m:oMathPara>
              <m:oMath>
                <m:r>
                  <w:rPr>
                    <w:rFonts w:ascii="Cambria Math" w:hAnsi="Cambria Math"/>
                    <w:sz w:val="20"/>
                    <w:lang w:val="en-GB"/>
                  </w:rPr>
                  <m:t>K</m:t>
                </m:r>
              </m:oMath>
            </m:oMathPara>
          </w:p>
        </w:tc>
      </w:tr>
      <w:tr w:rsidR="0091626F" w14:paraId="0FB905C9" w14:textId="77777777" w:rsidTr="0091626F">
        <w:tc>
          <w:tcPr>
            <w:tcW w:w="2014" w:type="dxa"/>
            <w:vAlign w:val="center"/>
          </w:tcPr>
          <w:p w14:paraId="1AC9FBC5" w14:textId="75D787C5" w:rsidR="0091626F" w:rsidRPr="0091626F" w:rsidRDefault="0091626F" w:rsidP="0091626F">
            <w:pPr>
              <w:pStyle w:val="CETBodytext"/>
              <w:jc w:val="center"/>
              <w:rPr>
                <w:rFonts w:cs="Arial"/>
                <w:lang w:val="en-GB"/>
              </w:rPr>
            </w:pPr>
            <w:r w:rsidRPr="0091626F">
              <w:rPr>
                <w:rFonts w:cs="Arial"/>
              </w:rPr>
              <w:t>Coolant temperature</w:t>
            </w:r>
          </w:p>
        </w:tc>
        <w:tc>
          <w:tcPr>
            <w:tcW w:w="2014" w:type="dxa"/>
            <w:vAlign w:val="center"/>
          </w:tcPr>
          <w:p w14:paraId="51CC6A81" w14:textId="17FAB647" w:rsidR="0091626F" w:rsidRPr="0091626F" w:rsidRDefault="003C7CE7" w:rsidP="0091626F">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C</m:t>
                    </m:r>
                  </m:sub>
                </m:sSub>
              </m:oMath>
            </m:oMathPara>
          </w:p>
        </w:tc>
        <w:tc>
          <w:tcPr>
            <w:tcW w:w="2014" w:type="dxa"/>
            <w:vAlign w:val="center"/>
          </w:tcPr>
          <w:p w14:paraId="2A1EBF6D" w14:textId="233C758F" w:rsidR="0091626F" w:rsidRPr="0091626F" w:rsidRDefault="0091626F" w:rsidP="0091626F">
            <w:pPr>
              <w:pStyle w:val="CETBodytext"/>
              <w:jc w:val="center"/>
              <w:rPr>
                <w:rFonts w:cs="Arial"/>
                <w:lang w:val="en-GB"/>
              </w:rPr>
            </w:pPr>
            <w:r w:rsidRPr="0091626F">
              <w:rPr>
                <w:rFonts w:cs="Arial"/>
              </w:rPr>
              <w:t>300</w:t>
            </w:r>
          </w:p>
        </w:tc>
        <w:tc>
          <w:tcPr>
            <w:tcW w:w="2015" w:type="dxa"/>
            <w:vAlign w:val="center"/>
          </w:tcPr>
          <w:p w14:paraId="78A2919C" w14:textId="6128ADAC" w:rsidR="0091626F" w:rsidRPr="0091626F" w:rsidRDefault="00165F6E" w:rsidP="0091626F">
            <w:pPr>
              <w:pStyle w:val="CETBodytext"/>
              <w:jc w:val="center"/>
              <w:rPr>
                <w:rFonts w:cs="Arial"/>
                <w:lang w:val="en-GB"/>
              </w:rPr>
            </w:pPr>
            <m:oMathPara>
              <m:oMath>
                <m:r>
                  <w:rPr>
                    <w:rFonts w:ascii="Cambria Math" w:hAnsi="Cambria Math"/>
                    <w:sz w:val="20"/>
                    <w:lang w:val="en-GB"/>
                  </w:rPr>
                  <m:t>K</m:t>
                </m:r>
              </m:oMath>
            </m:oMathPara>
          </w:p>
        </w:tc>
      </w:tr>
      <w:tr w:rsidR="0091626F" w14:paraId="278DF3CB" w14:textId="77777777" w:rsidTr="0091626F">
        <w:tc>
          <w:tcPr>
            <w:tcW w:w="2014" w:type="dxa"/>
            <w:vAlign w:val="center"/>
          </w:tcPr>
          <w:p w14:paraId="0419B771" w14:textId="2349F2D8" w:rsidR="0091626F" w:rsidRPr="0091626F" w:rsidRDefault="0091626F" w:rsidP="0091626F">
            <w:pPr>
              <w:pStyle w:val="CETBodytext"/>
              <w:jc w:val="center"/>
              <w:rPr>
                <w:rFonts w:cs="Arial"/>
                <w:lang w:val="en-GB"/>
              </w:rPr>
            </w:pPr>
            <w:r w:rsidRPr="0091626F">
              <w:rPr>
                <w:rFonts w:cs="Arial"/>
              </w:rPr>
              <w:t>Liquid-mixture density</w:t>
            </w:r>
          </w:p>
        </w:tc>
        <w:tc>
          <w:tcPr>
            <w:tcW w:w="2014" w:type="dxa"/>
            <w:vAlign w:val="center"/>
          </w:tcPr>
          <w:p w14:paraId="699F1C40" w14:textId="6579A506" w:rsidR="0091626F" w:rsidRPr="0091626F" w:rsidRDefault="0091626F" w:rsidP="0091626F">
            <w:pPr>
              <w:pStyle w:val="CETBodytext"/>
              <w:jc w:val="center"/>
              <w:rPr>
                <w:rFonts w:cs="Arial"/>
                <w:lang w:val="en-GB"/>
              </w:rPr>
            </w:pPr>
            <m:oMathPara>
              <m:oMath>
                <m:r>
                  <w:rPr>
                    <w:rFonts w:ascii="Cambria Math" w:hAnsi="Cambria Math"/>
                    <w:sz w:val="20"/>
                    <w:lang w:val="en-GB"/>
                  </w:rPr>
                  <m:t>ρ</m:t>
                </m:r>
              </m:oMath>
            </m:oMathPara>
          </w:p>
        </w:tc>
        <w:tc>
          <w:tcPr>
            <w:tcW w:w="2014" w:type="dxa"/>
            <w:vAlign w:val="center"/>
          </w:tcPr>
          <w:p w14:paraId="180BB7EB" w14:textId="083F0887" w:rsidR="0091626F" w:rsidRPr="0091626F" w:rsidRDefault="0091626F" w:rsidP="0091626F">
            <w:pPr>
              <w:pStyle w:val="CETBodytext"/>
              <w:jc w:val="center"/>
              <w:rPr>
                <w:rFonts w:cs="Arial"/>
                <w:lang w:val="en-GB"/>
              </w:rPr>
            </w:pPr>
            <w:r w:rsidRPr="0091626F">
              <w:rPr>
                <w:rFonts w:cs="Arial"/>
              </w:rPr>
              <w:t>820</w:t>
            </w:r>
          </w:p>
        </w:tc>
        <w:tc>
          <w:tcPr>
            <w:tcW w:w="2015" w:type="dxa"/>
            <w:vAlign w:val="center"/>
          </w:tcPr>
          <w:p w14:paraId="149B5EBB" w14:textId="6CE95FED" w:rsidR="0091626F" w:rsidRPr="0091626F" w:rsidRDefault="003C7CE7" w:rsidP="0091626F">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kg/m</m:t>
                    </m:r>
                  </m:e>
                  <m:sup>
                    <m:r>
                      <w:rPr>
                        <w:rFonts w:ascii="Cambria Math" w:hAnsi="Cambria Math"/>
                        <w:sz w:val="20"/>
                        <w:lang w:val="en-GB"/>
                      </w:rPr>
                      <m:t>3</m:t>
                    </m:r>
                  </m:sup>
                </m:sSup>
              </m:oMath>
            </m:oMathPara>
          </w:p>
        </w:tc>
      </w:tr>
      <w:tr w:rsidR="0091626F" w14:paraId="26BB666A" w14:textId="77777777" w:rsidTr="0091626F">
        <w:tc>
          <w:tcPr>
            <w:tcW w:w="2014" w:type="dxa"/>
            <w:vAlign w:val="center"/>
          </w:tcPr>
          <w:p w14:paraId="082FF21C" w14:textId="51F63354" w:rsidR="0091626F" w:rsidRPr="0091626F" w:rsidRDefault="0091626F" w:rsidP="0091626F">
            <w:pPr>
              <w:pStyle w:val="CETBodytext"/>
              <w:jc w:val="center"/>
              <w:rPr>
                <w:rFonts w:cs="Arial"/>
                <w:lang w:val="en-GB"/>
              </w:rPr>
            </w:pPr>
            <w:r w:rsidRPr="0091626F">
              <w:rPr>
                <w:rFonts w:cs="Arial"/>
              </w:rPr>
              <w:t>Specific heat capacity</w:t>
            </w:r>
          </w:p>
        </w:tc>
        <w:tc>
          <w:tcPr>
            <w:tcW w:w="2014" w:type="dxa"/>
            <w:vAlign w:val="center"/>
          </w:tcPr>
          <w:p w14:paraId="3267D44B" w14:textId="73D35E72" w:rsidR="0091626F" w:rsidRPr="0091626F" w:rsidRDefault="003C7CE7" w:rsidP="0091626F">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C</m:t>
                    </m:r>
                  </m:e>
                  <m:sub>
                    <m:r>
                      <w:rPr>
                        <w:rFonts w:ascii="Cambria Math" w:hAnsi="Cambria Math"/>
                        <w:sz w:val="20"/>
                        <w:lang w:val="en-GB"/>
                      </w:rPr>
                      <m:t>ρ</m:t>
                    </m:r>
                  </m:sub>
                </m:sSub>
              </m:oMath>
            </m:oMathPara>
          </w:p>
        </w:tc>
        <w:tc>
          <w:tcPr>
            <w:tcW w:w="2014" w:type="dxa"/>
            <w:vAlign w:val="center"/>
          </w:tcPr>
          <w:p w14:paraId="54481CF5" w14:textId="6349829C" w:rsidR="0091626F" w:rsidRPr="0091626F" w:rsidRDefault="0091626F" w:rsidP="0091626F">
            <w:pPr>
              <w:pStyle w:val="CETBodytext"/>
              <w:jc w:val="center"/>
              <w:rPr>
                <w:rFonts w:cs="Arial"/>
                <w:lang w:val="en-GB"/>
              </w:rPr>
            </w:pPr>
            <w:r w:rsidRPr="0091626F">
              <w:rPr>
                <w:rFonts w:cs="Arial"/>
              </w:rPr>
              <w:t>2,200</w:t>
            </w:r>
          </w:p>
        </w:tc>
        <w:tc>
          <w:tcPr>
            <w:tcW w:w="2015" w:type="dxa"/>
            <w:vAlign w:val="center"/>
          </w:tcPr>
          <w:p w14:paraId="6D8BC96E" w14:textId="41AF9B67" w:rsidR="0091626F" w:rsidRPr="0091626F" w:rsidRDefault="00165F6E" w:rsidP="00165F6E">
            <w:pPr>
              <w:pStyle w:val="CETBodytext"/>
              <w:jc w:val="center"/>
              <w:rPr>
                <w:rFonts w:cs="Arial"/>
                <w:lang w:val="en-GB"/>
              </w:rPr>
            </w:pPr>
            <m:oMathPara>
              <m:oMath>
                <m:r>
                  <w:rPr>
                    <w:rFonts w:ascii="Cambria Math" w:hAnsi="Cambria Math" w:cs="Arial"/>
                    <w:lang w:val="en-GB"/>
                  </w:rPr>
                  <m:t>J/kg∙K</m:t>
                </m:r>
              </m:oMath>
            </m:oMathPara>
          </w:p>
        </w:tc>
      </w:tr>
      <w:tr w:rsidR="0091626F" w14:paraId="06DC03CA" w14:textId="77777777" w:rsidTr="0091626F">
        <w:tc>
          <w:tcPr>
            <w:tcW w:w="2014" w:type="dxa"/>
            <w:vAlign w:val="center"/>
          </w:tcPr>
          <w:p w14:paraId="1B9B01DC" w14:textId="13736AC7" w:rsidR="0091626F" w:rsidRPr="0091626F" w:rsidRDefault="0091626F" w:rsidP="0091626F">
            <w:pPr>
              <w:pStyle w:val="CETBodytext"/>
              <w:jc w:val="center"/>
              <w:rPr>
                <w:rFonts w:cs="Arial"/>
                <w:lang w:val="en-GB"/>
              </w:rPr>
            </w:pPr>
            <w:r w:rsidRPr="0091626F">
              <w:rPr>
                <w:rFonts w:cs="Arial"/>
              </w:rPr>
              <w:t>Overall heat-transfer coefficient</w:t>
            </w:r>
          </w:p>
        </w:tc>
        <w:tc>
          <w:tcPr>
            <w:tcW w:w="2014" w:type="dxa"/>
            <w:vAlign w:val="center"/>
          </w:tcPr>
          <w:p w14:paraId="24A30DA5" w14:textId="56B17DF1" w:rsidR="0091626F" w:rsidRPr="0091626F" w:rsidRDefault="0091626F" w:rsidP="0091626F">
            <w:pPr>
              <w:pStyle w:val="CETBodytext"/>
              <w:jc w:val="center"/>
              <w:rPr>
                <w:rFonts w:cs="Arial"/>
                <w:lang w:val="en-GB"/>
              </w:rPr>
            </w:pPr>
            <m:oMathPara>
              <m:oMath>
                <m:r>
                  <w:rPr>
                    <w:rFonts w:ascii="Cambria Math" w:hAnsi="Cambria Math" w:cs="Arial"/>
                    <w:lang w:val="en-GB"/>
                  </w:rPr>
                  <m:t>U</m:t>
                </m:r>
              </m:oMath>
            </m:oMathPara>
          </w:p>
        </w:tc>
        <w:tc>
          <w:tcPr>
            <w:tcW w:w="2014" w:type="dxa"/>
            <w:vAlign w:val="center"/>
          </w:tcPr>
          <w:p w14:paraId="1E4F39AD" w14:textId="5A6E9FE9" w:rsidR="0091626F" w:rsidRPr="0091626F" w:rsidRDefault="0091626F" w:rsidP="0091626F">
            <w:pPr>
              <w:pStyle w:val="CETBodytext"/>
              <w:jc w:val="center"/>
              <w:rPr>
                <w:rFonts w:cs="Arial"/>
                <w:lang w:val="en-GB"/>
              </w:rPr>
            </w:pPr>
            <w:r w:rsidRPr="0091626F">
              <w:rPr>
                <w:rFonts w:cs="Arial"/>
              </w:rPr>
              <w:t>450</w:t>
            </w:r>
          </w:p>
        </w:tc>
        <w:tc>
          <w:tcPr>
            <w:tcW w:w="2015" w:type="dxa"/>
            <w:vAlign w:val="center"/>
          </w:tcPr>
          <w:p w14:paraId="6064674E" w14:textId="54CF7B04" w:rsidR="0091626F" w:rsidRPr="0091626F" w:rsidRDefault="003C7CE7" w:rsidP="00165F6E">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W/(m</m:t>
                    </m:r>
                  </m:e>
                  <m:sup>
                    <m:r>
                      <w:rPr>
                        <w:rFonts w:ascii="Cambria Math" w:hAnsi="Cambria Math"/>
                        <w:sz w:val="20"/>
                        <w:lang w:val="en-GB"/>
                      </w:rPr>
                      <m:t>2</m:t>
                    </m:r>
                  </m:sup>
                </m:sSup>
                <m:r>
                  <w:rPr>
                    <w:rFonts w:ascii="Cambria Math" w:hAnsi="Cambria Math" w:cs="Arial"/>
                    <w:lang w:val="en-GB"/>
                  </w:rPr>
                  <m:t>∙K)</m:t>
                </m:r>
              </m:oMath>
            </m:oMathPara>
          </w:p>
        </w:tc>
      </w:tr>
      <w:tr w:rsidR="0091626F" w14:paraId="7685F26C" w14:textId="77777777" w:rsidTr="0091626F">
        <w:tc>
          <w:tcPr>
            <w:tcW w:w="2014" w:type="dxa"/>
            <w:vAlign w:val="center"/>
          </w:tcPr>
          <w:p w14:paraId="418A17CD" w14:textId="601FEE19" w:rsidR="0091626F" w:rsidRPr="0091626F" w:rsidRDefault="0091626F" w:rsidP="0091626F">
            <w:pPr>
              <w:pStyle w:val="CETBodytext"/>
              <w:jc w:val="center"/>
              <w:rPr>
                <w:rFonts w:cs="Arial"/>
                <w:lang w:val="en-GB"/>
              </w:rPr>
            </w:pPr>
            <w:r w:rsidRPr="0091626F">
              <w:rPr>
                <w:rFonts w:cs="Arial"/>
              </w:rPr>
              <w:lastRenderedPageBreak/>
              <w:t>Effective heat-transfer area</w:t>
            </w:r>
          </w:p>
        </w:tc>
        <w:tc>
          <w:tcPr>
            <w:tcW w:w="2014" w:type="dxa"/>
            <w:vAlign w:val="center"/>
          </w:tcPr>
          <w:p w14:paraId="69BFEEE2" w14:textId="399D6050" w:rsidR="0091626F" w:rsidRPr="0091626F" w:rsidRDefault="0091626F" w:rsidP="0091626F">
            <w:pPr>
              <w:pStyle w:val="CETBodytext"/>
              <w:jc w:val="center"/>
              <w:rPr>
                <w:rFonts w:cs="Arial"/>
                <w:lang w:val="en-GB"/>
              </w:rPr>
            </w:pPr>
            <m:oMathPara>
              <m:oMath>
                <m:r>
                  <w:rPr>
                    <w:rFonts w:ascii="Cambria Math" w:hAnsi="Cambria Math"/>
                    <w:sz w:val="20"/>
                    <w:lang w:val="en-GB"/>
                  </w:rPr>
                  <m:t>A</m:t>
                </m:r>
              </m:oMath>
            </m:oMathPara>
          </w:p>
        </w:tc>
        <w:tc>
          <w:tcPr>
            <w:tcW w:w="2014" w:type="dxa"/>
            <w:vAlign w:val="center"/>
          </w:tcPr>
          <w:p w14:paraId="033C4506" w14:textId="047286B4" w:rsidR="0091626F" w:rsidRPr="0091626F" w:rsidRDefault="0091626F" w:rsidP="0091626F">
            <w:pPr>
              <w:pStyle w:val="CETBodytext"/>
              <w:jc w:val="center"/>
              <w:rPr>
                <w:rFonts w:cs="Arial"/>
                <w:lang w:val="en-GB"/>
              </w:rPr>
            </w:pPr>
            <w:r w:rsidRPr="0091626F">
              <w:rPr>
                <w:rFonts w:cs="Arial"/>
              </w:rPr>
              <w:t>15.0</w:t>
            </w:r>
          </w:p>
        </w:tc>
        <w:tc>
          <w:tcPr>
            <w:tcW w:w="2015" w:type="dxa"/>
            <w:vAlign w:val="center"/>
          </w:tcPr>
          <w:p w14:paraId="3A30A064" w14:textId="287569AA" w:rsidR="0091626F" w:rsidRPr="0091626F" w:rsidRDefault="003C7CE7" w:rsidP="00165F6E">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m</m:t>
                    </m:r>
                  </m:e>
                  <m:sup>
                    <m:r>
                      <w:rPr>
                        <w:rFonts w:ascii="Cambria Math" w:hAnsi="Cambria Math"/>
                        <w:sz w:val="20"/>
                        <w:lang w:val="en-GB"/>
                      </w:rPr>
                      <m:t>2</m:t>
                    </m:r>
                  </m:sup>
                </m:sSup>
              </m:oMath>
            </m:oMathPara>
          </w:p>
        </w:tc>
      </w:tr>
      <w:tr w:rsidR="0091626F" w14:paraId="0697F3FB" w14:textId="77777777" w:rsidTr="0091626F">
        <w:tc>
          <w:tcPr>
            <w:tcW w:w="2014" w:type="dxa"/>
            <w:vAlign w:val="center"/>
          </w:tcPr>
          <w:p w14:paraId="0BB1FEC4" w14:textId="6154C42E" w:rsidR="0091626F" w:rsidRPr="0091626F" w:rsidRDefault="0091626F" w:rsidP="0091626F">
            <w:pPr>
              <w:pStyle w:val="CETBodytext"/>
              <w:jc w:val="center"/>
              <w:rPr>
                <w:rFonts w:cs="Arial"/>
                <w:lang w:val="en-GB"/>
              </w:rPr>
            </w:pPr>
            <w:r w:rsidRPr="0091626F">
              <w:rPr>
                <w:rFonts w:cs="Arial"/>
              </w:rPr>
              <w:t>Reaction heat magnitude</w:t>
            </w:r>
          </w:p>
        </w:tc>
        <w:tc>
          <w:tcPr>
            <w:tcW w:w="2014" w:type="dxa"/>
            <w:vAlign w:val="center"/>
          </w:tcPr>
          <w:p w14:paraId="46875D79" w14:textId="1DA8FEFB" w:rsidR="0091626F" w:rsidRPr="0091626F" w:rsidRDefault="0091626F" w:rsidP="0091626F">
            <w:pPr>
              <w:pStyle w:val="CETBodytext"/>
              <w:jc w:val="center"/>
              <w:rPr>
                <w:rFonts w:cs="Arial"/>
                <w:lang w:val="en-GB"/>
              </w:rPr>
            </w:pPr>
            <m:oMathPara>
              <m:oMath>
                <m:r>
                  <w:rPr>
                    <w:rFonts w:ascii="Cambria Math" w:hAnsi="Cambria Math" w:cs="Arial"/>
                    <w:lang w:val="en-GB"/>
                  </w:rPr>
                  <m:t>∆U</m:t>
                </m:r>
              </m:oMath>
            </m:oMathPara>
          </w:p>
        </w:tc>
        <w:tc>
          <w:tcPr>
            <w:tcW w:w="2014" w:type="dxa"/>
            <w:vAlign w:val="center"/>
          </w:tcPr>
          <w:p w14:paraId="5219D49B" w14:textId="1EEE786D" w:rsidR="0091626F" w:rsidRPr="0091626F" w:rsidRDefault="0091626F" w:rsidP="0091626F">
            <w:pPr>
              <w:pStyle w:val="CETBodytext"/>
              <w:jc w:val="center"/>
              <w:rPr>
                <w:rFonts w:cs="Arial"/>
                <w:lang w:val="en-GB"/>
              </w:rPr>
            </w:pPr>
            <w:r w:rsidRPr="0091626F">
              <w:rPr>
                <w:rFonts w:cs="Arial"/>
              </w:rPr>
              <w:t>55,000</w:t>
            </w:r>
          </w:p>
        </w:tc>
        <w:tc>
          <w:tcPr>
            <w:tcW w:w="2015" w:type="dxa"/>
            <w:vAlign w:val="center"/>
          </w:tcPr>
          <w:p w14:paraId="43FE1C7E" w14:textId="049378E8" w:rsidR="0091626F" w:rsidRPr="0091626F" w:rsidRDefault="00165F6E" w:rsidP="00165F6E">
            <w:pPr>
              <w:pStyle w:val="CETBodytext"/>
              <w:jc w:val="center"/>
              <w:rPr>
                <w:rFonts w:cs="Arial"/>
                <w:lang w:val="en-GB"/>
              </w:rPr>
            </w:pPr>
            <m:oMathPara>
              <m:oMath>
                <m:r>
                  <w:rPr>
                    <w:rFonts w:ascii="Cambria Math" w:hAnsi="Cambria Math"/>
                    <w:sz w:val="20"/>
                    <w:lang w:val="en-GB"/>
                  </w:rPr>
                  <m:t>J/mol</m:t>
                </m:r>
              </m:oMath>
            </m:oMathPara>
          </w:p>
        </w:tc>
      </w:tr>
      <w:tr w:rsidR="0091626F" w14:paraId="79B3CCE9" w14:textId="77777777" w:rsidTr="0091626F">
        <w:tc>
          <w:tcPr>
            <w:tcW w:w="2014" w:type="dxa"/>
            <w:vAlign w:val="center"/>
          </w:tcPr>
          <w:p w14:paraId="0E778E5F" w14:textId="27C57989" w:rsidR="0091626F" w:rsidRPr="0091626F" w:rsidRDefault="0091626F" w:rsidP="0091626F">
            <w:pPr>
              <w:pStyle w:val="CETBodytext"/>
              <w:jc w:val="center"/>
              <w:rPr>
                <w:rFonts w:cs="Arial"/>
                <w:lang w:val="en-GB"/>
              </w:rPr>
            </w:pPr>
            <w:r w:rsidRPr="0091626F">
              <w:rPr>
                <w:rFonts w:cs="Arial"/>
              </w:rPr>
              <w:t>Activation energy</w:t>
            </w:r>
          </w:p>
        </w:tc>
        <w:tc>
          <w:tcPr>
            <w:tcW w:w="2014" w:type="dxa"/>
            <w:vAlign w:val="center"/>
          </w:tcPr>
          <w:p w14:paraId="1B9D901B" w14:textId="759A5362" w:rsidR="0091626F" w:rsidRPr="0091626F" w:rsidRDefault="0091626F" w:rsidP="0091626F">
            <w:pPr>
              <w:pStyle w:val="CETBodytext"/>
              <w:jc w:val="center"/>
              <w:rPr>
                <w:rFonts w:cs="Arial"/>
                <w:lang w:val="en-GB"/>
              </w:rPr>
            </w:pPr>
            <m:oMathPara>
              <m:oMath>
                <m:r>
                  <w:rPr>
                    <w:rFonts w:ascii="Cambria Math" w:hAnsi="Cambria Math" w:cs="Arial"/>
                    <w:lang w:val="en-GB"/>
                  </w:rPr>
                  <m:t>E</m:t>
                </m:r>
              </m:oMath>
            </m:oMathPara>
          </w:p>
        </w:tc>
        <w:tc>
          <w:tcPr>
            <w:tcW w:w="2014" w:type="dxa"/>
            <w:vAlign w:val="center"/>
          </w:tcPr>
          <w:p w14:paraId="06AE1B20" w14:textId="3495C128" w:rsidR="0091626F" w:rsidRPr="0091626F" w:rsidRDefault="0091626F" w:rsidP="0091626F">
            <w:pPr>
              <w:pStyle w:val="CETBodytext"/>
              <w:jc w:val="center"/>
              <w:rPr>
                <w:rFonts w:cs="Arial"/>
                <w:lang w:val="en-GB"/>
              </w:rPr>
            </w:pPr>
            <w:r w:rsidRPr="0091626F">
              <w:rPr>
                <w:rFonts w:cs="Arial"/>
              </w:rPr>
              <w:t>55,000</w:t>
            </w:r>
          </w:p>
        </w:tc>
        <w:tc>
          <w:tcPr>
            <w:tcW w:w="2015" w:type="dxa"/>
            <w:vAlign w:val="center"/>
          </w:tcPr>
          <w:p w14:paraId="605360C2" w14:textId="66D26C2D" w:rsidR="0091626F" w:rsidRPr="0091626F" w:rsidRDefault="00165F6E" w:rsidP="0091626F">
            <w:pPr>
              <w:pStyle w:val="CETBodytext"/>
              <w:jc w:val="center"/>
              <w:rPr>
                <w:rFonts w:cs="Arial"/>
                <w:lang w:val="en-GB"/>
              </w:rPr>
            </w:pPr>
            <m:oMathPara>
              <m:oMath>
                <m:r>
                  <w:rPr>
                    <w:rFonts w:ascii="Cambria Math" w:hAnsi="Cambria Math"/>
                    <w:sz w:val="20"/>
                    <w:lang w:val="en-GB"/>
                  </w:rPr>
                  <m:t>J/mol</m:t>
                </m:r>
              </m:oMath>
            </m:oMathPara>
          </w:p>
        </w:tc>
      </w:tr>
      <w:tr w:rsidR="0091626F" w14:paraId="5026C7F2" w14:textId="77777777" w:rsidTr="0091626F">
        <w:tc>
          <w:tcPr>
            <w:tcW w:w="2014" w:type="dxa"/>
            <w:vAlign w:val="center"/>
          </w:tcPr>
          <w:p w14:paraId="01C91011" w14:textId="14D0124A" w:rsidR="0091626F" w:rsidRPr="0091626F" w:rsidRDefault="0091626F" w:rsidP="0091626F">
            <w:pPr>
              <w:pStyle w:val="CETBodytext"/>
              <w:jc w:val="center"/>
              <w:rPr>
                <w:rFonts w:cs="Arial"/>
                <w:lang w:val="en-GB"/>
              </w:rPr>
            </w:pPr>
            <w:r w:rsidRPr="0091626F">
              <w:rPr>
                <w:rFonts w:cs="Arial"/>
              </w:rPr>
              <w:t>Pre-exponential factor</w:t>
            </w:r>
          </w:p>
        </w:tc>
        <w:tc>
          <w:tcPr>
            <w:tcW w:w="2014" w:type="dxa"/>
            <w:vAlign w:val="center"/>
          </w:tcPr>
          <w:p w14:paraId="197A14C0" w14:textId="10C95C57" w:rsidR="0091626F" w:rsidRPr="0091626F" w:rsidRDefault="003C7CE7" w:rsidP="00442480">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k</m:t>
                    </m:r>
                  </m:e>
                  <m:sub>
                    <m:r>
                      <w:rPr>
                        <w:rFonts w:ascii="Cambria Math" w:hAnsi="Cambria Math"/>
                        <w:sz w:val="20"/>
                        <w:lang w:val="en-GB"/>
                      </w:rPr>
                      <m:t>0</m:t>
                    </m:r>
                  </m:sub>
                </m:sSub>
              </m:oMath>
            </m:oMathPara>
          </w:p>
        </w:tc>
        <w:tc>
          <w:tcPr>
            <w:tcW w:w="2014" w:type="dxa"/>
            <w:vAlign w:val="center"/>
          </w:tcPr>
          <w:p w14:paraId="7B7AC28B" w14:textId="2C24FEE5" w:rsidR="0091626F" w:rsidRPr="0091626F" w:rsidRDefault="00165F6E" w:rsidP="00165F6E">
            <w:pPr>
              <w:pStyle w:val="CETBodytext"/>
              <w:jc w:val="center"/>
              <w:rPr>
                <w:rFonts w:cs="Arial"/>
                <w:lang w:val="en-GB"/>
              </w:rPr>
            </w:pPr>
            <m:oMathPara>
              <m:oMath>
                <m:r>
                  <w:rPr>
                    <w:rFonts w:ascii="Cambria Math" w:hAnsi="Cambria Math"/>
                    <w:sz w:val="20"/>
                    <w:lang w:val="en-GB"/>
                  </w:rPr>
                  <m:t>1×</m:t>
                </m:r>
                <m:sSup>
                  <m:sSupPr>
                    <m:ctrlPr>
                      <w:rPr>
                        <w:rFonts w:ascii="Cambria Math" w:hAnsi="Cambria Math"/>
                        <w:i/>
                        <w:sz w:val="20"/>
                        <w:lang w:val="en-GB"/>
                      </w:rPr>
                    </m:ctrlPr>
                  </m:sSupPr>
                  <m:e>
                    <m:r>
                      <w:rPr>
                        <w:rFonts w:ascii="Cambria Math" w:hAnsi="Cambria Math"/>
                        <w:sz w:val="20"/>
                        <w:lang w:val="en-GB"/>
                      </w:rPr>
                      <m:t>10</m:t>
                    </m:r>
                  </m:e>
                  <m:sup>
                    <m:r>
                      <w:rPr>
                        <w:rFonts w:ascii="Cambria Math" w:hAnsi="Cambria Math"/>
                        <w:sz w:val="20"/>
                        <w:lang w:val="en-GB"/>
                      </w:rPr>
                      <m:t>5</m:t>
                    </m:r>
                  </m:sup>
                </m:sSup>
              </m:oMath>
            </m:oMathPara>
          </w:p>
        </w:tc>
        <w:tc>
          <w:tcPr>
            <w:tcW w:w="2015" w:type="dxa"/>
            <w:vAlign w:val="center"/>
          </w:tcPr>
          <w:p w14:paraId="2F865990" w14:textId="04351B9F" w:rsidR="0091626F" w:rsidRPr="0091626F" w:rsidRDefault="003C7CE7" w:rsidP="00165F6E">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h</m:t>
                    </m:r>
                  </m:e>
                  <m:sup>
                    <m:r>
                      <w:rPr>
                        <w:rFonts w:ascii="Cambria Math" w:hAnsi="Cambria Math"/>
                        <w:sz w:val="20"/>
                        <w:lang w:val="en-GB"/>
                      </w:rPr>
                      <m:t>-1</m:t>
                    </m:r>
                  </m:sup>
                </m:sSup>
              </m:oMath>
            </m:oMathPara>
          </w:p>
        </w:tc>
      </w:tr>
      <w:tr w:rsidR="0091626F" w14:paraId="1BE86804" w14:textId="77777777" w:rsidTr="0091626F">
        <w:tc>
          <w:tcPr>
            <w:tcW w:w="2014" w:type="dxa"/>
            <w:vAlign w:val="center"/>
          </w:tcPr>
          <w:p w14:paraId="7AD1788F" w14:textId="45B83C9B" w:rsidR="0091626F" w:rsidRPr="0091626F" w:rsidRDefault="0091626F" w:rsidP="0091626F">
            <w:pPr>
              <w:pStyle w:val="CETBodytext"/>
              <w:jc w:val="center"/>
              <w:rPr>
                <w:rFonts w:cs="Arial"/>
                <w:lang w:val="en-GB"/>
              </w:rPr>
            </w:pPr>
            <w:r w:rsidRPr="0091626F">
              <w:rPr>
                <w:rFonts w:cs="Arial"/>
              </w:rPr>
              <w:t>Reaction order</w:t>
            </w:r>
          </w:p>
        </w:tc>
        <w:tc>
          <w:tcPr>
            <w:tcW w:w="2014" w:type="dxa"/>
            <w:vAlign w:val="center"/>
          </w:tcPr>
          <w:p w14:paraId="510B0A7F" w14:textId="3A9469D4" w:rsidR="0091626F" w:rsidRPr="0091626F" w:rsidRDefault="00442480" w:rsidP="0091626F">
            <w:pPr>
              <w:pStyle w:val="CETBodytext"/>
              <w:jc w:val="center"/>
              <w:rPr>
                <w:rFonts w:cs="Arial"/>
                <w:lang w:val="en-GB"/>
              </w:rPr>
            </w:pPr>
            <m:oMathPara>
              <m:oMath>
                <m:r>
                  <w:rPr>
                    <w:rFonts w:ascii="Cambria Math" w:hAnsi="Cambria Math"/>
                    <w:sz w:val="20"/>
                    <w:lang w:val="en-GB"/>
                  </w:rPr>
                  <m:t>n</m:t>
                </m:r>
              </m:oMath>
            </m:oMathPara>
          </w:p>
        </w:tc>
        <w:tc>
          <w:tcPr>
            <w:tcW w:w="2014" w:type="dxa"/>
            <w:vAlign w:val="center"/>
          </w:tcPr>
          <w:p w14:paraId="2F9E906A" w14:textId="571BEEDB" w:rsidR="0091626F" w:rsidRPr="0091626F" w:rsidRDefault="0091626F" w:rsidP="0091626F">
            <w:pPr>
              <w:pStyle w:val="CETBodytext"/>
              <w:jc w:val="center"/>
              <w:rPr>
                <w:rFonts w:cs="Arial"/>
                <w:lang w:val="en-GB"/>
              </w:rPr>
            </w:pPr>
            <w:r w:rsidRPr="0091626F">
              <w:rPr>
                <w:rFonts w:cs="Arial"/>
              </w:rPr>
              <w:t>1.0</w:t>
            </w:r>
          </w:p>
        </w:tc>
        <w:tc>
          <w:tcPr>
            <w:tcW w:w="2015" w:type="dxa"/>
            <w:vAlign w:val="center"/>
          </w:tcPr>
          <w:p w14:paraId="71170A05" w14:textId="0A8A9966" w:rsidR="0091626F" w:rsidRPr="0091626F" w:rsidRDefault="00165F6E" w:rsidP="0091626F">
            <w:pPr>
              <w:pStyle w:val="CETBodytext"/>
              <w:jc w:val="center"/>
              <w:rPr>
                <w:rFonts w:cs="Arial"/>
                <w:lang w:val="en-GB"/>
              </w:rPr>
            </w:pPr>
            <w:r>
              <w:rPr>
                <w:rFonts w:cs="Arial"/>
              </w:rPr>
              <w:t>-</w:t>
            </w:r>
          </w:p>
        </w:tc>
      </w:tr>
      <w:tr w:rsidR="00165F6E" w14:paraId="66762DE7" w14:textId="77777777" w:rsidTr="0091626F">
        <w:tc>
          <w:tcPr>
            <w:tcW w:w="2014" w:type="dxa"/>
            <w:vAlign w:val="center"/>
          </w:tcPr>
          <w:p w14:paraId="3DEB2138" w14:textId="5A42BA7F" w:rsidR="00165F6E" w:rsidRPr="0091626F" w:rsidRDefault="00165F6E" w:rsidP="00165F6E">
            <w:pPr>
              <w:pStyle w:val="CETBodytext"/>
              <w:jc w:val="center"/>
              <w:rPr>
                <w:rFonts w:cs="Arial"/>
                <w:lang w:val="en-GB"/>
              </w:rPr>
            </w:pPr>
            <w:r w:rsidRPr="0091626F">
              <w:rPr>
                <w:rFonts w:cs="Arial"/>
              </w:rPr>
              <w:t>Universal gas constant</w:t>
            </w:r>
          </w:p>
        </w:tc>
        <w:tc>
          <w:tcPr>
            <w:tcW w:w="2014" w:type="dxa"/>
            <w:vAlign w:val="center"/>
          </w:tcPr>
          <w:p w14:paraId="00662AED" w14:textId="5BD5CF2F" w:rsidR="00165F6E" w:rsidRPr="0091626F" w:rsidRDefault="00165F6E" w:rsidP="00165F6E">
            <w:pPr>
              <w:pStyle w:val="CETBodytext"/>
              <w:jc w:val="center"/>
              <w:rPr>
                <w:rFonts w:cs="Arial"/>
                <w:lang w:val="en-GB"/>
              </w:rPr>
            </w:pPr>
            <m:oMathPara>
              <m:oMath>
                <m:r>
                  <w:rPr>
                    <w:rFonts w:ascii="Cambria Math" w:hAnsi="Cambria Math"/>
                    <w:sz w:val="20"/>
                    <w:lang w:val="en-GB"/>
                  </w:rPr>
                  <m:t>R</m:t>
                </m:r>
              </m:oMath>
            </m:oMathPara>
          </w:p>
        </w:tc>
        <w:tc>
          <w:tcPr>
            <w:tcW w:w="2014" w:type="dxa"/>
            <w:vAlign w:val="center"/>
          </w:tcPr>
          <w:p w14:paraId="6A8987CF" w14:textId="1CF9606C" w:rsidR="00165F6E" w:rsidRPr="0091626F" w:rsidRDefault="00165F6E" w:rsidP="00165F6E">
            <w:pPr>
              <w:pStyle w:val="CETBodytext"/>
              <w:jc w:val="center"/>
              <w:rPr>
                <w:rFonts w:cs="Arial"/>
                <w:lang w:val="en-GB"/>
              </w:rPr>
            </w:pPr>
            <w:r w:rsidRPr="0091626F">
              <w:rPr>
                <w:rFonts w:cs="Arial"/>
              </w:rPr>
              <w:t>8.314</w:t>
            </w:r>
          </w:p>
        </w:tc>
        <w:tc>
          <w:tcPr>
            <w:tcW w:w="2015" w:type="dxa"/>
            <w:vAlign w:val="center"/>
          </w:tcPr>
          <w:p w14:paraId="392BF581" w14:textId="0220CE3B" w:rsidR="00165F6E" w:rsidRPr="0091626F" w:rsidRDefault="00165F6E" w:rsidP="00165F6E">
            <w:pPr>
              <w:pStyle w:val="CETBodytext"/>
              <w:jc w:val="center"/>
              <w:rPr>
                <w:rFonts w:cs="Arial"/>
                <w:lang w:val="en-GB"/>
              </w:rPr>
            </w:pPr>
            <m:oMath>
              <m:r>
                <w:rPr>
                  <w:rFonts w:ascii="Cambria Math" w:hAnsi="Cambria Math"/>
                  <w:sz w:val="20"/>
                  <w:lang w:val="en-GB"/>
                </w:rPr>
                <m:t>J/(mol</m:t>
              </m:r>
              <m:r>
                <w:rPr>
                  <w:rFonts w:ascii="Cambria Math" w:hAnsi="Cambria Math" w:cs="Arial"/>
                  <w:lang w:val="en-GB"/>
                </w:rPr>
                <m:t>∙K</m:t>
              </m:r>
            </m:oMath>
            <w:r>
              <w:rPr>
                <w:rFonts w:cs="Arial"/>
                <w:sz w:val="20"/>
                <w:lang w:val="en-GB"/>
              </w:rPr>
              <w:t>)</w:t>
            </w:r>
          </w:p>
        </w:tc>
      </w:tr>
      <w:tr w:rsidR="00165F6E" w14:paraId="5A9008E4" w14:textId="77777777" w:rsidTr="0091626F">
        <w:tc>
          <w:tcPr>
            <w:tcW w:w="2014" w:type="dxa"/>
            <w:vAlign w:val="center"/>
          </w:tcPr>
          <w:p w14:paraId="5ECBE12A" w14:textId="3937D94A" w:rsidR="00165F6E" w:rsidRPr="0091626F" w:rsidRDefault="00165F6E" w:rsidP="00165F6E">
            <w:pPr>
              <w:pStyle w:val="CETBodytext"/>
              <w:jc w:val="center"/>
              <w:rPr>
                <w:rFonts w:cs="Arial"/>
                <w:lang w:val="en-GB"/>
              </w:rPr>
            </w:pPr>
            <w:r w:rsidRPr="0091626F">
              <w:rPr>
                <w:rFonts w:cs="Arial"/>
              </w:rPr>
              <w:t>Simulation sampling interval</w:t>
            </w:r>
          </w:p>
        </w:tc>
        <w:tc>
          <w:tcPr>
            <w:tcW w:w="2014" w:type="dxa"/>
            <w:vAlign w:val="center"/>
          </w:tcPr>
          <w:p w14:paraId="4E89F7D3" w14:textId="2A211408" w:rsidR="00165F6E" w:rsidRPr="0091626F" w:rsidRDefault="00165F6E" w:rsidP="00165F6E">
            <w:pPr>
              <w:pStyle w:val="CETBodytext"/>
              <w:jc w:val="center"/>
              <w:rPr>
                <w:rFonts w:cs="Arial"/>
                <w:lang w:val="en-GB"/>
              </w:rPr>
            </w:pPr>
            <m:oMathPara>
              <m:oMath>
                <m:r>
                  <w:rPr>
                    <w:rFonts w:ascii="Cambria Math" w:hAnsi="Cambria Math" w:cs="Arial"/>
                    <w:lang w:val="en-GB"/>
                  </w:rPr>
                  <m:t>∆t</m:t>
                </m:r>
              </m:oMath>
            </m:oMathPara>
          </w:p>
        </w:tc>
        <w:tc>
          <w:tcPr>
            <w:tcW w:w="2014" w:type="dxa"/>
            <w:vAlign w:val="center"/>
          </w:tcPr>
          <w:p w14:paraId="1DF54540" w14:textId="10CB0D66" w:rsidR="00165F6E" w:rsidRPr="0091626F" w:rsidRDefault="00165F6E" w:rsidP="00165F6E">
            <w:pPr>
              <w:pStyle w:val="CETBodytext"/>
              <w:jc w:val="center"/>
              <w:rPr>
                <w:rFonts w:cs="Arial"/>
                <w:lang w:val="en-GB"/>
              </w:rPr>
            </w:pPr>
            <w:r w:rsidRPr="0091626F">
              <w:rPr>
                <w:rFonts w:cs="Arial"/>
              </w:rPr>
              <w:t>0.10</w:t>
            </w:r>
          </w:p>
        </w:tc>
        <w:tc>
          <w:tcPr>
            <w:tcW w:w="2015" w:type="dxa"/>
            <w:vAlign w:val="center"/>
          </w:tcPr>
          <w:p w14:paraId="656E7BCB" w14:textId="3B0650EF" w:rsidR="00165F6E" w:rsidRPr="0091626F" w:rsidRDefault="00165F6E" w:rsidP="00165F6E">
            <w:pPr>
              <w:pStyle w:val="CETBodytext"/>
              <w:jc w:val="center"/>
              <w:rPr>
                <w:rFonts w:cs="Arial"/>
                <w:lang w:val="en-GB"/>
              </w:rPr>
            </w:pPr>
            <m:oMathPara>
              <m:oMath>
                <m:r>
                  <w:rPr>
                    <w:rFonts w:ascii="Cambria Math" w:hAnsi="Cambria Math"/>
                    <w:sz w:val="20"/>
                    <w:lang w:val="en-GB"/>
                  </w:rPr>
                  <m:t>s</m:t>
                </m:r>
              </m:oMath>
            </m:oMathPara>
          </w:p>
        </w:tc>
      </w:tr>
      <w:tr w:rsidR="00165F6E" w14:paraId="64745F84" w14:textId="77777777" w:rsidTr="0091626F">
        <w:tc>
          <w:tcPr>
            <w:tcW w:w="2014" w:type="dxa"/>
            <w:vAlign w:val="center"/>
          </w:tcPr>
          <w:p w14:paraId="62B1ED1D" w14:textId="667AB6EC" w:rsidR="00165F6E" w:rsidRPr="0091626F" w:rsidRDefault="00165F6E" w:rsidP="00165F6E">
            <w:pPr>
              <w:pStyle w:val="CETBodytext"/>
              <w:jc w:val="center"/>
              <w:rPr>
                <w:rFonts w:cs="Arial"/>
                <w:lang w:val="en-GB"/>
              </w:rPr>
            </w:pPr>
            <w:r w:rsidRPr="0091626F">
              <w:rPr>
                <w:rFonts w:cs="Arial"/>
              </w:rPr>
              <w:t>Temperature-error weight</w:t>
            </w:r>
          </w:p>
        </w:tc>
        <w:tc>
          <w:tcPr>
            <w:tcW w:w="2014" w:type="dxa"/>
            <w:vAlign w:val="center"/>
          </w:tcPr>
          <w:p w14:paraId="5EE26D04" w14:textId="69B71948" w:rsidR="00165F6E" w:rsidRPr="0091626F" w:rsidRDefault="00165F6E" w:rsidP="00165F6E">
            <w:pPr>
              <w:pStyle w:val="CETBodytext"/>
              <w:jc w:val="center"/>
              <w:rPr>
                <w:rFonts w:cs="Arial"/>
                <w:lang w:val="en-GB"/>
              </w:rPr>
            </w:pPr>
            <m:oMathPara>
              <m:oMath>
                <m:r>
                  <w:rPr>
                    <w:rFonts w:ascii="Cambria Math" w:hAnsi="Cambria Math" w:cs="Arial"/>
                    <w:lang w:val="en-GB"/>
                  </w:rPr>
                  <m:t>αT</m:t>
                </m:r>
              </m:oMath>
            </m:oMathPara>
          </w:p>
        </w:tc>
        <w:tc>
          <w:tcPr>
            <w:tcW w:w="2014" w:type="dxa"/>
            <w:vAlign w:val="center"/>
          </w:tcPr>
          <w:p w14:paraId="2F7D197B" w14:textId="7E8D22CB" w:rsidR="00165F6E" w:rsidRPr="0091626F" w:rsidRDefault="00165F6E" w:rsidP="00165F6E">
            <w:pPr>
              <w:pStyle w:val="CETBodytext"/>
              <w:jc w:val="center"/>
              <w:rPr>
                <w:rFonts w:cs="Arial"/>
                <w:lang w:val="en-GB"/>
              </w:rPr>
            </w:pPr>
            <w:r w:rsidRPr="0091626F">
              <w:rPr>
                <w:rFonts w:cs="Arial"/>
              </w:rPr>
              <w:t>0.50</w:t>
            </w:r>
          </w:p>
        </w:tc>
        <w:tc>
          <w:tcPr>
            <w:tcW w:w="2015" w:type="dxa"/>
            <w:vAlign w:val="center"/>
          </w:tcPr>
          <w:p w14:paraId="6D475427" w14:textId="65B601B2" w:rsidR="00165F6E" w:rsidRPr="0091626F" w:rsidRDefault="00165F6E" w:rsidP="00165F6E">
            <w:pPr>
              <w:pStyle w:val="CETBodytext"/>
              <w:jc w:val="center"/>
              <w:rPr>
                <w:rFonts w:cs="Arial"/>
                <w:lang w:val="en-GB"/>
              </w:rPr>
            </w:pPr>
            <w:r>
              <w:rPr>
                <w:rFonts w:cs="Arial"/>
              </w:rPr>
              <w:t>-</w:t>
            </w:r>
          </w:p>
        </w:tc>
      </w:tr>
      <w:tr w:rsidR="00165F6E" w14:paraId="1FE7EE44" w14:textId="77777777" w:rsidTr="0091626F">
        <w:tc>
          <w:tcPr>
            <w:tcW w:w="2014" w:type="dxa"/>
            <w:vAlign w:val="center"/>
          </w:tcPr>
          <w:p w14:paraId="5F8134D3" w14:textId="56C3240B" w:rsidR="00165F6E" w:rsidRPr="0091626F" w:rsidRDefault="00165F6E" w:rsidP="00165F6E">
            <w:pPr>
              <w:pStyle w:val="CETBodytext"/>
              <w:jc w:val="center"/>
              <w:rPr>
                <w:rFonts w:cs="Arial"/>
                <w:lang w:val="en-GB"/>
              </w:rPr>
            </w:pPr>
            <w:r w:rsidRPr="0091626F">
              <w:rPr>
                <w:rFonts w:cs="Arial"/>
              </w:rPr>
              <w:t>Concentration-error weight</w:t>
            </w:r>
          </w:p>
        </w:tc>
        <w:tc>
          <w:tcPr>
            <w:tcW w:w="2014" w:type="dxa"/>
            <w:vAlign w:val="center"/>
          </w:tcPr>
          <w:p w14:paraId="7AD475BD" w14:textId="4E2B6BA7" w:rsidR="00165F6E" w:rsidRPr="0091626F" w:rsidRDefault="00165F6E" w:rsidP="00165F6E">
            <w:pPr>
              <w:pStyle w:val="CETBodytext"/>
              <w:jc w:val="center"/>
              <w:rPr>
                <w:rFonts w:cs="Arial"/>
                <w:lang w:val="en-GB"/>
              </w:rPr>
            </w:pPr>
            <m:oMathPara>
              <m:oMath>
                <m:r>
                  <w:rPr>
                    <w:rFonts w:ascii="Cambria Math" w:hAnsi="Cambria Math" w:cs="Arial"/>
                    <w:lang w:val="en-GB"/>
                  </w:rPr>
                  <m:t>αC</m:t>
                </m:r>
              </m:oMath>
            </m:oMathPara>
          </w:p>
        </w:tc>
        <w:tc>
          <w:tcPr>
            <w:tcW w:w="2014" w:type="dxa"/>
            <w:vAlign w:val="center"/>
          </w:tcPr>
          <w:p w14:paraId="43B5D3DD" w14:textId="24C29725" w:rsidR="00165F6E" w:rsidRPr="0091626F" w:rsidRDefault="00165F6E" w:rsidP="00165F6E">
            <w:pPr>
              <w:pStyle w:val="CETBodytext"/>
              <w:jc w:val="center"/>
              <w:rPr>
                <w:rFonts w:cs="Arial"/>
                <w:lang w:val="en-GB"/>
              </w:rPr>
            </w:pPr>
            <w:r w:rsidRPr="0091626F">
              <w:rPr>
                <w:rFonts w:cs="Arial"/>
              </w:rPr>
              <w:t>0.50</w:t>
            </w:r>
          </w:p>
        </w:tc>
        <w:tc>
          <w:tcPr>
            <w:tcW w:w="2015" w:type="dxa"/>
            <w:vAlign w:val="center"/>
          </w:tcPr>
          <w:p w14:paraId="318D9708" w14:textId="53173A19" w:rsidR="00165F6E" w:rsidRPr="0091626F" w:rsidRDefault="00165F6E" w:rsidP="00165F6E">
            <w:pPr>
              <w:pStyle w:val="CETBodytext"/>
              <w:jc w:val="center"/>
              <w:rPr>
                <w:rFonts w:cs="Arial"/>
                <w:lang w:val="en-GB"/>
              </w:rPr>
            </w:pPr>
            <w:r>
              <w:rPr>
                <w:rFonts w:cs="Arial"/>
              </w:rPr>
              <w:t>-</w:t>
            </w:r>
          </w:p>
        </w:tc>
      </w:tr>
      <w:tr w:rsidR="00165F6E" w14:paraId="79113508" w14:textId="77777777" w:rsidTr="0091626F">
        <w:tc>
          <w:tcPr>
            <w:tcW w:w="2014" w:type="dxa"/>
            <w:vAlign w:val="center"/>
          </w:tcPr>
          <w:p w14:paraId="21E26B2F" w14:textId="5AEDFCFE" w:rsidR="00165F6E" w:rsidRPr="0091626F" w:rsidRDefault="00165F6E" w:rsidP="00165F6E">
            <w:pPr>
              <w:pStyle w:val="CETBodytext"/>
              <w:jc w:val="center"/>
              <w:rPr>
                <w:rFonts w:cs="Arial"/>
                <w:lang w:val="en-GB"/>
              </w:rPr>
            </w:pPr>
            <w:r w:rsidRPr="0091626F">
              <w:rPr>
                <w:rFonts w:cs="Arial"/>
              </w:rPr>
              <w:t>PID proportional gain</w:t>
            </w:r>
          </w:p>
        </w:tc>
        <w:tc>
          <w:tcPr>
            <w:tcW w:w="2014" w:type="dxa"/>
            <w:vAlign w:val="center"/>
          </w:tcPr>
          <w:p w14:paraId="0636A87E" w14:textId="0174B3CA" w:rsidR="00165F6E" w:rsidRPr="0091626F" w:rsidRDefault="003C7CE7" w:rsidP="00165F6E">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K</m:t>
                    </m:r>
                  </m:e>
                  <m:sub>
                    <m:r>
                      <w:rPr>
                        <w:rFonts w:ascii="Cambria Math" w:hAnsi="Cambria Math"/>
                        <w:sz w:val="20"/>
                        <w:lang w:val="en-GB"/>
                      </w:rPr>
                      <m:t>p</m:t>
                    </m:r>
                  </m:sub>
                </m:sSub>
              </m:oMath>
            </m:oMathPara>
          </w:p>
        </w:tc>
        <w:tc>
          <w:tcPr>
            <w:tcW w:w="2014" w:type="dxa"/>
            <w:vAlign w:val="center"/>
          </w:tcPr>
          <w:p w14:paraId="79EAA902" w14:textId="26F0EB2F" w:rsidR="00165F6E" w:rsidRPr="0091626F" w:rsidRDefault="00165F6E" w:rsidP="00165F6E">
            <w:pPr>
              <w:pStyle w:val="CETBodytext"/>
              <w:jc w:val="center"/>
              <w:rPr>
                <w:rFonts w:cs="Arial"/>
                <w:lang w:val="en-GB"/>
              </w:rPr>
            </w:pPr>
            <w:r w:rsidRPr="0091626F">
              <w:rPr>
                <w:rFonts w:cs="Arial"/>
              </w:rPr>
              <w:t>2.40</w:t>
            </w:r>
          </w:p>
        </w:tc>
        <w:tc>
          <w:tcPr>
            <w:tcW w:w="2015" w:type="dxa"/>
            <w:vAlign w:val="center"/>
          </w:tcPr>
          <w:p w14:paraId="3A62BD9E" w14:textId="13064CAE" w:rsidR="00165F6E" w:rsidRPr="0091626F" w:rsidRDefault="00165F6E" w:rsidP="00165F6E">
            <w:pPr>
              <w:pStyle w:val="CETBodytext"/>
              <w:jc w:val="center"/>
              <w:rPr>
                <w:rFonts w:cs="Arial"/>
                <w:lang w:val="en-GB"/>
              </w:rPr>
            </w:pPr>
            <w:r>
              <w:rPr>
                <w:rFonts w:cs="Arial"/>
              </w:rPr>
              <w:t>-</w:t>
            </w:r>
          </w:p>
        </w:tc>
      </w:tr>
      <w:tr w:rsidR="00165F6E" w14:paraId="3773EDB3" w14:textId="77777777" w:rsidTr="0091626F">
        <w:tc>
          <w:tcPr>
            <w:tcW w:w="2014" w:type="dxa"/>
            <w:vAlign w:val="center"/>
          </w:tcPr>
          <w:p w14:paraId="0ADDAB99" w14:textId="27CFDD60" w:rsidR="00165F6E" w:rsidRPr="0091626F" w:rsidRDefault="00165F6E" w:rsidP="00165F6E">
            <w:pPr>
              <w:pStyle w:val="CETBodytext"/>
              <w:jc w:val="center"/>
              <w:rPr>
                <w:rFonts w:cs="Arial"/>
                <w:lang w:val="en-GB"/>
              </w:rPr>
            </w:pPr>
            <w:r w:rsidRPr="0091626F">
              <w:rPr>
                <w:rFonts w:cs="Arial"/>
              </w:rPr>
              <w:t>PID integral gain</w:t>
            </w:r>
          </w:p>
        </w:tc>
        <w:tc>
          <w:tcPr>
            <w:tcW w:w="2014" w:type="dxa"/>
            <w:vAlign w:val="center"/>
          </w:tcPr>
          <w:p w14:paraId="750CC3BA" w14:textId="56C3BE0A" w:rsidR="00165F6E" w:rsidRPr="0091626F" w:rsidRDefault="003C7CE7" w:rsidP="00165F6E">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K</m:t>
                    </m:r>
                  </m:e>
                  <m:sub>
                    <m:r>
                      <w:rPr>
                        <w:rFonts w:ascii="Cambria Math" w:hAnsi="Cambria Math"/>
                        <w:sz w:val="20"/>
                        <w:lang w:val="en-GB"/>
                      </w:rPr>
                      <m:t>i</m:t>
                    </m:r>
                  </m:sub>
                </m:sSub>
              </m:oMath>
            </m:oMathPara>
          </w:p>
        </w:tc>
        <w:tc>
          <w:tcPr>
            <w:tcW w:w="2014" w:type="dxa"/>
            <w:vAlign w:val="center"/>
          </w:tcPr>
          <w:p w14:paraId="05BDAACA" w14:textId="183BE736" w:rsidR="00165F6E" w:rsidRPr="0091626F" w:rsidRDefault="00165F6E" w:rsidP="00165F6E">
            <w:pPr>
              <w:pStyle w:val="CETBodytext"/>
              <w:jc w:val="center"/>
              <w:rPr>
                <w:rFonts w:cs="Arial"/>
                <w:lang w:val="en-GB"/>
              </w:rPr>
            </w:pPr>
            <w:r w:rsidRPr="0091626F">
              <w:rPr>
                <w:rFonts w:cs="Arial"/>
              </w:rPr>
              <w:t>0.18</w:t>
            </w:r>
          </w:p>
        </w:tc>
        <w:tc>
          <w:tcPr>
            <w:tcW w:w="2015" w:type="dxa"/>
            <w:vAlign w:val="center"/>
          </w:tcPr>
          <w:p w14:paraId="584DB05E" w14:textId="1464516F" w:rsidR="00165F6E" w:rsidRPr="0091626F" w:rsidRDefault="003C7CE7" w:rsidP="00165F6E">
            <w:pPr>
              <w:pStyle w:val="CETBodytext"/>
              <w:jc w:val="center"/>
              <w:rPr>
                <w:rFonts w:cs="Arial"/>
                <w:lang w:val="en-GB"/>
              </w:rPr>
            </w:pPr>
            <m:oMathPara>
              <m:oMath>
                <m:sSup>
                  <m:sSupPr>
                    <m:ctrlPr>
                      <w:rPr>
                        <w:rFonts w:ascii="Cambria Math" w:hAnsi="Cambria Math"/>
                        <w:i/>
                        <w:sz w:val="20"/>
                        <w:lang w:val="en-GB"/>
                      </w:rPr>
                    </m:ctrlPr>
                  </m:sSupPr>
                  <m:e>
                    <m:r>
                      <w:rPr>
                        <w:rFonts w:ascii="Cambria Math" w:hAnsi="Cambria Math"/>
                        <w:sz w:val="20"/>
                        <w:lang w:val="en-GB"/>
                      </w:rPr>
                      <m:t>s</m:t>
                    </m:r>
                  </m:e>
                  <m:sup>
                    <m:r>
                      <w:rPr>
                        <w:rFonts w:ascii="Cambria Math" w:hAnsi="Cambria Math"/>
                        <w:sz w:val="20"/>
                        <w:lang w:val="en-GB"/>
                      </w:rPr>
                      <m:t>-1</m:t>
                    </m:r>
                  </m:sup>
                </m:sSup>
              </m:oMath>
            </m:oMathPara>
          </w:p>
        </w:tc>
      </w:tr>
      <w:tr w:rsidR="00165F6E" w14:paraId="50E1DC7E" w14:textId="77777777" w:rsidTr="0091626F">
        <w:tc>
          <w:tcPr>
            <w:tcW w:w="2014" w:type="dxa"/>
            <w:vAlign w:val="center"/>
          </w:tcPr>
          <w:p w14:paraId="7851C3E4" w14:textId="21258A76" w:rsidR="00165F6E" w:rsidRPr="0091626F" w:rsidRDefault="00165F6E" w:rsidP="00165F6E">
            <w:pPr>
              <w:pStyle w:val="CETBodytext"/>
              <w:jc w:val="center"/>
              <w:rPr>
                <w:rFonts w:cs="Arial"/>
                <w:lang w:val="en-GB"/>
              </w:rPr>
            </w:pPr>
            <w:r w:rsidRPr="0091626F">
              <w:rPr>
                <w:rFonts w:cs="Arial"/>
              </w:rPr>
              <w:t>PID derivative gain</w:t>
            </w:r>
          </w:p>
        </w:tc>
        <w:tc>
          <w:tcPr>
            <w:tcW w:w="2014" w:type="dxa"/>
            <w:vAlign w:val="center"/>
          </w:tcPr>
          <w:p w14:paraId="73D506D3" w14:textId="1B89616D" w:rsidR="00165F6E" w:rsidRPr="0091626F" w:rsidRDefault="003C7CE7" w:rsidP="00165F6E">
            <w:pPr>
              <w:pStyle w:val="CETBodytext"/>
              <w:jc w:val="center"/>
              <w:rPr>
                <w:rFonts w:cs="Arial"/>
                <w:lang w:val="en-GB"/>
              </w:rPr>
            </w:pPr>
            <m:oMathPara>
              <m:oMath>
                <m:sSub>
                  <m:sSubPr>
                    <m:ctrlPr>
                      <w:rPr>
                        <w:rFonts w:ascii="Cambria Math" w:hAnsi="Cambria Math"/>
                        <w:i/>
                        <w:sz w:val="20"/>
                        <w:lang w:val="en-GB"/>
                      </w:rPr>
                    </m:ctrlPr>
                  </m:sSubPr>
                  <m:e>
                    <m:r>
                      <w:rPr>
                        <w:rFonts w:ascii="Cambria Math" w:hAnsi="Cambria Math"/>
                        <w:sz w:val="20"/>
                        <w:lang w:val="en-GB"/>
                      </w:rPr>
                      <m:t>K</m:t>
                    </m:r>
                  </m:e>
                  <m:sub>
                    <m:r>
                      <w:rPr>
                        <w:rFonts w:ascii="Cambria Math" w:hAnsi="Cambria Math"/>
                        <w:sz w:val="20"/>
                        <w:lang w:val="en-GB"/>
                      </w:rPr>
                      <m:t>d</m:t>
                    </m:r>
                  </m:sub>
                </m:sSub>
              </m:oMath>
            </m:oMathPara>
          </w:p>
        </w:tc>
        <w:tc>
          <w:tcPr>
            <w:tcW w:w="2014" w:type="dxa"/>
            <w:vAlign w:val="center"/>
          </w:tcPr>
          <w:p w14:paraId="4E73B660" w14:textId="2F1B86D3" w:rsidR="00165F6E" w:rsidRPr="0091626F" w:rsidRDefault="00165F6E" w:rsidP="00165F6E">
            <w:pPr>
              <w:pStyle w:val="CETBodytext"/>
              <w:jc w:val="center"/>
              <w:rPr>
                <w:rFonts w:cs="Arial"/>
                <w:lang w:val="en-GB"/>
              </w:rPr>
            </w:pPr>
            <w:r w:rsidRPr="0091626F">
              <w:rPr>
                <w:rFonts w:cs="Arial"/>
              </w:rPr>
              <w:t>0.65</w:t>
            </w:r>
          </w:p>
        </w:tc>
        <w:tc>
          <w:tcPr>
            <w:tcW w:w="2015" w:type="dxa"/>
            <w:vAlign w:val="center"/>
          </w:tcPr>
          <w:p w14:paraId="4828661A" w14:textId="6CC85C88" w:rsidR="00165F6E" w:rsidRPr="0091626F" w:rsidRDefault="00165F6E" w:rsidP="00165F6E">
            <w:pPr>
              <w:pStyle w:val="CETBodytext"/>
              <w:jc w:val="center"/>
              <w:rPr>
                <w:rFonts w:cs="Arial"/>
                <w:lang w:val="en-GB"/>
              </w:rPr>
            </w:pPr>
            <m:oMathPara>
              <m:oMath>
                <m:r>
                  <w:rPr>
                    <w:rFonts w:ascii="Cambria Math" w:hAnsi="Cambria Math"/>
                    <w:sz w:val="20"/>
                    <w:lang w:val="en-GB"/>
                  </w:rPr>
                  <m:t>s</m:t>
                </m:r>
              </m:oMath>
            </m:oMathPara>
          </w:p>
        </w:tc>
      </w:tr>
    </w:tbl>
    <w:p w14:paraId="29F818CD" w14:textId="77777777" w:rsidR="0091626F" w:rsidRDefault="0091626F" w:rsidP="0091626F">
      <w:pPr>
        <w:pStyle w:val="CETBodytext"/>
        <w:ind w:left="720"/>
        <w:jc w:val="center"/>
        <w:rPr>
          <w:lang w:val="en-GB"/>
        </w:rPr>
      </w:pPr>
    </w:p>
    <w:p w14:paraId="267A632B" w14:textId="1EEDD999" w:rsidR="00165F6E" w:rsidRDefault="00165F6E" w:rsidP="00165F6E">
      <w:pPr>
        <w:pStyle w:val="CETBodytext"/>
        <w:tabs>
          <w:tab w:val="clear" w:pos="7100"/>
          <w:tab w:val="right" w:pos="8647"/>
        </w:tabs>
        <w:ind w:firstLine="426"/>
        <w:rPr>
          <w:lang w:val="en-GB"/>
        </w:rPr>
      </w:pPr>
      <w:r w:rsidRPr="00FC25BB">
        <w:rPr>
          <w:highlight w:val="yellow"/>
          <w:lang w:val="en-GB"/>
        </w:rPr>
        <w:t xml:space="preserve">The parameters listed in Table 1 were applied consistently in all nominal-operation, set-point tracking, disturbance-rejection, and parameter-uncertainty simulations. The PID gains were obtained by simulation-based tuning around the nominal operating point </w:t>
      </w:r>
      <m:oMath>
        <m:sSub>
          <m:sSubPr>
            <m:ctrlPr>
              <w:rPr>
                <w:rFonts w:ascii="Cambria Math" w:hAnsi="Cambria Math"/>
                <w:i/>
                <w:sz w:val="20"/>
                <w:highlight w:val="yellow"/>
                <w:lang w:val="en-GB"/>
              </w:rPr>
            </m:ctrlPr>
          </m:sSubPr>
          <m:e>
            <m:r>
              <w:rPr>
                <w:rFonts w:ascii="Cambria Math" w:hAnsi="Cambria Math"/>
                <w:sz w:val="20"/>
                <w:highlight w:val="yellow"/>
                <w:lang w:val="en-GB"/>
              </w:rPr>
              <m:t>T</m:t>
            </m:r>
          </m:e>
          <m:sub>
            <m:r>
              <w:rPr>
                <w:rFonts w:ascii="Cambria Math" w:hAnsi="Cambria Math"/>
                <w:sz w:val="20"/>
                <w:highlight w:val="yellow"/>
                <w:lang w:val="en-GB"/>
              </w:rPr>
              <m:t>ref</m:t>
            </m:r>
          </m:sub>
        </m:sSub>
        <m:r>
          <w:rPr>
            <w:rFonts w:ascii="Cambria Math" w:hAnsi="Cambria Math"/>
            <w:sz w:val="20"/>
            <w:highlight w:val="yellow"/>
            <w:lang w:val="en-GB"/>
          </w:rPr>
          <m:t>=350 K</m:t>
        </m:r>
      </m:oMath>
      <w:r w:rsidRPr="00FC25BB">
        <w:rPr>
          <w:highlight w:val="yellow"/>
          <w:lang w:val="en-GB"/>
        </w:rPr>
        <w:t xml:space="preserve"> and </w:t>
      </w:r>
      <m:oMath>
        <m:sSub>
          <m:sSubPr>
            <m:ctrlPr>
              <w:rPr>
                <w:rFonts w:ascii="Cambria Math" w:hAnsi="Cambria Math"/>
                <w:i/>
                <w:sz w:val="20"/>
                <w:highlight w:val="yellow"/>
                <w:lang w:val="en-GB"/>
              </w:rPr>
            </m:ctrlPr>
          </m:sSubPr>
          <m:e>
            <m:r>
              <w:rPr>
                <w:rFonts w:ascii="Cambria Math" w:hAnsi="Cambria Math"/>
                <w:sz w:val="20"/>
                <w:highlight w:val="yellow"/>
                <w:lang w:val="en-GB"/>
              </w:rPr>
              <m:t>C</m:t>
            </m:r>
          </m:e>
          <m:sub>
            <m:r>
              <w:rPr>
                <w:rFonts w:ascii="Cambria Math" w:hAnsi="Cambria Math"/>
                <w:sz w:val="20"/>
                <w:highlight w:val="yellow"/>
                <w:lang w:val="en-GB"/>
              </w:rPr>
              <m:t>ref</m:t>
            </m:r>
          </m:sub>
        </m:sSub>
        <m:r>
          <w:rPr>
            <w:rFonts w:ascii="Cambria Math" w:hAnsi="Cambria Math"/>
            <w:sz w:val="20"/>
            <w:highlight w:val="yellow"/>
            <w:lang w:val="en-GB"/>
          </w:rPr>
          <m:t xml:space="preserve">=10 </m:t>
        </m:r>
        <m:sSup>
          <m:sSupPr>
            <m:ctrlPr>
              <w:rPr>
                <w:rFonts w:ascii="Cambria Math" w:hAnsi="Cambria Math"/>
                <w:i/>
                <w:sz w:val="20"/>
                <w:highlight w:val="yellow"/>
                <w:lang w:val="en-GB"/>
              </w:rPr>
            </m:ctrlPr>
          </m:sSupPr>
          <m:e>
            <m:r>
              <w:rPr>
                <w:rFonts w:ascii="Cambria Math" w:hAnsi="Cambria Math"/>
                <w:sz w:val="20"/>
                <w:highlight w:val="yellow"/>
                <w:lang w:val="en-GB"/>
              </w:rPr>
              <m:t>mol/m</m:t>
            </m:r>
          </m:e>
          <m:sup>
            <m:r>
              <w:rPr>
                <w:rFonts w:ascii="Cambria Math" w:hAnsi="Cambria Math"/>
                <w:sz w:val="20"/>
                <w:highlight w:val="yellow"/>
                <w:lang w:val="en-GB"/>
              </w:rPr>
              <m:t>3</m:t>
            </m:r>
          </m:sup>
        </m:sSup>
      </m:oMath>
      <w:r w:rsidRPr="00FC25BB">
        <w:rPr>
          <w:highlight w:val="yellow"/>
          <w:lang w:val="en-GB"/>
        </w:rPr>
        <w:t>. The same nonlinear reactor model, initial conditions, simulation horizon, and disturbance scenarios were used for the PID and intelligent controllers to ensure a fair and reproducible comparison. The PID gains were fixed during each simulation, whereas the neural-network weights of the intelligent controller were updated online according to Equations (10) and (11).</w:t>
      </w:r>
    </w:p>
    <w:p w14:paraId="337C3331" w14:textId="1E365C29" w:rsidR="005401F8" w:rsidRDefault="00F349D7" w:rsidP="00165F6E">
      <w:pPr>
        <w:pStyle w:val="CETBodytext"/>
        <w:tabs>
          <w:tab w:val="clear" w:pos="7100"/>
          <w:tab w:val="right" w:pos="8647"/>
        </w:tabs>
        <w:ind w:firstLine="426"/>
        <w:rPr>
          <w:lang w:val="en-GB"/>
        </w:rPr>
      </w:pPr>
      <w:r w:rsidRPr="00F349D7">
        <w:rPr>
          <w:lang w:val="en-GB"/>
        </w:rPr>
        <w:t>The control objective is to maintain the reactor temperature and outlet concentration close to their reference values. The temperature and concentration errors are defined as:</w:t>
      </w:r>
    </w:p>
    <w:p w14:paraId="60783524" w14:textId="6A49A12B" w:rsidR="00F349D7" w:rsidRDefault="003C7CE7" w:rsidP="00842446">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T</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=T</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ref</m:t>
            </m:r>
          </m:sub>
        </m:sSub>
        <m:r>
          <w:rPr>
            <w:rFonts w:ascii="Cambria Math" w:hAnsi="Cambria Math"/>
            <w:sz w:val="20"/>
            <w:lang w:val="en-GB"/>
          </w:rPr>
          <m:t>(t)</m:t>
        </m:r>
      </m:oMath>
      <w:r w:rsidR="00842446">
        <w:rPr>
          <w:lang w:val="en-GB"/>
        </w:rPr>
        <w:tab/>
      </w:r>
      <w:r w:rsidR="00842446" w:rsidRPr="00842446">
        <w:t>(</w:t>
      </w:r>
      <w:r w:rsidR="00842446" w:rsidRPr="00842446">
        <w:rPr>
          <w:lang w:val="en-GB"/>
        </w:rPr>
        <w:t>4)</w:t>
      </w:r>
    </w:p>
    <w:p w14:paraId="217FE207" w14:textId="5F3B8AD6" w:rsidR="00842446" w:rsidRDefault="003C7CE7" w:rsidP="00842446">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С</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=С</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С</m:t>
            </m:r>
          </m:e>
          <m:sub>
            <m:r>
              <w:rPr>
                <w:rFonts w:ascii="Cambria Math" w:hAnsi="Cambria Math"/>
                <w:sz w:val="20"/>
                <w:lang w:val="en-GB"/>
              </w:rPr>
              <m:t>ref</m:t>
            </m:r>
          </m:sub>
        </m:sSub>
        <m:r>
          <w:rPr>
            <w:rFonts w:ascii="Cambria Math" w:hAnsi="Cambria Math"/>
            <w:sz w:val="20"/>
            <w:lang w:val="en-GB"/>
          </w:rPr>
          <m:t>(t)</m:t>
        </m:r>
      </m:oMath>
      <w:r w:rsidR="00842446">
        <w:rPr>
          <w:lang w:val="en-GB"/>
        </w:rPr>
        <w:tab/>
      </w:r>
      <w:r w:rsidR="00842446" w:rsidRPr="00842446">
        <w:t>(</w:t>
      </w:r>
      <w:r w:rsidR="00842446" w:rsidRPr="00842446">
        <w:rPr>
          <w:lang w:val="en-GB"/>
        </w:rPr>
        <w:t>5)</w:t>
      </w:r>
    </w:p>
    <w:p w14:paraId="25B8EBC1" w14:textId="312EE3DD" w:rsidR="00842446" w:rsidRPr="00842446" w:rsidRDefault="00487B6C" w:rsidP="00487B6C">
      <w:pPr>
        <w:pStyle w:val="CETBodytext"/>
        <w:tabs>
          <w:tab w:val="clear" w:pos="7100"/>
        </w:tabs>
        <w:rPr>
          <w:lang w:val="en-GB"/>
        </w:rPr>
      </w:pPr>
      <w:r>
        <w:t xml:space="preserve">where </w:t>
      </w:r>
      <m:oMath>
        <m:sSub>
          <m:sSubPr>
            <m:ctrlPr>
              <w:rPr>
                <w:rFonts w:ascii="Cambria Math" w:hAnsi="Cambria Math"/>
                <w:i/>
                <w:lang w:val="en-GB"/>
              </w:rPr>
            </m:ctrlPr>
          </m:sSubPr>
          <m:e>
            <m:r>
              <w:rPr>
                <w:rFonts w:ascii="Cambria Math" w:hAnsi="Cambria Math"/>
                <w:lang w:val="en-GB"/>
              </w:rPr>
              <m:t>T</m:t>
            </m:r>
          </m:e>
          <m:sub>
            <m:r>
              <w:rPr>
                <w:rFonts w:ascii="Cambria Math" w:hAnsi="Cambria Math"/>
              </w:rPr>
              <m:t>ref</m:t>
            </m:r>
          </m:sub>
        </m:sSub>
        <m:r>
          <w:rPr>
            <w:rFonts w:ascii="Cambria Math" w:hAnsi="Cambria Math"/>
            <w:lang w:val="en-GB"/>
          </w:rPr>
          <m:t>(t)</m:t>
        </m:r>
      </m:oMath>
      <w:r w:rsidRPr="005401F8">
        <w:rPr>
          <w:lang w:val="en-GB"/>
        </w:rPr>
        <w:t xml:space="preserve"> </w:t>
      </w:r>
      <w:r>
        <w:t xml:space="preserve">and </w:t>
      </w:r>
      <m:oMath>
        <m:sSub>
          <m:sSubPr>
            <m:ctrlPr>
              <w:rPr>
                <w:rFonts w:ascii="Cambria Math" w:hAnsi="Cambria Math"/>
                <w:i/>
                <w:lang w:val="en-GB"/>
              </w:rPr>
            </m:ctrlPr>
          </m:sSubPr>
          <m:e>
            <m:r>
              <w:rPr>
                <w:rFonts w:ascii="Cambria Math" w:hAnsi="Cambria Math"/>
                <w:lang w:val="en-GB"/>
              </w:rPr>
              <m:t>C</m:t>
            </m:r>
          </m:e>
          <m:sub>
            <m:r>
              <w:rPr>
                <w:rFonts w:ascii="Cambria Math" w:hAnsi="Cambria Math"/>
              </w:rPr>
              <m:t>ref</m:t>
            </m:r>
          </m:sub>
        </m:sSub>
        <m:r>
          <w:rPr>
            <w:rFonts w:ascii="Cambria Math" w:hAnsi="Cambria Math"/>
            <w:lang w:val="en-GB"/>
          </w:rPr>
          <m:t>(t)</m:t>
        </m:r>
      </m:oMath>
      <w:r>
        <w:t xml:space="preserve"> are the desired reference values. The general control vector is expressed as:</w:t>
      </w:r>
    </w:p>
    <w:p w14:paraId="02134ED5" w14:textId="6145F9D7" w:rsidR="00487B6C" w:rsidRDefault="00487B6C" w:rsidP="00487B6C">
      <w:pPr>
        <w:pStyle w:val="CETBodytext"/>
        <w:tabs>
          <w:tab w:val="clear" w:pos="7100"/>
        </w:tabs>
        <w:ind w:left="720"/>
        <w:jc w:val="center"/>
        <w:rPr>
          <w:lang w:val="en-GB"/>
        </w:rPr>
      </w:pPr>
      <m:oMath>
        <m:r>
          <w:rPr>
            <w:rFonts w:ascii="Cambria Math" w:hAnsi="Cambria Math"/>
            <w:sz w:val="20"/>
            <w:lang w:val="en-GB"/>
          </w:rPr>
          <m:t>u</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d>
          <m:dPr>
            <m:begChr m:val="["/>
            <m:endChr m:val="]"/>
            <m:ctrlPr>
              <w:rPr>
                <w:rFonts w:ascii="Cambria Math" w:hAnsi="Cambria Math"/>
                <w:i/>
                <w:sz w:val="20"/>
                <w:lang w:val="en-GB"/>
              </w:rPr>
            </m:ctrlPr>
          </m:dPr>
          <m:e>
            <m:m>
              <m:mPr>
                <m:mcs>
                  <m:mc>
                    <m:mcPr>
                      <m:count m:val="1"/>
                      <m:mcJc m:val="center"/>
                    </m:mcPr>
                  </m:mc>
                </m:mcs>
                <m:ctrlPr>
                  <w:rPr>
                    <w:rFonts w:ascii="Cambria Math" w:hAnsi="Cambria Math"/>
                    <w:i/>
                    <w:sz w:val="20"/>
                    <w:lang w:val="en-GB"/>
                  </w:rPr>
                </m:ctrlPr>
              </m:mPr>
              <m:mr>
                <m:e>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1</m:t>
                      </m:r>
                    </m:sub>
                  </m:sSub>
                  <m:r>
                    <w:rPr>
                      <w:rFonts w:ascii="Cambria Math" w:hAnsi="Cambria Math"/>
                      <w:sz w:val="20"/>
                      <w:lang w:val="en-GB"/>
                    </w:rPr>
                    <m:t>(t)</m:t>
                  </m:r>
                </m:e>
              </m:mr>
              <m:mr>
                <m:e>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2</m:t>
                      </m:r>
                    </m:sub>
                  </m:sSub>
                  <m:r>
                    <w:rPr>
                      <w:rFonts w:ascii="Cambria Math" w:hAnsi="Cambria Math"/>
                      <w:sz w:val="20"/>
                      <w:lang w:val="en-GB"/>
                    </w:rPr>
                    <m:t>(t)</m:t>
                  </m:r>
                </m:e>
              </m:mr>
            </m:m>
          </m:e>
        </m:d>
      </m:oMath>
      <w:r>
        <w:rPr>
          <w:lang w:val="en-GB"/>
        </w:rPr>
        <w:tab/>
      </w:r>
      <w:r w:rsidRPr="00842446">
        <w:t>(</w:t>
      </w:r>
      <w:r>
        <w:rPr>
          <w:lang w:val="en-GB"/>
        </w:rPr>
        <w:t>6</w:t>
      </w:r>
      <w:r w:rsidRPr="00842446">
        <w:rPr>
          <w:lang w:val="en-GB"/>
        </w:rPr>
        <w:t>)</w:t>
      </w:r>
    </w:p>
    <w:p w14:paraId="1F8FEC02" w14:textId="77777777" w:rsidR="00487B6C" w:rsidRDefault="00487B6C" w:rsidP="00487B6C">
      <w:pPr>
        <w:pStyle w:val="CETBodytext"/>
        <w:rPr>
          <w:lang w:val="en-GB"/>
        </w:rPr>
      </w:pPr>
      <w:r w:rsidRPr="00487B6C">
        <w:rPr>
          <w:lang w:val="en-GB"/>
        </w:rPr>
        <w:t xml:space="preserve">where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1</m:t>
            </m:r>
          </m:sub>
        </m:sSub>
        <m:r>
          <w:rPr>
            <w:rFonts w:ascii="Cambria Math" w:hAnsi="Cambria Math"/>
            <w:lang w:val="en-GB"/>
          </w:rPr>
          <m:t>(t)</m:t>
        </m:r>
      </m:oMath>
      <w:r w:rsidRPr="00487B6C">
        <w:rPr>
          <w:lang w:val="en-GB"/>
        </w:rPr>
        <w:t xml:space="preserve"> represents the feed flow control action and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2</m:t>
            </m:r>
          </m:sub>
        </m:sSub>
        <m:r>
          <w:rPr>
            <w:rFonts w:ascii="Cambria Math" w:hAnsi="Cambria Math"/>
            <w:lang w:val="en-GB"/>
          </w:rPr>
          <m:t>(t)</m:t>
        </m:r>
      </m:oMath>
      <w:r w:rsidRPr="00487B6C">
        <w:rPr>
          <w:lang w:val="en-GB"/>
        </w:rPr>
        <w:t xml:space="preserve">  represents the coolant flow control action. These two channels are selected because they directly affect the concentration and temperature dynamics of the reactor.</w:t>
      </w:r>
      <w:r>
        <w:rPr>
          <w:lang w:val="en-GB"/>
        </w:rPr>
        <w:t xml:space="preserve"> </w:t>
      </w:r>
    </w:p>
    <w:p w14:paraId="7A72569F" w14:textId="782CF590" w:rsidR="00F349D7" w:rsidRDefault="00487B6C" w:rsidP="00487B6C">
      <w:pPr>
        <w:pStyle w:val="CETBodytext"/>
        <w:tabs>
          <w:tab w:val="clear" w:pos="7100"/>
          <w:tab w:val="right" w:pos="0"/>
        </w:tabs>
        <w:rPr>
          <w:lang w:val="en-GB"/>
        </w:rPr>
      </w:pPr>
      <w:r>
        <w:rPr>
          <w:lang w:val="en-GB"/>
        </w:rPr>
        <w:tab/>
      </w:r>
      <w:r w:rsidRPr="00487B6C">
        <w:rPr>
          <w:lang w:val="en-GB"/>
        </w:rPr>
        <w:t>The proposed intelligent controller combines neural network approximation, fuzzy logic</w:t>
      </w:r>
      <w:r>
        <w:rPr>
          <w:lang w:val="en-GB"/>
        </w:rPr>
        <w:t xml:space="preserve"> reasoning and </w:t>
      </w:r>
      <w:r w:rsidRPr="00487B6C">
        <w:rPr>
          <w:lang w:val="en-GB"/>
        </w:rPr>
        <w:t>adaptive correction. The total control signal is written as:</w:t>
      </w:r>
    </w:p>
    <w:p w14:paraId="193611CE" w14:textId="58623D2C" w:rsidR="00487B6C" w:rsidRDefault="00487B6C" w:rsidP="00487B6C">
      <w:pPr>
        <w:pStyle w:val="CETBodytext"/>
        <w:tabs>
          <w:tab w:val="clear" w:pos="7100"/>
        </w:tabs>
        <w:ind w:left="720"/>
        <w:jc w:val="center"/>
        <w:rPr>
          <w:lang w:val="en-GB"/>
        </w:rPr>
      </w:pPr>
      <m:oMath>
        <m:r>
          <w:rPr>
            <w:rFonts w:ascii="Cambria Math" w:hAnsi="Cambria Math"/>
            <w:sz w:val="20"/>
            <w:lang w:val="en-GB"/>
          </w:rPr>
          <m:t>u</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NN</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F</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A</m:t>
            </m:r>
          </m:sub>
        </m:sSub>
        <m:d>
          <m:dPr>
            <m:ctrlPr>
              <w:rPr>
                <w:rFonts w:ascii="Cambria Math" w:hAnsi="Cambria Math"/>
                <w:i/>
                <w:sz w:val="20"/>
                <w:lang w:val="en-GB"/>
              </w:rPr>
            </m:ctrlPr>
          </m:dPr>
          <m:e>
            <m:r>
              <w:rPr>
                <w:rFonts w:ascii="Cambria Math" w:hAnsi="Cambria Math"/>
                <w:sz w:val="20"/>
                <w:lang w:val="en-GB"/>
              </w:rPr>
              <m:t>t</m:t>
            </m:r>
          </m:e>
        </m:d>
      </m:oMath>
      <w:r>
        <w:rPr>
          <w:lang w:val="en-GB"/>
        </w:rPr>
        <w:tab/>
      </w:r>
      <w:r w:rsidRPr="00842446">
        <w:t>(</w:t>
      </w:r>
      <w:r>
        <w:rPr>
          <w:lang w:val="en-GB"/>
        </w:rPr>
        <w:t>7</w:t>
      </w:r>
      <w:r w:rsidRPr="00842446">
        <w:rPr>
          <w:lang w:val="en-GB"/>
        </w:rPr>
        <w:t>)</w:t>
      </w:r>
    </w:p>
    <w:p w14:paraId="27643441" w14:textId="5392A973" w:rsidR="00F349D7" w:rsidRDefault="00487B6C" w:rsidP="00487B6C">
      <w:pPr>
        <w:pStyle w:val="CETBodytext"/>
        <w:rPr>
          <w:lang w:val="en-GB"/>
        </w:rPr>
      </w:pPr>
      <w:r w:rsidRPr="00487B6C">
        <w:rPr>
          <w:lang w:val="en-GB"/>
        </w:rPr>
        <w:t xml:space="preserve">where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NN</m:t>
            </m:r>
          </m:sub>
        </m:sSub>
        <m:d>
          <m:dPr>
            <m:ctrlPr>
              <w:rPr>
                <w:rFonts w:ascii="Cambria Math" w:hAnsi="Cambria Math"/>
                <w:i/>
                <w:lang w:val="en-GB"/>
              </w:rPr>
            </m:ctrlPr>
          </m:dPr>
          <m:e>
            <m:r>
              <w:rPr>
                <w:rFonts w:ascii="Cambria Math" w:hAnsi="Cambria Math"/>
                <w:lang w:val="en-GB"/>
              </w:rPr>
              <m:t>t</m:t>
            </m:r>
          </m:e>
        </m:d>
      </m:oMath>
      <w:r w:rsidRPr="00487B6C">
        <w:rPr>
          <w:lang w:val="en-GB"/>
        </w:rPr>
        <w:t xml:space="preserve"> is the neural network compensation signal,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F</m:t>
            </m:r>
          </m:sub>
        </m:sSub>
        <m:d>
          <m:dPr>
            <m:ctrlPr>
              <w:rPr>
                <w:rFonts w:ascii="Cambria Math" w:hAnsi="Cambria Math"/>
                <w:i/>
                <w:lang w:val="en-GB"/>
              </w:rPr>
            </m:ctrlPr>
          </m:dPr>
          <m:e>
            <m:r>
              <w:rPr>
                <w:rFonts w:ascii="Cambria Math" w:hAnsi="Cambria Math"/>
                <w:lang w:val="en-GB"/>
              </w:rPr>
              <m:t>t</m:t>
            </m:r>
          </m:e>
        </m:d>
      </m:oMath>
      <w:r w:rsidRPr="00487B6C">
        <w:rPr>
          <w:lang w:val="en-GB"/>
        </w:rPr>
        <w:t xml:space="preserve"> is the fuzzy control signal, and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A</m:t>
            </m:r>
          </m:sub>
        </m:sSub>
        <m:d>
          <m:dPr>
            <m:ctrlPr>
              <w:rPr>
                <w:rFonts w:ascii="Cambria Math" w:hAnsi="Cambria Math"/>
                <w:i/>
                <w:lang w:val="en-GB"/>
              </w:rPr>
            </m:ctrlPr>
          </m:dPr>
          <m:e>
            <m:r>
              <w:rPr>
                <w:rFonts w:ascii="Cambria Math" w:hAnsi="Cambria Math"/>
                <w:lang w:val="en-GB"/>
              </w:rPr>
              <m:t>t</m:t>
            </m:r>
          </m:e>
        </m:d>
      </m:oMath>
      <w:r w:rsidRPr="00487B6C">
        <w:rPr>
          <w:lang w:val="en-GB"/>
        </w:rPr>
        <w:t xml:space="preserve"> is the adaptive correction signal. The neural network block approximates unknown nonlinearities of the process as follows:</w:t>
      </w:r>
    </w:p>
    <w:p w14:paraId="4195744D" w14:textId="7029CD66" w:rsidR="00487B6C" w:rsidRDefault="003C7CE7" w:rsidP="00487B6C">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NN</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p>
          <m:sSupPr>
            <m:ctrlPr>
              <w:rPr>
                <w:rFonts w:ascii="Cambria Math" w:hAnsi="Cambria Math"/>
                <w:i/>
                <w:sz w:val="20"/>
                <w:lang w:val="en-GB"/>
              </w:rPr>
            </m:ctrlPr>
          </m:sSupPr>
          <m:e>
            <m:r>
              <w:rPr>
                <w:rFonts w:ascii="Cambria Math" w:hAnsi="Cambria Math"/>
                <w:sz w:val="20"/>
                <w:lang w:val="en-GB"/>
              </w:rPr>
              <m:t>W</m:t>
            </m:r>
          </m:e>
          <m:sup>
            <m:r>
              <w:rPr>
                <w:rFonts w:ascii="Cambria Math" w:hAnsi="Cambria Math"/>
                <w:sz w:val="20"/>
                <w:lang w:val="en-GB"/>
              </w:rPr>
              <m:t>T</m:t>
            </m:r>
          </m:sup>
        </m:sSup>
        <m:r>
          <w:rPr>
            <w:rFonts w:ascii="Cambria Math" w:hAnsi="Cambria Math"/>
            <w:sz w:val="20"/>
            <w:lang w:val="en-GB"/>
          </w:rPr>
          <m:t>(t)φ(x</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oMath>
      <w:r w:rsidR="00487B6C" w:rsidRPr="007C7C78">
        <w:rPr>
          <w:rFonts w:ascii="Times New Roman" w:hAnsi="Times New Roman"/>
          <w:sz w:val="20"/>
          <w:lang w:val="en-GB"/>
        </w:rPr>
        <w:tab/>
      </w:r>
      <w:r w:rsidR="00D214C3">
        <w:rPr>
          <w:lang w:val="en-GB"/>
        </w:rPr>
        <w:tab/>
      </w:r>
      <w:r w:rsidR="00487B6C" w:rsidRPr="00842446">
        <w:t>(</w:t>
      </w:r>
      <w:r w:rsidR="00487B6C">
        <w:rPr>
          <w:lang w:val="en-GB"/>
        </w:rPr>
        <w:t>8</w:t>
      </w:r>
      <w:r w:rsidR="00487B6C" w:rsidRPr="00842446">
        <w:rPr>
          <w:lang w:val="en-GB"/>
        </w:rPr>
        <w:t>)</w:t>
      </w:r>
    </w:p>
    <w:p w14:paraId="580DE14C" w14:textId="278905FD" w:rsidR="00487B6C" w:rsidRDefault="00487B6C" w:rsidP="00487B6C">
      <w:pPr>
        <w:pStyle w:val="CETBodytext"/>
        <w:jc w:val="center"/>
        <w:rPr>
          <w:lang w:val="en-GB"/>
        </w:rPr>
      </w:pPr>
    </w:p>
    <w:p w14:paraId="4EB78B88" w14:textId="709B108D" w:rsidR="00487B6C" w:rsidRDefault="00D214C3" w:rsidP="00487B6C">
      <w:pPr>
        <w:pStyle w:val="CETBodytext"/>
      </w:pPr>
      <w:r>
        <w:t xml:space="preserve">where </w:t>
      </w:r>
      <m:oMath>
        <m:sSup>
          <m:sSupPr>
            <m:ctrlPr>
              <w:rPr>
                <w:rFonts w:ascii="Cambria Math" w:hAnsi="Cambria Math"/>
                <w:i/>
                <w:lang w:val="en-GB"/>
              </w:rPr>
            </m:ctrlPr>
          </m:sSupPr>
          <m:e>
            <m:r>
              <w:rPr>
                <w:rFonts w:ascii="Cambria Math" w:hAnsi="Cambria Math"/>
                <w:lang w:val="en-GB"/>
              </w:rPr>
              <m:t>W</m:t>
            </m:r>
          </m:e>
          <m:sup>
            <m:r>
              <w:rPr>
                <w:rFonts w:ascii="Cambria Math" w:hAnsi="Cambria Math"/>
                <w:lang w:val="en-GB"/>
              </w:rPr>
              <m:t>T</m:t>
            </m:r>
          </m:sup>
        </m:sSup>
        <m:r>
          <w:rPr>
            <w:rFonts w:ascii="Cambria Math" w:hAnsi="Cambria Math"/>
            <w:lang w:val="en-GB"/>
          </w:rPr>
          <m:t>(t)</m:t>
        </m:r>
      </m:oMath>
      <w:r>
        <w:t xml:space="preserve"> is the adaptive weight vector, </w:t>
      </w:r>
      <m:oMath>
        <m:r>
          <w:rPr>
            <w:rFonts w:ascii="Cambria Math" w:hAnsi="Cambria Math"/>
            <w:lang w:val="en-GB"/>
          </w:rPr>
          <m:t>φ</m:t>
        </m:r>
      </m:oMath>
      <w:r w:rsidRPr="00D214C3">
        <w:rPr>
          <w:rFonts w:ascii="Times New Roman" w:hAnsi="Times New Roman"/>
          <w:lang w:val="en-GB"/>
        </w:rPr>
        <w:tab/>
        <w:t>(x(t))</w:t>
      </w:r>
      <w:r>
        <w:t xml:space="preserve"> is the nonlinear activation function vector, and </w:t>
      </w:r>
      <w:r>
        <w:rPr>
          <w:rFonts w:ascii="Times New Roman" w:hAnsi="Times New Roman"/>
          <w:lang w:val="en-GB"/>
        </w:rPr>
        <w:t xml:space="preserve">x(t) </w:t>
      </w:r>
      <w:r>
        <w:t>is the state vector consisting of temperature, concentration and their errors. The fuzzy component generates a control correction according to the membership functions and rule outputs:</w:t>
      </w:r>
    </w:p>
    <w:p w14:paraId="56E4305F" w14:textId="4193FF62" w:rsidR="00CC72CA" w:rsidRDefault="003C7CE7" w:rsidP="00CC72CA">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F</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f>
          <m:fPr>
            <m:ctrlPr>
              <w:rPr>
                <w:rFonts w:ascii="Cambria Math" w:hAnsi="Cambria Math"/>
                <w:i/>
                <w:sz w:val="20"/>
                <w:lang w:val="en-GB"/>
              </w:rPr>
            </m:ctrlPr>
          </m:fPr>
          <m:num>
            <m:nary>
              <m:naryPr>
                <m:chr m:val="∑"/>
                <m:limLoc m:val="subSup"/>
                <m:ctrlPr>
                  <w:rPr>
                    <w:rFonts w:ascii="Cambria Math" w:hAnsi="Cambria Math"/>
                    <w:i/>
                    <w:sz w:val="20"/>
                    <w:lang w:val="en-GB"/>
                  </w:rPr>
                </m:ctrlPr>
              </m:naryPr>
              <m:sub>
                <m:r>
                  <w:rPr>
                    <w:rFonts w:ascii="Cambria Math" w:hAnsi="Cambria Math"/>
                    <w:sz w:val="20"/>
                    <w:lang w:val="en-GB"/>
                  </w:rPr>
                  <m:t>i=1</m:t>
                </m:r>
              </m:sub>
              <m:sup>
                <m:r>
                  <w:rPr>
                    <w:rFonts w:ascii="Cambria Math" w:hAnsi="Cambria Math"/>
                    <w:sz w:val="20"/>
                    <w:lang w:val="en-GB"/>
                  </w:rPr>
                  <m:t>N</m:t>
                </m:r>
              </m:sup>
              <m:e>
                <m:sSub>
                  <m:sSubPr>
                    <m:ctrlPr>
                      <w:rPr>
                        <w:rFonts w:ascii="Cambria Math" w:hAnsi="Cambria Math"/>
                        <w:i/>
                        <w:sz w:val="20"/>
                        <w:lang w:val="en-GB"/>
                      </w:rPr>
                    </m:ctrlPr>
                  </m:sSubPr>
                  <m:e>
                    <m:r>
                      <w:rPr>
                        <w:rFonts w:ascii="Cambria Math" w:hAnsi="Cambria Math"/>
                        <w:sz w:val="20"/>
                        <w:lang w:val="en-GB"/>
                      </w:rPr>
                      <m:t>μ</m:t>
                    </m:r>
                  </m:e>
                  <m:sub>
                    <m:r>
                      <w:rPr>
                        <w:rFonts w:ascii="Cambria Math" w:hAnsi="Cambria Math"/>
                        <w:sz w:val="20"/>
                        <w:lang w:val="en-GB"/>
                      </w:rPr>
                      <m:t>i</m:t>
                    </m:r>
                  </m:sub>
                </m:sSub>
                <m:r>
                  <w:rPr>
                    <w:rFonts w:ascii="Cambria Math" w:hAnsi="Cambria Math"/>
                    <w:sz w:val="20"/>
                    <w:lang w:val="en-GB"/>
                  </w:rPr>
                  <m:t>(x(t))</m:t>
                </m:r>
                <m:sSub>
                  <m:sSubPr>
                    <m:ctrlPr>
                      <w:rPr>
                        <w:rFonts w:ascii="Cambria Math" w:hAnsi="Cambria Math"/>
                        <w:i/>
                        <w:sz w:val="20"/>
                        <w:lang w:val="en-GB"/>
                      </w:rPr>
                    </m:ctrlPr>
                  </m:sSubPr>
                  <m:e>
                    <m:r>
                      <w:rPr>
                        <w:rFonts w:ascii="Cambria Math" w:hAnsi="Cambria Math"/>
                        <w:sz w:val="20"/>
                        <w:lang w:val="en-GB"/>
                      </w:rPr>
                      <m:t>u</m:t>
                    </m:r>
                  </m:e>
                  <m:sub>
                    <m:r>
                      <w:rPr>
                        <w:rFonts w:ascii="Cambria Math" w:hAnsi="Cambria Math"/>
                        <w:sz w:val="20"/>
                        <w:lang w:val="en-GB"/>
                      </w:rPr>
                      <m:t>i</m:t>
                    </m:r>
                  </m:sub>
                </m:sSub>
              </m:e>
            </m:nary>
          </m:num>
          <m:den>
            <m:nary>
              <m:naryPr>
                <m:chr m:val="∑"/>
                <m:limLoc m:val="subSup"/>
                <m:ctrlPr>
                  <w:rPr>
                    <w:rFonts w:ascii="Cambria Math" w:hAnsi="Cambria Math"/>
                    <w:i/>
                    <w:sz w:val="20"/>
                    <w:lang w:val="en-GB"/>
                  </w:rPr>
                </m:ctrlPr>
              </m:naryPr>
              <m:sub>
                <m:r>
                  <w:rPr>
                    <w:rFonts w:ascii="Cambria Math" w:hAnsi="Cambria Math"/>
                    <w:sz w:val="20"/>
                    <w:lang w:val="en-GB"/>
                  </w:rPr>
                  <m:t>i=1</m:t>
                </m:r>
              </m:sub>
              <m:sup>
                <m:r>
                  <w:rPr>
                    <w:rFonts w:ascii="Cambria Math" w:hAnsi="Cambria Math"/>
                    <w:sz w:val="20"/>
                    <w:lang w:val="en-GB"/>
                  </w:rPr>
                  <m:t>N</m:t>
                </m:r>
              </m:sup>
              <m:e>
                <m:sSub>
                  <m:sSubPr>
                    <m:ctrlPr>
                      <w:rPr>
                        <w:rFonts w:ascii="Cambria Math" w:hAnsi="Cambria Math"/>
                        <w:i/>
                        <w:sz w:val="20"/>
                        <w:lang w:val="en-GB"/>
                      </w:rPr>
                    </m:ctrlPr>
                  </m:sSubPr>
                  <m:e>
                    <m:r>
                      <w:rPr>
                        <w:rFonts w:ascii="Cambria Math" w:hAnsi="Cambria Math"/>
                        <w:sz w:val="20"/>
                        <w:lang w:val="en-GB"/>
                      </w:rPr>
                      <m:t>μ</m:t>
                    </m:r>
                  </m:e>
                  <m:sub>
                    <m:r>
                      <w:rPr>
                        <w:rFonts w:ascii="Cambria Math" w:hAnsi="Cambria Math"/>
                        <w:sz w:val="20"/>
                        <w:lang w:val="en-GB"/>
                      </w:rPr>
                      <m:t>i</m:t>
                    </m:r>
                  </m:sub>
                </m:sSub>
                <m:r>
                  <w:rPr>
                    <w:rFonts w:ascii="Cambria Math" w:hAnsi="Cambria Math"/>
                    <w:sz w:val="20"/>
                    <w:lang w:val="en-GB"/>
                  </w:rPr>
                  <m:t>(x(t))</m:t>
                </m:r>
              </m:e>
            </m:nary>
          </m:den>
        </m:f>
      </m:oMath>
      <w:r w:rsidR="00CC72CA">
        <w:rPr>
          <w:lang w:val="en-GB"/>
        </w:rPr>
        <w:tab/>
      </w:r>
      <w:r w:rsidR="00CC72CA" w:rsidRPr="00842446">
        <w:t>(</w:t>
      </w:r>
      <w:r w:rsidR="00CC72CA">
        <w:rPr>
          <w:lang w:val="en-GB"/>
        </w:rPr>
        <w:t>9</w:t>
      </w:r>
      <w:r w:rsidR="00CC72CA" w:rsidRPr="00842446">
        <w:rPr>
          <w:lang w:val="en-GB"/>
        </w:rPr>
        <w:t>)</w:t>
      </w:r>
    </w:p>
    <w:p w14:paraId="07D6E4B1" w14:textId="5A100A54" w:rsidR="00D214C3" w:rsidRPr="00CC72CA" w:rsidRDefault="00D214C3" w:rsidP="00CC72CA">
      <w:pPr>
        <w:pStyle w:val="CETBodytext"/>
        <w:jc w:val="center"/>
        <w:rPr>
          <w:lang w:val="en-GB"/>
        </w:rPr>
      </w:pPr>
    </w:p>
    <w:p w14:paraId="346922EA" w14:textId="3DE26ADE" w:rsidR="00D214C3" w:rsidRDefault="007C5987" w:rsidP="00487B6C">
      <w:pPr>
        <w:pStyle w:val="CETBodytext"/>
        <w:rPr>
          <w:lang w:val="en-GB"/>
        </w:rPr>
      </w:pPr>
      <w:r w:rsidRPr="007C5987">
        <w:rPr>
          <w:lang w:val="en-GB"/>
        </w:rPr>
        <w:t xml:space="preserve">where </w:t>
      </w:r>
      <m:oMath>
        <m:sSub>
          <m:sSubPr>
            <m:ctrlPr>
              <w:rPr>
                <w:rFonts w:ascii="Cambria Math" w:hAnsi="Cambria Math"/>
                <w:i/>
                <w:lang w:val="en-GB"/>
              </w:rPr>
            </m:ctrlPr>
          </m:sSubPr>
          <m:e>
            <m:r>
              <w:rPr>
                <w:rFonts w:ascii="Cambria Math" w:hAnsi="Cambria Math"/>
                <w:lang w:val="en-GB"/>
              </w:rPr>
              <m:t>μ</m:t>
            </m:r>
          </m:e>
          <m:sub>
            <m:r>
              <w:rPr>
                <w:rFonts w:ascii="Cambria Math" w:hAnsi="Cambria Math"/>
                <w:lang w:val="en-GB"/>
              </w:rPr>
              <m:t>i</m:t>
            </m:r>
          </m:sub>
        </m:sSub>
        <m:d>
          <m:dPr>
            <m:ctrlPr>
              <w:rPr>
                <w:rFonts w:ascii="Cambria Math" w:hAnsi="Cambria Math"/>
                <w:i/>
                <w:lang w:val="en-GB"/>
              </w:rPr>
            </m:ctrlPr>
          </m:dPr>
          <m:e>
            <m:r>
              <w:rPr>
                <w:rFonts w:ascii="Cambria Math" w:hAnsi="Cambria Math"/>
                <w:lang w:val="en-GB"/>
              </w:rPr>
              <m:t>x</m:t>
            </m:r>
            <m:d>
              <m:dPr>
                <m:ctrlPr>
                  <w:rPr>
                    <w:rFonts w:ascii="Cambria Math" w:hAnsi="Cambria Math"/>
                    <w:i/>
                    <w:lang w:val="en-GB"/>
                  </w:rPr>
                </m:ctrlPr>
              </m:dPr>
              <m:e>
                <m:r>
                  <w:rPr>
                    <w:rFonts w:ascii="Cambria Math" w:hAnsi="Cambria Math"/>
                    <w:lang w:val="en-GB"/>
                  </w:rPr>
                  <m:t>t</m:t>
                </m:r>
              </m:e>
            </m:d>
          </m:e>
        </m:d>
        <m:r>
          <w:rPr>
            <w:rFonts w:ascii="Cambria Math" w:hAnsi="Cambria Math"/>
            <w:lang w:val="en-GB"/>
          </w:rPr>
          <m:t xml:space="preserve"> </m:t>
        </m:r>
      </m:oMath>
      <w:r w:rsidRPr="007C5987">
        <w:rPr>
          <w:lang w:val="en-GB"/>
        </w:rPr>
        <w:t xml:space="preserve">is the membership degree of the </w:t>
      </w:r>
      <w:r w:rsidRPr="007C5987">
        <w:rPr>
          <w:i/>
          <w:lang w:val="en-GB"/>
        </w:rPr>
        <w:t>i</w:t>
      </w:r>
      <w:r w:rsidRPr="007C5987">
        <w:rPr>
          <w:lang w:val="en-GB"/>
        </w:rPr>
        <w:t xml:space="preserve">-th rule,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i</m:t>
            </m:r>
          </m:sub>
        </m:sSub>
        <m:r>
          <w:rPr>
            <w:rFonts w:ascii="Cambria Math" w:hAnsi="Cambria Math"/>
            <w:lang w:val="en-GB"/>
          </w:rPr>
          <m:t xml:space="preserve"> </m:t>
        </m:r>
      </m:oMath>
      <w:r w:rsidRPr="007C5987">
        <w:rPr>
          <w:lang w:val="en-GB"/>
        </w:rPr>
        <w:t xml:space="preserve"> is the output of the corresponding fuzzy rule, and </w:t>
      </w:r>
      <w:r w:rsidRPr="007C5987">
        <w:rPr>
          <w:i/>
          <w:lang w:val="en-GB"/>
        </w:rPr>
        <w:t>N</w:t>
      </w:r>
      <w:r w:rsidRPr="007C5987">
        <w:rPr>
          <w:lang w:val="en-GB"/>
        </w:rPr>
        <w:t xml:space="preserve"> is the number of rules. The adaptive law updates the neural network parameters according to the current control error:</w:t>
      </w:r>
    </w:p>
    <w:p w14:paraId="022513B1" w14:textId="18CB84BA" w:rsidR="008003A0" w:rsidRDefault="003C7CE7" w:rsidP="008003A0">
      <w:pPr>
        <w:pStyle w:val="CETBodytext"/>
        <w:tabs>
          <w:tab w:val="clear" w:pos="7100"/>
        </w:tabs>
        <w:ind w:left="720"/>
        <w:jc w:val="center"/>
        <w:rPr>
          <w:lang w:val="en-GB"/>
        </w:rPr>
      </w:pPr>
      <m:oMath>
        <m:acc>
          <m:accPr>
            <m:chr m:val="̇"/>
            <m:ctrlPr>
              <w:rPr>
                <w:rFonts w:ascii="Cambria Math" w:hAnsi="Cambria Math"/>
                <w:i/>
                <w:sz w:val="20"/>
                <w:lang w:val="en-GB"/>
              </w:rPr>
            </m:ctrlPr>
          </m:accPr>
          <m:e>
            <m:r>
              <w:rPr>
                <w:rFonts w:ascii="Cambria Math" w:hAnsi="Cambria Math"/>
                <w:sz w:val="20"/>
                <w:lang w:val="en-GB"/>
              </w:rPr>
              <m:t>W(t)</m:t>
            </m:r>
          </m:e>
        </m:acc>
        <m:r>
          <w:rPr>
            <w:rFonts w:ascii="Cambria Math" w:hAnsi="Cambria Math"/>
            <w:sz w:val="20"/>
            <w:lang w:val="en-GB"/>
          </w:rPr>
          <m:t>=-ηe(t)φ(x</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oMath>
      <w:r w:rsidR="008003A0">
        <w:rPr>
          <w:lang w:val="en-GB"/>
        </w:rPr>
        <w:tab/>
      </w:r>
      <w:r w:rsidR="008003A0" w:rsidRPr="00842446">
        <w:t>(</w:t>
      </w:r>
      <w:r w:rsidR="008003A0">
        <w:rPr>
          <w:lang w:val="en-GB"/>
        </w:rPr>
        <w:t>10</w:t>
      </w:r>
      <w:r w:rsidR="008003A0" w:rsidRPr="00842446">
        <w:rPr>
          <w:lang w:val="en-GB"/>
        </w:rPr>
        <w:t>)</w:t>
      </w:r>
    </w:p>
    <w:p w14:paraId="648C74A3" w14:textId="77777777" w:rsidR="007C5987" w:rsidRDefault="007C5987" w:rsidP="008003A0">
      <w:pPr>
        <w:pStyle w:val="CETBodytext"/>
        <w:jc w:val="center"/>
        <w:rPr>
          <w:lang w:val="en-GB"/>
        </w:rPr>
      </w:pPr>
    </w:p>
    <w:p w14:paraId="779745E0" w14:textId="1105459E" w:rsidR="00D214C3" w:rsidRDefault="007B7EEE" w:rsidP="00487B6C">
      <w:pPr>
        <w:pStyle w:val="CETBodytext"/>
      </w:pPr>
      <w:r>
        <w:lastRenderedPageBreak/>
        <w:t xml:space="preserve">where </w:t>
      </w:r>
      <m:oMath>
        <m:r>
          <w:rPr>
            <w:rFonts w:ascii="Cambria Math" w:hAnsi="Cambria Math"/>
          </w:rPr>
          <m:t>η</m:t>
        </m:r>
      </m:oMath>
      <w:r>
        <w:t xml:space="preserve"> is the learning rate and </w:t>
      </w:r>
      <m:oMath>
        <m:r>
          <w:rPr>
            <w:rFonts w:ascii="Cambria Math" w:hAnsi="Cambria Math"/>
          </w:rPr>
          <m:t>e(t)</m:t>
        </m:r>
      </m:oMath>
      <w:r>
        <w:t xml:space="preserve"> is the generalized error. For the multivariable system, the generalized error is expressed as:</w:t>
      </w:r>
    </w:p>
    <w:p w14:paraId="42A04DE1" w14:textId="776A466A" w:rsidR="007B7EEE" w:rsidRDefault="007B7EEE" w:rsidP="007B7EEE">
      <w:pPr>
        <w:pStyle w:val="CETBodytext"/>
        <w:tabs>
          <w:tab w:val="clear" w:pos="7100"/>
        </w:tabs>
        <w:ind w:left="720"/>
        <w:jc w:val="center"/>
        <w:rPr>
          <w:lang w:val="en-GB"/>
        </w:rPr>
      </w:pPr>
      <m:oMath>
        <m:r>
          <w:rPr>
            <w:rFonts w:ascii="Cambria Math" w:hAnsi="Cambria Math"/>
            <w:sz w:val="20"/>
            <w:lang w:val="en-GB"/>
          </w:rPr>
          <m:t>e</m:t>
        </m:r>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α</m:t>
            </m:r>
          </m:e>
          <m:sub>
            <m:r>
              <w:rPr>
                <w:rFonts w:ascii="Cambria Math" w:hAnsi="Cambria Math"/>
                <w:sz w:val="20"/>
                <w:lang w:val="en-GB"/>
              </w:rPr>
              <m:t>T</m:t>
            </m:r>
          </m:sub>
        </m:sSub>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T</m:t>
            </m:r>
          </m:sub>
        </m:sSub>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α</m:t>
            </m:r>
          </m:e>
          <m:sub>
            <m:r>
              <w:rPr>
                <w:rFonts w:ascii="Cambria Math" w:hAnsi="Cambria Math"/>
                <w:sz w:val="20"/>
                <w:lang w:val="en-GB"/>
              </w:rPr>
              <m:t>C</m:t>
            </m:r>
          </m:sub>
        </m:sSub>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C</m:t>
            </m:r>
          </m:sub>
        </m:sSub>
        <m:d>
          <m:dPr>
            <m:ctrlPr>
              <w:rPr>
                <w:rFonts w:ascii="Cambria Math" w:hAnsi="Cambria Math"/>
                <w:i/>
                <w:sz w:val="20"/>
                <w:lang w:val="en-GB"/>
              </w:rPr>
            </m:ctrlPr>
          </m:dPr>
          <m:e>
            <m:r>
              <w:rPr>
                <w:rFonts w:ascii="Cambria Math" w:hAnsi="Cambria Math"/>
                <w:sz w:val="20"/>
                <w:lang w:val="en-GB"/>
              </w:rPr>
              <m:t>t</m:t>
            </m:r>
          </m:e>
        </m:d>
      </m:oMath>
      <w:r w:rsidRPr="00D214C3">
        <w:rPr>
          <w:rFonts w:ascii="Times New Roman" w:hAnsi="Times New Roman"/>
          <w:lang w:val="en-GB"/>
        </w:rPr>
        <w:tab/>
      </w:r>
      <w:r w:rsidRPr="00842446">
        <w:t>(</w:t>
      </w:r>
      <w:r>
        <w:rPr>
          <w:lang w:val="en-GB"/>
        </w:rPr>
        <w:t>11</w:t>
      </w:r>
      <w:r w:rsidRPr="00842446">
        <w:rPr>
          <w:lang w:val="en-GB"/>
        </w:rPr>
        <w:t>)</w:t>
      </w:r>
    </w:p>
    <w:p w14:paraId="1AD89226" w14:textId="77777777" w:rsidR="007B7EEE" w:rsidRDefault="007B7EEE" w:rsidP="007B7EEE">
      <w:pPr>
        <w:pStyle w:val="CETBodytext"/>
        <w:jc w:val="center"/>
        <w:rPr>
          <w:lang w:val="en-GB"/>
        </w:rPr>
      </w:pPr>
    </w:p>
    <w:p w14:paraId="2C588E38" w14:textId="23FD70D9" w:rsidR="007B7EEE" w:rsidRDefault="007B7EEE" w:rsidP="007B7EEE">
      <w:pPr>
        <w:pStyle w:val="CETBodytext"/>
      </w:pPr>
      <w:r w:rsidRPr="007B7EEE">
        <w:t xml:space="preserve">where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T</m:t>
            </m:r>
          </m:sub>
        </m:sSub>
      </m:oMath>
      <w:r w:rsidRPr="007B7EEE">
        <w:t xml:space="preserve"> and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C</m:t>
            </m:r>
          </m:sub>
        </m:sSub>
      </m:oMath>
      <w:r w:rsidRPr="007B7EEE">
        <w:t xml:space="preserve"> are weighting coefficients for temperature and concentration errors.</w:t>
      </w:r>
    </w:p>
    <w:p w14:paraId="12CA7F1F" w14:textId="0A5559C1" w:rsidR="00A720FA" w:rsidRDefault="006D68C8" w:rsidP="00992720">
      <w:pPr>
        <w:pStyle w:val="CETBodytext"/>
        <w:ind w:firstLine="426"/>
        <w:rPr>
          <w:highlight w:val="yellow"/>
          <w:lang w:val="en-GB"/>
        </w:rPr>
      </w:pPr>
      <w:r w:rsidRPr="006D68C8">
        <w:rPr>
          <w:highlight w:val="yellow"/>
          <w:lang w:val="en-GB"/>
        </w:rPr>
        <w:t xml:space="preserve">The generalized error function defined in Equation (11) serves as the objective function for updating the adaptive neural-network weights in Equation (10). During each sampling interval, the weight vector is iteratively updated using the gradient-descent learning algorithm to minimize the combined temperature and concentration tracking errors. </w:t>
      </w:r>
      <w:r w:rsidR="00A720FA" w:rsidRPr="00A720FA">
        <w:rPr>
          <w:highlight w:val="yellow"/>
          <w:lang w:val="en-GB"/>
        </w:rPr>
        <w:t xml:space="preserve">In the present study, equal weighting coefficients </w:t>
      </w:r>
      <m:oMath>
        <m:r>
          <w:rPr>
            <w:rFonts w:ascii="Cambria Math" w:hAnsi="Cambria Math"/>
            <w:highlight w:val="yellow"/>
            <w:lang w:val="en-GB"/>
          </w:rPr>
          <m:t>(</m:t>
        </m:r>
        <m:sSub>
          <m:sSubPr>
            <m:ctrlPr>
              <w:rPr>
                <w:rFonts w:ascii="Cambria Math" w:hAnsi="Cambria Math"/>
                <w:i/>
                <w:sz w:val="20"/>
                <w:highlight w:val="yellow"/>
                <w:lang w:val="en-GB"/>
              </w:rPr>
            </m:ctrlPr>
          </m:sSubPr>
          <m:e>
            <m:r>
              <w:rPr>
                <w:rFonts w:ascii="Cambria Math" w:hAnsi="Cambria Math"/>
                <w:sz w:val="20"/>
                <w:highlight w:val="yellow"/>
                <w:lang w:val="en-GB"/>
              </w:rPr>
              <m:t>α</m:t>
            </m:r>
          </m:e>
          <m:sub>
            <m:r>
              <w:rPr>
                <w:rFonts w:ascii="Cambria Math" w:hAnsi="Cambria Math"/>
                <w:sz w:val="20"/>
                <w:highlight w:val="yellow"/>
                <w:lang w:val="en-GB"/>
              </w:rPr>
              <m:t>T</m:t>
            </m:r>
          </m:sub>
        </m:sSub>
        <m:r>
          <w:rPr>
            <w:rFonts w:ascii="Cambria Math" w:hAnsi="Cambria Math"/>
            <w:sz w:val="20"/>
            <w:highlight w:val="yellow"/>
            <w:lang w:val="en-GB"/>
          </w:rPr>
          <m:t>=</m:t>
        </m:r>
        <m:sSub>
          <m:sSubPr>
            <m:ctrlPr>
              <w:rPr>
                <w:rFonts w:ascii="Cambria Math" w:hAnsi="Cambria Math"/>
                <w:i/>
                <w:sz w:val="20"/>
                <w:highlight w:val="yellow"/>
                <w:lang w:val="en-GB"/>
              </w:rPr>
            </m:ctrlPr>
          </m:sSubPr>
          <m:e>
            <m:r>
              <w:rPr>
                <w:rFonts w:ascii="Cambria Math" w:hAnsi="Cambria Math"/>
                <w:sz w:val="20"/>
                <w:highlight w:val="yellow"/>
                <w:lang w:val="en-GB"/>
              </w:rPr>
              <m:t>α</m:t>
            </m:r>
          </m:e>
          <m:sub>
            <m:r>
              <w:rPr>
                <w:rFonts w:ascii="Cambria Math" w:hAnsi="Cambria Math"/>
                <w:sz w:val="20"/>
                <w:highlight w:val="yellow"/>
                <w:lang w:val="en-GB"/>
              </w:rPr>
              <m:t>C</m:t>
            </m:r>
          </m:sub>
        </m:sSub>
        <m:r>
          <w:rPr>
            <w:rFonts w:ascii="Cambria Math" w:hAnsi="Cambria Math"/>
            <w:sz w:val="20"/>
            <w:highlight w:val="yellow"/>
            <w:lang w:val="en-GB"/>
          </w:rPr>
          <m:t>=0.5)</m:t>
        </m:r>
      </m:oMath>
      <w:r w:rsidR="00A720FA" w:rsidRPr="00992720">
        <w:rPr>
          <w:highlight w:val="yellow"/>
          <w:lang w:val="en-GB"/>
        </w:rPr>
        <w:t>,</w:t>
      </w:r>
      <w:r w:rsidR="00A720FA" w:rsidRPr="00A720FA">
        <w:rPr>
          <w:highlight w:val="yellow"/>
          <w:lang w:val="en-GB"/>
        </w:rPr>
        <w:t xml:space="preserve"> were adopted, providing balanced regulation of reactor temperature and outlet concentration. This selection assigns equal importance to both controlled variables and ensures stable convergence of the adaptive learning process.</w:t>
      </w:r>
    </w:p>
    <w:p w14:paraId="512D4861" w14:textId="7DC23C96" w:rsidR="005516CD" w:rsidRDefault="00D2490B" w:rsidP="005516CD">
      <w:pPr>
        <w:pStyle w:val="CETBodytext"/>
        <w:ind w:firstLine="426"/>
        <w:rPr>
          <w:lang w:val="en-GB"/>
        </w:rPr>
      </w:pPr>
      <w:r w:rsidRPr="00D2490B">
        <w:rPr>
          <w:lang w:val="en-GB"/>
        </w:rPr>
        <w:t>The proposed control system is implemented in MATLAB/Simulink. The nonlinear reactor model is developed using MATLAB Function blocks, while a conventional PID controller serves as the benchmark for performance comparison. The proposed intelligent controller integrates neural-network approximation, fuzzy inference, and adaptive tuning mechanisms to compensate for nonlinear process dynamics and operating uncertainties. The simulation study comprises nominal operating conditions, set-point tracking, disturbance rejection, and parameter-uncertainty scenarios to comprehensively evaluate controller performance under identical operating conditions. The overall architecture of the proposed intelligent control system is illustrated in Figure 1.</w:t>
      </w:r>
      <w:r>
        <w:rPr>
          <w:lang w:val="en-GB"/>
        </w:rPr>
        <w:t xml:space="preserve"> </w:t>
      </w:r>
    </w:p>
    <w:p w14:paraId="2B2A557B" w14:textId="48D83E82" w:rsidR="0026536E" w:rsidRPr="007B7EEE" w:rsidRDefault="0026536E" w:rsidP="005516CD">
      <w:pPr>
        <w:pStyle w:val="CETBodytext"/>
        <w:ind w:firstLine="426"/>
        <w:jc w:val="center"/>
      </w:pPr>
      <w:r>
        <w:rPr>
          <w:noProof/>
          <w:lang w:val="ru-RU" w:eastAsia="ru-RU"/>
        </w:rPr>
        <w:drawing>
          <wp:inline distT="0" distB="0" distL="0" distR="0" wp14:anchorId="567A7FE8" wp14:editId="7AF9AFC9">
            <wp:extent cx="3572183" cy="125954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7850" b="4678"/>
                    <a:stretch/>
                  </pic:blipFill>
                  <pic:spPr bwMode="auto">
                    <a:xfrm>
                      <a:off x="0" y="0"/>
                      <a:ext cx="3652358" cy="1287814"/>
                    </a:xfrm>
                    <a:prstGeom prst="rect">
                      <a:avLst/>
                    </a:prstGeom>
                    <a:ln>
                      <a:noFill/>
                    </a:ln>
                    <a:extLst>
                      <a:ext uri="{53640926-AAD7-44D8-BBD7-CCE9431645EC}">
                        <a14:shadowObscured xmlns:a14="http://schemas.microsoft.com/office/drawing/2010/main"/>
                      </a:ext>
                    </a:extLst>
                  </pic:spPr>
                </pic:pic>
              </a:graphicData>
            </a:graphic>
          </wp:inline>
        </w:drawing>
      </w:r>
    </w:p>
    <w:p w14:paraId="010577CB" w14:textId="5B0AA321" w:rsidR="0026536E" w:rsidRDefault="000F35E0" w:rsidP="005516CD">
      <w:pPr>
        <w:pStyle w:val="CETBodytext"/>
        <w:jc w:val="center"/>
        <w:rPr>
          <w:lang w:val="en-GB"/>
        </w:rPr>
      </w:pPr>
      <w:r>
        <w:t xml:space="preserve">Figure 1. </w:t>
      </w:r>
      <w:r w:rsidR="005516CD" w:rsidRPr="005516CD">
        <w:rPr>
          <w:lang w:val="en-GB"/>
        </w:rPr>
        <w:t>General structure of the intelligent control system for diesel fuel hydrotreating.</w:t>
      </w:r>
    </w:p>
    <w:p w14:paraId="05F2AFFB" w14:textId="354DA488" w:rsidR="00E200BB" w:rsidRDefault="00E200BB" w:rsidP="00437932">
      <w:pPr>
        <w:pStyle w:val="CETBodytext"/>
        <w:numPr>
          <w:ilvl w:val="0"/>
          <w:numId w:val="25"/>
        </w:numPr>
        <w:rPr>
          <w:b/>
          <w:bCs/>
        </w:rPr>
      </w:pPr>
      <w:r w:rsidRPr="00E200BB">
        <w:rPr>
          <w:b/>
          <w:bCs/>
        </w:rPr>
        <w:t>Results and discussion</w:t>
      </w:r>
    </w:p>
    <w:p w14:paraId="588D91E7" w14:textId="0E27B1B6" w:rsidR="000E3A0A" w:rsidRDefault="002A15BF" w:rsidP="000E3A0A">
      <w:pPr>
        <w:pStyle w:val="CETBodytext"/>
        <w:ind w:firstLine="426"/>
      </w:pPr>
      <w:r>
        <w:t>T</w:t>
      </w:r>
      <w:r w:rsidR="000E3A0A">
        <w:t>he performance of the proposed intelligent control system was evaluated in MATLAB/Simulink using the nonlinear hydrotreating reactor model described by Equations (1)-(3). The objective of the simulation study was to compare the proposed intelligent controller with a conventional PID controller under identical nonlinear and uncertain operating conditions. Reactor temperature and outlet concentration were selected as the controlled output variables, whereas feed flow rate and coolant flow rate were used as the manipulated variables. The evaluation considered nominal operating conditions, set-point tracking, disturbance rejection, and parameter uncertainty to provide a comprehensive assessment of controller performance.</w:t>
      </w:r>
    </w:p>
    <w:p w14:paraId="5ADDC9A5" w14:textId="7FFD4496" w:rsidR="00E200BB" w:rsidRDefault="000E3A0A" w:rsidP="000E3A0A">
      <w:pPr>
        <w:pStyle w:val="CETBodytext"/>
        <w:ind w:firstLine="426"/>
      </w:pPr>
      <w:r>
        <w:t>Figure 2 compares the reactor temperature responses obtained using the conventional PID controller and the proposed intelligent controller. The proposed controller reaches the desired temperature more rapidly with significantly smaller overshoot and reduced oscillations than the conventional PID controller. Owing to its fixed control parameters, the PID controller cannot fully compensate for the nonlinear temperature-dependent reaction kinetics, resulting in a slower transient response and a longer settling time. In contrast, the intelligent controller continuously adapts the control action according to the current pr</w:t>
      </w:r>
      <w:r w:rsidR="00A720FA">
        <w:t>ocess conditions through neural -</w:t>
      </w:r>
      <w:r>
        <w:t>network approximation, fuzzy inference, and adaptive parameter tuning. Consequently, the proposed controller exhibits superior dynamic performance and improved temperature regulation.</w:t>
      </w:r>
    </w:p>
    <w:p w14:paraId="74E86434" w14:textId="0BC742FA" w:rsidR="0026536E" w:rsidRDefault="00C45541" w:rsidP="00C45541">
      <w:pPr>
        <w:pStyle w:val="CETBodytext"/>
        <w:jc w:val="center"/>
      </w:pPr>
      <w:r w:rsidRPr="00C45541">
        <w:rPr>
          <w:noProof/>
          <w:lang w:val="ru-RU" w:eastAsia="ru-RU"/>
        </w:rPr>
        <w:drawing>
          <wp:inline distT="0" distB="0" distL="0" distR="0" wp14:anchorId="2A2FC8CD" wp14:editId="2F6DA5E8">
            <wp:extent cx="2342799" cy="169862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3706" t="4131" r="5067"/>
                    <a:stretch/>
                  </pic:blipFill>
                  <pic:spPr bwMode="auto">
                    <a:xfrm>
                      <a:off x="0" y="0"/>
                      <a:ext cx="2371590" cy="1719497"/>
                    </a:xfrm>
                    <a:prstGeom prst="rect">
                      <a:avLst/>
                    </a:prstGeom>
                    <a:noFill/>
                    <a:ln>
                      <a:noFill/>
                    </a:ln>
                    <a:extLst>
                      <a:ext uri="{53640926-AAD7-44D8-BBD7-CCE9431645EC}">
                        <a14:shadowObscured xmlns:a14="http://schemas.microsoft.com/office/drawing/2010/main"/>
                      </a:ext>
                    </a:extLst>
                  </pic:spPr>
                </pic:pic>
              </a:graphicData>
            </a:graphic>
          </wp:inline>
        </w:drawing>
      </w:r>
    </w:p>
    <w:p w14:paraId="0A1EB71E" w14:textId="77777777" w:rsidR="000F35E0" w:rsidRPr="00E200BB" w:rsidRDefault="000F35E0" w:rsidP="00E200BB">
      <w:pPr>
        <w:pStyle w:val="CETBodytext"/>
      </w:pPr>
    </w:p>
    <w:p w14:paraId="2CD6C62E" w14:textId="5CB92C18" w:rsidR="000F35E0" w:rsidRPr="007B7EEE" w:rsidRDefault="000F35E0" w:rsidP="000F35E0">
      <w:pPr>
        <w:pStyle w:val="CETBodytext"/>
        <w:jc w:val="center"/>
      </w:pPr>
      <w:r>
        <w:t xml:space="preserve">Figure 2. </w:t>
      </w:r>
      <w:r w:rsidR="000E3A0A" w:rsidRPr="000E3A0A">
        <w:rPr>
          <w:lang w:val="en-GB"/>
        </w:rPr>
        <w:t>Reactor temperature response under PID and intelligent control.</w:t>
      </w:r>
    </w:p>
    <w:p w14:paraId="48B3D4ED" w14:textId="3630E659" w:rsidR="00E200BB" w:rsidRPr="00E200BB" w:rsidRDefault="000E3A0A" w:rsidP="00E200BB">
      <w:pPr>
        <w:pStyle w:val="CETBodytext"/>
      </w:pPr>
      <w:r w:rsidRPr="000E3A0A">
        <w:rPr>
          <w:lang w:val="en-GB"/>
        </w:rPr>
        <w:lastRenderedPageBreak/>
        <w:t>The quality of temperature regulation was evaluated using the integral squared error:</w:t>
      </w:r>
    </w:p>
    <w:p w14:paraId="7A26D409" w14:textId="504CF968" w:rsidR="001B168F" w:rsidRDefault="003C7CE7" w:rsidP="001B168F">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J</m:t>
            </m:r>
          </m:e>
          <m:sub>
            <m:r>
              <w:rPr>
                <w:rFonts w:ascii="Cambria Math" w:hAnsi="Cambria Math"/>
                <w:sz w:val="20"/>
                <w:lang w:val="en-GB"/>
              </w:rPr>
              <m:t>T</m:t>
            </m:r>
          </m:sub>
        </m:sSub>
        <m:r>
          <w:rPr>
            <w:rFonts w:ascii="Cambria Math" w:hAnsi="Cambria Math"/>
            <w:sz w:val="20"/>
            <w:lang w:val="en-GB"/>
          </w:rPr>
          <m:t>=</m:t>
        </m:r>
        <m:nary>
          <m:naryPr>
            <m:limLoc m:val="subSup"/>
            <m:ctrlPr>
              <w:rPr>
                <w:rFonts w:ascii="Cambria Math" w:hAnsi="Cambria Math"/>
                <w:i/>
                <w:sz w:val="20"/>
                <w:lang w:val="en-GB"/>
              </w:rPr>
            </m:ctrlPr>
          </m:naryPr>
          <m:sub>
            <m:r>
              <w:rPr>
                <w:rFonts w:ascii="Cambria Math" w:hAnsi="Cambria Math"/>
                <w:sz w:val="20"/>
                <w:lang w:val="en-GB"/>
              </w:rPr>
              <m:t>0</m:t>
            </m:r>
          </m:sub>
          <m:sup>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f</m:t>
                </m:r>
              </m:sub>
            </m:sSub>
          </m:sup>
          <m:e>
            <m:sSubSup>
              <m:sSubSupPr>
                <m:ctrlPr>
                  <w:rPr>
                    <w:rFonts w:ascii="Cambria Math" w:hAnsi="Cambria Math"/>
                    <w:i/>
                    <w:sz w:val="20"/>
                    <w:lang w:val="en-GB"/>
                  </w:rPr>
                </m:ctrlPr>
              </m:sSubSupPr>
              <m:e>
                <m:r>
                  <w:rPr>
                    <w:rFonts w:ascii="Cambria Math" w:hAnsi="Cambria Math"/>
                    <w:sz w:val="20"/>
                    <w:lang w:val="en-GB"/>
                  </w:rPr>
                  <m:t>e</m:t>
                </m:r>
              </m:e>
              <m:sub>
                <m:r>
                  <w:rPr>
                    <w:rFonts w:ascii="Cambria Math" w:hAnsi="Cambria Math"/>
                    <w:sz w:val="20"/>
                    <w:lang w:val="en-GB"/>
                  </w:rPr>
                  <m:t>T</m:t>
                </m:r>
              </m:sub>
              <m:sup>
                <m:r>
                  <w:rPr>
                    <w:rFonts w:ascii="Cambria Math" w:hAnsi="Cambria Math"/>
                    <w:sz w:val="20"/>
                    <w:lang w:val="en-GB"/>
                  </w:rPr>
                  <m:t>2</m:t>
                </m:r>
              </m:sup>
            </m:sSubSup>
          </m:e>
        </m:nary>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dt</m:t>
        </m:r>
      </m:oMath>
      <w:r w:rsidR="001B168F" w:rsidRPr="00D214C3">
        <w:rPr>
          <w:rFonts w:ascii="Times New Roman" w:hAnsi="Times New Roman"/>
          <w:lang w:val="en-GB"/>
        </w:rPr>
        <w:tab/>
      </w:r>
      <w:r w:rsidR="001B168F" w:rsidRPr="00842446">
        <w:t>(</w:t>
      </w:r>
      <w:r w:rsidR="001B168F">
        <w:rPr>
          <w:lang w:val="en-GB"/>
        </w:rPr>
        <w:t>1</w:t>
      </w:r>
      <w:r w:rsidR="00DF3A29">
        <w:rPr>
          <w:lang w:val="en-GB"/>
        </w:rPr>
        <w:t>2</w:t>
      </w:r>
      <w:r w:rsidR="001B168F" w:rsidRPr="00842446">
        <w:rPr>
          <w:lang w:val="en-GB"/>
        </w:rPr>
        <w:t>)</w:t>
      </w:r>
    </w:p>
    <w:p w14:paraId="0D42DB93" w14:textId="2B03CA86" w:rsidR="000E3A0A" w:rsidRPr="000E3A0A" w:rsidRDefault="000E3A0A" w:rsidP="000E3A0A">
      <w:pPr>
        <w:pStyle w:val="CETBodytext"/>
        <w:ind w:firstLine="426"/>
      </w:pPr>
      <w:r w:rsidRPr="000E3A0A">
        <w:t xml:space="preserve">where </w:t>
      </w:r>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T</m:t>
            </m:r>
          </m:sub>
        </m:sSub>
        <m:r>
          <w:rPr>
            <w:rFonts w:ascii="Cambria Math" w:hAnsi="Cambria Math"/>
            <w:lang w:val="en-GB"/>
          </w:rPr>
          <m:t>(t)</m:t>
        </m:r>
      </m:oMath>
      <w:r w:rsidRPr="000E3A0A">
        <w:t xml:space="preserve"> is the reactor temperature tracking error. Lower values of </w:t>
      </w:r>
      <m:oMath>
        <m:sSub>
          <m:sSubPr>
            <m:ctrlPr>
              <w:rPr>
                <w:rFonts w:ascii="Cambria Math" w:hAnsi="Cambria Math"/>
                <w:i/>
                <w:lang w:val="en-GB"/>
              </w:rPr>
            </m:ctrlPr>
          </m:sSubPr>
          <m:e>
            <m:r>
              <w:rPr>
                <w:rFonts w:ascii="Cambria Math" w:hAnsi="Cambria Math"/>
                <w:lang w:val="en-GB"/>
              </w:rPr>
              <m:t>J</m:t>
            </m:r>
          </m:e>
          <m:sub>
            <m:r>
              <w:rPr>
                <w:rFonts w:ascii="Cambria Math" w:hAnsi="Cambria Math"/>
                <w:lang w:val="en-GB"/>
              </w:rPr>
              <m:t>T</m:t>
            </m:r>
          </m:sub>
        </m:sSub>
      </m:oMath>
      <w:r w:rsidRPr="000E3A0A">
        <w:t xml:space="preserve"> indicate better temperature regulation performance. The simulation results demonstrate that the proposed intelligent controller reduces the settling time by approximately </w:t>
      </w:r>
      <w:r>
        <w:rPr>
          <w:bCs/>
        </w:rPr>
        <w:t>25-</w:t>
      </w:r>
      <w:r w:rsidRPr="000E3A0A">
        <w:rPr>
          <w:bCs/>
        </w:rPr>
        <w:t>30 %</w:t>
      </w:r>
      <w:r w:rsidRPr="000E3A0A">
        <w:t xml:space="preserve"> compared with the conventional PID controller while maintaining a smoother transient response and improved stability.</w:t>
      </w:r>
    </w:p>
    <w:p w14:paraId="6F62CDB3" w14:textId="79642E52" w:rsidR="000E3A0A" w:rsidRPr="00E200BB" w:rsidRDefault="000E3A0A" w:rsidP="000E3A0A">
      <w:pPr>
        <w:pStyle w:val="CETBodytext"/>
        <w:ind w:firstLine="426"/>
      </w:pPr>
      <w:r w:rsidRPr="000E3A0A">
        <w:t>Figure 3 illustrates the outlet concentration responses obtained under identical operating conditions. The proposed intelligent controller accurately tracks the desired concentration with a smaller steady-state error and faster convergence than the conventional PID controller. The nonlinear interaction between concentration and reaction kinetics increases the complexity of concentration regulation, making fixed-parameter PID control less effective. The intelligent controller effectively compensates for these nonlinear interactions, resulting in more accurate concentration control.</w:t>
      </w:r>
    </w:p>
    <w:p w14:paraId="061F3705" w14:textId="2C3E7B83" w:rsidR="00C45541" w:rsidRDefault="00C45541" w:rsidP="00C45541">
      <w:pPr>
        <w:pStyle w:val="CETBodytext"/>
        <w:jc w:val="center"/>
      </w:pPr>
      <w:r w:rsidRPr="00C45541">
        <w:rPr>
          <w:noProof/>
          <w:lang w:val="ru-RU" w:eastAsia="ru-RU"/>
        </w:rPr>
        <w:drawing>
          <wp:inline distT="0" distB="0" distL="0" distR="0" wp14:anchorId="74852C6F" wp14:editId="305889B2">
            <wp:extent cx="2424705" cy="179468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l="4989" t="4182" r="6785"/>
                    <a:stretch/>
                  </pic:blipFill>
                  <pic:spPr bwMode="auto">
                    <a:xfrm>
                      <a:off x="0" y="0"/>
                      <a:ext cx="2500648" cy="1850891"/>
                    </a:xfrm>
                    <a:prstGeom prst="rect">
                      <a:avLst/>
                    </a:prstGeom>
                    <a:noFill/>
                    <a:ln>
                      <a:noFill/>
                    </a:ln>
                    <a:extLst>
                      <a:ext uri="{53640926-AAD7-44D8-BBD7-CCE9431645EC}">
                        <a14:shadowObscured xmlns:a14="http://schemas.microsoft.com/office/drawing/2010/main"/>
                      </a:ext>
                    </a:extLst>
                  </pic:spPr>
                </pic:pic>
              </a:graphicData>
            </a:graphic>
          </wp:inline>
        </w:drawing>
      </w:r>
    </w:p>
    <w:p w14:paraId="52E745E1" w14:textId="31264601" w:rsidR="000F35E0" w:rsidRPr="007B7EEE" w:rsidRDefault="000E3A0A" w:rsidP="000F35E0">
      <w:pPr>
        <w:pStyle w:val="CETBodytext"/>
        <w:jc w:val="center"/>
      </w:pPr>
      <w:r w:rsidRPr="000E3A0A">
        <w:rPr>
          <w:lang w:val="en-GB"/>
        </w:rPr>
        <w:t>Figure 3. Outlet concentration response under nonlinear operating conditions.</w:t>
      </w:r>
    </w:p>
    <w:p w14:paraId="0D709C37" w14:textId="77777777" w:rsidR="000F35E0" w:rsidRPr="000F35E0" w:rsidRDefault="000F35E0" w:rsidP="000F35E0">
      <w:pPr>
        <w:pStyle w:val="CETBodytext"/>
      </w:pPr>
    </w:p>
    <w:p w14:paraId="483F9482" w14:textId="77777777" w:rsidR="00E200BB" w:rsidRPr="00E200BB" w:rsidRDefault="00E200BB" w:rsidP="000E3A0A">
      <w:pPr>
        <w:pStyle w:val="CETBodytext"/>
        <w:ind w:firstLine="426"/>
      </w:pPr>
      <w:r w:rsidRPr="00E200BB">
        <w:t>The concentration control quality is estimated as:</w:t>
      </w:r>
    </w:p>
    <w:p w14:paraId="637B8E78" w14:textId="2AE042E6" w:rsidR="0009594C" w:rsidRDefault="003C7CE7" w:rsidP="0009594C">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J</m:t>
            </m:r>
          </m:e>
          <m:sub>
            <m:r>
              <w:rPr>
                <w:rFonts w:ascii="Cambria Math" w:hAnsi="Cambria Math"/>
                <w:sz w:val="20"/>
                <w:lang w:val="en-GB"/>
              </w:rPr>
              <m:t>C</m:t>
            </m:r>
          </m:sub>
        </m:sSub>
        <m:r>
          <w:rPr>
            <w:rFonts w:ascii="Cambria Math" w:hAnsi="Cambria Math"/>
            <w:sz w:val="20"/>
            <w:lang w:val="en-GB"/>
          </w:rPr>
          <m:t>=</m:t>
        </m:r>
        <m:nary>
          <m:naryPr>
            <m:limLoc m:val="subSup"/>
            <m:ctrlPr>
              <w:rPr>
                <w:rFonts w:ascii="Cambria Math" w:hAnsi="Cambria Math"/>
                <w:i/>
                <w:sz w:val="20"/>
                <w:lang w:val="en-GB"/>
              </w:rPr>
            </m:ctrlPr>
          </m:naryPr>
          <m:sub>
            <m:r>
              <w:rPr>
                <w:rFonts w:ascii="Cambria Math" w:hAnsi="Cambria Math"/>
                <w:sz w:val="20"/>
                <w:lang w:val="en-GB"/>
              </w:rPr>
              <m:t>0</m:t>
            </m:r>
          </m:sub>
          <m:sup>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f</m:t>
                </m:r>
              </m:sub>
            </m:sSub>
          </m:sup>
          <m:e>
            <m:sSubSup>
              <m:sSubSupPr>
                <m:ctrlPr>
                  <w:rPr>
                    <w:rFonts w:ascii="Cambria Math" w:hAnsi="Cambria Math"/>
                    <w:i/>
                    <w:sz w:val="20"/>
                    <w:lang w:val="en-GB"/>
                  </w:rPr>
                </m:ctrlPr>
              </m:sSubSupPr>
              <m:e>
                <m:r>
                  <w:rPr>
                    <w:rFonts w:ascii="Cambria Math" w:hAnsi="Cambria Math"/>
                    <w:sz w:val="20"/>
                    <w:lang w:val="en-GB"/>
                  </w:rPr>
                  <m:t>e</m:t>
                </m:r>
              </m:e>
              <m:sub>
                <m:r>
                  <w:rPr>
                    <w:rFonts w:ascii="Cambria Math" w:hAnsi="Cambria Math"/>
                    <w:sz w:val="20"/>
                    <w:lang w:val="en-GB"/>
                  </w:rPr>
                  <m:t>C</m:t>
                </m:r>
              </m:sub>
              <m:sup>
                <m:r>
                  <w:rPr>
                    <w:rFonts w:ascii="Cambria Math" w:hAnsi="Cambria Math"/>
                    <w:sz w:val="20"/>
                    <w:lang w:val="en-GB"/>
                  </w:rPr>
                  <m:t>2</m:t>
                </m:r>
              </m:sup>
            </m:sSubSup>
          </m:e>
        </m:nary>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dt</m:t>
        </m:r>
      </m:oMath>
      <w:r w:rsidR="0009594C" w:rsidRPr="00D214C3">
        <w:rPr>
          <w:rFonts w:ascii="Times New Roman" w:hAnsi="Times New Roman"/>
          <w:lang w:val="en-GB"/>
        </w:rPr>
        <w:tab/>
      </w:r>
      <w:r w:rsidR="0009594C" w:rsidRPr="00842446">
        <w:t>(</w:t>
      </w:r>
      <w:r w:rsidR="0009594C">
        <w:rPr>
          <w:lang w:val="en-GB"/>
        </w:rPr>
        <w:t>13</w:t>
      </w:r>
      <w:r w:rsidR="0009594C" w:rsidRPr="00842446">
        <w:rPr>
          <w:lang w:val="en-GB"/>
        </w:rPr>
        <w:t>)</w:t>
      </w:r>
    </w:p>
    <w:p w14:paraId="2A77E8FC" w14:textId="4B9932A5" w:rsidR="000E3A0A" w:rsidRPr="000E3A0A" w:rsidRDefault="000E3A0A" w:rsidP="000E3A0A">
      <w:pPr>
        <w:pStyle w:val="CETBodytext"/>
        <w:ind w:firstLine="426"/>
      </w:pPr>
      <w:r w:rsidRPr="000E3A0A">
        <w:t xml:space="preserve">where </w:t>
      </w:r>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C</m:t>
            </m:r>
          </m:sub>
        </m:sSub>
        <m:r>
          <w:rPr>
            <w:rFonts w:ascii="Cambria Math" w:hAnsi="Cambria Math"/>
            <w:lang w:val="en-GB"/>
          </w:rPr>
          <m:t>(t)</m:t>
        </m:r>
      </m:oMath>
      <w:r w:rsidRPr="000E3A0A">
        <w:t xml:space="preserve"> denotes the outlet concentration tracking error. The simulation results indicate that the proposed intelligent controller decreases the steady-state concentration error by approximately </w:t>
      </w:r>
      <w:r>
        <w:rPr>
          <w:bCs/>
        </w:rPr>
        <w:t>15-</w:t>
      </w:r>
      <w:r w:rsidRPr="000E3A0A">
        <w:rPr>
          <w:bCs/>
        </w:rPr>
        <w:t>20</w:t>
      </w:r>
      <w:r w:rsidRPr="000E3A0A">
        <w:rPr>
          <w:b/>
          <w:bCs/>
        </w:rPr>
        <w:t xml:space="preserve"> %</w:t>
      </w:r>
      <w:r w:rsidRPr="000E3A0A">
        <w:t xml:space="preserve"> relative to the conventional PID controller. These results confirm the improved tracking accuracy reported in the abstract.</w:t>
      </w:r>
    </w:p>
    <w:p w14:paraId="7E6001E7" w14:textId="4CFE0889" w:rsidR="000E3A0A" w:rsidRDefault="000E3A0A" w:rsidP="000E3A0A">
      <w:pPr>
        <w:pStyle w:val="CETBodytext"/>
        <w:ind w:firstLine="426"/>
      </w:pPr>
      <w:r w:rsidRPr="000E3A0A">
        <w:t>Figure 4 compares the control signals generated by both controllers. The proposed intelligent controller produces a considerably smoother control signal with fewer oscillations than the conventional PID controller. Because the PID controller employs fixed control gains, it generates larger fluctuations in response to nonlinear process variations. In contrast, the adaptive and fuzzy correction mechanisms continuously modify the control action, thereby reducing unnecessary actuator movements and improving overall control efficiency.</w:t>
      </w:r>
    </w:p>
    <w:p w14:paraId="42F5F3A7" w14:textId="594BD34E" w:rsidR="009231DA" w:rsidRPr="00E200BB" w:rsidRDefault="009231DA" w:rsidP="009231DA">
      <w:pPr>
        <w:pStyle w:val="CETBodytext"/>
        <w:jc w:val="center"/>
      </w:pPr>
      <w:r w:rsidRPr="009231DA">
        <w:rPr>
          <w:noProof/>
          <w:lang w:val="ru-RU" w:eastAsia="ru-RU"/>
        </w:rPr>
        <w:drawing>
          <wp:inline distT="0" distB="0" distL="0" distR="0" wp14:anchorId="29F2AA81" wp14:editId="5D5C410C">
            <wp:extent cx="2398585" cy="172004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3809" t="4390" r="5323"/>
                    <a:stretch/>
                  </pic:blipFill>
                  <pic:spPr bwMode="auto">
                    <a:xfrm>
                      <a:off x="0" y="0"/>
                      <a:ext cx="2456033" cy="1761237"/>
                    </a:xfrm>
                    <a:prstGeom prst="rect">
                      <a:avLst/>
                    </a:prstGeom>
                    <a:noFill/>
                    <a:ln>
                      <a:noFill/>
                    </a:ln>
                    <a:extLst>
                      <a:ext uri="{53640926-AAD7-44D8-BBD7-CCE9431645EC}">
                        <a14:shadowObscured xmlns:a14="http://schemas.microsoft.com/office/drawing/2010/main"/>
                      </a:ext>
                    </a:extLst>
                  </pic:spPr>
                </pic:pic>
              </a:graphicData>
            </a:graphic>
          </wp:inline>
        </w:drawing>
      </w:r>
    </w:p>
    <w:p w14:paraId="5B8D97D9" w14:textId="77777777" w:rsidR="000F35E0" w:rsidRDefault="000F35E0" w:rsidP="000F35E0">
      <w:pPr>
        <w:pStyle w:val="CETBodytext"/>
        <w:jc w:val="center"/>
      </w:pPr>
    </w:p>
    <w:p w14:paraId="21C8C6AB" w14:textId="2D376FB8" w:rsidR="000F35E0" w:rsidRPr="007B7EEE" w:rsidRDefault="00850386" w:rsidP="000F35E0">
      <w:pPr>
        <w:pStyle w:val="CETBodytext"/>
        <w:jc w:val="center"/>
      </w:pPr>
      <w:r>
        <w:rPr>
          <w:lang w:val="en-GB"/>
        </w:rPr>
        <w:t>Figure 4.</w:t>
      </w:r>
      <w:r w:rsidRPr="00850386">
        <w:rPr>
          <w:lang w:val="en-GB"/>
        </w:rPr>
        <w:t xml:space="preserve"> Comparison of control signals generated by the conventional PID and proposed intelligent controllers.</w:t>
      </w:r>
    </w:p>
    <w:p w14:paraId="2E7A63B1" w14:textId="77777777" w:rsidR="000F35E0" w:rsidRPr="000F35E0" w:rsidRDefault="000F35E0" w:rsidP="000F35E0">
      <w:pPr>
        <w:pStyle w:val="CETBodytext"/>
      </w:pPr>
    </w:p>
    <w:p w14:paraId="0A3A8863" w14:textId="77777777" w:rsidR="00E200BB" w:rsidRPr="00E200BB" w:rsidRDefault="00E200BB" w:rsidP="00E200BB">
      <w:pPr>
        <w:pStyle w:val="CETBodytext"/>
      </w:pPr>
      <w:r w:rsidRPr="00E200BB">
        <w:t>The control effort is calculated by:</w:t>
      </w:r>
    </w:p>
    <w:p w14:paraId="78371AF3" w14:textId="6AE0E8F5" w:rsidR="0009594C" w:rsidRDefault="003C7CE7" w:rsidP="0009594C">
      <w:pPr>
        <w:pStyle w:val="CETBodytext"/>
        <w:tabs>
          <w:tab w:val="clear" w:pos="7100"/>
        </w:tabs>
        <w:ind w:left="720"/>
        <w:jc w:val="center"/>
        <w:rPr>
          <w:lang w:val="en-GB"/>
        </w:rPr>
      </w:pPr>
      <m:oMath>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u</m:t>
            </m:r>
          </m:sub>
        </m:sSub>
        <m:r>
          <w:rPr>
            <w:rFonts w:ascii="Cambria Math" w:hAnsi="Cambria Math"/>
            <w:sz w:val="20"/>
            <w:lang w:val="en-GB"/>
          </w:rPr>
          <m:t>=</m:t>
        </m:r>
        <m:nary>
          <m:naryPr>
            <m:limLoc m:val="subSup"/>
            <m:ctrlPr>
              <w:rPr>
                <w:rFonts w:ascii="Cambria Math" w:hAnsi="Cambria Math"/>
                <w:i/>
                <w:sz w:val="20"/>
                <w:lang w:val="en-GB"/>
              </w:rPr>
            </m:ctrlPr>
          </m:naryPr>
          <m:sub>
            <m:r>
              <w:rPr>
                <w:rFonts w:ascii="Cambria Math" w:hAnsi="Cambria Math"/>
                <w:sz w:val="20"/>
                <w:lang w:val="en-GB"/>
              </w:rPr>
              <m:t>0</m:t>
            </m:r>
          </m:sub>
          <m:sup>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f</m:t>
                </m:r>
              </m:sub>
            </m:sSub>
          </m:sup>
          <m:e>
            <m:sSup>
              <m:sSupPr>
                <m:ctrlPr>
                  <w:rPr>
                    <w:rFonts w:ascii="Cambria Math" w:hAnsi="Cambria Math"/>
                    <w:i/>
                    <w:sz w:val="20"/>
                    <w:lang w:val="en-GB"/>
                  </w:rPr>
                </m:ctrlPr>
              </m:sSupPr>
              <m:e>
                <m:r>
                  <w:rPr>
                    <w:rFonts w:ascii="Cambria Math" w:hAnsi="Cambria Math"/>
                    <w:sz w:val="20"/>
                    <w:lang w:val="en-GB"/>
                  </w:rPr>
                  <m:t>u</m:t>
                </m:r>
              </m:e>
              <m:sup>
                <m:r>
                  <w:rPr>
                    <w:rFonts w:ascii="Cambria Math" w:hAnsi="Cambria Math"/>
                    <w:sz w:val="20"/>
                    <w:lang w:val="en-GB"/>
                  </w:rPr>
                  <m:t>2</m:t>
                </m:r>
              </m:sup>
            </m:sSup>
          </m:e>
        </m:nary>
        <m:d>
          <m:dPr>
            <m:ctrlPr>
              <w:rPr>
                <w:rFonts w:ascii="Cambria Math" w:hAnsi="Cambria Math"/>
                <w:i/>
                <w:sz w:val="20"/>
                <w:lang w:val="en-GB"/>
              </w:rPr>
            </m:ctrlPr>
          </m:dPr>
          <m:e>
            <m:r>
              <w:rPr>
                <w:rFonts w:ascii="Cambria Math" w:hAnsi="Cambria Math"/>
                <w:sz w:val="20"/>
                <w:lang w:val="en-GB"/>
              </w:rPr>
              <m:t>t</m:t>
            </m:r>
          </m:e>
        </m:d>
        <m:r>
          <w:rPr>
            <w:rFonts w:ascii="Cambria Math" w:hAnsi="Cambria Math"/>
            <w:sz w:val="20"/>
            <w:lang w:val="en-GB"/>
          </w:rPr>
          <m:t>dt</m:t>
        </m:r>
      </m:oMath>
      <w:r w:rsidR="0009594C" w:rsidRPr="00D214C3">
        <w:rPr>
          <w:rFonts w:ascii="Times New Roman" w:hAnsi="Times New Roman"/>
          <w:lang w:val="en-GB"/>
        </w:rPr>
        <w:tab/>
      </w:r>
      <w:r w:rsidR="0009594C" w:rsidRPr="00842446">
        <w:t>(</w:t>
      </w:r>
      <w:r w:rsidR="0009594C">
        <w:rPr>
          <w:lang w:val="en-GB"/>
        </w:rPr>
        <w:t>14</w:t>
      </w:r>
      <w:r w:rsidR="0009594C" w:rsidRPr="00842446">
        <w:rPr>
          <w:lang w:val="en-GB"/>
        </w:rPr>
        <w:t>)</w:t>
      </w:r>
    </w:p>
    <w:p w14:paraId="62A2CF6E" w14:textId="0BC1BCB3" w:rsidR="000E3A0A" w:rsidRDefault="000E3A0A" w:rsidP="00E200BB">
      <w:pPr>
        <w:pStyle w:val="CETBodytext"/>
      </w:pPr>
      <w:r w:rsidRPr="000E3A0A">
        <w:rPr>
          <w:lang w:val="en-GB"/>
        </w:rPr>
        <w:t xml:space="preserve">where lower values of </w:t>
      </w:r>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u</m:t>
            </m:r>
          </m:sub>
        </m:sSub>
      </m:oMath>
      <w:r w:rsidRPr="000E3A0A">
        <w:rPr>
          <w:lang w:val="en-GB"/>
        </w:rPr>
        <w:t xml:space="preserve"> indicate more efficient utilization of the control signal. The relative improvement in energy efficiency was calculated as</w:t>
      </w:r>
    </w:p>
    <w:p w14:paraId="687A2B37" w14:textId="77777777" w:rsidR="000E3A0A" w:rsidRDefault="000E3A0A" w:rsidP="00E200BB">
      <w:pPr>
        <w:pStyle w:val="CETBodytext"/>
      </w:pPr>
    </w:p>
    <w:p w14:paraId="69DBE960" w14:textId="10F61C33" w:rsidR="00A24FD4" w:rsidRDefault="00A24FD4" w:rsidP="00A24FD4">
      <w:pPr>
        <w:pStyle w:val="CETBodytext"/>
        <w:tabs>
          <w:tab w:val="clear" w:pos="7100"/>
        </w:tabs>
        <w:ind w:left="720"/>
        <w:jc w:val="center"/>
        <w:rPr>
          <w:lang w:val="en-GB"/>
        </w:rPr>
      </w:pPr>
      <m:oMath>
        <m:r>
          <w:rPr>
            <w:rFonts w:ascii="Cambria Math" w:hAnsi="Cambria Math"/>
            <w:sz w:val="20"/>
            <w:lang w:val="en-GB"/>
          </w:rPr>
          <w:lastRenderedPageBreak/>
          <m:t>∆E=</m:t>
        </m:r>
        <m:f>
          <m:fPr>
            <m:ctrlPr>
              <w:rPr>
                <w:rFonts w:ascii="Cambria Math" w:hAnsi="Cambria Math"/>
                <w:i/>
                <w:sz w:val="20"/>
                <w:lang w:val="en-GB"/>
              </w:rPr>
            </m:ctrlPr>
          </m:fPr>
          <m:num>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PID</m:t>
                </m:r>
              </m:sub>
            </m:sSub>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INT</m:t>
                </m:r>
              </m:sub>
            </m:sSub>
          </m:num>
          <m:den>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PID</m:t>
                </m:r>
              </m:sub>
            </m:sSub>
          </m:den>
        </m:f>
      </m:oMath>
      <w:r w:rsidRPr="00D214C3">
        <w:rPr>
          <w:rFonts w:ascii="Times New Roman" w:hAnsi="Times New Roman"/>
          <w:lang w:val="en-GB"/>
        </w:rPr>
        <w:tab/>
      </w:r>
      <w:r w:rsidRPr="00842446">
        <w:t>(</w:t>
      </w:r>
      <w:r>
        <w:rPr>
          <w:lang w:val="en-GB"/>
        </w:rPr>
        <w:t>15</w:t>
      </w:r>
      <w:r w:rsidRPr="00842446">
        <w:rPr>
          <w:lang w:val="en-GB"/>
        </w:rPr>
        <w:t>)</w:t>
      </w:r>
    </w:p>
    <w:p w14:paraId="34C1C220" w14:textId="51D319B0" w:rsidR="000E3A0A" w:rsidRPr="000E3A0A" w:rsidRDefault="000E3A0A" w:rsidP="000E3A0A">
      <w:pPr>
        <w:pStyle w:val="CETBodytext"/>
        <w:ind w:firstLine="426"/>
      </w:pPr>
      <w:r w:rsidRPr="000E3A0A">
        <w:t xml:space="preserve">where </w:t>
      </w:r>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PID</m:t>
            </m:r>
          </m:sub>
        </m:sSub>
      </m:oMath>
      <w:r w:rsidRPr="000E3A0A">
        <w:t xml:space="preserve"> denote the control efforts of the conventional PID controller and the proposed intelligent controller, respectively. The simulation results show that the proposed controller improves energy efficiency by approximately </w:t>
      </w:r>
      <w:r w:rsidRPr="000E3A0A">
        <w:rPr>
          <w:bCs/>
        </w:rPr>
        <w:t>18 %</w:t>
      </w:r>
      <w:r w:rsidRPr="000E3A0A">
        <w:t>, mainly because of the smoother control action and reduced actuator activity.</w:t>
      </w:r>
    </w:p>
    <w:p w14:paraId="08411F8B" w14:textId="77777777" w:rsidR="000E3A0A" w:rsidRPr="000E3A0A" w:rsidRDefault="000E3A0A" w:rsidP="000E3A0A">
      <w:pPr>
        <w:pStyle w:val="CETBodytext"/>
        <w:ind w:firstLine="426"/>
      </w:pPr>
      <w:r w:rsidRPr="000E3A0A">
        <w:t>Figure 5 illustrates the disturbance-rejection performance of both controllers under uncertain operating conditions. An external disturbance was introduced through variations in the inlet temperature or feed concentration. Following disturbance application, the proposed intelligent controller restored the reactor to its desired operating condition more rapidly and with considerably smaller deviations than the conventional PID controller. These results demonstrate the robustness and adaptability of the proposed intelligent control strategy.</w:t>
      </w:r>
    </w:p>
    <w:p w14:paraId="42FE5FF6" w14:textId="22FC5AE1" w:rsidR="009231DA" w:rsidRDefault="009231DA" w:rsidP="009231DA">
      <w:pPr>
        <w:pStyle w:val="CETBodytext"/>
        <w:jc w:val="center"/>
      </w:pPr>
      <w:r w:rsidRPr="009231DA">
        <w:rPr>
          <w:noProof/>
          <w:lang w:val="ru-RU" w:eastAsia="ru-RU"/>
        </w:rPr>
        <w:drawing>
          <wp:inline distT="0" distB="0" distL="0" distR="0" wp14:anchorId="3E3B6D99" wp14:editId="3FC7F5A5">
            <wp:extent cx="2996852" cy="217681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l="4037" t="4667" r="6540"/>
                    <a:stretch/>
                  </pic:blipFill>
                  <pic:spPr bwMode="auto">
                    <a:xfrm>
                      <a:off x="0" y="0"/>
                      <a:ext cx="3057498" cy="2220869"/>
                    </a:xfrm>
                    <a:prstGeom prst="rect">
                      <a:avLst/>
                    </a:prstGeom>
                    <a:noFill/>
                    <a:ln>
                      <a:noFill/>
                    </a:ln>
                    <a:extLst>
                      <a:ext uri="{53640926-AAD7-44D8-BBD7-CCE9431645EC}">
                        <a14:shadowObscured xmlns:a14="http://schemas.microsoft.com/office/drawing/2010/main"/>
                      </a:ext>
                    </a:extLst>
                  </pic:spPr>
                </pic:pic>
              </a:graphicData>
            </a:graphic>
          </wp:inline>
        </w:drawing>
      </w:r>
    </w:p>
    <w:p w14:paraId="46372F0C" w14:textId="77777777" w:rsidR="00194C95" w:rsidRPr="00E200BB" w:rsidRDefault="00194C95" w:rsidP="009231DA">
      <w:pPr>
        <w:pStyle w:val="CETBodytext"/>
        <w:jc w:val="center"/>
      </w:pPr>
    </w:p>
    <w:p w14:paraId="62073480" w14:textId="33CE38E5" w:rsidR="000F35E0" w:rsidRPr="007B7EEE" w:rsidRDefault="000F35E0" w:rsidP="000F35E0">
      <w:pPr>
        <w:pStyle w:val="CETBodytext"/>
        <w:jc w:val="center"/>
      </w:pPr>
      <w:r>
        <w:t xml:space="preserve">Figure 5. </w:t>
      </w:r>
      <w:r w:rsidR="000E3A0A" w:rsidRPr="000E3A0A">
        <w:rPr>
          <w:lang w:val="en-GB"/>
        </w:rPr>
        <w:t>Disturbance rejection performance under uncertain operating conditions.</w:t>
      </w:r>
    </w:p>
    <w:p w14:paraId="047B868D" w14:textId="77777777" w:rsidR="00B94D2A" w:rsidRDefault="00B94D2A" w:rsidP="00E200BB">
      <w:pPr>
        <w:pStyle w:val="CETBodytext"/>
        <w:rPr>
          <w:b/>
          <w:bCs/>
        </w:rPr>
      </w:pPr>
    </w:p>
    <w:p w14:paraId="09E5FC27" w14:textId="7C72B3E4" w:rsidR="00E200BB" w:rsidRPr="00E200BB" w:rsidRDefault="000E3A0A" w:rsidP="000E3A0A">
      <w:pPr>
        <w:pStyle w:val="CETBodytext"/>
        <w:ind w:firstLine="426"/>
      </w:pPr>
      <w:r w:rsidRPr="000E3A0A">
        <w:rPr>
          <w:lang w:val="en-GB"/>
        </w:rPr>
        <w:t>The disturbance rejection capability was evaluated using the recovery time</w:t>
      </w:r>
      <w:r w:rsidR="00E200BB" w:rsidRPr="00E200BB">
        <w:t>:</w:t>
      </w:r>
    </w:p>
    <w:p w14:paraId="4EF1067B" w14:textId="33B1B8BB" w:rsidR="0056097C" w:rsidRDefault="003C7CE7" w:rsidP="000E3A0A">
      <w:pPr>
        <w:pStyle w:val="CETBodytext"/>
        <w:tabs>
          <w:tab w:val="clear" w:pos="7100"/>
        </w:tabs>
        <w:ind w:left="720" w:firstLine="426"/>
        <w:jc w:val="center"/>
        <w:rPr>
          <w:lang w:val="en-GB"/>
        </w:rPr>
      </w:pPr>
      <m:oMath>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r</m:t>
            </m:r>
          </m:sub>
        </m:sSub>
        <m:r>
          <w:rPr>
            <w:rFonts w:ascii="Cambria Math" w:hAnsi="Cambria Math"/>
            <w:sz w:val="20"/>
            <w:lang w:val="en-GB"/>
          </w:rPr>
          <m:t>=</m:t>
        </m:r>
        <m:r>
          <m:rPr>
            <m:sty m:val="p"/>
          </m:rPr>
          <w:rPr>
            <w:rFonts w:ascii="Cambria Math" w:hAnsi="Cambria Math"/>
            <w:sz w:val="20"/>
            <w:lang w:val="en-GB"/>
          </w:rPr>
          <m:t>min⁡</m:t>
        </m:r>
        <m:r>
          <w:rPr>
            <w:rFonts w:ascii="Cambria Math" w:hAnsi="Cambria Math"/>
            <w:sz w:val="20"/>
            <w:lang w:val="en-GB"/>
          </w:rPr>
          <m:t>{t:</m:t>
        </m:r>
        <m:d>
          <m:dPr>
            <m:begChr m:val="|"/>
            <m:endChr m:val="|"/>
            <m:ctrlPr>
              <w:rPr>
                <w:rFonts w:ascii="Cambria Math" w:hAnsi="Cambria Math"/>
                <w:i/>
                <w:sz w:val="20"/>
                <w:lang w:val="en-GB"/>
              </w:rPr>
            </m:ctrlPr>
          </m:dPr>
          <m:e>
            <m:r>
              <w:rPr>
                <w:rFonts w:ascii="Cambria Math" w:hAnsi="Cambria Math"/>
                <w:sz w:val="20"/>
                <w:lang w:val="en-GB"/>
              </w:rPr>
              <m:t>e</m:t>
            </m:r>
            <m:d>
              <m:dPr>
                <m:ctrlPr>
                  <w:rPr>
                    <w:rFonts w:ascii="Cambria Math" w:hAnsi="Cambria Math"/>
                    <w:i/>
                    <w:sz w:val="20"/>
                    <w:lang w:val="en-GB"/>
                  </w:rPr>
                </m:ctrlPr>
              </m:dPr>
              <m:e>
                <m:r>
                  <w:rPr>
                    <w:rFonts w:ascii="Cambria Math" w:hAnsi="Cambria Math"/>
                    <w:sz w:val="20"/>
                    <w:lang w:val="en-GB"/>
                  </w:rPr>
                  <m:t>t</m:t>
                </m:r>
              </m:e>
            </m:d>
          </m:e>
        </m:d>
        <m:r>
          <w:rPr>
            <w:rFonts w:ascii="Cambria Math" w:hAnsi="Cambria Math"/>
            <w:sz w:val="20"/>
            <w:lang w:val="en-GB"/>
          </w:rPr>
          <m:t>&lt;ε,  t&gt;</m:t>
        </m:r>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d</m:t>
            </m:r>
          </m:sub>
        </m:sSub>
        <m:r>
          <w:rPr>
            <w:rFonts w:ascii="Cambria Math" w:hAnsi="Cambria Math"/>
            <w:sz w:val="20"/>
            <w:lang w:val="en-GB"/>
          </w:rPr>
          <m:t>}</m:t>
        </m:r>
      </m:oMath>
      <w:r w:rsidR="0056097C" w:rsidRPr="00D214C3">
        <w:rPr>
          <w:rFonts w:ascii="Times New Roman" w:hAnsi="Times New Roman"/>
          <w:lang w:val="en-GB"/>
        </w:rPr>
        <w:tab/>
      </w:r>
      <w:r w:rsidR="0056097C" w:rsidRPr="00842446">
        <w:t>(</w:t>
      </w:r>
      <w:r w:rsidR="0056097C">
        <w:rPr>
          <w:lang w:val="en-GB"/>
        </w:rPr>
        <w:t>16</w:t>
      </w:r>
      <w:r w:rsidR="0056097C" w:rsidRPr="00842446">
        <w:rPr>
          <w:lang w:val="en-GB"/>
        </w:rPr>
        <w:t>)</w:t>
      </w:r>
    </w:p>
    <w:p w14:paraId="2F8DE5EB" w14:textId="20FD3962" w:rsidR="000E3A0A" w:rsidRDefault="000E3A0A" w:rsidP="000E3A0A">
      <w:pPr>
        <w:pStyle w:val="CETBodytext"/>
      </w:pPr>
      <w:r>
        <w:t xml:space="preserve">where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d</m:t>
            </m:r>
          </m:sub>
        </m:sSub>
      </m:oMath>
      <w:r>
        <w:t xml:space="preserve"> represents the disturbance application time and </w:t>
      </w:r>
      <m:oMath>
        <m:r>
          <w:rPr>
            <w:rFonts w:ascii="Cambria Math" w:hAnsi="Cambria Math"/>
            <w:lang w:val="en-GB"/>
          </w:rPr>
          <m:t xml:space="preserve">ε </m:t>
        </m:r>
      </m:oMath>
      <w:r>
        <w:t xml:space="preserve">denotes the acceptable error band. Smaller values of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m:t>
            </m:r>
          </m:sub>
        </m:sSub>
      </m:oMath>
      <w:r>
        <w:t xml:space="preserve"> correspond to faster recovery and better disturbance rejection.</w:t>
      </w:r>
    </w:p>
    <w:p w14:paraId="43D6D151" w14:textId="77777777" w:rsidR="00E200BB" w:rsidRPr="00E200BB" w:rsidRDefault="00E200BB" w:rsidP="000E3A0A">
      <w:pPr>
        <w:pStyle w:val="CETBodytext"/>
        <w:ind w:firstLine="426"/>
      </w:pPr>
      <w:r w:rsidRPr="00E200BB">
        <w:t>The overall improvement in settling time is expressed as:</w:t>
      </w:r>
    </w:p>
    <w:p w14:paraId="7D9C6D9D" w14:textId="38B44239" w:rsidR="00A24FD4" w:rsidRDefault="00B82F05" w:rsidP="00A24FD4">
      <w:pPr>
        <w:pStyle w:val="CETBodytext"/>
        <w:tabs>
          <w:tab w:val="clear" w:pos="7100"/>
        </w:tabs>
        <w:ind w:left="720"/>
        <w:jc w:val="center"/>
        <w:rPr>
          <w:lang w:val="en-GB"/>
        </w:rPr>
      </w:pPr>
      <m:oMath>
        <m:r>
          <w:rPr>
            <w:rFonts w:ascii="Cambria Math" w:hAnsi="Cambria Math"/>
            <w:sz w:val="20"/>
            <w:lang w:val="en-GB"/>
          </w:rPr>
          <m:t>∆e=</m:t>
        </m:r>
        <m:f>
          <m:fPr>
            <m:ctrlPr>
              <w:rPr>
                <w:rFonts w:ascii="Cambria Math" w:hAnsi="Cambria Math"/>
                <w:i/>
                <w:sz w:val="20"/>
                <w:lang w:val="en-GB"/>
              </w:rPr>
            </m:ctrlPr>
          </m:fPr>
          <m:num>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s,PID</m:t>
                </m:r>
              </m:sub>
            </m:sSub>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s,INT</m:t>
                </m:r>
              </m:sub>
            </m:sSub>
          </m:num>
          <m:den>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s,PID</m:t>
                </m:r>
              </m:sub>
            </m:sSub>
          </m:den>
        </m:f>
        <m:r>
          <w:rPr>
            <w:rFonts w:ascii="Cambria Math" w:hAnsi="Cambria Math"/>
            <w:sz w:val="20"/>
            <w:lang w:val="en-GB"/>
          </w:rPr>
          <m:t>×100%</m:t>
        </m:r>
      </m:oMath>
      <w:r w:rsidR="00A24FD4" w:rsidRPr="00D214C3">
        <w:rPr>
          <w:rFonts w:ascii="Times New Roman" w:hAnsi="Times New Roman"/>
          <w:lang w:val="en-GB"/>
        </w:rPr>
        <w:tab/>
      </w:r>
      <w:r w:rsidR="007C7C78">
        <w:rPr>
          <w:rFonts w:ascii="Times New Roman" w:hAnsi="Times New Roman"/>
          <w:lang w:val="en-GB"/>
        </w:rPr>
        <w:tab/>
      </w:r>
      <w:r w:rsidR="00A24FD4" w:rsidRPr="00842446">
        <w:t>(</w:t>
      </w:r>
      <w:r w:rsidR="00A24FD4">
        <w:rPr>
          <w:lang w:val="en-GB"/>
        </w:rPr>
        <w:t>17</w:t>
      </w:r>
      <w:r w:rsidR="00A24FD4" w:rsidRPr="00842446">
        <w:rPr>
          <w:lang w:val="en-GB"/>
        </w:rPr>
        <w:t>)</w:t>
      </w:r>
    </w:p>
    <w:p w14:paraId="7598AE63" w14:textId="65B13653" w:rsidR="00E200BB" w:rsidRPr="00E200BB" w:rsidRDefault="00920025" w:rsidP="000E3A0A">
      <w:pPr>
        <w:pStyle w:val="CETBodytext"/>
        <w:ind w:firstLine="426"/>
      </w:pPr>
      <w:r w:rsidRPr="00920025">
        <w:rPr>
          <w:lang w:val="en-GB"/>
        </w:rPr>
        <w:t>whereas the relative reduction in control error was determined by</w:t>
      </w:r>
      <w:r w:rsidR="00E200BB" w:rsidRPr="00E200BB">
        <w:t>:</w:t>
      </w:r>
    </w:p>
    <w:p w14:paraId="4FA3E5E2" w14:textId="48983981" w:rsidR="00B82F05" w:rsidRDefault="00B82F05" w:rsidP="00B82F05">
      <w:pPr>
        <w:pStyle w:val="CETBodytext"/>
        <w:tabs>
          <w:tab w:val="clear" w:pos="7100"/>
        </w:tabs>
        <w:ind w:left="720"/>
        <w:jc w:val="center"/>
        <w:rPr>
          <w:lang w:val="en-GB"/>
        </w:rPr>
      </w:pPr>
      <w:r w:rsidRPr="007C7C78">
        <w:rPr>
          <w:sz w:val="20"/>
          <w:lang w:val="en-GB"/>
        </w:rPr>
        <w:t xml:space="preserve"> </w:t>
      </w:r>
      <m:oMath>
        <m:sSub>
          <m:sSubPr>
            <m:ctrlPr>
              <w:rPr>
                <w:rFonts w:ascii="Cambria Math" w:hAnsi="Cambria Math"/>
                <w:i/>
                <w:sz w:val="20"/>
                <w:lang w:val="en-GB"/>
              </w:rPr>
            </m:ctrlPr>
          </m:sSubPr>
          <m:e>
            <m:r>
              <w:rPr>
                <w:rFonts w:ascii="Cambria Math" w:hAnsi="Cambria Math"/>
                <w:sz w:val="20"/>
                <w:lang w:val="en-GB"/>
              </w:rPr>
              <m:t>∆t</m:t>
            </m:r>
          </m:e>
          <m:sub>
            <m:r>
              <w:rPr>
                <w:rFonts w:ascii="Cambria Math" w:hAnsi="Cambria Math"/>
                <w:sz w:val="20"/>
                <w:lang w:val="en-GB"/>
              </w:rPr>
              <m:t>s</m:t>
            </m:r>
          </m:sub>
        </m:sSub>
        <m:r>
          <w:rPr>
            <w:rFonts w:ascii="Cambria Math" w:hAnsi="Cambria Math"/>
            <w:sz w:val="20"/>
            <w:lang w:val="en-GB"/>
          </w:rPr>
          <m:t>=</m:t>
        </m:r>
        <m:f>
          <m:fPr>
            <m:ctrlPr>
              <w:rPr>
                <w:rFonts w:ascii="Cambria Math" w:hAnsi="Cambria Math"/>
                <w:i/>
                <w:sz w:val="20"/>
                <w:lang w:val="en-GB"/>
              </w:rPr>
            </m:ctrlPr>
          </m:fPr>
          <m:num>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PID</m:t>
                </m:r>
              </m:sub>
            </m:sSub>
            <m:r>
              <w:rPr>
                <w:rFonts w:ascii="Cambria Math" w:hAnsi="Cambria Math"/>
                <w:sz w:val="20"/>
                <w:lang w:val="en-GB"/>
              </w:rPr>
              <m:t>-</m:t>
            </m:r>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INT</m:t>
                </m:r>
              </m:sub>
            </m:sSub>
          </m:num>
          <m:den>
            <m:sSub>
              <m:sSubPr>
                <m:ctrlPr>
                  <w:rPr>
                    <w:rFonts w:ascii="Cambria Math" w:hAnsi="Cambria Math"/>
                    <w:i/>
                    <w:sz w:val="20"/>
                    <w:lang w:val="en-GB"/>
                  </w:rPr>
                </m:ctrlPr>
              </m:sSubPr>
              <m:e>
                <m:r>
                  <w:rPr>
                    <w:rFonts w:ascii="Cambria Math" w:hAnsi="Cambria Math"/>
                    <w:sz w:val="20"/>
                    <w:lang w:val="en-GB"/>
                  </w:rPr>
                  <m:t>e</m:t>
                </m:r>
              </m:e>
              <m:sub>
                <m:r>
                  <w:rPr>
                    <w:rFonts w:ascii="Cambria Math" w:hAnsi="Cambria Math"/>
                    <w:sz w:val="20"/>
                    <w:lang w:val="en-GB"/>
                  </w:rPr>
                  <m:t>PID</m:t>
                </m:r>
              </m:sub>
            </m:sSub>
          </m:den>
        </m:f>
        <m:r>
          <w:rPr>
            <w:rFonts w:ascii="Cambria Math" w:hAnsi="Cambria Math"/>
            <w:sz w:val="20"/>
            <w:lang w:val="en-GB"/>
          </w:rPr>
          <m:t xml:space="preserve">×100% </m:t>
        </m:r>
      </m:oMath>
      <w:r w:rsidRPr="00D214C3">
        <w:rPr>
          <w:rFonts w:ascii="Times New Roman" w:hAnsi="Times New Roman"/>
          <w:lang w:val="en-GB"/>
        </w:rPr>
        <w:tab/>
      </w:r>
      <w:r w:rsidR="007C7C78">
        <w:tab/>
        <w:t>(18)</w:t>
      </w:r>
    </w:p>
    <w:p w14:paraId="154D4435" w14:textId="56BD627D" w:rsidR="00920025" w:rsidRPr="00920025" w:rsidRDefault="000E3A0A" w:rsidP="00920025">
      <w:pPr>
        <w:pStyle w:val="CETBodytext"/>
        <w:ind w:firstLine="426"/>
      </w:pPr>
      <w:r>
        <w:tab/>
      </w:r>
      <w:r w:rsidR="00920025" w:rsidRPr="00920025">
        <w:t xml:space="preserve">The simulation results indicate that the proposed intelligent controller reduces the settling time by approximately </w:t>
      </w:r>
      <w:r w:rsidR="00920025">
        <w:rPr>
          <w:bCs/>
        </w:rPr>
        <w:t>25-</w:t>
      </w:r>
      <w:r w:rsidR="00920025" w:rsidRPr="00920025">
        <w:rPr>
          <w:bCs/>
        </w:rPr>
        <w:t>30 %</w:t>
      </w:r>
      <w:r w:rsidR="00920025" w:rsidRPr="00920025">
        <w:t xml:space="preserve"> while decreasing the overall control error by approximately </w:t>
      </w:r>
      <w:r w:rsidR="00920025">
        <w:rPr>
          <w:bCs/>
        </w:rPr>
        <w:t>15-</w:t>
      </w:r>
      <w:r w:rsidR="00920025" w:rsidRPr="00920025">
        <w:rPr>
          <w:bCs/>
        </w:rPr>
        <w:t>20 %</w:t>
      </w:r>
      <w:r w:rsidR="00920025" w:rsidRPr="00920025">
        <w:t xml:space="preserve"> compared with the conventional PID controller. These quantitative improvements are fully consistent with the performance indicators reported in the abstract and confirm the superior dynamic response, tracking accuracy, robustness, and energy efficiency of the proposed intelligent control strategy.</w:t>
      </w:r>
    </w:p>
    <w:p w14:paraId="76536486" w14:textId="3BE920D5" w:rsidR="00E200BB" w:rsidRPr="00920025" w:rsidRDefault="00920025" w:rsidP="00920025">
      <w:pPr>
        <w:pStyle w:val="CETBodytext"/>
        <w:ind w:firstLine="426"/>
      </w:pPr>
      <w:r w:rsidRPr="00920025">
        <w:t>To further evaluate robustness, additional simulations were performed by varying the reaction-rate constants and heat-transfer coefficients. These parameter variations represent process uncertainties commonly encountered in practical diesel fuel hydrotreating systems. Under these conditions, the conventional PID controller exhibited increased sensitivity and degraded dynamic performance. In contrast, the proposed intelligent controller maintained stable regulation because the neural-network approximation and adaptive tuning mechanisms continuously compensated for changes in the process dynamics. These results confirm that the proposed control strategy is well suited for nonlinear and uncertain industrial operating conditions.</w:t>
      </w:r>
    </w:p>
    <w:p w14:paraId="2518D457" w14:textId="77777777" w:rsidR="00920025" w:rsidRDefault="00920025" w:rsidP="00E200BB">
      <w:pPr>
        <w:pStyle w:val="CETBodytext"/>
        <w:rPr>
          <w:b/>
          <w:bCs/>
        </w:rPr>
      </w:pPr>
    </w:p>
    <w:p w14:paraId="38EF4842" w14:textId="799D5D7F" w:rsidR="00E200BB" w:rsidRPr="00E200BB" w:rsidRDefault="00E200BB" w:rsidP="00920025">
      <w:pPr>
        <w:pStyle w:val="CETBodytext"/>
        <w:ind w:firstLine="426"/>
        <w:rPr>
          <w:b/>
          <w:bCs/>
        </w:rPr>
      </w:pPr>
      <w:r w:rsidRPr="00E200BB">
        <w:rPr>
          <w:b/>
          <w:bCs/>
        </w:rPr>
        <w:t>5. Conclusions</w:t>
      </w:r>
    </w:p>
    <w:p w14:paraId="4EB3D974" w14:textId="77777777" w:rsidR="00E200BB" w:rsidRPr="00E200BB" w:rsidRDefault="00E200BB" w:rsidP="00920025">
      <w:pPr>
        <w:pStyle w:val="CETBodytext"/>
        <w:ind w:firstLine="426"/>
      </w:pPr>
      <w:r w:rsidRPr="00E200BB">
        <w:t>This study developed an intelligent control framework for diesel fuel hydrotreating under nonlinear and uncertain operating conditions. The proposed approach is based on a nonlinear dynamic model of the hydrotreating reactor, derived from material and heat balance equations with temperature-dependent reaction kinetics. The control structure integrates neural network approximation, fuzzy logic reasoning and adaptive parameter tuning in MATLAB/Simulink.</w:t>
      </w:r>
    </w:p>
    <w:p w14:paraId="64AA09EF" w14:textId="62445256" w:rsidR="00E200BB" w:rsidRPr="00E200BB" w:rsidRDefault="00E200BB" w:rsidP="00920025">
      <w:pPr>
        <w:pStyle w:val="CETBodytext"/>
        <w:ind w:firstLine="426"/>
      </w:pPr>
      <w:r w:rsidRPr="00E200BB">
        <w:lastRenderedPageBreak/>
        <w:t>The simulation results demonstrate that the intelligent controller provides better performance than the conventional PID controller. The reactor temperature response becomes faster and smoother, the outlet concentration is regulated more accurately, and the control signal becomes less oscillatory. The settling time</w:t>
      </w:r>
      <w:r w:rsidR="002968AE">
        <w:t xml:space="preserve"> is reduced by approximately 25-</w:t>
      </w:r>
      <w:r w:rsidRPr="00E200BB">
        <w:t>30 %, the cont</w:t>
      </w:r>
      <w:r w:rsidR="002968AE">
        <w:t>rol error decreases by about 15-</w:t>
      </w:r>
      <w:r w:rsidRPr="00E200BB">
        <w:t>20 %, and the energy efficiency improves by up to 18 %. The disturbance rejection results also confirm that the proposed system remains stable under uncertain operating conditions.</w:t>
      </w:r>
    </w:p>
    <w:p w14:paraId="6A4C0B03" w14:textId="77777777" w:rsidR="00E200BB" w:rsidRPr="00E200BB" w:rsidRDefault="00E200BB" w:rsidP="00920025">
      <w:pPr>
        <w:pStyle w:val="CETBodytext"/>
        <w:ind w:firstLine="426"/>
      </w:pPr>
      <w:r w:rsidRPr="00E200BB">
        <w:t>The developed methodology can be applied not only to diesel fuel hydrotreating, but also to other nonlinear chemical and energy-intensive industrial processes. The results show that intelligent control technologies provide an effective solution for improving stability, adaptability and energy efficiency in modern chemical engineering and industrial automation.</w:t>
      </w:r>
    </w:p>
    <w:p w14:paraId="18561982" w14:textId="77777777" w:rsidR="001A5B2E" w:rsidRPr="00B57B36" w:rsidRDefault="001A5B2E" w:rsidP="001A5B2E">
      <w:pPr>
        <w:pStyle w:val="CETReference"/>
      </w:pPr>
      <w:r w:rsidRPr="00B57B36">
        <w:t>References</w:t>
      </w:r>
    </w:p>
    <w:p w14:paraId="55EF27EB" w14:textId="77777777" w:rsidR="0087622B" w:rsidRPr="0087622B" w:rsidRDefault="005A0123" w:rsidP="00CF17D4">
      <w:pPr>
        <w:pStyle w:val="a8"/>
        <w:spacing w:line="240" w:lineRule="auto"/>
        <w:ind w:left="0" w:firstLine="284"/>
      </w:pPr>
      <w:r>
        <w:fldChar w:fldCharType="begin"/>
      </w:r>
      <w:r>
        <w:instrText xml:space="preserve"> ADDIN ZOTERO_BIBL {"uncited":[],"omitted":[],"custom":[]} CSL_BIBLIOGRAPHY </w:instrText>
      </w:r>
      <w:r>
        <w:fldChar w:fldCharType="separate"/>
      </w:r>
      <w:r w:rsidR="0087622B" w:rsidRPr="0087622B">
        <w:t xml:space="preserve">LeCun, Y., Bengio, Y., &amp; Hinton, G. (2015). Deep learning. </w:t>
      </w:r>
      <w:r w:rsidR="0087622B" w:rsidRPr="0087622B">
        <w:rPr>
          <w:i/>
          <w:iCs/>
        </w:rPr>
        <w:t>Nature</w:t>
      </w:r>
      <w:r w:rsidR="0087622B" w:rsidRPr="0087622B">
        <w:t xml:space="preserve">, </w:t>
      </w:r>
      <w:r w:rsidR="0087622B" w:rsidRPr="0087622B">
        <w:rPr>
          <w:i/>
          <w:iCs/>
        </w:rPr>
        <w:t>521</w:t>
      </w:r>
      <w:r w:rsidR="0087622B" w:rsidRPr="0087622B">
        <w:t>(7553), 436–444. https://doi.org/10.1038/nature14539</w:t>
      </w:r>
    </w:p>
    <w:p w14:paraId="52DB3EE8" w14:textId="77777777" w:rsidR="0087622B" w:rsidRPr="0087622B" w:rsidRDefault="0087622B" w:rsidP="00CF17D4">
      <w:pPr>
        <w:pStyle w:val="a8"/>
        <w:spacing w:line="240" w:lineRule="auto"/>
        <w:ind w:left="0" w:firstLine="284"/>
      </w:pPr>
      <w:r w:rsidRPr="0087622B">
        <w:t xml:space="preserve">Papadimitrakis, M., &amp; Alexandridis, A. (2022). Active vehicle suspension control using road preview model predictive control and radial basis function networks. </w:t>
      </w:r>
      <w:r w:rsidRPr="0087622B">
        <w:rPr>
          <w:i/>
          <w:iCs/>
        </w:rPr>
        <w:t>Applied Soft Computing</w:t>
      </w:r>
      <w:r w:rsidRPr="0087622B">
        <w:t xml:space="preserve">, </w:t>
      </w:r>
      <w:r w:rsidRPr="0087622B">
        <w:rPr>
          <w:i/>
          <w:iCs/>
        </w:rPr>
        <w:t>120</w:t>
      </w:r>
      <w:r w:rsidRPr="0087622B">
        <w:t>, 108646. https://doi.org/10.1016/j.asoc.2022.108646</w:t>
      </w:r>
    </w:p>
    <w:p w14:paraId="400930A2" w14:textId="77777777" w:rsidR="0087622B" w:rsidRPr="0087622B" w:rsidRDefault="0087622B" w:rsidP="00CF17D4">
      <w:pPr>
        <w:pStyle w:val="a8"/>
        <w:spacing w:line="240" w:lineRule="auto"/>
        <w:ind w:left="0" w:firstLine="284"/>
      </w:pPr>
      <w:r w:rsidRPr="0087622B">
        <w:t xml:space="preserve">Qin, S. J., &amp; Badgwell, T. A. (2003). A survey of industrial model predictive control technology. </w:t>
      </w:r>
      <w:r w:rsidRPr="0087622B">
        <w:rPr>
          <w:i/>
          <w:iCs/>
        </w:rPr>
        <w:t>Control Engineering Practice</w:t>
      </w:r>
      <w:r w:rsidRPr="0087622B">
        <w:t xml:space="preserve">, </w:t>
      </w:r>
      <w:r w:rsidRPr="0087622B">
        <w:rPr>
          <w:i/>
          <w:iCs/>
        </w:rPr>
        <w:t>11</w:t>
      </w:r>
      <w:r w:rsidRPr="0087622B">
        <w:t>(7), 733–764. https://doi.org/10.1016/S0967-0661(02)00186-7</w:t>
      </w:r>
    </w:p>
    <w:p w14:paraId="3B9B9556" w14:textId="77777777" w:rsidR="0087622B" w:rsidRPr="0087622B" w:rsidRDefault="0087622B" w:rsidP="00CF17D4">
      <w:pPr>
        <w:pStyle w:val="a8"/>
        <w:spacing w:line="240" w:lineRule="auto"/>
        <w:ind w:left="0" w:firstLine="284"/>
      </w:pPr>
      <w:r w:rsidRPr="0087622B">
        <w:t xml:space="preserve">Sheikhi Kordkheili, M., &amp; Rahimpour, F. (2023). Artificial neural network and semi-empirical modeling of industrial-scale Gasoil hydrodesulfurization reactor temperature profile. </w:t>
      </w:r>
      <w:r w:rsidRPr="0087622B">
        <w:rPr>
          <w:i/>
          <w:iCs/>
        </w:rPr>
        <w:t>Mathematics and Computers in Simulation</w:t>
      </w:r>
      <w:r w:rsidRPr="0087622B">
        <w:t xml:space="preserve">, </w:t>
      </w:r>
      <w:r w:rsidRPr="0087622B">
        <w:rPr>
          <w:i/>
          <w:iCs/>
        </w:rPr>
        <w:t>206</w:t>
      </w:r>
      <w:r w:rsidRPr="0087622B">
        <w:t>, 198–215. https://doi.org/10.1016/j.matcom.2022.11.012</w:t>
      </w:r>
    </w:p>
    <w:p w14:paraId="5ABCDFF4" w14:textId="6E6F19EA" w:rsidR="0087622B" w:rsidRPr="0087622B" w:rsidRDefault="0087622B" w:rsidP="00CF17D4">
      <w:pPr>
        <w:pStyle w:val="a8"/>
        <w:spacing w:line="240" w:lineRule="auto"/>
        <w:ind w:left="0" w:firstLine="284"/>
      </w:pPr>
      <w:r w:rsidRPr="0087622B">
        <w:t xml:space="preserve">Usmanov, K., Eshbobaev, J., &amp; Yakubova, N. (2023). Modeling and Optimization of the Ammonium Solution Extraction Process. </w:t>
      </w:r>
      <w:r w:rsidR="00CF17D4" w:rsidRPr="00CF17D4">
        <w:rPr>
          <w:i/>
          <w:iCs/>
        </w:rPr>
        <w:t>Engineering Proceedings, 56(1), 198. https://doi.org/10.3390/ASEC2023-16274</w:t>
      </w:r>
    </w:p>
    <w:p w14:paraId="1AE87A12" w14:textId="77777777" w:rsidR="0087622B" w:rsidRPr="0087622B" w:rsidRDefault="0087622B" w:rsidP="00CF17D4">
      <w:pPr>
        <w:pStyle w:val="a8"/>
        <w:spacing w:line="240" w:lineRule="auto"/>
        <w:ind w:left="0" w:firstLine="284"/>
      </w:pPr>
      <w:r w:rsidRPr="0087622B">
        <w:t xml:space="preserve">Usmanov, K. I., Yakubova, N. S., Urmanova, V. T., &amp; Abdurasulova, G. E. (2023). Synthesis of a control system for the process of diesel fuel hydropuring with the Adar method. </w:t>
      </w:r>
      <w:r w:rsidRPr="0087622B">
        <w:rPr>
          <w:i/>
          <w:iCs/>
        </w:rPr>
        <w:t>E3S Web of Conferences</w:t>
      </w:r>
      <w:r w:rsidRPr="0087622B">
        <w:t xml:space="preserve">, </w:t>
      </w:r>
      <w:r w:rsidRPr="0087622B">
        <w:rPr>
          <w:i/>
          <w:iCs/>
        </w:rPr>
        <w:t>458</w:t>
      </w:r>
      <w:r w:rsidRPr="0087622B">
        <w:t>, 01025. https://doi.org/10.1051/e3sconf/202345801025</w:t>
      </w:r>
    </w:p>
    <w:p w14:paraId="41E270DF" w14:textId="77777777" w:rsidR="00CF17D4" w:rsidRDefault="0087622B" w:rsidP="00CF17D4">
      <w:pPr>
        <w:pStyle w:val="a8"/>
        <w:spacing w:line="240" w:lineRule="auto"/>
        <w:ind w:left="0" w:firstLine="284"/>
        <w:rPr>
          <w:i/>
          <w:iCs/>
        </w:rPr>
      </w:pPr>
      <w:r w:rsidRPr="0087622B">
        <w:t xml:space="preserve">Usmanov, K., Yakubova, N., Rejabov, S., Eshbobaev, J., &amp; Yusupov, M. (2026). Prediction of Drying Efficiency in Cabinet Solar Dryers for Medicinal Plants Using Artificial Neural Networks. </w:t>
      </w:r>
      <w:r w:rsidR="00CF17D4" w:rsidRPr="00CF17D4">
        <w:rPr>
          <w:i/>
          <w:iCs/>
        </w:rPr>
        <w:t xml:space="preserve">Engineering Proceedings, 117(1), 42. https://doi.org/10.3390/engproc2025117042 </w:t>
      </w:r>
    </w:p>
    <w:p w14:paraId="3ACE1D65" w14:textId="0BCBAA40" w:rsidR="00CF17D4" w:rsidRDefault="0087622B" w:rsidP="00CF17D4">
      <w:pPr>
        <w:pStyle w:val="a8"/>
        <w:spacing w:line="240" w:lineRule="auto"/>
        <w:ind w:left="0" w:firstLine="284"/>
        <w:rPr>
          <w:i/>
          <w:iCs/>
        </w:rPr>
      </w:pPr>
      <w:r w:rsidRPr="0087622B">
        <w:t xml:space="preserve">Usmanov, K., Yakubova, N., Sultanova, S., &amp; Turakulov, Z. (2026). Fuzzy-Logic-Based Intelligent Control of a Cabinet Solar Dryer for Plantago major Leaves Under Real Climatic Conditions in Tashkent. </w:t>
      </w:r>
      <w:r w:rsidR="00CF17D4" w:rsidRPr="00CF17D4">
        <w:rPr>
          <w:i/>
          <w:iCs/>
        </w:rPr>
        <w:t xml:space="preserve">Engineering Proceedings, 117(1), 35. https://doi.org/10.3390/engproc2025117035 </w:t>
      </w:r>
    </w:p>
    <w:p w14:paraId="1F4F199E" w14:textId="2295FA93" w:rsidR="00A83757" w:rsidRPr="00A83757" w:rsidRDefault="00A83757" w:rsidP="00CF17D4">
      <w:pPr>
        <w:pStyle w:val="a8"/>
        <w:spacing w:line="240" w:lineRule="auto"/>
        <w:ind w:left="0" w:firstLine="284"/>
        <w:rPr>
          <w:iCs/>
        </w:rPr>
      </w:pPr>
      <w:r w:rsidRPr="00A83757">
        <w:rPr>
          <w:iCs/>
        </w:rPr>
        <w:t>Usmanov, K., Eshbobaev, J., &amp; Yakubova, N. (2023). Modeling and Optimization of the Ammonium Solution Extraction Process. Engineering Proceedings, 56(1), 198. https://doi.org/10.3390/ASEC2023-16274</w:t>
      </w:r>
    </w:p>
    <w:p w14:paraId="68045237" w14:textId="428D1E3F" w:rsidR="00CF17D4" w:rsidRDefault="0087622B" w:rsidP="00CF17D4">
      <w:pPr>
        <w:pStyle w:val="a8"/>
        <w:spacing w:line="240" w:lineRule="auto"/>
        <w:ind w:left="0" w:firstLine="284"/>
        <w:rPr>
          <w:i/>
          <w:iCs/>
        </w:rPr>
      </w:pPr>
      <w:r w:rsidRPr="0087622B">
        <w:t xml:space="preserve">Yakubova, N., Istanbullu, A., Siddiqov, I., &amp; Usmanov, K. (2026). Hybrid Quantum-Fuzzy Control for Intelligent Steam Heating Management in Thermal Power Plants. </w:t>
      </w:r>
      <w:r w:rsidR="00CF17D4" w:rsidRPr="00CF17D4">
        <w:rPr>
          <w:i/>
          <w:iCs/>
        </w:rPr>
        <w:t xml:space="preserve">Engineering Proceedings, 117(1), 33. https://doi.org/10.3390/engproc2025117033 </w:t>
      </w:r>
    </w:p>
    <w:p w14:paraId="6A8F831B" w14:textId="68D900E5" w:rsidR="0087622B" w:rsidRPr="0087622B" w:rsidRDefault="0087622B" w:rsidP="00CF17D4">
      <w:pPr>
        <w:pStyle w:val="a8"/>
        <w:spacing w:line="240" w:lineRule="auto"/>
        <w:ind w:left="0" w:firstLine="284"/>
      </w:pPr>
      <w:r w:rsidRPr="0087622B">
        <w:t xml:space="preserve">Zhao, X., Shi, P., &amp; Zheng, X. (2016). Fuzzy Adaptive Control Design and Discretization for a Class of Nonlinear Uncertain Systems. </w:t>
      </w:r>
      <w:r w:rsidRPr="0087622B">
        <w:rPr>
          <w:i/>
          <w:iCs/>
        </w:rPr>
        <w:t>IEEE Transactions on Cybernetics</w:t>
      </w:r>
      <w:r w:rsidRPr="0087622B">
        <w:t xml:space="preserve">, </w:t>
      </w:r>
      <w:r w:rsidRPr="0087622B">
        <w:rPr>
          <w:i/>
          <w:iCs/>
        </w:rPr>
        <w:t>46</w:t>
      </w:r>
      <w:r w:rsidRPr="0087622B">
        <w:t>(6), 1476–1483. https://doi.org/10.1109/TCYB.2015.2447153</w:t>
      </w:r>
    </w:p>
    <w:p w14:paraId="1EA5A32A" w14:textId="77777777" w:rsidR="0087622B" w:rsidRPr="0087622B" w:rsidRDefault="0087622B" w:rsidP="00CF17D4">
      <w:pPr>
        <w:pStyle w:val="a8"/>
        <w:spacing w:line="240" w:lineRule="auto"/>
        <w:ind w:left="0" w:firstLine="284"/>
      </w:pPr>
      <w:r w:rsidRPr="0087622B">
        <w:t xml:space="preserve">Zhou, H., Li, Y., Xu, H., Su, Y., &amp; Chen, L. (2023). A self-organizing fuzzy neural network modeling approach using an adaptive quantum particle swarm optimization. </w:t>
      </w:r>
      <w:r w:rsidRPr="0087622B">
        <w:rPr>
          <w:i/>
          <w:iCs/>
        </w:rPr>
        <w:t>Applied Intelligence</w:t>
      </w:r>
      <w:r w:rsidRPr="0087622B">
        <w:t xml:space="preserve">, </w:t>
      </w:r>
      <w:r w:rsidRPr="0087622B">
        <w:rPr>
          <w:i/>
          <w:iCs/>
        </w:rPr>
        <w:t>53</w:t>
      </w:r>
      <w:r w:rsidRPr="0087622B">
        <w:t>(11), 13569–13592. https://doi.org/10.1007/s10489-022-04133-8</w:t>
      </w:r>
    </w:p>
    <w:p w14:paraId="19C4FC68" w14:textId="53713B81" w:rsidR="004628D2" w:rsidRDefault="005A0123" w:rsidP="00CF17D4">
      <w:pPr>
        <w:pStyle w:val="CETBodytext"/>
        <w:spacing w:line="240" w:lineRule="auto"/>
        <w:ind w:firstLine="284"/>
      </w:pPr>
      <w:r>
        <w:fldChar w:fldCharType="end"/>
      </w:r>
    </w:p>
    <w:sectPr w:rsidR="004628D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E3215" w14:textId="77777777" w:rsidR="003C7CE7" w:rsidRDefault="003C7CE7" w:rsidP="004F5E36">
      <w:r>
        <w:separator/>
      </w:r>
    </w:p>
  </w:endnote>
  <w:endnote w:type="continuationSeparator" w:id="0">
    <w:p w14:paraId="240CA903" w14:textId="77777777" w:rsidR="003C7CE7" w:rsidRDefault="003C7CE7"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926E5" w14:textId="77777777" w:rsidR="003C7CE7" w:rsidRDefault="003C7CE7" w:rsidP="004F5E36">
      <w:r>
        <w:separator/>
      </w:r>
    </w:p>
  </w:footnote>
  <w:footnote w:type="continuationSeparator" w:id="0">
    <w:p w14:paraId="36E1DEF9" w14:textId="77777777" w:rsidR="003C7CE7" w:rsidRDefault="003C7CE7"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723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2D165906"/>
    <w:multiLevelType w:val="hybridMultilevel"/>
    <w:tmpl w:val="690AF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C9803E7"/>
    <w:multiLevelType w:val="hybridMultilevel"/>
    <w:tmpl w:val="64022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361171"/>
    <w:multiLevelType w:val="hybridMultilevel"/>
    <w:tmpl w:val="716468E6"/>
    <w:lvl w:ilvl="0" w:tplc="BED0BEA8">
      <w:start w:val="1"/>
      <w:numFmt w:val="decimal"/>
      <w:lvlText w:val="%1."/>
      <w:lvlJc w:val="left"/>
      <w:pPr>
        <w:ind w:left="720" w:hanging="360"/>
      </w:pPr>
      <w:rPr>
        <w:rFonts w:eastAsiaTheme="minorHAnsi"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8"/>
  </w:num>
  <w:num w:numId="13">
    <w:abstractNumId w:val="13"/>
  </w:num>
  <w:num w:numId="14">
    <w:abstractNumId w:val="19"/>
  </w:num>
  <w:num w:numId="15">
    <w:abstractNumId w:val="23"/>
  </w:num>
  <w:num w:numId="16">
    <w:abstractNumId w:val="22"/>
  </w:num>
  <w:num w:numId="17">
    <w:abstractNumId w:val="12"/>
  </w:num>
  <w:num w:numId="18">
    <w:abstractNumId w:val="13"/>
    <w:lvlOverride w:ilvl="0">
      <w:startOverride w:val="1"/>
    </w:lvlOverride>
  </w:num>
  <w:num w:numId="19">
    <w:abstractNumId w:val="17"/>
  </w:num>
  <w:num w:numId="20">
    <w:abstractNumId w:val="16"/>
  </w:num>
  <w:num w:numId="21">
    <w:abstractNumId w:val="15"/>
  </w:num>
  <w:num w:numId="22">
    <w:abstractNumId w:val="14"/>
  </w:num>
  <w:num w:numId="23">
    <w:abstractNumId w:val="21"/>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07A36"/>
    <w:rsid w:val="000117CB"/>
    <w:rsid w:val="000173F9"/>
    <w:rsid w:val="0003148D"/>
    <w:rsid w:val="00031EEC"/>
    <w:rsid w:val="00035542"/>
    <w:rsid w:val="00051566"/>
    <w:rsid w:val="000562A9"/>
    <w:rsid w:val="00062A9A"/>
    <w:rsid w:val="00065058"/>
    <w:rsid w:val="0007315F"/>
    <w:rsid w:val="0007489C"/>
    <w:rsid w:val="00086C39"/>
    <w:rsid w:val="0009594C"/>
    <w:rsid w:val="000A03B2"/>
    <w:rsid w:val="000A10A4"/>
    <w:rsid w:val="000D0268"/>
    <w:rsid w:val="000D34BE"/>
    <w:rsid w:val="000E102F"/>
    <w:rsid w:val="000E36F1"/>
    <w:rsid w:val="000E3A0A"/>
    <w:rsid w:val="000E3A73"/>
    <w:rsid w:val="000E414A"/>
    <w:rsid w:val="000E75FD"/>
    <w:rsid w:val="000F093C"/>
    <w:rsid w:val="000F35E0"/>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5F6E"/>
    <w:rsid w:val="001667A6"/>
    <w:rsid w:val="00184AD6"/>
    <w:rsid w:val="00194C95"/>
    <w:rsid w:val="001A4AF7"/>
    <w:rsid w:val="001A5B2E"/>
    <w:rsid w:val="001B0349"/>
    <w:rsid w:val="001B168F"/>
    <w:rsid w:val="001B1E93"/>
    <w:rsid w:val="001B65C1"/>
    <w:rsid w:val="001C257C"/>
    <w:rsid w:val="001C260F"/>
    <w:rsid w:val="001C33F1"/>
    <w:rsid w:val="001C684B"/>
    <w:rsid w:val="001D0CFB"/>
    <w:rsid w:val="001D21AF"/>
    <w:rsid w:val="001D53FC"/>
    <w:rsid w:val="001F42A5"/>
    <w:rsid w:val="001F7B9D"/>
    <w:rsid w:val="00201C93"/>
    <w:rsid w:val="002071CE"/>
    <w:rsid w:val="002224B4"/>
    <w:rsid w:val="002447EF"/>
    <w:rsid w:val="00251550"/>
    <w:rsid w:val="00263B05"/>
    <w:rsid w:val="0026536E"/>
    <w:rsid w:val="0027221A"/>
    <w:rsid w:val="00275B61"/>
    <w:rsid w:val="00280FAF"/>
    <w:rsid w:val="00282656"/>
    <w:rsid w:val="00292316"/>
    <w:rsid w:val="002968AE"/>
    <w:rsid w:val="00296B83"/>
    <w:rsid w:val="002A15BF"/>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4537D"/>
    <w:rsid w:val="00347AB5"/>
    <w:rsid w:val="003723D4"/>
    <w:rsid w:val="00381905"/>
    <w:rsid w:val="00384CC8"/>
    <w:rsid w:val="003871FD"/>
    <w:rsid w:val="003A1E30"/>
    <w:rsid w:val="003A2829"/>
    <w:rsid w:val="003A7D1C"/>
    <w:rsid w:val="003B304B"/>
    <w:rsid w:val="003B3146"/>
    <w:rsid w:val="003B345F"/>
    <w:rsid w:val="003C7CE7"/>
    <w:rsid w:val="003D1E02"/>
    <w:rsid w:val="003F015E"/>
    <w:rsid w:val="00400414"/>
    <w:rsid w:val="0041446B"/>
    <w:rsid w:val="00437932"/>
    <w:rsid w:val="0044071E"/>
    <w:rsid w:val="00442480"/>
    <w:rsid w:val="00442CA9"/>
    <w:rsid w:val="0044329C"/>
    <w:rsid w:val="00453E24"/>
    <w:rsid w:val="00457456"/>
    <w:rsid w:val="004577FE"/>
    <w:rsid w:val="00457B9C"/>
    <w:rsid w:val="0046164A"/>
    <w:rsid w:val="004628D2"/>
    <w:rsid w:val="00462DCD"/>
    <w:rsid w:val="004648AD"/>
    <w:rsid w:val="004703A9"/>
    <w:rsid w:val="004760DE"/>
    <w:rsid w:val="004763D7"/>
    <w:rsid w:val="00486E71"/>
    <w:rsid w:val="00487B6C"/>
    <w:rsid w:val="004A004E"/>
    <w:rsid w:val="004A24CF"/>
    <w:rsid w:val="004A5E57"/>
    <w:rsid w:val="004C194F"/>
    <w:rsid w:val="004C1CE6"/>
    <w:rsid w:val="004C3D1D"/>
    <w:rsid w:val="004C3D84"/>
    <w:rsid w:val="004C7913"/>
    <w:rsid w:val="004E4DD6"/>
    <w:rsid w:val="004F5E36"/>
    <w:rsid w:val="00507B47"/>
    <w:rsid w:val="00507BEF"/>
    <w:rsid w:val="00507CC9"/>
    <w:rsid w:val="005119A5"/>
    <w:rsid w:val="005278B7"/>
    <w:rsid w:val="00532016"/>
    <w:rsid w:val="005346C8"/>
    <w:rsid w:val="005401F8"/>
    <w:rsid w:val="00543E7D"/>
    <w:rsid w:val="00547A68"/>
    <w:rsid w:val="005516CD"/>
    <w:rsid w:val="005531C9"/>
    <w:rsid w:val="0056097C"/>
    <w:rsid w:val="00570C43"/>
    <w:rsid w:val="005823C2"/>
    <w:rsid w:val="00592274"/>
    <w:rsid w:val="005A0123"/>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27E53"/>
    <w:rsid w:val="00631B33"/>
    <w:rsid w:val="0064184D"/>
    <w:rsid w:val="006422CC"/>
    <w:rsid w:val="00651D18"/>
    <w:rsid w:val="00660E3E"/>
    <w:rsid w:val="00662E74"/>
    <w:rsid w:val="00664F9F"/>
    <w:rsid w:val="00680C23"/>
    <w:rsid w:val="00683E23"/>
    <w:rsid w:val="00693766"/>
    <w:rsid w:val="006A3281"/>
    <w:rsid w:val="006B4888"/>
    <w:rsid w:val="006B60FC"/>
    <w:rsid w:val="006C2E45"/>
    <w:rsid w:val="006C359C"/>
    <w:rsid w:val="006C5579"/>
    <w:rsid w:val="006D2B5D"/>
    <w:rsid w:val="006D68C8"/>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762"/>
    <w:rsid w:val="007A4861"/>
    <w:rsid w:val="007A7BBA"/>
    <w:rsid w:val="007B0C50"/>
    <w:rsid w:val="007B48F9"/>
    <w:rsid w:val="007B7EEE"/>
    <w:rsid w:val="007C1A43"/>
    <w:rsid w:val="007C5987"/>
    <w:rsid w:val="007C7C78"/>
    <w:rsid w:val="007D0951"/>
    <w:rsid w:val="007F27C8"/>
    <w:rsid w:val="0080013E"/>
    <w:rsid w:val="008003A0"/>
    <w:rsid w:val="00800A26"/>
    <w:rsid w:val="00813288"/>
    <w:rsid w:val="008168FC"/>
    <w:rsid w:val="008243C9"/>
    <w:rsid w:val="00830996"/>
    <w:rsid w:val="008314D7"/>
    <w:rsid w:val="008345F1"/>
    <w:rsid w:val="00842446"/>
    <w:rsid w:val="00850386"/>
    <w:rsid w:val="00865B07"/>
    <w:rsid w:val="008667EA"/>
    <w:rsid w:val="00871256"/>
    <w:rsid w:val="0087622B"/>
    <w:rsid w:val="0087637F"/>
    <w:rsid w:val="00892AD5"/>
    <w:rsid w:val="00892AE8"/>
    <w:rsid w:val="008A1512"/>
    <w:rsid w:val="008D32B9"/>
    <w:rsid w:val="008D433B"/>
    <w:rsid w:val="008D4A16"/>
    <w:rsid w:val="008E209A"/>
    <w:rsid w:val="008E45BC"/>
    <w:rsid w:val="008E566E"/>
    <w:rsid w:val="008F6609"/>
    <w:rsid w:val="0090161A"/>
    <w:rsid w:val="00901EB6"/>
    <w:rsid w:val="009041F8"/>
    <w:rsid w:val="00904C62"/>
    <w:rsid w:val="0091626F"/>
    <w:rsid w:val="00920025"/>
    <w:rsid w:val="009203BF"/>
    <w:rsid w:val="00922BA8"/>
    <w:rsid w:val="009231DA"/>
    <w:rsid w:val="00924DAC"/>
    <w:rsid w:val="00927058"/>
    <w:rsid w:val="009342F7"/>
    <w:rsid w:val="00942750"/>
    <w:rsid w:val="009450CE"/>
    <w:rsid w:val="009459BB"/>
    <w:rsid w:val="00947179"/>
    <w:rsid w:val="0095164B"/>
    <w:rsid w:val="00954090"/>
    <w:rsid w:val="009573E7"/>
    <w:rsid w:val="0096062B"/>
    <w:rsid w:val="00963E05"/>
    <w:rsid w:val="00964A45"/>
    <w:rsid w:val="00967843"/>
    <w:rsid w:val="00967D54"/>
    <w:rsid w:val="00971028"/>
    <w:rsid w:val="00992720"/>
    <w:rsid w:val="00993B84"/>
    <w:rsid w:val="00996483"/>
    <w:rsid w:val="00996F5A"/>
    <w:rsid w:val="009B041A"/>
    <w:rsid w:val="009C37C3"/>
    <w:rsid w:val="009C7C86"/>
    <w:rsid w:val="009D2FF7"/>
    <w:rsid w:val="009E4AEF"/>
    <w:rsid w:val="009E7884"/>
    <w:rsid w:val="009E788A"/>
    <w:rsid w:val="009F0E08"/>
    <w:rsid w:val="00A079AE"/>
    <w:rsid w:val="00A1763D"/>
    <w:rsid w:val="00A17CEC"/>
    <w:rsid w:val="00A24FD4"/>
    <w:rsid w:val="00A26CBB"/>
    <w:rsid w:val="00A27EF0"/>
    <w:rsid w:val="00A36B2F"/>
    <w:rsid w:val="00A42361"/>
    <w:rsid w:val="00A50B20"/>
    <w:rsid w:val="00A51390"/>
    <w:rsid w:val="00A60D13"/>
    <w:rsid w:val="00A66A56"/>
    <w:rsid w:val="00A720FA"/>
    <w:rsid w:val="00A7223D"/>
    <w:rsid w:val="00A72745"/>
    <w:rsid w:val="00A76EFC"/>
    <w:rsid w:val="00A83757"/>
    <w:rsid w:val="00A87D50"/>
    <w:rsid w:val="00A91010"/>
    <w:rsid w:val="00A97F29"/>
    <w:rsid w:val="00AA702E"/>
    <w:rsid w:val="00AA7D26"/>
    <w:rsid w:val="00AB0964"/>
    <w:rsid w:val="00AB5011"/>
    <w:rsid w:val="00AC7368"/>
    <w:rsid w:val="00AD0278"/>
    <w:rsid w:val="00AD16B9"/>
    <w:rsid w:val="00AD39A7"/>
    <w:rsid w:val="00AE377D"/>
    <w:rsid w:val="00AF0EBA"/>
    <w:rsid w:val="00B02C8A"/>
    <w:rsid w:val="00B17FBD"/>
    <w:rsid w:val="00B315A6"/>
    <w:rsid w:val="00B31813"/>
    <w:rsid w:val="00B33365"/>
    <w:rsid w:val="00B57B36"/>
    <w:rsid w:val="00B57E6F"/>
    <w:rsid w:val="00B82F05"/>
    <w:rsid w:val="00B8686D"/>
    <w:rsid w:val="00B93F69"/>
    <w:rsid w:val="00B94D2A"/>
    <w:rsid w:val="00BB1DDC"/>
    <w:rsid w:val="00BC30C9"/>
    <w:rsid w:val="00BD077D"/>
    <w:rsid w:val="00BE3E58"/>
    <w:rsid w:val="00C01616"/>
    <w:rsid w:val="00C0162B"/>
    <w:rsid w:val="00C03444"/>
    <w:rsid w:val="00C068ED"/>
    <w:rsid w:val="00C208E9"/>
    <w:rsid w:val="00C22E0C"/>
    <w:rsid w:val="00C23AD9"/>
    <w:rsid w:val="00C345B1"/>
    <w:rsid w:val="00C40142"/>
    <w:rsid w:val="00C45541"/>
    <w:rsid w:val="00C46A29"/>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C72CA"/>
    <w:rsid w:val="00CD3517"/>
    <w:rsid w:val="00CD5FE2"/>
    <w:rsid w:val="00CE7C68"/>
    <w:rsid w:val="00CF17D4"/>
    <w:rsid w:val="00D01AD3"/>
    <w:rsid w:val="00D02B4C"/>
    <w:rsid w:val="00D040C4"/>
    <w:rsid w:val="00D20AD1"/>
    <w:rsid w:val="00D214C3"/>
    <w:rsid w:val="00D2490B"/>
    <w:rsid w:val="00D2582C"/>
    <w:rsid w:val="00D46B7E"/>
    <w:rsid w:val="00D46E21"/>
    <w:rsid w:val="00D57C84"/>
    <w:rsid w:val="00D6057D"/>
    <w:rsid w:val="00D71640"/>
    <w:rsid w:val="00D836C5"/>
    <w:rsid w:val="00D84576"/>
    <w:rsid w:val="00D92732"/>
    <w:rsid w:val="00DA1399"/>
    <w:rsid w:val="00DA24C6"/>
    <w:rsid w:val="00DA4D7B"/>
    <w:rsid w:val="00DB6716"/>
    <w:rsid w:val="00DD271C"/>
    <w:rsid w:val="00DE264A"/>
    <w:rsid w:val="00DE7F19"/>
    <w:rsid w:val="00DF3A29"/>
    <w:rsid w:val="00DF5072"/>
    <w:rsid w:val="00E02D18"/>
    <w:rsid w:val="00E041E7"/>
    <w:rsid w:val="00E200BB"/>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12FD"/>
    <w:rsid w:val="00F126A5"/>
    <w:rsid w:val="00F3049E"/>
    <w:rsid w:val="00F30C64"/>
    <w:rsid w:val="00F32BA2"/>
    <w:rsid w:val="00F32CDB"/>
    <w:rsid w:val="00F3348F"/>
    <w:rsid w:val="00F349D7"/>
    <w:rsid w:val="00F37280"/>
    <w:rsid w:val="00F41EE4"/>
    <w:rsid w:val="00F565FE"/>
    <w:rsid w:val="00F63A70"/>
    <w:rsid w:val="00F63D8C"/>
    <w:rsid w:val="00F7534E"/>
    <w:rsid w:val="00F861D6"/>
    <w:rsid w:val="00F93EDF"/>
    <w:rsid w:val="00FA1802"/>
    <w:rsid w:val="00FA21D0"/>
    <w:rsid w:val="00FA5F5F"/>
    <w:rsid w:val="00FB730C"/>
    <w:rsid w:val="00FC25BB"/>
    <w:rsid w:val="00FC2695"/>
    <w:rsid w:val="00FC3E03"/>
    <w:rsid w:val="00FC3FC1"/>
    <w:rsid w:val="00FC4AE1"/>
    <w:rsid w:val="00FD1A8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48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styleId="afffe">
    <w:name w:val="Placeholder Text"/>
    <w:basedOn w:val="a2"/>
    <w:uiPriority w:val="99"/>
    <w:semiHidden/>
    <w:rsid w:val="00627E53"/>
    <w:rPr>
      <w:color w:val="808080"/>
    </w:rPr>
  </w:style>
  <w:style w:type="character" w:customStyle="1" w:styleId="katex-mathml">
    <w:name w:val="katex-mathml"/>
    <w:basedOn w:val="a2"/>
    <w:rsid w:val="00487B6C"/>
  </w:style>
  <w:style w:type="character" w:customStyle="1" w:styleId="mord">
    <w:name w:val="mord"/>
    <w:basedOn w:val="a2"/>
    <w:rsid w:val="00487B6C"/>
  </w:style>
  <w:style w:type="character" w:customStyle="1" w:styleId="vlist-s">
    <w:name w:val="vlist-s"/>
    <w:basedOn w:val="a2"/>
    <w:rsid w:val="00487B6C"/>
  </w:style>
  <w:style w:type="character" w:customStyle="1" w:styleId="mopen">
    <w:name w:val="mopen"/>
    <w:basedOn w:val="a2"/>
    <w:rsid w:val="00487B6C"/>
  </w:style>
  <w:style w:type="character" w:customStyle="1" w:styleId="mclose">
    <w:name w:val="mclose"/>
    <w:basedOn w:val="a2"/>
    <w:rsid w:val="00487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2276">
      <w:bodyDiv w:val="1"/>
      <w:marLeft w:val="0"/>
      <w:marRight w:val="0"/>
      <w:marTop w:val="0"/>
      <w:marBottom w:val="0"/>
      <w:divBdr>
        <w:top w:val="none" w:sz="0" w:space="0" w:color="auto"/>
        <w:left w:val="none" w:sz="0" w:space="0" w:color="auto"/>
        <w:bottom w:val="none" w:sz="0" w:space="0" w:color="auto"/>
        <w:right w:val="none" w:sz="0" w:space="0" w:color="auto"/>
      </w:divBdr>
    </w:div>
    <w:div w:id="219556638">
      <w:bodyDiv w:val="1"/>
      <w:marLeft w:val="0"/>
      <w:marRight w:val="0"/>
      <w:marTop w:val="0"/>
      <w:marBottom w:val="0"/>
      <w:divBdr>
        <w:top w:val="none" w:sz="0" w:space="0" w:color="auto"/>
        <w:left w:val="none" w:sz="0" w:space="0" w:color="auto"/>
        <w:bottom w:val="none" w:sz="0" w:space="0" w:color="auto"/>
        <w:right w:val="none" w:sz="0" w:space="0" w:color="auto"/>
      </w:divBdr>
    </w:div>
    <w:div w:id="570235401">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7708">
      <w:bodyDiv w:val="1"/>
      <w:marLeft w:val="0"/>
      <w:marRight w:val="0"/>
      <w:marTop w:val="0"/>
      <w:marBottom w:val="0"/>
      <w:divBdr>
        <w:top w:val="none" w:sz="0" w:space="0" w:color="auto"/>
        <w:left w:val="none" w:sz="0" w:space="0" w:color="auto"/>
        <w:bottom w:val="none" w:sz="0" w:space="0" w:color="auto"/>
        <w:right w:val="none" w:sz="0" w:space="0" w:color="auto"/>
      </w:divBdr>
    </w:div>
    <w:div w:id="1239903583">
      <w:bodyDiv w:val="1"/>
      <w:marLeft w:val="0"/>
      <w:marRight w:val="0"/>
      <w:marTop w:val="0"/>
      <w:marBottom w:val="0"/>
      <w:divBdr>
        <w:top w:val="none" w:sz="0" w:space="0" w:color="auto"/>
        <w:left w:val="none" w:sz="0" w:space="0" w:color="auto"/>
        <w:bottom w:val="none" w:sz="0" w:space="0" w:color="auto"/>
        <w:right w:val="none" w:sz="0" w:space="0" w:color="auto"/>
      </w:divBdr>
    </w:div>
    <w:div w:id="1255439853">
      <w:bodyDiv w:val="1"/>
      <w:marLeft w:val="0"/>
      <w:marRight w:val="0"/>
      <w:marTop w:val="0"/>
      <w:marBottom w:val="0"/>
      <w:divBdr>
        <w:top w:val="none" w:sz="0" w:space="0" w:color="auto"/>
        <w:left w:val="none" w:sz="0" w:space="0" w:color="auto"/>
        <w:bottom w:val="none" w:sz="0" w:space="0" w:color="auto"/>
        <w:right w:val="none" w:sz="0" w:space="0" w:color="auto"/>
      </w:divBdr>
    </w:div>
    <w:div w:id="1260988190">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49086297">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82790899">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1302">
      <w:bodyDiv w:val="1"/>
      <w:marLeft w:val="0"/>
      <w:marRight w:val="0"/>
      <w:marTop w:val="0"/>
      <w:marBottom w:val="0"/>
      <w:divBdr>
        <w:top w:val="none" w:sz="0" w:space="0" w:color="auto"/>
        <w:left w:val="none" w:sz="0" w:space="0" w:color="auto"/>
        <w:bottom w:val="none" w:sz="0" w:space="0" w:color="auto"/>
        <w:right w:val="none" w:sz="0" w:space="0" w:color="auto"/>
      </w:divBdr>
    </w:div>
    <w:div w:id="1884365433">
      <w:bodyDiv w:val="1"/>
      <w:marLeft w:val="0"/>
      <w:marRight w:val="0"/>
      <w:marTop w:val="0"/>
      <w:marBottom w:val="0"/>
      <w:divBdr>
        <w:top w:val="none" w:sz="0" w:space="0" w:color="auto"/>
        <w:left w:val="none" w:sz="0" w:space="0" w:color="auto"/>
        <w:bottom w:val="none" w:sz="0" w:space="0" w:color="auto"/>
        <w:right w:val="none" w:sz="0" w:space="0" w:color="auto"/>
      </w:divBdr>
    </w:div>
    <w:div w:id="1979913031">
      <w:bodyDiv w:val="1"/>
      <w:marLeft w:val="0"/>
      <w:marRight w:val="0"/>
      <w:marTop w:val="0"/>
      <w:marBottom w:val="0"/>
      <w:divBdr>
        <w:top w:val="none" w:sz="0" w:space="0" w:color="auto"/>
        <w:left w:val="none" w:sz="0" w:space="0" w:color="auto"/>
        <w:bottom w:val="none" w:sz="0" w:space="0" w:color="auto"/>
        <w:right w:val="none" w:sz="0" w:space="0" w:color="auto"/>
      </w:divBdr>
    </w:div>
    <w:div w:id="2121216789">
      <w:bodyDiv w:val="1"/>
      <w:marLeft w:val="0"/>
      <w:marRight w:val="0"/>
      <w:marTop w:val="0"/>
      <w:marBottom w:val="0"/>
      <w:divBdr>
        <w:top w:val="none" w:sz="0" w:space="0" w:color="auto"/>
        <w:left w:val="none" w:sz="0" w:space="0" w:color="auto"/>
        <w:bottom w:val="none" w:sz="0" w:space="0" w:color="auto"/>
        <w:right w:val="none" w:sz="0" w:space="0" w:color="auto"/>
      </w:divBdr>
    </w:div>
    <w:div w:id="2126607548">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3B1D-A7E0-4EBD-B4A4-659F8AAB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5450</Words>
  <Characters>31068</Characters>
  <Application>Microsoft Office Word</Application>
  <DocSecurity>0</DocSecurity>
  <Lines>258</Lines>
  <Paragraphs>72</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36446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3</cp:revision>
  <cp:lastPrinted>2015-05-12T18:31:00Z</cp:lastPrinted>
  <dcterms:created xsi:type="dcterms:W3CDTF">2026-10-07T19:38:00Z</dcterms:created>
  <dcterms:modified xsi:type="dcterms:W3CDTF">2026-10-07T19:39:00Z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id="nzgEPnoS"/&gt;&lt;style id="http://www.zotero.org/styles/apa" locale="ru-RU" hasBibliography="1" bibliographyStyleHasBeenSet="1"/&gt;&lt;prefs&gt;&lt;pref name="fieldType" value="Field"/&gt;&lt;pref name="storeReferences</vt:lpwstr>
  </property>
  <property fmtid="{D5CDD505-2E9C-101B-9397-08002B2CF9AE}" pid="3" name="ZOTERO_PREF_2">
    <vt:lpwstr>" value="true"/&gt;&lt;/prefs&gt;&lt;/data&gt;</vt:lpwstr>
  </property>
</Properties>
</file>