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9405AE" w:rsidRPr="002856DE" w14:paraId="095F14E9" w14:textId="77777777" w:rsidTr="00DE4E8F">
        <w:trPr>
          <w:trHeight w:val="852"/>
          <w:jc w:val="center"/>
        </w:trPr>
        <w:tc>
          <w:tcPr>
            <w:tcW w:w="6940" w:type="dxa"/>
            <w:vMerge w:val="restart"/>
            <w:tcBorders>
              <w:right w:val="single" w:sz="4" w:space="0" w:color="auto"/>
            </w:tcBorders>
          </w:tcPr>
          <w:bookmarkStart w:id="0" w:name="_Hlk145068772"/>
          <w:p w14:paraId="38C3D2BA" w14:textId="4570839B" w:rsidR="009405AE" w:rsidRPr="002856DE" w:rsidRDefault="00000000">
            <w:pPr>
              <w:tabs>
                <w:tab w:val="left" w:pos="-108"/>
              </w:tabs>
              <w:ind w:left="-108"/>
              <w:jc w:val="left"/>
              <w:rPr>
                <w:rFonts w:cs="Arial"/>
                <w:b/>
                <w:bCs/>
                <w:i/>
                <w:iCs/>
                <w:color w:val="000066"/>
                <w:sz w:val="12"/>
                <w:szCs w:val="12"/>
                <w:lang w:val="en-US"/>
              </w:rPr>
            </w:pPr>
            <w:r w:rsidRPr="002856DE">
              <w:rPr>
                <w:rFonts w:cs="Arial"/>
                <w:noProof/>
                <w:color w:val="241F20"/>
                <w:szCs w:val="18"/>
                <w:lang w:val="en-US" w:eastAsia="it-IT"/>
              </w:rPr>
              <mc:AlternateContent>
                <mc:Choice Requires="wpg">
                  <w:drawing>
                    <wp:inline distT="0" distB="0" distL="0" distR="0" wp14:anchorId="2B634050" wp14:editId="19A6FC01">
                      <wp:extent cx="640080" cy="373380"/>
                      <wp:effectExtent l="0" t="0" r="7620" b="7620"/>
                      <wp:docPr id="1"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pic:cNvPicPr>
                            </pic:nvPicPr>
                            <pic:blipFill rotWithShape="1">
                              <a:blip r:embed="rId8"/>
                              <a:stretch/>
                            </pic:blipFill>
                            <pic:spPr bwMode="auto">
                              <a:xfrm>
                                <a:off x="0" y="0"/>
                                <a:ext cx="640080" cy="373380"/>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50.40pt;height:29.40pt;mso-wrap-distance-left:0.00pt;mso-wrap-distance-top:0.00pt;mso-wrap-distance-right:0.00pt;mso-wrap-distance-bottom:0.00pt;z-index:1;" stroked="f">
                      <v:imagedata r:id="rId10" o:title=""/>
                      <o:lock v:ext="edit" rotation="t"/>
                    </v:shape>
                  </w:pict>
                </mc:Fallback>
              </mc:AlternateContent>
            </w:r>
            <w:r w:rsidRPr="002856DE">
              <w:rPr>
                <w:rFonts w:cs="Arial"/>
                <w:color w:val="241F20"/>
                <w:szCs w:val="18"/>
                <w:lang w:val="en-US" w:eastAsia="it-IT"/>
              </w:rPr>
              <w:t xml:space="preserve"> </w:t>
            </w:r>
            <w:r w:rsidRPr="002856DE">
              <w:rPr>
                <w:rFonts w:cs="Arial"/>
                <w:b/>
                <w:bCs/>
                <w:i/>
                <w:iCs/>
                <w:color w:val="000066"/>
                <w:sz w:val="24"/>
                <w:szCs w:val="24"/>
                <w:lang w:val="en-US" w:eastAsia="it-IT"/>
              </w:rPr>
              <w:t>CHEMICAL ENGINEERING</w:t>
            </w:r>
            <w:r w:rsidRPr="002856DE">
              <w:rPr>
                <w:rFonts w:cs="Arial"/>
                <w:b/>
                <w:bCs/>
                <w:i/>
                <w:iCs/>
                <w:color w:val="0033FF"/>
                <w:sz w:val="24"/>
                <w:szCs w:val="24"/>
                <w:lang w:val="en-US" w:eastAsia="it-IT"/>
              </w:rPr>
              <w:t xml:space="preserve"> </w:t>
            </w:r>
            <w:r w:rsidRPr="002856DE">
              <w:rPr>
                <w:rFonts w:cs="Arial"/>
                <w:b/>
                <w:bCs/>
                <w:i/>
                <w:iCs/>
                <w:color w:val="666666"/>
                <w:sz w:val="24"/>
                <w:szCs w:val="24"/>
                <w:lang w:val="en-US" w:eastAsia="it-IT"/>
              </w:rPr>
              <w:t>TRANSACTIONS</w:t>
            </w:r>
            <w:r w:rsidRPr="002856DE">
              <w:rPr>
                <w:rFonts w:cs="Arial"/>
                <w:color w:val="333333"/>
                <w:sz w:val="24"/>
                <w:szCs w:val="24"/>
                <w:lang w:val="en-US" w:eastAsia="it-IT"/>
              </w:rPr>
              <w:t xml:space="preserve"> </w:t>
            </w:r>
            <w:r w:rsidRPr="002856DE">
              <w:rPr>
                <w:rFonts w:cs="Arial"/>
                <w:b/>
                <w:bCs/>
                <w:i/>
                <w:iCs/>
                <w:color w:val="000066"/>
                <w:sz w:val="27"/>
                <w:szCs w:val="27"/>
                <w:lang w:val="en-US" w:eastAsia="it-IT"/>
              </w:rPr>
              <w:br/>
            </w:r>
          </w:p>
          <w:p w14:paraId="4B780582" w14:textId="753620B8" w:rsidR="009405AE" w:rsidRPr="002856DE" w:rsidRDefault="00000000">
            <w:pPr>
              <w:tabs>
                <w:tab w:val="left" w:pos="-108"/>
              </w:tabs>
              <w:ind w:left="-108"/>
              <w:rPr>
                <w:rFonts w:cs="Arial"/>
                <w:b/>
                <w:bCs/>
                <w:i/>
                <w:iCs/>
                <w:color w:val="000066"/>
                <w:sz w:val="22"/>
                <w:szCs w:val="22"/>
                <w:lang w:val="en-US"/>
              </w:rPr>
            </w:pPr>
            <w:r w:rsidRPr="002856DE">
              <w:rPr>
                <w:rFonts w:cs="Arial"/>
                <w:b/>
                <w:bCs/>
                <w:i/>
                <w:iCs/>
                <w:color w:val="000066"/>
                <w:sz w:val="22"/>
                <w:szCs w:val="22"/>
                <w:lang w:val="en-US" w:eastAsia="it-IT"/>
              </w:rPr>
              <w:t>VOL. xxx, 2026</w:t>
            </w:r>
          </w:p>
        </w:tc>
        <w:tc>
          <w:tcPr>
            <w:tcW w:w="1842" w:type="dxa"/>
            <w:tcBorders>
              <w:left w:val="single" w:sz="4" w:space="0" w:color="auto"/>
              <w:bottom w:val="none" w:sz="4" w:space="0" w:color="000000"/>
              <w:right w:val="single" w:sz="4" w:space="0" w:color="auto"/>
            </w:tcBorders>
          </w:tcPr>
          <w:p w14:paraId="56782132" w14:textId="77777777" w:rsidR="009405AE" w:rsidRPr="002856DE" w:rsidRDefault="00000000">
            <w:pPr>
              <w:spacing w:line="140" w:lineRule="atLeast"/>
              <w:jc w:val="right"/>
              <w:rPr>
                <w:rFonts w:cs="Arial"/>
                <w:sz w:val="14"/>
                <w:szCs w:val="14"/>
                <w:lang w:val="en-US"/>
              </w:rPr>
            </w:pPr>
            <w:r w:rsidRPr="002856DE">
              <w:rPr>
                <w:rFonts w:cs="Arial"/>
                <w:sz w:val="14"/>
                <w:szCs w:val="14"/>
                <w:lang w:val="en-US"/>
              </w:rPr>
              <w:t>A publication of</w:t>
            </w:r>
          </w:p>
          <w:p w14:paraId="599E5441" w14:textId="77777777" w:rsidR="009405AE" w:rsidRPr="002856DE" w:rsidRDefault="00000000">
            <w:pPr>
              <w:jc w:val="right"/>
              <w:rPr>
                <w:rFonts w:cs="Arial"/>
                <w:lang w:val="en-US"/>
              </w:rPr>
            </w:pPr>
            <w:r w:rsidRPr="002856DE">
              <w:rPr>
                <w:rFonts w:cs="Arial"/>
                <w:noProof/>
                <w:lang w:val="en-US" w:eastAsia="it-IT"/>
              </w:rPr>
              <mc:AlternateContent>
                <mc:Choice Requires="wpg">
                  <w:drawing>
                    <wp:inline distT="0" distB="0" distL="0" distR="0" wp14:anchorId="361E7C05" wp14:editId="4A88947F">
                      <wp:extent cx="670560" cy="358140"/>
                      <wp:effectExtent l="0" t="0" r="0" b="3810"/>
                      <wp:docPr id="2"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pic:cNvPicPr>
                            </pic:nvPicPr>
                            <pic:blipFill rotWithShape="1">
                              <a:blip r:embed="rId11"/>
                              <a:stretch/>
                            </pic:blipFill>
                            <pic:spPr bwMode="auto">
                              <a:xfrm>
                                <a:off x="0" y="0"/>
                                <a:ext cx="670560" cy="358140"/>
                              </a:xfrm>
                              <a:prstGeom prst="rect">
                                <a:avLst/>
                              </a:prstGeom>
                              <a:noFill/>
                              <a:ln>
                                <a:noFill/>
                              </a:ln>
                            </pic:spPr>
                          </pic:pic>
                        </a:graphicData>
                      </a:graphic>
                    </wp:inline>
                  </w:drawing>
                </mc:Choice>
                <mc:Fallback xmlns:a="http://schemas.openxmlformats.org/drawingml/2006/main" xmlns:w16sdtfl="http://schemas.microsoft.com/office/word/2024/wordml/sdtformatlock" xmlns:w16du="http://schemas.microsoft.com/office/word/2023/wordml/word16du">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2.80pt;height:28.20pt;mso-wrap-distance-left:0.00pt;mso-wrap-distance-top:0.00pt;mso-wrap-distance-right:0.00pt;mso-wrap-distance-bottom:0.00pt;z-index:1;" stroked="f">
                      <v:imagedata r:id="rId12" o:title=""/>
                      <o:lock v:ext="edit" rotation="t"/>
                    </v:shape>
                  </w:pict>
                </mc:Fallback>
              </mc:AlternateContent>
            </w:r>
          </w:p>
        </w:tc>
      </w:tr>
      <w:tr w:rsidR="009405AE" w:rsidRPr="002856DE" w14:paraId="1FB1D89B" w14:textId="77777777" w:rsidTr="00DE4E8F">
        <w:trPr>
          <w:trHeight w:val="567"/>
          <w:jc w:val="center"/>
        </w:trPr>
        <w:tc>
          <w:tcPr>
            <w:tcW w:w="6940" w:type="dxa"/>
            <w:vMerge/>
            <w:tcBorders>
              <w:right w:val="single" w:sz="4" w:space="0" w:color="auto"/>
            </w:tcBorders>
          </w:tcPr>
          <w:p w14:paraId="39E5E4C1" w14:textId="77777777" w:rsidR="009405AE" w:rsidRPr="002856DE" w:rsidRDefault="009405AE">
            <w:pPr>
              <w:tabs>
                <w:tab w:val="left" w:pos="-108"/>
              </w:tabs>
              <w:rPr>
                <w:rFonts w:cs="Arial"/>
                <w:lang w:val="en-US"/>
              </w:rPr>
            </w:pPr>
          </w:p>
        </w:tc>
        <w:tc>
          <w:tcPr>
            <w:tcW w:w="1842" w:type="dxa"/>
            <w:tcBorders>
              <w:left w:val="single" w:sz="4" w:space="0" w:color="auto"/>
              <w:bottom w:val="none" w:sz="4" w:space="0" w:color="000000"/>
              <w:right w:val="single" w:sz="4" w:space="0" w:color="auto"/>
            </w:tcBorders>
          </w:tcPr>
          <w:p w14:paraId="43858A98" w14:textId="77777777" w:rsidR="009405AE" w:rsidRPr="002856DE" w:rsidRDefault="00000000">
            <w:pPr>
              <w:spacing w:line="140" w:lineRule="atLeast"/>
              <w:jc w:val="right"/>
              <w:rPr>
                <w:rFonts w:cs="Arial"/>
                <w:sz w:val="14"/>
                <w:szCs w:val="14"/>
                <w:lang w:val="en-US"/>
              </w:rPr>
            </w:pPr>
            <w:r w:rsidRPr="002856DE">
              <w:rPr>
                <w:rFonts w:cs="Arial"/>
                <w:sz w:val="14"/>
                <w:szCs w:val="14"/>
                <w:lang w:val="en-US"/>
              </w:rPr>
              <w:t>The Italian Association</w:t>
            </w:r>
          </w:p>
          <w:p w14:paraId="7522B1D2" w14:textId="77777777" w:rsidR="009405AE" w:rsidRPr="002856DE" w:rsidRDefault="00000000">
            <w:pPr>
              <w:spacing w:line="140" w:lineRule="atLeast"/>
              <w:jc w:val="right"/>
              <w:rPr>
                <w:rFonts w:cs="Arial"/>
                <w:sz w:val="14"/>
                <w:szCs w:val="14"/>
                <w:lang w:val="en-US"/>
              </w:rPr>
            </w:pPr>
            <w:r w:rsidRPr="002856DE">
              <w:rPr>
                <w:rFonts w:cs="Arial"/>
                <w:sz w:val="14"/>
                <w:szCs w:val="14"/>
                <w:lang w:val="en-US"/>
              </w:rPr>
              <w:t>of Chemical Engineering</w:t>
            </w:r>
          </w:p>
          <w:p w14:paraId="4F0CC5DE" w14:textId="47FDB2FC" w:rsidR="009405AE" w:rsidRPr="002856DE" w:rsidRDefault="00000000">
            <w:pPr>
              <w:spacing w:line="140" w:lineRule="atLeast"/>
              <w:jc w:val="right"/>
              <w:rPr>
                <w:rFonts w:cs="Arial"/>
                <w:sz w:val="13"/>
                <w:szCs w:val="13"/>
                <w:lang w:val="en-US"/>
              </w:rPr>
            </w:pPr>
            <w:r w:rsidRPr="002856DE">
              <w:rPr>
                <w:rFonts w:cs="Arial"/>
                <w:sz w:val="13"/>
                <w:szCs w:val="13"/>
                <w:lang w:val="en-US"/>
              </w:rPr>
              <w:t>Online at www.cetjournal.it</w:t>
            </w:r>
          </w:p>
        </w:tc>
      </w:tr>
      <w:tr w:rsidR="009405AE" w:rsidRPr="002856DE" w14:paraId="04CF815D" w14:textId="77777777" w:rsidTr="00DE4E8F">
        <w:trPr>
          <w:trHeight w:val="68"/>
          <w:jc w:val="center"/>
        </w:trPr>
        <w:tc>
          <w:tcPr>
            <w:tcW w:w="8782" w:type="dxa"/>
            <w:gridSpan w:val="2"/>
          </w:tcPr>
          <w:p w14:paraId="1D8DD3C9" w14:textId="174205F6" w:rsidR="009405AE" w:rsidRPr="002856DE" w:rsidRDefault="00000000">
            <w:pPr>
              <w:ind w:left="-107"/>
              <w:outlineLvl w:val="2"/>
              <w:rPr>
                <w:rFonts w:cs="Arial"/>
                <w:color w:val="000000"/>
                <w:sz w:val="14"/>
                <w:szCs w:val="14"/>
                <w:shd w:val="clear" w:color="auto" w:fill="FFFFFF"/>
                <w:lang w:val="en-US"/>
              </w:rPr>
            </w:pPr>
            <w:r w:rsidRPr="002856DE">
              <w:rPr>
                <w:rFonts w:cs="Arial"/>
                <w:iCs/>
                <w:color w:val="333333"/>
                <w:sz w:val="14"/>
                <w:szCs w:val="14"/>
                <w:lang w:val="en-US" w:eastAsia="it-IT"/>
              </w:rPr>
              <w:t>Guest Editors:</w:t>
            </w:r>
            <w:r w:rsidRPr="002856DE">
              <w:rPr>
                <w:rFonts w:cs="Arial"/>
                <w:color w:val="000000"/>
                <w:sz w:val="14"/>
                <w:szCs w:val="14"/>
                <w:shd w:val="clear" w:color="auto" w:fill="FFFFFF"/>
                <w:lang w:val="en-US"/>
              </w:rPr>
              <w:t xml:space="preserve"> Flavio </w:t>
            </w:r>
            <w:proofErr w:type="spellStart"/>
            <w:r w:rsidRPr="002856DE">
              <w:rPr>
                <w:rFonts w:cs="Arial"/>
                <w:color w:val="000000"/>
                <w:sz w:val="14"/>
                <w:szCs w:val="14"/>
                <w:shd w:val="clear" w:color="auto" w:fill="FFFFFF"/>
                <w:lang w:val="en-US"/>
              </w:rPr>
              <w:t>Manenti</w:t>
            </w:r>
            <w:proofErr w:type="spellEnd"/>
            <w:r w:rsidRPr="002856DE">
              <w:rPr>
                <w:rFonts w:cs="Arial"/>
                <w:color w:val="000000"/>
                <w:sz w:val="14"/>
                <w:szCs w:val="14"/>
                <w:shd w:val="clear" w:color="auto" w:fill="FFFFFF"/>
                <w:lang w:val="en-US"/>
              </w:rPr>
              <w:t xml:space="preserve">, </w:t>
            </w:r>
            <w:proofErr w:type="spellStart"/>
            <w:r w:rsidRPr="002856DE">
              <w:rPr>
                <w:rFonts w:cs="Arial"/>
                <w:color w:val="000000"/>
                <w:sz w:val="14"/>
                <w:szCs w:val="14"/>
                <w:shd w:val="clear" w:color="auto" w:fill="FFFFFF"/>
                <w:lang w:val="en-US"/>
              </w:rPr>
              <w:t>Botir</w:t>
            </w:r>
            <w:proofErr w:type="spellEnd"/>
            <w:r w:rsidRPr="002856DE">
              <w:rPr>
                <w:rFonts w:cs="Arial"/>
                <w:color w:val="000000"/>
                <w:sz w:val="14"/>
                <w:szCs w:val="14"/>
                <w:shd w:val="clear" w:color="auto" w:fill="FFFFFF"/>
                <w:lang w:val="en-US"/>
              </w:rPr>
              <w:t xml:space="preserve"> Usmonov, Alessandro Di </w:t>
            </w:r>
            <w:proofErr w:type="spellStart"/>
            <w:r w:rsidRPr="002856DE">
              <w:rPr>
                <w:rFonts w:cs="Arial"/>
                <w:color w:val="000000"/>
                <w:sz w:val="14"/>
                <w:szCs w:val="14"/>
                <w:shd w:val="clear" w:color="auto" w:fill="FFFFFF"/>
                <w:lang w:val="en-US"/>
              </w:rPr>
              <w:t>Pretoro</w:t>
            </w:r>
            <w:proofErr w:type="spellEnd"/>
          </w:p>
          <w:p w14:paraId="1B0F1814" w14:textId="710B7B96" w:rsidR="009405AE" w:rsidRPr="002856DE" w:rsidRDefault="00000000">
            <w:pPr>
              <w:tabs>
                <w:tab w:val="left" w:pos="-108"/>
              </w:tabs>
              <w:spacing w:line="140" w:lineRule="atLeast"/>
              <w:ind w:left="-107"/>
              <w:jc w:val="left"/>
              <w:rPr>
                <w:rFonts w:cs="Arial"/>
                <w:lang w:val="en-US"/>
              </w:rPr>
            </w:pPr>
            <w:r w:rsidRPr="002856DE">
              <w:rPr>
                <w:rFonts w:cs="Arial"/>
                <w:iCs/>
                <w:color w:val="333333"/>
                <w:sz w:val="14"/>
                <w:szCs w:val="14"/>
                <w:lang w:val="en-US" w:eastAsia="it-IT"/>
              </w:rPr>
              <w:t xml:space="preserve">Copyright © 2026, AIDIC </w:t>
            </w:r>
            <w:proofErr w:type="spellStart"/>
            <w:r w:rsidRPr="002856DE">
              <w:rPr>
                <w:rFonts w:cs="Arial"/>
                <w:iCs/>
                <w:color w:val="333333"/>
                <w:sz w:val="14"/>
                <w:szCs w:val="14"/>
                <w:lang w:val="en-US" w:eastAsia="it-IT"/>
              </w:rPr>
              <w:t>Servizi</w:t>
            </w:r>
            <w:proofErr w:type="spellEnd"/>
            <w:r w:rsidRPr="002856DE">
              <w:rPr>
                <w:rFonts w:cs="Arial"/>
                <w:iCs/>
                <w:color w:val="333333"/>
                <w:sz w:val="14"/>
                <w:szCs w:val="14"/>
                <w:lang w:val="en-US" w:eastAsia="it-IT"/>
              </w:rPr>
              <w:t xml:space="preserve"> </w:t>
            </w:r>
            <w:proofErr w:type="spellStart"/>
            <w:r w:rsidRPr="002856DE">
              <w:rPr>
                <w:rFonts w:cs="Arial"/>
                <w:iCs/>
                <w:color w:val="333333"/>
                <w:sz w:val="14"/>
                <w:szCs w:val="14"/>
                <w:lang w:val="en-US" w:eastAsia="it-IT"/>
              </w:rPr>
              <w:t>S.r.l</w:t>
            </w:r>
            <w:proofErr w:type="spellEnd"/>
            <w:r w:rsidRPr="002856DE">
              <w:rPr>
                <w:rFonts w:cs="Arial"/>
                <w:iCs/>
                <w:color w:val="333333"/>
                <w:sz w:val="14"/>
                <w:szCs w:val="14"/>
                <w:lang w:val="en-US" w:eastAsia="it-IT"/>
              </w:rPr>
              <w:t>.</w:t>
            </w:r>
            <w:r w:rsidRPr="002856DE">
              <w:rPr>
                <w:rFonts w:cs="Arial"/>
                <w:iCs/>
                <w:color w:val="333333"/>
                <w:sz w:val="14"/>
                <w:szCs w:val="14"/>
                <w:lang w:val="en-US" w:eastAsia="it-IT"/>
              </w:rPr>
              <w:br/>
            </w:r>
            <w:r w:rsidRPr="002856DE">
              <w:rPr>
                <w:rFonts w:cs="Arial"/>
                <w:b/>
                <w:iCs/>
                <w:color w:val="000000"/>
                <w:sz w:val="14"/>
                <w:szCs w:val="14"/>
                <w:lang w:val="en-US" w:eastAsia="it-IT"/>
              </w:rPr>
              <w:t>ISBN</w:t>
            </w:r>
            <w:r w:rsidRPr="002856DE">
              <w:rPr>
                <w:rFonts w:cs="Arial"/>
                <w:iCs/>
                <w:color w:val="000000"/>
                <w:sz w:val="14"/>
                <w:szCs w:val="14"/>
                <w:lang w:val="en-US" w:eastAsia="it-IT"/>
              </w:rPr>
              <w:t xml:space="preserve"> </w:t>
            </w:r>
            <w:r w:rsidRPr="002856DE">
              <w:rPr>
                <w:rFonts w:cs="Arial"/>
                <w:sz w:val="14"/>
                <w:szCs w:val="14"/>
                <w:lang w:val="en-US"/>
              </w:rPr>
              <w:t>979-12-81206-xx-x</w:t>
            </w:r>
            <w:r w:rsidRPr="002856DE">
              <w:rPr>
                <w:rFonts w:cs="Arial"/>
                <w:iCs/>
                <w:color w:val="333333"/>
                <w:sz w:val="14"/>
                <w:szCs w:val="14"/>
                <w:lang w:val="en-US" w:eastAsia="it-IT"/>
              </w:rPr>
              <w:t xml:space="preserve">; </w:t>
            </w:r>
            <w:r w:rsidRPr="002856DE">
              <w:rPr>
                <w:rFonts w:cs="Arial"/>
                <w:b/>
                <w:iCs/>
                <w:color w:val="333333"/>
                <w:sz w:val="14"/>
                <w:szCs w:val="14"/>
                <w:lang w:val="en-US" w:eastAsia="it-IT"/>
              </w:rPr>
              <w:t>ISSN</w:t>
            </w:r>
            <w:r w:rsidRPr="002856DE">
              <w:rPr>
                <w:rFonts w:cs="Arial"/>
                <w:iCs/>
                <w:color w:val="333333"/>
                <w:sz w:val="14"/>
                <w:szCs w:val="14"/>
                <w:lang w:val="en-US" w:eastAsia="it-IT"/>
              </w:rPr>
              <w:t xml:space="preserve"> 2283-9216</w:t>
            </w:r>
            <w:bookmarkEnd w:id="0"/>
          </w:p>
        </w:tc>
      </w:tr>
    </w:tbl>
    <w:p w14:paraId="7B79388A" w14:textId="3B3F1B06" w:rsidR="00AB4AC6" w:rsidRPr="002856DE" w:rsidRDefault="00AB4AC6" w:rsidP="00AB4AC6">
      <w:pPr>
        <w:pStyle w:val="CETTitle"/>
        <w:rPr>
          <w:rFonts w:cs="Arial"/>
        </w:rPr>
      </w:pPr>
      <w:r w:rsidRPr="002856DE">
        <w:rPr>
          <w:rFonts w:cs="Arial"/>
          <w:lang w:val="en-US"/>
        </w:rPr>
        <w:t xml:space="preserve">Operation of Cooled Fixed-Bed Reactors with </w:t>
      </w:r>
      <w:r w:rsidR="000205C8" w:rsidRPr="002856DE">
        <w:rPr>
          <w:rFonts w:cs="Arial"/>
          <w:lang w:val="en-US"/>
        </w:rPr>
        <w:t xml:space="preserve">Homogeneous </w:t>
      </w:r>
      <w:r w:rsidRPr="002856DE">
        <w:rPr>
          <w:rFonts w:cs="Arial"/>
          <w:lang w:val="en-US"/>
        </w:rPr>
        <w:t>Electric Heating</w:t>
      </w:r>
    </w:p>
    <w:p w14:paraId="0A79E93D" w14:textId="569CEA61" w:rsidR="00AB4AC6" w:rsidRPr="002856DE" w:rsidRDefault="00AB4AC6" w:rsidP="00AB4AC6">
      <w:pPr>
        <w:pStyle w:val="CETAuthors"/>
        <w:rPr>
          <w:rFonts w:cs="Arial"/>
          <w:lang w:val="en-US"/>
        </w:rPr>
      </w:pPr>
      <w:r w:rsidRPr="002856DE">
        <w:rPr>
          <w:rFonts w:cs="Arial"/>
          <w:lang w:val="en-US"/>
        </w:rPr>
        <w:t>Nicolas Oye, Jens Bremer*</w:t>
      </w:r>
    </w:p>
    <w:p w14:paraId="6B2D21B3" w14:textId="2FB0F3BA" w:rsidR="009405AE" w:rsidRPr="002856DE" w:rsidRDefault="00DE4E8F" w:rsidP="00DE4E8F">
      <w:pPr>
        <w:pStyle w:val="CETAddress"/>
        <w:rPr>
          <w:rFonts w:cs="Arial"/>
          <w:lang w:val="en-US"/>
        </w:rPr>
      </w:pPr>
      <w:r w:rsidRPr="002856DE">
        <w:rPr>
          <w:rFonts w:cs="Arial"/>
          <w:lang w:val="en-US"/>
        </w:rPr>
        <w:t xml:space="preserve">Clausthal University of Technology, Institute of Chemical and Electrochemical Process Engineering, </w:t>
      </w:r>
      <w:proofErr w:type="spellStart"/>
      <w:r w:rsidRPr="002856DE">
        <w:rPr>
          <w:rFonts w:cs="Arial"/>
          <w:lang w:val="en-US"/>
        </w:rPr>
        <w:t>Leibnizstra</w:t>
      </w:r>
      <w:r w:rsidR="00BB5DDF">
        <w:rPr>
          <w:rFonts w:cs="Arial"/>
          <w:lang w:val="en-US"/>
        </w:rPr>
        <w:t>ße</w:t>
      </w:r>
      <w:proofErr w:type="spellEnd"/>
      <w:r w:rsidRPr="002856DE">
        <w:rPr>
          <w:rFonts w:cs="Arial"/>
          <w:lang w:val="en-US"/>
        </w:rPr>
        <w:t xml:space="preserve"> 17, 38678 Clausthal-</w:t>
      </w:r>
      <w:proofErr w:type="spellStart"/>
      <w:r w:rsidRPr="002856DE">
        <w:rPr>
          <w:rFonts w:cs="Arial"/>
          <w:lang w:val="en-US"/>
        </w:rPr>
        <w:t>Zellerfeld</w:t>
      </w:r>
      <w:proofErr w:type="spellEnd"/>
      <w:r w:rsidRPr="002856DE">
        <w:rPr>
          <w:rFonts w:cs="Arial"/>
          <w:lang w:val="en-US"/>
        </w:rPr>
        <w:t xml:space="preserve">, Germany </w:t>
      </w:r>
    </w:p>
    <w:p w14:paraId="73F1267A" w14:textId="46117209" w:rsidR="009405AE" w:rsidRPr="002856DE" w:rsidRDefault="00DE4E8F">
      <w:pPr>
        <w:pStyle w:val="CETemail"/>
        <w:rPr>
          <w:rFonts w:cs="Arial"/>
          <w:lang w:val="en-US"/>
        </w:rPr>
      </w:pPr>
      <w:r w:rsidRPr="002856DE">
        <w:rPr>
          <w:rFonts w:cs="Arial"/>
          <w:lang w:val="en-US"/>
        </w:rPr>
        <w:t>*bremer@icvt.tu-clausthal.de</w:t>
      </w:r>
    </w:p>
    <w:p w14:paraId="41698AF9" w14:textId="68896496" w:rsidR="009405AE" w:rsidRPr="002856DE" w:rsidRDefault="00000000">
      <w:pPr>
        <w:pStyle w:val="CETBodytext"/>
        <w:rPr>
          <w:rFonts w:cs="Arial"/>
        </w:rPr>
      </w:pPr>
      <w:r w:rsidRPr="002856DE">
        <w:rPr>
          <w:rFonts w:cs="Arial"/>
        </w:rPr>
        <w:t xml:space="preserve">Temperature control is a central challenge in strongly exothermic catalytic reactions, as insufficient temperatures prevent ignition while excessive temperatures may cause reduced yield, catalyst damage, and safety concerns. Conventional approaches rely mainly on </w:t>
      </w:r>
      <w:r w:rsidR="00F83EE2" w:rsidRPr="002856DE">
        <w:rPr>
          <w:rFonts w:cs="Arial"/>
        </w:rPr>
        <w:t xml:space="preserve">external cooling, </w:t>
      </w:r>
      <w:r w:rsidRPr="002856DE">
        <w:rPr>
          <w:rFonts w:cs="Arial"/>
        </w:rPr>
        <w:t>feed dilution</w:t>
      </w:r>
      <w:r w:rsidR="00F83EE2" w:rsidRPr="002856DE">
        <w:rPr>
          <w:rFonts w:cs="Arial"/>
        </w:rPr>
        <w:t xml:space="preserve"> with</w:t>
      </w:r>
      <w:r w:rsidRPr="002856DE">
        <w:rPr>
          <w:rFonts w:cs="Arial"/>
        </w:rPr>
        <w:t xml:space="preserve"> recycle concepts, or micro-structured reactors. More recently, electrically heated reactors have been investigated, primarily to supply heat for endothermic processes and, to a limited extent, to support the operation of exothermic systems. In this work, a tubular fixed-bed reactor concept combining external cooling with internal electric heating is investigated </w:t>
      </w:r>
      <w:r w:rsidR="00026AB0" w:rsidRPr="002856DE">
        <w:rPr>
          <w:rFonts w:cs="Arial"/>
        </w:rPr>
        <w:t>through</w:t>
      </w:r>
      <w:r w:rsidRPr="002856DE">
        <w:rPr>
          <w:rFonts w:cs="Arial"/>
        </w:rPr>
        <w:t xml:space="preserve"> simulation</w:t>
      </w:r>
      <w:r w:rsidR="00026AB0" w:rsidRPr="002856DE">
        <w:rPr>
          <w:rFonts w:cs="Arial"/>
        </w:rPr>
        <w:t>s</w:t>
      </w:r>
      <w:r w:rsidRPr="002856DE">
        <w:rPr>
          <w:rFonts w:cs="Arial"/>
        </w:rPr>
        <w:t xml:space="preserve"> of CO</w:t>
      </w:r>
      <w:r w:rsidRPr="002856DE">
        <w:rPr>
          <w:rFonts w:cs="Arial"/>
          <w:vertAlign w:val="subscript"/>
        </w:rPr>
        <w:t>2</w:t>
      </w:r>
      <w:r w:rsidRPr="002856DE">
        <w:rPr>
          <w:rFonts w:cs="Arial"/>
        </w:rPr>
        <w:t xml:space="preserve"> methanation. The additional degree of freedom introduced by internal heating is analy</w:t>
      </w:r>
      <w:r w:rsidR="00DE4E8F" w:rsidRPr="002856DE">
        <w:rPr>
          <w:rFonts w:cs="Arial"/>
        </w:rPr>
        <w:t>z</w:t>
      </w:r>
      <w:r w:rsidRPr="002856DE">
        <w:rPr>
          <w:rFonts w:cs="Arial"/>
        </w:rPr>
        <w:t xml:space="preserve">ed with respect to ignition support and hot-spot positioning. A pseudo-homogeneous reactor model is solved using the finite volume method. The results show that internal electric heating can substantially extend the feasible operating window of cooled exothermic reactors. In particular, it enables reactor operation at lower coolant temperatures and allows </w:t>
      </w:r>
      <w:r w:rsidR="00A54F09" w:rsidRPr="002856DE">
        <w:rPr>
          <w:rFonts w:cs="Arial"/>
        </w:rPr>
        <w:t>active adjustment</w:t>
      </w:r>
      <w:r w:rsidRPr="002856DE">
        <w:rPr>
          <w:rFonts w:cs="Arial"/>
        </w:rPr>
        <w:t xml:space="preserve"> of the hot-spot</w:t>
      </w:r>
      <w:r w:rsidR="00A54F09" w:rsidRPr="002856DE">
        <w:rPr>
          <w:rFonts w:cs="Arial"/>
        </w:rPr>
        <w:t xml:space="preserve"> position</w:t>
      </w:r>
      <w:r w:rsidRPr="002856DE">
        <w:rPr>
          <w:rFonts w:cs="Arial"/>
        </w:rPr>
        <w:t xml:space="preserve">. The study demonstrates that combining internal electric heating and external cooling is a promising strategy for </w:t>
      </w:r>
      <w:r w:rsidR="00446816" w:rsidRPr="002856DE">
        <w:rPr>
          <w:rFonts w:cs="Arial"/>
        </w:rPr>
        <w:t>improving the</w:t>
      </w:r>
      <w:r w:rsidRPr="002856DE">
        <w:rPr>
          <w:rFonts w:cs="Arial"/>
        </w:rPr>
        <w:t xml:space="preserve"> flexibility </w:t>
      </w:r>
      <w:r w:rsidR="00047639">
        <w:rPr>
          <w:rFonts w:cs="Arial"/>
        </w:rPr>
        <w:t xml:space="preserve">and operability </w:t>
      </w:r>
      <w:r w:rsidRPr="002856DE">
        <w:rPr>
          <w:rFonts w:cs="Arial"/>
        </w:rPr>
        <w:t>of exothermic fixed-bed reactors.</w:t>
      </w:r>
    </w:p>
    <w:p w14:paraId="0105A162" w14:textId="77777777" w:rsidR="009405AE" w:rsidRPr="002856DE" w:rsidRDefault="009405AE">
      <w:pPr>
        <w:pStyle w:val="CETBodytext"/>
        <w:rPr>
          <w:rFonts w:cs="Arial"/>
        </w:rPr>
      </w:pPr>
    </w:p>
    <w:p w14:paraId="45E0B912" w14:textId="19786BE9" w:rsidR="009405AE" w:rsidRPr="002856DE" w:rsidRDefault="00000000">
      <w:pPr>
        <w:pStyle w:val="CETBodytext"/>
        <w:rPr>
          <w:rFonts w:cs="Arial"/>
        </w:rPr>
      </w:pPr>
      <w:r w:rsidRPr="002856DE">
        <w:rPr>
          <w:rFonts w:cs="Arial"/>
        </w:rPr>
        <w:t xml:space="preserve">Keywords: Exothermic reaction, Electric heating, </w:t>
      </w:r>
      <w:r w:rsidR="00A54F09" w:rsidRPr="002856DE">
        <w:rPr>
          <w:rFonts w:cs="Arial"/>
        </w:rPr>
        <w:t>Fixed-bed</w:t>
      </w:r>
      <w:r w:rsidRPr="002856DE">
        <w:rPr>
          <w:rFonts w:cs="Arial"/>
        </w:rPr>
        <w:t xml:space="preserve"> reactor, Methanation, Hot-spot control</w:t>
      </w:r>
    </w:p>
    <w:p w14:paraId="57163E7D" w14:textId="77777777" w:rsidR="009405AE" w:rsidRPr="002856DE" w:rsidRDefault="00000000">
      <w:pPr>
        <w:pStyle w:val="CETHeading1"/>
        <w:rPr>
          <w:rFonts w:cs="Arial"/>
        </w:rPr>
      </w:pPr>
      <w:r w:rsidRPr="002856DE">
        <w:rPr>
          <w:rFonts w:cs="Arial"/>
        </w:rPr>
        <w:t>Introduction</w:t>
      </w:r>
    </w:p>
    <w:p w14:paraId="6518E773" w14:textId="40BFB30C" w:rsidR="009405AE" w:rsidRPr="002856DE" w:rsidRDefault="00000000">
      <w:pPr>
        <w:pStyle w:val="CETBodytext"/>
        <w:rPr>
          <w:rFonts w:cs="Arial"/>
        </w:rPr>
      </w:pPr>
      <w:r w:rsidRPr="002856DE">
        <w:rPr>
          <w:rFonts w:cs="Arial"/>
        </w:rPr>
        <w:t>Strongly exothermic catalytic reactions are of major industrial relevance. Important examples include CO</w:t>
      </w:r>
      <w:r w:rsidRPr="002856DE">
        <w:rPr>
          <w:rFonts w:cs="Arial"/>
          <w:vertAlign w:val="subscript"/>
        </w:rPr>
        <w:t>2</w:t>
      </w:r>
      <w:r w:rsidRPr="002856DE">
        <w:rPr>
          <w:rFonts w:cs="Arial"/>
        </w:rPr>
        <w:t xml:space="preserve"> methanation, ammonia synthesis, methanol synthesis, Fischer-</w:t>
      </w:r>
      <w:proofErr w:type="spellStart"/>
      <w:r w:rsidRPr="002856DE">
        <w:rPr>
          <w:rFonts w:cs="Arial"/>
        </w:rPr>
        <w:t>Tropsch</w:t>
      </w:r>
      <w:proofErr w:type="spellEnd"/>
      <w:r w:rsidRPr="002856DE">
        <w:rPr>
          <w:rFonts w:cs="Arial"/>
        </w:rPr>
        <w:t xml:space="preserve"> synthesis, and selective oxidation processes. The design and operation of reactors suitable for </w:t>
      </w:r>
      <w:r w:rsidR="00026AB0" w:rsidRPr="002856DE">
        <w:rPr>
          <w:rFonts w:cs="Arial"/>
        </w:rPr>
        <w:t xml:space="preserve">these </w:t>
      </w:r>
      <w:r w:rsidRPr="002856DE">
        <w:rPr>
          <w:rFonts w:cs="Arial"/>
        </w:rPr>
        <w:t>application</w:t>
      </w:r>
      <w:r w:rsidR="00026AB0" w:rsidRPr="002856DE">
        <w:rPr>
          <w:rFonts w:cs="Arial"/>
        </w:rPr>
        <w:t>s</w:t>
      </w:r>
      <w:r w:rsidRPr="002856DE">
        <w:rPr>
          <w:rFonts w:cs="Arial"/>
        </w:rPr>
        <w:t xml:space="preserve"> are governed by a characteristic thermal conflict: sufficiently high temperatures are required to ignite the reaction and achieve technically relevant rates, while excessive temperatures result in thermal runaway</w:t>
      </w:r>
      <w:r w:rsidR="0023506A" w:rsidRPr="002856DE">
        <w:rPr>
          <w:rFonts w:cs="Arial"/>
        </w:rPr>
        <w:t xml:space="preserve"> or </w:t>
      </w:r>
      <w:r w:rsidR="007C0DAF" w:rsidRPr="002856DE">
        <w:rPr>
          <w:rFonts w:cs="Arial"/>
        </w:rPr>
        <w:t>hot-spot</w:t>
      </w:r>
      <w:r w:rsidR="0023506A" w:rsidRPr="002856DE">
        <w:rPr>
          <w:rFonts w:cs="Arial"/>
        </w:rPr>
        <w:t xml:space="preserve"> formation that can cause</w:t>
      </w:r>
      <w:r w:rsidRPr="002856DE">
        <w:rPr>
          <w:rFonts w:cs="Arial"/>
        </w:rPr>
        <w:t xml:space="preserve"> catalyst deactivation, material stress, undesired side reactions, and equilibrium limitations</w:t>
      </w:r>
      <w:r w:rsidR="00012FC3" w:rsidRPr="002856DE">
        <w:rPr>
          <w:rFonts w:cs="Arial"/>
        </w:rPr>
        <w:t xml:space="preserve"> </w:t>
      </w:r>
      <w:r w:rsidR="00375676" w:rsidRPr="002856DE">
        <w:rPr>
          <w:rFonts w:cs="Arial"/>
        </w:rPr>
        <w:t>(</w:t>
      </w:r>
      <w:proofErr w:type="spellStart"/>
      <w:r w:rsidR="00375676" w:rsidRPr="002856DE">
        <w:rPr>
          <w:rFonts w:cs="Arial"/>
        </w:rPr>
        <w:t>Froment</w:t>
      </w:r>
      <w:proofErr w:type="spellEnd"/>
      <w:r w:rsidR="00375676" w:rsidRPr="002856DE">
        <w:rPr>
          <w:rFonts w:cs="Arial"/>
        </w:rPr>
        <w:t>, 1974)</w:t>
      </w:r>
      <w:r w:rsidRPr="002856DE">
        <w:rPr>
          <w:rFonts w:cs="Arial"/>
        </w:rPr>
        <w:t>. Consequently, temperature control is one of the key challenges in exothermic reactor engineering.</w:t>
      </w:r>
    </w:p>
    <w:p w14:paraId="0774080A" w14:textId="5A5B2C67" w:rsidR="009405AE" w:rsidRPr="002856DE" w:rsidRDefault="00000000">
      <w:pPr>
        <w:pStyle w:val="CETBodytext"/>
        <w:rPr>
          <w:rFonts w:cs="Arial"/>
        </w:rPr>
      </w:pPr>
      <w:r w:rsidRPr="002856DE">
        <w:rPr>
          <w:rFonts w:cs="Arial"/>
        </w:rPr>
        <w:t xml:space="preserve">The state of the art for controlling gas-phase exothermic fixed-bed reactions is based primarily on four classes of measures </w:t>
      </w:r>
      <w:r w:rsidR="00A66D01" w:rsidRPr="002856DE">
        <w:rPr>
          <w:rFonts w:cs="Arial"/>
        </w:rPr>
        <w:t>that,</w:t>
      </w:r>
      <w:r w:rsidRPr="002856DE">
        <w:rPr>
          <w:rFonts w:cs="Arial"/>
        </w:rPr>
        <w:t xml:space="preserve"> while improving temperature control, also introduce trade-offs. First, </w:t>
      </w:r>
      <w:r w:rsidR="00026AB0" w:rsidRPr="002856DE">
        <w:rPr>
          <w:rFonts w:cs="Arial"/>
        </w:rPr>
        <w:t xml:space="preserve">temperature can be controlled </w:t>
      </w:r>
      <w:r w:rsidRPr="002856DE">
        <w:rPr>
          <w:rFonts w:cs="Arial"/>
        </w:rPr>
        <w:t>through the inlet conditions</w:t>
      </w:r>
      <w:r w:rsidR="0023506A" w:rsidRPr="002856DE">
        <w:rPr>
          <w:rFonts w:cs="Arial"/>
        </w:rPr>
        <w:t xml:space="preserve"> </w:t>
      </w:r>
      <w:r w:rsidR="00375676" w:rsidRPr="002856DE">
        <w:rPr>
          <w:rFonts w:cs="Arial"/>
        </w:rPr>
        <w:t>(</w:t>
      </w:r>
      <w:proofErr w:type="spellStart"/>
      <w:r w:rsidR="00375676" w:rsidRPr="002856DE">
        <w:rPr>
          <w:rFonts w:cs="Arial"/>
        </w:rPr>
        <w:t>Henda</w:t>
      </w:r>
      <w:proofErr w:type="spellEnd"/>
      <w:r w:rsidR="00375676" w:rsidRPr="002856DE">
        <w:rPr>
          <w:rFonts w:cs="Arial"/>
        </w:rPr>
        <w:t xml:space="preserve"> et al., 2008)</w:t>
      </w:r>
      <w:r w:rsidRPr="002856DE">
        <w:rPr>
          <w:rFonts w:cs="Arial"/>
        </w:rPr>
        <w:t xml:space="preserve">, </w:t>
      </w:r>
      <w:r w:rsidR="00026AB0" w:rsidRPr="002856DE">
        <w:rPr>
          <w:rFonts w:cs="Arial"/>
        </w:rPr>
        <w:t>primarily</w:t>
      </w:r>
      <w:r w:rsidRPr="002856DE">
        <w:rPr>
          <w:rFonts w:cs="Arial"/>
        </w:rPr>
        <w:t xml:space="preserve"> </w:t>
      </w:r>
      <w:r w:rsidR="00026AB0" w:rsidRPr="002856DE">
        <w:rPr>
          <w:rFonts w:cs="Arial"/>
        </w:rPr>
        <w:t xml:space="preserve">by adjusting </w:t>
      </w:r>
      <w:r w:rsidR="0092768E" w:rsidRPr="002856DE">
        <w:rPr>
          <w:rFonts w:cs="Arial"/>
        </w:rPr>
        <w:t xml:space="preserve">either </w:t>
      </w:r>
      <w:r w:rsidRPr="002856DE">
        <w:rPr>
          <w:rFonts w:cs="Arial"/>
        </w:rPr>
        <w:t xml:space="preserve">the inlet temperature, which affects reactor size, </w:t>
      </w:r>
      <w:r w:rsidR="007C0DAF" w:rsidRPr="002856DE">
        <w:rPr>
          <w:rFonts w:cs="Arial"/>
        </w:rPr>
        <w:t>hot-spot</w:t>
      </w:r>
      <w:r w:rsidRPr="002856DE">
        <w:rPr>
          <w:rFonts w:cs="Arial"/>
        </w:rPr>
        <w:t xml:space="preserve"> </w:t>
      </w:r>
      <w:r w:rsidR="00A66D01" w:rsidRPr="002856DE">
        <w:rPr>
          <w:rFonts w:cs="Arial"/>
        </w:rPr>
        <w:t>position,</w:t>
      </w:r>
      <w:r w:rsidRPr="002856DE">
        <w:rPr>
          <w:rFonts w:cs="Arial"/>
        </w:rPr>
        <w:t xml:space="preserve"> and process integration,</w:t>
      </w:r>
      <w:r w:rsidR="0092768E" w:rsidRPr="002856DE">
        <w:rPr>
          <w:rFonts w:cs="Arial"/>
        </w:rPr>
        <w:t xml:space="preserve"> or the </w:t>
      </w:r>
      <w:r w:rsidRPr="002856DE">
        <w:rPr>
          <w:rFonts w:cs="Arial"/>
        </w:rPr>
        <w:t>feed dilution</w:t>
      </w:r>
      <w:r w:rsidR="0092768E" w:rsidRPr="002856DE">
        <w:rPr>
          <w:rFonts w:cs="Arial"/>
        </w:rPr>
        <w:t xml:space="preserve"> </w:t>
      </w:r>
      <w:r w:rsidR="00375676" w:rsidRPr="002856DE">
        <w:rPr>
          <w:rFonts w:cs="Arial"/>
        </w:rPr>
        <w:t>(Jess et al., 1999)</w:t>
      </w:r>
      <w:r w:rsidRPr="002856DE">
        <w:rPr>
          <w:rFonts w:cs="Arial"/>
        </w:rPr>
        <w:t xml:space="preserve">, which increases recycle effort. Second, external cooling is widely used, for </w:t>
      </w:r>
      <w:r w:rsidR="00A66D01" w:rsidRPr="002856DE">
        <w:rPr>
          <w:rFonts w:cs="Arial"/>
        </w:rPr>
        <w:t>example,</w:t>
      </w:r>
      <w:r w:rsidRPr="002856DE">
        <w:rPr>
          <w:rFonts w:cs="Arial"/>
        </w:rPr>
        <w:t xml:space="preserve"> in tubular or multi-tubular reactors cooled by water, thermal oil, or molten salt</w:t>
      </w:r>
      <w:r w:rsidR="00DF1D81" w:rsidRPr="002856DE">
        <w:rPr>
          <w:rFonts w:cs="Arial"/>
        </w:rPr>
        <w:t xml:space="preserve"> </w:t>
      </w:r>
      <w:r w:rsidR="00375676" w:rsidRPr="002856DE">
        <w:rPr>
          <w:rFonts w:cs="Arial"/>
        </w:rPr>
        <w:t>(Sauer et al., 2013)</w:t>
      </w:r>
      <w:r w:rsidRPr="002856DE">
        <w:rPr>
          <w:rFonts w:cs="Arial"/>
        </w:rPr>
        <w:t xml:space="preserve">. Such reactor concepts are industrially established and provide robust heat removal, but also increase capital </w:t>
      </w:r>
      <w:r w:rsidR="00A66D01" w:rsidRPr="002856DE">
        <w:rPr>
          <w:rFonts w:cs="Arial"/>
        </w:rPr>
        <w:t>costs,</w:t>
      </w:r>
      <w:r w:rsidRPr="002856DE">
        <w:rPr>
          <w:rFonts w:cs="Arial"/>
        </w:rPr>
        <w:t xml:space="preserve"> and their operating range is constrained by the admissible coolant temperature. Third, reactor and catalyst dimensions and catalyst dilution</w:t>
      </w:r>
      <w:r w:rsidR="00446816" w:rsidRPr="002856DE">
        <w:rPr>
          <w:rFonts w:cs="Arial"/>
        </w:rPr>
        <w:t xml:space="preserve"> </w:t>
      </w:r>
      <w:r w:rsidRPr="002856DE">
        <w:rPr>
          <w:rFonts w:cs="Arial"/>
        </w:rPr>
        <w:t xml:space="preserve">are selected in order to allow for sufficient heat removal or reduce the heat release rate at the </w:t>
      </w:r>
      <w:r w:rsidR="007C0DAF" w:rsidRPr="002856DE">
        <w:rPr>
          <w:rFonts w:cs="Arial"/>
        </w:rPr>
        <w:t>hot-spot</w:t>
      </w:r>
      <w:r w:rsidR="00446816" w:rsidRPr="002856DE">
        <w:rPr>
          <w:rFonts w:cs="Arial"/>
        </w:rPr>
        <w:t xml:space="preserve"> </w:t>
      </w:r>
      <w:r w:rsidR="00375676" w:rsidRPr="002856DE">
        <w:rPr>
          <w:rFonts w:cs="Arial"/>
        </w:rPr>
        <w:t>(</w:t>
      </w:r>
      <w:proofErr w:type="spellStart"/>
      <w:r w:rsidR="00375676" w:rsidRPr="002856DE">
        <w:rPr>
          <w:rFonts w:cs="Arial"/>
        </w:rPr>
        <w:t>Schlereth</w:t>
      </w:r>
      <w:proofErr w:type="spellEnd"/>
      <w:r w:rsidR="00375676" w:rsidRPr="002856DE">
        <w:rPr>
          <w:rFonts w:cs="Arial"/>
        </w:rPr>
        <w:t xml:space="preserve"> and </w:t>
      </w:r>
      <w:proofErr w:type="spellStart"/>
      <w:r w:rsidR="00375676" w:rsidRPr="002856DE">
        <w:rPr>
          <w:rFonts w:cs="Arial"/>
        </w:rPr>
        <w:t>Hinrichsen</w:t>
      </w:r>
      <w:proofErr w:type="spellEnd"/>
      <w:r w:rsidR="00375676" w:rsidRPr="002856DE">
        <w:rPr>
          <w:rFonts w:cs="Arial"/>
        </w:rPr>
        <w:t>, 2014)</w:t>
      </w:r>
      <w:r w:rsidRPr="002856DE">
        <w:rPr>
          <w:rFonts w:cs="Arial"/>
        </w:rPr>
        <w:t>. This often implies compromises in space-time yield or increased pressure drop. Finally, microreactors</w:t>
      </w:r>
      <w:r w:rsidR="00DF1D81" w:rsidRPr="002856DE">
        <w:rPr>
          <w:rFonts w:cs="Arial"/>
        </w:rPr>
        <w:t xml:space="preserve"> </w:t>
      </w:r>
      <w:r w:rsidR="00375676" w:rsidRPr="002856DE">
        <w:rPr>
          <w:rFonts w:cs="Arial"/>
        </w:rPr>
        <w:t>(</w:t>
      </w:r>
      <w:proofErr w:type="spellStart"/>
      <w:r w:rsidR="00375676" w:rsidRPr="002856DE">
        <w:rPr>
          <w:rFonts w:cs="Arial"/>
        </w:rPr>
        <w:t>Tegrotenhuis</w:t>
      </w:r>
      <w:proofErr w:type="spellEnd"/>
      <w:r w:rsidR="00375676" w:rsidRPr="002856DE">
        <w:rPr>
          <w:rFonts w:cs="Arial"/>
        </w:rPr>
        <w:t xml:space="preserve"> et al., 2007)</w:t>
      </w:r>
      <w:r w:rsidRPr="002856DE">
        <w:rPr>
          <w:rFonts w:cs="Arial"/>
        </w:rPr>
        <w:t xml:space="preserve"> and other highly intensified structures have been proposed to improve heat transfer and approach nearly isothermal operation. While these concepts offer superior thermal management, they are associated with disadvantages such as elevated pressure drop, increased fouling sensitivity, and limited direct transfer to industrial-scale configurations</w:t>
      </w:r>
      <w:r w:rsidR="00BA1825" w:rsidRPr="002856DE">
        <w:rPr>
          <w:rFonts w:cs="Arial"/>
        </w:rPr>
        <w:t xml:space="preserve"> </w:t>
      </w:r>
      <w:r w:rsidR="00375676" w:rsidRPr="002856DE">
        <w:rPr>
          <w:rFonts w:cs="Arial"/>
        </w:rPr>
        <w:t>(Zhang et al., 2017)</w:t>
      </w:r>
      <w:r w:rsidRPr="002856DE">
        <w:rPr>
          <w:rFonts w:cs="Arial"/>
        </w:rPr>
        <w:t>.</w:t>
      </w:r>
    </w:p>
    <w:p w14:paraId="09651245" w14:textId="0F8AA67A" w:rsidR="009405AE" w:rsidRPr="002856DE" w:rsidRDefault="00000000">
      <w:pPr>
        <w:pStyle w:val="CETBodytext"/>
        <w:rPr>
          <w:rFonts w:cs="Arial"/>
        </w:rPr>
      </w:pPr>
      <w:r w:rsidRPr="002856DE">
        <w:rPr>
          <w:rFonts w:cs="Arial"/>
        </w:rPr>
        <w:lastRenderedPageBreak/>
        <w:t>Another route for thermal control is the use of electric heating</w:t>
      </w:r>
      <w:r w:rsidR="006E60F3" w:rsidRPr="002856DE">
        <w:rPr>
          <w:rFonts w:cs="Arial"/>
        </w:rPr>
        <w:t xml:space="preserve"> </w:t>
      </w:r>
      <w:r w:rsidR="00375676" w:rsidRPr="002856DE">
        <w:rPr>
          <w:rFonts w:cs="Arial"/>
        </w:rPr>
        <w:t>(</w:t>
      </w:r>
      <w:proofErr w:type="spellStart"/>
      <w:r w:rsidR="00375676" w:rsidRPr="002856DE">
        <w:rPr>
          <w:rFonts w:cs="Arial"/>
        </w:rPr>
        <w:t>Ambrosetti</w:t>
      </w:r>
      <w:proofErr w:type="spellEnd"/>
      <w:r w:rsidR="00375676" w:rsidRPr="002856DE">
        <w:rPr>
          <w:rFonts w:cs="Arial"/>
        </w:rPr>
        <w:t>, 2022)</w:t>
      </w:r>
      <w:r w:rsidRPr="002856DE">
        <w:rPr>
          <w:rFonts w:cs="Arial"/>
        </w:rPr>
        <w:t>. Electrification has received considerable attention in recent years, especially as a means of providing process heat for endothermic reactions</w:t>
      </w:r>
      <w:r w:rsidR="00BA1825" w:rsidRPr="002856DE">
        <w:rPr>
          <w:rFonts w:cs="Arial"/>
        </w:rPr>
        <w:t xml:space="preserve"> </w:t>
      </w:r>
      <w:r w:rsidR="00375676" w:rsidRPr="002856DE">
        <w:rPr>
          <w:rFonts w:cs="Arial"/>
        </w:rPr>
        <w:t>(</w:t>
      </w:r>
      <w:proofErr w:type="spellStart"/>
      <w:r w:rsidR="00375676" w:rsidRPr="002856DE">
        <w:rPr>
          <w:rFonts w:cs="Arial"/>
        </w:rPr>
        <w:t>Ferri</w:t>
      </w:r>
      <w:proofErr w:type="spellEnd"/>
      <w:r w:rsidR="00375676" w:rsidRPr="002856DE">
        <w:rPr>
          <w:rFonts w:cs="Arial"/>
        </w:rPr>
        <w:t xml:space="preserve"> et al., 2025; </w:t>
      </w:r>
      <w:proofErr w:type="spellStart"/>
      <w:r w:rsidR="00375676" w:rsidRPr="002856DE">
        <w:rPr>
          <w:rFonts w:cs="Arial"/>
        </w:rPr>
        <w:t>Wismann</w:t>
      </w:r>
      <w:proofErr w:type="spellEnd"/>
      <w:r w:rsidR="00375676" w:rsidRPr="002856DE">
        <w:rPr>
          <w:rFonts w:cs="Arial"/>
        </w:rPr>
        <w:t xml:space="preserve"> et al., 2022)</w:t>
      </w:r>
      <w:r w:rsidRPr="002856DE">
        <w:rPr>
          <w:rFonts w:cs="Arial"/>
        </w:rPr>
        <w:t>. However, electric heating is also relevant for exothermic systems, where it can provide the energy required for ignition or enable local temperature manipulation</w:t>
      </w:r>
      <w:r w:rsidR="00AC3A50" w:rsidRPr="002856DE">
        <w:rPr>
          <w:rFonts w:cs="Arial"/>
        </w:rPr>
        <w:t xml:space="preserve"> </w:t>
      </w:r>
      <w:r w:rsidR="00375676" w:rsidRPr="002856DE">
        <w:rPr>
          <w:rFonts w:cs="Arial"/>
        </w:rPr>
        <w:t>(</w:t>
      </w:r>
      <w:proofErr w:type="spellStart"/>
      <w:r w:rsidR="00375676" w:rsidRPr="002856DE">
        <w:rPr>
          <w:rFonts w:cs="Arial"/>
        </w:rPr>
        <w:t>Daccache</w:t>
      </w:r>
      <w:proofErr w:type="spellEnd"/>
      <w:r w:rsidR="00375676" w:rsidRPr="002856DE">
        <w:rPr>
          <w:rFonts w:cs="Arial"/>
        </w:rPr>
        <w:t xml:space="preserve"> et al., 2024; Watanabe et al., 2025)</w:t>
      </w:r>
      <w:r w:rsidRPr="002856DE">
        <w:rPr>
          <w:rFonts w:cs="Arial"/>
        </w:rPr>
        <w:t>. Depending on the realization, electric heat can be rapidly supplied in</w:t>
      </w:r>
      <w:r w:rsidR="00026AB0" w:rsidRPr="002856DE">
        <w:rPr>
          <w:rFonts w:cs="Arial"/>
        </w:rPr>
        <w:t xml:space="preserve"> </w:t>
      </w:r>
      <w:r w:rsidRPr="002856DE">
        <w:rPr>
          <w:rFonts w:cs="Arial"/>
        </w:rPr>
        <w:t>situ with high controllability</w:t>
      </w:r>
      <w:r w:rsidR="006E60F3" w:rsidRPr="002856DE">
        <w:rPr>
          <w:rFonts w:cs="Arial"/>
        </w:rPr>
        <w:t xml:space="preserve"> </w:t>
      </w:r>
      <w:r w:rsidR="00375676" w:rsidRPr="002856DE">
        <w:rPr>
          <w:rFonts w:cs="Arial"/>
        </w:rPr>
        <w:t>(Zheng et al., 2024)</w:t>
      </w:r>
      <w:r w:rsidRPr="002856DE">
        <w:rPr>
          <w:rFonts w:cs="Arial"/>
        </w:rPr>
        <w:t>. These features are attractive in the context of flexible Power-to-X processes, which increasingly require reactors to follow fluctuating operating conditions imposed by renewable electricity supply.</w:t>
      </w:r>
    </w:p>
    <w:p w14:paraId="057AA21C" w14:textId="5A1466F6" w:rsidR="009405AE" w:rsidRPr="002856DE" w:rsidRDefault="00000000">
      <w:pPr>
        <w:pStyle w:val="CETBodytext"/>
        <w:rPr>
          <w:rFonts w:cs="Arial"/>
        </w:rPr>
      </w:pPr>
      <w:r w:rsidRPr="002856DE">
        <w:rPr>
          <w:rFonts w:cs="Arial"/>
        </w:rPr>
        <w:t xml:space="preserve">The combination of internal electric heating and external cooling is particularly interesting because it introduces additional degrees of freedom for reactor operation that would </w:t>
      </w:r>
      <w:r w:rsidR="00026AB0" w:rsidRPr="002856DE">
        <w:rPr>
          <w:rFonts w:cs="Arial"/>
        </w:rPr>
        <w:t>help</w:t>
      </w:r>
      <w:r w:rsidRPr="002856DE">
        <w:rPr>
          <w:rFonts w:cs="Arial"/>
        </w:rPr>
        <w:t xml:space="preserve"> </w:t>
      </w:r>
      <w:r w:rsidR="000205C8" w:rsidRPr="002856DE">
        <w:rPr>
          <w:rFonts w:cs="Arial"/>
        </w:rPr>
        <w:t>mitigat</w:t>
      </w:r>
      <w:r w:rsidR="00026AB0" w:rsidRPr="002856DE">
        <w:rPr>
          <w:rFonts w:cs="Arial"/>
        </w:rPr>
        <w:t>e</w:t>
      </w:r>
      <w:r w:rsidRPr="002856DE">
        <w:rPr>
          <w:rFonts w:cs="Arial"/>
        </w:rPr>
        <w:t xml:space="preserve"> some of the previously mentioned trade-offs. The two thermal actions can fulfill different functions: internal heating may support ignition or locally raise the temperature where reaction activity is insufficient, </w:t>
      </w:r>
      <w:r w:rsidR="00A5032B" w:rsidRPr="002856DE">
        <w:rPr>
          <w:rFonts w:cs="Arial"/>
        </w:rPr>
        <w:t>while</w:t>
      </w:r>
      <w:r w:rsidRPr="002856DE">
        <w:rPr>
          <w:rFonts w:cs="Arial"/>
        </w:rPr>
        <w:t xml:space="preserve"> external cooling removes the released reaction heat and constrains excessive temperatures. Compared to a purely cooled reactor, this decouples temperature increase and temperature limitation to some extent. General advantages may include an enlarged operating window, reduced need for feed dilution, and more direct manipulation of the axial temperature profile.</w:t>
      </w:r>
    </w:p>
    <w:p w14:paraId="4CA9B2C2" w14:textId="506C20D0" w:rsidR="009405AE" w:rsidRPr="002856DE" w:rsidRDefault="00000000">
      <w:pPr>
        <w:pStyle w:val="CETBodytext"/>
        <w:rPr>
          <w:rFonts w:cs="Arial"/>
        </w:rPr>
      </w:pPr>
      <w:r w:rsidRPr="002856DE">
        <w:rPr>
          <w:rFonts w:cs="Arial"/>
        </w:rPr>
        <w:t xml:space="preserve">Despite this potential, the combined use of internal electric heating and external cooling has only been explored to a limited extent. </w:t>
      </w:r>
      <w:proofErr w:type="spellStart"/>
      <w:r w:rsidR="00375676" w:rsidRPr="002856DE">
        <w:rPr>
          <w:rFonts w:cs="Arial"/>
        </w:rPr>
        <w:t>Fache</w:t>
      </w:r>
      <w:proofErr w:type="spellEnd"/>
      <w:r w:rsidR="00375676" w:rsidRPr="002856DE">
        <w:rPr>
          <w:rFonts w:cs="Arial"/>
        </w:rPr>
        <w:t xml:space="preserve"> and Marias</w:t>
      </w:r>
      <w:r w:rsidR="00216925" w:rsidRPr="002856DE">
        <w:rPr>
          <w:rFonts w:cs="Arial"/>
        </w:rPr>
        <w:t xml:space="preserve"> (</w:t>
      </w:r>
      <w:r w:rsidR="00375676" w:rsidRPr="002856DE">
        <w:rPr>
          <w:rFonts w:cs="Arial"/>
        </w:rPr>
        <w:t>2020)</w:t>
      </w:r>
      <w:r w:rsidR="006E60F3" w:rsidRPr="002856DE">
        <w:rPr>
          <w:rFonts w:cs="Arial"/>
        </w:rPr>
        <w:t xml:space="preserve"> </w:t>
      </w:r>
      <w:r w:rsidRPr="002856DE">
        <w:rPr>
          <w:rFonts w:cs="Arial"/>
        </w:rPr>
        <w:t xml:space="preserve">discussed a reactor concept with simultaneous cooling and induction-based heating to stabilize product quality during load changes and improve parametric sensitivity </w:t>
      </w:r>
      <w:r w:rsidR="00375676" w:rsidRPr="002856DE">
        <w:rPr>
          <w:rFonts w:cs="Arial"/>
        </w:rPr>
        <w:t>(</w:t>
      </w:r>
      <w:proofErr w:type="spellStart"/>
      <w:r w:rsidR="00375676" w:rsidRPr="002856DE">
        <w:rPr>
          <w:rFonts w:cs="Arial"/>
        </w:rPr>
        <w:t>Fache</w:t>
      </w:r>
      <w:proofErr w:type="spellEnd"/>
      <w:r w:rsidR="00375676" w:rsidRPr="002856DE">
        <w:rPr>
          <w:rFonts w:cs="Arial"/>
        </w:rPr>
        <w:t xml:space="preserve"> et al., 2020)</w:t>
      </w:r>
      <w:r w:rsidRPr="002856DE">
        <w:rPr>
          <w:rFonts w:cs="Arial"/>
        </w:rPr>
        <w:t xml:space="preserve">. </w:t>
      </w:r>
      <w:r w:rsidR="00026AB0" w:rsidRPr="002856DE">
        <w:rPr>
          <w:rFonts w:cs="Arial"/>
        </w:rPr>
        <w:t>Based on available literature</w:t>
      </w:r>
      <w:r w:rsidRPr="002856DE">
        <w:rPr>
          <w:rFonts w:cs="Arial"/>
        </w:rPr>
        <w:t xml:space="preserve">, a more thorough analysis on </w:t>
      </w:r>
      <w:r w:rsidR="000205C8" w:rsidRPr="002856DE">
        <w:rPr>
          <w:rFonts w:cs="Arial"/>
        </w:rPr>
        <w:t xml:space="preserve">utilizing </w:t>
      </w:r>
      <w:r w:rsidRPr="002856DE">
        <w:rPr>
          <w:rFonts w:cs="Arial"/>
        </w:rPr>
        <w:t xml:space="preserve">the additional thermal degree of freedom for broader operational objectives in exothermic fixed-bed reactors </w:t>
      </w:r>
      <w:r w:rsidR="00026AB0" w:rsidRPr="002856DE">
        <w:rPr>
          <w:rFonts w:cs="Arial"/>
        </w:rPr>
        <w:t>has not been reported</w:t>
      </w:r>
      <w:r w:rsidRPr="002856DE">
        <w:rPr>
          <w:rFonts w:cs="Arial"/>
        </w:rPr>
        <w:t>.</w:t>
      </w:r>
    </w:p>
    <w:p w14:paraId="4181E4EB" w14:textId="0623DAA9" w:rsidR="009405AE" w:rsidRPr="002856DE" w:rsidRDefault="00000000">
      <w:pPr>
        <w:pStyle w:val="CETBodytext"/>
        <w:rPr>
          <w:rFonts w:cs="Arial"/>
        </w:rPr>
      </w:pPr>
      <w:r w:rsidRPr="002856DE">
        <w:rPr>
          <w:rFonts w:cs="Arial"/>
        </w:rPr>
        <w:t>The present work addresses this by means of simulation studies on the case of CO</w:t>
      </w:r>
      <w:r w:rsidRPr="002856DE">
        <w:rPr>
          <w:rFonts w:cs="Arial"/>
          <w:vertAlign w:val="subscript"/>
        </w:rPr>
        <w:t>2</w:t>
      </w:r>
      <w:r w:rsidRPr="002856DE">
        <w:rPr>
          <w:rFonts w:cs="Arial"/>
        </w:rPr>
        <w:t xml:space="preserve"> methanation. The aim is to investigate how internal electric heating can be used, in combination with external cooling, to improve the controllability of exothermic reactions. Particular emphasis is placed on two aspects: extension of the feasible operating window towards lower coolant temperatures and targeted control of the hot-spot position.</w:t>
      </w:r>
    </w:p>
    <w:p w14:paraId="7BDD182F" w14:textId="44893443" w:rsidR="009405AE" w:rsidRPr="002856DE" w:rsidRDefault="00000000" w:rsidP="007C0DAF">
      <w:pPr>
        <w:pStyle w:val="CETBodytext"/>
        <w:rPr>
          <w:rFonts w:cs="Arial"/>
        </w:rPr>
      </w:pPr>
      <w:r w:rsidRPr="002856DE">
        <w:rPr>
          <w:rFonts w:cs="Arial"/>
        </w:rPr>
        <w:t>The following sections introduce the reactor model and implementation, and discuss the results obtained from the simulations.</w:t>
      </w:r>
    </w:p>
    <w:p w14:paraId="4458F9A5" w14:textId="518C89D7" w:rsidR="009405AE" w:rsidRPr="002856DE" w:rsidRDefault="00000000">
      <w:pPr>
        <w:pStyle w:val="CETHeading1"/>
        <w:rPr>
          <w:rFonts w:cs="Arial"/>
        </w:rPr>
      </w:pPr>
      <w:r w:rsidRPr="002856DE">
        <w:rPr>
          <w:rFonts w:cs="Arial"/>
        </w:rPr>
        <w:t>Methods</w:t>
      </w:r>
    </w:p>
    <w:p w14:paraId="602BF3C2" w14:textId="76DE7F81" w:rsidR="009405AE" w:rsidRPr="002856DE" w:rsidRDefault="00000000">
      <w:pPr>
        <w:pStyle w:val="CETBodytext"/>
        <w:rPr>
          <w:rFonts w:cs="Arial"/>
        </w:rPr>
      </w:pPr>
      <w:r w:rsidRPr="002856DE">
        <w:rPr>
          <w:rFonts w:cs="Arial"/>
        </w:rPr>
        <w:t xml:space="preserve">A tubular fixed-bed reactor with external cooling and integrated internal electric heating, as shown in Figure 1, is considered. The basic </w:t>
      </w:r>
      <w:bookmarkStart w:id="1" w:name="_Hlk227686226"/>
      <w:r w:rsidRPr="002856DE">
        <w:rPr>
          <w:rFonts w:cs="Arial"/>
        </w:rPr>
        <w:t xml:space="preserve">concept corresponds to an industrially relevant cooled (multi-tubular) packed-bed reactor, supplemented by </w:t>
      </w:r>
      <w:bookmarkEnd w:id="1"/>
      <w:r w:rsidR="00034CF7" w:rsidRPr="002856DE">
        <w:rPr>
          <w:rFonts w:cs="Arial"/>
        </w:rPr>
        <w:t xml:space="preserve">internal electric heating such as </w:t>
      </w:r>
      <w:r w:rsidRPr="002856DE">
        <w:rPr>
          <w:rFonts w:cs="Arial"/>
        </w:rPr>
        <w:t>inductive heating of the catalyst particles</w:t>
      </w:r>
      <w:r w:rsidR="00034CF7" w:rsidRPr="002856DE">
        <w:rPr>
          <w:rFonts w:cs="Arial"/>
        </w:rPr>
        <w:t xml:space="preserve"> or resistive heating of a structured packing</w:t>
      </w:r>
      <w:r w:rsidRPr="002856DE">
        <w:rPr>
          <w:rFonts w:cs="Arial"/>
        </w:rPr>
        <w:t xml:space="preserve">. In the present study, the heating action is represented as a volumetric heat source distributed uniformly </w:t>
      </w:r>
      <w:r w:rsidR="00026AB0" w:rsidRPr="002856DE">
        <w:rPr>
          <w:rFonts w:cs="Arial"/>
        </w:rPr>
        <w:t>throughout the</w:t>
      </w:r>
      <w:r w:rsidRPr="002856DE">
        <w:rPr>
          <w:rFonts w:cs="Arial"/>
        </w:rPr>
        <w:t xml:space="preserve"> catalyst bed. This idealized representation captures the principal effect of internal heating and is suitable for qualitatively analyzing its impact on the reactor behavior.</w:t>
      </w:r>
    </w:p>
    <w:p w14:paraId="377DD3FE" w14:textId="77777777" w:rsidR="007C0DAF" w:rsidRPr="002856DE" w:rsidRDefault="007C0DAF">
      <w:pPr>
        <w:pStyle w:val="CETBodytext"/>
        <w:rPr>
          <w:rFonts w:cs="Arial"/>
        </w:rPr>
      </w:pPr>
    </w:p>
    <w:p w14:paraId="63E43C60" w14:textId="295BD18E" w:rsidR="007C0DAF" w:rsidRPr="002856DE" w:rsidRDefault="00177F30">
      <w:pPr>
        <w:pStyle w:val="CETBodytext"/>
        <w:rPr>
          <w:rFonts w:cs="Arial"/>
        </w:rPr>
      </w:pPr>
      <w:r w:rsidRPr="002856DE">
        <w:rPr>
          <w:rFonts w:cs="Arial"/>
          <w:noProof/>
        </w:rPr>
        <w:drawing>
          <wp:inline distT="0" distB="0" distL="0" distR="0" wp14:anchorId="1B5E8DA4" wp14:editId="2D82B584">
            <wp:extent cx="2163170" cy="160986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67117" cy="1612797"/>
                    </a:xfrm>
                    <a:prstGeom prst="rect">
                      <a:avLst/>
                    </a:prstGeom>
                    <a:noFill/>
                    <a:ln>
                      <a:noFill/>
                    </a:ln>
                  </pic:spPr>
                </pic:pic>
              </a:graphicData>
            </a:graphic>
          </wp:inline>
        </w:drawing>
      </w:r>
    </w:p>
    <w:p w14:paraId="3A4256D2" w14:textId="7F032CFB" w:rsidR="00E405C3" w:rsidRPr="002856DE" w:rsidRDefault="007C0DAF" w:rsidP="00E405C3">
      <w:pPr>
        <w:pStyle w:val="CETCaption"/>
        <w:rPr>
          <w:rFonts w:cs="Arial"/>
          <w:lang w:val="en-US"/>
        </w:rPr>
      </w:pPr>
      <w:r w:rsidRPr="002856DE">
        <w:rPr>
          <w:rFonts w:cs="Arial"/>
          <w:lang w:val="en-US"/>
        </w:rPr>
        <w:t xml:space="preserve">Figure 1: </w:t>
      </w:r>
      <w:r w:rsidR="00E405C3" w:rsidRPr="002856DE">
        <w:rPr>
          <w:rFonts w:cs="Arial"/>
          <w:lang w:val="en-US"/>
        </w:rPr>
        <w:t>Longitudinal section of the cylindrical electrically assisted cooled fixed-bed reactor, showing the heated catalyst bed, external cooling channel, and axial flow direction</w:t>
      </w:r>
    </w:p>
    <w:p w14:paraId="23CE363A" w14:textId="0911C9F6" w:rsidR="0012290E" w:rsidRPr="002856DE" w:rsidRDefault="006E4974" w:rsidP="0012290E">
      <w:pPr>
        <w:pStyle w:val="CETheadingx"/>
        <w:rPr>
          <w:rFonts w:cs="Arial"/>
        </w:rPr>
      </w:pPr>
      <w:r w:rsidRPr="002856DE">
        <w:rPr>
          <w:rFonts w:cs="Arial"/>
        </w:rPr>
        <w:t>Reactor model</w:t>
      </w:r>
    </w:p>
    <w:p w14:paraId="11333D82" w14:textId="0EA6ECD8" w:rsidR="009405AE" w:rsidRPr="002856DE" w:rsidRDefault="00000000">
      <w:pPr>
        <w:pStyle w:val="CETBodytext"/>
        <w:rPr>
          <w:rFonts w:cs="Arial"/>
        </w:rPr>
      </w:pPr>
      <w:r w:rsidRPr="002856DE">
        <w:rPr>
          <w:rFonts w:cs="Arial"/>
        </w:rPr>
        <w:t xml:space="preserve">The reactor is described by a dynamic pseudo-homogeneous model based on previous work </w:t>
      </w:r>
      <w:r w:rsidR="00375676" w:rsidRPr="002856DE">
        <w:rPr>
          <w:rFonts w:cs="Arial"/>
        </w:rPr>
        <w:t>(Gottheil and Bremer, 2025)</w:t>
      </w:r>
      <w:r w:rsidR="001F4FC4" w:rsidRPr="002856DE">
        <w:rPr>
          <w:rFonts w:cs="Arial"/>
        </w:rPr>
        <w:t>, which is</w:t>
      </w:r>
      <w:r w:rsidR="00026AB0" w:rsidRPr="002856DE">
        <w:rPr>
          <w:rFonts w:cs="Arial"/>
        </w:rPr>
        <w:t xml:space="preserve"> </w:t>
      </w:r>
      <w:r w:rsidR="004B0E96" w:rsidRPr="002856DE">
        <w:rPr>
          <w:rFonts w:cs="Arial"/>
        </w:rPr>
        <w:t xml:space="preserve">integrated </w:t>
      </w:r>
      <w:r w:rsidR="00026AB0" w:rsidRPr="002856DE">
        <w:rPr>
          <w:rFonts w:cs="Arial"/>
        </w:rPr>
        <w:t>to steady state</w:t>
      </w:r>
      <w:r w:rsidR="004B0E96" w:rsidRPr="002856DE">
        <w:rPr>
          <w:rFonts w:cs="Arial"/>
        </w:rPr>
        <w:t xml:space="preserve">. </w:t>
      </w:r>
      <w:r w:rsidRPr="002856DE">
        <w:rPr>
          <w:rFonts w:cs="Arial"/>
        </w:rPr>
        <w:t>The model is applied to CO</w:t>
      </w:r>
      <w:r w:rsidRPr="002856DE">
        <w:rPr>
          <w:rFonts w:cs="Arial"/>
          <w:vertAlign w:val="subscript"/>
        </w:rPr>
        <w:t>2</w:t>
      </w:r>
      <w:r w:rsidRPr="002856DE">
        <w:rPr>
          <w:rFonts w:cs="Arial"/>
        </w:rPr>
        <w:t xml:space="preserve"> methanation as a representative strongly exothermic reaction:</w:t>
      </w:r>
    </w:p>
    <w:tbl>
      <w:tblPr>
        <w:tblW w:w="5000" w:type="pct"/>
        <w:tblLook w:val="04A0" w:firstRow="1" w:lastRow="0" w:firstColumn="1" w:lastColumn="0" w:noHBand="0" w:noVBand="1"/>
      </w:tblPr>
      <w:tblGrid>
        <w:gridCol w:w="7984"/>
        <w:gridCol w:w="803"/>
      </w:tblGrid>
      <w:tr w:rsidR="009405AE" w:rsidRPr="002856DE" w14:paraId="50F48A99" w14:textId="77777777">
        <w:tc>
          <w:tcPr>
            <w:tcW w:w="8188" w:type="dxa"/>
            <w:vAlign w:val="center"/>
          </w:tcPr>
          <w:p w14:paraId="3BB153FF" w14:textId="031B03C4" w:rsidR="009405AE" w:rsidRPr="002856DE" w:rsidRDefault="00000000">
            <w:pPr>
              <w:pStyle w:val="CETEquation"/>
              <w:rPr>
                <w:rFonts w:cs="Arial"/>
                <w:iCs/>
                <w:lang w:val="en-US"/>
              </w:rPr>
            </w:pPr>
            <m:oMathPara>
              <m:oMathParaPr>
                <m:jc m:val="left"/>
              </m:oMathParaPr>
              <m:oMath>
                <m:r>
                  <m:rPr>
                    <m:sty m:val="p"/>
                  </m:rPr>
                  <w:rPr>
                    <w:rFonts w:ascii="Cambria Math" w:hAnsi="Cambria Math" w:cs="Arial"/>
                    <w:lang w:val="en-US" w:bidi="en-US"/>
                  </w:rPr>
                  <m:t>C</m:t>
                </m:r>
                <m:sSub>
                  <m:sSubPr>
                    <m:ctrlPr>
                      <w:rPr>
                        <w:rFonts w:ascii="Cambria Math" w:eastAsia="Cambria Math" w:hAnsi="Cambria Math" w:cs="Arial"/>
                        <w:iCs/>
                        <w:lang w:val="en-US"/>
                      </w:rPr>
                    </m:ctrlPr>
                  </m:sSubPr>
                  <m:e>
                    <m:r>
                      <m:rPr>
                        <m:sty m:val="p"/>
                      </m:rPr>
                      <w:rPr>
                        <w:rFonts w:ascii="Cambria Math" w:hAnsi="Cambria Math" w:cs="Arial"/>
                        <w:lang w:val="en-US" w:bidi="en-US"/>
                      </w:rPr>
                      <m:t>O</m:t>
                    </m:r>
                  </m:e>
                  <m:sub>
                    <m:r>
                      <m:rPr>
                        <m:sty m:val="p"/>
                      </m:rPr>
                      <w:rPr>
                        <w:rFonts w:ascii="Cambria Math" w:hAnsi="Cambria Math" w:cs="Arial"/>
                        <w:lang w:val="en-US" w:bidi="en-US"/>
                      </w:rPr>
                      <m:t>2</m:t>
                    </m:r>
                  </m:sub>
                </m:sSub>
                <m:r>
                  <m:rPr>
                    <m:sty m:val="p"/>
                  </m:rPr>
                  <w:rPr>
                    <w:rFonts w:ascii="Cambria Math" w:hAnsi="Cambria Math" w:cs="Arial"/>
                    <w:lang w:val="en-US" w:bidi="en-US"/>
                  </w:rPr>
                  <m:t>+4</m:t>
                </m:r>
                <m:sSub>
                  <m:sSubPr>
                    <m:ctrlPr>
                      <w:rPr>
                        <w:rFonts w:ascii="Cambria Math" w:eastAsia="Cambria Math" w:hAnsi="Cambria Math" w:cs="Arial"/>
                        <w:iCs/>
                        <w:lang w:val="en-US"/>
                      </w:rPr>
                    </m:ctrlPr>
                  </m:sSubPr>
                  <m:e>
                    <m:r>
                      <m:rPr>
                        <m:sty m:val="p"/>
                      </m:rPr>
                      <w:rPr>
                        <w:rFonts w:ascii="Cambria Math" w:hAnsi="Cambria Math" w:cs="Arial"/>
                        <w:lang w:val="en-US" w:bidi="en-US"/>
                      </w:rPr>
                      <m:t>H</m:t>
                    </m:r>
                  </m:e>
                  <m:sub>
                    <m:r>
                      <m:rPr>
                        <m:sty m:val="p"/>
                      </m:rPr>
                      <w:rPr>
                        <w:rFonts w:ascii="Cambria Math" w:hAnsi="Cambria Math" w:cs="Arial"/>
                        <w:lang w:val="en-US" w:bidi="en-US"/>
                      </w:rPr>
                      <m:t>2</m:t>
                    </m:r>
                  </m:sub>
                </m:sSub>
                <m:r>
                  <m:rPr>
                    <m:sty m:val="p"/>
                  </m:rPr>
                  <w:rPr>
                    <w:rFonts w:ascii="Cambria Math" w:hAnsi="Cambria Math" w:cs="Arial"/>
                    <w:lang w:val="en-US" w:bidi="en-US"/>
                  </w:rPr>
                  <m:t>⇌C</m:t>
                </m:r>
                <m:sSub>
                  <m:sSubPr>
                    <m:ctrlPr>
                      <w:rPr>
                        <w:rFonts w:ascii="Cambria Math" w:eastAsia="Cambria Math" w:hAnsi="Cambria Math" w:cs="Arial"/>
                        <w:iCs/>
                        <w:lang w:val="en-US"/>
                      </w:rPr>
                    </m:ctrlPr>
                  </m:sSubPr>
                  <m:e>
                    <m:r>
                      <m:rPr>
                        <m:sty m:val="p"/>
                      </m:rPr>
                      <w:rPr>
                        <w:rFonts w:ascii="Cambria Math" w:hAnsi="Cambria Math" w:cs="Arial"/>
                        <w:lang w:val="en-US" w:bidi="en-US"/>
                      </w:rPr>
                      <m:t>H</m:t>
                    </m:r>
                  </m:e>
                  <m:sub>
                    <m:r>
                      <m:rPr>
                        <m:sty m:val="p"/>
                      </m:rPr>
                      <w:rPr>
                        <w:rFonts w:ascii="Cambria Math" w:hAnsi="Cambria Math" w:cs="Arial"/>
                        <w:lang w:val="en-US" w:bidi="en-US"/>
                      </w:rPr>
                      <m:t>4</m:t>
                    </m:r>
                  </m:sub>
                </m:sSub>
                <m:r>
                  <m:rPr>
                    <m:sty m:val="p"/>
                  </m:rPr>
                  <w:rPr>
                    <w:rFonts w:ascii="Cambria Math" w:hAnsi="Cambria Math" w:cs="Arial"/>
                    <w:lang w:val="en-US" w:bidi="en-US"/>
                  </w:rPr>
                  <m:t>+2</m:t>
                </m:r>
                <m:sSub>
                  <m:sSubPr>
                    <m:ctrlPr>
                      <w:rPr>
                        <w:rFonts w:ascii="Cambria Math" w:eastAsia="Cambria Math" w:hAnsi="Cambria Math" w:cs="Arial"/>
                        <w:iCs/>
                        <w:lang w:val="en-US"/>
                      </w:rPr>
                    </m:ctrlPr>
                  </m:sSubPr>
                  <m:e>
                    <m:r>
                      <m:rPr>
                        <m:sty m:val="p"/>
                      </m:rPr>
                      <w:rPr>
                        <w:rFonts w:ascii="Cambria Math" w:hAnsi="Cambria Math" w:cs="Arial"/>
                        <w:lang w:val="en-US" w:bidi="en-US"/>
                      </w:rPr>
                      <m:t>H</m:t>
                    </m:r>
                  </m:e>
                  <m:sub>
                    <m:r>
                      <m:rPr>
                        <m:sty m:val="p"/>
                      </m:rPr>
                      <w:rPr>
                        <w:rFonts w:ascii="Cambria Math" w:hAnsi="Cambria Math" w:cs="Arial"/>
                        <w:lang w:val="en-US" w:bidi="en-US"/>
                      </w:rPr>
                      <m:t>2</m:t>
                    </m:r>
                  </m:sub>
                </m:sSub>
                <m:r>
                  <m:rPr>
                    <m:sty m:val="p"/>
                  </m:rPr>
                  <w:rPr>
                    <w:rFonts w:ascii="Cambria Math" w:hAnsi="Cambria Math" w:cs="Arial"/>
                    <w:lang w:val="en-US" w:bidi="en-US"/>
                  </w:rPr>
                  <m:t>O</m:t>
                </m:r>
                <m:r>
                  <w:rPr>
                    <w:rFonts w:ascii="Cambria Math" w:hAnsi="Cambria Math" w:cs="Arial"/>
                    <w:lang w:val="en-US" w:bidi="en-US"/>
                  </w:rPr>
                  <m:t xml:space="preserve"> , </m:t>
                </m:r>
                <m:sSub>
                  <m:sSubPr>
                    <m:ctrlPr>
                      <w:rPr>
                        <w:rFonts w:ascii="Cambria Math" w:eastAsia="Cambria Math" w:hAnsi="Cambria Math" w:cs="Arial"/>
                        <w:i/>
                        <w:iCs/>
                        <w:lang w:val="en-US"/>
                      </w:rPr>
                    </m:ctrlPr>
                  </m:sSubPr>
                  <m:e>
                    <m:r>
                      <m:rPr>
                        <m:sty m:val="p"/>
                      </m:rPr>
                      <w:rPr>
                        <w:rFonts w:ascii="Cambria Math" w:hAnsi="Cambria Math" w:cs="Arial"/>
                        <w:lang w:val="en-US" w:bidi="en-US"/>
                      </w:rPr>
                      <m:t>Δ</m:t>
                    </m:r>
                  </m:e>
                  <m:sub>
                    <m:r>
                      <m:rPr>
                        <m:sty m:val="p"/>
                      </m:rPr>
                      <w:rPr>
                        <w:rFonts w:ascii="Cambria Math" w:hAnsi="Cambria Math" w:cs="Arial"/>
                        <w:lang w:val="en-US" w:bidi="en-US"/>
                      </w:rPr>
                      <m:t>R</m:t>
                    </m:r>
                  </m:sub>
                </m:sSub>
                <m:sSup>
                  <m:sSupPr>
                    <m:ctrlPr>
                      <w:rPr>
                        <w:rFonts w:ascii="Cambria Math" w:eastAsia="Cambria Math" w:hAnsi="Cambria Math" w:cs="Arial"/>
                        <w:i/>
                        <w:iCs/>
                        <w:lang w:val="en-US"/>
                      </w:rPr>
                    </m:ctrlPr>
                  </m:sSupPr>
                  <m:e>
                    <m:acc>
                      <m:accPr>
                        <m:chr m:val="̃"/>
                        <m:ctrlPr>
                          <w:rPr>
                            <w:rFonts w:ascii="Cambria Math" w:eastAsia="Cambria Math" w:hAnsi="Cambria Math" w:cs="Arial"/>
                            <w:i/>
                            <w:iCs/>
                            <w:lang w:val="en-US"/>
                          </w:rPr>
                        </m:ctrlPr>
                      </m:accPr>
                      <m:e>
                        <m:r>
                          <w:rPr>
                            <w:rFonts w:ascii="Cambria Math" w:hAnsi="Cambria Math" w:cs="Arial"/>
                            <w:lang w:val="en-US" w:bidi="en-US"/>
                          </w:rPr>
                          <m:t>H</m:t>
                        </m:r>
                      </m:e>
                    </m:acc>
                  </m:e>
                  <m:sup>
                    <m:r>
                      <w:rPr>
                        <w:rFonts w:ascii="Cambria Math" w:hAnsi="Cambria Math" w:cs="Arial"/>
                        <w:lang w:val="en-US" w:bidi="en-US"/>
                      </w:rPr>
                      <m:t>0</m:t>
                    </m:r>
                  </m:sup>
                </m:sSup>
                <m:r>
                  <w:rPr>
                    <w:rFonts w:ascii="Cambria Math" w:hAnsi="Cambria Math" w:cs="Arial"/>
                    <w:lang w:val="en-US" w:bidi="en-US"/>
                  </w:rPr>
                  <m:t>=-164.9 kJ mo</m:t>
                </m:r>
                <m:sSup>
                  <m:sSupPr>
                    <m:ctrlPr>
                      <w:rPr>
                        <w:rFonts w:ascii="Cambria Math" w:eastAsia="Cambria Math" w:hAnsi="Cambria Math" w:cs="Arial"/>
                        <w:i/>
                        <w:iCs/>
                        <w:lang w:val="en-US"/>
                      </w:rPr>
                    </m:ctrlPr>
                  </m:sSupPr>
                  <m:e>
                    <m:r>
                      <w:rPr>
                        <w:rFonts w:ascii="Cambria Math" w:hAnsi="Cambria Math" w:cs="Arial"/>
                        <w:lang w:val="en-US" w:bidi="en-US"/>
                      </w:rPr>
                      <m:t>l</m:t>
                    </m:r>
                  </m:e>
                  <m:sup>
                    <m:r>
                      <w:rPr>
                        <w:rFonts w:ascii="Cambria Math" w:hAnsi="Cambria Math" w:cs="Arial"/>
                        <w:lang w:val="en-US" w:bidi="en-US"/>
                      </w:rPr>
                      <m:t>-1</m:t>
                    </m:r>
                  </m:sup>
                </m:sSup>
              </m:oMath>
            </m:oMathPara>
          </w:p>
        </w:tc>
        <w:tc>
          <w:tcPr>
            <w:tcW w:w="815" w:type="dxa"/>
            <w:vAlign w:val="center"/>
          </w:tcPr>
          <w:p w14:paraId="1CF020B3" w14:textId="77777777" w:rsidR="009405AE" w:rsidRPr="002856DE" w:rsidRDefault="00000000">
            <w:pPr>
              <w:pStyle w:val="CETEquation"/>
              <w:jc w:val="right"/>
              <w:rPr>
                <w:rFonts w:cs="Arial"/>
                <w:lang w:val="en-US"/>
              </w:rPr>
            </w:pPr>
            <w:r w:rsidRPr="002856DE">
              <w:rPr>
                <w:rFonts w:cs="Arial"/>
                <w:lang w:val="en-US"/>
              </w:rPr>
              <w:t>(1)</w:t>
            </w:r>
          </w:p>
        </w:tc>
      </w:tr>
    </w:tbl>
    <w:p w14:paraId="17C1E59B" w14:textId="31FFC95A" w:rsidR="009405AE" w:rsidRPr="002856DE" w:rsidRDefault="00000000">
      <w:pPr>
        <w:pStyle w:val="CETBodytext"/>
        <w:rPr>
          <w:rFonts w:cs="Arial"/>
        </w:rPr>
      </w:pPr>
      <w:r w:rsidRPr="002856DE">
        <w:rPr>
          <w:rFonts w:cs="Arial"/>
        </w:rPr>
        <w:t>Dynamic component balances are formulated for all relevant species, together with an energy balance:</w:t>
      </w:r>
    </w:p>
    <w:tbl>
      <w:tblPr>
        <w:tblW w:w="5000" w:type="pct"/>
        <w:tblLook w:val="04A0" w:firstRow="1" w:lastRow="0" w:firstColumn="1" w:lastColumn="0" w:noHBand="0" w:noVBand="1"/>
      </w:tblPr>
      <w:tblGrid>
        <w:gridCol w:w="7984"/>
        <w:gridCol w:w="803"/>
      </w:tblGrid>
      <w:tr w:rsidR="009405AE" w:rsidRPr="002856DE" w14:paraId="18C2CF01" w14:textId="77777777">
        <w:tc>
          <w:tcPr>
            <w:tcW w:w="8188" w:type="dxa"/>
            <w:vAlign w:val="center"/>
          </w:tcPr>
          <w:p w14:paraId="423E3193" w14:textId="4D5E38EE" w:rsidR="009405AE" w:rsidRPr="002856DE" w:rsidRDefault="00000000">
            <w:pPr>
              <w:pStyle w:val="CETEquation"/>
              <w:rPr>
                <w:rFonts w:cs="Arial"/>
                <w:iCs/>
                <w:lang w:val="en-US"/>
              </w:rPr>
            </w:pPr>
            <m:oMathPara>
              <m:oMathParaPr>
                <m:jc m:val="left"/>
              </m:oMathParaPr>
              <m:oMath>
                <m:r>
                  <w:rPr>
                    <w:rFonts w:ascii="Cambria Math" w:hAnsi="Cambria Math" w:cs="Arial"/>
                    <w:lang w:val="en-US" w:bidi="en-US"/>
                  </w:rPr>
                  <w:lastRenderedPageBreak/>
                  <m:t>ε</m:t>
                </m:r>
                <m:sSub>
                  <m:sSubPr>
                    <m:ctrlPr>
                      <w:rPr>
                        <w:rFonts w:ascii="Cambria Math" w:eastAsia="Cambria Math" w:hAnsi="Cambria Math" w:cs="Arial"/>
                        <w:i/>
                        <w:lang w:val="en-US"/>
                      </w:rPr>
                    </m:ctrlPr>
                  </m:sSubPr>
                  <m:e>
                    <m:r>
                      <w:rPr>
                        <w:rFonts w:ascii="Cambria Math" w:hAnsi="Cambria Math" w:cs="Arial"/>
                        <w:lang w:val="en-US" w:bidi="en-US"/>
                      </w:rPr>
                      <m:t>ρ</m:t>
                    </m:r>
                  </m:e>
                  <m:sub>
                    <m:r>
                      <m:rPr>
                        <m:sty m:val="p"/>
                      </m:rPr>
                      <w:rPr>
                        <w:rFonts w:ascii="Cambria Math" w:hAnsi="Cambria Math" w:cs="Arial"/>
                        <w:lang w:val="en-US" w:bidi="en-US"/>
                      </w:rPr>
                      <m:t>gas</m:t>
                    </m:r>
                  </m:sub>
                </m:sSub>
                <m:f>
                  <m:fPr>
                    <m:ctrlPr>
                      <w:rPr>
                        <w:rFonts w:ascii="Cambria Math" w:eastAsia="Cambria Math" w:hAnsi="Cambria Math" w:cs="Arial"/>
                        <w:lang w:val="en-US"/>
                      </w:rPr>
                    </m:ctrlPr>
                  </m:fPr>
                  <m:num>
                    <m:r>
                      <m:rPr>
                        <m:sty m:val="p"/>
                      </m:rPr>
                      <w:rPr>
                        <w:rFonts w:ascii="Cambria Math" w:hAnsi="Cambria Math" w:cs="Arial"/>
                        <w:lang w:val="en-US" w:bidi="en-US"/>
                      </w:rPr>
                      <m:t>∂</m:t>
                    </m:r>
                    <m:sSub>
                      <m:sSubPr>
                        <m:ctrlPr>
                          <w:rPr>
                            <w:rFonts w:ascii="Cambria Math" w:eastAsia="Cambria Math" w:hAnsi="Cambria Math" w:cs="Arial"/>
                            <w:lang w:val="en-US"/>
                          </w:rPr>
                        </m:ctrlPr>
                      </m:sSubPr>
                      <m:e>
                        <m:r>
                          <m:rPr>
                            <m:sty m:val="p"/>
                          </m:rPr>
                          <w:rPr>
                            <w:rFonts w:ascii="Cambria Math" w:hAnsi="Cambria Math" w:cs="Arial"/>
                            <w:lang w:val="en-US" w:bidi="en-US"/>
                          </w:rPr>
                          <m:t>w</m:t>
                        </m:r>
                      </m:e>
                      <m:sub>
                        <m:r>
                          <m:rPr>
                            <m:sty m:val="p"/>
                          </m:rPr>
                          <w:rPr>
                            <w:rFonts w:ascii="Cambria Math" w:hAnsi="Cambria Math" w:cs="Arial"/>
                            <w:lang w:val="en-US" w:bidi="en-US"/>
                          </w:rPr>
                          <m:t>α</m:t>
                        </m:r>
                      </m:sub>
                    </m:sSub>
                  </m:num>
                  <m:den>
                    <m:r>
                      <m:rPr>
                        <m:sty m:val="p"/>
                      </m:rPr>
                      <w:rPr>
                        <w:rFonts w:ascii="Cambria Math" w:hAnsi="Cambria Math" w:cs="Arial"/>
                        <w:lang w:val="en-US" w:bidi="en-US"/>
                      </w:rPr>
                      <m:t>∂</m:t>
                    </m:r>
                    <m:r>
                      <w:rPr>
                        <w:rFonts w:ascii="Cambria Math" w:hAnsi="Cambria Math" w:cs="Arial"/>
                        <w:lang w:val="en-US" w:bidi="en-US"/>
                      </w:rPr>
                      <m:t>t</m:t>
                    </m:r>
                  </m:den>
                </m:f>
                <m:r>
                  <w:rPr>
                    <w:rFonts w:ascii="Cambria Math" w:hAnsi="Cambria Math" w:cs="Arial"/>
                    <w:lang w:val="en-US" w:bidi="en-US"/>
                  </w:rPr>
                  <m:t>=-</m:t>
                </m:r>
                <m:sSub>
                  <m:sSubPr>
                    <m:ctrlPr>
                      <w:rPr>
                        <w:rFonts w:ascii="Cambria Math" w:eastAsia="Cambria Math" w:hAnsi="Cambria Math" w:cs="Arial"/>
                        <w:i/>
                        <w:lang w:val="en-US"/>
                      </w:rPr>
                    </m:ctrlPr>
                  </m:sSubPr>
                  <m:e>
                    <m:r>
                      <w:rPr>
                        <w:rFonts w:ascii="Cambria Math" w:hAnsi="Cambria Math" w:cs="Arial"/>
                        <w:lang w:val="en-US" w:bidi="en-US"/>
                      </w:rPr>
                      <m:t>u</m:t>
                    </m:r>
                  </m:e>
                  <m:sub>
                    <m:r>
                      <m:rPr>
                        <m:sty m:val="p"/>
                      </m:rPr>
                      <w:rPr>
                        <w:rFonts w:ascii="Cambria Math" w:hAnsi="Cambria Math" w:cs="Arial"/>
                        <w:lang w:val="en-US" w:bidi="en-US"/>
                      </w:rPr>
                      <m:t>s,z</m:t>
                    </m:r>
                  </m:sub>
                </m:sSub>
                <m:sSub>
                  <m:sSubPr>
                    <m:ctrlPr>
                      <w:rPr>
                        <w:rFonts w:ascii="Cambria Math" w:eastAsia="Cambria Math" w:hAnsi="Cambria Math" w:cs="Arial"/>
                        <w:i/>
                        <w:lang w:val="en-US"/>
                      </w:rPr>
                    </m:ctrlPr>
                  </m:sSubPr>
                  <m:e>
                    <m:r>
                      <w:rPr>
                        <w:rFonts w:ascii="Cambria Math" w:hAnsi="Cambria Math" w:cs="Arial"/>
                        <w:lang w:val="en-US" w:bidi="en-US"/>
                      </w:rPr>
                      <m:t>ρ</m:t>
                    </m:r>
                  </m:e>
                  <m:sub>
                    <m:r>
                      <m:rPr>
                        <m:sty m:val="p"/>
                      </m:rPr>
                      <w:rPr>
                        <w:rFonts w:ascii="Cambria Math" w:hAnsi="Cambria Math" w:cs="Arial"/>
                        <w:lang w:val="en-US" w:bidi="en-US"/>
                      </w:rPr>
                      <m:t>gas</m:t>
                    </m:r>
                  </m:sub>
                </m:sSub>
                <m:f>
                  <m:fPr>
                    <m:ctrlPr>
                      <w:rPr>
                        <w:rFonts w:ascii="Cambria Math" w:eastAsia="Cambria Math" w:hAnsi="Cambria Math" w:cs="Arial"/>
                        <w:lang w:val="en-US"/>
                      </w:rPr>
                    </m:ctrlPr>
                  </m:fPr>
                  <m:num>
                    <m:r>
                      <m:rPr>
                        <m:sty m:val="p"/>
                      </m:rPr>
                      <w:rPr>
                        <w:rFonts w:ascii="Cambria Math" w:hAnsi="Cambria Math" w:cs="Arial"/>
                        <w:lang w:val="en-US" w:bidi="en-US"/>
                      </w:rPr>
                      <m:t>∂</m:t>
                    </m:r>
                    <m:sSub>
                      <m:sSubPr>
                        <m:ctrlPr>
                          <w:rPr>
                            <w:rFonts w:ascii="Cambria Math" w:eastAsia="Cambria Math" w:hAnsi="Cambria Math" w:cs="Arial"/>
                            <w:lang w:val="en-US"/>
                          </w:rPr>
                        </m:ctrlPr>
                      </m:sSubPr>
                      <m:e>
                        <m:r>
                          <m:rPr>
                            <m:sty m:val="p"/>
                          </m:rPr>
                          <w:rPr>
                            <w:rFonts w:ascii="Cambria Math" w:hAnsi="Cambria Math" w:cs="Arial"/>
                            <w:lang w:val="en-US" w:bidi="en-US"/>
                          </w:rPr>
                          <m:t>w</m:t>
                        </m:r>
                      </m:e>
                      <m:sub>
                        <m:r>
                          <m:rPr>
                            <m:sty m:val="p"/>
                          </m:rPr>
                          <w:rPr>
                            <w:rFonts w:ascii="Cambria Math" w:hAnsi="Cambria Math" w:cs="Arial"/>
                            <w:lang w:val="en-US" w:bidi="en-US"/>
                          </w:rPr>
                          <m:t>α</m:t>
                        </m:r>
                      </m:sub>
                    </m:sSub>
                  </m:num>
                  <m:den>
                    <m:r>
                      <m:rPr>
                        <m:sty m:val="p"/>
                      </m:rPr>
                      <w:rPr>
                        <w:rFonts w:ascii="Cambria Math" w:hAnsi="Cambria Math" w:cs="Arial"/>
                        <w:lang w:val="en-US" w:bidi="en-US"/>
                      </w:rPr>
                      <m:t>∂</m:t>
                    </m:r>
                    <m:r>
                      <w:rPr>
                        <w:rFonts w:ascii="Cambria Math" w:hAnsi="Cambria Math" w:cs="Arial"/>
                        <w:lang w:val="en-US" w:bidi="en-US"/>
                      </w:rPr>
                      <m:t>z</m:t>
                    </m:r>
                  </m:den>
                </m:f>
                <m:r>
                  <w:rPr>
                    <w:rFonts w:ascii="Cambria Math" w:hAnsi="Cambria Math" w:cs="Arial"/>
                    <w:lang w:val="en-US" w:bidi="en-US"/>
                  </w:rPr>
                  <m:t>+</m:t>
                </m:r>
                <m:d>
                  <m:dPr>
                    <m:ctrlPr>
                      <w:rPr>
                        <w:rFonts w:ascii="Cambria Math" w:eastAsia="Cambria Math" w:hAnsi="Cambria Math" w:cs="Arial"/>
                        <w:i/>
                        <w:lang w:val="en-US"/>
                      </w:rPr>
                    </m:ctrlPr>
                  </m:dPr>
                  <m:e>
                    <m:r>
                      <w:rPr>
                        <w:rFonts w:ascii="Cambria Math" w:hAnsi="Cambria Math" w:cs="Arial"/>
                        <w:lang w:val="en-US" w:bidi="en-US"/>
                      </w:rPr>
                      <m:t>1-ε</m:t>
                    </m:r>
                  </m:e>
                </m:d>
                <m:sSub>
                  <m:sSubPr>
                    <m:ctrlPr>
                      <w:rPr>
                        <w:rFonts w:ascii="Cambria Math" w:eastAsia="Cambria Math" w:hAnsi="Cambria Math" w:cs="Arial"/>
                        <w:i/>
                        <w:lang w:val="en-US"/>
                      </w:rPr>
                    </m:ctrlPr>
                  </m:sSubPr>
                  <m:e>
                    <m:r>
                      <w:rPr>
                        <w:rFonts w:ascii="Cambria Math" w:hAnsi="Cambria Math" w:cs="Arial"/>
                        <w:lang w:val="en-US" w:bidi="en-US"/>
                      </w:rPr>
                      <m:t>η</m:t>
                    </m:r>
                  </m:e>
                  <m:sub>
                    <m:r>
                      <m:rPr>
                        <m:sty m:val="p"/>
                      </m:rPr>
                      <w:rPr>
                        <w:rFonts w:ascii="Cambria Math" w:hAnsi="Cambria Math" w:cs="Arial"/>
                        <w:lang w:val="en-US" w:bidi="en-US"/>
                      </w:rPr>
                      <m:t>cat</m:t>
                    </m:r>
                  </m:sub>
                </m:sSub>
                <m:sSub>
                  <m:sSubPr>
                    <m:ctrlPr>
                      <w:rPr>
                        <w:rFonts w:ascii="Cambria Math" w:eastAsia="Cambria Math" w:hAnsi="Cambria Math" w:cs="Arial"/>
                        <w:i/>
                        <w:lang w:val="en-US"/>
                      </w:rPr>
                    </m:ctrlPr>
                  </m:sSubPr>
                  <m:e>
                    <m:acc>
                      <m:accPr>
                        <m:chr m:val="̃"/>
                        <m:ctrlPr>
                          <w:rPr>
                            <w:rFonts w:ascii="Cambria Math" w:eastAsia="Cambria Math" w:hAnsi="Cambria Math" w:cs="Arial"/>
                            <w:i/>
                            <w:lang w:val="en-US"/>
                          </w:rPr>
                        </m:ctrlPr>
                      </m:accPr>
                      <m:e>
                        <m:r>
                          <w:rPr>
                            <w:rFonts w:ascii="Cambria Math" w:hAnsi="Cambria Math" w:cs="Arial"/>
                            <w:lang w:val="en-US" w:bidi="en-US"/>
                          </w:rPr>
                          <m:t>M</m:t>
                        </m:r>
                      </m:e>
                    </m:acc>
                  </m:e>
                  <m:sub>
                    <m:r>
                      <w:rPr>
                        <w:rFonts w:ascii="Cambria Math" w:hAnsi="Cambria Math" w:cs="Arial"/>
                        <w:lang w:val="en-US" w:bidi="en-US"/>
                      </w:rPr>
                      <m:t>α</m:t>
                    </m:r>
                  </m:sub>
                </m:sSub>
                <m:sSub>
                  <m:sSubPr>
                    <m:ctrlPr>
                      <w:rPr>
                        <w:rFonts w:ascii="Cambria Math" w:eastAsia="Cambria Math" w:hAnsi="Cambria Math" w:cs="Arial"/>
                        <w:i/>
                        <w:lang w:val="en-US"/>
                      </w:rPr>
                    </m:ctrlPr>
                  </m:sSubPr>
                  <m:e>
                    <m:r>
                      <w:rPr>
                        <w:rFonts w:ascii="Cambria Math" w:hAnsi="Cambria Math" w:cs="Arial"/>
                        <w:lang w:val="en-US" w:bidi="en-US"/>
                      </w:rPr>
                      <m:t>ν</m:t>
                    </m:r>
                  </m:e>
                  <m:sub>
                    <m:r>
                      <w:rPr>
                        <w:rFonts w:ascii="Cambria Math" w:hAnsi="Cambria Math" w:cs="Arial"/>
                        <w:lang w:val="en-US" w:bidi="en-US"/>
                      </w:rPr>
                      <m:t>α</m:t>
                    </m:r>
                  </m:sub>
                </m:sSub>
                <m:acc>
                  <m:accPr>
                    <m:chr m:val="̃"/>
                    <m:ctrlPr>
                      <w:rPr>
                        <w:rFonts w:ascii="Cambria Math" w:eastAsia="Cambria Math" w:hAnsi="Cambria Math" w:cs="Arial"/>
                        <w:i/>
                        <w:lang w:val="en-US"/>
                      </w:rPr>
                    </m:ctrlPr>
                  </m:accPr>
                  <m:e>
                    <m:r>
                      <w:rPr>
                        <w:rFonts w:ascii="Cambria Math" w:hAnsi="Cambria Math" w:cs="Arial"/>
                        <w:lang w:val="en-US" w:bidi="en-US"/>
                      </w:rPr>
                      <m:t>r</m:t>
                    </m:r>
                  </m:e>
                </m:acc>
              </m:oMath>
            </m:oMathPara>
          </w:p>
        </w:tc>
        <w:tc>
          <w:tcPr>
            <w:tcW w:w="815" w:type="dxa"/>
            <w:vAlign w:val="center"/>
          </w:tcPr>
          <w:p w14:paraId="6700A912" w14:textId="0A6A6333" w:rsidR="009405AE" w:rsidRPr="002856DE" w:rsidRDefault="00000000">
            <w:pPr>
              <w:pStyle w:val="CETEquation"/>
              <w:jc w:val="right"/>
              <w:rPr>
                <w:rFonts w:cs="Arial"/>
                <w:lang w:val="en-US"/>
              </w:rPr>
            </w:pPr>
            <w:r w:rsidRPr="002856DE">
              <w:rPr>
                <w:rFonts w:cs="Arial"/>
                <w:lang w:val="en-US"/>
              </w:rPr>
              <w:t>(2)</w:t>
            </w:r>
          </w:p>
        </w:tc>
      </w:tr>
    </w:tbl>
    <w:p w14:paraId="114CDCC4" w14:textId="77777777" w:rsidR="009405AE" w:rsidRPr="002856DE" w:rsidRDefault="009405AE">
      <w:pPr>
        <w:pStyle w:val="CETBodytext"/>
        <w:rPr>
          <w:rFonts w:cs="Arial"/>
        </w:rPr>
      </w:pPr>
    </w:p>
    <w:tbl>
      <w:tblPr>
        <w:tblW w:w="5000" w:type="pct"/>
        <w:tblLook w:val="04A0" w:firstRow="1" w:lastRow="0" w:firstColumn="1" w:lastColumn="0" w:noHBand="0" w:noVBand="1"/>
      </w:tblPr>
      <w:tblGrid>
        <w:gridCol w:w="7984"/>
        <w:gridCol w:w="803"/>
      </w:tblGrid>
      <w:tr w:rsidR="009405AE" w:rsidRPr="002856DE" w14:paraId="6D30B6DB" w14:textId="77777777">
        <w:tc>
          <w:tcPr>
            <w:tcW w:w="8188" w:type="dxa"/>
            <w:vAlign w:val="center"/>
          </w:tcPr>
          <w:p w14:paraId="44EB3C87" w14:textId="565055E6" w:rsidR="009405AE" w:rsidRPr="002856DE" w:rsidRDefault="00000000">
            <w:pPr>
              <w:pStyle w:val="CETEquation"/>
              <w:rPr>
                <w:rFonts w:cs="Arial"/>
                <w:iCs/>
                <w:lang w:val="en-US"/>
              </w:rPr>
            </w:pPr>
            <m:oMathPara>
              <m:oMathParaPr>
                <m:jc m:val="left"/>
              </m:oMathParaPr>
              <m:oMath>
                <m:sSup>
                  <m:sSupPr>
                    <m:ctrlPr>
                      <w:rPr>
                        <w:rFonts w:ascii="Cambria Math" w:eastAsia="Cambria Math" w:hAnsi="Cambria Math" w:cs="Arial"/>
                        <w:i/>
                        <w:lang w:val="en-US"/>
                      </w:rPr>
                    </m:ctrlPr>
                  </m:sSupPr>
                  <m:e>
                    <m:d>
                      <m:dPr>
                        <m:ctrlPr>
                          <w:rPr>
                            <w:rFonts w:ascii="Cambria Math" w:eastAsia="Cambria Math" w:hAnsi="Cambria Math" w:cs="Arial"/>
                            <w:i/>
                            <w:lang w:val="en-US"/>
                          </w:rPr>
                        </m:ctrlPr>
                      </m:dPr>
                      <m:e>
                        <m:r>
                          <w:rPr>
                            <w:rFonts w:ascii="Cambria Math" w:hAnsi="Cambria Math" w:cs="Arial"/>
                            <w:lang w:val="en-US" w:bidi="en-US"/>
                          </w:rPr>
                          <m:t>ρ</m:t>
                        </m:r>
                        <m:sSub>
                          <m:sSubPr>
                            <m:ctrlPr>
                              <w:rPr>
                                <w:rFonts w:ascii="Cambria Math" w:eastAsia="Cambria Math" w:hAnsi="Cambria Math" w:cs="Arial"/>
                                <w:i/>
                                <w:lang w:val="en-US"/>
                              </w:rPr>
                            </m:ctrlPr>
                          </m:sSubPr>
                          <m:e>
                            <m:r>
                              <w:rPr>
                                <w:rFonts w:ascii="Cambria Math" w:hAnsi="Cambria Math" w:cs="Arial"/>
                                <w:lang w:val="en-US" w:bidi="en-US"/>
                              </w:rPr>
                              <m:t>c</m:t>
                            </m:r>
                          </m:e>
                          <m:sub>
                            <m:r>
                              <m:rPr>
                                <m:sty m:val="p"/>
                              </m:rPr>
                              <w:rPr>
                                <w:rFonts w:ascii="Cambria Math" w:hAnsi="Cambria Math" w:cs="Arial"/>
                                <w:lang w:val="en-US" w:bidi="en-US"/>
                              </w:rPr>
                              <m:t>p</m:t>
                            </m:r>
                          </m:sub>
                        </m:sSub>
                      </m:e>
                    </m:d>
                  </m:e>
                  <m:sup>
                    <m:r>
                      <m:rPr>
                        <m:sty m:val="p"/>
                      </m:rPr>
                      <w:rPr>
                        <w:rFonts w:ascii="Cambria Math" w:hAnsi="Cambria Math" w:cs="Arial"/>
                        <w:lang w:val="en-US" w:bidi="en-US"/>
                      </w:rPr>
                      <m:t>eff</m:t>
                    </m:r>
                  </m:sup>
                </m:sSup>
                <m:f>
                  <m:fPr>
                    <m:ctrlPr>
                      <w:rPr>
                        <w:rFonts w:ascii="Cambria Math" w:eastAsia="Cambria Math" w:hAnsi="Cambria Math" w:cs="Arial"/>
                        <w:lang w:val="en-US"/>
                      </w:rPr>
                    </m:ctrlPr>
                  </m:fPr>
                  <m:num>
                    <m:r>
                      <m:rPr>
                        <m:sty m:val="p"/>
                      </m:rPr>
                      <w:rPr>
                        <w:rFonts w:ascii="Cambria Math" w:hAnsi="Cambria Math" w:cs="Arial"/>
                        <w:lang w:val="en-US" w:bidi="en-US"/>
                      </w:rPr>
                      <m:t>∂T</m:t>
                    </m:r>
                  </m:num>
                  <m:den>
                    <m:r>
                      <m:rPr>
                        <m:sty m:val="p"/>
                      </m:rPr>
                      <w:rPr>
                        <w:rFonts w:ascii="Cambria Math" w:hAnsi="Cambria Math" w:cs="Arial"/>
                        <w:lang w:val="en-US" w:bidi="en-US"/>
                      </w:rPr>
                      <m:t>∂</m:t>
                    </m:r>
                    <m:r>
                      <w:rPr>
                        <w:rFonts w:ascii="Cambria Math" w:hAnsi="Cambria Math" w:cs="Arial"/>
                        <w:lang w:val="en-US" w:bidi="en-US"/>
                      </w:rPr>
                      <m:t>t</m:t>
                    </m:r>
                  </m:den>
                </m:f>
                <m:r>
                  <w:rPr>
                    <w:rFonts w:ascii="Cambria Math" w:hAnsi="Cambria Math" w:cs="Arial"/>
                    <w:lang w:val="en-US" w:bidi="en-US"/>
                  </w:rPr>
                  <m:t>=-</m:t>
                </m:r>
                <m:sSub>
                  <m:sSubPr>
                    <m:ctrlPr>
                      <w:rPr>
                        <w:rFonts w:ascii="Cambria Math" w:eastAsia="Cambria Math" w:hAnsi="Cambria Math" w:cs="Arial"/>
                        <w:i/>
                        <w:lang w:val="en-US"/>
                      </w:rPr>
                    </m:ctrlPr>
                  </m:sSubPr>
                  <m:e>
                    <m:r>
                      <w:rPr>
                        <w:rFonts w:ascii="Cambria Math" w:hAnsi="Cambria Math" w:cs="Arial"/>
                        <w:lang w:val="en-US" w:bidi="en-US"/>
                      </w:rPr>
                      <m:t>u</m:t>
                    </m:r>
                  </m:e>
                  <m:sub>
                    <m:r>
                      <m:rPr>
                        <m:sty m:val="p"/>
                      </m:rPr>
                      <w:rPr>
                        <w:rFonts w:ascii="Cambria Math" w:hAnsi="Cambria Math" w:cs="Arial"/>
                        <w:lang w:val="en-US" w:bidi="en-US"/>
                      </w:rPr>
                      <m:t>s,z</m:t>
                    </m:r>
                  </m:sub>
                </m:sSub>
                <m:sSub>
                  <m:sSubPr>
                    <m:ctrlPr>
                      <w:rPr>
                        <w:rFonts w:ascii="Cambria Math" w:eastAsia="Cambria Math" w:hAnsi="Cambria Math" w:cs="Arial"/>
                        <w:i/>
                        <w:lang w:val="en-US"/>
                      </w:rPr>
                    </m:ctrlPr>
                  </m:sSubPr>
                  <m:e>
                    <m:r>
                      <w:rPr>
                        <w:rFonts w:ascii="Cambria Math" w:hAnsi="Cambria Math" w:cs="Arial"/>
                        <w:lang w:val="en-US" w:bidi="en-US"/>
                      </w:rPr>
                      <m:t>ρ</m:t>
                    </m:r>
                  </m:e>
                  <m:sub>
                    <m:r>
                      <m:rPr>
                        <m:sty m:val="p"/>
                      </m:rPr>
                      <w:rPr>
                        <w:rFonts w:ascii="Cambria Math" w:hAnsi="Cambria Math" w:cs="Arial"/>
                        <w:lang w:val="en-US" w:bidi="en-US"/>
                      </w:rPr>
                      <m:t>gas</m:t>
                    </m:r>
                  </m:sub>
                </m:sSub>
                <m:sSub>
                  <m:sSubPr>
                    <m:ctrlPr>
                      <w:rPr>
                        <w:rFonts w:ascii="Cambria Math" w:eastAsia="Cambria Math" w:hAnsi="Cambria Math" w:cs="Arial"/>
                        <w:i/>
                        <w:lang w:val="en-US"/>
                      </w:rPr>
                    </m:ctrlPr>
                  </m:sSubPr>
                  <m:e>
                    <m:r>
                      <w:rPr>
                        <w:rFonts w:ascii="Cambria Math" w:hAnsi="Cambria Math" w:cs="Arial"/>
                        <w:lang w:val="en-US" w:bidi="en-US"/>
                      </w:rPr>
                      <m:t>c</m:t>
                    </m:r>
                  </m:e>
                  <m:sub>
                    <m:r>
                      <m:rPr>
                        <m:sty m:val="p"/>
                      </m:rPr>
                      <w:rPr>
                        <w:rFonts w:ascii="Cambria Math" w:hAnsi="Cambria Math" w:cs="Arial"/>
                        <w:lang w:val="en-US" w:bidi="en-US"/>
                      </w:rPr>
                      <m:t>p</m:t>
                    </m:r>
                    <m:r>
                      <w:rPr>
                        <w:rFonts w:ascii="Cambria Math" w:hAnsi="Cambria Math" w:cs="Arial"/>
                        <w:lang w:val="en-US" w:bidi="en-US"/>
                      </w:rPr>
                      <m:t>,</m:t>
                    </m:r>
                    <m:r>
                      <m:rPr>
                        <m:sty m:val="p"/>
                      </m:rPr>
                      <w:rPr>
                        <w:rFonts w:ascii="Cambria Math" w:hAnsi="Cambria Math" w:cs="Arial"/>
                        <w:lang w:val="en-US" w:bidi="en-US"/>
                      </w:rPr>
                      <m:t>gas</m:t>
                    </m:r>
                  </m:sub>
                </m:sSub>
                <m:f>
                  <m:fPr>
                    <m:ctrlPr>
                      <w:rPr>
                        <w:rFonts w:ascii="Cambria Math" w:eastAsia="Cambria Math" w:hAnsi="Cambria Math" w:cs="Arial"/>
                        <w:lang w:val="en-US"/>
                      </w:rPr>
                    </m:ctrlPr>
                  </m:fPr>
                  <m:num>
                    <m:r>
                      <m:rPr>
                        <m:sty m:val="p"/>
                      </m:rPr>
                      <w:rPr>
                        <w:rFonts w:ascii="Cambria Math" w:hAnsi="Cambria Math" w:cs="Arial"/>
                        <w:lang w:val="en-US" w:bidi="en-US"/>
                      </w:rPr>
                      <m:t>∂T</m:t>
                    </m:r>
                  </m:num>
                  <m:den>
                    <m:r>
                      <m:rPr>
                        <m:sty m:val="p"/>
                      </m:rPr>
                      <w:rPr>
                        <w:rFonts w:ascii="Cambria Math" w:hAnsi="Cambria Math" w:cs="Arial"/>
                        <w:lang w:val="en-US" w:bidi="en-US"/>
                      </w:rPr>
                      <m:t>∂</m:t>
                    </m:r>
                    <m:r>
                      <w:rPr>
                        <w:rFonts w:ascii="Cambria Math" w:hAnsi="Cambria Math" w:cs="Arial"/>
                        <w:lang w:val="en-US" w:bidi="en-US"/>
                      </w:rPr>
                      <m:t>z</m:t>
                    </m:r>
                  </m:den>
                </m:f>
                <m:r>
                  <w:rPr>
                    <w:rFonts w:ascii="Cambria Math" w:hAnsi="Cambria Math" w:cs="Arial"/>
                    <w:lang w:val="en-US" w:bidi="en-US"/>
                  </w:rPr>
                  <m:t>+</m:t>
                </m:r>
                <m:d>
                  <m:dPr>
                    <m:ctrlPr>
                      <w:rPr>
                        <w:rFonts w:ascii="Cambria Math" w:eastAsia="Cambria Math" w:hAnsi="Cambria Math" w:cs="Arial"/>
                        <w:i/>
                        <w:lang w:val="en-US"/>
                      </w:rPr>
                    </m:ctrlPr>
                  </m:dPr>
                  <m:e>
                    <m:r>
                      <w:rPr>
                        <w:rFonts w:ascii="Cambria Math" w:hAnsi="Cambria Math" w:cs="Arial"/>
                        <w:lang w:val="en-US" w:bidi="en-US"/>
                      </w:rPr>
                      <m:t>1-ε</m:t>
                    </m:r>
                  </m:e>
                </m:d>
                <m:sSub>
                  <m:sSubPr>
                    <m:ctrlPr>
                      <w:rPr>
                        <w:rFonts w:ascii="Cambria Math" w:eastAsia="Cambria Math" w:hAnsi="Cambria Math" w:cs="Arial"/>
                        <w:i/>
                        <w:lang w:val="en-US"/>
                      </w:rPr>
                    </m:ctrlPr>
                  </m:sSubPr>
                  <m:e>
                    <m:r>
                      <w:rPr>
                        <w:rFonts w:ascii="Cambria Math" w:hAnsi="Cambria Math" w:cs="Arial"/>
                        <w:lang w:val="en-US" w:bidi="en-US"/>
                      </w:rPr>
                      <m:t>η</m:t>
                    </m:r>
                  </m:e>
                  <m:sub>
                    <m:r>
                      <m:rPr>
                        <m:sty m:val="p"/>
                      </m:rPr>
                      <w:rPr>
                        <w:rFonts w:ascii="Cambria Math" w:hAnsi="Cambria Math" w:cs="Arial"/>
                        <w:lang w:val="en-US" w:bidi="en-US"/>
                      </w:rPr>
                      <m:t>cat</m:t>
                    </m:r>
                  </m:sub>
                </m:sSub>
                <m:d>
                  <m:dPr>
                    <m:ctrlPr>
                      <w:rPr>
                        <w:rFonts w:ascii="Cambria Math" w:eastAsia="Cambria Math" w:hAnsi="Cambria Math" w:cs="Arial"/>
                        <w:i/>
                        <w:lang w:val="en-US"/>
                      </w:rPr>
                    </m:ctrlPr>
                  </m:dPr>
                  <m:e>
                    <m:r>
                      <w:rPr>
                        <w:rFonts w:ascii="Cambria Math" w:hAnsi="Cambria Math" w:cs="Arial"/>
                        <w:lang w:val="en-US" w:bidi="en-US"/>
                      </w:rPr>
                      <m:t>-</m:t>
                    </m:r>
                    <m:sSub>
                      <m:sSubPr>
                        <m:ctrlPr>
                          <w:rPr>
                            <w:rFonts w:ascii="Cambria Math" w:eastAsia="Cambria Math" w:hAnsi="Cambria Math" w:cs="Arial"/>
                            <w:i/>
                            <w:iCs/>
                            <w:lang w:val="en-US"/>
                          </w:rPr>
                        </m:ctrlPr>
                      </m:sSubPr>
                      <m:e>
                        <m:r>
                          <m:rPr>
                            <m:sty m:val="p"/>
                          </m:rPr>
                          <w:rPr>
                            <w:rFonts w:ascii="Cambria Math" w:hAnsi="Cambria Math" w:cs="Arial"/>
                            <w:lang w:val="en-US" w:bidi="en-US"/>
                          </w:rPr>
                          <m:t>Δ</m:t>
                        </m:r>
                      </m:e>
                      <m:sub>
                        <m:r>
                          <m:rPr>
                            <m:sty m:val="p"/>
                          </m:rPr>
                          <w:rPr>
                            <w:rFonts w:ascii="Cambria Math" w:hAnsi="Cambria Math" w:cs="Arial"/>
                            <w:lang w:val="en-US" w:bidi="en-US"/>
                          </w:rPr>
                          <m:t>R</m:t>
                        </m:r>
                      </m:sub>
                    </m:sSub>
                    <m:acc>
                      <m:accPr>
                        <m:chr m:val="̃"/>
                        <m:ctrlPr>
                          <w:rPr>
                            <w:rFonts w:ascii="Cambria Math" w:eastAsia="Cambria Math" w:hAnsi="Cambria Math" w:cs="Arial"/>
                            <w:i/>
                            <w:iCs/>
                            <w:lang w:val="en-US"/>
                          </w:rPr>
                        </m:ctrlPr>
                      </m:accPr>
                      <m:e>
                        <m:r>
                          <w:rPr>
                            <w:rFonts w:ascii="Cambria Math" w:hAnsi="Cambria Math" w:cs="Arial"/>
                            <w:lang w:val="en-US" w:bidi="en-US"/>
                          </w:rPr>
                          <m:t>H</m:t>
                        </m:r>
                      </m:e>
                    </m:acc>
                  </m:e>
                </m:d>
                <m:acc>
                  <m:accPr>
                    <m:chr m:val="̃"/>
                    <m:ctrlPr>
                      <w:rPr>
                        <w:rFonts w:ascii="Cambria Math" w:eastAsia="Cambria Math" w:hAnsi="Cambria Math" w:cs="Arial"/>
                        <w:i/>
                        <w:lang w:val="en-US"/>
                      </w:rPr>
                    </m:ctrlPr>
                  </m:accPr>
                  <m:e>
                    <m:r>
                      <m:rPr>
                        <m:sty m:val="p"/>
                      </m:rPr>
                      <w:rPr>
                        <w:rFonts w:ascii="Cambria Math" w:hAnsi="Cambria Math" w:cs="Arial"/>
                        <w:lang w:val="en-US" w:bidi="en-US"/>
                      </w:rPr>
                      <m:t>r</m:t>
                    </m:r>
                  </m:e>
                </m:acc>
                <m:r>
                  <w:rPr>
                    <w:rFonts w:ascii="Cambria Math" w:hAnsi="Cambria Math" w:cs="Arial"/>
                    <w:lang w:val="en-US"/>
                  </w:rPr>
                  <m:t>-</m:t>
                </m:r>
                <m:f>
                  <m:fPr>
                    <m:ctrlPr>
                      <w:rPr>
                        <w:rFonts w:ascii="Cambria Math" w:hAnsi="Cambria Math" w:cs="Arial"/>
                        <w:i/>
                        <w:lang w:val="en-US"/>
                      </w:rPr>
                    </m:ctrlPr>
                  </m:fPr>
                  <m:num>
                    <m:r>
                      <w:rPr>
                        <w:rFonts w:ascii="Cambria Math" w:hAnsi="Cambria Math" w:cs="Arial"/>
                        <w:lang w:val="en-US"/>
                      </w:rPr>
                      <m:t>2</m:t>
                    </m:r>
                    <m:sSub>
                      <m:sSubPr>
                        <m:ctrlPr>
                          <w:rPr>
                            <w:rFonts w:ascii="Cambria Math" w:hAnsi="Cambria Math" w:cs="Arial"/>
                            <w:i/>
                            <w:lang w:val="en-US"/>
                          </w:rPr>
                        </m:ctrlPr>
                      </m:sSubPr>
                      <m:e>
                        <m:r>
                          <w:rPr>
                            <w:rFonts w:ascii="Cambria Math" w:hAnsi="Cambria Math" w:cs="Arial"/>
                            <w:lang w:val="en-US"/>
                          </w:rPr>
                          <m:t>k</m:t>
                        </m:r>
                      </m:e>
                      <m:sub>
                        <m:r>
                          <w:rPr>
                            <w:rFonts w:ascii="Cambria Math" w:hAnsi="Cambria Math" w:cs="Arial"/>
                            <w:lang w:val="en-US"/>
                          </w:rPr>
                          <m:t>w</m:t>
                        </m:r>
                      </m:sub>
                    </m:sSub>
                  </m:num>
                  <m:den>
                    <m:r>
                      <w:rPr>
                        <w:rFonts w:ascii="Cambria Math" w:hAnsi="Cambria Math" w:cs="Arial"/>
                        <w:lang w:val="en-US"/>
                      </w:rPr>
                      <m:t>R</m:t>
                    </m:r>
                  </m:den>
                </m:f>
                <m:d>
                  <m:dPr>
                    <m:ctrlPr>
                      <w:rPr>
                        <w:rFonts w:ascii="Cambria Math" w:hAnsi="Cambria Math" w:cs="Arial"/>
                        <w:i/>
                        <w:lang w:val="en-US"/>
                      </w:rPr>
                    </m:ctrlPr>
                  </m:dPr>
                  <m:e>
                    <m:r>
                      <w:rPr>
                        <w:rFonts w:ascii="Cambria Math" w:hAnsi="Cambria Math" w:cs="Arial"/>
                        <w:lang w:val="en-US"/>
                      </w:rPr>
                      <m:t>T-</m:t>
                    </m:r>
                    <m:sSub>
                      <m:sSubPr>
                        <m:ctrlPr>
                          <w:rPr>
                            <w:rFonts w:ascii="Cambria Math" w:hAnsi="Cambria Math" w:cs="Arial"/>
                            <w:i/>
                            <w:lang w:val="en-US"/>
                          </w:rPr>
                        </m:ctrlPr>
                      </m:sSubPr>
                      <m:e>
                        <m:r>
                          <w:rPr>
                            <w:rFonts w:ascii="Cambria Math" w:hAnsi="Cambria Math" w:cs="Arial"/>
                            <w:lang w:val="en-US"/>
                          </w:rPr>
                          <m:t>T</m:t>
                        </m:r>
                      </m:e>
                      <m:sub>
                        <m:r>
                          <m:rPr>
                            <m:sty m:val="p"/>
                          </m:rPr>
                          <w:rPr>
                            <w:rFonts w:ascii="Cambria Math" w:hAnsi="Cambria Math" w:cs="Arial"/>
                            <w:lang w:val="en-US"/>
                          </w:rPr>
                          <m:t>cool</m:t>
                        </m:r>
                      </m:sub>
                    </m:sSub>
                  </m:e>
                </m:d>
                <m:r>
                  <w:rPr>
                    <w:rFonts w:ascii="Cambria Math" w:hAnsi="Cambria Math" w:cs="Arial"/>
                    <w:lang w:val="en-US" w:bidi="en-US"/>
                  </w:rPr>
                  <m:t>+</m:t>
                </m:r>
                <m:sSub>
                  <m:sSubPr>
                    <m:ctrlPr>
                      <w:rPr>
                        <w:rFonts w:ascii="Cambria Math" w:eastAsia="Cambria Math" w:hAnsi="Cambria Math" w:cs="Arial"/>
                        <w:i/>
                        <w:lang w:val="en-US"/>
                      </w:rPr>
                    </m:ctrlPr>
                  </m:sSubPr>
                  <m:e>
                    <m:acc>
                      <m:accPr>
                        <m:chr m:val="̇"/>
                        <m:ctrlPr>
                          <w:rPr>
                            <w:rFonts w:ascii="Cambria Math" w:eastAsia="Cambria Math" w:hAnsi="Cambria Math" w:cs="Arial"/>
                            <w:i/>
                            <w:lang w:val="en-US"/>
                          </w:rPr>
                        </m:ctrlPr>
                      </m:accPr>
                      <m:e>
                        <m:r>
                          <w:rPr>
                            <w:rFonts w:ascii="Cambria Math" w:eastAsia="Cambria Math" w:hAnsi="Cambria Math" w:cs="Arial"/>
                            <w:lang w:val="en-US" w:bidi="en-US"/>
                          </w:rPr>
                          <m:t>q</m:t>
                        </m:r>
                      </m:e>
                    </m:acc>
                  </m:e>
                  <m:sub>
                    <m:r>
                      <m:rPr>
                        <m:sty m:val="p"/>
                      </m:rPr>
                      <w:rPr>
                        <w:rFonts w:ascii="Cambria Math" w:hAnsi="Cambria Math" w:cs="Arial"/>
                        <w:lang w:val="en-US" w:bidi="en-US"/>
                      </w:rPr>
                      <m:t>elec</m:t>
                    </m:r>
                  </m:sub>
                </m:sSub>
              </m:oMath>
            </m:oMathPara>
          </w:p>
        </w:tc>
        <w:tc>
          <w:tcPr>
            <w:tcW w:w="815" w:type="dxa"/>
            <w:vAlign w:val="center"/>
          </w:tcPr>
          <w:p w14:paraId="0F7DD50C" w14:textId="628F5209" w:rsidR="009405AE" w:rsidRPr="002856DE" w:rsidRDefault="00000000">
            <w:pPr>
              <w:pStyle w:val="CETEquation"/>
              <w:jc w:val="right"/>
              <w:rPr>
                <w:rFonts w:cs="Arial"/>
                <w:lang w:val="en-US"/>
              </w:rPr>
            </w:pPr>
            <w:r w:rsidRPr="002856DE">
              <w:rPr>
                <w:rFonts w:cs="Arial"/>
                <w:lang w:val="en-US"/>
              </w:rPr>
              <w:t>(3)</w:t>
            </w:r>
          </w:p>
        </w:tc>
      </w:tr>
    </w:tbl>
    <w:p w14:paraId="0223F054" w14:textId="0C92A766" w:rsidR="009405AE" w:rsidRPr="002856DE" w:rsidRDefault="00000000">
      <w:pPr>
        <w:pStyle w:val="CETBodytext"/>
        <w:rPr>
          <w:rFonts w:cs="Arial"/>
        </w:rPr>
      </w:pPr>
      <w:r w:rsidRPr="002856DE">
        <w:rPr>
          <w:rFonts w:cs="Arial"/>
        </w:rPr>
        <w:t xml:space="preserve">The electric heating term </w:t>
      </w:r>
      <m:oMath>
        <m:sSub>
          <m:sSubPr>
            <m:ctrlPr>
              <w:rPr>
                <w:rFonts w:ascii="Cambria Math" w:eastAsia="Cambria Math" w:hAnsi="Cambria Math" w:cs="Arial"/>
                <w:i/>
              </w:rPr>
            </m:ctrlPr>
          </m:sSubPr>
          <m:e>
            <m:acc>
              <m:accPr>
                <m:chr m:val="̇"/>
                <m:ctrlPr>
                  <w:rPr>
                    <w:rFonts w:ascii="Cambria Math" w:eastAsia="Cambria Math" w:hAnsi="Cambria Math" w:cs="Arial"/>
                    <w:i/>
                  </w:rPr>
                </m:ctrlPr>
              </m:accPr>
              <m:e>
                <m:r>
                  <w:rPr>
                    <w:rFonts w:ascii="Cambria Math" w:eastAsia="Cambria Math" w:hAnsi="Cambria Math" w:cs="Arial"/>
                    <w:lang w:bidi="en-US"/>
                  </w:rPr>
                  <m:t>q</m:t>
                </m:r>
              </m:e>
            </m:acc>
          </m:e>
          <m:sub>
            <m:r>
              <m:rPr>
                <m:sty m:val="p"/>
              </m:rPr>
              <w:rPr>
                <w:rFonts w:ascii="Cambria Math" w:hAnsi="Cambria Math" w:cs="Arial"/>
                <w:lang w:bidi="en-US"/>
              </w:rPr>
              <m:t>elec</m:t>
            </m:r>
          </m:sub>
        </m:sSub>
      </m:oMath>
      <w:r w:rsidR="00A66D01" w:rsidRPr="002856DE">
        <w:rPr>
          <w:rFonts w:cs="Arial"/>
        </w:rPr>
        <w:t xml:space="preserve"> </w:t>
      </w:r>
      <w:r w:rsidRPr="002856DE">
        <w:rPr>
          <w:rFonts w:cs="Arial"/>
        </w:rPr>
        <w:t xml:space="preserve">is at this stage implemented as a homogeneous source term. This is deemed sufficient for the qualitative investigation of </w:t>
      </w:r>
      <w:r w:rsidR="005660A0" w:rsidRPr="002856DE">
        <w:rPr>
          <w:rFonts w:cs="Arial"/>
        </w:rPr>
        <w:t>electric hea</w:t>
      </w:r>
      <w:r w:rsidRPr="002856DE">
        <w:rPr>
          <w:rFonts w:cs="Arial"/>
        </w:rPr>
        <w:t>ting.</w:t>
      </w:r>
      <w:r w:rsidR="002017C3" w:rsidRPr="002856DE">
        <w:rPr>
          <w:rFonts w:cs="Arial"/>
        </w:rPr>
        <w:t xml:space="preserve"> </w:t>
      </w:r>
      <w:r w:rsidR="001B10B5" w:rsidRPr="002856DE">
        <w:rPr>
          <w:rFonts w:cs="Arial"/>
        </w:rPr>
        <w:t>A more detailed electrification model would require separate heat-transfer relations between the heating structure, gas phase, catalyst phase, and reactor wall. In technically realized systems, the electric heat input may be spatially non-uniform and may therefore influence the precision with which the hot-spot position can be controlled. For example, stronger heat input in colder reactor regions, such as near the wall or upstream of the reaction zone, could shift ignition and the main reaction zone towards the reactor inlet. Therefore, the present homogeneous heat-source representation should be interpreted as a reactor-scale idealization, while spatially resolved heating models are required for a detailed assessment of specific heating concepts.</w:t>
      </w:r>
    </w:p>
    <w:p w14:paraId="45E12DCF" w14:textId="25B34275" w:rsidR="009405AE" w:rsidRPr="002856DE" w:rsidRDefault="00000000">
      <w:pPr>
        <w:pStyle w:val="CETBodytext"/>
        <w:rPr>
          <w:rFonts w:cs="Arial"/>
        </w:rPr>
      </w:pPr>
      <w:r w:rsidRPr="002856DE">
        <w:rPr>
          <w:rFonts w:cs="Arial"/>
        </w:rPr>
        <w:t>Pseudo-steady state is assumed for the continuity equation and momentum balance, which results in the expressions for the superficial velocity and</w:t>
      </w:r>
      <w:r w:rsidR="006121B6" w:rsidRPr="002856DE">
        <w:rPr>
          <w:rFonts w:cs="Arial"/>
        </w:rPr>
        <w:t xml:space="preserve"> t</w:t>
      </w:r>
      <w:r w:rsidRPr="002856DE">
        <w:rPr>
          <w:rFonts w:cs="Arial"/>
        </w:rPr>
        <w:t>he pressure drop:</w:t>
      </w:r>
    </w:p>
    <w:tbl>
      <w:tblPr>
        <w:tblW w:w="5000" w:type="pct"/>
        <w:tblLook w:val="04A0" w:firstRow="1" w:lastRow="0" w:firstColumn="1" w:lastColumn="0" w:noHBand="0" w:noVBand="1"/>
      </w:tblPr>
      <w:tblGrid>
        <w:gridCol w:w="7280"/>
        <w:gridCol w:w="706"/>
        <w:gridCol w:w="36"/>
        <w:gridCol w:w="765"/>
      </w:tblGrid>
      <w:tr w:rsidR="009405AE" w:rsidRPr="002856DE" w14:paraId="0CDA019E" w14:textId="77777777">
        <w:tc>
          <w:tcPr>
            <w:tcW w:w="7280" w:type="dxa"/>
            <w:vAlign w:val="center"/>
          </w:tcPr>
          <w:p w14:paraId="510F312E" w14:textId="2E0AE766" w:rsidR="009405AE" w:rsidRPr="002856DE" w:rsidRDefault="00000000">
            <w:pPr>
              <w:pStyle w:val="CETEquation"/>
              <w:rPr>
                <w:rFonts w:cs="Arial"/>
                <w:iCs/>
                <w:lang w:val="en-US"/>
              </w:rPr>
            </w:pPr>
            <m:oMathPara>
              <m:oMathParaPr>
                <m:jc m:val="left"/>
              </m:oMathParaPr>
              <m:oMath>
                <m:sSub>
                  <m:sSubPr>
                    <m:ctrlPr>
                      <w:rPr>
                        <w:rFonts w:ascii="Cambria Math" w:eastAsia="Cambria Math" w:hAnsi="Cambria Math" w:cs="Arial"/>
                        <w:i/>
                        <w:lang w:val="en-US"/>
                      </w:rPr>
                    </m:ctrlPr>
                  </m:sSubPr>
                  <m:e>
                    <m:r>
                      <w:rPr>
                        <w:rFonts w:ascii="Cambria Math" w:hAnsi="Cambria Math" w:cs="Arial"/>
                        <w:lang w:val="en-US" w:bidi="en-US"/>
                      </w:rPr>
                      <m:t>u</m:t>
                    </m:r>
                  </m:e>
                  <m:sub>
                    <m:r>
                      <m:rPr>
                        <m:sty m:val="p"/>
                      </m:rPr>
                      <w:rPr>
                        <w:rFonts w:ascii="Cambria Math" w:hAnsi="Cambria Math" w:cs="Arial"/>
                        <w:lang w:val="en-US" w:bidi="en-US"/>
                      </w:rPr>
                      <m:t>s,z</m:t>
                    </m:r>
                  </m:sub>
                </m:sSub>
                <m:r>
                  <w:rPr>
                    <w:rFonts w:ascii="Cambria Math" w:hAnsi="Cambria Math" w:cs="Arial"/>
                    <w:lang w:val="en-US" w:bidi="en-US"/>
                  </w:rPr>
                  <m:t>=</m:t>
                </m:r>
                <m:sSub>
                  <m:sSubPr>
                    <m:ctrlPr>
                      <w:rPr>
                        <w:rFonts w:ascii="Cambria Math" w:eastAsia="Cambria Math" w:hAnsi="Cambria Math" w:cs="Arial"/>
                        <w:i/>
                        <w:lang w:val="en-US"/>
                      </w:rPr>
                    </m:ctrlPr>
                  </m:sSubPr>
                  <m:e>
                    <m:r>
                      <w:rPr>
                        <w:rFonts w:ascii="Cambria Math" w:hAnsi="Cambria Math" w:cs="Arial"/>
                        <w:lang w:val="en-US" w:bidi="en-US"/>
                      </w:rPr>
                      <m:t>u</m:t>
                    </m:r>
                  </m:e>
                  <m:sub>
                    <m:r>
                      <m:rPr>
                        <m:sty m:val="p"/>
                      </m:rPr>
                      <w:rPr>
                        <w:rFonts w:ascii="Cambria Math" w:hAnsi="Cambria Math" w:cs="Arial"/>
                        <w:lang w:val="en-US" w:bidi="en-US"/>
                      </w:rPr>
                      <m:t>s</m:t>
                    </m:r>
                    <m:r>
                      <w:rPr>
                        <w:rFonts w:ascii="Cambria Math" w:hAnsi="Cambria Math" w:cs="Arial"/>
                        <w:lang w:val="en-US" w:bidi="en-US"/>
                      </w:rPr>
                      <m:t>,</m:t>
                    </m:r>
                    <m:r>
                      <m:rPr>
                        <m:sty m:val="p"/>
                      </m:rPr>
                      <w:rPr>
                        <w:rFonts w:ascii="Cambria Math" w:hAnsi="Cambria Math" w:cs="Arial"/>
                        <w:lang w:val="en-US" w:bidi="en-US"/>
                      </w:rPr>
                      <m:t>z</m:t>
                    </m:r>
                    <m:r>
                      <w:rPr>
                        <w:rFonts w:ascii="Cambria Math" w:hAnsi="Cambria Math" w:cs="Arial"/>
                        <w:lang w:val="en-US" w:bidi="en-US"/>
                      </w:rPr>
                      <m:t>,</m:t>
                    </m:r>
                    <m:r>
                      <m:rPr>
                        <m:sty m:val="p"/>
                      </m:rPr>
                      <w:rPr>
                        <w:rFonts w:ascii="Cambria Math" w:hAnsi="Cambria Math" w:cs="Arial"/>
                        <w:lang w:val="en-US" w:bidi="en-US"/>
                      </w:rPr>
                      <m:t>in</m:t>
                    </m:r>
                  </m:sub>
                </m:sSub>
                <m:f>
                  <m:fPr>
                    <m:ctrlPr>
                      <w:rPr>
                        <w:rFonts w:ascii="Cambria Math" w:eastAsia="Cambria Math" w:hAnsi="Cambria Math" w:cs="Arial"/>
                        <w:i/>
                        <w:lang w:val="en-US"/>
                      </w:rPr>
                    </m:ctrlPr>
                  </m:fPr>
                  <m:num>
                    <m:sSub>
                      <m:sSubPr>
                        <m:ctrlPr>
                          <w:rPr>
                            <w:rFonts w:ascii="Cambria Math" w:eastAsia="Cambria Math" w:hAnsi="Cambria Math" w:cs="Arial"/>
                            <w:i/>
                            <w:lang w:val="en-US"/>
                          </w:rPr>
                        </m:ctrlPr>
                      </m:sSubPr>
                      <m:e>
                        <m:r>
                          <w:rPr>
                            <w:rFonts w:ascii="Cambria Math" w:eastAsia="Cambria Math" w:hAnsi="Cambria Math" w:cs="Arial"/>
                            <w:lang w:val="en-US"/>
                          </w:rPr>
                          <m:t>ρ</m:t>
                        </m:r>
                      </m:e>
                      <m:sub>
                        <m:r>
                          <m:rPr>
                            <m:sty m:val="p"/>
                          </m:rPr>
                          <w:rPr>
                            <w:rFonts w:ascii="Cambria Math" w:eastAsia="Cambria Math" w:hAnsi="Cambria Math" w:cs="Arial"/>
                            <w:lang w:val="en-US"/>
                          </w:rPr>
                          <m:t>gas,in</m:t>
                        </m:r>
                      </m:sub>
                    </m:sSub>
                  </m:num>
                  <m:den>
                    <m:sSub>
                      <m:sSubPr>
                        <m:ctrlPr>
                          <w:rPr>
                            <w:rFonts w:ascii="Cambria Math" w:eastAsia="Cambria Math" w:hAnsi="Cambria Math" w:cs="Arial"/>
                            <w:i/>
                            <w:lang w:val="en-US"/>
                          </w:rPr>
                        </m:ctrlPr>
                      </m:sSubPr>
                      <m:e>
                        <m:r>
                          <w:rPr>
                            <w:rFonts w:ascii="Cambria Math" w:hAnsi="Cambria Math" w:cs="Arial"/>
                            <w:lang w:val="en-US" w:bidi="en-US"/>
                          </w:rPr>
                          <m:t>ρ</m:t>
                        </m:r>
                      </m:e>
                      <m:sub>
                        <m:r>
                          <m:rPr>
                            <m:sty m:val="p"/>
                          </m:rPr>
                          <w:rPr>
                            <w:rFonts w:ascii="Cambria Math" w:hAnsi="Cambria Math" w:cs="Arial"/>
                            <w:lang w:val="en-US" w:bidi="en-US"/>
                          </w:rPr>
                          <m:t>gas</m:t>
                        </m:r>
                      </m:sub>
                    </m:sSub>
                  </m:den>
                </m:f>
                <m:r>
                  <w:rPr>
                    <w:rFonts w:ascii="Cambria Math" w:hAnsi="Cambria Math" w:cs="Arial"/>
                    <w:lang w:val="en-US" w:bidi="en-US"/>
                  </w:rPr>
                  <m:t xml:space="preserve"> </m:t>
                </m:r>
              </m:oMath>
            </m:oMathPara>
          </w:p>
        </w:tc>
        <w:tc>
          <w:tcPr>
            <w:tcW w:w="742" w:type="dxa"/>
            <w:gridSpan w:val="2"/>
          </w:tcPr>
          <w:p w14:paraId="17ED5686" w14:textId="77777777" w:rsidR="009405AE" w:rsidRPr="002856DE" w:rsidRDefault="009405AE">
            <w:pPr>
              <w:pStyle w:val="CETEquation"/>
              <w:jc w:val="right"/>
              <w:rPr>
                <w:rFonts w:cs="Arial"/>
                <w:lang w:val="en-US"/>
              </w:rPr>
            </w:pPr>
          </w:p>
        </w:tc>
        <w:tc>
          <w:tcPr>
            <w:tcW w:w="765" w:type="dxa"/>
            <w:vAlign w:val="center"/>
          </w:tcPr>
          <w:p w14:paraId="4EDE8435" w14:textId="6283AD1D" w:rsidR="009405AE" w:rsidRPr="002856DE" w:rsidRDefault="00000000">
            <w:pPr>
              <w:pStyle w:val="CETEquation"/>
              <w:jc w:val="right"/>
              <w:rPr>
                <w:rFonts w:cs="Arial"/>
                <w:lang w:val="en-US"/>
              </w:rPr>
            </w:pPr>
            <w:r w:rsidRPr="002856DE">
              <w:rPr>
                <w:rFonts w:cs="Arial"/>
                <w:lang w:val="en-US"/>
              </w:rPr>
              <w:t>(</w:t>
            </w:r>
            <w:r w:rsidR="005660A0" w:rsidRPr="002856DE">
              <w:rPr>
                <w:rFonts w:cs="Arial"/>
                <w:lang w:val="en-US"/>
              </w:rPr>
              <w:t>4</w:t>
            </w:r>
            <w:r w:rsidRPr="002856DE">
              <w:rPr>
                <w:rFonts w:cs="Arial"/>
                <w:lang w:val="en-US"/>
              </w:rPr>
              <w:t>)</w:t>
            </w:r>
          </w:p>
        </w:tc>
      </w:tr>
      <w:tr w:rsidR="009405AE" w:rsidRPr="002856DE" w14:paraId="667486FE" w14:textId="77777777" w:rsidTr="006121B6">
        <w:tc>
          <w:tcPr>
            <w:tcW w:w="7986" w:type="dxa"/>
            <w:gridSpan w:val="2"/>
            <w:vAlign w:val="center"/>
          </w:tcPr>
          <w:p w14:paraId="1418F1EE" w14:textId="71BEE3FE" w:rsidR="009405AE" w:rsidRPr="002856DE" w:rsidRDefault="00000000">
            <w:pPr>
              <w:pStyle w:val="CETEquation"/>
              <w:rPr>
                <w:rFonts w:cs="Arial"/>
                <w:iCs/>
                <w:lang w:val="en-US"/>
              </w:rPr>
            </w:pPr>
            <m:oMathPara>
              <m:oMathParaPr>
                <m:jc m:val="left"/>
              </m:oMathParaPr>
              <m:oMath>
                <m:f>
                  <m:fPr>
                    <m:ctrlPr>
                      <w:rPr>
                        <w:rFonts w:ascii="Cambria Math" w:eastAsia="Cambria Math" w:hAnsi="Cambria Math" w:cs="Arial"/>
                        <w:lang w:val="en-US"/>
                      </w:rPr>
                    </m:ctrlPr>
                  </m:fPr>
                  <m:num>
                    <m:r>
                      <m:rPr>
                        <m:sty m:val="p"/>
                      </m:rPr>
                      <w:rPr>
                        <w:rFonts w:ascii="Cambria Math" w:hAnsi="Cambria Math" w:cs="Arial"/>
                        <w:lang w:val="en-US" w:bidi="en-US"/>
                      </w:rPr>
                      <m:t>∂p</m:t>
                    </m:r>
                  </m:num>
                  <m:den>
                    <m:r>
                      <m:rPr>
                        <m:sty m:val="p"/>
                      </m:rPr>
                      <w:rPr>
                        <w:rFonts w:ascii="Cambria Math" w:hAnsi="Cambria Math" w:cs="Arial"/>
                        <w:lang w:val="en-US" w:bidi="en-US"/>
                      </w:rPr>
                      <m:t>∂z</m:t>
                    </m:r>
                  </m:den>
                </m:f>
                <m:r>
                  <w:rPr>
                    <w:rFonts w:ascii="Cambria Math" w:hAnsi="Cambria Math" w:cs="Arial"/>
                    <w:lang w:val="en-US" w:bidi="en-US"/>
                  </w:rPr>
                  <m:t>=-</m:t>
                </m:r>
                <m:sSub>
                  <m:sSubPr>
                    <m:ctrlPr>
                      <w:rPr>
                        <w:rFonts w:ascii="Cambria Math" w:eastAsia="Cambria Math" w:hAnsi="Cambria Math" w:cs="Arial"/>
                        <w:i/>
                        <w:lang w:val="en-US"/>
                      </w:rPr>
                    </m:ctrlPr>
                  </m:sSubPr>
                  <m:e>
                    <m:r>
                      <w:rPr>
                        <w:rFonts w:ascii="Cambria Math" w:hAnsi="Cambria Math" w:cs="Arial"/>
                        <w:lang w:val="en-US" w:bidi="en-US"/>
                      </w:rPr>
                      <m:t>u</m:t>
                    </m:r>
                  </m:e>
                  <m:sub>
                    <m:r>
                      <m:rPr>
                        <m:sty m:val="p"/>
                      </m:rPr>
                      <w:rPr>
                        <w:rFonts w:ascii="Cambria Math" w:hAnsi="Cambria Math" w:cs="Arial"/>
                        <w:lang w:val="en-US" w:bidi="en-US"/>
                      </w:rPr>
                      <m:t>s,z</m:t>
                    </m:r>
                  </m:sub>
                </m:sSub>
                <m:f>
                  <m:fPr>
                    <m:ctrlPr>
                      <w:rPr>
                        <w:rFonts w:ascii="Cambria Math" w:eastAsia="Cambria Math" w:hAnsi="Cambria Math" w:cs="Arial"/>
                        <w:i/>
                        <w:lang w:val="en-US"/>
                      </w:rPr>
                    </m:ctrlPr>
                  </m:fPr>
                  <m:num>
                    <m:d>
                      <m:dPr>
                        <m:ctrlPr>
                          <w:rPr>
                            <w:rFonts w:ascii="Cambria Math" w:eastAsia="Cambria Math" w:hAnsi="Cambria Math" w:cs="Arial"/>
                            <w:i/>
                            <w:lang w:val="en-US"/>
                          </w:rPr>
                        </m:ctrlPr>
                      </m:dPr>
                      <m:e>
                        <m:r>
                          <w:rPr>
                            <w:rFonts w:ascii="Cambria Math" w:hAnsi="Cambria Math" w:cs="Arial"/>
                            <w:lang w:val="en-US" w:bidi="en-US"/>
                          </w:rPr>
                          <m:t>1-ε</m:t>
                        </m:r>
                      </m:e>
                    </m:d>
                  </m:num>
                  <m:den>
                    <m:sSup>
                      <m:sSupPr>
                        <m:ctrlPr>
                          <w:rPr>
                            <w:rFonts w:ascii="Cambria Math" w:hAnsi="Cambria Math" w:cs="Arial"/>
                            <w:i/>
                            <w:lang w:val="en-US" w:bidi="en-US"/>
                          </w:rPr>
                        </m:ctrlPr>
                      </m:sSupPr>
                      <m:e>
                        <m:r>
                          <w:rPr>
                            <w:rFonts w:ascii="Cambria Math" w:hAnsi="Cambria Math" w:cs="Arial"/>
                            <w:lang w:val="en-US" w:bidi="en-US"/>
                          </w:rPr>
                          <m:t>ε</m:t>
                        </m:r>
                      </m:e>
                      <m:sup>
                        <m:r>
                          <w:rPr>
                            <w:rFonts w:ascii="Cambria Math" w:hAnsi="Cambria Math" w:cs="Arial"/>
                            <w:lang w:val="en-US" w:bidi="en-US"/>
                          </w:rPr>
                          <m:t>3</m:t>
                        </m:r>
                      </m:sup>
                    </m:sSup>
                  </m:den>
                </m:f>
                <m:d>
                  <m:dPr>
                    <m:ctrlPr>
                      <w:rPr>
                        <w:rFonts w:ascii="Cambria Math" w:eastAsia="Cambria Math" w:hAnsi="Cambria Math" w:cs="Arial"/>
                        <w:lang w:val="en-US"/>
                      </w:rPr>
                    </m:ctrlPr>
                  </m:dPr>
                  <m:e>
                    <m:r>
                      <w:rPr>
                        <w:rFonts w:ascii="Cambria Math" w:eastAsia="Cambria Math" w:hAnsi="Cambria Math" w:cs="Arial"/>
                        <w:lang w:val="en-US"/>
                      </w:rPr>
                      <m:t>150</m:t>
                    </m:r>
                    <m:f>
                      <m:fPr>
                        <m:ctrlPr>
                          <w:rPr>
                            <w:rFonts w:ascii="Cambria Math" w:eastAsia="Cambria Math" w:hAnsi="Cambria Math" w:cs="Arial"/>
                            <w:i/>
                            <w:lang w:val="en-US"/>
                          </w:rPr>
                        </m:ctrlPr>
                      </m:fPr>
                      <m:num>
                        <m:d>
                          <m:dPr>
                            <m:ctrlPr>
                              <w:rPr>
                                <w:rFonts w:ascii="Cambria Math" w:eastAsia="Cambria Math" w:hAnsi="Cambria Math" w:cs="Arial"/>
                                <w:i/>
                                <w:lang w:val="en-US"/>
                              </w:rPr>
                            </m:ctrlPr>
                          </m:dPr>
                          <m:e>
                            <m:r>
                              <w:rPr>
                                <w:rFonts w:ascii="Cambria Math" w:hAnsi="Cambria Math" w:cs="Arial"/>
                                <w:lang w:val="en-US" w:bidi="en-US"/>
                              </w:rPr>
                              <m:t>1-ε</m:t>
                            </m:r>
                          </m:e>
                        </m:d>
                        <m:sSub>
                          <m:sSubPr>
                            <m:ctrlPr>
                              <w:rPr>
                                <w:rFonts w:ascii="Cambria Math" w:eastAsia="Cambria Math" w:hAnsi="Cambria Math" w:cs="Arial"/>
                                <w:i/>
                                <w:lang w:val="en-US"/>
                              </w:rPr>
                            </m:ctrlPr>
                          </m:sSubPr>
                          <m:e>
                            <m:r>
                              <w:rPr>
                                <w:rFonts w:ascii="Cambria Math" w:hAnsi="Cambria Math" w:cs="Arial"/>
                                <w:lang w:val="en-US" w:bidi="en-US"/>
                              </w:rPr>
                              <m:t>μ</m:t>
                            </m:r>
                          </m:e>
                          <m:sub>
                            <m:r>
                              <m:rPr>
                                <m:sty m:val="p"/>
                              </m:rPr>
                              <w:rPr>
                                <w:rFonts w:ascii="Cambria Math" w:hAnsi="Cambria Math" w:cs="Arial"/>
                                <w:lang w:val="en-US" w:bidi="en-US"/>
                              </w:rPr>
                              <m:t>gas</m:t>
                            </m:r>
                          </m:sub>
                        </m:sSub>
                      </m:num>
                      <m:den>
                        <m:sSubSup>
                          <m:sSubSupPr>
                            <m:ctrlPr>
                              <w:rPr>
                                <w:rFonts w:ascii="Cambria Math" w:eastAsia="Cambria Math" w:hAnsi="Cambria Math" w:cs="Arial"/>
                                <w:i/>
                                <w:lang w:val="en-US"/>
                              </w:rPr>
                            </m:ctrlPr>
                          </m:sSubSupPr>
                          <m:e>
                            <m:r>
                              <w:rPr>
                                <w:rFonts w:ascii="Cambria Math" w:hAnsi="Cambria Math" w:cs="Arial"/>
                                <w:lang w:val="en-US" w:bidi="en-US"/>
                              </w:rPr>
                              <m:t>d</m:t>
                            </m:r>
                          </m:e>
                          <m:sub>
                            <m:r>
                              <m:rPr>
                                <m:sty m:val="p"/>
                              </m:rPr>
                              <w:rPr>
                                <w:rFonts w:ascii="Cambria Math" w:hAnsi="Cambria Math" w:cs="Arial"/>
                                <w:lang w:val="en-US" w:bidi="en-US"/>
                              </w:rPr>
                              <m:t>p</m:t>
                            </m:r>
                          </m:sub>
                          <m:sup>
                            <m:r>
                              <w:rPr>
                                <w:rFonts w:ascii="Cambria Math" w:hAnsi="Cambria Math" w:cs="Arial"/>
                                <w:lang w:val="en-US" w:bidi="en-US"/>
                              </w:rPr>
                              <m:t>2</m:t>
                            </m:r>
                          </m:sup>
                        </m:sSubSup>
                      </m:den>
                    </m:f>
                    <m:r>
                      <w:rPr>
                        <w:rFonts w:ascii="Cambria Math" w:hAnsi="Cambria Math" w:cs="Arial"/>
                        <w:lang w:val="en-US" w:bidi="en-US"/>
                      </w:rPr>
                      <m:t>+1.75</m:t>
                    </m:r>
                    <m:f>
                      <m:fPr>
                        <m:ctrlPr>
                          <w:rPr>
                            <w:rFonts w:ascii="Cambria Math" w:eastAsia="Cambria Math" w:hAnsi="Cambria Math" w:cs="Arial"/>
                            <w:i/>
                            <w:lang w:val="en-US"/>
                          </w:rPr>
                        </m:ctrlPr>
                      </m:fPr>
                      <m:num>
                        <m:sSub>
                          <m:sSubPr>
                            <m:ctrlPr>
                              <w:rPr>
                                <w:rFonts w:ascii="Cambria Math" w:eastAsia="Cambria Math" w:hAnsi="Cambria Math" w:cs="Arial"/>
                                <w:i/>
                                <w:lang w:val="en-US"/>
                              </w:rPr>
                            </m:ctrlPr>
                          </m:sSubPr>
                          <m:e>
                            <m:r>
                              <w:rPr>
                                <w:rFonts w:ascii="Cambria Math" w:hAnsi="Cambria Math" w:cs="Arial"/>
                                <w:lang w:val="en-US" w:bidi="en-US"/>
                              </w:rPr>
                              <m:t>ρ</m:t>
                            </m:r>
                          </m:e>
                          <m:sub>
                            <m:r>
                              <m:rPr>
                                <m:sty m:val="p"/>
                              </m:rPr>
                              <w:rPr>
                                <w:rFonts w:ascii="Cambria Math" w:hAnsi="Cambria Math" w:cs="Arial"/>
                                <w:lang w:val="en-US" w:bidi="en-US"/>
                              </w:rPr>
                              <m:t>gas</m:t>
                            </m:r>
                          </m:sub>
                        </m:sSub>
                        <m:sSub>
                          <m:sSubPr>
                            <m:ctrlPr>
                              <w:rPr>
                                <w:rFonts w:ascii="Cambria Math" w:eastAsia="Cambria Math" w:hAnsi="Cambria Math" w:cs="Arial"/>
                                <w:i/>
                                <w:lang w:val="en-US"/>
                              </w:rPr>
                            </m:ctrlPr>
                          </m:sSubPr>
                          <m:e>
                            <m:r>
                              <w:rPr>
                                <w:rFonts w:ascii="Cambria Math" w:hAnsi="Cambria Math" w:cs="Arial"/>
                                <w:lang w:val="en-US" w:bidi="en-US"/>
                              </w:rPr>
                              <m:t>u</m:t>
                            </m:r>
                          </m:e>
                          <m:sub>
                            <m:r>
                              <m:rPr>
                                <m:sty m:val="p"/>
                              </m:rPr>
                              <w:rPr>
                                <w:rFonts w:ascii="Cambria Math" w:hAnsi="Cambria Math" w:cs="Arial"/>
                                <w:lang w:val="en-US" w:bidi="en-US"/>
                              </w:rPr>
                              <m:t>s,z</m:t>
                            </m:r>
                          </m:sub>
                        </m:sSub>
                      </m:num>
                      <m:den>
                        <m:sSub>
                          <m:sSubPr>
                            <m:ctrlPr>
                              <w:rPr>
                                <w:rFonts w:ascii="Cambria Math" w:eastAsia="Cambria Math" w:hAnsi="Cambria Math" w:cs="Arial"/>
                                <w:i/>
                                <w:lang w:val="en-US"/>
                              </w:rPr>
                            </m:ctrlPr>
                          </m:sSubPr>
                          <m:e>
                            <m:r>
                              <w:rPr>
                                <w:rFonts w:ascii="Cambria Math" w:hAnsi="Cambria Math" w:cs="Arial"/>
                                <w:lang w:val="en-US" w:bidi="en-US"/>
                              </w:rPr>
                              <m:t>d</m:t>
                            </m:r>
                          </m:e>
                          <m:sub>
                            <m:r>
                              <m:rPr>
                                <m:sty m:val="p"/>
                              </m:rPr>
                              <w:rPr>
                                <w:rFonts w:ascii="Cambria Math" w:hAnsi="Cambria Math" w:cs="Arial"/>
                                <w:lang w:val="en-US" w:bidi="en-US"/>
                              </w:rPr>
                              <m:t>p</m:t>
                            </m:r>
                          </m:sub>
                        </m:sSub>
                      </m:den>
                    </m:f>
                  </m:e>
                </m:d>
              </m:oMath>
            </m:oMathPara>
          </w:p>
        </w:tc>
        <w:tc>
          <w:tcPr>
            <w:tcW w:w="801" w:type="dxa"/>
            <w:gridSpan w:val="2"/>
            <w:vAlign w:val="center"/>
          </w:tcPr>
          <w:p w14:paraId="1C05FC79" w14:textId="21B0CE3A" w:rsidR="009405AE" w:rsidRPr="002856DE" w:rsidRDefault="00000000">
            <w:pPr>
              <w:pStyle w:val="CETEquation"/>
              <w:jc w:val="right"/>
              <w:rPr>
                <w:rFonts w:cs="Arial"/>
                <w:lang w:val="en-US"/>
              </w:rPr>
            </w:pPr>
            <w:r w:rsidRPr="002856DE">
              <w:rPr>
                <w:rFonts w:cs="Arial"/>
                <w:lang w:val="en-US"/>
              </w:rPr>
              <w:t>(</w:t>
            </w:r>
            <w:r w:rsidR="005660A0" w:rsidRPr="002856DE">
              <w:rPr>
                <w:rFonts w:cs="Arial"/>
                <w:lang w:val="en-US"/>
              </w:rPr>
              <w:t>5</w:t>
            </w:r>
            <w:r w:rsidRPr="002856DE">
              <w:rPr>
                <w:rFonts w:cs="Arial"/>
                <w:lang w:val="en-US"/>
              </w:rPr>
              <w:t>)</w:t>
            </w:r>
          </w:p>
        </w:tc>
      </w:tr>
    </w:tbl>
    <w:p w14:paraId="78448EFD" w14:textId="5D0A9A83" w:rsidR="00DA6A7E" w:rsidRPr="002856DE" w:rsidRDefault="00000000">
      <w:pPr>
        <w:pStyle w:val="CETBodytext"/>
        <w:rPr>
          <w:rFonts w:cs="Arial"/>
        </w:rPr>
      </w:pPr>
      <w:r w:rsidRPr="002856DE">
        <w:rPr>
          <w:rFonts w:cs="Arial"/>
        </w:rPr>
        <w:t xml:space="preserve">The methanation kinetics are described according to </w:t>
      </w:r>
      <w:proofErr w:type="spellStart"/>
      <w:r w:rsidR="00375676" w:rsidRPr="002856DE">
        <w:rPr>
          <w:rFonts w:cs="Arial"/>
        </w:rPr>
        <w:t>Koschany</w:t>
      </w:r>
      <w:proofErr w:type="spellEnd"/>
      <w:r w:rsidR="00375676" w:rsidRPr="002856DE">
        <w:rPr>
          <w:rFonts w:cs="Arial"/>
        </w:rPr>
        <w:t xml:space="preserve"> et al.</w:t>
      </w:r>
      <w:r w:rsidR="00D63638" w:rsidRPr="002856DE">
        <w:rPr>
          <w:rFonts w:cs="Arial"/>
        </w:rPr>
        <w:t xml:space="preserve"> (</w:t>
      </w:r>
      <w:r w:rsidR="00375676" w:rsidRPr="002856DE">
        <w:rPr>
          <w:rFonts w:cs="Arial"/>
        </w:rPr>
        <w:t>2016</w:t>
      </w:r>
      <w:r w:rsidR="00D63638" w:rsidRPr="002856DE">
        <w:rPr>
          <w:rFonts w:cs="Arial"/>
        </w:rPr>
        <w:t>)</w:t>
      </w:r>
      <w:r w:rsidRPr="002856DE">
        <w:rPr>
          <w:rFonts w:cs="Arial"/>
        </w:rPr>
        <w:t>, which has been widely used for nickel-based CO</w:t>
      </w:r>
      <w:r w:rsidRPr="002856DE">
        <w:rPr>
          <w:rFonts w:cs="Arial"/>
          <w:vertAlign w:val="subscript"/>
        </w:rPr>
        <w:t>2</w:t>
      </w:r>
      <w:r w:rsidRPr="002856DE">
        <w:rPr>
          <w:rFonts w:cs="Arial"/>
        </w:rPr>
        <w:t xml:space="preserve"> methanation. </w:t>
      </w:r>
    </w:p>
    <w:p w14:paraId="38C680B3" w14:textId="35FBDA83" w:rsidR="0028368A" w:rsidRPr="002856DE" w:rsidRDefault="0028368A" w:rsidP="0012290E">
      <w:pPr>
        <w:pStyle w:val="CETheadingx"/>
        <w:rPr>
          <w:rFonts w:cs="Arial"/>
        </w:rPr>
      </w:pPr>
      <w:r w:rsidRPr="002856DE">
        <w:rPr>
          <w:rFonts w:cs="Arial"/>
        </w:rPr>
        <w:t xml:space="preserve">Numerical </w:t>
      </w:r>
      <w:r w:rsidR="00645A3A" w:rsidRPr="002856DE">
        <w:rPr>
          <w:rFonts w:cs="Arial"/>
        </w:rPr>
        <w:t>i</w:t>
      </w:r>
      <w:r w:rsidRPr="002856DE">
        <w:rPr>
          <w:rFonts w:cs="Arial"/>
        </w:rPr>
        <w:t>mplementation</w:t>
      </w:r>
    </w:p>
    <w:p w14:paraId="04EA028A" w14:textId="112E502D" w:rsidR="0057678D" w:rsidRPr="002856DE" w:rsidRDefault="00000000">
      <w:pPr>
        <w:pStyle w:val="CETBodytext"/>
        <w:rPr>
          <w:rFonts w:cs="Arial"/>
        </w:rPr>
      </w:pPr>
      <w:r w:rsidRPr="002856DE">
        <w:rPr>
          <w:rFonts w:cs="Arial"/>
        </w:rPr>
        <w:t xml:space="preserve">For the numerical solution, the reactor model is discretized </w:t>
      </w:r>
      <w:r w:rsidR="0057678D" w:rsidRPr="002856DE">
        <w:rPr>
          <w:rFonts w:cs="Arial"/>
        </w:rPr>
        <w:t>b</w:t>
      </w:r>
      <w:r w:rsidRPr="002856DE">
        <w:rPr>
          <w:rFonts w:cs="Arial"/>
        </w:rPr>
        <w:t xml:space="preserve">y the finite volume method using 300 </w:t>
      </w:r>
      <w:r w:rsidR="00566A7E" w:rsidRPr="002856DE">
        <w:rPr>
          <w:rFonts w:cs="Arial"/>
        </w:rPr>
        <w:t xml:space="preserve">finite </w:t>
      </w:r>
      <w:r w:rsidRPr="002856DE">
        <w:rPr>
          <w:rFonts w:cs="Arial"/>
        </w:rPr>
        <w:t>volumes. This results in a system of ordinary differential and algebraic equations.</w:t>
      </w:r>
    </w:p>
    <w:p w14:paraId="08690731" w14:textId="0648D677" w:rsidR="009405AE" w:rsidRPr="002856DE" w:rsidRDefault="00000000">
      <w:pPr>
        <w:pStyle w:val="CETBodytext"/>
        <w:rPr>
          <w:rFonts w:cs="Arial"/>
        </w:rPr>
      </w:pPr>
      <w:r w:rsidRPr="002856DE">
        <w:rPr>
          <w:rFonts w:cs="Arial"/>
        </w:rPr>
        <w:t>The operating conditions, reactor geometr</w:t>
      </w:r>
      <w:r w:rsidR="001F4FC4" w:rsidRPr="002856DE">
        <w:rPr>
          <w:rFonts w:cs="Arial"/>
        </w:rPr>
        <w:t>y</w:t>
      </w:r>
      <w:r w:rsidRPr="002856DE">
        <w:rPr>
          <w:rFonts w:cs="Arial"/>
        </w:rPr>
        <w:t xml:space="preserve"> and other simulation parameters are taken from the reference case provided by </w:t>
      </w:r>
      <w:r w:rsidR="00375676" w:rsidRPr="002856DE">
        <w:rPr>
          <w:rFonts w:cs="Arial"/>
        </w:rPr>
        <w:t xml:space="preserve">Bremer and </w:t>
      </w:r>
      <w:proofErr w:type="spellStart"/>
      <w:r w:rsidR="00375676" w:rsidRPr="002856DE">
        <w:rPr>
          <w:rFonts w:cs="Arial"/>
        </w:rPr>
        <w:t>Sundmacher</w:t>
      </w:r>
      <w:proofErr w:type="spellEnd"/>
      <w:r w:rsidR="00D63638" w:rsidRPr="002856DE">
        <w:rPr>
          <w:rFonts w:cs="Arial"/>
        </w:rPr>
        <w:t xml:space="preserve"> (</w:t>
      </w:r>
      <w:r w:rsidR="00375676" w:rsidRPr="002856DE">
        <w:rPr>
          <w:rFonts w:cs="Arial"/>
        </w:rPr>
        <w:t>2019</w:t>
      </w:r>
      <w:r w:rsidR="00D63638" w:rsidRPr="002856DE">
        <w:rPr>
          <w:rFonts w:cs="Arial"/>
        </w:rPr>
        <w:t>)</w:t>
      </w:r>
      <w:r w:rsidRPr="002856DE">
        <w:rPr>
          <w:rFonts w:cs="Arial"/>
        </w:rPr>
        <w:t>.</w:t>
      </w:r>
    </w:p>
    <w:p w14:paraId="5A10E7B9" w14:textId="044F27B0" w:rsidR="009405AE" w:rsidRPr="002856DE" w:rsidRDefault="00000000">
      <w:pPr>
        <w:pStyle w:val="CETBodytext"/>
        <w:rPr>
          <w:rFonts w:cs="Arial"/>
        </w:rPr>
      </w:pPr>
      <w:r w:rsidRPr="002856DE">
        <w:rPr>
          <w:rFonts w:cs="Arial"/>
        </w:rPr>
        <w:t xml:space="preserve">To allow for better comparison of the </w:t>
      </w:r>
      <w:r w:rsidR="009B57F7" w:rsidRPr="002856DE">
        <w:rPr>
          <w:rFonts w:cs="Arial"/>
        </w:rPr>
        <w:t>electric pow</w:t>
      </w:r>
      <w:r w:rsidRPr="002856DE">
        <w:rPr>
          <w:rFonts w:cs="Arial"/>
        </w:rPr>
        <w:t xml:space="preserve">er introduced to the system, </w:t>
      </w:r>
      <w:r w:rsidR="00671D2B" w:rsidRPr="002856DE">
        <w:rPr>
          <w:rFonts w:cs="Arial"/>
        </w:rPr>
        <w:t>a</w:t>
      </w:r>
      <w:r w:rsidRPr="002856DE">
        <w:rPr>
          <w:rFonts w:cs="Arial"/>
        </w:rPr>
        <w:t xml:space="preserve"> relative </w:t>
      </w:r>
      <w:r w:rsidR="009B57F7" w:rsidRPr="002856DE">
        <w:rPr>
          <w:rFonts w:cs="Arial"/>
        </w:rPr>
        <w:t>electric pow</w:t>
      </w:r>
      <w:r w:rsidRPr="002856DE">
        <w:rPr>
          <w:rFonts w:cs="Arial"/>
        </w:rPr>
        <w:t xml:space="preserve">er </w:t>
      </w:r>
      <m:oMath>
        <m:sSubSup>
          <m:sSubSupPr>
            <m:ctrlPr>
              <w:rPr>
                <w:rFonts w:ascii="Cambria Math" w:eastAsia="Cambria Math" w:hAnsi="Cambria Math" w:cs="Arial"/>
                <w:i/>
              </w:rPr>
            </m:ctrlPr>
          </m:sSubSupPr>
          <m:e>
            <m:acc>
              <m:accPr>
                <m:chr m:val="̇"/>
                <m:ctrlPr>
                  <w:rPr>
                    <w:rFonts w:ascii="Cambria Math" w:eastAsia="Cambria Math" w:hAnsi="Cambria Math" w:cs="Arial"/>
                    <w:i/>
                    <w:lang w:bidi="en-US"/>
                  </w:rPr>
                </m:ctrlPr>
              </m:accPr>
              <m:e>
                <m:r>
                  <w:rPr>
                    <w:rFonts w:ascii="Cambria Math" w:hAnsi="Cambria Math" w:cs="Arial"/>
                    <w:lang w:bidi="en-US"/>
                  </w:rPr>
                  <m:t>P</m:t>
                </m:r>
              </m:e>
            </m:acc>
          </m:e>
          <m:sub>
            <m:r>
              <m:rPr>
                <m:sty m:val="p"/>
              </m:rPr>
              <w:rPr>
                <w:rFonts w:ascii="Cambria Math" w:hAnsi="Cambria Math" w:cs="Arial"/>
                <w:lang w:bidi="en-US"/>
              </w:rPr>
              <m:t>elec</m:t>
            </m:r>
          </m:sub>
          <m:sup>
            <m:r>
              <m:rPr>
                <m:sty m:val="p"/>
              </m:rPr>
              <w:rPr>
                <w:rFonts w:ascii="Cambria Math" w:hAnsi="Cambria Math" w:cs="Arial"/>
                <w:lang w:bidi="en-US"/>
              </w:rPr>
              <m:t>rel</m:t>
            </m:r>
          </m:sup>
        </m:sSubSup>
        <m:r>
          <w:rPr>
            <w:rFonts w:ascii="Cambria Math" w:eastAsia="Cambria Math" w:hAnsi="Cambria Math" w:cs="Arial"/>
          </w:rPr>
          <m:t xml:space="preserve"> </m:t>
        </m:r>
      </m:oMath>
      <w:r w:rsidRPr="002856DE">
        <w:rPr>
          <w:rFonts w:cs="Arial"/>
        </w:rPr>
        <w:t xml:space="preserve">is defined as the ratio of the total electric heat </w:t>
      </w:r>
      <w:r w:rsidR="00671D2B" w:rsidRPr="002856DE">
        <w:rPr>
          <w:rFonts w:cs="Arial"/>
        </w:rPr>
        <w:t xml:space="preserve">to </w:t>
      </w:r>
      <w:r w:rsidRPr="002856DE">
        <w:rPr>
          <w:rFonts w:cs="Arial"/>
        </w:rPr>
        <w:t>the maximum possible heat of reaction:</w:t>
      </w:r>
    </w:p>
    <w:tbl>
      <w:tblPr>
        <w:tblW w:w="5000" w:type="pct"/>
        <w:tblLook w:val="04A0" w:firstRow="1" w:lastRow="0" w:firstColumn="1" w:lastColumn="0" w:noHBand="0" w:noVBand="1"/>
      </w:tblPr>
      <w:tblGrid>
        <w:gridCol w:w="7983"/>
        <w:gridCol w:w="804"/>
      </w:tblGrid>
      <w:tr w:rsidR="009405AE" w:rsidRPr="002856DE" w14:paraId="1A5324E2" w14:textId="77777777">
        <w:tc>
          <w:tcPr>
            <w:tcW w:w="8188" w:type="dxa"/>
            <w:vAlign w:val="center"/>
          </w:tcPr>
          <w:p w14:paraId="229D4449" w14:textId="1F21D197" w:rsidR="009405AE" w:rsidRPr="002856DE" w:rsidRDefault="00000000">
            <w:pPr>
              <w:pStyle w:val="CETEquation"/>
              <w:rPr>
                <w:rFonts w:cs="Arial"/>
                <w:iCs/>
                <w:lang w:val="en-US"/>
              </w:rPr>
            </w:pPr>
            <m:oMathPara>
              <m:oMathParaPr>
                <m:jc m:val="left"/>
              </m:oMathParaPr>
              <m:oMath>
                <m:sSubSup>
                  <m:sSubSupPr>
                    <m:ctrlPr>
                      <w:rPr>
                        <w:rFonts w:ascii="Cambria Math" w:eastAsia="Cambria Math" w:hAnsi="Cambria Math" w:cs="Arial"/>
                        <w:i/>
                        <w:lang w:val="en-US"/>
                      </w:rPr>
                    </m:ctrlPr>
                  </m:sSubSupPr>
                  <m:e>
                    <m:acc>
                      <m:accPr>
                        <m:chr m:val="̇"/>
                        <m:ctrlPr>
                          <w:rPr>
                            <w:rFonts w:ascii="Cambria Math" w:eastAsia="Cambria Math" w:hAnsi="Cambria Math" w:cs="Arial"/>
                            <w:i/>
                            <w:lang w:val="en-US" w:bidi="en-US"/>
                          </w:rPr>
                        </m:ctrlPr>
                      </m:accPr>
                      <m:e>
                        <m:r>
                          <w:rPr>
                            <w:rFonts w:ascii="Cambria Math" w:hAnsi="Cambria Math" w:cs="Arial"/>
                            <w:lang w:val="en-US" w:bidi="en-US"/>
                          </w:rPr>
                          <m:t>P</m:t>
                        </m:r>
                      </m:e>
                    </m:acc>
                  </m:e>
                  <m:sub>
                    <m:r>
                      <m:rPr>
                        <m:sty m:val="p"/>
                      </m:rPr>
                      <w:rPr>
                        <w:rFonts w:ascii="Cambria Math" w:hAnsi="Cambria Math" w:cs="Arial"/>
                        <w:lang w:val="en-US" w:bidi="en-US"/>
                      </w:rPr>
                      <m:t>elec</m:t>
                    </m:r>
                  </m:sub>
                  <m:sup>
                    <m:r>
                      <m:rPr>
                        <m:sty m:val="p"/>
                      </m:rPr>
                      <w:rPr>
                        <w:rFonts w:ascii="Cambria Math" w:hAnsi="Cambria Math" w:cs="Arial"/>
                        <w:lang w:val="en-US" w:bidi="en-US"/>
                      </w:rPr>
                      <m:t>rel</m:t>
                    </m:r>
                  </m:sup>
                </m:sSubSup>
                <m:r>
                  <w:rPr>
                    <w:rFonts w:ascii="Cambria Math" w:hAnsi="Cambria Math" w:cs="Arial"/>
                    <w:lang w:val="en-US" w:bidi="en-US"/>
                  </w:rPr>
                  <m:t>=</m:t>
                </m:r>
                <m:f>
                  <m:fPr>
                    <m:ctrlPr>
                      <w:rPr>
                        <w:rFonts w:ascii="Cambria Math" w:eastAsia="Cambria Math" w:hAnsi="Cambria Math" w:cs="Arial"/>
                        <w:i/>
                        <w:lang w:val="en-US"/>
                      </w:rPr>
                    </m:ctrlPr>
                  </m:fPr>
                  <m:num>
                    <w:bookmarkStart w:id="2" w:name="_Hlk237273864"/>
                    <m:sSub>
                      <m:sSubPr>
                        <m:ctrlPr>
                          <w:rPr>
                            <w:rFonts w:ascii="Cambria Math" w:eastAsia="Cambria Math" w:hAnsi="Cambria Math" w:cs="Arial"/>
                            <w:i/>
                            <w:lang w:val="en-US"/>
                          </w:rPr>
                        </m:ctrlPr>
                      </m:sSubPr>
                      <m:e>
                        <m:acc>
                          <m:accPr>
                            <m:chr m:val="̇"/>
                            <m:ctrlPr>
                              <w:rPr>
                                <w:rFonts w:ascii="Cambria Math" w:eastAsia="Cambria Math" w:hAnsi="Cambria Math" w:cs="Arial"/>
                                <w:i/>
                                <w:lang w:val="en-US"/>
                              </w:rPr>
                            </m:ctrlPr>
                          </m:accPr>
                          <m:e>
                            <m:r>
                              <w:rPr>
                                <w:rFonts w:ascii="Cambria Math" w:hAnsi="Cambria Math" w:cs="Arial"/>
                                <w:lang w:val="en-US" w:bidi="en-US"/>
                              </w:rPr>
                              <m:t>Q</m:t>
                            </m:r>
                          </m:e>
                        </m:acc>
                      </m:e>
                      <m:sub>
                        <m:r>
                          <m:rPr>
                            <m:sty m:val="p"/>
                          </m:rPr>
                          <w:rPr>
                            <w:rFonts w:ascii="Cambria Math" w:hAnsi="Cambria Math" w:cs="Arial"/>
                            <w:lang w:val="en-US" w:bidi="en-US"/>
                          </w:rPr>
                          <m:t>elec</m:t>
                        </m:r>
                      </m:sub>
                    </m:sSub>
                    <w:bookmarkEnd w:id="2"/>
                  </m:num>
                  <m:den>
                    <w:bookmarkStart w:id="3" w:name="_Hlk237273781"/>
                    <m:sSubSup>
                      <m:sSubSupPr>
                        <m:ctrlPr>
                          <w:rPr>
                            <w:rFonts w:ascii="Cambria Math" w:eastAsia="Cambria Math" w:hAnsi="Cambria Math" w:cs="Arial"/>
                            <w:i/>
                            <w:lang w:val="en-US"/>
                          </w:rPr>
                        </m:ctrlPr>
                      </m:sSubSupPr>
                      <m:e>
                        <m:acc>
                          <m:accPr>
                            <m:chr m:val="̇"/>
                            <m:ctrlPr>
                              <w:rPr>
                                <w:rFonts w:ascii="Cambria Math" w:eastAsia="Cambria Math" w:hAnsi="Cambria Math" w:cs="Arial"/>
                                <w:i/>
                                <w:lang w:val="en-US"/>
                              </w:rPr>
                            </m:ctrlPr>
                          </m:accPr>
                          <m:e>
                            <m:r>
                              <w:rPr>
                                <w:rFonts w:ascii="Cambria Math" w:hAnsi="Cambria Math" w:cs="Arial"/>
                                <w:lang w:val="en-US" w:bidi="en-US"/>
                              </w:rPr>
                              <m:t>Q</m:t>
                            </m:r>
                          </m:e>
                        </m:acc>
                      </m:e>
                      <m:sub>
                        <m:r>
                          <m:rPr>
                            <m:sty m:val="p"/>
                          </m:rPr>
                          <w:rPr>
                            <w:rFonts w:ascii="Cambria Math" w:hAnsi="Cambria Math" w:cs="Arial"/>
                            <w:lang w:val="en-US" w:bidi="en-US"/>
                          </w:rPr>
                          <m:t>reac</m:t>
                        </m:r>
                      </m:sub>
                      <m:sup>
                        <m:r>
                          <m:rPr>
                            <m:sty m:val="p"/>
                          </m:rPr>
                          <w:rPr>
                            <w:rFonts w:ascii="Cambria Math" w:hAnsi="Cambria Math" w:cs="Arial"/>
                            <w:lang w:val="en-US" w:bidi="en-US"/>
                          </w:rPr>
                          <m:t>max</m:t>
                        </m:r>
                      </m:sup>
                    </m:sSubSup>
                    <w:bookmarkEnd w:id="3"/>
                  </m:den>
                </m:f>
                <m:r>
                  <w:rPr>
                    <w:rFonts w:ascii="Cambria Math" w:hAnsi="Cambria Math" w:cs="Arial"/>
                    <w:lang w:val="en-US" w:bidi="en-US"/>
                  </w:rPr>
                  <m:t>=</m:t>
                </m:r>
                <m:f>
                  <m:fPr>
                    <m:ctrlPr>
                      <w:rPr>
                        <w:rFonts w:ascii="Cambria Math" w:eastAsia="Cambria Math" w:hAnsi="Cambria Math" w:cs="Arial"/>
                        <w:i/>
                        <w:lang w:val="en-US"/>
                      </w:rPr>
                    </m:ctrlPr>
                  </m:fPr>
                  <m:num>
                    <m:sSub>
                      <m:sSubPr>
                        <m:ctrlPr>
                          <w:rPr>
                            <w:rFonts w:ascii="Cambria Math" w:eastAsia="Cambria Math" w:hAnsi="Cambria Math" w:cs="Arial"/>
                            <w:i/>
                            <w:lang w:val="en-US"/>
                          </w:rPr>
                        </m:ctrlPr>
                      </m:sSubPr>
                      <m:e>
                        <m:acc>
                          <m:accPr>
                            <m:chr m:val="̇"/>
                            <m:ctrlPr>
                              <w:rPr>
                                <w:rFonts w:ascii="Cambria Math" w:eastAsia="Cambria Math" w:hAnsi="Cambria Math" w:cs="Arial"/>
                                <w:i/>
                                <w:lang w:val="en-US"/>
                              </w:rPr>
                            </m:ctrlPr>
                          </m:accPr>
                          <m:e>
                            <m:r>
                              <w:rPr>
                                <w:rFonts w:ascii="Cambria Math" w:eastAsia="Cambria Math" w:hAnsi="Cambria Math" w:cs="Arial"/>
                                <w:lang w:val="en-US"/>
                              </w:rPr>
                              <m:t>q</m:t>
                            </m:r>
                          </m:e>
                        </m:acc>
                      </m:e>
                      <m:sub>
                        <m:r>
                          <m:rPr>
                            <m:sty m:val="p"/>
                          </m:rPr>
                          <w:rPr>
                            <w:rFonts w:ascii="Cambria Math" w:hAnsi="Cambria Math" w:cs="Arial"/>
                            <w:lang w:val="en-US" w:bidi="en-US"/>
                          </w:rPr>
                          <m:t>elec</m:t>
                        </m:r>
                      </m:sub>
                    </m:sSub>
                    <m:sSub>
                      <m:sSubPr>
                        <m:ctrlPr>
                          <w:rPr>
                            <w:rFonts w:ascii="Cambria Math" w:eastAsia="Cambria Math" w:hAnsi="Cambria Math" w:cs="Arial"/>
                            <w:i/>
                            <w:lang w:val="en-US"/>
                          </w:rPr>
                        </m:ctrlPr>
                      </m:sSubPr>
                      <m:e>
                        <m:r>
                          <w:rPr>
                            <w:rFonts w:ascii="Cambria Math" w:eastAsia="Cambria Math" w:hAnsi="Cambria Math" w:cs="Arial"/>
                            <w:lang w:val="en-US"/>
                          </w:rPr>
                          <m:t>V</m:t>
                        </m:r>
                      </m:e>
                      <m:sub>
                        <m:r>
                          <m:rPr>
                            <m:sty m:val="p"/>
                          </m:rPr>
                          <w:rPr>
                            <w:rFonts w:ascii="Cambria Math" w:eastAsia="Cambria Math" w:hAnsi="Cambria Math" w:cs="Arial"/>
                            <w:lang w:val="en-US"/>
                          </w:rPr>
                          <m:t>R</m:t>
                        </m:r>
                      </m:sub>
                    </m:sSub>
                  </m:num>
                  <m:den>
                    <m:r>
                      <w:rPr>
                        <w:rFonts w:ascii="Cambria Math" w:hAnsi="Cambria Math" w:cs="Arial"/>
                        <w:lang w:val="en-US" w:bidi="en-US"/>
                      </w:rPr>
                      <m:t>-</m:t>
                    </m:r>
                    <m:sSub>
                      <m:sSubPr>
                        <m:ctrlPr>
                          <w:rPr>
                            <w:rFonts w:ascii="Cambria Math" w:eastAsia="Cambria Math" w:hAnsi="Cambria Math" w:cs="Arial"/>
                            <w:i/>
                            <w:iCs/>
                            <w:lang w:val="en-US"/>
                          </w:rPr>
                        </m:ctrlPr>
                      </m:sSubPr>
                      <m:e>
                        <m:r>
                          <m:rPr>
                            <m:sty m:val="p"/>
                          </m:rPr>
                          <w:rPr>
                            <w:rFonts w:ascii="Cambria Math" w:hAnsi="Cambria Math" w:cs="Arial"/>
                            <w:lang w:val="en-US" w:bidi="en-US"/>
                          </w:rPr>
                          <m:t>Δ</m:t>
                        </m:r>
                      </m:e>
                      <m:sub>
                        <m:r>
                          <m:rPr>
                            <m:sty m:val="p"/>
                          </m:rPr>
                          <w:rPr>
                            <w:rFonts w:ascii="Cambria Math" w:hAnsi="Cambria Math" w:cs="Arial"/>
                            <w:lang w:val="en-US" w:bidi="en-US"/>
                          </w:rPr>
                          <m:t>R</m:t>
                        </m:r>
                      </m:sub>
                    </m:sSub>
                    <m:acc>
                      <m:accPr>
                        <m:chr m:val="̃"/>
                        <m:ctrlPr>
                          <w:rPr>
                            <w:rFonts w:ascii="Cambria Math" w:eastAsia="Cambria Math" w:hAnsi="Cambria Math" w:cs="Arial"/>
                            <w:i/>
                            <w:iCs/>
                            <w:lang w:val="en-US"/>
                          </w:rPr>
                        </m:ctrlPr>
                      </m:accPr>
                      <m:e>
                        <m:r>
                          <w:rPr>
                            <w:rFonts w:ascii="Cambria Math" w:hAnsi="Cambria Math" w:cs="Arial"/>
                            <w:lang w:val="en-US" w:bidi="en-US"/>
                          </w:rPr>
                          <m:t>H</m:t>
                        </m:r>
                      </m:e>
                    </m:acc>
                    <m:sSub>
                      <m:sSubPr>
                        <m:ctrlPr>
                          <w:rPr>
                            <w:rFonts w:ascii="Cambria Math" w:eastAsia="Cambria Math" w:hAnsi="Cambria Math" w:cs="Arial"/>
                            <w:i/>
                            <w:lang w:val="en-US"/>
                          </w:rPr>
                        </m:ctrlPr>
                      </m:sSubPr>
                      <m:e>
                        <m:acc>
                          <m:accPr>
                            <m:chr m:val="̇"/>
                            <m:ctrlPr>
                              <w:rPr>
                                <w:rFonts w:ascii="Cambria Math" w:eastAsia="Cambria Math" w:hAnsi="Cambria Math" w:cs="Arial"/>
                                <w:i/>
                                <w:lang w:val="en-US"/>
                              </w:rPr>
                            </m:ctrlPr>
                          </m:accPr>
                          <m:e>
                            <m:r>
                              <w:rPr>
                                <w:rFonts w:ascii="Cambria Math" w:hAnsi="Cambria Math" w:cs="Arial"/>
                                <w:lang w:val="en-US" w:bidi="en-US"/>
                              </w:rPr>
                              <m:t>N</m:t>
                            </m:r>
                          </m:e>
                        </m:acc>
                      </m:e>
                      <m:sub>
                        <m:r>
                          <m:rPr>
                            <m:sty m:val="p"/>
                          </m:rPr>
                          <w:rPr>
                            <w:rFonts w:ascii="Cambria Math" w:hAnsi="Cambria Math" w:cs="Arial"/>
                            <w:lang w:val="en-US" w:bidi="en-US"/>
                          </w:rPr>
                          <m:t>C</m:t>
                        </m:r>
                        <m:sSub>
                          <m:sSubPr>
                            <m:ctrlPr>
                              <w:rPr>
                                <w:rFonts w:ascii="Cambria Math" w:eastAsia="Cambria Math" w:hAnsi="Cambria Math" w:cs="Arial"/>
                                <w:i/>
                                <w:lang w:val="en-US"/>
                              </w:rPr>
                            </m:ctrlPr>
                          </m:sSubPr>
                          <m:e>
                            <m:r>
                              <m:rPr>
                                <m:sty m:val="p"/>
                              </m:rPr>
                              <w:rPr>
                                <w:rFonts w:ascii="Cambria Math" w:hAnsi="Cambria Math" w:cs="Arial"/>
                                <w:lang w:val="en-US" w:bidi="en-US"/>
                              </w:rPr>
                              <m:t>O</m:t>
                            </m:r>
                          </m:e>
                          <m:sub>
                            <m:r>
                              <w:rPr>
                                <w:rFonts w:ascii="Cambria Math" w:hAnsi="Cambria Math" w:cs="Arial"/>
                                <w:lang w:val="en-US" w:bidi="en-US"/>
                              </w:rPr>
                              <m:t>2</m:t>
                            </m:r>
                          </m:sub>
                        </m:sSub>
                        <m:r>
                          <w:rPr>
                            <w:rFonts w:ascii="Cambria Math" w:hAnsi="Cambria Math" w:cs="Arial"/>
                            <w:lang w:val="en-US" w:bidi="en-US"/>
                          </w:rPr>
                          <m:t>,</m:t>
                        </m:r>
                        <m:r>
                          <m:rPr>
                            <m:sty m:val="p"/>
                          </m:rPr>
                          <w:rPr>
                            <w:rFonts w:ascii="Cambria Math" w:hAnsi="Cambria Math" w:cs="Arial"/>
                            <w:lang w:val="en-US" w:bidi="en-US"/>
                          </w:rPr>
                          <m:t>in</m:t>
                        </m:r>
                      </m:sub>
                    </m:sSub>
                  </m:den>
                </m:f>
              </m:oMath>
            </m:oMathPara>
          </w:p>
        </w:tc>
        <w:tc>
          <w:tcPr>
            <w:tcW w:w="815" w:type="dxa"/>
            <w:vAlign w:val="center"/>
          </w:tcPr>
          <w:p w14:paraId="06517526" w14:textId="3EC4556C" w:rsidR="009405AE" w:rsidRPr="002856DE" w:rsidRDefault="00000000">
            <w:pPr>
              <w:pStyle w:val="CETEquation"/>
              <w:jc w:val="right"/>
              <w:rPr>
                <w:rFonts w:cs="Arial"/>
                <w:lang w:val="en-US"/>
              </w:rPr>
            </w:pPr>
            <w:r w:rsidRPr="002856DE">
              <w:rPr>
                <w:rFonts w:cs="Arial"/>
                <w:lang w:val="en-US"/>
              </w:rPr>
              <w:t>(</w:t>
            </w:r>
            <w:r w:rsidR="005660A0" w:rsidRPr="002856DE">
              <w:rPr>
                <w:rFonts w:cs="Arial"/>
                <w:lang w:val="en-US"/>
              </w:rPr>
              <w:t>6</w:t>
            </w:r>
            <w:r w:rsidRPr="002856DE">
              <w:rPr>
                <w:rFonts w:cs="Arial"/>
                <w:lang w:val="en-US"/>
              </w:rPr>
              <w:t>)</w:t>
            </w:r>
          </w:p>
        </w:tc>
      </w:tr>
    </w:tbl>
    <w:p w14:paraId="712AAE2F" w14:textId="2E596DF8" w:rsidR="009405AE" w:rsidRPr="002856DE" w:rsidRDefault="00000000">
      <w:pPr>
        <w:pStyle w:val="CETBodytext"/>
        <w:rPr>
          <w:rFonts w:cs="Arial"/>
        </w:rPr>
      </w:pPr>
      <w:r w:rsidRPr="002856DE">
        <w:rPr>
          <w:rFonts w:cs="Arial"/>
        </w:rPr>
        <w:t xml:space="preserve">A relative </w:t>
      </w:r>
      <w:r w:rsidR="009B57F7" w:rsidRPr="002856DE">
        <w:rPr>
          <w:rFonts w:cs="Arial"/>
        </w:rPr>
        <w:t>electric pow</w:t>
      </w:r>
      <w:r w:rsidRPr="002856DE">
        <w:rPr>
          <w:rFonts w:cs="Arial"/>
        </w:rPr>
        <w:t xml:space="preserve">er of unity thus correlates to </w:t>
      </w:r>
      <w:r w:rsidR="00573D3F" w:rsidRPr="002856DE">
        <w:rPr>
          <w:rFonts w:cs="Arial"/>
        </w:rPr>
        <w:t xml:space="preserve">an </w:t>
      </w:r>
      <w:r w:rsidR="005660A0" w:rsidRPr="002856DE">
        <w:rPr>
          <w:rFonts w:cs="Arial"/>
        </w:rPr>
        <w:t>electric</w:t>
      </w:r>
      <w:r w:rsidR="00671D2B" w:rsidRPr="002856DE">
        <w:rPr>
          <w:rFonts w:cs="Arial"/>
        </w:rPr>
        <w:t>-</w:t>
      </w:r>
      <w:r w:rsidR="005660A0" w:rsidRPr="002856DE">
        <w:rPr>
          <w:rFonts w:cs="Arial"/>
        </w:rPr>
        <w:t>hea</w:t>
      </w:r>
      <w:r w:rsidR="00573D3F" w:rsidRPr="002856DE">
        <w:rPr>
          <w:rFonts w:cs="Arial"/>
        </w:rPr>
        <w:t xml:space="preserve">ting power equal to </w:t>
      </w:r>
      <w:r w:rsidRPr="002856DE">
        <w:rPr>
          <w:rFonts w:cs="Arial"/>
        </w:rPr>
        <w:t xml:space="preserve">the reaction heat for full conversion. A relative </w:t>
      </w:r>
      <w:r w:rsidR="009B57F7" w:rsidRPr="002856DE">
        <w:rPr>
          <w:rFonts w:cs="Arial"/>
        </w:rPr>
        <w:t>electric pow</w:t>
      </w:r>
      <w:r w:rsidRPr="002856DE">
        <w:rPr>
          <w:rFonts w:cs="Arial"/>
        </w:rPr>
        <w:t>er of zero represents the unelectrified base case.</w:t>
      </w:r>
    </w:p>
    <w:p w14:paraId="0F257623" w14:textId="57C39790" w:rsidR="009405AE" w:rsidRPr="002856DE" w:rsidRDefault="00000000">
      <w:pPr>
        <w:pStyle w:val="CETHeading1"/>
        <w:rPr>
          <w:rFonts w:cs="Arial"/>
        </w:rPr>
      </w:pPr>
      <w:r w:rsidRPr="002856DE">
        <w:rPr>
          <w:rFonts w:cs="Arial"/>
        </w:rPr>
        <w:t xml:space="preserve">Results and </w:t>
      </w:r>
      <w:r w:rsidR="00645A3A" w:rsidRPr="002856DE">
        <w:rPr>
          <w:rFonts w:cs="Arial"/>
        </w:rPr>
        <w:t>d</w:t>
      </w:r>
      <w:r w:rsidRPr="002856DE">
        <w:rPr>
          <w:rFonts w:cs="Arial"/>
        </w:rPr>
        <w:t>iscussion</w:t>
      </w:r>
    </w:p>
    <w:p w14:paraId="53087EA7" w14:textId="45DCF60D" w:rsidR="009405AE" w:rsidRPr="002856DE" w:rsidRDefault="00000000">
      <w:pPr>
        <w:pStyle w:val="CETBodytext"/>
        <w:rPr>
          <w:rFonts w:cs="Arial"/>
        </w:rPr>
      </w:pPr>
      <w:r w:rsidRPr="002856DE">
        <w:rPr>
          <w:rFonts w:cs="Arial"/>
        </w:rPr>
        <w:t>In this section, the following simulation scenarios are analyzed:</w:t>
      </w:r>
    </w:p>
    <w:p w14:paraId="07EFB14D" w14:textId="22C5E976" w:rsidR="009405AE" w:rsidRPr="002856DE" w:rsidRDefault="00000000">
      <w:pPr>
        <w:pStyle w:val="CETListbullets"/>
        <w:numPr>
          <w:ilvl w:val="0"/>
          <w:numId w:val="24"/>
        </w:numPr>
        <w:rPr>
          <w:rFonts w:cs="Arial"/>
          <w:lang w:val="en-US"/>
        </w:rPr>
      </w:pPr>
      <w:r w:rsidRPr="002856DE">
        <w:rPr>
          <w:rFonts w:cs="Arial"/>
          <w:lang w:val="en-US"/>
        </w:rPr>
        <w:t>reduction of coolant temperature with and without internal electric heating and</w:t>
      </w:r>
    </w:p>
    <w:p w14:paraId="2E9DBA8B" w14:textId="32BDCADC" w:rsidR="009405AE" w:rsidRPr="002856DE" w:rsidRDefault="00000000">
      <w:pPr>
        <w:pStyle w:val="CETListbullets"/>
        <w:numPr>
          <w:ilvl w:val="0"/>
          <w:numId w:val="24"/>
        </w:numPr>
        <w:rPr>
          <w:rFonts w:cs="Arial"/>
          <w:lang w:val="en-US"/>
        </w:rPr>
      </w:pPr>
      <w:r w:rsidRPr="002856DE">
        <w:rPr>
          <w:rFonts w:cs="Arial"/>
          <w:lang w:val="en-US"/>
        </w:rPr>
        <w:t>variation of electric heating power to manipulate the hot-spot position.</w:t>
      </w:r>
    </w:p>
    <w:p w14:paraId="2F722687" w14:textId="0EA9CDBC" w:rsidR="009405AE" w:rsidRPr="002856DE" w:rsidRDefault="00000000">
      <w:pPr>
        <w:pStyle w:val="CETheadingx"/>
        <w:rPr>
          <w:rFonts w:cs="Arial"/>
        </w:rPr>
      </w:pPr>
      <w:r w:rsidRPr="002856DE">
        <w:rPr>
          <w:rFonts w:cs="Arial"/>
        </w:rPr>
        <w:t>Reduction of coolant temperature</w:t>
      </w:r>
    </w:p>
    <w:p w14:paraId="740A45A7" w14:textId="4D77D283" w:rsidR="009405AE" w:rsidRPr="002856DE" w:rsidRDefault="00000000">
      <w:pPr>
        <w:pStyle w:val="CETBodytext"/>
        <w:rPr>
          <w:rFonts w:cs="Arial"/>
        </w:rPr>
      </w:pPr>
      <w:r w:rsidRPr="002856DE">
        <w:rPr>
          <w:rFonts w:cs="Arial"/>
        </w:rPr>
        <w:t xml:space="preserve">A first important application of internal electric heating is the extension of the feasible operating window towards lower coolant temperatures. In a purely cooled exothermic reactor, the coolant temperature must often be high enough to ensure ignition and sufficient reaction rates, even though </w:t>
      </w:r>
      <w:r w:rsidR="00671D2B" w:rsidRPr="002856DE">
        <w:rPr>
          <w:rFonts w:cs="Arial"/>
        </w:rPr>
        <w:t>lower coolant temperatures would improve heat removal and ease temperature constraints on the reactor wall and coolant</w:t>
      </w:r>
      <w:r w:rsidRPr="002856DE">
        <w:rPr>
          <w:rFonts w:cs="Arial"/>
        </w:rPr>
        <w:t>. This leads to a fundamental compromise in the reactor design.</w:t>
      </w:r>
    </w:p>
    <w:p w14:paraId="3AA8BB65" w14:textId="77777777" w:rsidR="007C0DAF" w:rsidRPr="002856DE" w:rsidRDefault="007C0DAF">
      <w:pPr>
        <w:pStyle w:val="CETBodytext"/>
        <w:rPr>
          <w:rFonts w:cs="Arial"/>
        </w:rPr>
      </w:pPr>
    </w:p>
    <w:tbl>
      <w:tblPr>
        <w:tblStyle w:val="PlainTable4"/>
        <w:tblW w:w="0" w:type="auto"/>
        <w:tblCellMar>
          <w:left w:w="70" w:type="dxa"/>
          <w:right w:w="70" w:type="dxa"/>
        </w:tblCellMar>
        <w:tblLook w:val="04A0" w:firstRow="1" w:lastRow="0" w:firstColumn="1" w:lastColumn="0" w:noHBand="0" w:noVBand="1"/>
      </w:tblPr>
      <w:tblGrid>
        <w:gridCol w:w="4405"/>
        <w:gridCol w:w="4372"/>
      </w:tblGrid>
      <w:tr w:rsidR="007C0DAF" w:rsidRPr="002856DE" w14:paraId="12DEC762" w14:textId="77777777" w:rsidTr="004843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05" w:type="dxa"/>
          </w:tcPr>
          <w:p w14:paraId="76DE35CA" w14:textId="1C6D981C" w:rsidR="007C0DAF" w:rsidRPr="002856DE" w:rsidRDefault="004843E0" w:rsidP="009069AF">
            <w:pPr>
              <w:pStyle w:val="CETBodytext"/>
              <w:jc w:val="center"/>
              <w:rPr>
                <w:rFonts w:cs="Arial"/>
              </w:rPr>
            </w:pPr>
            <w:r w:rsidRPr="002856DE">
              <w:rPr>
                <w:rFonts w:cs="Arial"/>
                <w:noProof/>
              </w:rPr>
              <w:lastRenderedPageBreak/>
              <w:drawing>
                <wp:inline distT="0" distB="0" distL="0" distR="0" wp14:anchorId="68AC5911" wp14:editId="3A0D8D49">
                  <wp:extent cx="2505456" cy="2487168"/>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05456" cy="2487168"/>
                          </a:xfrm>
                          <a:prstGeom prst="rect">
                            <a:avLst/>
                          </a:prstGeom>
                          <a:noFill/>
                          <a:ln>
                            <a:noFill/>
                          </a:ln>
                        </pic:spPr>
                      </pic:pic>
                    </a:graphicData>
                  </a:graphic>
                </wp:inline>
              </w:drawing>
            </w:r>
          </w:p>
          <w:p w14:paraId="45C27534" w14:textId="77777777" w:rsidR="007C0DAF" w:rsidRPr="002856DE" w:rsidRDefault="007C0DAF" w:rsidP="009069AF">
            <w:pPr>
              <w:pStyle w:val="CETBodytext"/>
              <w:jc w:val="center"/>
              <w:rPr>
                <w:rFonts w:cs="Arial"/>
              </w:rPr>
            </w:pPr>
            <w:r w:rsidRPr="002856DE">
              <w:rPr>
                <w:rFonts w:cs="Arial"/>
                <w:b w:val="0"/>
                <w:bCs w:val="0"/>
              </w:rPr>
              <w:t>(a)</w:t>
            </w:r>
          </w:p>
        </w:tc>
        <w:tc>
          <w:tcPr>
            <w:tcW w:w="4372" w:type="dxa"/>
          </w:tcPr>
          <w:p w14:paraId="5017183E" w14:textId="1A9D9E74" w:rsidR="007C0DAF" w:rsidRPr="002856DE" w:rsidRDefault="00AB4AC6" w:rsidP="009069AF">
            <w:pPr>
              <w:pStyle w:val="CETBodytext"/>
              <w:cnfStyle w:val="100000000000" w:firstRow="1" w:lastRow="0" w:firstColumn="0" w:lastColumn="0" w:oddVBand="0" w:evenVBand="0" w:oddHBand="0" w:evenHBand="0" w:firstRowFirstColumn="0" w:firstRowLastColumn="0" w:lastRowFirstColumn="0" w:lastRowLastColumn="0"/>
              <w:rPr>
                <w:rFonts w:cs="Arial"/>
                <w:b w:val="0"/>
                <w:bCs w:val="0"/>
              </w:rPr>
            </w:pPr>
            <w:r w:rsidRPr="002856DE">
              <w:rPr>
                <w:rFonts w:cs="Arial"/>
                <w:noProof/>
              </w:rPr>
              <w:drawing>
                <wp:inline distT="0" distB="0" distL="0" distR="0" wp14:anchorId="6DE3DE04" wp14:editId="2ADE8AAB">
                  <wp:extent cx="2606040" cy="2478024"/>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06040" cy="2478024"/>
                          </a:xfrm>
                          <a:prstGeom prst="rect">
                            <a:avLst/>
                          </a:prstGeom>
                          <a:noFill/>
                          <a:ln>
                            <a:noFill/>
                          </a:ln>
                        </pic:spPr>
                      </pic:pic>
                    </a:graphicData>
                  </a:graphic>
                </wp:inline>
              </w:drawing>
            </w:r>
          </w:p>
          <w:p w14:paraId="2109DFE3" w14:textId="77777777" w:rsidR="007C0DAF" w:rsidRPr="002856DE" w:rsidRDefault="007C0DAF" w:rsidP="009069AF">
            <w:pPr>
              <w:pStyle w:val="CETBodytext"/>
              <w:jc w:val="center"/>
              <w:cnfStyle w:val="100000000000" w:firstRow="1" w:lastRow="0" w:firstColumn="0" w:lastColumn="0" w:oddVBand="0" w:evenVBand="0" w:oddHBand="0" w:evenHBand="0" w:firstRowFirstColumn="0" w:firstRowLastColumn="0" w:lastRowFirstColumn="0" w:lastRowLastColumn="0"/>
              <w:rPr>
                <w:rFonts w:cs="Arial"/>
                <w:b w:val="0"/>
                <w:bCs w:val="0"/>
              </w:rPr>
            </w:pPr>
            <w:r w:rsidRPr="002856DE">
              <w:rPr>
                <w:rFonts w:cs="Arial"/>
                <w:b w:val="0"/>
                <w:bCs w:val="0"/>
              </w:rPr>
              <w:t>(b)</w:t>
            </w:r>
          </w:p>
        </w:tc>
      </w:tr>
    </w:tbl>
    <w:p w14:paraId="036E0F5F" w14:textId="67DCC875" w:rsidR="007C0DAF" w:rsidRPr="002856DE" w:rsidRDefault="007C0DAF" w:rsidP="007C0DAF">
      <w:pPr>
        <w:pStyle w:val="CETCaption"/>
        <w:rPr>
          <w:rFonts w:cs="Arial"/>
          <w:lang w:val="en-US"/>
        </w:rPr>
      </w:pPr>
      <w:r w:rsidRPr="002856DE">
        <w:rPr>
          <w:rStyle w:val="CETCaptionCarattere"/>
          <w:rFonts w:cs="Arial"/>
          <w:i/>
          <w:lang w:val="en-US"/>
        </w:rPr>
        <w:t xml:space="preserve">Figure 2: (a) Ignition curves for different levels of electric heating (red markers denote examples shown in (b)). (b) </w:t>
      </w:r>
      <w:r w:rsidR="00602299" w:rsidRPr="002856DE">
        <w:rPr>
          <w:rStyle w:val="CETCaptionCarattere"/>
          <w:rFonts w:cs="Arial"/>
          <w:i/>
          <w:lang w:val="en-US"/>
        </w:rPr>
        <w:t>Corresponding axial temperature profiles</w:t>
      </w:r>
    </w:p>
    <w:p w14:paraId="491F0BBB" w14:textId="11DC1E75" w:rsidR="009405AE" w:rsidRPr="002856DE" w:rsidRDefault="00000000">
      <w:pPr>
        <w:pStyle w:val="CETBodytext"/>
        <w:rPr>
          <w:rFonts w:cs="Arial"/>
        </w:rPr>
      </w:pPr>
      <w:r w:rsidRPr="002856DE">
        <w:rPr>
          <w:rFonts w:cs="Arial"/>
        </w:rPr>
        <w:t xml:space="preserve">To investigate the effect of </w:t>
      </w:r>
      <w:r w:rsidR="005660A0" w:rsidRPr="002856DE">
        <w:rPr>
          <w:rFonts w:cs="Arial"/>
        </w:rPr>
        <w:t>electric hea</w:t>
      </w:r>
      <w:r w:rsidRPr="002856DE">
        <w:rPr>
          <w:rFonts w:cs="Arial"/>
        </w:rPr>
        <w:t xml:space="preserve">ting on coolant temperatures, the ignition curve, i.e., the reactor conversion over the coolant </w:t>
      </w:r>
      <w:r w:rsidR="00EF795F" w:rsidRPr="002856DE">
        <w:rPr>
          <w:rFonts w:cs="Arial"/>
        </w:rPr>
        <w:t>temperature,</w:t>
      </w:r>
      <w:r w:rsidRPr="002856DE">
        <w:rPr>
          <w:rFonts w:cs="Arial"/>
        </w:rPr>
        <w:t xml:space="preserve"> is simulated for several relative </w:t>
      </w:r>
      <w:r w:rsidR="009B57F7" w:rsidRPr="002856DE">
        <w:rPr>
          <w:rFonts w:cs="Arial"/>
        </w:rPr>
        <w:t>electric pow</w:t>
      </w:r>
      <w:r w:rsidRPr="002856DE">
        <w:rPr>
          <w:rFonts w:cs="Arial"/>
        </w:rPr>
        <w:t xml:space="preserve">er values ranging from zero to </w:t>
      </w:r>
      <w:r w:rsidR="005F7154" w:rsidRPr="002856DE">
        <w:rPr>
          <w:rFonts w:cs="Arial"/>
        </w:rPr>
        <w:t>two</w:t>
      </w:r>
      <w:r w:rsidRPr="002856DE">
        <w:rPr>
          <w:rFonts w:cs="Arial"/>
        </w:rPr>
        <w:t xml:space="preserve">. The results, shown in Figure 2a, clearly </w:t>
      </w:r>
      <w:r w:rsidR="00EF795F" w:rsidRPr="002856DE">
        <w:rPr>
          <w:rFonts w:cs="Arial"/>
        </w:rPr>
        <w:t xml:space="preserve">indicate </w:t>
      </w:r>
      <w:r w:rsidRPr="002856DE">
        <w:rPr>
          <w:rFonts w:cs="Arial"/>
        </w:rPr>
        <w:t xml:space="preserve">the characteristic ignition curve of an exothermic reaction, which exhibits the kinetic limitations </w:t>
      </w:r>
      <w:r w:rsidR="00671D2B" w:rsidRPr="002856DE">
        <w:rPr>
          <w:rFonts w:cs="Arial"/>
        </w:rPr>
        <w:t>at</w:t>
      </w:r>
      <w:r w:rsidRPr="002856DE">
        <w:rPr>
          <w:rFonts w:cs="Arial"/>
        </w:rPr>
        <w:t xml:space="preserve"> lower temperatures and equilibrium limitations at higher temperatures. Comparing the curve of the unelectrified base case to the other curves shows only minor differences in shape, but large differences in position. In other words, introducing </w:t>
      </w:r>
      <w:r w:rsidR="005660A0" w:rsidRPr="002856DE">
        <w:rPr>
          <w:rFonts w:cs="Arial"/>
        </w:rPr>
        <w:t>electric hea</w:t>
      </w:r>
      <w:r w:rsidRPr="002856DE">
        <w:rPr>
          <w:rFonts w:cs="Arial"/>
        </w:rPr>
        <w:t>t shifts the ignition curve towards lower temperatures and thus reduces the cool</w:t>
      </w:r>
      <w:r w:rsidR="00CE2278">
        <w:rPr>
          <w:rFonts w:cs="Arial"/>
        </w:rPr>
        <w:t>ant</w:t>
      </w:r>
      <w:r w:rsidRPr="002856DE">
        <w:rPr>
          <w:rFonts w:cs="Arial"/>
        </w:rPr>
        <w:t xml:space="preserve"> temperature</w:t>
      </w:r>
      <w:r w:rsidR="00671D2B" w:rsidRPr="002856DE">
        <w:rPr>
          <w:rFonts w:cs="Arial"/>
        </w:rPr>
        <w:t xml:space="preserve"> required for ignition</w:t>
      </w:r>
      <w:r w:rsidRPr="002856DE">
        <w:rPr>
          <w:rFonts w:cs="Arial"/>
        </w:rPr>
        <w:t xml:space="preserve">. </w:t>
      </w:r>
      <w:r w:rsidR="005F7154" w:rsidRPr="002856DE">
        <w:rPr>
          <w:rFonts w:cs="Arial"/>
        </w:rPr>
        <w:t>This relaxes the aforementioned compromise and enables an ignited state at significantly lower coolant temperatures compared with the base case</w:t>
      </w:r>
      <w:r w:rsidR="00F628BD" w:rsidRPr="002856DE">
        <w:rPr>
          <w:rFonts w:cs="Arial"/>
        </w:rPr>
        <w:t xml:space="preserve">. For example, at </w:t>
      </w:r>
      <w:r w:rsidR="00CF79F0" w:rsidRPr="002856DE">
        <w:rPr>
          <w:rFonts w:cs="Arial"/>
        </w:rPr>
        <w:t xml:space="preserve">the high </w:t>
      </w:r>
      <w:r w:rsidR="00F628BD" w:rsidRPr="002856DE">
        <w:rPr>
          <w:rFonts w:cs="Arial"/>
        </w:rPr>
        <w:t xml:space="preserve">relative electric power of two, the same conversion can be achieved at a coolant temperature of only 137 °C, </w:t>
      </w:r>
      <w:r w:rsidR="00A5032B" w:rsidRPr="002856DE">
        <w:rPr>
          <w:rFonts w:cs="Arial"/>
        </w:rPr>
        <w:t>while</w:t>
      </w:r>
      <w:r w:rsidR="00F628BD" w:rsidRPr="002856DE">
        <w:rPr>
          <w:rFonts w:cs="Arial"/>
        </w:rPr>
        <w:t xml:space="preserve"> the unelectrified base case requires 218 °C.</w:t>
      </w:r>
      <w:r w:rsidRPr="002856DE">
        <w:rPr>
          <w:rFonts w:cs="Arial"/>
        </w:rPr>
        <w:t xml:space="preserve"> The internal heat input thus effectively compensates for the insufficient thermal activation of the feed, while external cooling still removes the reaction heat effectively once the reaction is established.</w:t>
      </w:r>
    </w:p>
    <w:p w14:paraId="30F8470F" w14:textId="7DB06852" w:rsidR="009405AE" w:rsidRPr="002856DE" w:rsidRDefault="00000000">
      <w:pPr>
        <w:pStyle w:val="CETBodytext"/>
        <w:rPr>
          <w:rFonts w:cs="Arial"/>
        </w:rPr>
      </w:pPr>
      <w:r w:rsidRPr="002856DE">
        <w:rPr>
          <w:rFonts w:cs="Arial"/>
        </w:rPr>
        <w:t xml:space="preserve">This effect is illustrated in Figure 2b, where </w:t>
      </w:r>
      <w:r w:rsidR="00A16218" w:rsidRPr="002856DE">
        <w:rPr>
          <w:rFonts w:cs="Arial"/>
        </w:rPr>
        <w:t>four</w:t>
      </w:r>
      <w:r w:rsidR="00353136" w:rsidRPr="002856DE">
        <w:rPr>
          <w:rFonts w:cs="Arial"/>
        </w:rPr>
        <w:t xml:space="preserve"> </w:t>
      </w:r>
      <w:r w:rsidRPr="002856DE">
        <w:rPr>
          <w:rFonts w:cs="Arial"/>
        </w:rPr>
        <w:t xml:space="preserve">axial temperature </w:t>
      </w:r>
      <w:r w:rsidR="00353136" w:rsidRPr="002856DE">
        <w:rPr>
          <w:rFonts w:cs="Arial"/>
        </w:rPr>
        <w:t xml:space="preserve">profiles </w:t>
      </w:r>
      <w:r w:rsidRPr="002856DE">
        <w:rPr>
          <w:rFonts w:cs="Arial"/>
        </w:rPr>
        <w:t>are compared</w:t>
      </w:r>
      <w:r w:rsidR="00CA4C59">
        <w:rPr>
          <w:rFonts w:cs="Arial"/>
        </w:rPr>
        <w:t>:</w:t>
      </w:r>
      <w:r w:rsidRPr="002856DE">
        <w:rPr>
          <w:rFonts w:cs="Arial"/>
        </w:rPr>
        <w:t xml:space="preserve"> </w:t>
      </w:r>
      <w:r w:rsidR="00CA4C59">
        <w:rPr>
          <w:rFonts w:cs="Arial"/>
        </w:rPr>
        <w:t>an</w:t>
      </w:r>
      <w:r w:rsidRPr="002856DE">
        <w:rPr>
          <w:rFonts w:cs="Arial"/>
        </w:rPr>
        <w:t xml:space="preserve"> </w:t>
      </w:r>
      <w:r w:rsidR="00CA4C59">
        <w:rPr>
          <w:rFonts w:cs="Arial"/>
        </w:rPr>
        <w:t>un</w:t>
      </w:r>
      <w:r w:rsidRPr="002856DE">
        <w:rPr>
          <w:rFonts w:cs="Arial"/>
        </w:rPr>
        <w:t>ignited base case</w:t>
      </w:r>
      <w:r w:rsidR="00353136" w:rsidRPr="002856DE">
        <w:rPr>
          <w:rFonts w:cs="Arial"/>
        </w:rPr>
        <w:t xml:space="preserve">, </w:t>
      </w:r>
      <w:r w:rsidR="00CA4C59">
        <w:rPr>
          <w:rFonts w:cs="Arial"/>
        </w:rPr>
        <w:t>an</w:t>
      </w:r>
      <w:r w:rsidR="00353136" w:rsidRPr="002856DE">
        <w:rPr>
          <w:rFonts w:cs="Arial"/>
        </w:rPr>
        <w:t xml:space="preserve"> ignited base case</w:t>
      </w:r>
      <w:r w:rsidRPr="002856DE">
        <w:rPr>
          <w:rFonts w:cs="Arial"/>
        </w:rPr>
        <w:t xml:space="preserve"> as well as </w:t>
      </w:r>
      <w:r w:rsidR="00CA4C59">
        <w:rPr>
          <w:rFonts w:cs="Arial"/>
        </w:rPr>
        <w:t>two</w:t>
      </w:r>
      <w:r w:rsidR="00353136" w:rsidRPr="002856DE">
        <w:rPr>
          <w:rFonts w:cs="Arial"/>
        </w:rPr>
        <w:t xml:space="preserve"> ignited </w:t>
      </w:r>
      <w:r w:rsidR="00671D2B" w:rsidRPr="002856DE">
        <w:rPr>
          <w:rFonts w:cs="Arial"/>
        </w:rPr>
        <w:t>case</w:t>
      </w:r>
      <w:r w:rsidR="00CA4C59">
        <w:rPr>
          <w:rFonts w:cs="Arial"/>
        </w:rPr>
        <w:t>s</w:t>
      </w:r>
      <w:r w:rsidR="00671D2B" w:rsidRPr="002856DE">
        <w:rPr>
          <w:rFonts w:cs="Arial"/>
        </w:rPr>
        <w:t xml:space="preserve"> with </w:t>
      </w:r>
      <w:r w:rsidR="00CA4C59">
        <w:rPr>
          <w:rFonts w:cs="Arial"/>
        </w:rPr>
        <w:t xml:space="preserve">low and high </w:t>
      </w:r>
      <w:r w:rsidR="00353136" w:rsidRPr="002856DE">
        <w:rPr>
          <w:rFonts w:cs="Arial"/>
        </w:rPr>
        <w:t>electric heating</w:t>
      </w:r>
      <w:r w:rsidR="00CA4C59">
        <w:rPr>
          <w:rFonts w:cs="Arial"/>
        </w:rPr>
        <w:t xml:space="preserve"> respectively</w:t>
      </w:r>
      <w:r w:rsidRPr="002856DE">
        <w:rPr>
          <w:rFonts w:cs="Arial"/>
        </w:rPr>
        <w:t xml:space="preserve">. The </w:t>
      </w:r>
      <w:r w:rsidR="00353136" w:rsidRPr="002856DE">
        <w:rPr>
          <w:rFonts w:cs="Arial"/>
        </w:rPr>
        <w:t xml:space="preserve">ignited </w:t>
      </w:r>
      <w:r w:rsidRPr="002856DE">
        <w:rPr>
          <w:rFonts w:cs="Arial"/>
        </w:rPr>
        <w:t xml:space="preserve">base case shows the characteristic hot-spot profile of an ignited methanation reactor that indicates high conversions. At reduced coolant temperatures, the </w:t>
      </w:r>
      <w:r w:rsidR="00353136" w:rsidRPr="002856DE">
        <w:rPr>
          <w:rFonts w:cs="Arial"/>
        </w:rPr>
        <w:t>base case remains unignited due to insufficient internal temperatures</w:t>
      </w:r>
      <w:r w:rsidRPr="002856DE">
        <w:rPr>
          <w:rFonts w:cs="Arial"/>
        </w:rPr>
        <w:t>, which results in low conversions. With internal heating</w:t>
      </w:r>
      <w:r w:rsidR="00353136" w:rsidRPr="002856DE">
        <w:rPr>
          <w:rFonts w:cs="Arial"/>
        </w:rPr>
        <w:t xml:space="preserve"> at the same reduced coolant temperature</w:t>
      </w:r>
      <w:r w:rsidRPr="002856DE">
        <w:rPr>
          <w:rFonts w:cs="Arial"/>
        </w:rPr>
        <w:t xml:space="preserve">, </w:t>
      </w:r>
      <w:r w:rsidR="00671D2B" w:rsidRPr="002856DE">
        <w:rPr>
          <w:rFonts w:cs="Arial"/>
        </w:rPr>
        <w:t>the electrically assisted reactor reaches an ignited state and develops a hot-spot profile similar to that of the ignited base case</w:t>
      </w:r>
      <w:r w:rsidRPr="002856DE">
        <w:rPr>
          <w:rFonts w:cs="Arial"/>
        </w:rPr>
        <w:t xml:space="preserve">. </w:t>
      </w:r>
      <w:r w:rsidR="00CA4C59">
        <w:rPr>
          <w:rFonts w:cs="Arial"/>
        </w:rPr>
        <w:t xml:space="preserve">A similar conversion is achieved </w:t>
      </w:r>
      <w:r w:rsidR="00CE2278">
        <w:rPr>
          <w:rFonts w:cs="Arial"/>
        </w:rPr>
        <w:t>even when</w:t>
      </w:r>
      <w:r w:rsidR="00CA4C59">
        <w:rPr>
          <w:rFonts w:cs="Arial"/>
        </w:rPr>
        <w:t xml:space="preserve"> further decreasing the coolant temperature </w:t>
      </w:r>
      <w:r w:rsidR="00CE2278">
        <w:rPr>
          <w:rFonts w:cs="Arial"/>
        </w:rPr>
        <w:t xml:space="preserve">by </w:t>
      </w:r>
      <w:r w:rsidR="00CA4C59">
        <w:rPr>
          <w:rFonts w:cs="Arial"/>
        </w:rPr>
        <w:t xml:space="preserve">increasing the electric heating. </w:t>
      </w:r>
      <w:r w:rsidRPr="002856DE">
        <w:rPr>
          <w:rFonts w:cs="Arial"/>
        </w:rPr>
        <w:t>The practical implication is substantial: reactor operation can become less dependent on elevated coolant temperatures and thus less constrained by the thermal limitations of the reactor material and the cooling medium. In particular, this may facilitate the use of simpler cooling concepts or reduce the need for more demanding high-temperature coolants</w:t>
      </w:r>
      <w:r w:rsidR="00671D2B" w:rsidRPr="002856DE">
        <w:rPr>
          <w:rFonts w:cs="Arial"/>
        </w:rPr>
        <w:t>. This also suggests that ignition may be possible under extreme conditions, such as with a room-temperature coolant</w:t>
      </w:r>
      <w:r w:rsidRPr="002856DE">
        <w:rPr>
          <w:rFonts w:cs="Arial"/>
        </w:rPr>
        <w:t>.</w:t>
      </w:r>
    </w:p>
    <w:p w14:paraId="61BB74EB" w14:textId="7819E1B4" w:rsidR="009405AE" w:rsidRPr="002856DE" w:rsidRDefault="00000000">
      <w:pPr>
        <w:pStyle w:val="CETheadingx"/>
        <w:rPr>
          <w:rFonts w:cs="Arial"/>
        </w:rPr>
      </w:pPr>
      <w:r w:rsidRPr="002856DE">
        <w:rPr>
          <w:rFonts w:cs="Arial"/>
        </w:rPr>
        <w:t>Control of hot-spot position</w:t>
      </w:r>
    </w:p>
    <w:p w14:paraId="7A358B2E" w14:textId="22190A6D" w:rsidR="009405AE" w:rsidRPr="002856DE" w:rsidRDefault="00000000">
      <w:pPr>
        <w:pStyle w:val="CETBodytext"/>
        <w:rPr>
          <w:rFonts w:cs="Arial"/>
        </w:rPr>
      </w:pPr>
      <w:r w:rsidRPr="002856DE">
        <w:rPr>
          <w:rFonts w:cs="Arial"/>
        </w:rPr>
        <w:t xml:space="preserve">Beyond decoupling coolant temperature from ignition, the additional degree of freedom can be used to influence the axial position of the hot-spot, which can be a critical factor for the reactor design and operation. As reactant concentrations are largest at the inlet, </w:t>
      </w:r>
      <w:r w:rsidR="007C0DAF" w:rsidRPr="002856DE">
        <w:rPr>
          <w:rFonts w:cs="Arial"/>
        </w:rPr>
        <w:t>hot-spot</w:t>
      </w:r>
      <w:r w:rsidRPr="002856DE">
        <w:rPr>
          <w:rFonts w:cs="Arial"/>
        </w:rPr>
        <w:t xml:space="preserve">s in that region will have higher temperatures than in cases with </w:t>
      </w:r>
      <w:r w:rsidR="007C0DAF" w:rsidRPr="002856DE">
        <w:rPr>
          <w:rFonts w:cs="Arial"/>
        </w:rPr>
        <w:t>hot-spot</w:t>
      </w:r>
      <w:r w:rsidRPr="002856DE">
        <w:rPr>
          <w:rFonts w:cs="Arial"/>
        </w:rPr>
        <w:t xml:space="preserve">s closer to the reactor outlet. Additionally, a </w:t>
      </w:r>
      <w:r w:rsidR="007C0DAF" w:rsidRPr="002856DE">
        <w:rPr>
          <w:rFonts w:cs="Arial"/>
        </w:rPr>
        <w:t>hot-spot</w:t>
      </w:r>
      <w:r w:rsidRPr="002856DE">
        <w:rPr>
          <w:rFonts w:cs="Arial"/>
        </w:rPr>
        <w:t xml:space="preserve"> close to the inlet implies underutilization of the remaining reactor length. This is particularly relevant when the operating load range needs to be large, as high loads tend to shift the </w:t>
      </w:r>
      <w:r w:rsidR="007C0DAF" w:rsidRPr="002856DE">
        <w:rPr>
          <w:rFonts w:cs="Arial"/>
        </w:rPr>
        <w:t>hot-spot</w:t>
      </w:r>
      <w:r w:rsidRPr="002856DE">
        <w:rPr>
          <w:rFonts w:cs="Arial"/>
        </w:rPr>
        <w:t xml:space="preserve"> towards the reactor </w:t>
      </w:r>
      <w:r w:rsidR="00671D2B" w:rsidRPr="002856DE">
        <w:rPr>
          <w:rFonts w:cs="Arial"/>
        </w:rPr>
        <w:t>outlet, whereas low loads tend to shift it towards the inlet</w:t>
      </w:r>
      <w:r w:rsidRPr="002856DE">
        <w:rPr>
          <w:rFonts w:cs="Arial"/>
        </w:rPr>
        <w:t xml:space="preserve">. In addition to the reactor load and coolant temperature, the </w:t>
      </w:r>
      <w:r w:rsidR="007C0DAF" w:rsidRPr="002856DE">
        <w:rPr>
          <w:rFonts w:cs="Arial"/>
        </w:rPr>
        <w:t>hot-spot</w:t>
      </w:r>
      <w:r w:rsidRPr="002856DE">
        <w:rPr>
          <w:rFonts w:cs="Arial"/>
        </w:rPr>
        <w:t xml:space="preserve"> position is largely determined by the inlet temperature.</w:t>
      </w:r>
    </w:p>
    <w:tbl>
      <w:tblPr>
        <w:tblStyle w:val="PlainTable4"/>
        <w:tblW w:w="0" w:type="auto"/>
        <w:tblCellMar>
          <w:left w:w="70" w:type="dxa"/>
          <w:right w:w="70" w:type="dxa"/>
        </w:tblCellMar>
        <w:tblLook w:val="04A0" w:firstRow="1" w:lastRow="0" w:firstColumn="1" w:lastColumn="0" w:noHBand="0" w:noVBand="1"/>
      </w:tblPr>
      <w:tblGrid>
        <w:gridCol w:w="4388"/>
        <w:gridCol w:w="4389"/>
      </w:tblGrid>
      <w:tr w:rsidR="007C0DAF" w:rsidRPr="002856DE" w14:paraId="7E955183" w14:textId="77777777" w:rsidTr="004843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88" w:type="dxa"/>
          </w:tcPr>
          <w:p w14:paraId="3F381921" w14:textId="4D6B37BF" w:rsidR="007C0DAF" w:rsidRPr="002856DE" w:rsidRDefault="009A50B9" w:rsidP="002017C3">
            <w:pPr>
              <w:pStyle w:val="CETBodytext"/>
              <w:jc w:val="center"/>
              <w:rPr>
                <w:rFonts w:cs="Arial"/>
                <w:b w:val="0"/>
                <w:bCs w:val="0"/>
              </w:rPr>
            </w:pPr>
            <w:r>
              <w:rPr>
                <w:noProof/>
              </w:rPr>
              <w:lastRenderedPageBreak/>
              <w:drawing>
                <wp:inline distT="0" distB="0" distL="0" distR="0" wp14:anchorId="369ADC3D" wp14:editId="4817ACB0">
                  <wp:extent cx="2592000" cy="247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92000" cy="2476800"/>
                          </a:xfrm>
                          <a:prstGeom prst="rect">
                            <a:avLst/>
                          </a:prstGeom>
                          <a:noFill/>
                          <a:ln>
                            <a:noFill/>
                          </a:ln>
                        </pic:spPr>
                      </pic:pic>
                    </a:graphicData>
                  </a:graphic>
                </wp:inline>
              </w:drawing>
            </w:r>
          </w:p>
          <w:p w14:paraId="6628DF54" w14:textId="77777777" w:rsidR="007C0DAF" w:rsidRPr="002856DE" w:rsidRDefault="007C0DAF" w:rsidP="009069AF">
            <w:pPr>
              <w:pStyle w:val="CETBodytext"/>
              <w:jc w:val="center"/>
              <w:rPr>
                <w:rFonts w:cs="Arial"/>
                <w:b w:val="0"/>
                <w:bCs w:val="0"/>
              </w:rPr>
            </w:pPr>
            <w:r w:rsidRPr="002856DE">
              <w:rPr>
                <w:rFonts w:cs="Arial"/>
                <w:b w:val="0"/>
                <w:bCs w:val="0"/>
              </w:rPr>
              <w:t>(a)</w:t>
            </w:r>
          </w:p>
        </w:tc>
        <w:tc>
          <w:tcPr>
            <w:tcW w:w="4389" w:type="dxa"/>
          </w:tcPr>
          <w:p w14:paraId="490C7946" w14:textId="3820B1C3" w:rsidR="007C0DAF" w:rsidRPr="002856DE" w:rsidRDefault="004843E0" w:rsidP="009069AF">
            <w:pPr>
              <w:pStyle w:val="CETBodytext"/>
              <w:jc w:val="center"/>
              <w:cnfStyle w:val="100000000000" w:firstRow="1" w:lastRow="0" w:firstColumn="0" w:lastColumn="0" w:oddVBand="0" w:evenVBand="0" w:oddHBand="0" w:evenHBand="0" w:firstRowFirstColumn="0" w:firstRowLastColumn="0" w:lastRowFirstColumn="0" w:lastRowLastColumn="0"/>
              <w:rPr>
                <w:rFonts w:cs="Arial"/>
              </w:rPr>
            </w:pPr>
            <w:r w:rsidRPr="002856DE">
              <w:rPr>
                <w:rFonts w:cs="Arial"/>
                <w:noProof/>
              </w:rPr>
              <w:drawing>
                <wp:inline distT="0" distB="0" distL="0" distR="0" wp14:anchorId="51EB7CC6" wp14:editId="59505FFA">
                  <wp:extent cx="2606040" cy="2478024"/>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06040" cy="2478024"/>
                          </a:xfrm>
                          <a:prstGeom prst="rect">
                            <a:avLst/>
                          </a:prstGeom>
                          <a:noFill/>
                          <a:ln>
                            <a:noFill/>
                          </a:ln>
                        </pic:spPr>
                      </pic:pic>
                    </a:graphicData>
                  </a:graphic>
                </wp:inline>
              </w:drawing>
            </w:r>
            <w:r w:rsidR="007C0DAF" w:rsidRPr="002856DE">
              <w:rPr>
                <w:rFonts w:cs="Arial"/>
                <w:b w:val="0"/>
                <w:bCs w:val="0"/>
              </w:rPr>
              <w:t xml:space="preserve"> (b)</w:t>
            </w:r>
          </w:p>
        </w:tc>
      </w:tr>
    </w:tbl>
    <w:p w14:paraId="5A185465" w14:textId="0AB44933" w:rsidR="007C0DAF" w:rsidRPr="002856DE" w:rsidRDefault="00602299" w:rsidP="007C0DAF">
      <w:pPr>
        <w:pStyle w:val="CETCaption"/>
        <w:rPr>
          <w:rStyle w:val="CETCaptionCarattere"/>
          <w:rFonts w:cs="Arial"/>
          <w:lang w:val="en-US"/>
        </w:rPr>
      </w:pPr>
      <w:r w:rsidRPr="002856DE">
        <w:rPr>
          <w:rFonts w:cs="Arial"/>
          <w:lang w:val="en-US"/>
        </w:rPr>
        <w:t>Figure 3: (a) Hot-spot position versus relative electric power at different inlet temperatures (</w:t>
      </w:r>
      <m:oMath>
        <m:sSub>
          <m:sSubPr>
            <m:ctrlPr>
              <w:rPr>
                <w:rFonts w:ascii="Cambria Math" w:hAnsi="Cambria Math" w:cs="Arial"/>
                <w:lang w:val="en-US"/>
              </w:rPr>
            </m:ctrlPr>
          </m:sSubPr>
          <m:e>
            <m:r>
              <w:rPr>
                <w:rFonts w:ascii="Cambria Math" w:hAnsi="Cambria Math" w:cs="Arial"/>
                <w:lang w:val="en-US"/>
              </w:rPr>
              <m:t>T</m:t>
            </m:r>
          </m:e>
          <m:sub>
            <m:r>
              <w:rPr>
                <w:rFonts w:ascii="Cambria Math" w:hAnsi="Cambria Math" w:cs="Arial"/>
                <w:lang w:val="en-US"/>
              </w:rPr>
              <m:t>cool</m:t>
            </m:r>
          </m:sub>
        </m:sSub>
        <m:r>
          <w:rPr>
            <w:rFonts w:ascii="Cambria Math" w:hAnsi="Cambria Math" w:cs="Arial"/>
            <w:lang w:val="en-US"/>
          </w:rPr>
          <m:t xml:space="preserve">=210 </m:t>
        </m:r>
        <w:bookmarkStart w:id="4" w:name="_Hlk239156838"/>
        <m:r>
          <w:rPr>
            <w:rFonts w:ascii="Cambria Math" w:hAnsi="Cambria Math" w:cs="Arial"/>
            <w:lang w:val="en-US"/>
          </w:rPr>
          <m:t>°</m:t>
        </m:r>
        <w:bookmarkEnd w:id="4"/>
        <m:r>
          <w:rPr>
            <w:rFonts w:ascii="Cambria Math" w:hAnsi="Cambria Math" w:cs="Arial"/>
            <w:lang w:val="en-US"/>
          </w:rPr>
          <m:t>C</m:t>
        </m:r>
      </m:oMath>
      <w:r w:rsidRPr="002856DE">
        <w:rPr>
          <w:rFonts w:cs="Arial"/>
          <w:lang w:val="en-US"/>
        </w:rPr>
        <w:t>, red markers denote examples shown in (b)). (b) Corresponding axial temperature profiles</w:t>
      </w:r>
    </w:p>
    <w:p w14:paraId="7C52FF34" w14:textId="6FC99C02" w:rsidR="0011785A" w:rsidRPr="002856DE" w:rsidRDefault="00000000">
      <w:pPr>
        <w:pStyle w:val="CETBodytext"/>
        <w:rPr>
          <w:rFonts w:cs="Arial"/>
        </w:rPr>
      </w:pPr>
      <w:r w:rsidRPr="002856DE">
        <w:rPr>
          <w:rFonts w:cs="Arial"/>
        </w:rPr>
        <w:t xml:space="preserve">Subsequently, in this scenario the effect of </w:t>
      </w:r>
      <w:r w:rsidR="005660A0" w:rsidRPr="002856DE">
        <w:rPr>
          <w:rFonts w:cs="Arial"/>
        </w:rPr>
        <w:t>electric hea</w:t>
      </w:r>
      <w:r w:rsidRPr="002856DE">
        <w:rPr>
          <w:rFonts w:cs="Arial"/>
        </w:rPr>
        <w:t xml:space="preserve">ting on the </w:t>
      </w:r>
      <w:r w:rsidR="007C0DAF" w:rsidRPr="002856DE">
        <w:rPr>
          <w:rFonts w:cs="Arial"/>
        </w:rPr>
        <w:t>hot-spot</w:t>
      </w:r>
      <w:r w:rsidRPr="002856DE">
        <w:rPr>
          <w:rFonts w:cs="Arial"/>
        </w:rPr>
        <w:t xml:space="preserve"> position for different inlet temperatures is investigated. </w:t>
      </w:r>
      <w:r w:rsidR="007E6FC0" w:rsidRPr="002856DE">
        <w:rPr>
          <w:rFonts w:cs="Arial"/>
        </w:rPr>
        <w:t>Figure 3a shows that internal electric heating offers a direct means of shifting the hot-spot position for all investigated inlet temperatures</w:t>
      </w:r>
      <w:r w:rsidRPr="002856DE">
        <w:rPr>
          <w:rFonts w:cs="Arial"/>
        </w:rPr>
        <w:t xml:space="preserve">. </w:t>
      </w:r>
      <w:r w:rsidR="00671D2B" w:rsidRPr="002856DE">
        <w:rPr>
          <w:rFonts w:cs="Arial"/>
        </w:rPr>
        <w:t>The mechanism is illustrated in Figure</w:t>
      </w:r>
      <w:r w:rsidR="0011785A" w:rsidRPr="002856DE">
        <w:rPr>
          <w:rFonts w:cs="Arial"/>
        </w:rPr>
        <w:t xml:space="preserve"> 3b. </w:t>
      </w:r>
      <w:r w:rsidRPr="002856DE">
        <w:rPr>
          <w:rFonts w:cs="Arial"/>
        </w:rPr>
        <w:t>As the heating power is increased, the temperature in the upstream reactor section rises, which promotes earlier reaction onset.</w:t>
      </w:r>
      <w:r w:rsidR="0011785A" w:rsidRPr="002856DE">
        <w:rPr>
          <w:rFonts w:cs="Arial"/>
        </w:rPr>
        <w:t xml:space="preserve"> This indicates that even with a reduced inlet temperature, electric heating can be used to achieve a </w:t>
      </w:r>
      <w:r w:rsidR="00D63638" w:rsidRPr="002856DE">
        <w:rPr>
          <w:rFonts w:cs="Arial"/>
        </w:rPr>
        <w:t>hot-spot</w:t>
      </w:r>
      <w:r w:rsidR="0011785A" w:rsidRPr="002856DE">
        <w:rPr>
          <w:rFonts w:cs="Arial"/>
        </w:rPr>
        <w:t xml:space="preserve"> </w:t>
      </w:r>
      <w:r w:rsidR="000A2E20">
        <w:rPr>
          <w:rFonts w:cs="Arial"/>
        </w:rPr>
        <w:t>at</w:t>
      </w:r>
      <w:r w:rsidR="0011785A" w:rsidRPr="002856DE">
        <w:rPr>
          <w:rFonts w:cs="Arial"/>
        </w:rPr>
        <w:t xml:space="preserve"> the same </w:t>
      </w:r>
      <w:r w:rsidR="000A2E20">
        <w:rPr>
          <w:rFonts w:cs="Arial"/>
        </w:rPr>
        <w:t xml:space="preserve">axial </w:t>
      </w:r>
      <w:r w:rsidR="0011785A" w:rsidRPr="002856DE">
        <w:rPr>
          <w:rFonts w:cs="Arial"/>
        </w:rPr>
        <w:t>position.</w:t>
      </w:r>
      <w:r w:rsidR="00F628BD" w:rsidRPr="002856DE">
        <w:rPr>
          <w:rFonts w:cs="Arial"/>
        </w:rPr>
        <w:t xml:space="preserve"> For example, at an inlet temperature of 100 °C, increasing the relative electric power from 0 to 0.16 shifts the hot-spot position from 0.75 m to 0.56 m.</w:t>
      </w:r>
    </w:p>
    <w:p w14:paraId="611801B2" w14:textId="6E9342F3" w:rsidR="009405AE" w:rsidRPr="002856DE" w:rsidRDefault="00000000">
      <w:pPr>
        <w:pStyle w:val="CETBodytext"/>
        <w:rPr>
          <w:rFonts w:cs="Arial"/>
        </w:rPr>
      </w:pPr>
      <w:r w:rsidRPr="002856DE">
        <w:rPr>
          <w:rFonts w:cs="Arial"/>
        </w:rPr>
        <w:t xml:space="preserve">Depending on the inlet conditions and the chosen heating </w:t>
      </w:r>
      <w:r w:rsidR="007E6FC0" w:rsidRPr="002856DE">
        <w:rPr>
          <w:rFonts w:cs="Arial"/>
        </w:rPr>
        <w:t>power</w:t>
      </w:r>
      <w:r w:rsidRPr="002856DE">
        <w:rPr>
          <w:rFonts w:cs="Arial"/>
        </w:rPr>
        <w:t>, this can move the main reaction zone upstream or, alternatively, stabilize it in an intermediate region when changing operating conditions would otherwise displace it towards critical locations. A key observation is that the hot-spot location becomes actively adjustable rather than a passive consequence of feed conditions and coolant temperature alone. This increases the accessible operating range, since constraints related to critical inlet- or outlet-near hot-spots can be relaxed. For catalyst systems prone to thermal deactivation, this capability may be especially valuable.</w:t>
      </w:r>
    </w:p>
    <w:p w14:paraId="5CB0D9EF" w14:textId="680B2DA1" w:rsidR="009405AE" w:rsidRPr="002856DE" w:rsidRDefault="00000000">
      <w:pPr>
        <w:pStyle w:val="CETHeading1"/>
        <w:rPr>
          <w:rFonts w:cs="Arial"/>
        </w:rPr>
      </w:pPr>
      <w:r w:rsidRPr="002856DE">
        <w:rPr>
          <w:rFonts w:cs="Arial"/>
        </w:rPr>
        <w:t>Conclusion</w:t>
      </w:r>
      <w:r w:rsidR="00602299" w:rsidRPr="002856DE">
        <w:rPr>
          <w:rFonts w:cs="Arial"/>
        </w:rPr>
        <w:t>s</w:t>
      </w:r>
    </w:p>
    <w:p w14:paraId="2C12D139" w14:textId="195B3AE8" w:rsidR="009405AE" w:rsidRPr="002856DE" w:rsidRDefault="00000000">
      <w:pPr>
        <w:pStyle w:val="CETBodytext"/>
        <w:rPr>
          <w:rFonts w:cs="Arial"/>
        </w:rPr>
      </w:pPr>
      <w:r w:rsidRPr="002856DE">
        <w:rPr>
          <w:rFonts w:cs="Arial"/>
        </w:rPr>
        <w:t>A simulation study was conducted to assess the potential of combining internal electric heating and external cooling for exothermic fixed-bed reactors using CO</w:t>
      </w:r>
      <w:r w:rsidRPr="002856DE">
        <w:rPr>
          <w:rFonts w:cs="Arial"/>
          <w:vertAlign w:val="subscript"/>
        </w:rPr>
        <w:t>2</w:t>
      </w:r>
      <w:r w:rsidRPr="002856DE">
        <w:rPr>
          <w:rFonts w:cs="Arial"/>
        </w:rPr>
        <w:t xml:space="preserve"> methanation as </w:t>
      </w:r>
      <w:r w:rsidR="00671D2B" w:rsidRPr="002856DE">
        <w:rPr>
          <w:rFonts w:cs="Arial"/>
        </w:rPr>
        <w:t xml:space="preserve">a </w:t>
      </w:r>
      <w:r w:rsidRPr="002856DE">
        <w:rPr>
          <w:rFonts w:cs="Arial"/>
        </w:rPr>
        <w:t xml:space="preserve">case study. The results show that the additional thermal degree of freedom can be exploited in several ways beyond previously reported product-quality stabilization during load changes and </w:t>
      </w:r>
      <w:r w:rsidR="00671D2B" w:rsidRPr="002856DE">
        <w:rPr>
          <w:rFonts w:cs="Arial"/>
        </w:rPr>
        <w:t xml:space="preserve">improvements in </w:t>
      </w:r>
      <w:r w:rsidRPr="002856DE">
        <w:rPr>
          <w:rFonts w:cs="Arial"/>
        </w:rPr>
        <w:t>reactor stability.</w:t>
      </w:r>
    </w:p>
    <w:p w14:paraId="68F13FDC" w14:textId="5530C63A" w:rsidR="009405AE" w:rsidRPr="002856DE" w:rsidRDefault="00000000">
      <w:pPr>
        <w:pStyle w:val="CETBodytext"/>
        <w:rPr>
          <w:rFonts w:cs="Arial"/>
        </w:rPr>
      </w:pPr>
      <w:r w:rsidRPr="002856DE">
        <w:rPr>
          <w:rFonts w:cs="Arial"/>
        </w:rPr>
        <w:t xml:space="preserve">First, internal electric heating enables ignited reactor operation at lower coolant temperatures and therefore extends the feasible operating window. Second, the hot-spot position can be </w:t>
      </w:r>
      <w:r w:rsidR="000205C8" w:rsidRPr="002856DE">
        <w:rPr>
          <w:rFonts w:cs="Arial"/>
        </w:rPr>
        <w:t>adjusted</w:t>
      </w:r>
      <w:r w:rsidRPr="002856DE">
        <w:rPr>
          <w:rFonts w:cs="Arial"/>
        </w:rPr>
        <w:t xml:space="preserve">, which </w:t>
      </w:r>
      <w:r w:rsidR="00047639">
        <w:rPr>
          <w:rFonts w:cs="Arial"/>
        </w:rPr>
        <w:t xml:space="preserve">potentially </w:t>
      </w:r>
      <w:r w:rsidRPr="002856DE">
        <w:rPr>
          <w:rFonts w:cs="Arial"/>
        </w:rPr>
        <w:t>supports safer operation and improves catalyst utilization.</w:t>
      </w:r>
    </w:p>
    <w:p w14:paraId="5735D188" w14:textId="2946B4E9" w:rsidR="0011785A" w:rsidRPr="002856DE" w:rsidRDefault="00000000" w:rsidP="0011785A">
      <w:pPr>
        <w:pStyle w:val="CETBodytext"/>
        <w:rPr>
          <w:rFonts w:cs="Arial"/>
        </w:rPr>
      </w:pPr>
      <w:r w:rsidRPr="002856DE">
        <w:rPr>
          <w:rFonts w:cs="Arial"/>
        </w:rPr>
        <w:t>Overall, the combined concept improves flexibility and operability of exothermic reactors while preserving the advantages of established cooled tubular reactor configurations. These findings indicate substantial potential not only for methanation, but also for other strongly exothermic catalytic reactions such as ammonia</w:t>
      </w:r>
      <w:r w:rsidR="00FC7608" w:rsidRPr="002856DE">
        <w:rPr>
          <w:rFonts w:cs="Arial"/>
        </w:rPr>
        <w:t xml:space="preserve"> synthesis</w:t>
      </w:r>
      <w:r w:rsidRPr="002856DE">
        <w:rPr>
          <w:rFonts w:cs="Arial"/>
        </w:rPr>
        <w:t>, methanol</w:t>
      </w:r>
      <w:r w:rsidR="00FC7608" w:rsidRPr="002856DE">
        <w:rPr>
          <w:rFonts w:cs="Arial"/>
        </w:rPr>
        <w:t xml:space="preserve"> synthesis</w:t>
      </w:r>
      <w:r w:rsidRPr="002856DE">
        <w:rPr>
          <w:rFonts w:cs="Arial"/>
        </w:rPr>
        <w:t>, or Fischer-</w:t>
      </w:r>
      <w:proofErr w:type="spellStart"/>
      <w:r w:rsidRPr="002856DE">
        <w:rPr>
          <w:rFonts w:cs="Arial"/>
        </w:rPr>
        <w:t>Tropsch</w:t>
      </w:r>
      <w:proofErr w:type="spellEnd"/>
      <w:r w:rsidRPr="002856DE">
        <w:rPr>
          <w:rFonts w:cs="Arial"/>
        </w:rPr>
        <w:t xml:space="preserve"> synthesis.</w:t>
      </w:r>
    </w:p>
    <w:p w14:paraId="7C48296E" w14:textId="06377B15" w:rsidR="006C5577" w:rsidRPr="002856DE" w:rsidRDefault="006C5577" w:rsidP="006C5577">
      <w:pPr>
        <w:pStyle w:val="CETBodytext"/>
        <w:rPr>
          <w:rFonts w:cs="Arial"/>
        </w:rPr>
      </w:pPr>
      <w:r w:rsidRPr="002856DE">
        <w:rPr>
          <w:rFonts w:cs="Arial"/>
        </w:rPr>
        <w:t xml:space="preserve">The present study focuses on basic applications of the additional degree of freedom. However, the results also suggest further opportunities, </w:t>
      </w:r>
      <w:r w:rsidR="003D49DB" w:rsidRPr="002856DE">
        <w:rPr>
          <w:rFonts w:cs="Arial"/>
        </w:rPr>
        <w:t>for example, accelerated start-up and load changes</w:t>
      </w:r>
      <w:r w:rsidRPr="002856DE">
        <w:rPr>
          <w:rFonts w:cs="Arial"/>
        </w:rPr>
        <w:t xml:space="preserve">, or coordinated manipulation of coolant temperature and internal heating power. </w:t>
      </w:r>
      <w:r w:rsidR="001B10B5" w:rsidRPr="002856DE">
        <w:rPr>
          <w:rFonts w:cs="Arial"/>
        </w:rPr>
        <w:t>It should be noted that the improvement</w:t>
      </w:r>
      <w:r w:rsidR="00047639">
        <w:rPr>
          <w:rFonts w:cs="Arial"/>
        </w:rPr>
        <w:t>s</w:t>
      </w:r>
      <w:r w:rsidR="001B10B5" w:rsidRPr="002856DE">
        <w:rPr>
          <w:rFonts w:cs="Arial"/>
        </w:rPr>
        <w:t xml:space="preserve"> come at the cost of increased reactor complexity and additional energy demand. The resulting impact on overall energy efficiency and process economics requires further investigation.</w:t>
      </w:r>
      <w:r w:rsidR="002017C3" w:rsidRPr="002856DE">
        <w:rPr>
          <w:rFonts w:cs="Arial"/>
        </w:rPr>
        <w:t xml:space="preserve"> </w:t>
      </w:r>
      <w:r w:rsidRPr="002856DE">
        <w:rPr>
          <w:rFonts w:cs="Arial"/>
        </w:rPr>
        <w:t>A detailed analysis of the impact on dynamic behavior and further operation range extension is beyond the scope of the present paper, but the combined reactor concept provides a promising basis for future work in this direction.</w:t>
      </w:r>
      <w:r w:rsidR="002017C3" w:rsidRPr="002856DE">
        <w:rPr>
          <w:rFonts w:cs="Arial"/>
        </w:rPr>
        <w:t xml:space="preserve"> </w:t>
      </w:r>
      <w:r w:rsidR="004B0E96" w:rsidRPr="002856DE">
        <w:rPr>
          <w:rFonts w:cs="Arial"/>
        </w:rPr>
        <w:t xml:space="preserve">Future work should specifically </w:t>
      </w:r>
      <w:r w:rsidR="000205C8" w:rsidRPr="002856DE">
        <w:rPr>
          <w:rFonts w:cs="Arial"/>
        </w:rPr>
        <w:t xml:space="preserve">investigate </w:t>
      </w:r>
      <w:r w:rsidR="004B0E96" w:rsidRPr="002856DE">
        <w:rPr>
          <w:rFonts w:cs="Arial"/>
        </w:rPr>
        <w:t xml:space="preserve">the </w:t>
      </w:r>
      <w:r w:rsidR="000205C8" w:rsidRPr="002856DE">
        <w:rPr>
          <w:rFonts w:cs="Arial"/>
        </w:rPr>
        <w:t xml:space="preserve">effect of </w:t>
      </w:r>
      <w:r w:rsidR="004B0E96" w:rsidRPr="002856DE">
        <w:rPr>
          <w:rFonts w:cs="Arial"/>
        </w:rPr>
        <w:t xml:space="preserve">heating </w:t>
      </w:r>
      <w:r w:rsidR="000205C8" w:rsidRPr="002856DE">
        <w:rPr>
          <w:rFonts w:cs="Arial"/>
        </w:rPr>
        <w:t xml:space="preserve">on local catalyst temperatures and </w:t>
      </w:r>
      <w:r w:rsidR="001D797D" w:rsidRPr="002856DE">
        <w:rPr>
          <w:rFonts w:cs="Arial"/>
        </w:rPr>
        <w:t>the</w:t>
      </w:r>
      <w:r w:rsidR="000205C8" w:rsidRPr="002856DE">
        <w:rPr>
          <w:rFonts w:cs="Arial"/>
        </w:rPr>
        <w:t xml:space="preserve"> </w:t>
      </w:r>
      <w:r w:rsidR="001D797D" w:rsidRPr="002856DE">
        <w:rPr>
          <w:rFonts w:cs="Arial"/>
        </w:rPr>
        <w:t xml:space="preserve">consequent </w:t>
      </w:r>
      <w:r w:rsidR="000205C8" w:rsidRPr="002856DE">
        <w:rPr>
          <w:rFonts w:cs="Arial"/>
        </w:rPr>
        <w:t>impact</w:t>
      </w:r>
      <w:r w:rsidR="001D797D" w:rsidRPr="002856DE">
        <w:rPr>
          <w:rFonts w:cs="Arial"/>
        </w:rPr>
        <w:t xml:space="preserve"> on </w:t>
      </w:r>
      <w:r w:rsidR="000205C8" w:rsidRPr="002856DE">
        <w:rPr>
          <w:rFonts w:cs="Arial"/>
        </w:rPr>
        <w:t>long-term catalyst stability and mechanical integrity.</w:t>
      </w:r>
    </w:p>
    <w:p w14:paraId="190B82B0" w14:textId="413D658D" w:rsidR="009405AE" w:rsidRPr="002856DE" w:rsidRDefault="00000000">
      <w:pPr>
        <w:pStyle w:val="CETHeadingxx"/>
        <w:rPr>
          <w:rFonts w:cs="Arial"/>
        </w:rPr>
        <w:sectPr w:rsidR="009405AE" w:rsidRPr="002856DE" w:rsidSect="00026AB0">
          <w:type w:val="continuous"/>
          <w:pgSz w:w="11906" w:h="16838"/>
          <w:pgMar w:top="1701" w:right="1418" w:bottom="1701" w:left="1701" w:header="1701" w:footer="0" w:gutter="0"/>
          <w:cols w:space="708"/>
          <w:titlePg/>
          <w:docGrid w:linePitch="245"/>
        </w:sectPr>
      </w:pPr>
      <w:r w:rsidRPr="002856DE">
        <w:rPr>
          <w:rFonts w:cs="Arial"/>
        </w:rPr>
        <w:lastRenderedPageBreak/>
        <w:t>Nomenclature</w:t>
      </w:r>
    </w:p>
    <w:p w14:paraId="3F2CF1D3" w14:textId="6A2F5E15" w:rsidR="009405AE" w:rsidRPr="002856DE" w:rsidRDefault="00000000">
      <w:pPr>
        <w:pStyle w:val="CETBodytext"/>
        <w:jc w:val="left"/>
        <w:rPr>
          <w:rFonts w:eastAsia="SimSun" w:cs="Arial"/>
        </w:rPr>
      </w:pPr>
      <m:oMath>
        <m:sSub>
          <m:sSubPr>
            <m:ctrlPr>
              <w:rPr>
                <w:rFonts w:ascii="Cambria Math" w:eastAsia="SimSun" w:hAnsi="Cambria Math" w:cs="Arial"/>
                <w:i/>
              </w:rPr>
            </m:ctrlPr>
          </m:sSubPr>
          <m:e>
            <m:r>
              <w:rPr>
                <w:rFonts w:ascii="Cambria Math" w:eastAsia="SimSun" w:hAnsi="Cambria Math" w:cs="Arial"/>
              </w:rPr>
              <m:t>c</m:t>
            </m:r>
          </m:e>
          <m:sub>
            <m:r>
              <m:rPr>
                <m:sty m:val="p"/>
              </m:rPr>
              <w:rPr>
                <w:rFonts w:ascii="Cambria Math" w:eastAsia="SimSun" w:hAnsi="Cambria Math" w:cs="Arial"/>
              </w:rPr>
              <m:t>p</m:t>
            </m:r>
          </m:sub>
        </m:sSub>
      </m:oMath>
      <w:r w:rsidR="009D75F4" w:rsidRPr="002856DE">
        <w:rPr>
          <w:rFonts w:eastAsia="SimSun" w:cs="Arial"/>
        </w:rPr>
        <w:t xml:space="preserve"> – </w:t>
      </w:r>
      <w:r w:rsidR="006E4974" w:rsidRPr="002856DE">
        <w:rPr>
          <w:rFonts w:eastAsia="SimSun" w:cs="Arial"/>
        </w:rPr>
        <w:t xml:space="preserve">specific </w:t>
      </w:r>
      <w:r w:rsidR="009D75F4" w:rsidRPr="002856DE">
        <w:rPr>
          <w:rFonts w:eastAsia="SimSun" w:cs="Arial"/>
        </w:rPr>
        <w:t xml:space="preserve">heat capacity, </w:t>
      </w:r>
      <w:r w:rsidR="009727AB" w:rsidRPr="002856DE">
        <w:rPr>
          <w:rFonts w:eastAsia="SimSun" w:cs="Arial"/>
        </w:rPr>
        <w:t>J</w:t>
      </w:r>
      <w:r w:rsidR="009D75F4" w:rsidRPr="002856DE">
        <w:rPr>
          <w:rFonts w:eastAsia="SimSun" w:cs="Arial"/>
        </w:rPr>
        <w:t>/(</w:t>
      </w:r>
      <w:proofErr w:type="spellStart"/>
      <w:r w:rsidR="009D75F4" w:rsidRPr="002856DE">
        <w:rPr>
          <w:rFonts w:eastAsia="SimSun" w:cs="Arial"/>
        </w:rPr>
        <w:t>kg·K</w:t>
      </w:r>
      <w:proofErr w:type="spellEnd"/>
      <w:r w:rsidR="009D75F4" w:rsidRPr="002856DE">
        <w:rPr>
          <w:rFonts w:eastAsia="SimSun" w:cs="Arial"/>
        </w:rPr>
        <w:t>)</w:t>
      </w:r>
    </w:p>
    <w:p w14:paraId="71121097" w14:textId="63A6090E" w:rsidR="006121B6" w:rsidRPr="002856DE" w:rsidRDefault="00000000">
      <w:pPr>
        <w:pStyle w:val="CETBodytext"/>
        <w:jc w:val="left"/>
        <w:rPr>
          <w:rFonts w:eastAsia="SimSun" w:cs="Arial"/>
        </w:rPr>
      </w:pPr>
      <m:oMath>
        <m:sSub>
          <m:sSubPr>
            <m:ctrlPr>
              <w:rPr>
                <w:rFonts w:ascii="Cambria Math" w:eastAsia="SimSun" w:hAnsi="Cambria Math" w:cs="Arial"/>
                <w:i/>
              </w:rPr>
            </m:ctrlPr>
          </m:sSubPr>
          <m:e>
            <m:r>
              <w:rPr>
                <w:rFonts w:ascii="Cambria Math" w:eastAsia="SimSun" w:hAnsi="Cambria Math" w:cs="Arial"/>
              </w:rPr>
              <m:t>d</m:t>
            </m:r>
          </m:e>
          <m:sub>
            <m:r>
              <m:rPr>
                <m:sty m:val="p"/>
              </m:rPr>
              <w:rPr>
                <w:rFonts w:ascii="Cambria Math" w:eastAsia="SimSun" w:hAnsi="Cambria Math" w:cs="Arial"/>
              </w:rPr>
              <m:t>p</m:t>
            </m:r>
          </m:sub>
        </m:sSub>
      </m:oMath>
      <w:r w:rsidR="006121B6" w:rsidRPr="002856DE">
        <w:rPr>
          <w:rFonts w:eastAsia="SimSun" w:cs="Arial"/>
        </w:rPr>
        <w:t xml:space="preserve"> – catalyst particle diameter, m</w:t>
      </w:r>
    </w:p>
    <w:p w14:paraId="06BDEED8" w14:textId="38704527" w:rsidR="00FA3C20" w:rsidRPr="002856DE" w:rsidRDefault="00000000">
      <w:pPr>
        <w:pStyle w:val="CETBodytext"/>
        <w:jc w:val="left"/>
        <w:rPr>
          <w:rFonts w:eastAsia="SimSun" w:cs="Arial"/>
        </w:rPr>
      </w:pPr>
      <m:oMath>
        <m:sSub>
          <m:sSubPr>
            <m:ctrlPr>
              <w:rPr>
                <w:rFonts w:ascii="Cambria Math" w:eastAsia="SimSun" w:hAnsi="Cambria Math" w:cs="Arial"/>
                <w:i/>
              </w:rPr>
            </m:ctrlPr>
          </m:sSubPr>
          <m:e>
            <m:r>
              <w:rPr>
                <w:rFonts w:ascii="Cambria Math" w:eastAsia="SimSun" w:hAnsi="Cambria Math" w:cs="Arial"/>
              </w:rPr>
              <m:t>k</m:t>
            </m:r>
          </m:e>
          <m:sub>
            <m:r>
              <m:rPr>
                <m:sty m:val="p"/>
              </m:rPr>
              <w:rPr>
                <w:rFonts w:ascii="Cambria Math" w:eastAsia="SimSun" w:hAnsi="Cambria Math" w:cs="Arial"/>
              </w:rPr>
              <m:t>w</m:t>
            </m:r>
          </m:sub>
        </m:sSub>
      </m:oMath>
      <w:r w:rsidR="00893A21" w:rsidRPr="002856DE">
        <w:rPr>
          <w:rFonts w:eastAsia="SimSun" w:cs="Arial"/>
        </w:rPr>
        <w:t xml:space="preserve"> – </w:t>
      </w:r>
      <w:r w:rsidR="009727AB" w:rsidRPr="002856DE">
        <w:rPr>
          <w:rFonts w:eastAsia="SimSun" w:cs="Arial"/>
        </w:rPr>
        <w:t>heat transfer coefficient, W/(m</w:t>
      </w:r>
      <w:r w:rsidR="009727AB" w:rsidRPr="002856DE">
        <w:rPr>
          <w:rFonts w:eastAsia="SimSun" w:cs="Arial"/>
          <w:vertAlign w:val="superscript"/>
        </w:rPr>
        <w:t>2</w:t>
      </w:r>
      <w:r w:rsidR="009727AB" w:rsidRPr="002856DE">
        <w:rPr>
          <w:rFonts w:eastAsia="SimSun" w:cs="Arial"/>
        </w:rPr>
        <w:t>·K)</w:t>
      </w:r>
    </w:p>
    <w:p w14:paraId="2CB1F469" w14:textId="43584322" w:rsidR="009405AE" w:rsidRPr="002856DE" w:rsidRDefault="00000000">
      <w:pPr>
        <w:pStyle w:val="CETBodytext"/>
        <w:jc w:val="left"/>
        <w:rPr>
          <w:rFonts w:eastAsia="SimSun" w:cs="Arial"/>
        </w:rPr>
      </w:pPr>
      <m:oMath>
        <m:acc>
          <m:accPr>
            <m:chr m:val="̃"/>
            <m:ctrlPr>
              <w:rPr>
                <w:rFonts w:ascii="Cambria Math" w:eastAsia="SimSun" w:hAnsi="Cambria Math" w:cs="Arial"/>
                <w:i/>
              </w:rPr>
            </m:ctrlPr>
          </m:accPr>
          <m:e>
            <m:r>
              <w:rPr>
                <w:rFonts w:ascii="Cambria Math" w:eastAsia="SimSun" w:hAnsi="Cambria Math" w:cs="Arial"/>
              </w:rPr>
              <m:t>M</m:t>
            </m:r>
          </m:e>
        </m:acc>
      </m:oMath>
      <w:r w:rsidR="00893A21" w:rsidRPr="002856DE">
        <w:rPr>
          <w:rFonts w:eastAsia="SimSun" w:cs="Arial"/>
        </w:rPr>
        <w:t xml:space="preserve"> – molecular mass, kg/mol</w:t>
      </w:r>
    </w:p>
    <w:p w14:paraId="0ED5B365" w14:textId="77777777" w:rsidR="00AB4AC6" w:rsidRPr="002856DE" w:rsidRDefault="00000000" w:rsidP="00AB4AC6">
      <w:pPr>
        <w:pStyle w:val="CETBodytext"/>
        <w:jc w:val="left"/>
        <w:rPr>
          <w:rFonts w:eastAsia="SimSun" w:cs="Arial"/>
        </w:rPr>
      </w:pPr>
      <m:oMath>
        <m:acc>
          <m:accPr>
            <m:chr m:val="̇"/>
            <m:ctrlPr>
              <w:rPr>
                <w:rFonts w:ascii="Cambria Math" w:eastAsia="SimSun" w:hAnsi="Cambria Math" w:cs="Arial"/>
                <w:i/>
              </w:rPr>
            </m:ctrlPr>
          </m:accPr>
          <m:e>
            <m:r>
              <w:rPr>
                <w:rFonts w:ascii="Cambria Math" w:eastAsia="SimSun" w:hAnsi="Cambria Math" w:cs="Arial"/>
              </w:rPr>
              <m:t>N</m:t>
            </m:r>
          </m:e>
        </m:acc>
      </m:oMath>
      <w:r w:rsidR="00AB4AC6" w:rsidRPr="002856DE">
        <w:rPr>
          <w:rFonts w:eastAsia="SimSun" w:cs="Arial"/>
        </w:rPr>
        <w:t xml:space="preserve"> – molar flow, mol/s</w:t>
      </w:r>
    </w:p>
    <w:p w14:paraId="545CCE52" w14:textId="46471E6D" w:rsidR="009405AE" w:rsidRPr="002856DE" w:rsidRDefault="00FA3C20">
      <w:pPr>
        <w:pStyle w:val="CETBodytext"/>
        <w:jc w:val="left"/>
        <w:rPr>
          <w:rFonts w:eastAsia="SimSun" w:cs="Arial"/>
        </w:rPr>
      </w:pPr>
      <m:oMath>
        <m:r>
          <w:rPr>
            <w:rFonts w:ascii="Cambria Math" w:eastAsia="SimSun" w:hAnsi="Cambria Math" w:cs="Arial"/>
          </w:rPr>
          <m:t>p</m:t>
        </m:r>
      </m:oMath>
      <w:r w:rsidRPr="002856DE">
        <w:rPr>
          <w:rFonts w:eastAsia="SimSun" w:cs="Arial"/>
        </w:rPr>
        <w:t xml:space="preserve"> – pressure, </w:t>
      </w:r>
      <w:r w:rsidR="009D569B">
        <w:rPr>
          <w:rFonts w:eastAsia="SimSun" w:cs="Arial"/>
        </w:rPr>
        <w:t>Pa</w:t>
      </w:r>
    </w:p>
    <w:p w14:paraId="79B697D3" w14:textId="033AE565" w:rsidR="006121B6" w:rsidRPr="002856DE" w:rsidRDefault="00000000" w:rsidP="006121B6">
      <w:pPr>
        <w:pStyle w:val="CETBodytext"/>
        <w:jc w:val="left"/>
        <w:rPr>
          <w:rFonts w:eastAsia="SimSun" w:cs="Arial"/>
        </w:rPr>
      </w:pPr>
      <m:oMath>
        <m:sSubSup>
          <m:sSubSupPr>
            <m:ctrlPr>
              <w:rPr>
                <w:rFonts w:ascii="Cambria Math" w:eastAsia="SimSun" w:hAnsi="Cambria Math" w:cs="Arial"/>
                <w:i/>
              </w:rPr>
            </m:ctrlPr>
          </m:sSubSupPr>
          <m:e>
            <m:acc>
              <m:accPr>
                <m:chr m:val="̇"/>
                <m:ctrlPr>
                  <w:rPr>
                    <w:rFonts w:ascii="Cambria Math" w:eastAsia="SimSun" w:hAnsi="Cambria Math" w:cs="Arial"/>
                    <w:i/>
                  </w:rPr>
                </m:ctrlPr>
              </m:accPr>
              <m:e>
                <m:r>
                  <w:rPr>
                    <w:rFonts w:ascii="Cambria Math" w:eastAsia="SimSun" w:hAnsi="Cambria Math" w:cs="Arial"/>
                  </w:rPr>
                  <m:t>P</m:t>
                </m:r>
              </m:e>
            </m:acc>
          </m:e>
          <m:sub>
            <m:r>
              <m:rPr>
                <m:sty m:val="p"/>
              </m:rPr>
              <w:rPr>
                <w:rFonts w:ascii="Cambria Math" w:eastAsia="SimSun" w:hAnsi="Cambria Math" w:cs="Arial"/>
              </w:rPr>
              <m:t>elec</m:t>
            </m:r>
          </m:sub>
          <m:sup>
            <m:r>
              <m:rPr>
                <m:sty m:val="p"/>
              </m:rPr>
              <w:rPr>
                <w:rFonts w:ascii="Cambria Math" w:eastAsia="SimSun" w:hAnsi="Cambria Math" w:cs="Arial"/>
              </w:rPr>
              <m:t>rel</m:t>
            </m:r>
          </m:sup>
        </m:sSubSup>
      </m:oMath>
      <w:r w:rsidR="006121B6" w:rsidRPr="002856DE">
        <w:rPr>
          <w:rFonts w:eastAsia="SimSun" w:cs="Arial"/>
        </w:rPr>
        <w:t xml:space="preserve"> – relative </w:t>
      </w:r>
      <w:r w:rsidR="009B57F7" w:rsidRPr="002856DE">
        <w:rPr>
          <w:rFonts w:eastAsia="SimSun" w:cs="Arial"/>
        </w:rPr>
        <w:t>electric pow</w:t>
      </w:r>
      <w:r w:rsidR="006121B6" w:rsidRPr="002856DE">
        <w:rPr>
          <w:rFonts w:eastAsia="SimSun" w:cs="Arial"/>
        </w:rPr>
        <w:t>er, -</w:t>
      </w:r>
    </w:p>
    <w:p w14:paraId="541426DA" w14:textId="17B70095" w:rsidR="006121B6" w:rsidRPr="002856DE" w:rsidRDefault="00000000" w:rsidP="00FA3C20">
      <w:pPr>
        <w:pStyle w:val="CETBodytext"/>
        <w:jc w:val="left"/>
        <w:rPr>
          <w:rFonts w:eastAsia="SimSun" w:cs="Arial"/>
        </w:rPr>
      </w:pPr>
      <m:oMath>
        <m:sSub>
          <m:sSubPr>
            <m:ctrlPr>
              <w:rPr>
                <w:rFonts w:ascii="Cambria Math" w:eastAsia="SimSun" w:hAnsi="Cambria Math" w:cs="Arial"/>
                <w:i/>
              </w:rPr>
            </m:ctrlPr>
          </m:sSubPr>
          <m:e>
            <m:acc>
              <m:accPr>
                <m:chr m:val="̇"/>
                <m:ctrlPr>
                  <w:rPr>
                    <w:rFonts w:ascii="Cambria Math" w:eastAsia="SimSun" w:hAnsi="Cambria Math" w:cs="Arial"/>
                    <w:i/>
                  </w:rPr>
                </m:ctrlPr>
              </m:accPr>
              <m:e>
                <m:r>
                  <w:rPr>
                    <w:rFonts w:ascii="Cambria Math" w:eastAsia="SimSun" w:hAnsi="Cambria Math" w:cs="Arial"/>
                  </w:rPr>
                  <m:t>q</m:t>
                </m:r>
              </m:e>
            </m:acc>
          </m:e>
          <m:sub>
            <m:r>
              <w:rPr>
                <w:rFonts w:ascii="Cambria Math" w:eastAsia="SimSun" w:hAnsi="Cambria Math" w:cs="Arial"/>
              </w:rPr>
              <m:t>elec</m:t>
            </m:r>
          </m:sub>
        </m:sSub>
      </m:oMath>
      <w:r w:rsidR="0097717F" w:rsidRPr="002856DE">
        <w:rPr>
          <w:rFonts w:eastAsia="SimSun" w:cs="Arial"/>
        </w:rPr>
        <w:t xml:space="preserve"> </w:t>
      </w:r>
      <w:r w:rsidR="006121B6" w:rsidRPr="002856DE">
        <w:rPr>
          <w:rFonts w:eastAsia="SimSun" w:cs="Arial"/>
        </w:rPr>
        <w:t xml:space="preserve"> –</w:t>
      </w:r>
      <w:r w:rsidR="0097717F" w:rsidRPr="002856DE">
        <w:rPr>
          <w:rFonts w:eastAsia="SimSun" w:cs="Arial"/>
        </w:rPr>
        <w:t xml:space="preserve"> </w:t>
      </w:r>
      <w:r w:rsidR="006121B6" w:rsidRPr="002856DE">
        <w:rPr>
          <w:rFonts w:eastAsia="SimSun" w:cs="Arial"/>
        </w:rPr>
        <w:t xml:space="preserve">volumetric </w:t>
      </w:r>
      <w:r w:rsidR="0097717F" w:rsidRPr="002856DE">
        <w:rPr>
          <w:rFonts w:eastAsia="SimSun" w:cs="Arial"/>
        </w:rPr>
        <w:t xml:space="preserve">electric </w:t>
      </w:r>
      <w:r w:rsidR="006121B6" w:rsidRPr="002856DE">
        <w:rPr>
          <w:rFonts w:eastAsia="SimSun" w:cs="Arial"/>
        </w:rPr>
        <w:t xml:space="preserve">heat </w:t>
      </w:r>
      <w:r w:rsidR="001D797D" w:rsidRPr="002856DE">
        <w:rPr>
          <w:rFonts w:eastAsia="SimSun" w:cs="Arial"/>
        </w:rPr>
        <w:t>source</w:t>
      </w:r>
      <w:r w:rsidR="006121B6" w:rsidRPr="002856DE">
        <w:rPr>
          <w:rFonts w:eastAsia="SimSun" w:cs="Arial"/>
        </w:rPr>
        <w:t>, W/m</w:t>
      </w:r>
      <w:r w:rsidR="006121B6" w:rsidRPr="002856DE">
        <w:rPr>
          <w:rFonts w:eastAsia="SimSun" w:cs="Arial"/>
          <w:vertAlign w:val="superscript"/>
        </w:rPr>
        <w:t>3</w:t>
      </w:r>
    </w:p>
    <w:p w14:paraId="17D39C1B" w14:textId="0D95BCD6" w:rsidR="006121B6" w:rsidRPr="002856DE" w:rsidRDefault="00000000" w:rsidP="00FA3C20">
      <w:pPr>
        <w:pStyle w:val="CETBodytext"/>
        <w:jc w:val="left"/>
        <w:rPr>
          <w:rFonts w:eastAsia="SimSun" w:cs="Arial"/>
        </w:rPr>
      </w:pPr>
      <m:oMath>
        <m:sSub>
          <m:sSubPr>
            <m:ctrlPr>
              <w:rPr>
                <w:rFonts w:ascii="Cambria Math" w:eastAsia="Cambria Math" w:hAnsi="Cambria Math" w:cs="Arial"/>
                <w:i/>
              </w:rPr>
            </m:ctrlPr>
          </m:sSubPr>
          <m:e>
            <m:acc>
              <m:accPr>
                <m:chr m:val="̇"/>
                <m:ctrlPr>
                  <w:rPr>
                    <w:rFonts w:ascii="Cambria Math" w:eastAsia="Cambria Math" w:hAnsi="Cambria Math" w:cs="Arial"/>
                    <w:i/>
                  </w:rPr>
                </m:ctrlPr>
              </m:accPr>
              <m:e>
                <m:r>
                  <w:rPr>
                    <w:rFonts w:ascii="Cambria Math" w:hAnsi="Cambria Math" w:cs="Arial"/>
                    <w:lang w:bidi="en-US"/>
                  </w:rPr>
                  <m:t>Q</m:t>
                </m:r>
              </m:e>
            </m:acc>
          </m:e>
          <m:sub>
            <m:r>
              <m:rPr>
                <m:sty m:val="p"/>
              </m:rPr>
              <w:rPr>
                <w:rFonts w:ascii="Cambria Math" w:hAnsi="Cambria Math" w:cs="Arial"/>
                <w:lang w:bidi="en-US"/>
              </w:rPr>
              <m:t>elec</m:t>
            </m:r>
          </m:sub>
        </m:sSub>
      </m:oMath>
      <w:r w:rsidR="006121B6" w:rsidRPr="002856DE">
        <w:rPr>
          <w:rFonts w:eastAsia="SimSun" w:cs="Arial"/>
        </w:rPr>
        <w:t xml:space="preserve"> – </w:t>
      </w:r>
      <w:r w:rsidR="008C7533" w:rsidRPr="002856DE">
        <w:rPr>
          <w:rFonts w:eastAsia="SimSun" w:cs="Arial"/>
        </w:rPr>
        <w:t xml:space="preserve">electric </w:t>
      </w:r>
      <w:r w:rsidR="006121B6" w:rsidRPr="002856DE">
        <w:rPr>
          <w:rFonts w:eastAsia="SimSun" w:cs="Arial"/>
        </w:rPr>
        <w:t>heat flow, W</w:t>
      </w:r>
    </w:p>
    <w:p w14:paraId="1FFAA2B5" w14:textId="229A33B8" w:rsidR="008C7533" w:rsidRPr="002856DE" w:rsidRDefault="00000000" w:rsidP="006121B6">
      <w:pPr>
        <w:pStyle w:val="CETBodytext"/>
        <w:jc w:val="left"/>
        <w:rPr>
          <w:rFonts w:eastAsia="SimSun" w:cs="Arial"/>
        </w:rPr>
      </w:pPr>
      <m:oMath>
        <m:sSubSup>
          <m:sSubSupPr>
            <m:ctrlPr>
              <w:rPr>
                <w:rFonts w:ascii="Cambria Math" w:eastAsia="Cambria Math" w:hAnsi="Cambria Math" w:cs="Arial"/>
                <w:i/>
              </w:rPr>
            </m:ctrlPr>
          </m:sSubSupPr>
          <m:e>
            <m:acc>
              <m:accPr>
                <m:chr m:val="̇"/>
                <m:ctrlPr>
                  <w:rPr>
                    <w:rFonts w:ascii="Cambria Math" w:eastAsia="Cambria Math" w:hAnsi="Cambria Math" w:cs="Arial"/>
                    <w:i/>
                  </w:rPr>
                </m:ctrlPr>
              </m:accPr>
              <m:e>
                <m:r>
                  <w:rPr>
                    <w:rFonts w:ascii="Cambria Math" w:hAnsi="Cambria Math" w:cs="Arial"/>
                    <w:lang w:bidi="en-US"/>
                  </w:rPr>
                  <m:t>Q</m:t>
                </m:r>
              </m:e>
            </m:acc>
          </m:e>
          <m:sub>
            <m:r>
              <m:rPr>
                <m:sty m:val="p"/>
              </m:rPr>
              <w:rPr>
                <w:rFonts w:ascii="Cambria Math" w:hAnsi="Cambria Math" w:cs="Arial"/>
                <w:lang w:bidi="en-US"/>
              </w:rPr>
              <m:t>reac</m:t>
            </m:r>
          </m:sub>
          <m:sup>
            <m:r>
              <m:rPr>
                <m:sty m:val="p"/>
              </m:rPr>
              <w:rPr>
                <w:rFonts w:ascii="Cambria Math" w:hAnsi="Cambria Math" w:cs="Arial"/>
                <w:lang w:bidi="en-US"/>
              </w:rPr>
              <m:t>max</m:t>
            </m:r>
          </m:sup>
        </m:sSubSup>
      </m:oMath>
      <w:r w:rsidR="008C7533" w:rsidRPr="002856DE">
        <w:rPr>
          <w:rFonts w:eastAsia="SimSun" w:cs="Arial"/>
        </w:rPr>
        <w:t xml:space="preserve"> – heat release at full conversion, W</w:t>
      </w:r>
    </w:p>
    <w:p w14:paraId="41C45F81" w14:textId="5954A995" w:rsidR="006121B6" w:rsidRPr="002856DE" w:rsidRDefault="006121B6" w:rsidP="006121B6">
      <w:pPr>
        <w:pStyle w:val="CETBodytext"/>
        <w:jc w:val="left"/>
        <w:rPr>
          <w:rFonts w:eastAsia="SimSun" w:cs="Arial"/>
        </w:rPr>
      </w:pPr>
      <m:oMath>
        <m:r>
          <w:rPr>
            <w:rFonts w:ascii="Cambria Math" w:eastAsia="SimSun" w:hAnsi="Cambria Math" w:cs="Arial"/>
          </w:rPr>
          <m:t>T</m:t>
        </m:r>
      </m:oMath>
      <w:r w:rsidRPr="002856DE">
        <w:rPr>
          <w:rFonts w:eastAsia="SimSun" w:cs="Arial"/>
        </w:rPr>
        <w:t xml:space="preserve"> – temperature, K</w:t>
      </w:r>
    </w:p>
    <w:p w14:paraId="2590B4A0" w14:textId="544076BA" w:rsidR="006121B6" w:rsidRPr="002856DE" w:rsidRDefault="00000000" w:rsidP="006121B6">
      <w:pPr>
        <w:pStyle w:val="CETBodytext"/>
        <w:jc w:val="left"/>
        <w:rPr>
          <w:rFonts w:eastAsia="SimSun" w:cs="Arial"/>
        </w:rPr>
      </w:pPr>
      <m:oMath>
        <m:acc>
          <m:accPr>
            <m:chr m:val="̃"/>
            <m:ctrlPr>
              <w:rPr>
                <w:rFonts w:ascii="Cambria Math" w:eastAsia="SimSun" w:hAnsi="Cambria Math" w:cs="Arial"/>
                <w:i/>
              </w:rPr>
            </m:ctrlPr>
          </m:accPr>
          <m:e>
            <m:r>
              <w:rPr>
                <w:rFonts w:ascii="Cambria Math" w:eastAsia="SimSun" w:hAnsi="Cambria Math" w:cs="Arial"/>
              </w:rPr>
              <m:t>r</m:t>
            </m:r>
          </m:e>
        </m:acc>
      </m:oMath>
      <w:r w:rsidR="006121B6" w:rsidRPr="002856DE">
        <w:rPr>
          <w:rFonts w:eastAsia="SimSun" w:cs="Arial"/>
        </w:rPr>
        <w:t xml:space="preserve"> – reaction rate, mol/</w:t>
      </w:r>
      <w:r w:rsidR="00AB4AC6" w:rsidRPr="002856DE">
        <w:rPr>
          <w:rFonts w:eastAsia="SimSun" w:cs="Arial"/>
        </w:rPr>
        <w:t>(m</w:t>
      </w:r>
      <w:r w:rsidR="00AB4AC6" w:rsidRPr="002856DE">
        <w:rPr>
          <w:rFonts w:eastAsia="SimSun" w:cs="Arial"/>
          <w:vertAlign w:val="superscript"/>
        </w:rPr>
        <w:t>3</w:t>
      </w:r>
      <w:r w:rsidR="009A50B9">
        <w:rPr>
          <w:rFonts w:eastAsia="SimSun" w:cs="Arial"/>
          <w:vertAlign w:val="subscript"/>
        </w:rPr>
        <w:t>cat</w:t>
      </w:r>
      <w:r w:rsidR="00AB4AC6" w:rsidRPr="002856DE">
        <w:rPr>
          <w:rFonts w:eastAsia="SimSun" w:cs="Arial"/>
        </w:rPr>
        <w:t xml:space="preserve">·s) </w:t>
      </w:r>
    </w:p>
    <w:p w14:paraId="16CB3A3D" w14:textId="1C4A1CB4" w:rsidR="008C7533" w:rsidRPr="002856DE" w:rsidRDefault="006121B6" w:rsidP="00FA3C20">
      <w:pPr>
        <w:pStyle w:val="CETBodytext"/>
        <w:jc w:val="left"/>
        <w:rPr>
          <w:rFonts w:eastAsia="SimSun" w:cs="Arial"/>
        </w:rPr>
      </w:pPr>
      <m:oMath>
        <m:r>
          <w:rPr>
            <w:rFonts w:ascii="Cambria Math" w:eastAsia="SimSun" w:hAnsi="Cambria Math" w:cs="Arial"/>
          </w:rPr>
          <m:t>R</m:t>
        </m:r>
      </m:oMath>
      <w:r w:rsidR="00FA3C20" w:rsidRPr="002856DE">
        <w:rPr>
          <w:rFonts w:eastAsia="SimSun" w:cs="Arial"/>
        </w:rPr>
        <w:t xml:space="preserve"> – </w:t>
      </w:r>
      <w:r w:rsidRPr="002856DE">
        <w:rPr>
          <w:rFonts w:eastAsia="SimSun" w:cs="Arial"/>
        </w:rPr>
        <w:t>reactor radius</w:t>
      </w:r>
      <w:r w:rsidR="00FA3C20" w:rsidRPr="002856DE">
        <w:rPr>
          <w:rFonts w:eastAsia="SimSun" w:cs="Arial"/>
        </w:rPr>
        <w:t xml:space="preserve">, </w:t>
      </w:r>
      <w:r w:rsidRPr="002856DE">
        <w:rPr>
          <w:rFonts w:eastAsia="SimSun" w:cs="Arial"/>
        </w:rPr>
        <w:t>m</w:t>
      </w:r>
    </w:p>
    <w:p w14:paraId="2083D799" w14:textId="51C91DE9" w:rsidR="009405AE" w:rsidRPr="002856DE" w:rsidRDefault="006121B6">
      <w:pPr>
        <w:pStyle w:val="CETBodytext"/>
        <w:jc w:val="left"/>
        <w:rPr>
          <w:rFonts w:eastAsia="SimSun" w:cs="Arial"/>
        </w:rPr>
      </w:pPr>
      <m:oMath>
        <m:r>
          <w:rPr>
            <w:rFonts w:ascii="Cambria Math" w:eastAsia="SimSun" w:hAnsi="Cambria Math" w:cs="Arial"/>
          </w:rPr>
          <m:t>t</m:t>
        </m:r>
      </m:oMath>
      <w:r w:rsidRPr="002856DE">
        <w:rPr>
          <w:rFonts w:eastAsia="SimSun" w:cs="Arial"/>
        </w:rPr>
        <w:t xml:space="preserve"> – </w:t>
      </w:r>
      <w:r w:rsidR="00893A21" w:rsidRPr="002856DE">
        <w:rPr>
          <w:rFonts w:eastAsia="SimSun" w:cs="Arial"/>
        </w:rPr>
        <w:t>time</w:t>
      </w:r>
      <w:r w:rsidRPr="002856DE">
        <w:rPr>
          <w:rFonts w:eastAsia="SimSun" w:cs="Arial"/>
        </w:rPr>
        <w:t xml:space="preserve">, </w:t>
      </w:r>
      <w:r w:rsidR="00893A21" w:rsidRPr="002856DE">
        <w:rPr>
          <w:rFonts w:eastAsia="SimSun" w:cs="Arial"/>
        </w:rPr>
        <w:t>s</w:t>
      </w:r>
    </w:p>
    <w:p w14:paraId="571EFF24" w14:textId="6A8E0FC2" w:rsidR="00893A21" w:rsidRPr="002856DE" w:rsidRDefault="00000000">
      <w:pPr>
        <w:pStyle w:val="CETBodytext"/>
        <w:jc w:val="left"/>
        <w:rPr>
          <w:rFonts w:eastAsia="SimSun" w:cs="Arial"/>
          <w:vertAlign w:val="subscript"/>
        </w:rPr>
      </w:pPr>
      <m:oMath>
        <m:sSub>
          <m:sSubPr>
            <m:ctrlPr>
              <w:rPr>
                <w:rFonts w:ascii="Cambria Math" w:eastAsia="SimSun" w:hAnsi="Cambria Math" w:cs="Arial"/>
                <w:i/>
              </w:rPr>
            </m:ctrlPr>
          </m:sSubPr>
          <m:e>
            <m:r>
              <w:rPr>
                <w:rFonts w:ascii="Cambria Math" w:eastAsia="SimSun" w:hAnsi="Cambria Math" w:cs="Arial"/>
              </w:rPr>
              <m:t>u</m:t>
            </m:r>
          </m:e>
          <m:sub>
            <m:r>
              <m:rPr>
                <m:sty m:val="p"/>
              </m:rPr>
              <w:rPr>
                <w:rFonts w:ascii="Cambria Math" w:eastAsia="SimSun" w:hAnsi="Cambria Math" w:cs="Arial"/>
                <w:vertAlign w:val="subscript"/>
              </w:rPr>
              <m:t>s,z</m:t>
            </m:r>
          </m:sub>
        </m:sSub>
      </m:oMath>
      <w:r w:rsidR="00893A21" w:rsidRPr="002856DE">
        <w:rPr>
          <w:rFonts w:eastAsia="SimSun" w:cs="Arial"/>
          <w:vertAlign w:val="subscript"/>
        </w:rPr>
        <w:t xml:space="preserve"> </w:t>
      </w:r>
      <w:r w:rsidR="00893A21" w:rsidRPr="002856DE">
        <w:rPr>
          <w:rFonts w:eastAsia="SimSun" w:cs="Arial"/>
        </w:rPr>
        <w:t xml:space="preserve">– superficial velocity, m/s </w:t>
      </w:r>
    </w:p>
    <w:p w14:paraId="7CF2DE26" w14:textId="45C5E024" w:rsidR="009405AE" w:rsidRPr="002856DE" w:rsidRDefault="00000000">
      <w:pPr>
        <w:pStyle w:val="CETBodytext"/>
        <w:jc w:val="left"/>
        <w:rPr>
          <w:rFonts w:eastAsia="SimSun" w:cs="Arial"/>
        </w:rPr>
      </w:pPr>
      <m:oMath>
        <m:sSub>
          <m:sSubPr>
            <m:ctrlPr>
              <w:rPr>
                <w:rFonts w:ascii="Cambria Math" w:eastAsia="SimSun" w:hAnsi="Cambria Math" w:cs="Arial"/>
                <w:i/>
              </w:rPr>
            </m:ctrlPr>
          </m:sSubPr>
          <m:e>
            <m:r>
              <w:rPr>
                <w:rFonts w:ascii="Cambria Math" w:eastAsia="SimSun" w:hAnsi="Cambria Math" w:cs="Arial"/>
              </w:rPr>
              <m:t>V</m:t>
            </m:r>
          </m:e>
          <m:sub>
            <m:r>
              <m:rPr>
                <m:sty m:val="p"/>
              </m:rPr>
              <w:rPr>
                <w:rFonts w:ascii="Cambria Math" w:eastAsia="SimSun" w:hAnsi="Cambria Math" w:cs="Arial"/>
              </w:rPr>
              <m:t>R</m:t>
            </m:r>
          </m:sub>
        </m:sSub>
      </m:oMath>
      <w:r w:rsidR="006121B6" w:rsidRPr="002856DE">
        <w:rPr>
          <w:rFonts w:eastAsia="SimSun" w:cs="Arial"/>
        </w:rPr>
        <w:t xml:space="preserve"> – reactor volume</w:t>
      </w:r>
      <w:r w:rsidR="00114E9A" w:rsidRPr="002856DE">
        <w:rPr>
          <w:rFonts w:eastAsia="SimSun" w:cs="Arial"/>
        </w:rPr>
        <w:t>, m</w:t>
      </w:r>
      <w:r w:rsidR="00114E9A" w:rsidRPr="002856DE">
        <w:rPr>
          <w:rFonts w:eastAsia="SimSun" w:cs="Arial"/>
          <w:vertAlign w:val="superscript"/>
        </w:rPr>
        <w:t>3</w:t>
      </w:r>
    </w:p>
    <w:p w14:paraId="34A4688E" w14:textId="1F637BD9" w:rsidR="006121B6" w:rsidRPr="002856DE" w:rsidRDefault="006121B6" w:rsidP="006121B6">
      <w:pPr>
        <w:pStyle w:val="CETBodytext"/>
        <w:jc w:val="left"/>
        <w:rPr>
          <w:rFonts w:eastAsia="SimSun" w:cs="Arial"/>
        </w:rPr>
      </w:pPr>
      <m:oMath>
        <m:r>
          <w:rPr>
            <w:rFonts w:ascii="Cambria Math" w:eastAsia="SimSun" w:hAnsi="Cambria Math" w:cs="Arial"/>
          </w:rPr>
          <m:t>w</m:t>
        </m:r>
      </m:oMath>
      <w:r w:rsidRPr="002856DE">
        <w:rPr>
          <w:rFonts w:eastAsia="SimSun" w:cs="Arial"/>
        </w:rPr>
        <w:t xml:space="preserve"> – species mass fraction</w:t>
      </w:r>
      <w:r w:rsidR="00A5032B" w:rsidRPr="002856DE">
        <w:rPr>
          <w:rFonts w:eastAsia="SimSun" w:cs="Arial"/>
        </w:rPr>
        <w:t>, -</w:t>
      </w:r>
    </w:p>
    <w:p w14:paraId="0C414248" w14:textId="6286F859" w:rsidR="009405AE" w:rsidRPr="002856DE" w:rsidRDefault="00FA3C20">
      <w:pPr>
        <w:pStyle w:val="CETBodytext"/>
        <w:jc w:val="left"/>
        <w:rPr>
          <w:rFonts w:eastAsia="SimSun" w:cs="Arial"/>
        </w:rPr>
      </w:pPr>
      <m:oMath>
        <m:r>
          <w:rPr>
            <w:rFonts w:ascii="Cambria Math" w:eastAsia="SimSun" w:hAnsi="Cambria Math" w:cs="Arial"/>
          </w:rPr>
          <m:t>z</m:t>
        </m:r>
      </m:oMath>
      <w:r w:rsidRPr="002856DE">
        <w:rPr>
          <w:rFonts w:eastAsia="SimSun" w:cs="Arial"/>
        </w:rPr>
        <w:t xml:space="preserve"> – </w:t>
      </w:r>
      <w:r w:rsidR="00893A21" w:rsidRPr="002856DE">
        <w:rPr>
          <w:rFonts w:eastAsia="SimSun" w:cs="Arial"/>
        </w:rPr>
        <w:t>axial reactor position</w:t>
      </w:r>
      <w:r w:rsidR="00114E9A" w:rsidRPr="002856DE">
        <w:rPr>
          <w:rFonts w:eastAsia="SimSun" w:cs="Arial"/>
        </w:rPr>
        <w:t>, m</w:t>
      </w:r>
    </w:p>
    <w:p w14:paraId="3E987BFA" w14:textId="581AB4AA" w:rsidR="009405AE" w:rsidRPr="002856DE" w:rsidRDefault="00FA3C20">
      <w:pPr>
        <w:pStyle w:val="CETBodytext"/>
        <w:jc w:val="left"/>
        <w:rPr>
          <w:rFonts w:eastAsia="SimSun" w:cs="Arial"/>
        </w:rPr>
      </w:pPr>
      <m:oMath>
        <m:r>
          <w:rPr>
            <w:rFonts w:ascii="Cambria Math" w:eastAsia="SimSun" w:hAnsi="Cambria Math" w:cs="Arial"/>
          </w:rPr>
          <m:t>α</m:t>
        </m:r>
      </m:oMath>
      <w:r w:rsidRPr="002856DE">
        <w:rPr>
          <w:rFonts w:eastAsia="SimSun" w:cs="Arial"/>
        </w:rPr>
        <w:t xml:space="preserve"> </w:t>
      </w:r>
      <w:r w:rsidR="00893A21" w:rsidRPr="002856DE">
        <w:rPr>
          <w:rFonts w:eastAsia="SimSun" w:cs="Arial"/>
        </w:rPr>
        <w:t>–</w:t>
      </w:r>
      <w:r w:rsidRPr="002856DE">
        <w:rPr>
          <w:rFonts w:eastAsia="SimSun" w:cs="Arial"/>
        </w:rPr>
        <w:t xml:space="preserve"> </w:t>
      </w:r>
      <w:r w:rsidR="00893A21" w:rsidRPr="002856DE">
        <w:rPr>
          <w:rFonts w:eastAsia="SimSun" w:cs="Arial"/>
        </w:rPr>
        <w:t>species index</w:t>
      </w:r>
      <w:r w:rsidR="00A5032B" w:rsidRPr="002856DE">
        <w:rPr>
          <w:rFonts w:eastAsia="SimSun" w:cs="Arial"/>
        </w:rPr>
        <w:t>, -</w:t>
      </w:r>
    </w:p>
    <w:p w14:paraId="48505FDF" w14:textId="33F5F0F6" w:rsidR="00FA3C20" w:rsidRPr="002856DE" w:rsidRDefault="00000000">
      <w:pPr>
        <w:pStyle w:val="CETBodytext"/>
        <w:jc w:val="left"/>
        <w:rPr>
          <w:rFonts w:eastAsia="SimSun" w:cs="Arial"/>
        </w:rPr>
      </w:pPr>
      <m:oMath>
        <m:sSub>
          <m:sSubPr>
            <m:ctrlPr>
              <w:rPr>
                <w:rFonts w:ascii="Cambria Math" w:eastAsia="SimSun" w:hAnsi="Cambria Math" w:cs="Arial"/>
                <w:i/>
              </w:rPr>
            </m:ctrlPr>
          </m:sSubPr>
          <m:e>
            <m:r>
              <m:rPr>
                <m:sty m:val="p"/>
              </m:rPr>
              <w:rPr>
                <w:rFonts w:ascii="Cambria Math" w:eastAsia="SimSun" w:hAnsi="Cambria Math" w:cs="Arial"/>
              </w:rPr>
              <m:t>Δ</m:t>
            </m:r>
            <m:ctrlPr>
              <w:rPr>
                <w:rFonts w:ascii="Cambria Math" w:eastAsia="SimSun" w:hAnsi="Cambria Math" w:cs="Arial"/>
              </w:rPr>
            </m:ctrlPr>
          </m:e>
          <m:sub>
            <m:r>
              <m:rPr>
                <m:sty m:val="p"/>
              </m:rPr>
              <w:rPr>
                <w:rFonts w:ascii="Cambria Math" w:eastAsia="SimSun" w:hAnsi="Cambria Math" w:cs="Arial"/>
              </w:rPr>
              <m:t>R</m:t>
            </m:r>
          </m:sub>
        </m:sSub>
        <m:acc>
          <m:accPr>
            <m:chr m:val="̃"/>
            <m:ctrlPr>
              <w:rPr>
                <w:rFonts w:ascii="Cambria Math" w:eastAsia="SimSun" w:hAnsi="Cambria Math" w:cs="Arial"/>
                <w:i/>
              </w:rPr>
            </m:ctrlPr>
          </m:accPr>
          <m:e>
            <m:r>
              <w:rPr>
                <w:rFonts w:ascii="Cambria Math" w:eastAsia="SimSun" w:hAnsi="Cambria Math" w:cs="Arial"/>
              </w:rPr>
              <m:t>H</m:t>
            </m:r>
          </m:e>
        </m:acc>
      </m:oMath>
      <w:r w:rsidR="00FA3C20" w:rsidRPr="002856DE">
        <w:rPr>
          <w:rFonts w:eastAsia="SimSun" w:cs="Arial"/>
        </w:rPr>
        <w:t xml:space="preserve"> – reaction enthalpy</w:t>
      </w:r>
      <w:r w:rsidR="00114E9A" w:rsidRPr="002856DE">
        <w:rPr>
          <w:rFonts w:eastAsia="SimSun" w:cs="Arial"/>
        </w:rPr>
        <w:t>, J/</w:t>
      </w:r>
      <w:r w:rsidR="00E405C3" w:rsidRPr="002856DE">
        <w:rPr>
          <w:rFonts w:eastAsia="SimSun" w:cs="Arial"/>
        </w:rPr>
        <w:t>mol</w:t>
      </w:r>
    </w:p>
    <w:p w14:paraId="094C53D5" w14:textId="2B9C3106" w:rsidR="00893A21" w:rsidRPr="002856DE" w:rsidRDefault="00FA3C20">
      <w:pPr>
        <w:pStyle w:val="CETBodytext"/>
        <w:jc w:val="left"/>
        <w:rPr>
          <w:rFonts w:eastAsia="SimSun" w:cs="Arial"/>
        </w:rPr>
      </w:pPr>
      <m:oMath>
        <m:r>
          <w:rPr>
            <w:rFonts w:ascii="Cambria Math" w:eastAsia="SimSun" w:hAnsi="Cambria Math" w:cs="Arial"/>
          </w:rPr>
          <m:t>ε</m:t>
        </m:r>
      </m:oMath>
      <w:r w:rsidR="00893A21" w:rsidRPr="002856DE">
        <w:rPr>
          <w:rFonts w:eastAsia="SimSun" w:cs="Arial"/>
        </w:rPr>
        <w:t xml:space="preserve"> – bed void fraction, -</w:t>
      </w:r>
    </w:p>
    <w:p w14:paraId="6863DE84" w14:textId="2C62DF3B" w:rsidR="00893A21" w:rsidRPr="002856DE" w:rsidRDefault="00000000">
      <w:pPr>
        <w:pStyle w:val="CETBodytext"/>
        <w:jc w:val="left"/>
        <w:rPr>
          <w:rFonts w:eastAsia="SimSun" w:cs="Arial"/>
        </w:rPr>
      </w:pPr>
      <m:oMath>
        <m:sSub>
          <m:sSubPr>
            <m:ctrlPr>
              <w:rPr>
                <w:rFonts w:ascii="Cambria Math" w:eastAsia="SimSun" w:hAnsi="Cambria Math" w:cs="Arial"/>
                <w:i/>
              </w:rPr>
            </m:ctrlPr>
          </m:sSubPr>
          <m:e>
            <m:r>
              <w:rPr>
                <w:rFonts w:ascii="Cambria Math" w:eastAsia="SimSun" w:hAnsi="Cambria Math" w:cs="Arial"/>
              </w:rPr>
              <m:t>ρ</m:t>
            </m:r>
          </m:e>
          <m:sub>
            <m:r>
              <m:rPr>
                <m:sty m:val="p"/>
              </m:rPr>
              <w:rPr>
                <w:rFonts w:ascii="Cambria Math" w:eastAsia="SimSun" w:hAnsi="Cambria Math" w:cs="Arial"/>
                <w:vertAlign w:val="subscript"/>
              </w:rPr>
              <m:t>gas</m:t>
            </m:r>
          </m:sub>
        </m:sSub>
      </m:oMath>
      <w:r w:rsidR="00893A21" w:rsidRPr="002856DE">
        <w:rPr>
          <w:rFonts w:eastAsia="SimSun" w:cs="Arial"/>
        </w:rPr>
        <w:t xml:space="preserve"> – gas density, kg/m</w:t>
      </w:r>
      <w:r w:rsidR="00893A21" w:rsidRPr="002856DE">
        <w:rPr>
          <w:rFonts w:eastAsia="SimSun" w:cs="Arial"/>
          <w:vertAlign w:val="superscript"/>
        </w:rPr>
        <w:t>3</w:t>
      </w:r>
    </w:p>
    <w:p w14:paraId="505E7BF5" w14:textId="068637AD" w:rsidR="00FA3C20" w:rsidRPr="002856DE" w:rsidRDefault="00000000">
      <w:pPr>
        <w:pStyle w:val="CETBodytext"/>
        <w:jc w:val="left"/>
        <w:rPr>
          <w:rFonts w:eastAsia="SimSun" w:cs="Arial"/>
        </w:rPr>
      </w:pPr>
      <m:oMath>
        <m:sSub>
          <m:sSubPr>
            <m:ctrlPr>
              <w:rPr>
                <w:rFonts w:ascii="Cambria Math" w:eastAsia="SimSun" w:hAnsi="Cambria Math" w:cs="Arial"/>
                <w:i/>
              </w:rPr>
            </m:ctrlPr>
          </m:sSubPr>
          <m:e>
            <m:r>
              <w:rPr>
                <w:rFonts w:ascii="Cambria Math" w:eastAsia="SimSun" w:hAnsi="Cambria Math" w:cs="Arial"/>
              </w:rPr>
              <m:t>μ</m:t>
            </m:r>
          </m:e>
          <m:sub>
            <m:r>
              <m:rPr>
                <m:sty m:val="p"/>
              </m:rPr>
              <w:rPr>
                <w:rFonts w:ascii="Cambria Math" w:eastAsia="SimSun" w:hAnsi="Cambria Math" w:cs="Arial"/>
              </w:rPr>
              <m:t>gas</m:t>
            </m:r>
          </m:sub>
        </m:sSub>
      </m:oMath>
      <w:r w:rsidR="00FA3C20" w:rsidRPr="002856DE">
        <w:rPr>
          <w:rFonts w:eastAsia="SimSun" w:cs="Arial"/>
        </w:rPr>
        <w:t xml:space="preserve"> – gas viscosity, kg/(m·s)</w:t>
      </w:r>
    </w:p>
    <w:p w14:paraId="12591991" w14:textId="096DB251" w:rsidR="00893A21" w:rsidRPr="002856DE" w:rsidRDefault="009D75F4">
      <w:pPr>
        <w:pStyle w:val="CETBodytext"/>
        <w:jc w:val="left"/>
        <w:rPr>
          <w:rFonts w:eastAsia="SimSun" w:cs="Arial"/>
        </w:rPr>
      </w:pPr>
      <m:oMath>
        <m:r>
          <w:rPr>
            <w:rFonts w:ascii="Cambria Math" w:eastAsia="SimSun" w:hAnsi="Cambria Math" w:cs="Arial"/>
          </w:rPr>
          <m:t>ν</m:t>
        </m:r>
      </m:oMath>
      <w:r w:rsidR="00893A21" w:rsidRPr="002856DE">
        <w:rPr>
          <w:rFonts w:eastAsia="SimSun" w:cs="Arial"/>
        </w:rPr>
        <w:t xml:space="preserve"> – </w:t>
      </w:r>
      <w:r w:rsidRPr="002856DE">
        <w:rPr>
          <w:rFonts w:eastAsia="SimSun" w:cs="Arial"/>
        </w:rPr>
        <w:t>stoichiometric coefficient</w:t>
      </w:r>
      <w:r w:rsidR="00893A21" w:rsidRPr="002856DE">
        <w:rPr>
          <w:rFonts w:eastAsia="SimSun" w:cs="Arial"/>
        </w:rPr>
        <w:t xml:space="preserve">, </w:t>
      </w:r>
      <w:r w:rsidRPr="002856DE">
        <w:rPr>
          <w:rFonts w:eastAsia="SimSun" w:cs="Arial"/>
        </w:rPr>
        <w:t>-</w:t>
      </w:r>
    </w:p>
    <w:p w14:paraId="1E6E4D9A" w14:textId="3275F4C7" w:rsidR="009405AE" w:rsidRPr="002856DE" w:rsidRDefault="00000000">
      <w:pPr>
        <w:pStyle w:val="CETBodytext"/>
        <w:jc w:val="left"/>
        <w:rPr>
          <w:rFonts w:eastAsia="SimSun" w:cs="Arial"/>
        </w:rPr>
        <w:sectPr w:rsidR="009405AE" w:rsidRPr="002856DE" w:rsidSect="00026AB0">
          <w:type w:val="continuous"/>
          <w:pgSz w:w="11906" w:h="16838"/>
          <w:pgMar w:top="1701" w:right="1418" w:bottom="1701" w:left="1701" w:header="1701" w:footer="0" w:gutter="0"/>
          <w:cols w:num="2" w:space="708"/>
          <w:titlePg/>
        </w:sectPr>
      </w:pPr>
      <m:oMath>
        <m:sSub>
          <m:sSubPr>
            <m:ctrlPr>
              <w:rPr>
                <w:rFonts w:ascii="Cambria Math" w:eastAsia="SimSun" w:hAnsi="Cambria Math" w:cs="Arial"/>
                <w:i/>
              </w:rPr>
            </m:ctrlPr>
          </m:sSubPr>
          <m:e>
            <m:r>
              <w:rPr>
                <w:rFonts w:ascii="Cambria Math" w:eastAsia="SimSun" w:hAnsi="Cambria Math" w:cs="Arial"/>
              </w:rPr>
              <m:t>η</m:t>
            </m:r>
          </m:e>
          <m:sub>
            <m:r>
              <m:rPr>
                <m:sty m:val="p"/>
              </m:rPr>
              <w:rPr>
                <w:rFonts w:ascii="Cambria Math" w:eastAsia="SimSun" w:hAnsi="Cambria Math" w:cs="Arial"/>
                <w:vertAlign w:val="subscript"/>
              </w:rPr>
              <m:t>cat</m:t>
            </m:r>
          </m:sub>
        </m:sSub>
      </m:oMath>
      <w:r w:rsidR="00FA3C20" w:rsidRPr="002856DE">
        <w:rPr>
          <w:rFonts w:eastAsia="SimSun" w:cs="Arial"/>
        </w:rPr>
        <w:t xml:space="preserve"> – </w:t>
      </w:r>
      <w:r w:rsidR="00893A21" w:rsidRPr="002856DE">
        <w:rPr>
          <w:rFonts w:eastAsia="SimSun" w:cs="Arial"/>
        </w:rPr>
        <w:t xml:space="preserve">catalyst efficiency </w:t>
      </w:r>
      <w:r w:rsidR="009D75F4" w:rsidRPr="002856DE">
        <w:rPr>
          <w:rFonts w:eastAsia="SimSun" w:cs="Arial"/>
        </w:rPr>
        <w:t>factor, -</w:t>
      </w:r>
    </w:p>
    <w:p w14:paraId="5E022415" w14:textId="77777777" w:rsidR="009405AE" w:rsidRPr="002856DE" w:rsidRDefault="00000000">
      <w:pPr>
        <w:pStyle w:val="CETReference"/>
        <w:rPr>
          <w:rFonts w:cs="Arial"/>
          <w:lang w:val="en-US"/>
        </w:rPr>
      </w:pPr>
      <w:r w:rsidRPr="002856DE">
        <w:rPr>
          <w:rFonts w:cs="Arial"/>
          <w:lang w:val="en-US"/>
        </w:rPr>
        <w:t>References</w:t>
      </w:r>
    </w:p>
    <w:p w14:paraId="269564F4" w14:textId="1116B60A" w:rsidR="00947B7C" w:rsidRPr="002856DE" w:rsidRDefault="00947B7C" w:rsidP="00947B7C">
      <w:pPr>
        <w:pStyle w:val="CETReferencetext"/>
        <w:rPr>
          <w:rFonts w:cs="Arial"/>
        </w:rPr>
      </w:pPr>
      <w:proofErr w:type="spellStart"/>
      <w:r w:rsidRPr="002856DE">
        <w:rPr>
          <w:rFonts w:cs="Arial"/>
        </w:rPr>
        <w:t>Ambrosetti</w:t>
      </w:r>
      <w:proofErr w:type="spellEnd"/>
      <w:r w:rsidRPr="002856DE">
        <w:rPr>
          <w:rFonts w:cs="Arial"/>
        </w:rPr>
        <w:t xml:space="preserve"> M., 2022, A perspective on power-to-heat in catalytic processes for decarbonization, Chemical Engineering and Processing - Process Intensification, 182, 109187.</w:t>
      </w:r>
    </w:p>
    <w:p w14:paraId="02D49309" w14:textId="179A5F92" w:rsidR="00947B7C" w:rsidRPr="002856DE" w:rsidRDefault="00947B7C" w:rsidP="00947B7C">
      <w:pPr>
        <w:pStyle w:val="CETReferencetext"/>
        <w:rPr>
          <w:rFonts w:cs="Arial"/>
        </w:rPr>
      </w:pPr>
      <w:r w:rsidRPr="002856DE">
        <w:rPr>
          <w:rFonts w:cs="Arial"/>
        </w:rPr>
        <w:t xml:space="preserve">Bremer J., </w:t>
      </w:r>
      <w:proofErr w:type="spellStart"/>
      <w:r w:rsidRPr="002856DE">
        <w:rPr>
          <w:rFonts w:cs="Arial"/>
        </w:rPr>
        <w:t>Sundmacher</w:t>
      </w:r>
      <w:proofErr w:type="spellEnd"/>
      <w:r w:rsidRPr="002856DE">
        <w:rPr>
          <w:rFonts w:cs="Arial"/>
        </w:rPr>
        <w:t xml:space="preserve"> K., 2019, Operation range extension via hot-spot control for catalytic </w:t>
      </w:r>
      <w:r w:rsidR="007E6FC0" w:rsidRPr="002856DE">
        <w:rPr>
          <w:rFonts w:cs="Arial"/>
        </w:rPr>
        <w:t>CO</w:t>
      </w:r>
      <w:r w:rsidRPr="002856DE">
        <w:rPr>
          <w:rFonts w:cs="Arial"/>
          <w:vertAlign w:val="subscript"/>
        </w:rPr>
        <w:t>2</w:t>
      </w:r>
      <w:r w:rsidRPr="002856DE">
        <w:rPr>
          <w:rFonts w:cs="Arial"/>
        </w:rPr>
        <w:t xml:space="preserve"> methanation reactors, Reaction Chemistry &amp; Engineering, 4, 1019–1037.</w:t>
      </w:r>
    </w:p>
    <w:p w14:paraId="3019612A" w14:textId="77777777" w:rsidR="00947B7C" w:rsidRPr="002856DE" w:rsidRDefault="00947B7C" w:rsidP="00947B7C">
      <w:pPr>
        <w:pStyle w:val="CETReferencetext"/>
        <w:rPr>
          <w:rFonts w:cs="Arial"/>
        </w:rPr>
      </w:pPr>
      <w:proofErr w:type="spellStart"/>
      <w:r w:rsidRPr="002856DE">
        <w:rPr>
          <w:rFonts w:cs="Arial"/>
        </w:rPr>
        <w:t>Daccache</w:t>
      </w:r>
      <w:proofErr w:type="spellEnd"/>
      <w:r w:rsidRPr="002856DE">
        <w:rPr>
          <w:rFonts w:cs="Arial"/>
        </w:rPr>
        <w:t xml:space="preserve"> S., Ghosh S., Marias F., </w:t>
      </w:r>
      <w:proofErr w:type="spellStart"/>
      <w:r w:rsidRPr="002856DE">
        <w:rPr>
          <w:rFonts w:cs="Arial"/>
        </w:rPr>
        <w:t>Chaudret</w:t>
      </w:r>
      <w:proofErr w:type="spellEnd"/>
      <w:r w:rsidRPr="002856DE">
        <w:rPr>
          <w:rFonts w:cs="Arial"/>
        </w:rPr>
        <w:t xml:space="preserve"> B., Carrey J., 2024, Iron wool as a heating agent for magnetic catalysis: experiments and analysis of heating properties under a high-frequency magnetic field, Journal of Applied Physics, 136, 133901.</w:t>
      </w:r>
    </w:p>
    <w:p w14:paraId="58B15822" w14:textId="77777777" w:rsidR="00947B7C" w:rsidRPr="002856DE" w:rsidRDefault="00947B7C" w:rsidP="00947B7C">
      <w:pPr>
        <w:pStyle w:val="CETReferencetext"/>
        <w:rPr>
          <w:rFonts w:cs="Arial"/>
        </w:rPr>
      </w:pPr>
      <w:proofErr w:type="spellStart"/>
      <w:r w:rsidRPr="002856DE">
        <w:rPr>
          <w:rFonts w:cs="Arial"/>
        </w:rPr>
        <w:t>Fache</w:t>
      </w:r>
      <w:proofErr w:type="spellEnd"/>
      <w:r w:rsidRPr="002856DE">
        <w:rPr>
          <w:rFonts w:cs="Arial"/>
        </w:rPr>
        <w:t xml:space="preserve"> A., Marias F., 2020, Dynamic operation of fixed-bed methanation reactors: yield control by catalyst dilution profile and magnetic induction, Renewable Energy, 151, 865–886.</w:t>
      </w:r>
    </w:p>
    <w:p w14:paraId="268EF2F6" w14:textId="77777777" w:rsidR="00947B7C" w:rsidRPr="002856DE" w:rsidRDefault="00947B7C" w:rsidP="00947B7C">
      <w:pPr>
        <w:pStyle w:val="CETReferencetext"/>
        <w:rPr>
          <w:rFonts w:cs="Arial"/>
        </w:rPr>
      </w:pPr>
      <w:proofErr w:type="spellStart"/>
      <w:r w:rsidRPr="002856DE">
        <w:rPr>
          <w:rFonts w:cs="Arial"/>
        </w:rPr>
        <w:t>Fache</w:t>
      </w:r>
      <w:proofErr w:type="spellEnd"/>
      <w:r w:rsidRPr="002856DE">
        <w:rPr>
          <w:rFonts w:cs="Arial"/>
        </w:rPr>
        <w:t xml:space="preserve"> A., Marias F., </w:t>
      </w:r>
      <w:proofErr w:type="spellStart"/>
      <w:r w:rsidRPr="002856DE">
        <w:rPr>
          <w:rFonts w:cs="Arial"/>
        </w:rPr>
        <w:t>Chaudret</w:t>
      </w:r>
      <w:proofErr w:type="spellEnd"/>
      <w:r w:rsidRPr="002856DE">
        <w:rPr>
          <w:rFonts w:cs="Arial"/>
        </w:rPr>
        <w:t xml:space="preserve"> B., 2020, Catalytic reactors for highly exothermic reactions: steady-state stability enhancement by magnetic induction, Chemical Engineering Journal, 390, 124531.</w:t>
      </w:r>
    </w:p>
    <w:p w14:paraId="550B7C57" w14:textId="31A6E973" w:rsidR="00947B7C" w:rsidRPr="002856DE" w:rsidRDefault="00947B7C" w:rsidP="00947B7C">
      <w:pPr>
        <w:pStyle w:val="CETReferencetext"/>
        <w:rPr>
          <w:rFonts w:cs="Arial"/>
        </w:rPr>
      </w:pPr>
      <w:proofErr w:type="spellStart"/>
      <w:r w:rsidRPr="002856DE">
        <w:rPr>
          <w:rFonts w:cs="Arial"/>
        </w:rPr>
        <w:t>Ferri</w:t>
      </w:r>
      <w:proofErr w:type="spellEnd"/>
      <w:r w:rsidRPr="002856DE">
        <w:rPr>
          <w:rFonts w:cs="Arial"/>
        </w:rPr>
        <w:t xml:space="preserve"> G., </w:t>
      </w:r>
      <w:proofErr w:type="spellStart"/>
      <w:r w:rsidRPr="002856DE">
        <w:rPr>
          <w:rFonts w:cs="Arial"/>
        </w:rPr>
        <w:t>Ambrosetti</w:t>
      </w:r>
      <w:proofErr w:type="spellEnd"/>
      <w:r w:rsidRPr="002856DE">
        <w:rPr>
          <w:rFonts w:cs="Arial"/>
        </w:rPr>
        <w:t xml:space="preserve"> M., Beretta A., </w:t>
      </w:r>
      <w:proofErr w:type="spellStart"/>
      <w:r w:rsidRPr="002856DE">
        <w:rPr>
          <w:rFonts w:cs="Arial"/>
        </w:rPr>
        <w:t>Groppi</w:t>
      </w:r>
      <w:proofErr w:type="spellEnd"/>
      <w:r w:rsidRPr="002856DE">
        <w:rPr>
          <w:rFonts w:cs="Arial"/>
        </w:rPr>
        <w:t xml:space="preserve"> G., </w:t>
      </w:r>
      <w:proofErr w:type="spellStart"/>
      <w:r w:rsidRPr="002856DE">
        <w:rPr>
          <w:rFonts w:cs="Arial"/>
        </w:rPr>
        <w:t>Tronconi</w:t>
      </w:r>
      <w:proofErr w:type="spellEnd"/>
      <w:r w:rsidRPr="002856DE">
        <w:rPr>
          <w:rFonts w:cs="Arial"/>
        </w:rPr>
        <w:t xml:space="preserve"> E., </w:t>
      </w:r>
      <w:proofErr w:type="spellStart"/>
      <w:r w:rsidRPr="002856DE">
        <w:rPr>
          <w:rFonts w:cs="Arial"/>
        </w:rPr>
        <w:t>Agosti</w:t>
      </w:r>
      <w:proofErr w:type="spellEnd"/>
      <w:r w:rsidRPr="002856DE">
        <w:rPr>
          <w:rFonts w:cs="Arial"/>
        </w:rPr>
        <w:t xml:space="preserve"> A., 2025, A novel electrified methane steam reformer for intensified </w:t>
      </w:r>
      <w:r w:rsidR="007E6FC0" w:rsidRPr="002856DE">
        <w:rPr>
          <w:rFonts w:cs="Arial"/>
        </w:rPr>
        <w:t>H</w:t>
      </w:r>
      <w:r w:rsidRPr="002856DE">
        <w:rPr>
          <w:rFonts w:cs="Arial"/>
          <w:vertAlign w:val="subscript"/>
        </w:rPr>
        <w:t>2</w:t>
      </w:r>
      <w:r w:rsidRPr="002856DE">
        <w:rPr>
          <w:rFonts w:cs="Arial"/>
        </w:rPr>
        <w:t xml:space="preserve"> production based on conductive packed foams: experimental and modelling assessment, Chemical Engineering Journal, 523, 168753.</w:t>
      </w:r>
    </w:p>
    <w:p w14:paraId="34ADFF8E" w14:textId="146D5E9F" w:rsidR="00947B7C" w:rsidRPr="002856DE" w:rsidRDefault="00947B7C" w:rsidP="00947B7C">
      <w:pPr>
        <w:pStyle w:val="CETReferencetext"/>
        <w:rPr>
          <w:rFonts w:cs="Arial"/>
        </w:rPr>
      </w:pPr>
      <w:proofErr w:type="spellStart"/>
      <w:r w:rsidRPr="002856DE">
        <w:rPr>
          <w:rFonts w:cs="Arial"/>
        </w:rPr>
        <w:t>Froment</w:t>
      </w:r>
      <w:proofErr w:type="spellEnd"/>
      <w:r w:rsidRPr="002856DE">
        <w:rPr>
          <w:rFonts w:cs="Arial"/>
        </w:rPr>
        <w:t xml:space="preserve"> G.F., 1974, Fixed bed catalytic reactors. </w:t>
      </w:r>
      <w:r w:rsidR="00502B68" w:rsidRPr="002856DE">
        <w:rPr>
          <w:rFonts w:cs="Arial"/>
        </w:rPr>
        <w:t>T</w:t>
      </w:r>
      <w:r w:rsidRPr="002856DE">
        <w:rPr>
          <w:rFonts w:cs="Arial"/>
        </w:rPr>
        <w:t xml:space="preserve">echnological and fundamental design aspects, </w:t>
      </w:r>
      <w:proofErr w:type="spellStart"/>
      <w:r w:rsidRPr="002856DE">
        <w:rPr>
          <w:rFonts w:cs="Arial"/>
        </w:rPr>
        <w:t>Chemie</w:t>
      </w:r>
      <w:proofErr w:type="spellEnd"/>
      <w:r w:rsidRPr="002856DE">
        <w:rPr>
          <w:rFonts w:cs="Arial"/>
        </w:rPr>
        <w:t xml:space="preserve"> </w:t>
      </w:r>
      <w:proofErr w:type="spellStart"/>
      <w:r w:rsidRPr="002856DE">
        <w:rPr>
          <w:rFonts w:cs="Arial"/>
        </w:rPr>
        <w:t>Ingenieur</w:t>
      </w:r>
      <w:proofErr w:type="spellEnd"/>
      <w:r w:rsidRPr="002856DE">
        <w:rPr>
          <w:rFonts w:cs="Arial"/>
        </w:rPr>
        <w:t xml:space="preserve"> Technik, 46, 374–386.</w:t>
      </w:r>
    </w:p>
    <w:p w14:paraId="1231BE49" w14:textId="77777777" w:rsidR="00947B7C" w:rsidRPr="002856DE" w:rsidRDefault="00947B7C" w:rsidP="00947B7C">
      <w:pPr>
        <w:pStyle w:val="CETReferencetext"/>
        <w:rPr>
          <w:rFonts w:cs="Arial"/>
        </w:rPr>
      </w:pPr>
      <w:r w:rsidRPr="002856DE">
        <w:rPr>
          <w:rFonts w:cs="Arial"/>
        </w:rPr>
        <w:t>Gottheil L., Bremer J., 2025, Shifting towards dynamic and load-flexible ammonia synthesis via polytropic fixed-bed reactors, Chemical Engineering Journal, 526, 170927.</w:t>
      </w:r>
    </w:p>
    <w:p w14:paraId="195DA5E0" w14:textId="77777777" w:rsidR="00947B7C" w:rsidRPr="002856DE" w:rsidRDefault="00947B7C" w:rsidP="00947B7C">
      <w:pPr>
        <w:pStyle w:val="CETReferencetext"/>
        <w:rPr>
          <w:rFonts w:cs="Arial"/>
        </w:rPr>
      </w:pPr>
      <w:proofErr w:type="spellStart"/>
      <w:r w:rsidRPr="002856DE">
        <w:rPr>
          <w:rFonts w:cs="Arial"/>
        </w:rPr>
        <w:t>Henda</w:t>
      </w:r>
      <w:proofErr w:type="spellEnd"/>
      <w:r w:rsidRPr="002856DE">
        <w:rPr>
          <w:rFonts w:cs="Arial"/>
        </w:rPr>
        <w:t xml:space="preserve"> R., </w:t>
      </w:r>
      <w:proofErr w:type="spellStart"/>
      <w:r w:rsidRPr="002856DE">
        <w:rPr>
          <w:rFonts w:cs="Arial"/>
        </w:rPr>
        <w:t>Machac</w:t>
      </w:r>
      <w:proofErr w:type="spellEnd"/>
      <w:r w:rsidRPr="002856DE">
        <w:rPr>
          <w:rFonts w:cs="Arial"/>
        </w:rPr>
        <w:t xml:space="preserve"> A., Nilsson B., 2008, Heat and mass transport in a nonlinear fixed-bed catalytic reactor: hot spots and thermal runaway, Chemical Engineering Journal, 143, 195–200.</w:t>
      </w:r>
    </w:p>
    <w:p w14:paraId="38B1546C" w14:textId="4F111EAA" w:rsidR="00947B7C" w:rsidRPr="002856DE" w:rsidRDefault="00947B7C" w:rsidP="00947B7C">
      <w:pPr>
        <w:pStyle w:val="CETReferencetext"/>
        <w:rPr>
          <w:rFonts w:cs="Arial"/>
        </w:rPr>
      </w:pPr>
      <w:r w:rsidRPr="002856DE">
        <w:rPr>
          <w:rFonts w:cs="Arial"/>
        </w:rPr>
        <w:t>Jess A., Popp R., Hedden K., 1999, Fischer–</w:t>
      </w:r>
      <w:proofErr w:type="spellStart"/>
      <w:r w:rsidR="00502B68" w:rsidRPr="002856DE">
        <w:rPr>
          <w:rFonts w:cs="Arial"/>
        </w:rPr>
        <w:t>T</w:t>
      </w:r>
      <w:r w:rsidRPr="002856DE">
        <w:rPr>
          <w:rFonts w:cs="Arial"/>
        </w:rPr>
        <w:t>ropsch</w:t>
      </w:r>
      <w:proofErr w:type="spellEnd"/>
      <w:r w:rsidRPr="002856DE">
        <w:rPr>
          <w:rFonts w:cs="Arial"/>
        </w:rPr>
        <w:t>-synthesis with nitrogen-rich syngas: fundamentals and reactor design aspects, Applied Catalysis A: General, 186, 321–342.</w:t>
      </w:r>
    </w:p>
    <w:p w14:paraId="0600891B" w14:textId="37A66583" w:rsidR="00947B7C" w:rsidRPr="002856DE" w:rsidRDefault="00947B7C" w:rsidP="00947B7C">
      <w:pPr>
        <w:pStyle w:val="CETReferencetext"/>
        <w:rPr>
          <w:rFonts w:cs="Arial"/>
        </w:rPr>
      </w:pPr>
      <w:proofErr w:type="spellStart"/>
      <w:r w:rsidRPr="002856DE">
        <w:rPr>
          <w:rFonts w:cs="Arial"/>
        </w:rPr>
        <w:t>Koschany</w:t>
      </w:r>
      <w:proofErr w:type="spellEnd"/>
      <w:r w:rsidRPr="002856DE">
        <w:rPr>
          <w:rFonts w:cs="Arial"/>
        </w:rPr>
        <w:t xml:space="preserve"> F., </w:t>
      </w:r>
      <w:proofErr w:type="spellStart"/>
      <w:r w:rsidRPr="002856DE">
        <w:rPr>
          <w:rFonts w:cs="Arial"/>
        </w:rPr>
        <w:t>Schlereth</w:t>
      </w:r>
      <w:proofErr w:type="spellEnd"/>
      <w:r w:rsidRPr="002856DE">
        <w:rPr>
          <w:rFonts w:cs="Arial"/>
        </w:rPr>
        <w:t xml:space="preserve"> D., </w:t>
      </w:r>
      <w:proofErr w:type="spellStart"/>
      <w:r w:rsidRPr="002856DE">
        <w:rPr>
          <w:rFonts w:cs="Arial"/>
        </w:rPr>
        <w:t>Hinrichsen</w:t>
      </w:r>
      <w:proofErr w:type="spellEnd"/>
      <w:r w:rsidRPr="002856DE">
        <w:rPr>
          <w:rFonts w:cs="Arial"/>
        </w:rPr>
        <w:t xml:space="preserve"> O., 2016, On the kinetics of the methanation of carbon dioxide on coprecipitated </w:t>
      </w:r>
      <w:proofErr w:type="spellStart"/>
      <w:r w:rsidR="007E6FC0" w:rsidRPr="002856DE">
        <w:rPr>
          <w:rFonts w:cs="Arial"/>
        </w:rPr>
        <w:t>N</w:t>
      </w:r>
      <w:r w:rsidRPr="002856DE">
        <w:rPr>
          <w:rFonts w:cs="Arial"/>
        </w:rPr>
        <w:t>i</w:t>
      </w:r>
      <w:r w:rsidR="007E6FC0" w:rsidRPr="002856DE">
        <w:rPr>
          <w:rFonts w:cs="Arial"/>
        </w:rPr>
        <w:t>A</w:t>
      </w:r>
      <w:r w:rsidRPr="002856DE">
        <w:rPr>
          <w:rFonts w:cs="Arial"/>
        </w:rPr>
        <w:t>l</w:t>
      </w:r>
      <w:proofErr w:type="spellEnd"/>
      <w:r w:rsidRPr="002856DE">
        <w:rPr>
          <w:rFonts w:cs="Arial"/>
        </w:rPr>
        <w:t>(</w:t>
      </w:r>
      <w:r w:rsidR="007E6FC0" w:rsidRPr="002856DE">
        <w:rPr>
          <w:rFonts w:cs="Arial"/>
        </w:rPr>
        <w:t>O</w:t>
      </w:r>
      <w:r w:rsidRPr="002856DE">
        <w:rPr>
          <w:rFonts w:cs="Arial"/>
        </w:rPr>
        <w:t>)</w:t>
      </w:r>
      <w:r w:rsidRPr="005C640B">
        <w:rPr>
          <w:rFonts w:cs="Arial"/>
          <w:vertAlign w:val="subscript"/>
        </w:rPr>
        <w:t>x</w:t>
      </w:r>
      <w:r w:rsidRPr="002856DE">
        <w:rPr>
          <w:rFonts w:cs="Arial"/>
        </w:rPr>
        <w:t>, Applied Catalysis B: Environmental, 181, 504–516.</w:t>
      </w:r>
    </w:p>
    <w:p w14:paraId="5D988A6D" w14:textId="77777777" w:rsidR="00947B7C" w:rsidRPr="002856DE" w:rsidRDefault="00947B7C" w:rsidP="00947B7C">
      <w:pPr>
        <w:pStyle w:val="CETReferencetext"/>
        <w:rPr>
          <w:rFonts w:cs="Arial"/>
        </w:rPr>
      </w:pPr>
      <w:r w:rsidRPr="002856DE">
        <w:rPr>
          <w:rFonts w:cs="Arial"/>
        </w:rPr>
        <w:t xml:space="preserve">Sauer J., </w:t>
      </w:r>
      <w:proofErr w:type="spellStart"/>
      <w:r w:rsidRPr="002856DE">
        <w:rPr>
          <w:rFonts w:cs="Arial"/>
        </w:rPr>
        <w:t>Dahmen</w:t>
      </w:r>
      <w:proofErr w:type="spellEnd"/>
      <w:r w:rsidRPr="002856DE">
        <w:rPr>
          <w:rFonts w:cs="Arial"/>
        </w:rPr>
        <w:t xml:space="preserve"> N., Henrich E., 2013, Tubular plug flow reactors, Ullmann’s </w:t>
      </w:r>
      <w:proofErr w:type="spellStart"/>
      <w:r w:rsidRPr="002856DE">
        <w:rPr>
          <w:rFonts w:cs="Arial"/>
        </w:rPr>
        <w:t>Encyclopedia</w:t>
      </w:r>
      <w:proofErr w:type="spellEnd"/>
      <w:r w:rsidRPr="002856DE">
        <w:rPr>
          <w:rFonts w:cs="Arial"/>
        </w:rPr>
        <w:t xml:space="preserve"> of Industrial Chemistry, John Wiley &amp; Sons, Ltd, Weinheim, 1–23.</w:t>
      </w:r>
    </w:p>
    <w:p w14:paraId="40036B96" w14:textId="12EDFF55" w:rsidR="00947B7C" w:rsidRPr="002856DE" w:rsidRDefault="00947B7C" w:rsidP="00947B7C">
      <w:pPr>
        <w:pStyle w:val="CETReferencetext"/>
        <w:rPr>
          <w:rFonts w:cs="Arial"/>
        </w:rPr>
      </w:pPr>
      <w:proofErr w:type="spellStart"/>
      <w:r w:rsidRPr="002856DE">
        <w:rPr>
          <w:rFonts w:cs="Arial"/>
        </w:rPr>
        <w:t>Schlereth</w:t>
      </w:r>
      <w:proofErr w:type="spellEnd"/>
      <w:r w:rsidRPr="002856DE">
        <w:rPr>
          <w:rFonts w:cs="Arial"/>
        </w:rPr>
        <w:t xml:space="preserve"> D., </w:t>
      </w:r>
      <w:proofErr w:type="spellStart"/>
      <w:r w:rsidRPr="002856DE">
        <w:rPr>
          <w:rFonts w:cs="Arial"/>
        </w:rPr>
        <w:t>Hinrichsen</w:t>
      </w:r>
      <w:proofErr w:type="spellEnd"/>
      <w:r w:rsidRPr="002856DE">
        <w:rPr>
          <w:rFonts w:cs="Arial"/>
        </w:rPr>
        <w:t xml:space="preserve"> O., 2014, A fixed-bed reactor </w:t>
      </w:r>
      <w:proofErr w:type="spellStart"/>
      <w:r w:rsidRPr="002856DE">
        <w:rPr>
          <w:rFonts w:cs="Arial"/>
        </w:rPr>
        <w:t>modeling</w:t>
      </w:r>
      <w:proofErr w:type="spellEnd"/>
      <w:r w:rsidRPr="002856DE">
        <w:rPr>
          <w:rFonts w:cs="Arial"/>
        </w:rPr>
        <w:t xml:space="preserve"> study on the methanation of </w:t>
      </w:r>
      <w:r w:rsidR="007E6FC0" w:rsidRPr="002856DE">
        <w:rPr>
          <w:rFonts w:cs="Arial"/>
        </w:rPr>
        <w:t>CO</w:t>
      </w:r>
      <w:r w:rsidRPr="002856DE">
        <w:rPr>
          <w:rFonts w:cs="Arial"/>
          <w:vertAlign w:val="subscript"/>
        </w:rPr>
        <w:t>2</w:t>
      </w:r>
      <w:r w:rsidRPr="002856DE">
        <w:rPr>
          <w:rFonts w:cs="Arial"/>
        </w:rPr>
        <w:t>, Chemical Engineering Research and Design, 92, 702–712.</w:t>
      </w:r>
    </w:p>
    <w:p w14:paraId="5E433A39" w14:textId="33B66BA5" w:rsidR="00947B7C" w:rsidRPr="002856DE" w:rsidRDefault="00947B7C" w:rsidP="00947B7C">
      <w:pPr>
        <w:pStyle w:val="CETReferencetext"/>
        <w:rPr>
          <w:rFonts w:cs="Arial"/>
        </w:rPr>
      </w:pPr>
      <w:proofErr w:type="spellStart"/>
      <w:r w:rsidRPr="002856DE">
        <w:rPr>
          <w:rFonts w:cs="Arial"/>
        </w:rPr>
        <w:t>Tegrotenhuis</w:t>
      </w:r>
      <w:proofErr w:type="spellEnd"/>
      <w:r w:rsidRPr="002856DE">
        <w:rPr>
          <w:rFonts w:cs="Arial"/>
        </w:rPr>
        <w:t xml:space="preserve"> W.E., King D.L., </w:t>
      </w:r>
      <w:proofErr w:type="spellStart"/>
      <w:r w:rsidRPr="002856DE">
        <w:rPr>
          <w:rFonts w:cs="Arial"/>
        </w:rPr>
        <w:t>Whyatt</w:t>
      </w:r>
      <w:proofErr w:type="spellEnd"/>
      <w:r w:rsidRPr="002856DE">
        <w:rPr>
          <w:rFonts w:cs="Arial"/>
        </w:rPr>
        <w:t xml:space="preserve"> G.A., Fischer C.M., </w:t>
      </w:r>
      <w:proofErr w:type="spellStart"/>
      <w:r w:rsidRPr="002856DE">
        <w:rPr>
          <w:rFonts w:cs="Arial"/>
        </w:rPr>
        <w:t>Wegeng</w:t>
      </w:r>
      <w:proofErr w:type="spellEnd"/>
      <w:r w:rsidRPr="002856DE">
        <w:rPr>
          <w:rFonts w:cs="Arial"/>
        </w:rPr>
        <w:t xml:space="preserve"> R.S., Brooks K.P., 2007, Microchannel reactors with temperature control, </w:t>
      </w:r>
      <w:r w:rsidR="005C640B">
        <w:rPr>
          <w:rFonts w:cs="Arial"/>
        </w:rPr>
        <w:t xml:space="preserve">United States </w:t>
      </w:r>
      <w:r w:rsidRPr="002856DE">
        <w:rPr>
          <w:rFonts w:cs="Arial"/>
        </w:rPr>
        <w:t>Patent US7297324B2, patents.google.com/patent/US7297324B2/</w:t>
      </w:r>
      <w:proofErr w:type="spellStart"/>
      <w:r w:rsidRPr="002856DE">
        <w:rPr>
          <w:rFonts w:cs="Arial"/>
        </w:rPr>
        <w:t>en</w:t>
      </w:r>
      <w:proofErr w:type="spellEnd"/>
      <w:r w:rsidRPr="002856DE">
        <w:rPr>
          <w:rFonts w:cs="Arial"/>
        </w:rPr>
        <w:t xml:space="preserve"> accessed 10.02.2026.</w:t>
      </w:r>
    </w:p>
    <w:p w14:paraId="541D89A7" w14:textId="77777777" w:rsidR="00947B7C" w:rsidRPr="002856DE" w:rsidRDefault="00947B7C" w:rsidP="00947B7C">
      <w:pPr>
        <w:pStyle w:val="CETReferencetext"/>
        <w:rPr>
          <w:rFonts w:cs="Arial"/>
        </w:rPr>
      </w:pPr>
      <w:r w:rsidRPr="002856DE">
        <w:rPr>
          <w:rFonts w:cs="Arial"/>
        </w:rPr>
        <w:t xml:space="preserve">Watanabe R., </w:t>
      </w:r>
      <w:proofErr w:type="spellStart"/>
      <w:r w:rsidRPr="002856DE">
        <w:rPr>
          <w:rFonts w:cs="Arial"/>
        </w:rPr>
        <w:t>Nishide</w:t>
      </w:r>
      <w:proofErr w:type="spellEnd"/>
      <w:r w:rsidRPr="002856DE">
        <w:rPr>
          <w:rFonts w:cs="Arial"/>
        </w:rPr>
        <w:t xml:space="preserve"> K., </w:t>
      </w:r>
      <w:proofErr w:type="spellStart"/>
      <w:r w:rsidRPr="002856DE">
        <w:rPr>
          <w:rFonts w:cs="Arial"/>
        </w:rPr>
        <w:t>Suganuma</w:t>
      </w:r>
      <w:proofErr w:type="spellEnd"/>
      <w:r w:rsidRPr="002856DE">
        <w:rPr>
          <w:rFonts w:cs="Arial"/>
        </w:rPr>
        <w:t xml:space="preserve"> H., Verma P., </w:t>
      </w:r>
      <w:proofErr w:type="spellStart"/>
      <w:r w:rsidRPr="002856DE">
        <w:rPr>
          <w:rFonts w:cs="Arial"/>
        </w:rPr>
        <w:t>Akama</w:t>
      </w:r>
      <w:proofErr w:type="spellEnd"/>
      <w:r w:rsidRPr="002856DE">
        <w:rPr>
          <w:rFonts w:cs="Arial"/>
        </w:rPr>
        <w:t xml:space="preserve"> H., Fukuhara C., 2025, E-methanation with a spiral catalyst: optimized thermal management and long-term stability, RSC Advances, 15, 7365–7370.</w:t>
      </w:r>
    </w:p>
    <w:p w14:paraId="0C36A98E" w14:textId="349CDFFF" w:rsidR="00947B7C" w:rsidRPr="002856DE" w:rsidRDefault="00947B7C" w:rsidP="00947B7C">
      <w:pPr>
        <w:pStyle w:val="CETReferencetext"/>
        <w:rPr>
          <w:rFonts w:cs="Arial"/>
        </w:rPr>
      </w:pPr>
      <w:proofErr w:type="spellStart"/>
      <w:r w:rsidRPr="002856DE">
        <w:rPr>
          <w:rFonts w:cs="Arial"/>
        </w:rPr>
        <w:t>Wismann</w:t>
      </w:r>
      <w:proofErr w:type="spellEnd"/>
      <w:r w:rsidRPr="002856DE">
        <w:rPr>
          <w:rFonts w:cs="Arial"/>
        </w:rPr>
        <w:t xml:space="preserve"> S.T., Larsen K.-E., </w:t>
      </w:r>
      <w:proofErr w:type="spellStart"/>
      <w:r w:rsidRPr="002856DE">
        <w:rPr>
          <w:rFonts w:cs="Arial"/>
        </w:rPr>
        <w:t>Mølgaard</w:t>
      </w:r>
      <w:proofErr w:type="spellEnd"/>
      <w:r w:rsidRPr="002856DE">
        <w:rPr>
          <w:rFonts w:cs="Arial"/>
        </w:rPr>
        <w:t xml:space="preserve"> Mortensen P., 2022, Electrical reverse shift: sustainable </w:t>
      </w:r>
      <w:r w:rsidR="007E6FC0" w:rsidRPr="002856DE">
        <w:rPr>
          <w:rFonts w:cs="Arial"/>
        </w:rPr>
        <w:t>CO</w:t>
      </w:r>
      <w:r w:rsidRPr="002856DE">
        <w:rPr>
          <w:rFonts w:cs="Arial"/>
          <w:vertAlign w:val="subscript"/>
        </w:rPr>
        <w:t>2</w:t>
      </w:r>
      <w:r w:rsidRPr="002856DE">
        <w:rPr>
          <w:rFonts w:cs="Arial"/>
        </w:rPr>
        <w:t xml:space="preserve"> </w:t>
      </w:r>
      <w:proofErr w:type="spellStart"/>
      <w:r w:rsidRPr="002856DE">
        <w:rPr>
          <w:rFonts w:cs="Arial"/>
        </w:rPr>
        <w:t>valorization</w:t>
      </w:r>
      <w:proofErr w:type="spellEnd"/>
      <w:r w:rsidRPr="002856DE">
        <w:rPr>
          <w:rFonts w:cs="Arial"/>
        </w:rPr>
        <w:t xml:space="preserve"> for industrial scale, </w:t>
      </w:r>
      <w:proofErr w:type="spellStart"/>
      <w:r w:rsidRPr="002856DE">
        <w:rPr>
          <w:rFonts w:cs="Arial"/>
        </w:rPr>
        <w:t>Angewandte</w:t>
      </w:r>
      <w:proofErr w:type="spellEnd"/>
      <w:r w:rsidRPr="002856DE">
        <w:rPr>
          <w:rFonts w:cs="Arial"/>
        </w:rPr>
        <w:t xml:space="preserve"> </w:t>
      </w:r>
      <w:proofErr w:type="spellStart"/>
      <w:r w:rsidRPr="002856DE">
        <w:rPr>
          <w:rFonts w:cs="Arial"/>
        </w:rPr>
        <w:t>Chemie</w:t>
      </w:r>
      <w:proofErr w:type="spellEnd"/>
      <w:r w:rsidRPr="002856DE">
        <w:rPr>
          <w:rFonts w:cs="Arial"/>
        </w:rPr>
        <w:t xml:space="preserve"> International Edition, 61, e202109696.</w:t>
      </w:r>
    </w:p>
    <w:p w14:paraId="281376EB" w14:textId="77777777" w:rsidR="00947B7C" w:rsidRPr="002856DE" w:rsidRDefault="00947B7C" w:rsidP="00947B7C">
      <w:pPr>
        <w:pStyle w:val="CETReferencetext"/>
        <w:rPr>
          <w:rFonts w:cs="Arial"/>
        </w:rPr>
      </w:pPr>
      <w:r w:rsidRPr="002856DE">
        <w:rPr>
          <w:rFonts w:cs="Arial"/>
        </w:rPr>
        <w:t>Zhang J., Wang K., Teixeira A.R., Jensen K.F., Luo G., 2017, Design and scaling up of microchemical systems: a review, Annual Review of Chemical and Biomolecular Engineering, 8, 285–305.</w:t>
      </w:r>
    </w:p>
    <w:p w14:paraId="084A5E87" w14:textId="706C982C" w:rsidR="000205C8" w:rsidRPr="002856DE" w:rsidRDefault="00947B7C" w:rsidP="000205C8">
      <w:pPr>
        <w:pStyle w:val="CETReferencetext"/>
        <w:rPr>
          <w:rFonts w:cs="Arial"/>
          <w:lang w:val="en-US"/>
        </w:rPr>
      </w:pPr>
      <w:r w:rsidRPr="002856DE">
        <w:rPr>
          <w:rFonts w:cs="Arial"/>
        </w:rPr>
        <w:t xml:space="preserve">Zheng L., </w:t>
      </w:r>
      <w:proofErr w:type="spellStart"/>
      <w:r w:rsidRPr="002856DE">
        <w:rPr>
          <w:rFonts w:cs="Arial"/>
        </w:rPr>
        <w:t>Ambrosetti</w:t>
      </w:r>
      <w:proofErr w:type="spellEnd"/>
      <w:r w:rsidRPr="002856DE">
        <w:rPr>
          <w:rFonts w:cs="Arial"/>
        </w:rPr>
        <w:t xml:space="preserve"> M., </w:t>
      </w:r>
      <w:proofErr w:type="spellStart"/>
      <w:r w:rsidRPr="002856DE">
        <w:rPr>
          <w:rFonts w:cs="Arial"/>
        </w:rPr>
        <w:t>Tronconi</w:t>
      </w:r>
      <w:proofErr w:type="spellEnd"/>
      <w:r w:rsidRPr="002856DE">
        <w:rPr>
          <w:rFonts w:cs="Arial"/>
        </w:rPr>
        <w:t xml:space="preserve"> E., 2024, Joule-heated catalytic reactors toward decarbonization and process intensification: a review, ACS Engineering Au, 4, 4–21.</w:t>
      </w:r>
    </w:p>
    <w:p w14:paraId="0E5B6CE1" w14:textId="77777777" w:rsidR="00500DE0" w:rsidRPr="002856DE" w:rsidRDefault="00500DE0" w:rsidP="000A2649">
      <w:pPr>
        <w:pStyle w:val="CETReferencetext"/>
        <w:ind w:left="0" w:firstLine="0"/>
        <w:rPr>
          <w:rFonts w:cs="Arial"/>
          <w:lang w:val="en-US"/>
        </w:rPr>
      </w:pPr>
    </w:p>
    <w:sectPr w:rsidR="00500DE0" w:rsidRPr="002856DE" w:rsidSect="00026AB0">
      <w:type w:val="continuous"/>
      <w:pgSz w:w="11906" w:h="16838"/>
      <w:pgMar w:top="1701" w:right="1418" w:bottom="1701" w:left="1701" w:header="1701"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0E62E" w14:textId="77777777" w:rsidR="00095E57" w:rsidRDefault="00095E57">
      <w:r>
        <w:separator/>
      </w:r>
    </w:p>
  </w:endnote>
  <w:endnote w:type="continuationSeparator" w:id="0">
    <w:p w14:paraId="6AC14D99" w14:textId="77777777" w:rsidR="00095E57" w:rsidRDefault="00095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71F82" w14:textId="77777777" w:rsidR="00095E57" w:rsidRDefault="00095E57">
      <w:r>
        <w:separator/>
      </w:r>
    </w:p>
  </w:footnote>
  <w:footnote w:type="continuationSeparator" w:id="0">
    <w:p w14:paraId="62004B12" w14:textId="77777777" w:rsidR="00095E57" w:rsidRDefault="00095E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13C4995E"/>
    <w:lvl w:ilvl="0">
      <w:start w:val="1"/>
      <w:numFmt w:val="decimal"/>
      <w:pStyle w:val="ListNumber5"/>
      <w:lvlText w:val="%1."/>
      <w:lvlJc w:val="left"/>
      <w:pPr>
        <w:tabs>
          <w:tab w:val="num" w:pos="1492"/>
        </w:tabs>
        <w:ind w:left="1492"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FFFFFF7D"/>
    <w:multiLevelType w:val="multilevel"/>
    <w:tmpl w:val="34E6DBC2"/>
    <w:lvl w:ilvl="0">
      <w:start w:val="1"/>
      <w:numFmt w:val="decimal"/>
      <w:pStyle w:val="ListNumber4"/>
      <w:lvlText w:val="%1."/>
      <w:lvlJc w:val="left"/>
      <w:pPr>
        <w:tabs>
          <w:tab w:val="num" w:pos="1209"/>
        </w:tabs>
        <w:ind w:left="1209"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FFFFFF7E"/>
    <w:multiLevelType w:val="multilevel"/>
    <w:tmpl w:val="10D656A6"/>
    <w:lvl w:ilvl="0">
      <w:start w:val="1"/>
      <w:numFmt w:val="decimal"/>
      <w:pStyle w:val="ListNumber3"/>
      <w:lvlText w:val="%1."/>
      <w:lvlJc w:val="left"/>
      <w:pPr>
        <w:tabs>
          <w:tab w:val="num" w:pos="926"/>
        </w:tabs>
        <w:ind w:left="926"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3" w15:restartNumberingAfterBreak="0">
    <w:nsid w:val="FFFFFF7F"/>
    <w:multiLevelType w:val="multilevel"/>
    <w:tmpl w:val="CC460EC6"/>
    <w:lvl w:ilvl="0">
      <w:start w:val="1"/>
      <w:numFmt w:val="decimal"/>
      <w:pStyle w:val="ListNumber2"/>
      <w:lvlText w:val="%1."/>
      <w:lvlJc w:val="left"/>
      <w:pPr>
        <w:tabs>
          <w:tab w:val="num" w:pos="643"/>
        </w:tabs>
        <w:ind w:left="643"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 w15:restartNumberingAfterBreak="0">
    <w:nsid w:val="FFFFFF80"/>
    <w:multiLevelType w:val="multilevel"/>
    <w:tmpl w:val="8A6836BC"/>
    <w:lvl w:ilvl="0">
      <w:start w:val="1"/>
      <w:numFmt w:val="bullet"/>
      <w:pStyle w:val="ListBullet5"/>
      <w:lvlText w:val=""/>
      <w:lvlJc w:val="left"/>
      <w:pPr>
        <w:tabs>
          <w:tab w:val="num" w:pos="1492"/>
        </w:tabs>
        <w:ind w:left="1492"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5" w15:restartNumberingAfterBreak="0">
    <w:nsid w:val="FFFFFF81"/>
    <w:multiLevelType w:val="multilevel"/>
    <w:tmpl w:val="FE349800"/>
    <w:lvl w:ilvl="0">
      <w:start w:val="1"/>
      <w:numFmt w:val="bullet"/>
      <w:pStyle w:val="ListBullet4"/>
      <w:lvlText w:val=""/>
      <w:lvlJc w:val="left"/>
      <w:pPr>
        <w:tabs>
          <w:tab w:val="num" w:pos="1209"/>
        </w:tabs>
        <w:ind w:left="1209"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6" w15:restartNumberingAfterBreak="0">
    <w:nsid w:val="FFFFFF82"/>
    <w:multiLevelType w:val="multilevel"/>
    <w:tmpl w:val="E272CEF0"/>
    <w:lvl w:ilvl="0">
      <w:start w:val="1"/>
      <w:numFmt w:val="bullet"/>
      <w:pStyle w:val="ListBullet3"/>
      <w:lvlText w:val=""/>
      <w:lvlJc w:val="left"/>
      <w:pPr>
        <w:tabs>
          <w:tab w:val="num" w:pos="926"/>
        </w:tabs>
        <w:ind w:left="926"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7" w15:restartNumberingAfterBreak="0">
    <w:nsid w:val="FFFFFF83"/>
    <w:multiLevelType w:val="multilevel"/>
    <w:tmpl w:val="E32CAA50"/>
    <w:lvl w:ilvl="0">
      <w:start w:val="1"/>
      <w:numFmt w:val="bullet"/>
      <w:pStyle w:val="ListBullet2"/>
      <w:lvlText w:val=""/>
      <w:lvlJc w:val="left"/>
      <w:pPr>
        <w:tabs>
          <w:tab w:val="num" w:pos="643"/>
        </w:tabs>
        <w:ind w:left="643"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8" w15:restartNumberingAfterBreak="0">
    <w:nsid w:val="FFFFFF88"/>
    <w:multiLevelType w:val="multilevel"/>
    <w:tmpl w:val="A73C2A20"/>
    <w:lvl w:ilvl="0">
      <w:start w:val="1"/>
      <w:numFmt w:val="decimal"/>
      <w:pStyle w:val="ListNumber"/>
      <w:lvlText w:val="%1."/>
      <w:lvlJc w:val="left"/>
      <w:pPr>
        <w:tabs>
          <w:tab w:val="num" w:pos="360"/>
        </w:tabs>
        <w:ind w:left="360" w:hanging="360"/>
      </w:p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9" w15:restartNumberingAfterBreak="0">
    <w:nsid w:val="FFFFFF89"/>
    <w:multiLevelType w:val="multilevel"/>
    <w:tmpl w:val="0D2006F0"/>
    <w:lvl w:ilvl="0">
      <w:start w:val="1"/>
      <w:numFmt w:val="bullet"/>
      <w:pStyle w:val="ListBullet"/>
      <w:lvlText w:val=""/>
      <w:lvlJc w:val="left"/>
      <w:pPr>
        <w:tabs>
          <w:tab w:val="num" w:pos="360"/>
        </w:tabs>
        <w:ind w:left="360" w:hanging="360"/>
      </w:pPr>
      <w:rPr>
        <w:rFonts w:ascii="Symbol" w:hAnsi="Symbol" w:hint="default"/>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0" w15:restartNumberingAfterBreak="0">
    <w:nsid w:val="2438217E"/>
    <w:multiLevelType w:val="multilevel"/>
    <w:tmpl w:val="604CC81E"/>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leSimpl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multilevel"/>
    <w:tmpl w:val="F92EFC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multilevel"/>
    <w:tmpl w:val="3926CD72"/>
    <w:lvl w:ilvl="0">
      <w:start w:val="1"/>
      <w:numFmt w:val="bullet"/>
      <w:pStyle w:val="CETnumberingbullets"/>
      <w:lvlText w:val=""/>
      <w:lvlJc w:val="left"/>
      <w:pPr>
        <w:ind w:left="340" w:hanging="22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multilevel"/>
    <w:tmpl w:val="4C76AF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multilevel"/>
    <w:tmpl w:val="2542CC1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2F5723B"/>
    <w:multiLevelType w:val="multilevel"/>
    <w:tmpl w:val="FB6620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0A87BA7"/>
    <w:multiLevelType w:val="multilevel"/>
    <w:tmpl w:val="EFBE0FC8"/>
    <w:lvl w:ilvl="0">
      <w:start w:val="1"/>
      <w:numFmt w:val="bullet"/>
      <w:lvlText w:val=""/>
      <w:lvlJc w:val="left"/>
      <w:pPr>
        <w:ind w:left="340" w:hanging="22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52217387"/>
    <w:multiLevelType w:val="multilevel"/>
    <w:tmpl w:val="32487A00"/>
    <w:lvl w:ilvl="0">
      <w:start w:val="1"/>
      <w:numFmt w:val="decimal"/>
      <w:lvlText w:val="%1)"/>
      <w:lvlJc w:val="left"/>
      <w:pPr>
        <w:ind w:left="340" w:hanging="227"/>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6205803"/>
    <w:multiLevelType w:val="multilevel"/>
    <w:tmpl w:val="2C0AC4EC"/>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9" w15:restartNumberingAfterBreak="0">
    <w:nsid w:val="5AD311D0"/>
    <w:multiLevelType w:val="multilevel"/>
    <w:tmpl w:val="5734E562"/>
    <w:lvl w:ilvl="0">
      <w:start w:val="1"/>
      <w:numFmt w:val="decimal"/>
      <w:pStyle w:val="CETnumbering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62015B5"/>
    <w:multiLevelType w:val="multilevel"/>
    <w:tmpl w:val="9170FD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6865266D"/>
    <w:multiLevelType w:val="multilevel"/>
    <w:tmpl w:val="B5E6CCF4"/>
    <w:lvl w:ilvl="0">
      <w:start w:val="1"/>
      <w:numFmt w:val="lowerLetter"/>
      <w:pStyle w:val="CETnumberinga"/>
      <w:lvlText w:val="%1."/>
      <w:lvlJc w:val="left"/>
      <w:pPr>
        <w:ind w:left="340" w:hanging="227"/>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74E3311"/>
    <w:multiLevelType w:val="multilevel"/>
    <w:tmpl w:val="EA2AED9C"/>
    <w:lvl w:ilvl="0">
      <w:start w:val="1"/>
      <w:numFmt w:val="decimal"/>
      <w:lvlText w:val="%1."/>
      <w:lvlJc w:val="left"/>
      <w:pPr>
        <w:ind w:left="340" w:hanging="227"/>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429620355">
    <w:abstractNumId w:val="10"/>
  </w:num>
  <w:num w:numId="2" w16cid:durableId="422190010">
    <w:abstractNumId w:val="8"/>
  </w:num>
  <w:num w:numId="3" w16cid:durableId="2033264244">
    <w:abstractNumId w:val="3"/>
  </w:num>
  <w:num w:numId="4" w16cid:durableId="2079671607">
    <w:abstractNumId w:val="2"/>
  </w:num>
  <w:num w:numId="5" w16cid:durableId="84691834">
    <w:abstractNumId w:val="1"/>
  </w:num>
  <w:num w:numId="6" w16cid:durableId="1802648013">
    <w:abstractNumId w:val="0"/>
  </w:num>
  <w:num w:numId="7" w16cid:durableId="460343919">
    <w:abstractNumId w:val="9"/>
  </w:num>
  <w:num w:numId="8" w16cid:durableId="1299066964">
    <w:abstractNumId w:val="7"/>
  </w:num>
  <w:num w:numId="9" w16cid:durableId="298266905">
    <w:abstractNumId w:val="6"/>
  </w:num>
  <w:num w:numId="10" w16cid:durableId="1225293207">
    <w:abstractNumId w:val="5"/>
  </w:num>
  <w:num w:numId="11" w16cid:durableId="444154207">
    <w:abstractNumId w:val="4"/>
  </w:num>
  <w:num w:numId="12" w16cid:durableId="1927568571">
    <w:abstractNumId w:val="18"/>
  </w:num>
  <w:num w:numId="13" w16cid:durableId="572855109">
    <w:abstractNumId w:val="12"/>
  </w:num>
  <w:num w:numId="14" w16cid:durableId="1232078356">
    <w:abstractNumId w:val="19"/>
  </w:num>
  <w:num w:numId="15" w16cid:durableId="1308050218">
    <w:abstractNumId w:val="21"/>
  </w:num>
  <w:num w:numId="16" w16cid:durableId="1384328015">
    <w:abstractNumId w:val="20"/>
  </w:num>
  <w:num w:numId="17" w16cid:durableId="256988358">
    <w:abstractNumId w:val="11"/>
  </w:num>
  <w:num w:numId="18" w16cid:durableId="1123839301">
    <w:abstractNumId w:val="12"/>
    <w:lvlOverride w:ilvl="0">
      <w:startOverride w:val="1"/>
    </w:lvlOverride>
  </w:num>
  <w:num w:numId="19" w16cid:durableId="534345967">
    <w:abstractNumId w:val="17"/>
  </w:num>
  <w:num w:numId="20" w16cid:durableId="868178133">
    <w:abstractNumId w:val="16"/>
  </w:num>
  <w:num w:numId="21" w16cid:durableId="1600799053">
    <w:abstractNumId w:val="14"/>
  </w:num>
  <w:num w:numId="22" w16cid:durableId="395396178">
    <w:abstractNumId w:val="13"/>
  </w:num>
  <w:num w:numId="23" w16cid:durableId="226888185">
    <w:abstractNumId w:val="15"/>
  </w:num>
  <w:num w:numId="24" w16cid:durableId="76599885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05AE"/>
    <w:rsid w:val="00012FC3"/>
    <w:rsid w:val="000205C8"/>
    <w:rsid w:val="00026AB0"/>
    <w:rsid w:val="00034CF7"/>
    <w:rsid w:val="00047639"/>
    <w:rsid w:val="00053932"/>
    <w:rsid w:val="00064092"/>
    <w:rsid w:val="00093A44"/>
    <w:rsid w:val="00095E57"/>
    <w:rsid w:val="000A2649"/>
    <w:rsid w:val="000A2E20"/>
    <w:rsid w:val="00114E9A"/>
    <w:rsid w:val="0011785A"/>
    <w:rsid w:val="0012290E"/>
    <w:rsid w:val="00134BF3"/>
    <w:rsid w:val="00177F30"/>
    <w:rsid w:val="001B10B5"/>
    <w:rsid w:val="001D797D"/>
    <w:rsid w:val="001F1A76"/>
    <w:rsid w:val="001F4FC4"/>
    <w:rsid w:val="002017C3"/>
    <w:rsid w:val="00216925"/>
    <w:rsid w:val="0023506A"/>
    <w:rsid w:val="00247C34"/>
    <w:rsid w:val="00251D22"/>
    <w:rsid w:val="0028368A"/>
    <w:rsid w:val="002856DE"/>
    <w:rsid w:val="002A46FE"/>
    <w:rsid w:val="00353136"/>
    <w:rsid w:val="00375676"/>
    <w:rsid w:val="00394DFD"/>
    <w:rsid w:val="003B77C8"/>
    <w:rsid w:val="003D49DB"/>
    <w:rsid w:val="0043763C"/>
    <w:rsid w:val="00440C80"/>
    <w:rsid w:val="00446816"/>
    <w:rsid w:val="00466A8A"/>
    <w:rsid w:val="004843E0"/>
    <w:rsid w:val="004B0E96"/>
    <w:rsid w:val="00500DE0"/>
    <w:rsid w:val="00502B68"/>
    <w:rsid w:val="005419C6"/>
    <w:rsid w:val="005660A0"/>
    <w:rsid w:val="00566A7E"/>
    <w:rsid w:val="005675EC"/>
    <w:rsid w:val="00573D3F"/>
    <w:rsid w:val="0057678D"/>
    <w:rsid w:val="00586046"/>
    <w:rsid w:val="005C640B"/>
    <w:rsid w:val="005F7154"/>
    <w:rsid w:val="00602299"/>
    <w:rsid w:val="006121B6"/>
    <w:rsid w:val="00645A3A"/>
    <w:rsid w:val="00650E67"/>
    <w:rsid w:val="00671D2B"/>
    <w:rsid w:val="006C5577"/>
    <w:rsid w:val="006D1B41"/>
    <w:rsid w:val="006E4974"/>
    <w:rsid w:val="006E60F3"/>
    <w:rsid w:val="007753DE"/>
    <w:rsid w:val="00777AD4"/>
    <w:rsid w:val="007A0464"/>
    <w:rsid w:val="007C0DAF"/>
    <w:rsid w:val="007E6FC0"/>
    <w:rsid w:val="00814FA0"/>
    <w:rsid w:val="00860AF1"/>
    <w:rsid w:val="0087564B"/>
    <w:rsid w:val="008775C1"/>
    <w:rsid w:val="00884BDC"/>
    <w:rsid w:val="00893A21"/>
    <w:rsid w:val="008A283F"/>
    <w:rsid w:val="008A7E3D"/>
    <w:rsid w:val="008C7533"/>
    <w:rsid w:val="008F2952"/>
    <w:rsid w:val="0091069E"/>
    <w:rsid w:val="0092768E"/>
    <w:rsid w:val="009405AE"/>
    <w:rsid w:val="00947B7C"/>
    <w:rsid w:val="00972133"/>
    <w:rsid w:val="009727AB"/>
    <w:rsid w:val="0097717F"/>
    <w:rsid w:val="009A50B9"/>
    <w:rsid w:val="009B3C1F"/>
    <w:rsid w:val="009B57F7"/>
    <w:rsid w:val="009D569B"/>
    <w:rsid w:val="009D75F4"/>
    <w:rsid w:val="009F1710"/>
    <w:rsid w:val="00A13D4D"/>
    <w:rsid w:val="00A16218"/>
    <w:rsid w:val="00A5032B"/>
    <w:rsid w:val="00A54F09"/>
    <w:rsid w:val="00A66D01"/>
    <w:rsid w:val="00A727F4"/>
    <w:rsid w:val="00A81035"/>
    <w:rsid w:val="00AB4AC6"/>
    <w:rsid w:val="00AC3A50"/>
    <w:rsid w:val="00B56D0A"/>
    <w:rsid w:val="00B7033B"/>
    <w:rsid w:val="00B7760F"/>
    <w:rsid w:val="00B9307D"/>
    <w:rsid w:val="00BA1825"/>
    <w:rsid w:val="00BB5DDF"/>
    <w:rsid w:val="00C1169C"/>
    <w:rsid w:val="00C14231"/>
    <w:rsid w:val="00C50795"/>
    <w:rsid w:val="00CA4C59"/>
    <w:rsid w:val="00CD66D1"/>
    <w:rsid w:val="00CE2278"/>
    <w:rsid w:val="00CF79F0"/>
    <w:rsid w:val="00D05524"/>
    <w:rsid w:val="00D252BE"/>
    <w:rsid w:val="00D26A75"/>
    <w:rsid w:val="00D63638"/>
    <w:rsid w:val="00D83D8A"/>
    <w:rsid w:val="00DA4B08"/>
    <w:rsid w:val="00DA6A7E"/>
    <w:rsid w:val="00DD5DE6"/>
    <w:rsid w:val="00DE4E8F"/>
    <w:rsid w:val="00DF1D81"/>
    <w:rsid w:val="00DF6035"/>
    <w:rsid w:val="00DF7A3B"/>
    <w:rsid w:val="00E405C3"/>
    <w:rsid w:val="00E52494"/>
    <w:rsid w:val="00EA1C36"/>
    <w:rsid w:val="00EF795F"/>
    <w:rsid w:val="00F13269"/>
    <w:rsid w:val="00F35333"/>
    <w:rsid w:val="00F628BD"/>
    <w:rsid w:val="00F83EE2"/>
    <w:rsid w:val="00FA3C20"/>
    <w:rsid w:val="00FA74AD"/>
    <w:rsid w:val="00FC76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A1768"/>
  <w15:docId w15:val="{53E6A663-DD99-4E44-A7C2-6DA138393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tabs>
        <w:tab w:val="right" w:pos="7100"/>
      </w:tabs>
      <w:spacing w:after="0" w:line="264" w:lineRule="auto"/>
      <w:jc w:val="both"/>
    </w:pPr>
    <w:rPr>
      <w:rFonts w:ascii="Arial" w:eastAsia="Times New Roman" w:hAnsi="Arial" w:cs="Times New Roman"/>
      <w:sz w:val="18"/>
      <w:szCs w:val="20"/>
      <w:lang w:val="en-GB"/>
    </w:rPr>
  </w:style>
  <w:style w:type="paragraph" w:styleId="Heading1">
    <w:name w:val="heading 1"/>
    <w:basedOn w:val="CETHeading1"/>
    <w:next w:val="Normal"/>
    <w:link w:val="Heading1Char"/>
    <w:uiPriority w:val="9"/>
    <w:pPr>
      <w:tabs>
        <w:tab w:val="clear" w:pos="360"/>
        <w:tab w:val="right" w:pos="7100"/>
      </w:tabs>
      <w:jc w:val="both"/>
      <w:outlineLvl w:val="0"/>
    </w:pPr>
    <w:rPr>
      <w:lang w:val="en-GB"/>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de-DE" w:eastAsia="de-DE"/>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de-DE"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de-DE" w:eastAsia="de-DE"/>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de-DE" w:eastAsia="de-DE"/>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de-DE" w:eastAsia="de-DE"/>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de-DE" w:eastAsia="de-DE"/>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de-DE" w:eastAsia="de-DE"/>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de-DE" w:eastAsia="de-DE"/>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itle">
    <w:name w:val="Title"/>
    <w:basedOn w:val="Normal"/>
    <w:next w:val="Normal"/>
    <w:link w:val="TitleChar"/>
    <w:uiPriority w:val="10"/>
    <w:qFormat/>
    <w:pPr>
      <w:spacing w:after="80" w:line="240" w:lineRule="auto"/>
      <w:contextualSpacing/>
    </w:pPr>
    <w:rPr>
      <w:rFonts w:eastAsia="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character" w:styleId="FootnoteReference">
    <w:name w:val="footnote reference"/>
    <w:basedOn w:val="DefaultParagraphFont"/>
    <w:uiPriority w:val="99"/>
    <w:semiHidden/>
    <w:unhideWhenUsed/>
    <w:rPr>
      <w:vertAlign w:val="superscript"/>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customStyle="1" w:styleId="CETAuthors">
    <w:name w:val="CET Authors"/>
    <w:basedOn w:val="CETBodytext"/>
    <w:link w:val="CETAuthorsCarattere"/>
    <w:qFormat/>
    <w:pPr>
      <w:keepNext/>
      <w:spacing w:after="120"/>
    </w:pPr>
    <w:rPr>
      <w:sz w:val="24"/>
      <w:lang w:val="en-GB"/>
    </w:rPr>
  </w:style>
  <w:style w:type="paragraph" w:customStyle="1" w:styleId="CETTitle">
    <w:name w:val="CET Title"/>
    <w:next w:val="CETAuthors"/>
    <w:link w:val="CETTitleCarattere"/>
    <w:pPr>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Pr>
      <w:rFonts w:ascii="Arial" w:eastAsia="Times New Roman" w:hAnsi="Arial" w:cs="Times New Roman"/>
      <w:sz w:val="24"/>
      <w:szCs w:val="20"/>
      <w:lang w:val="en-GB"/>
    </w:rPr>
  </w:style>
  <w:style w:type="character" w:customStyle="1" w:styleId="CETTitleCarattere">
    <w:name w:val="CET Title Carattere"/>
    <w:link w:val="CETTitle"/>
    <w:rPr>
      <w:rFonts w:ascii="Arial" w:eastAsia="Times New Roman" w:hAnsi="Arial" w:cs="Times New Roman"/>
      <w:sz w:val="32"/>
      <w:szCs w:val="20"/>
      <w:lang w:val="en-GB"/>
    </w:rPr>
  </w:style>
  <w:style w:type="paragraph" w:customStyle="1" w:styleId="CETHeading1">
    <w:name w:val="CET Heading1"/>
    <w:next w:val="CETBodytext"/>
    <w:qFormat/>
    <w:pPr>
      <w:keepNext/>
      <w:numPr>
        <w:ilvl w:val="1"/>
        <w:numId w:val="1"/>
      </w:numPr>
      <w:tabs>
        <w:tab w:val="num" w:pos="360"/>
      </w:tab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qFormat/>
    <w:pPr>
      <w:keepNext/>
      <w:numPr>
        <w:ilvl w:val="2"/>
        <w:numId w:val="1"/>
      </w:numPr>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pPr>
      <w:keepNext/>
      <w:spacing w:after="0"/>
      <w:contextualSpacing/>
    </w:pPr>
    <w:rPr>
      <w:rFonts w:ascii="Arial" w:eastAsia="Times New Roman" w:hAnsi="Arial" w:cs="Times New Roman"/>
      <w:sz w:val="16"/>
      <w:szCs w:val="20"/>
      <w:lang w:val="en-GB"/>
    </w:rPr>
  </w:style>
  <w:style w:type="table" w:styleId="TableSimple1">
    <w:name w:val="Table Simple 1"/>
    <w:basedOn w:val="TableNormal"/>
    <w:semiHidden/>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character" w:customStyle="1" w:styleId="CETBodytextCarattere">
    <w:name w:val="CET Body text Carattere"/>
    <w:link w:val="CETBodytext"/>
    <w:rPr>
      <w:rFonts w:ascii="Arial" w:eastAsia="Times New Roman" w:hAnsi="Arial" w:cs="Times New Roman"/>
      <w:sz w:val="18"/>
      <w:szCs w:val="20"/>
      <w:lang w:val="en-US"/>
    </w:rPr>
  </w:style>
  <w:style w:type="paragraph" w:customStyle="1" w:styleId="CETReference">
    <w:name w:val="CET Reference"/>
    <w:qFormat/>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Pr>
      <w:rFonts w:ascii="Arial" w:eastAsia="Times New Roman" w:hAnsi="Arial" w:cs="Times New Roman"/>
      <w:b/>
      <w:sz w:val="18"/>
      <w:szCs w:val="20"/>
      <w:lang w:val="en-US"/>
    </w:rPr>
  </w:style>
  <w:style w:type="character" w:customStyle="1" w:styleId="CETCaptionCarattere">
    <w:name w:val="CET Caption Carattere"/>
    <w:link w:val="CETCaption"/>
    <w:rPr>
      <w:rFonts w:ascii="Arial" w:eastAsia="Times New Roman" w:hAnsi="Arial" w:cs="Times New Roman"/>
      <w:i/>
      <w:sz w:val="18"/>
      <w:szCs w:val="20"/>
      <w:lang w:val="en-GB"/>
    </w:rPr>
  </w:style>
  <w:style w:type="paragraph" w:customStyle="1" w:styleId="CETBodytextItalic">
    <w:name w:val="CET Body text (Italic)"/>
    <w:basedOn w:val="CETBodytext"/>
    <w:qFormat/>
    <w:rPr>
      <w:i/>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Bibliography">
    <w:name w:val="Bibliography"/>
    <w:basedOn w:val="CETReferencetext"/>
    <w:uiPriority w:val="37"/>
    <w:unhideWhenUsed/>
    <w:pPr>
      <w:spacing w:line="288" w:lineRule="auto"/>
      <w:ind w:left="0" w:firstLine="0"/>
    </w:p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semiHidden/>
    <w:rPr>
      <w:sz w:val="16"/>
      <w:szCs w:val="16"/>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style>
  <w:style w:type="paragraph" w:styleId="Caption">
    <w:name w:val="caption"/>
    <w:basedOn w:val="Normal"/>
    <w:next w:val="Normal"/>
    <w:uiPriority w:val="35"/>
    <w:semiHidden/>
    <w:unhideWhenUsed/>
    <w:qFormat/>
    <w:pPr>
      <w:spacing w:line="240" w:lineRule="auto"/>
    </w:pPr>
    <w:rPr>
      <w:b/>
      <w:bCs/>
      <w:color w:val="4F81BD" w:themeColor="accent1"/>
      <w:szCs w:val="18"/>
    </w:rPr>
  </w:style>
  <w:style w:type="paragraph" w:styleId="List">
    <w:name w:val="List"/>
    <w:basedOn w:val="Normal"/>
    <w:uiPriority w:val="99"/>
    <w:semiHidden/>
    <w:unhideWhenUsed/>
    <w:pPr>
      <w:ind w:left="283" w:hanging="283"/>
      <w:contextualSpacing/>
    </w:pPr>
  </w:style>
  <w:style w:type="paragraph" w:styleId="List2">
    <w:name w:val="List 2"/>
    <w:basedOn w:val="Normal"/>
    <w:uiPriority w:val="99"/>
    <w:semiHidden/>
    <w:unhideWhenUsed/>
    <w:pPr>
      <w:ind w:left="566" w:hanging="283"/>
      <w:contextualSpacing/>
    </w:pPr>
  </w:style>
  <w:style w:type="paragraph" w:styleId="List3">
    <w:name w:val="List 3"/>
    <w:basedOn w:val="Normal"/>
    <w:uiPriority w:val="99"/>
    <w:semiHidden/>
    <w:unhideWhenUsed/>
    <w:pPr>
      <w:ind w:left="849" w:hanging="283"/>
      <w:contextualSpacing/>
    </w:pPr>
  </w:style>
  <w:style w:type="paragraph" w:styleId="List4">
    <w:name w:val="List 4"/>
    <w:basedOn w:val="Normal"/>
    <w:uiPriority w:val="99"/>
    <w:semiHidden/>
    <w:unhideWhenUsed/>
    <w:pPr>
      <w:ind w:left="1132" w:hanging="283"/>
      <w:contextualSpacing/>
    </w:pPr>
  </w:style>
  <w:style w:type="paragraph" w:styleId="List5">
    <w:name w:val="List 5"/>
    <w:basedOn w:val="Normal"/>
    <w:uiPriority w:val="99"/>
    <w:semiHidden/>
    <w:unhideWhenUsed/>
    <w:pPr>
      <w:ind w:left="1415" w:hanging="283"/>
      <w:contextualSpacing/>
    </w:pPr>
  </w:style>
  <w:style w:type="paragraph" w:styleId="ListContinue">
    <w:name w:val="List Continue"/>
    <w:basedOn w:val="Normal"/>
    <w:uiPriority w:val="99"/>
    <w:semiHidden/>
    <w:unhideWhenUsed/>
    <w:pPr>
      <w:spacing w:after="120"/>
      <w:ind w:left="283"/>
      <w:contextualSpacing/>
    </w:pPr>
  </w:style>
  <w:style w:type="paragraph" w:styleId="ListContinue2">
    <w:name w:val="List Continue 2"/>
    <w:basedOn w:val="Normal"/>
    <w:uiPriority w:val="99"/>
    <w:semiHidden/>
    <w:unhideWhenUsed/>
    <w:pPr>
      <w:spacing w:after="120"/>
      <w:ind w:left="566"/>
      <w:contextualSpacing/>
    </w:pPr>
  </w:style>
  <w:style w:type="paragraph" w:styleId="ListContinue3">
    <w:name w:val="List Continue 3"/>
    <w:basedOn w:val="Normal"/>
    <w:uiPriority w:val="99"/>
    <w:semiHidden/>
    <w:unhideWhenUsed/>
    <w:pPr>
      <w:spacing w:after="120"/>
      <w:ind w:left="849"/>
      <w:contextualSpacing/>
    </w:pPr>
  </w:style>
  <w:style w:type="paragraph" w:styleId="ListContinue4">
    <w:name w:val="List Continue 4"/>
    <w:basedOn w:val="Normal"/>
    <w:uiPriority w:val="99"/>
    <w:semiHidden/>
    <w:unhideWhenUsed/>
    <w:pPr>
      <w:spacing w:after="120"/>
      <w:ind w:left="1132"/>
      <w:contextualSpacing/>
    </w:pPr>
  </w:style>
  <w:style w:type="paragraph" w:styleId="ListContinue5">
    <w:name w:val="List Continue 5"/>
    <w:basedOn w:val="Normal"/>
    <w:uiPriority w:val="99"/>
    <w:semiHidden/>
    <w:unhideWhenUsed/>
    <w:pPr>
      <w:spacing w:after="120"/>
      <w:ind w:left="1415"/>
      <w:contextualSpacing/>
    </w:pPr>
  </w:style>
  <w:style w:type="paragraph" w:styleId="Signature">
    <w:name w:val="Signature"/>
    <w:basedOn w:val="Normal"/>
    <w:link w:val="SignatureChar"/>
    <w:uiPriority w:val="99"/>
    <w:semiHidden/>
    <w:unhideWhenUsed/>
    <w:pPr>
      <w:spacing w:line="240" w:lineRule="auto"/>
      <w:ind w:left="4252"/>
    </w:pPr>
  </w:style>
  <w:style w:type="character" w:customStyle="1" w:styleId="SignatureChar">
    <w:name w:val="Signature Char"/>
    <w:basedOn w:val="DefaultParagraphFont"/>
    <w:link w:val="Signature"/>
    <w:uiPriority w:val="99"/>
    <w:semiHidden/>
  </w:style>
  <w:style w:type="paragraph" w:styleId="E-mailSignature">
    <w:name w:val="E-mail Signature"/>
    <w:basedOn w:val="Normal"/>
    <w:link w:val="E-mailSignatureChar"/>
    <w:uiPriority w:val="99"/>
    <w:semiHidden/>
    <w:unhideWhenUsed/>
    <w:pPr>
      <w:spacing w:line="240" w:lineRule="auto"/>
    </w:pPr>
  </w:style>
  <w:style w:type="character" w:customStyle="1" w:styleId="E-mailSignatureChar">
    <w:name w:val="E-mail Signature Char"/>
    <w:basedOn w:val="DefaultParagraphFont"/>
    <w:link w:val="E-mailSignature"/>
    <w:uiPriority w:val="99"/>
    <w:semiHidden/>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style>
  <w:style w:type="paragraph" w:styleId="Closing">
    <w:name w:val="Closing"/>
    <w:basedOn w:val="Normal"/>
    <w:link w:val="ClosingChar"/>
    <w:uiPriority w:val="99"/>
    <w:semiHidden/>
    <w:unhideWhenUsed/>
    <w:pPr>
      <w:spacing w:line="240" w:lineRule="auto"/>
      <w:ind w:left="4252"/>
    </w:pPr>
  </w:style>
  <w:style w:type="character" w:customStyle="1" w:styleId="ClosingChar">
    <w:name w:val="Closing Char"/>
    <w:basedOn w:val="DefaultParagraphFont"/>
    <w:link w:val="Closing"/>
    <w:uiPriority w:val="99"/>
    <w:semiHidden/>
  </w:style>
  <w:style w:type="paragraph" w:styleId="Index1">
    <w:name w:val="index 1"/>
    <w:basedOn w:val="Normal"/>
    <w:next w:val="Normal"/>
    <w:uiPriority w:val="99"/>
    <w:semiHidden/>
    <w:unhideWhenUsed/>
    <w:pPr>
      <w:spacing w:line="240" w:lineRule="auto"/>
      <w:ind w:left="220" w:hanging="220"/>
    </w:pPr>
  </w:style>
  <w:style w:type="paragraph" w:styleId="Index2">
    <w:name w:val="index 2"/>
    <w:basedOn w:val="Normal"/>
    <w:next w:val="Normal"/>
    <w:uiPriority w:val="99"/>
    <w:semiHidden/>
    <w:unhideWhenUsed/>
    <w:pPr>
      <w:spacing w:line="240" w:lineRule="auto"/>
      <w:ind w:left="440" w:hanging="220"/>
    </w:pPr>
  </w:style>
  <w:style w:type="paragraph" w:styleId="Index3">
    <w:name w:val="index 3"/>
    <w:basedOn w:val="Normal"/>
    <w:next w:val="Normal"/>
    <w:uiPriority w:val="99"/>
    <w:semiHidden/>
    <w:unhideWhenUsed/>
    <w:pPr>
      <w:spacing w:line="240" w:lineRule="auto"/>
      <w:ind w:left="660" w:hanging="220"/>
    </w:pPr>
  </w:style>
  <w:style w:type="paragraph" w:styleId="Index4">
    <w:name w:val="index 4"/>
    <w:basedOn w:val="Normal"/>
    <w:next w:val="Normal"/>
    <w:uiPriority w:val="99"/>
    <w:semiHidden/>
    <w:unhideWhenUsed/>
    <w:pPr>
      <w:spacing w:line="240" w:lineRule="auto"/>
      <w:ind w:left="880" w:hanging="220"/>
    </w:pPr>
  </w:style>
  <w:style w:type="paragraph" w:styleId="Index5">
    <w:name w:val="index 5"/>
    <w:basedOn w:val="Normal"/>
    <w:next w:val="Normal"/>
    <w:uiPriority w:val="99"/>
    <w:semiHidden/>
    <w:unhideWhenUsed/>
    <w:pPr>
      <w:spacing w:line="240" w:lineRule="auto"/>
      <w:ind w:left="1100" w:hanging="220"/>
    </w:pPr>
  </w:style>
  <w:style w:type="paragraph" w:styleId="Index6">
    <w:name w:val="index 6"/>
    <w:basedOn w:val="Normal"/>
    <w:next w:val="Normal"/>
    <w:uiPriority w:val="99"/>
    <w:semiHidden/>
    <w:unhideWhenUsed/>
    <w:pPr>
      <w:spacing w:line="240" w:lineRule="auto"/>
      <w:ind w:left="1320" w:hanging="220"/>
    </w:pPr>
  </w:style>
  <w:style w:type="paragraph" w:styleId="Index7">
    <w:name w:val="index 7"/>
    <w:basedOn w:val="Normal"/>
    <w:next w:val="Normal"/>
    <w:uiPriority w:val="99"/>
    <w:semiHidden/>
    <w:unhideWhenUsed/>
    <w:pPr>
      <w:spacing w:line="240" w:lineRule="auto"/>
      <w:ind w:left="1540" w:hanging="220"/>
    </w:pPr>
  </w:style>
  <w:style w:type="paragraph" w:styleId="Index8">
    <w:name w:val="index 8"/>
    <w:basedOn w:val="Normal"/>
    <w:next w:val="Normal"/>
    <w:uiPriority w:val="99"/>
    <w:semiHidden/>
    <w:unhideWhenUsed/>
    <w:pPr>
      <w:spacing w:line="240" w:lineRule="auto"/>
      <w:ind w:left="1760" w:hanging="220"/>
    </w:pPr>
  </w:style>
  <w:style w:type="paragraph" w:styleId="Index9">
    <w:name w:val="index 9"/>
    <w:basedOn w:val="Normal"/>
    <w:next w:val="Normal"/>
    <w:uiPriority w:val="99"/>
    <w:semiHidden/>
    <w:unhideWhenUsed/>
    <w:pPr>
      <w:spacing w:line="240" w:lineRule="auto"/>
      <w:ind w:left="1980" w:hanging="220"/>
    </w:pPr>
  </w:style>
  <w:style w:type="paragraph" w:styleId="TableofFigures">
    <w:name w:val="table of figures"/>
    <w:basedOn w:val="Normal"/>
    <w:next w:val="Normal"/>
    <w:uiPriority w:val="99"/>
    <w:semiHidden/>
    <w:unhideWhenUsed/>
  </w:style>
  <w:style w:type="paragraph" w:styleId="TableofAuthorities">
    <w:name w:val="table of authorities"/>
    <w:basedOn w:val="Normal"/>
    <w:next w:val="Normal"/>
    <w:uiPriority w:val="99"/>
    <w:semiHidden/>
    <w:unhideWhenUsed/>
    <w:pPr>
      <w:ind w:left="220" w:hanging="220"/>
    </w:p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Address">
    <w:name w:val="HTML Address"/>
    <w:basedOn w:val="Normal"/>
    <w:link w:val="HTMLAddressChar"/>
    <w:uiPriority w:val="99"/>
    <w:semiHidden/>
    <w:unhideWhenUsed/>
    <w:pPr>
      <w:spacing w:line="240" w:lineRule="auto"/>
    </w:pPr>
    <w:rPr>
      <w:i/>
      <w:iCs/>
    </w:rPr>
  </w:style>
  <w:style w:type="character" w:customStyle="1" w:styleId="HTMLAddressChar">
    <w:name w:val="HTML Address Char"/>
    <w:basedOn w:val="DefaultParagraphFont"/>
    <w:link w:val="HTMLAddress"/>
    <w:uiPriority w:val="99"/>
    <w:semiHidden/>
    <w:rPr>
      <w:i/>
      <w:iCs/>
    </w:rPr>
  </w:style>
  <w:style w:type="paragraph" w:styleId="EnvelopeReturn">
    <w:name w:val="envelope return"/>
    <w:basedOn w:val="Normal"/>
    <w:uiPriority w:val="99"/>
    <w:semiHidden/>
    <w:unhideWhenUsed/>
    <w:pPr>
      <w:spacing w:line="240" w:lineRule="auto"/>
    </w:pPr>
    <w:rPr>
      <w:rFonts w:asciiTheme="majorHAnsi" w:eastAsiaTheme="majorEastAsia" w:hAnsiTheme="majorHAnsi" w:cstheme="majorBidi"/>
    </w:rPr>
  </w:style>
  <w:style w:type="paragraph" w:styleId="MessageHeader">
    <w:name w:val="Message Header"/>
    <w:basedOn w:val="Normal"/>
    <w:link w:val="MessageHeaderChar"/>
    <w:uiPriority w:val="99"/>
    <w:semiHidden/>
    <w:unhideWhenUsed/>
    <w:pPr>
      <w:pBdr>
        <w:top w:val="single" w:sz="6" w:space="1" w:color="000000"/>
        <w:left w:val="single" w:sz="6" w:space="1" w:color="000000"/>
        <w:bottom w:val="single" w:sz="6" w:space="1" w:color="000000"/>
        <w:right w:val="single" w:sz="6" w:space="1" w:color="000000"/>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z w:val="24"/>
      <w:szCs w:val="24"/>
      <w:shd w:val="pct20" w:color="auto" w:fill="auto"/>
    </w:rPr>
  </w:style>
  <w:style w:type="paragraph" w:styleId="NoteHeading">
    <w:name w:val="Note Heading"/>
    <w:basedOn w:val="Normal"/>
    <w:next w:val="Normal"/>
    <w:link w:val="NoteHeadingChar"/>
    <w:uiPriority w:val="99"/>
    <w:semiHidden/>
    <w:unhideWhenUsed/>
    <w:pPr>
      <w:spacing w:line="240" w:lineRule="auto"/>
    </w:pPr>
  </w:style>
  <w:style w:type="character" w:customStyle="1" w:styleId="NoteHeadingChar">
    <w:name w:val="Note Heading Char"/>
    <w:basedOn w:val="DefaultParagraphFont"/>
    <w:link w:val="NoteHeading"/>
    <w:uiPriority w:val="99"/>
    <w:semiHidden/>
  </w:style>
  <w:style w:type="paragraph" w:styleId="DocumentMap">
    <w:name w:val="Document Map"/>
    <w:basedOn w:val="Normal"/>
    <w:link w:val="DocumentMapChar"/>
    <w:uiPriority w:val="99"/>
    <w:semiHidden/>
    <w:unhideWhenUse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hAnsi="Tahoma" w:cs="Tahoma"/>
      <w:sz w:val="16"/>
      <w:szCs w:val="16"/>
    </w:rPr>
  </w:style>
  <w:style w:type="paragraph" w:styleId="NormalWeb">
    <w:name w:val="Normal (Web)"/>
    <w:basedOn w:val="Normal"/>
    <w:uiPriority w:val="99"/>
    <w:semiHidden/>
    <w:unhideWhenUsed/>
    <w:rPr>
      <w:sz w:val="24"/>
      <w:szCs w:val="24"/>
    </w:rPr>
  </w:style>
  <w:style w:type="paragraph" w:styleId="ListNumber">
    <w:name w:val="List Number"/>
    <w:basedOn w:val="Normal"/>
    <w:uiPriority w:val="99"/>
    <w:semiHidden/>
    <w:unhideWhenUsed/>
    <w:pPr>
      <w:numPr>
        <w:numId w:val="2"/>
      </w:numPr>
      <w:contextualSpacing/>
    </w:pPr>
  </w:style>
  <w:style w:type="paragraph" w:styleId="ListNumber2">
    <w:name w:val="List Number 2"/>
    <w:basedOn w:val="Normal"/>
    <w:uiPriority w:val="99"/>
    <w:semiHidden/>
    <w:unhideWhenUsed/>
    <w:pPr>
      <w:numPr>
        <w:numId w:val="3"/>
      </w:numPr>
      <w:contextualSpacing/>
    </w:pPr>
  </w:style>
  <w:style w:type="paragraph" w:styleId="ListNumber3">
    <w:name w:val="List Number 3"/>
    <w:basedOn w:val="Normal"/>
    <w:uiPriority w:val="99"/>
    <w:semiHidden/>
    <w:unhideWhenUsed/>
    <w:pPr>
      <w:numPr>
        <w:numId w:val="4"/>
      </w:numPr>
      <w:contextualSpacing/>
    </w:pPr>
  </w:style>
  <w:style w:type="paragraph" w:styleId="ListNumber4">
    <w:name w:val="List Number 4"/>
    <w:basedOn w:val="Normal"/>
    <w:uiPriority w:val="99"/>
    <w:semiHidden/>
    <w:unhideWhenUsed/>
    <w:pPr>
      <w:numPr>
        <w:numId w:val="5"/>
      </w:numPr>
      <w:contextualSpacing/>
    </w:pPr>
  </w:style>
  <w:style w:type="paragraph" w:styleId="ListNumber5">
    <w:name w:val="List Number 5"/>
    <w:basedOn w:val="Normal"/>
    <w:uiPriority w:val="99"/>
    <w:semiHidden/>
    <w:unhideWhenUsed/>
    <w:pPr>
      <w:numPr>
        <w:numId w:val="6"/>
      </w:numPr>
      <w:contextualSpacing/>
    </w:pPr>
  </w:style>
  <w:style w:type="paragraph" w:styleId="HTMLPreformatted">
    <w:name w:val="HTML Preformatted"/>
    <w:basedOn w:val="Normal"/>
    <w:link w:val="HTMLPreformattedChar"/>
    <w:uiPriority w:val="99"/>
    <w:semiHidden/>
    <w:unhideWhenUsed/>
    <w:pPr>
      <w:spacing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Pr>
      <w:rFonts w:ascii="Consolas" w:hAnsi="Consolas" w:cs="Consolas"/>
      <w:sz w:val="20"/>
      <w:szCs w:val="20"/>
    </w:rPr>
  </w:style>
  <w:style w:type="paragraph" w:styleId="BodyTextFirstIndent">
    <w:name w:val="Body Text First Indent"/>
    <w:basedOn w:val="BodyText"/>
    <w:link w:val="BodyTextFirstIndentChar"/>
    <w:uiPriority w:val="99"/>
    <w:semiHidden/>
    <w:unhideWhenUsed/>
    <w:pPr>
      <w:spacing w:after="200"/>
      <w:ind w:firstLine="36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283"/>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200"/>
      <w:ind w:left="360" w:firstLine="360"/>
    </w:pPr>
  </w:style>
  <w:style w:type="character" w:customStyle="1" w:styleId="BodyTextFirstIndent2Char">
    <w:name w:val="Body Text First Indent 2 Char"/>
    <w:basedOn w:val="BodyTextIndentChar"/>
    <w:link w:val="BodyTextFirstIndent2"/>
    <w:uiPriority w:val="99"/>
    <w:semiHidden/>
  </w:style>
  <w:style w:type="paragraph" w:styleId="ListBullet">
    <w:name w:val="List Bullet"/>
    <w:basedOn w:val="Normal"/>
    <w:uiPriority w:val="99"/>
    <w:semiHidden/>
    <w:unhideWhenUsed/>
    <w:pPr>
      <w:numPr>
        <w:numId w:val="7"/>
      </w:numPr>
      <w:contextualSpacing/>
    </w:pPr>
  </w:style>
  <w:style w:type="paragraph" w:styleId="ListBullet2">
    <w:name w:val="List Bullet 2"/>
    <w:basedOn w:val="Normal"/>
    <w:uiPriority w:val="99"/>
    <w:semiHidden/>
    <w:unhideWhenUsed/>
    <w:pPr>
      <w:numPr>
        <w:numId w:val="8"/>
      </w:numPr>
      <w:contextualSpacing/>
    </w:pPr>
  </w:style>
  <w:style w:type="paragraph" w:styleId="ListBullet3">
    <w:name w:val="List Bullet 3"/>
    <w:basedOn w:val="Normal"/>
    <w:uiPriority w:val="99"/>
    <w:semiHidden/>
    <w:unhideWhenUsed/>
    <w:pPr>
      <w:numPr>
        <w:numId w:val="9"/>
      </w:numPr>
      <w:contextualSpacing/>
    </w:pPr>
  </w:style>
  <w:style w:type="paragraph" w:styleId="ListBullet4">
    <w:name w:val="List Bullet 4"/>
    <w:basedOn w:val="Normal"/>
    <w:uiPriority w:val="99"/>
    <w:semiHidden/>
    <w:unhideWhenUsed/>
    <w:pPr>
      <w:numPr>
        <w:numId w:val="10"/>
      </w:numPr>
      <w:contextualSpacing/>
    </w:pPr>
  </w:style>
  <w:style w:type="paragraph" w:styleId="ListBullet5">
    <w:name w:val="List Bullet 5"/>
    <w:basedOn w:val="Normal"/>
    <w:uiPriority w:val="99"/>
    <w:semiHidden/>
    <w:unhideWhenUsed/>
    <w:pPr>
      <w:numPr>
        <w:numId w:val="11"/>
      </w:numPr>
      <w:contextualSpacing/>
    </w:pPr>
  </w:style>
  <w:style w:type="paragraph" w:styleId="BodyTextIndent2">
    <w:name w:val="Body Text Indent 2"/>
    <w:basedOn w:val="Normal"/>
    <w:link w:val="BodyTextIndent2Char"/>
    <w:uiPriority w:val="99"/>
    <w:semiHidden/>
    <w:unhideWhenUsed/>
    <w:pPr>
      <w:spacing w:after="120" w:line="480" w:lineRule="auto"/>
      <w:ind w:left="283"/>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283"/>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paragraph" w:styleId="NormalIndent">
    <w:name w:val="Normal Indent"/>
    <w:basedOn w:val="Normal"/>
    <w:uiPriority w:val="99"/>
    <w:semiHidden/>
    <w:unhideWhenUsed/>
    <w:pPr>
      <w:ind w:left="720"/>
    </w:p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paragraph" w:styleId="BlockText">
    <w:name w:val="Block Text"/>
    <w:basedOn w:val="Normal"/>
    <w:uiPriority w:val="99"/>
    <w:semiHidden/>
    <w:unhideWhenUs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Pr>
      <w:rFonts w:ascii="Consolas" w:hAnsi="Consolas" w:cs="Consolas"/>
      <w:sz w:val="20"/>
      <w:szCs w:val="20"/>
    </w:rPr>
  </w:style>
  <w:style w:type="paragraph" w:styleId="PlainText">
    <w:name w:val="Plain Text"/>
    <w:basedOn w:val="Normal"/>
    <w:link w:val="PlainTextChar"/>
    <w:uiPriority w:val="99"/>
    <w:semiHidden/>
    <w:unhideWhenUsed/>
    <w:pPr>
      <w:spacing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sz w:val="21"/>
      <w:szCs w:val="21"/>
    </w:rPr>
  </w:style>
  <w:style w:type="paragraph" w:styleId="FootnoteText">
    <w:name w:val="footnote text"/>
    <w:basedOn w:val="Normal"/>
    <w:link w:val="FootnoteTextChar"/>
    <w:uiPriority w:val="99"/>
    <w:semiHidden/>
    <w:unhideWhenUsed/>
    <w:pPr>
      <w:spacing w:line="240" w:lineRule="auto"/>
    </w:pPr>
  </w:style>
  <w:style w:type="character" w:customStyle="1" w:styleId="FootnoteTextChar">
    <w:name w:val="Footnote Text Char"/>
    <w:basedOn w:val="DefaultParagraphFont"/>
    <w:link w:val="FootnoteText"/>
    <w:uiPriority w:val="99"/>
    <w:semiHidden/>
    <w:rPr>
      <w:sz w:val="20"/>
      <w:szCs w:val="20"/>
    </w:rPr>
  </w:style>
  <w:style w:type="paragraph" w:styleId="EndnoteText">
    <w:name w:val="endnote text"/>
    <w:basedOn w:val="Normal"/>
    <w:link w:val="EndnoteTextChar"/>
    <w:uiPriority w:val="99"/>
    <w:semiHidden/>
    <w:unhideWhenUsed/>
    <w:pPr>
      <w:spacing w:line="240" w:lineRule="auto"/>
    </w:pPr>
  </w:style>
  <w:style w:type="character" w:customStyle="1" w:styleId="EndnoteTextChar">
    <w:name w:val="Endnote Text Char"/>
    <w:basedOn w:val="DefaultParagraphFont"/>
    <w:link w:val="EndnoteText"/>
    <w:uiPriority w:val="99"/>
    <w:semiHidden/>
    <w:rPr>
      <w:sz w:val="20"/>
      <w:szCs w:val="20"/>
    </w:rPr>
  </w:style>
  <w:style w:type="character" w:customStyle="1" w:styleId="Heading1Char">
    <w:name w:val="Heading 1 Char"/>
    <w:basedOn w:val="DefaultParagraphFont"/>
    <w:link w:val="Heading1"/>
    <w:uiPriority w:val="9"/>
    <w:rPr>
      <w:rFonts w:ascii="Arial" w:eastAsia="Times New Roman" w:hAnsi="Arial" w:cs="Times New Roman"/>
      <w:b/>
      <w:sz w:val="20"/>
      <w:szCs w:val="20"/>
      <w:lang w:val="en-GB"/>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pPr>
      <w:outlineLvl w:val="9"/>
    </w:pPr>
  </w:style>
  <w:style w:type="paragraph" w:customStyle="1" w:styleId="CETemail">
    <w:name w:val="CET email"/>
    <w:next w:val="CETBodytext"/>
    <w:pPr>
      <w:spacing w:after="240"/>
    </w:pPr>
    <w:rPr>
      <w:rFonts w:ascii="Arial" w:eastAsia="Times New Roman" w:hAnsi="Arial" w:cs="Times New Roman"/>
      <w:sz w:val="16"/>
      <w:szCs w:val="20"/>
      <w:lang w:val="en-GB"/>
    </w:rPr>
  </w:style>
  <w:style w:type="character" w:customStyle="1" w:styleId="CETAddressCarattere">
    <w:name w:val="CET Address Carattere"/>
    <w:basedOn w:val="DefaultParagraphFont"/>
    <w:link w:val="CETAddress"/>
    <w:rPr>
      <w:rFonts w:ascii="Arial" w:eastAsia="Times New Roman" w:hAnsi="Arial" w:cs="Times New Roman"/>
      <w:sz w:val="16"/>
      <w:szCs w:val="20"/>
      <w:lang w:val="en-GB"/>
    </w:rPr>
  </w:style>
  <w:style w:type="paragraph" w:customStyle="1" w:styleId="CETBodytextBold">
    <w:name w:val="CET Body text (Bold)"/>
    <w:basedOn w:val="CETBodytext"/>
    <w:rPr>
      <w:b/>
    </w:rPr>
  </w:style>
  <w:style w:type="paragraph" w:customStyle="1" w:styleId="CETnumberingbullets">
    <w:name w:val="CET numbering (bullets)"/>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pPr>
      <w:numPr>
        <w:numId w:val="15"/>
      </w:numPr>
      <w:spacing w:after="0" w:line="264" w:lineRule="auto"/>
    </w:pPr>
    <w:rPr>
      <w:rFonts w:ascii="Arial" w:eastAsia="Times New Roman" w:hAnsi="Arial" w:cs="Times New Roman"/>
      <w:sz w:val="18"/>
      <w:szCs w:val="20"/>
      <w:lang w:val="en-GB"/>
    </w:rPr>
  </w:style>
  <w:style w:type="paragraph" w:styleId="Header">
    <w:name w:val="header"/>
    <w:basedOn w:val="Normal"/>
    <w:link w:val="HeaderChar"/>
    <w:uiPriority w:val="99"/>
    <w:unhideWhenUsed/>
    <w:pPr>
      <w:tabs>
        <w:tab w:val="clear" w:pos="7100"/>
        <w:tab w:val="center" w:pos="4819"/>
        <w:tab w:val="right" w:pos="9638"/>
      </w:tabs>
      <w:spacing w:line="240" w:lineRule="auto"/>
    </w:pPr>
  </w:style>
  <w:style w:type="character" w:customStyle="1" w:styleId="HeaderChar">
    <w:name w:val="Header Char"/>
    <w:basedOn w:val="DefaultParagraphFont"/>
    <w:link w:val="Header"/>
    <w:uiPriority w:val="99"/>
    <w:rPr>
      <w:rFonts w:ascii="Arial" w:eastAsia="Times New Roman" w:hAnsi="Arial" w:cs="Times New Roman"/>
      <w:sz w:val="18"/>
      <w:szCs w:val="20"/>
      <w:lang w:val="en-GB"/>
    </w:rPr>
  </w:style>
  <w:style w:type="paragraph" w:styleId="Footer">
    <w:name w:val="footer"/>
    <w:basedOn w:val="Normal"/>
    <w:link w:val="FooterChar"/>
    <w:uiPriority w:val="99"/>
    <w:unhideWhenUsed/>
    <w:pPr>
      <w:tabs>
        <w:tab w:val="clear" w:pos="7100"/>
        <w:tab w:val="center" w:pos="4819"/>
        <w:tab w:val="right" w:pos="9638"/>
      </w:tabs>
      <w:spacing w:line="240" w:lineRule="auto"/>
    </w:pPr>
  </w:style>
  <w:style w:type="character" w:customStyle="1" w:styleId="FooterChar">
    <w:name w:val="Footer Char"/>
    <w:basedOn w:val="DefaultParagraphFont"/>
    <w:link w:val="Footer"/>
    <w:uiPriority w:val="99"/>
    <w:rPr>
      <w:rFonts w:ascii="Arial" w:eastAsia="Times New Roman" w:hAnsi="Arial" w:cs="Times New Roman"/>
      <w:sz w:val="18"/>
      <w:szCs w:val="20"/>
      <w:lang w:val="en-GB"/>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Pr>
      <w:color w:val="0000FF" w:themeColor="hyperlink"/>
      <w:u w:val="single"/>
    </w:rPr>
  </w:style>
  <w:style w:type="character" w:customStyle="1" w:styleId="eudoraheader">
    <w:name w:val="eudoraheader"/>
    <w:basedOn w:val="DefaultParagraphFont"/>
  </w:style>
  <w:style w:type="paragraph" w:customStyle="1" w:styleId="CETListbullets">
    <w:name w:val="CET List bullets"/>
    <w:qFormat/>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pPr>
      <w:spacing w:before="120" w:after="120"/>
      <w:jc w:val="left"/>
    </w:pPr>
    <w:rPr>
      <w:lang w:val="en-GB"/>
    </w:rPr>
  </w:style>
  <w:style w:type="paragraph" w:customStyle="1" w:styleId="CETHeadingxx">
    <w:name w:val="CET Headingxx"/>
    <w:basedOn w:val="CETheadingx"/>
    <w:link w:val="CETHeadingxxChar"/>
    <w:qFormat/>
    <w:pPr>
      <w:numPr>
        <w:ilvl w:val="0"/>
        <w:numId w:val="0"/>
      </w:numPr>
    </w:pPr>
  </w:style>
  <w:style w:type="character" w:customStyle="1" w:styleId="CETHeadingxxChar">
    <w:name w:val="CET Headingxx Char"/>
    <w:basedOn w:val="CETheadingxCarattere"/>
    <w:link w:val="CETHeadingxx"/>
    <w:rPr>
      <w:rFonts w:ascii="Arial" w:eastAsia="Times New Roman" w:hAnsi="Arial" w:cs="Times New Roman"/>
      <w:b/>
      <w:sz w:val="18"/>
      <w:szCs w:val="20"/>
      <w:lang w:val="en-US"/>
    </w:rPr>
  </w:style>
  <w:style w:type="paragraph" w:styleId="ListParagraph">
    <w:name w:val="List Paragraph"/>
    <w:basedOn w:val="Normal"/>
    <w:uiPriority w:val="34"/>
    <w:pPr>
      <w:ind w:left="720"/>
      <w:contextualSpacing/>
    </w:pPr>
  </w:style>
  <w:style w:type="character" w:customStyle="1" w:styleId="gmail-apple-converted-space">
    <w:name w:val="gmail-apple-converted-space"/>
    <w:basedOn w:val="DefaultParagraphFont"/>
  </w:style>
  <w:style w:type="character" w:styleId="LineNumber">
    <w:name w:val="line number"/>
    <w:basedOn w:val="DefaultParagraphFont"/>
    <w:uiPriority w:val="99"/>
    <w:semiHidden/>
    <w:unhideWhenUsed/>
  </w:style>
  <w:style w:type="character" w:styleId="PlaceholderText">
    <w:name w:val="Placeholder Text"/>
    <w:basedOn w:val="DefaultParagraphFont"/>
    <w:uiPriority w:val="99"/>
    <w:semiHidden/>
    <w:rPr>
      <w:color w:val="666666"/>
    </w:rPr>
  </w:style>
  <w:style w:type="table" w:styleId="PlainTable4">
    <w:name w:val="Plain Table 4"/>
    <w:basedOn w:val="TableNormal"/>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Revision">
    <w:name w:val="Revision"/>
    <w:hidden/>
    <w:uiPriority w:val="99"/>
    <w:semiHidden/>
    <w:rsid w:val="00446816"/>
    <w:pPr>
      <w:spacing w:after="0" w:line="240" w:lineRule="auto"/>
    </w:pPr>
    <w:rPr>
      <w:rFonts w:ascii="Arial" w:eastAsia="Times New Roman" w:hAnsi="Arial" w:cs="Times New Roman"/>
      <w:sz w:val="1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771007">
      <w:bodyDiv w:val="1"/>
      <w:marLeft w:val="0"/>
      <w:marRight w:val="0"/>
      <w:marTop w:val="0"/>
      <w:marBottom w:val="0"/>
      <w:divBdr>
        <w:top w:val="none" w:sz="0" w:space="0" w:color="auto"/>
        <w:left w:val="none" w:sz="0" w:space="0" w:color="auto"/>
        <w:bottom w:val="none" w:sz="0" w:space="0" w:color="auto"/>
        <w:right w:val="none" w:sz="0" w:space="0" w:color="auto"/>
      </w:divBdr>
    </w:div>
    <w:div w:id="1502812659">
      <w:bodyDiv w:val="1"/>
      <w:marLeft w:val="0"/>
      <w:marRight w:val="0"/>
      <w:marTop w:val="0"/>
      <w:marBottom w:val="0"/>
      <w:divBdr>
        <w:top w:val="none" w:sz="0" w:space="0" w:color="auto"/>
        <w:left w:val="none" w:sz="0" w:space="0" w:color="auto"/>
        <w:bottom w:val="none" w:sz="0" w:space="0" w:color="auto"/>
        <w:right w:val="none" w:sz="0" w:space="0" w:color="auto"/>
      </w:divBdr>
    </w:div>
    <w:div w:id="154802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0.jpg"/><Relationship Id="rId17"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0.jpg"/><Relationship Id="rId19"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3144</Words>
  <Characters>19814</Characters>
  <Application>Microsoft Office Word</Application>
  <DocSecurity>0</DocSecurity>
  <Lines>165</Lines>
  <Paragraphs>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Dipartimento CMIC - Politecnico di Milano</Company>
  <LinksUpToDate>false</LinksUpToDate>
  <CharactersWithSpaces>22913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raffaella</dc:creator>
  <cp:lastModifiedBy>Nicolas Oye</cp:lastModifiedBy>
  <cp:revision>52</cp:revision>
  <cp:lastPrinted>2026-04-30T13:42:00Z</cp:lastPrinted>
  <dcterms:created xsi:type="dcterms:W3CDTF">2026-04-28T17:58:00Z</dcterms:created>
  <dcterms:modified xsi:type="dcterms:W3CDTF">2026-09-01T18:23:00Z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id="rKasm6su"/&gt;&lt;style id="http://www.zotero.org/styles/process-integration-examples-revised" hasBibliography="1" bibliographyStyleHasBeenSet="1"/&gt;&lt;prefs&gt;&lt;pref name="fieldType" value="Field"/&gt;&lt;pref nam</vt:lpwstr>
  </property>
  <property fmtid="{D5CDD505-2E9C-101B-9397-08002B2CF9AE}" pid="3" name="ZOTERO_PREF_2">
    <vt:lpwstr>e="storeReferences" value="true"/&gt;&lt;/prefs&gt;&lt;/data&gt;</vt:lpwstr>
  </property>
</Properties>
</file>