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C36232" w14:paraId="2A131A54" w14:textId="77777777" w:rsidTr="00E54BC0">
        <w:trPr>
          <w:trHeight w:val="852"/>
          <w:jc w:val="center"/>
        </w:trPr>
        <w:tc>
          <w:tcPr>
            <w:tcW w:w="6940" w:type="dxa"/>
            <w:vMerge w:val="restart"/>
            <w:tcBorders>
              <w:right w:val="single" w:sz="4" w:space="0" w:color="auto"/>
            </w:tcBorders>
          </w:tcPr>
          <w:p w14:paraId="38C3D2BA" w14:textId="77777777" w:rsidR="000A03B2" w:rsidRPr="00C36232" w:rsidRDefault="000A03B2" w:rsidP="00DE264A">
            <w:pPr>
              <w:tabs>
                <w:tab w:val="left" w:pos="-108"/>
              </w:tabs>
              <w:ind w:left="-108"/>
              <w:jc w:val="left"/>
              <w:rPr>
                <w:rFonts w:cs="Arial"/>
                <w:b/>
                <w:bCs/>
                <w:i/>
                <w:iCs/>
                <w:color w:val="000066"/>
                <w:sz w:val="12"/>
                <w:szCs w:val="12"/>
                <w:lang w:val="en-US" w:eastAsia="it-IT"/>
              </w:rPr>
            </w:pPr>
            <w:bookmarkStart w:id="0" w:name="_Hlk145068772"/>
            <w:r w:rsidRPr="00C36232">
              <w:rPr>
                <w:rFonts w:ascii="AdvP6960" w:hAnsi="AdvP6960" w:cs="AdvP6960"/>
                <w:noProof/>
                <w:color w:val="241F20"/>
                <w:szCs w:val="18"/>
                <w:lang w:val="en-US"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C36232">
              <w:rPr>
                <w:rFonts w:ascii="AdvP6960" w:hAnsi="AdvP6960" w:cs="AdvP6960"/>
                <w:color w:val="241F20"/>
                <w:szCs w:val="18"/>
                <w:lang w:val="en-US" w:eastAsia="it-IT"/>
              </w:rPr>
              <w:t xml:space="preserve"> </w:t>
            </w:r>
            <w:r w:rsidRPr="00C36232">
              <w:rPr>
                <w:rFonts w:cs="Arial"/>
                <w:b/>
                <w:bCs/>
                <w:i/>
                <w:iCs/>
                <w:color w:val="000066"/>
                <w:sz w:val="24"/>
                <w:szCs w:val="24"/>
                <w:lang w:val="en-US" w:eastAsia="it-IT"/>
              </w:rPr>
              <w:t>CHEMICAL ENGINEERING</w:t>
            </w:r>
            <w:r w:rsidRPr="00C36232">
              <w:rPr>
                <w:rFonts w:cs="Arial"/>
                <w:b/>
                <w:bCs/>
                <w:i/>
                <w:iCs/>
                <w:color w:val="0033FF"/>
                <w:sz w:val="24"/>
                <w:szCs w:val="24"/>
                <w:lang w:val="en-US" w:eastAsia="it-IT"/>
              </w:rPr>
              <w:t xml:space="preserve"> </w:t>
            </w:r>
            <w:r w:rsidRPr="00C36232">
              <w:rPr>
                <w:rFonts w:cs="Arial"/>
                <w:b/>
                <w:bCs/>
                <w:i/>
                <w:iCs/>
                <w:color w:val="666666"/>
                <w:sz w:val="24"/>
                <w:szCs w:val="24"/>
                <w:lang w:val="en-US" w:eastAsia="it-IT"/>
              </w:rPr>
              <w:t>TRANSACTIONS</w:t>
            </w:r>
            <w:r w:rsidRPr="00C36232">
              <w:rPr>
                <w:color w:val="333333"/>
                <w:sz w:val="24"/>
                <w:szCs w:val="24"/>
                <w:lang w:val="en-US" w:eastAsia="it-IT"/>
              </w:rPr>
              <w:t xml:space="preserve"> </w:t>
            </w:r>
            <w:r w:rsidRPr="00C36232">
              <w:rPr>
                <w:rFonts w:cs="Arial"/>
                <w:b/>
                <w:bCs/>
                <w:i/>
                <w:iCs/>
                <w:color w:val="000066"/>
                <w:sz w:val="27"/>
                <w:szCs w:val="27"/>
                <w:lang w:val="en-US" w:eastAsia="it-IT"/>
              </w:rPr>
              <w:br/>
            </w:r>
          </w:p>
          <w:p w14:paraId="4B780582" w14:textId="753620B8" w:rsidR="000A03B2" w:rsidRPr="00C36232" w:rsidRDefault="00A76EFC" w:rsidP="001D21AF">
            <w:pPr>
              <w:tabs>
                <w:tab w:val="left" w:pos="-108"/>
              </w:tabs>
              <w:ind w:left="-108"/>
              <w:rPr>
                <w:rFonts w:cs="Arial"/>
                <w:b/>
                <w:bCs/>
                <w:i/>
                <w:iCs/>
                <w:color w:val="000066"/>
                <w:sz w:val="22"/>
                <w:szCs w:val="22"/>
                <w:lang w:val="en-US" w:eastAsia="it-IT"/>
              </w:rPr>
            </w:pPr>
            <w:r w:rsidRPr="00C36232">
              <w:rPr>
                <w:rFonts w:cs="Arial"/>
                <w:b/>
                <w:bCs/>
                <w:i/>
                <w:iCs/>
                <w:color w:val="000066"/>
                <w:sz w:val="22"/>
                <w:szCs w:val="22"/>
                <w:lang w:val="en-US" w:eastAsia="it-IT"/>
              </w:rPr>
              <w:t>VOL.</w:t>
            </w:r>
            <w:r w:rsidR="00785BF9" w:rsidRPr="00C36232">
              <w:rPr>
                <w:rFonts w:cs="Arial"/>
                <w:b/>
                <w:bCs/>
                <w:i/>
                <w:iCs/>
                <w:color w:val="000066"/>
                <w:sz w:val="22"/>
                <w:szCs w:val="22"/>
                <w:lang w:val="en-US" w:eastAsia="it-IT"/>
              </w:rPr>
              <w:t xml:space="preserve"> </w:t>
            </w:r>
            <w:r w:rsidR="00AD0278" w:rsidRPr="00C36232">
              <w:rPr>
                <w:rFonts w:cs="Arial"/>
                <w:b/>
                <w:bCs/>
                <w:i/>
                <w:iCs/>
                <w:color w:val="000066"/>
                <w:sz w:val="22"/>
                <w:szCs w:val="22"/>
                <w:lang w:val="en-US" w:eastAsia="it-IT"/>
              </w:rPr>
              <w:t>xxx</w:t>
            </w:r>
            <w:r w:rsidR="007B48F9" w:rsidRPr="00C36232">
              <w:rPr>
                <w:rFonts w:cs="Arial"/>
                <w:b/>
                <w:bCs/>
                <w:i/>
                <w:iCs/>
                <w:color w:val="000066"/>
                <w:sz w:val="22"/>
                <w:szCs w:val="22"/>
                <w:lang w:val="en-US" w:eastAsia="it-IT"/>
              </w:rPr>
              <w:t>,</w:t>
            </w:r>
            <w:r w:rsidR="00FA5F5F" w:rsidRPr="00C36232">
              <w:rPr>
                <w:rFonts w:cs="Arial"/>
                <w:b/>
                <w:bCs/>
                <w:i/>
                <w:iCs/>
                <w:color w:val="000066"/>
                <w:sz w:val="22"/>
                <w:szCs w:val="22"/>
                <w:lang w:val="en-US" w:eastAsia="it-IT"/>
              </w:rPr>
              <w:t xml:space="preserve"> </w:t>
            </w:r>
            <w:r w:rsidR="0030152C" w:rsidRPr="00C36232">
              <w:rPr>
                <w:rFonts w:cs="Arial"/>
                <w:b/>
                <w:bCs/>
                <w:i/>
                <w:iCs/>
                <w:color w:val="000066"/>
                <w:sz w:val="22"/>
                <w:szCs w:val="22"/>
                <w:lang w:val="en-US" w:eastAsia="it-IT"/>
              </w:rPr>
              <w:t>202</w:t>
            </w:r>
            <w:r w:rsidR="00AD0278" w:rsidRPr="00C36232">
              <w:rPr>
                <w:rFonts w:cs="Arial"/>
                <w:b/>
                <w:bCs/>
                <w:i/>
                <w:iCs/>
                <w:color w:val="000066"/>
                <w:sz w:val="22"/>
                <w:szCs w:val="22"/>
                <w:lang w:val="en-US" w:eastAsia="it-IT"/>
              </w:rPr>
              <w:t>6</w:t>
            </w:r>
          </w:p>
        </w:tc>
        <w:tc>
          <w:tcPr>
            <w:tcW w:w="1842" w:type="dxa"/>
            <w:tcBorders>
              <w:left w:val="single" w:sz="4" w:space="0" w:color="auto"/>
              <w:bottom w:val="nil"/>
              <w:right w:val="single" w:sz="4" w:space="0" w:color="auto"/>
            </w:tcBorders>
          </w:tcPr>
          <w:p w14:paraId="56782132" w14:textId="77777777" w:rsidR="000A03B2" w:rsidRPr="00C36232" w:rsidRDefault="000A03B2" w:rsidP="00CD5FE2">
            <w:pPr>
              <w:spacing w:line="140" w:lineRule="atLeast"/>
              <w:jc w:val="right"/>
              <w:rPr>
                <w:rFonts w:cs="Arial"/>
                <w:sz w:val="14"/>
                <w:szCs w:val="14"/>
                <w:lang w:val="en-US"/>
              </w:rPr>
            </w:pPr>
            <w:r w:rsidRPr="00C36232">
              <w:rPr>
                <w:rFonts w:cs="Arial"/>
                <w:sz w:val="14"/>
                <w:szCs w:val="14"/>
                <w:lang w:val="en-US"/>
              </w:rPr>
              <w:t>A publication of</w:t>
            </w:r>
          </w:p>
          <w:p w14:paraId="599E5441" w14:textId="77777777" w:rsidR="000A03B2" w:rsidRPr="00C36232" w:rsidRDefault="000A03B2" w:rsidP="00CD5FE2">
            <w:pPr>
              <w:jc w:val="right"/>
              <w:rPr>
                <w:lang w:val="en-US"/>
              </w:rPr>
            </w:pPr>
            <w:r w:rsidRPr="00C36232">
              <w:rPr>
                <w:noProof/>
                <w:lang w:val="en-US"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C36232" w14:paraId="380FA3CD" w14:textId="77777777" w:rsidTr="00E54BC0">
        <w:trPr>
          <w:trHeight w:val="567"/>
          <w:jc w:val="center"/>
        </w:trPr>
        <w:tc>
          <w:tcPr>
            <w:tcW w:w="6940" w:type="dxa"/>
            <w:vMerge/>
            <w:tcBorders>
              <w:right w:val="single" w:sz="4" w:space="0" w:color="auto"/>
            </w:tcBorders>
          </w:tcPr>
          <w:p w14:paraId="39E5E4C1" w14:textId="77777777" w:rsidR="000A03B2" w:rsidRPr="00C36232" w:rsidRDefault="000A03B2" w:rsidP="00CD5FE2">
            <w:pPr>
              <w:tabs>
                <w:tab w:val="left" w:pos="-108"/>
              </w:tabs>
              <w:rPr>
                <w:lang w:val="en-US"/>
              </w:rPr>
            </w:pPr>
          </w:p>
        </w:tc>
        <w:tc>
          <w:tcPr>
            <w:tcW w:w="1842" w:type="dxa"/>
            <w:tcBorders>
              <w:left w:val="single" w:sz="4" w:space="0" w:color="auto"/>
              <w:bottom w:val="nil"/>
              <w:right w:val="single" w:sz="4" w:space="0" w:color="auto"/>
            </w:tcBorders>
          </w:tcPr>
          <w:p w14:paraId="43858A98" w14:textId="77777777" w:rsidR="000A03B2" w:rsidRPr="00C36232" w:rsidRDefault="000A03B2" w:rsidP="00CD5FE2">
            <w:pPr>
              <w:spacing w:line="140" w:lineRule="atLeast"/>
              <w:jc w:val="right"/>
              <w:rPr>
                <w:rFonts w:cs="Arial"/>
                <w:sz w:val="14"/>
                <w:szCs w:val="14"/>
                <w:lang w:val="en-US"/>
              </w:rPr>
            </w:pPr>
            <w:r w:rsidRPr="00C36232">
              <w:rPr>
                <w:rFonts w:cs="Arial"/>
                <w:sz w:val="14"/>
                <w:szCs w:val="14"/>
                <w:lang w:val="en-US"/>
              </w:rPr>
              <w:t>The Italian Association</w:t>
            </w:r>
          </w:p>
          <w:p w14:paraId="7522B1D2" w14:textId="77777777" w:rsidR="000A03B2" w:rsidRPr="00C36232" w:rsidRDefault="000A03B2" w:rsidP="00CD5FE2">
            <w:pPr>
              <w:spacing w:line="140" w:lineRule="atLeast"/>
              <w:jc w:val="right"/>
              <w:rPr>
                <w:rFonts w:cs="Arial"/>
                <w:sz w:val="14"/>
                <w:szCs w:val="14"/>
                <w:lang w:val="en-US"/>
              </w:rPr>
            </w:pPr>
            <w:r w:rsidRPr="00C36232">
              <w:rPr>
                <w:rFonts w:cs="Arial"/>
                <w:sz w:val="14"/>
                <w:szCs w:val="14"/>
                <w:lang w:val="en-US"/>
              </w:rPr>
              <w:t>of Chemical Engineering</w:t>
            </w:r>
          </w:p>
          <w:p w14:paraId="4F0CC5DE" w14:textId="47FDB2FC" w:rsidR="000A03B2" w:rsidRPr="00C36232" w:rsidRDefault="000D0268" w:rsidP="00CD5FE2">
            <w:pPr>
              <w:spacing w:line="140" w:lineRule="atLeast"/>
              <w:jc w:val="right"/>
              <w:rPr>
                <w:rFonts w:cs="Arial"/>
                <w:sz w:val="13"/>
                <w:szCs w:val="13"/>
                <w:lang w:val="en-US"/>
              </w:rPr>
            </w:pPr>
            <w:r w:rsidRPr="00C36232">
              <w:rPr>
                <w:rFonts w:cs="Arial"/>
                <w:sz w:val="13"/>
                <w:szCs w:val="13"/>
                <w:lang w:val="en-US"/>
              </w:rPr>
              <w:t>Online at www.cetjournal.it</w:t>
            </w:r>
          </w:p>
        </w:tc>
      </w:tr>
      <w:tr w:rsidR="000A03B2" w:rsidRPr="00C36232" w14:paraId="2D1B7169" w14:textId="77777777" w:rsidTr="00E54BC0">
        <w:trPr>
          <w:trHeight w:val="68"/>
          <w:jc w:val="center"/>
        </w:trPr>
        <w:tc>
          <w:tcPr>
            <w:tcW w:w="8782" w:type="dxa"/>
            <w:gridSpan w:val="2"/>
          </w:tcPr>
          <w:p w14:paraId="1D8DD3C9" w14:textId="174205F6" w:rsidR="00AA7D26" w:rsidRPr="00C36232" w:rsidRDefault="004A5E57" w:rsidP="00CB2614">
            <w:pPr>
              <w:ind w:left="-107"/>
              <w:outlineLvl w:val="2"/>
              <w:rPr>
                <w:rFonts w:ascii="Tahoma" w:hAnsi="Tahoma" w:cs="Tahoma"/>
                <w:color w:val="000000"/>
                <w:sz w:val="14"/>
                <w:szCs w:val="14"/>
                <w:shd w:val="clear" w:color="auto" w:fill="FFFFFF"/>
                <w:lang w:val="en-US"/>
              </w:rPr>
            </w:pPr>
            <w:r w:rsidRPr="00C36232">
              <w:rPr>
                <w:rFonts w:ascii="Tahoma" w:hAnsi="Tahoma" w:cs="Tahoma"/>
                <w:iCs/>
                <w:color w:val="333333"/>
                <w:sz w:val="14"/>
                <w:szCs w:val="14"/>
                <w:lang w:val="en-US" w:eastAsia="it-IT"/>
              </w:rPr>
              <w:t>Guest Editors:</w:t>
            </w:r>
            <w:r w:rsidRPr="00C36232">
              <w:rPr>
                <w:rFonts w:ascii="Tahoma" w:hAnsi="Tahoma" w:cs="Tahoma"/>
                <w:color w:val="000000"/>
                <w:sz w:val="14"/>
                <w:szCs w:val="14"/>
                <w:shd w:val="clear" w:color="auto" w:fill="FFFFFF"/>
                <w:lang w:val="en-US"/>
              </w:rPr>
              <w:t xml:space="preserve"> </w:t>
            </w:r>
            <w:r w:rsidR="00CB2614" w:rsidRPr="00C36232">
              <w:rPr>
                <w:rFonts w:ascii="Tahoma" w:hAnsi="Tahoma" w:cs="Tahoma"/>
                <w:color w:val="000000"/>
                <w:sz w:val="14"/>
                <w:szCs w:val="14"/>
                <w:shd w:val="clear" w:color="auto" w:fill="FFFFFF"/>
                <w:lang w:val="en-US"/>
              </w:rPr>
              <w:t xml:space="preserve">Flavio </w:t>
            </w:r>
            <w:proofErr w:type="spellStart"/>
            <w:r w:rsidR="00CB2614" w:rsidRPr="00C36232">
              <w:rPr>
                <w:rFonts w:ascii="Tahoma" w:hAnsi="Tahoma" w:cs="Tahoma"/>
                <w:color w:val="000000"/>
                <w:sz w:val="14"/>
                <w:szCs w:val="14"/>
                <w:shd w:val="clear" w:color="auto" w:fill="FFFFFF"/>
                <w:lang w:val="en-US"/>
              </w:rPr>
              <w:t>Manenti</w:t>
            </w:r>
            <w:proofErr w:type="spellEnd"/>
            <w:r w:rsidR="00CB2614" w:rsidRPr="00C36232">
              <w:rPr>
                <w:rFonts w:ascii="Tahoma" w:hAnsi="Tahoma" w:cs="Tahoma"/>
                <w:color w:val="000000"/>
                <w:sz w:val="14"/>
                <w:szCs w:val="14"/>
                <w:shd w:val="clear" w:color="auto" w:fill="FFFFFF"/>
                <w:lang w:val="en-US"/>
              </w:rPr>
              <w:t xml:space="preserve">, </w:t>
            </w:r>
            <w:proofErr w:type="spellStart"/>
            <w:r w:rsidR="00CB2614" w:rsidRPr="00C36232">
              <w:rPr>
                <w:rFonts w:ascii="Tahoma" w:hAnsi="Tahoma" w:cs="Tahoma"/>
                <w:color w:val="000000"/>
                <w:sz w:val="14"/>
                <w:szCs w:val="14"/>
                <w:shd w:val="clear" w:color="auto" w:fill="FFFFFF"/>
                <w:lang w:val="en-US"/>
              </w:rPr>
              <w:t>Botir</w:t>
            </w:r>
            <w:proofErr w:type="spellEnd"/>
            <w:r w:rsidR="00CB2614" w:rsidRPr="00C36232">
              <w:rPr>
                <w:rFonts w:ascii="Tahoma" w:hAnsi="Tahoma" w:cs="Tahoma"/>
                <w:color w:val="000000"/>
                <w:sz w:val="14"/>
                <w:szCs w:val="14"/>
                <w:shd w:val="clear" w:color="auto" w:fill="FFFFFF"/>
                <w:lang w:val="en-US"/>
              </w:rPr>
              <w:t xml:space="preserve"> Usmonov, Alessandro Di </w:t>
            </w:r>
            <w:proofErr w:type="spellStart"/>
            <w:r w:rsidR="00CB2614" w:rsidRPr="00C36232">
              <w:rPr>
                <w:rFonts w:ascii="Tahoma" w:hAnsi="Tahoma" w:cs="Tahoma"/>
                <w:color w:val="000000"/>
                <w:sz w:val="14"/>
                <w:szCs w:val="14"/>
                <w:shd w:val="clear" w:color="auto" w:fill="FFFFFF"/>
                <w:lang w:val="en-US"/>
              </w:rPr>
              <w:t>Pretoro</w:t>
            </w:r>
            <w:proofErr w:type="spellEnd"/>
          </w:p>
          <w:p w14:paraId="1B0F1814" w14:textId="710B7B96" w:rsidR="000A03B2" w:rsidRPr="00C36232" w:rsidRDefault="00AA7D26" w:rsidP="00AA7D26">
            <w:pPr>
              <w:tabs>
                <w:tab w:val="left" w:pos="-108"/>
              </w:tabs>
              <w:spacing w:line="140" w:lineRule="atLeast"/>
              <w:ind w:left="-107"/>
              <w:jc w:val="left"/>
              <w:rPr>
                <w:lang w:val="en-US"/>
              </w:rPr>
            </w:pPr>
            <w:r w:rsidRPr="00C36232">
              <w:rPr>
                <w:rFonts w:ascii="Tahoma" w:hAnsi="Tahoma" w:cs="Tahoma"/>
                <w:iCs/>
                <w:color w:val="333333"/>
                <w:sz w:val="14"/>
                <w:szCs w:val="14"/>
                <w:lang w:val="en-US" w:eastAsia="it-IT"/>
              </w:rPr>
              <w:t>Copyright © 202</w:t>
            </w:r>
            <w:r w:rsidR="00005884" w:rsidRPr="00C36232">
              <w:rPr>
                <w:rFonts w:ascii="Tahoma" w:hAnsi="Tahoma" w:cs="Tahoma"/>
                <w:iCs/>
                <w:color w:val="333333"/>
                <w:sz w:val="14"/>
                <w:szCs w:val="14"/>
                <w:lang w:val="en-US" w:eastAsia="it-IT"/>
              </w:rPr>
              <w:t>6</w:t>
            </w:r>
            <w:r w:rsidRPr="00C36232">
              <w:rPr>
                <w:rFonts w:ascii="Tahoma" w:hAnsi="Tahoma" w:cs="Tahoma"/>
                <w:iCs/>
                <w:color w:val="333333"/>
                <w:sz w:val="14"/>
                <w:szCs w:val="14"/>
                <w:lang w:val="en-US" w:eastAsia="it-IT"/>
              </w:rPr>
              <w:t xml:space="preserve">, AIDIC </w:t>
            </w:r>
            <w:proofErr w:type="spellStart"/>
            <w:r w:rsidRPr="00C36232">
              <w:rPr>
                <w:rFonts w:ascii="Tahoma" w:hAnsi="Tahoma" w:cs="Tahoma"/>
                <w:iCs/>
                <w:color w:val="333333"/>
                <w:sz w:val="14"/>
                <w:szCs w:val="14"/>
                <w:lang w:val="en-US" w:eastAsia="it-IT"/>
              </w:rPr>
              <w:t>Servizi</w:t>
            </w:r>
            <w:proofErr w:type="spellEnd"/>
            <w:r w:rsidRPr="00C36232">
              <w:rPr>
                <w:rFonts w:ascii="Tahoma" w:hAnsi="Tahoma" w:cs="Tahoma"/>
                <w:iCs/>
                <w:color w:val="333333"/>
                <w:sz w:val="14"/>
                <w:szCs w:val="14"/>
                <w:lang w:val="en-US" w:eastAsia="it-IT"/>
              </w:rPr>
              <w:t xml:space="preserve"> </w:t>
            </w:r>
            <w:proofErr w:type="spellStart"/>
            <w:r w:rsidRPr="00C36232">
              <w:rPr>
                <w:rFonts w:ascii="Tahoma" w:hAnsi="Tahoma" w:cs="Tahoma"/>
                <w:iCs/>
                <w:color w:val="333333"/>
                <w:sz w:val="14"/>
                <w:szCs w:val="14"/>
                <w:lang w:val="en-US" w:eastAsia="it-IT"/>
              </w:rPr>
              <w:t>S.r.l</w:t>
            </w:r>
            <w:proofErr w:type="spellEnd"/>
            <w:r w:rsidRPr="00C36232">
              <w:rPr>
                <w:rFonts w:ascii="Tahoma" w:hAnsi="Tahoma" w:cs="Tahoma"/>
                <w:iCs/>
                <w:color w:val="333333"/>
                <w:sz w:val="14"/>
                <w:szCs w:val="14"/>
                <w:lang w:val="en-US" w:eastAsia="it-IT"/>
              </w:rPr>
              <w:t>.</w:t>
            </w:r>
            <w:r w:rsidRPr="00C36232">
              <w:rPr>
                <w:rFonts w:ascii="Tahoma" w:hAnsi="Tahoma" w:cs="Tahoma"/>
                <w:iCs/>
                <w:color w:val="333333"/>
                <w:sz w:val="14"/>
                <w:szCs w:val="14"/>
                <w:lang w:val="en-US" w:eastAsia="it-IT"/>
              </w:rPr>
              <w:br/>
            </w:r>
            <w:r w:rsidRPr="00C36232">
              <w:rPr>
                <w:rFonts w:ascii="Tahoma" w:hAnsi="Tahoma" w:cs="Tahoma"/>
                <w:b/>
                <w:iCs/>
                <w:color w:val="000000"/>
                <w:sz w:val="14"/>
                <w:szCs w:val="14"/>
                <w:lang w:val="en-US" w:eastAsia="it-IT"/>
              </w:rPr>
              <w:t>ISBN</w:t>
            </w:r>
            <w:r w:rsidRPr="00C36232">
              <w:rPr>
                <w:rFonts w:ascii="Tahoma" w:hAnsi="Tahoma" w:cs="Tahoma"/>
                <w:iCs/>
                <w:color w:val="000000"/>
                <w:sz w:val="14"/>
                <w:szCs w:val="14"/>
                <w:lang w:val="en-US" w:eastAsia="it-IT"/>
              </w:rPr>
              <w:t xml:space="preserve"> </w:t>
            </w:r>
            <w:r w:rsidR="00D2582C" w:rsidRPr="00C36232">
              <w:rPr>
                <w:rFonts w:ascii="Tahoma" w:hAnsi="Tahoma" w:cs="Tahoma"/>
                <w:sz w:val="14"/>
                <w:szCs w:val="14"/>
                <w:lang w:val="en-US"/>
              </w:rPr>
              <w:t>979-12-81206-</w:t>
            </w:r>
            <w:r w:rsidR="00005884" w:rsidRPr="00C36232">
              <w:rPr>
                <w:rFonts w:ascii="Tahoma" w:hAnsi="Tahoma" w:cs="Tahoma"/>
                <w:sz w:val="14"/>
                <w:szCs w:val="14"/>
                <w:lang w:val="en-US"/>
              </w:rPr>
              <w:t>xx</w:t>
            </w:r>
            <w:r w:rsidR="009041F8" w:rsidRPr="00C36232">
              <w:rPr>
                <w:rFonts w:ascii="Tahoma" w:hAnsi="Tahoma" w:cs="Tahoma"/>
                <w:sz w:val="14"/>
                <w:szCs w:val="14"/>
                <w:lang w:val="en-US"/>
              </w:rPr>
              <w:t>-</w:t>
            </w:r>
            <w:r w:rsidR="00005884" w:rsidRPr="00C36232">
              <w:rPr>
                <w:rFonts w:ascii="Tahoma" w:hAnsi="Tahoma" w:cs="Tahoma"/>
                <w:sz w:val="14"/>
                <w:szCs w:val="14"/>
                <w:lang w:val="en-US"/>
              </w:rPr>
              <w:t>x</w:t>
            </w:r>
            <w:r w:rsidRPr="00C36232">
              <w:rPr>
                <w:rFonts w:ascii="Tahoma" w:hAnsi="Tahoma" w:cs="Tahoma"/>
                <w:iCs/>
                <w:color w:val="333333"/>
                <w:sz w:val="14"/>
                <w:szCs w:val="14"/>
                <w:lang w:val="en-US" w:eastAsia="it-IT"/>
              </w:rPr>
              <w:t xml:space="preserve">; </w:t>
            </w:r>
            <w:r w:rsidRPr="00C36232">
              <w:rPr>
                <w:rFonts w:ascii="Tahoma" w:hAnsi="Tahoma" w:cs="Tahoma"/>
                <w:b/>
                <w:iCs/>
                <w:color w:val="333333"/>
                <w:sz w:val="14"/>
                <w:szCs w:val="14"/>
                <w:lang w:val="en-US" w:eastAsia="it-IT"/>
              </w:rPr>
              <w:t>ISSN</w:t>
            </w:r>
            <w:r w:rsidRPr="00C36232">
              <w:rPr>
                <w:rFonts w:ascii="Tahoma" w:hAnsi="Tahoma" w:cs="Tahoma"/>
                <w:iCs/>
                <w:color w:val="333333"/>
                <w:sz w:val="14"/>
                <w:szCs w:val="14"/>
                <w:lang w:val="en-US" w:eastAsia="it-IT"/>
              </w:rPr>
              <w:t xml:space="preserve"> 2283-9216</w:t>
            </w:r>
          </w:p>
        </w:tc>
      </w:tr>
    </w:tbl>
    <w:bookmarkEnd w:id="0"/>
    <w:p w14:paraId="2E667253" w14:textId="647621AC" w:rsidR="00E978D0" w:rsidRPr="00C36232" w:rsidRDefault="00B2664B" w:rsidP="00E978D0">
      <w:pPr>
        <w:pStyle w:val="CETTitle"/>
        <w:rPr>
          <w:lang w:val="en-US"/>
        </w:rPr>
      </w:pPr>
      <w:r w:rsidRPr="00C36232">
        <w:rPr>
          <w:lang w:val="en-US"/>
        </w:rPr>
        <w:t>Spatially Resolved</w:t>
      </w:r>
      <w:r>
        <w:rPr>
          <w:lang w:val="en-US"/>
        </w:rPr>
        <w:t>,</w:t>
      </w:r>
      <w:r w:rsidRPr="00C36232">
        <w:rPr>
          <w:lang w:val="en-US"/>
        </w:rPr>
        <w:t xml:space="preserve"> </w:t>
      </w:r>
      <w:r w:rsidR="00E54BC0" w:rsidRPr="00C36232">
        <w:rPr>
          <w:lang w:val="en-US"/>
        </w:rPr>
        <w:t xml:space="preserve">Dynamic </w:t>
      </w:r>
      <w:r w:rsidR="00EF2546">
        <w:rPr>
          <w:lang w:val="en-US"/>
        </w:rPr>
        <w:t xml:space="preserve">Fixed-Bed Reactors </w:t>
      </w:r>
      <w:r w:rsidR="00E54BC0" w:rsidRPr="00C36232">
        <w:rPr>
          <w:lang w:val="en-US"/>
        </w:rPr>
        <w:t>at Industrially Relevant Loads</w:t>
      </w:r>
      <w:r w:rsidR="00EF2546">
        <w:rPr>
          <w:lang w:val="en-US"/>
        </w:rPr>
        <w:t xml:space="preserve"> for </w:t>
      </w:r>
      <w:r w:rsidR="00EF2546" w:rsidRPr="00C36232">
        <w:rPr>
          <w:lang w:val="en-US"/>
        </w:rPr>
        <w:t>CO</w:t>
      </w:r>
      <w:r w:rsidR="00EF2546" w:rsidRPr="00C36232">
        <w:rPr>
          <w:rFonts w:ascii="Cambria Math" w:hAnsi="Cambria Math" w:cs="Cambria Math"/>
          <w:lang w:val="en-US"/>
        </w:rPr>
        <w:t>₂</w:t>
      </w:r>
      <w:r w:rsidR="00EF2546" w:rsidRPr="00C36232">
        <w:rPr>
          <w:lang w:val="en-US"/>
        </w:rPr>
        <w:t xml:space="preserve"> Methanation</w:t>
      </w:r>
    </w:p>
    <w:p w14:paraId="0488FED2" w14:textId="616D5055" w:rsidR="00B57E6F" w:rsidRPr="00841337" w:rsidRDefault="002E63AA" w:rsidP="00B57E6F">
      <w:pPr>
        <w:pStyle w:val="CETAuthors"/>
        <w:rPr>
          <w:lang w:val="de-DE"/>
        </w:rPr>
      </w:pPr>
      <w:r w:rsidRPr="00841337">
        <w:rPr>
          <w:lang w:val="de-DE"/>
        </w:rPr>
        <w:t>Lukas Gottheil</w:t>
      </w:r>
      <w:r w:rsidR="00F85B41" w:rsidRPr="00F85B41">
        <w:rPr>
          <w:vertAlign w:val="superscript"/>
          <w:lang w:val="de-DE"/>
        </w:rPr>
        <w:t>a</w:t>
      </w:r>
      <w:r w:rsidRPr="00841337">
        <w:rPr>
          <w:lang w:val="de-DE"/>
        </w:rPr>
        <w:t>, Daniel Greiner</w:t>
      </w:r>
      <w:r w:rsidRPr="00841337">
        <w:rPr>
          <w:vertAlign w:val="superscript"/>
          <w:lang w:val="de-DE"/>
        </w:rPr>
        <w:t>a</w:t>
      </w:r>
      <w:r w:rsidRPr="00841337">
        <w:rPr>
          <w:lang w:val="de-DE"/>
        </w:rPr>
        <w:t>,</w:t>
      </w:r>
      <w:r w:rsidR="000A5942">
        <w:rPr>
          <w:lang w:val="de-DE"/>
        </w:rPr>
        <w:t xml:space="preserve"> </w:t>
      </w:r>
      <w:r w:rsidR="00F85B41">
        <w:rPr>
          <w:lang w:val="de-DE"/>
        </w:rPr>
        <w:t>Laura Hammerschmidt</w:t>
      </w:r>
      <w:r w:rsidR="00F85B41" w:rsidRPr="00F85B41">
        <w:rPr>
          <w:vertAlign w:val="superscript"/>
          <w:lang w:val="de-DE"/>
        </w:rPr>
        <w:t>b</w:t>
      </w:r>
      <w:r w:rsidR="000A5942" w:rsidRPr="000A5942">
        <w:rPr>
          <w:lang w:val="de-DE"/>
        </w:rPr>
        <w:t>,</w:t>
      </w:r>
      <w:r w:rsidR="000A5942">
        <w:rPr>
          <w:lang w:val="de-DE"/>
        </w:rPr>
        <w:t xml:space="preserve"> Steffen Schirrmeister</w:t>
      </w:r>
      <w:r w:rsidR="000A5942" w:rsidRPr="00F85B41">
        <w:rPr>
          <w:vertAlign w:val="superscript"/>
          <w:lang w:val="de-DE"/>
        </w:rPr>
        <w:t>b</w:t>
      </w:r>
      <w:r w:rsidR="0007614B">
        <w:rPr>
          <w:lang w:val="de-DE"/>
        </w:rPr>
        <w:t xml:space="preserve">, </w:t>
      </w:r>
      <w:r w:rsidRPr="00841337">
        <w:rPr>
          <w:lang w:val="de-DE"/>
        </w:rPr>
        <w:t>Jens Bremer</w:t>
      </w:r>
      <w:r w:rsidRPr="00841337">
        <w:rPr>
          <w:vertAlign w:val="superscript"/>
          <w:lang w:val="de-DE"/>
        </w:rPr>
        <w:t>a,</w:t>
      </w:r>
      <w:r w:rsidRPr="00841337">
        <w:rPr>
          <w:lang w:val="de-DE"/>
        </w:rPr>
        <w:t>*</w:t>
      </w:r>
    </w:p>
    <w:p w14:paraId="6B2D21B3" w14:textId="2ACB7190" w:rsidR="00B57E6F" w:rsidRDefault="00B57E6F" w:rsidP="00B57E6F">
      <w:pPr>
        <w:pStyle w:val="CETAddress"/>
        <w:rPr>
          <w:lang w:val="en-US"/>
        </w:rPr>
      </w:pPr>
      <w:r w:rsidRPr="00C36232">
        <w:rPr>
          <w:vertAlign w:val="superscript"/>
          <w:lang w:val="en-US"/>
        </w:rPr>
        <w:t>a</w:t>
      </w:r>
      <w:r w:rsidR="00E54BC0" w:rsidRPr="00C36232">
        <w:rPr>
          <w:lang w:val="en-US"/>
        </w:rPr>
        <w:t>Clausthal University of Technology, Institute of Chemical and Electrochemical Process Engineering, Leibnizstraße 17, 38678 Clausthal-Zellerfeld, Germany</w:t>
      </w:r>
      <w:r w:rsidRPr="00C36232">
        <w:rPr>
          <w:lang w:val="en-US"/>
        </w:rPr>
        <w:t xml:space="preserve"> </w:t>
      </w:r>
    </w:p>
    <w:p w14:paraId="2C97E0EA" w14:textId="1312CF4B" w:rsidR="00F85B41" w:rsidRPr="00F85B41" w:rsidRDefault="00F85B41" w:rsidP="00B57E6F">
      <w:pPr>
        <w:pStyle w:val="CETAddress"/>
        <w:rPr>
          <w:lang w:val="de-DE"/>
        </w:rPr>
      </w:pPr>
      <w:r w:rsidRPr="00F85B41">
        <w:rPr>
          <w:vertAlign w:val="superscript"/>
          <w:lang w:val="de-DE"/>
        </w:rPr>
        <w:t>b</w:t>
      </w:r>
      <w:r w:rsidRPr="00F85B41">
        <w:rPr>
          <w:lang w:val="de-DE"/>
        </w:rPr>
        <w:t>thyssenkrupp Uhde GmbH, Friedrich-Uhde-Straße 15, 44141 Dortmund, Germany</w:t>
      </w:r>
    </w:p>
    <w:p w14:paraId="73F1267A" w14:textId="01D9A7AA" w:rsidR="00B57E6F" w:rsidRPr="00C36232" w:rsidRDefault="000D33B9" w:rsidP="00B57E6F">
      <w:pPr>
        <w:pStyle w:val="CETemail"/>
        <w:rPr>
          <w:lang w:val="en-US"/>
        </w:rPr>
      </w:pPr>
      <w:r>
        <w:rPr>
          <w:lang w:val="en-US"/>
        </w:rPr>
        <w:t>*</w:t>
      </w:r>
      <w:r w:rsidR="002E63AA" w:rsidRPr="00C36232">
        <w:rPr>
          <w:lang w:val="en-US"/>
        </w:rPr>
        <w:t>bremer@icvt.tu-clausthal.de</w:t>
      </w:r>
    </w:p>
    <w:p w14:paraId="7B47E7F5" w14:textId="381F8EC5" w:rsidR="00841337" w:rsidRPr="00675D36" w:rsidRDefault="00841337" w:rsidP="00675D36">
      <w:r w:rsidRPr="002F3D95">
        <w:rPr>
          <w:rFonts w:cs="Arial"/>
        </w:rPr>
        <w:t>Due to the intermittent nature of renewable electricity, Power-to-X (</w:t>
      </w:r>
      <w:proofErr w:type="spellStart"/>
      <w:r w:rsidRPr="002F3D95">
        <w:rPr>
          <w:rFonts w:cs="Arial"/>
        </w:rPr>
        <w:t>PtX</w:t>
      </w:r>
      <w:proofErr w:type="spellEnd"/>
      <w:r w:rsidRPr="002F3D95">
        <w:rPr>
          <w:rFonts w:cs="Arial"/>
        </w:rPr>
        <w:t xml:space="preserve">) processes require reactor concepts that can operate safely and efficiently under steady-state and dynamic conditions. This work presents a modular </w:t>
      </w:r>
      <w:proofErr w:type="spellStart"/>
      <w:r w:rsidRPr="002F3D95">
        <w:rPr>
          <w:rFonts w:cs="Arial"/>
        </w:rPr>
        <w:t>PtX</w:t>
      </w:r>
      <w:proofErr w:type="spellEnd"/>
      <w:r w:rsidRPr="002F3D95">
        <w:rPr>
          <w:rFonts w:cs="Arial"/>
        </w:rPr>
        <w:t xml:space="preserve"> lab-pilot plant for heterogeneously catalyzed reactions and demonstrates its application to dynamic CO</w:t>
      </w:r>
      <w:r w:rsidRPr="002F3D95">
        <w:rPr>
          <w:rFonts w:cs="Arial"/>
          <w:vertAlign w:val="subscript"/>
        </w:rPr>
        <w:t xml:space="preserve">2 </w:t>
      </w:r>
      <w:r w:rsidRPr="002F3D95">
        <w:rPr>
          <w:rFonts w:cs="Arial"/>
        </w:rPr>
        <w:t>methanation in a</w:t>
      </w:r>
      <w:r w:rsidR="004C7DD2">
        <w:rPr>
          <w:rFonts w:cs="Arial"/>
        </w:rPr>
        <w:t xml:space="preserve"> </w:t>
      </w:r>
      <w:r w:rsidRPr="002F3D95">
        <w:rPr>
          <w:rFonts w:cs="Arial"/>
        </w:rPr>
        <w:t>wall-cooled fixed-bed. The setup enables operation at pressures of up to 100 bar(g) and total flow rates of up to 410 LN min</w:t>
      </w:r>
      <w:r w:rsidRPr="002F3D95">
        <w:rPr>
          <w:rFonts w:cs="Arial"/>
          <w:vertAlign w:val="superscript"/>
        </w:rPr>
        <w:t>-1</w:t>
      </w:r>
      <w:r w:rsidRPr="002F3D95">
        <w:rPr>
          <w:rFonts w:cs="Arial"/>
        </w:rPr>
        <w:t>, while the methanation experiments presented here were conducted at 12</w:t>
      </w:r>
      <w:r w:rsidR="00FD78D5">
        <w:rPr>
          <w:rFonts w:cs="Arial"/>
        </w:rPr>
        <w:t> </w:t>
      </w:r>
      <w:r w:rsidRPr="002F3D95">
        <w:rPr>
          <w:rFonts w:cs="Arial"/>
        </w:rPr>
        <w:t>bar(g) and flow rates of up to 210 LN min</w:t>
      </w:r>
      <w:r w:rsidRPr="002F3D95">
        <w:rPr>
          <w:rFonts w:cs="Arial"/>
          <w:vertAlign w:val="superscript"/>
        </w:rPr>
        <w:t>-1</w:t>
      </w:r>
      <w:r w:rsidRPr="002F3D95">
        <w:rPr>
          <w:rFonts w:cs="Arial"/>
        </w:rPr>
        <w:t>.</w:t>
      </w:r>
      <w:r>
        <w:rPr>
          <w:rFonts w:cs="Arial"/>
        </w:rPr>
        <w:t xml:space="preserve"> </w:t>
      </w:r>
      <w:r w:rsidRPr="002F3D95">
        <w:rPr>
          <w:rFonts w:cs="Arial"/>
        </w:rPr>
        <w:t>A key feature of the setup is the spatially resolved measurement of axial temperature profiles along the fixed-bed centerline and near the reactor wall using fiber-optic sensors with high spatial and temporal resolution. Stable operation was achieved over the investigated load range, including a load increase from 10 to 100 % within 10 min without exceeding the specified temperature limit. The measurements reveal a pronounced downstream displacement of the reaction zone during load increase and an asymmetric thermal response during feed-temperature perturbations, including</w:t>
      </w:r>
      <w:r w:rsidR="004C7DD2">
        <w:rPr>
          <w:rFonts w:cs="Arial"/>
        </w:rPr>
        <w:t xml:space="preserve"> </w:t>
      </w:r>
      <w:r w:rsidRPr="002F3D95">
        <w:rPr>
          <w:rFonts w:cs="Arial"/>
        </w:rPr>
        <w:t xml:space="preserve">wrong-way behavior. These results show that integral gas-phase data alone are insufficient to characterize the dynamic </w:t>
      </w:r>
      <w:r w:rsidRPr="002F2D49">
        <w:rPr>
          <w:rFonts w:cs="Arial"/>
        </w:rPr>
        <w:t xml:space="preserve">reactor state. </w:t>
      </w:r>
      <w:r w:rsidR="00675D36" w:rsidRPr="002F2D49">
        <w:rPr>
          <w:rFonts w:cs="Arial"/>
        </w:rPr>
        <w:t>To the best of our knowledge, this study is among the first to experimentally demonstrate highly load-flexible CO</w:t>
      </w:r>
      <w:r w:rsidR="002F2D49" w:rsidRPr="002F2D49">
        <w:rPr>
          <w:rFonts w:cs="Arial"/>
          <w:vertAlign w:val="subscript"/>
        </w:rPr>
        <w:t>2</w:t>
      </w:r>
      <w:r w:rsidR="00675D36" w:rsidRPr="002F2D49">
        <w:rPr>
          <w:rFonts w:cs="Arial"/>
        </w:rPr>
        <w:t xml:space="preserve"> methanation in a wall-cooled fixed-bed reactor at industrially relevant loads. </w:t>
      </w:r>
      <w:r w:rsidRPr="002F2D49">
        <w:rPr>
          <w:rFonts w:cs="Arial"/>
        </w:rPr>
        <w:t>The spatially resolved temperature profiles provide a</w:t>
      </w:r>
      <w:r w:rsidR="002C793D" w:rsidRPr="002F2D49">
        <w:rPr>
          <w:rFonts w:cs="Arial"/>
        </w:rPr>
        <w:t xml:space="preserve"> </w:t>
      </w:r>
      <w:r w:rsidRPr="002F2D49">
        <w:rPr>
          <w:rFonts w:cs="Arial"/>
        </w:rPr>
        <w:t xml:space="preserve">basis for subsequent model alignment and model-supported operation of load-flexible </w:t>
      </w:r>
      <w:proofErr w:type="spellStart"/>
      <w:r w:rsidRPr="002F2D49">
        <w:rPr>
          <w:rFonts w:cs="Arial"/>
        </w:rPr>
        <w:t>PtX</w:t>
      </w:r>
      <w:proofErr w:type="spellEnd"/>
      <w:r w:rsidRPr="002F2D49">
        <w:rPr>
          <w:rFonts w:cs="Arial"/>
        </w:rPr>
        <w:t xml:space="preserve"> reactors.</w:t>
      </w:r>
    </w:p>
    <w:p w14:paraId="6AA4F675" w14:textId="77777777" w:rsidR="00841337" w:rsidRPr="00B32A3E" w:rsidRDefault="00841337" w:rsidP="00841337">
      <w:pPr>
        <w:pStyle w:val="CETHeading1"/>
      </w:pPr>
      <w:r w:rsidRPr="00B32A3E">
        <w:t>Introduction</w:t>
      </w:r>
    </w:p>
    <w:p w14:paraId="558FE3C8" w14:textId="3FFCA511" w:rsidR="00841337" w:rsidRPr="00B32A3E" w:rsidRDefault="00841337" w:rsidP="00841337">
      <w:pPr>
        <w:pStyle w:val="CETBodytext"/>
      </w:pPr>
      <w:r w:rsidRPr="00B32A3E">
        <w:t>Power-to-X (</w:t>
      </w:r>
      <w:proofErr w:type="spellStart"/>
      <w:r w:rsidRPr="00B32A3E">
        <w:t>PtX</w:t>
      </w:r>
      <w:proofErr w:type="spellEnd"/>
      <w:r w:rsidRPr="00B32A3E">
        <w:t>) processes are a key route for coupling fluctuating renewable electricity with the chemical and energy sectors. Among these processes, the Power-to-Methane (</w:t>
      </w:r>
      <w:proofErr w:type="spellStart"/>
      <w:r w:rsidRPr="00B32A3E">
        <w:t>PtM</w:t>
      </w:r>
      <w:proofErr w:type="spellEnd"/>
      <w:r w:rsidRPr="00B32A3E">
        <w:t xml:space="preserve">) concept is particularly attractive because it produces synthetic methane that can be stored, transported, and used within the existing natural-gas infrastructure. In </w:t>
      </w:r>
      <w:proofErr w:type="spellStart"/>
      <w:r w:rsidRPr="00B32A3E">
        <w:t>PtM</w:t>
      </w:r>
      <w:proofErr w:type="spellEnd"/>
      <w:r w:rsidRPr="00B32A3E">
        <w:t xml:space="preserve"> processes, electrolytically produced green hydrogen reacts with carbon dioxide via catalytic CO</w:t>
      </w:r>
      <w:r w:rsidRPr="002F3D95">
        <w:rPr>
          <w:rFonts w:cs="Arial"/>
          <w:vertAlign w:val="subscript"/>
        </w:rPr>
        <w:t>2</w:t>
      </w:r>
      <w:r w:rsidRPr="00B32A3E">
        <w:t xml:space="preserve"> methanation according to Equation 1. However, the </w:t>
      </w:r>
      <w:r w:rsidRPr="00B32A3E">
        <w:rPr>
          <w:smallCaps/>
        </w:rPr>
        <w:t>Sabatier</w:t>
      </w:r>
      <w:r w:rsidRPr="00B32A3E">
        <w:t xml:space="preserve"> reaction is highly exothermic and therefore requires effective heat removal to prevent excessive catalyst temperatures and ensure safe operation. Wall-cooled fixed-bed reactors are particularly promising for high-throughput </w:t>
      </w:r>
      <w:proofErr w:type="spellStart"/>
      <w:r w:rsidRPr="00B32A3E">
        <w:t>PtM</w:t>
      </w:r>
      <w:proofErr w:type="spellEnd"/>
      <w:r w:rsidRPr="00B32A3E">
        <w:t xml:space="preserve"> applications because they combine continuous heat removal with the scalability of </w:t>
      </w:r>
      <w:proofErr w:type="spellStart"/>
      <w:r w:rsidRPr="00B32A3E">
        <w:t>multitubular</w:t>
      </w:r>
      <w:proofErr w:type="spellEnd"/>
      <w:r w:rsidRPr="00B32A3E">
        <w:t xml:space="preserve"> fixed-bed reactor designs. Their operation is nevertheless strongly affected by radial heat-transfer limitations, hot-spot formation, and the temperature sensitivity of catalyst activity and stability. These challenges become particularly relevant at elevated pressure, high gas throughputs, and during transitions between steady-state operating points induced by load</w:t>
      </w:r>
      <w:r w:rsidR="004C7DD2">
        <w:t xml:space="preserve"> </w:t>
      </w:r>
      <w:r w:rsidRPr="00B32A3E">
        <w:t xml:space="preserve">changes. Experimental data under such </w:t>
      </w:r>
      <w:r w:rsidRPr="00D93022">
        <w:t>industrially</w:t>
      </w:r>
      <w:r>
        <w:t xml:space="preserve"> </w:t>
      </w:r>
      <w:r w:rsidRPr="00B32A3E">
        <w:t>relevant conditions are essential because thermal loads, radial temperature gradients, and transient hot-spot movements cannot be reliably assessed from low-load experiments alone.</w:t>
      </w:r>
    </w:p>
    <w:tbl>
      <w:tblPr>
        <w:tblW w:w="8789" w:type="dxa"/>
        <w:tblLook w:val="04A0" w:firstRow="1" w:lastRow="0" w:firstColumn="1" w:lastColumn="0" w:noHBand="0" w:noVBand="1"/>
      </w:tblPr>
      <w:tblGrid>
        <w:gridCol w:w="6637"/>
        <w:gridCol w:w="2152"/>
      </w:tblGrid>
      <w:tr w:rsidR="00841337" w:rsidRPr="00B32A3E" w14:paraId="10C8ED3B" w14:textId="77777777" w:rsidTr="00D64568">
        <w:tc>
          <w:tcPr>
            <w:tcW w:w="6637" w:type="dxa"/>
            <w:shd w:val="clear" w:color="auto" w:fill="auto"/>
            <w:vAlign w:val="center"/>
          </w:tcPr>
          <w:p w14:paraId="0C226479" w14:textId="77777777" w:rsidR="00841337" w:rsidRPr="00B32A3E" w:rsidRDefault="00000000" w:rsidP="00D64568">
            <w:pPr>
              <w:pStyle w:val="Els-body-text"/>
              <w:spacing w:before="120" w:after="120" w:line="264" w:lineRule="auto"/>
              <w:jc w:val="left"/>
              <w:rPr>
                <w:iCs/>
              </w:rPr>
            </w:pPr>
            <m:oMath>
              <m:sSub>
                <m:sSubPr>
                  <m:ctrlPr>
                    <w:rPr>
                      <w:rFonts w:ascii="Cambria Math" w:hAnsi="Cambria Math"/>
                      <w:iCs/>
                    </w:rPr>
                  </m:ctrlPr>
                </m:sSubPr>
                <m:e>
                  <m:r>
                    <m:rPr>
                      <m:sty m:val="p"/>
                    </m:rPr>
                    <w:rPr>
                      <w:rFonts w:ascii="Cambria Math" w:hAnsi="Cambria Math"/>
                    </w:rPr>
                    <m:t>CO</m:t>
                  </m:r>
                </m:e>
                <m:sub>
                  <m:r>
                    <m:rPr>
                      <m:sty m:val="p"/>
                    </m:rPr>
                    <w:rPr>
                      <w:rFonts w:ascii="Cambria Math" w:hAnsi="Cambria Math"/>
                    </w:rPr>
                    <m:t>2</m:t>
                  </m:r>
                </m:sub>
              </m:sSub>
              <m:r>
                <m:rPr>
                  <m:sty m:val="p"/>
                </m:rPr>
                <w:rPr>
                  <w:rFonts w:ascii="Cambria Math" w:hAnsi="Cambria Math"/>
                </w:rPr>
                <m:t xml:space="preserve">+ </m:t>
              </m:r>
              <m:sSub>
                <m:sSubPr>
                  <m:ctrlPr>
                    <w:rPr>
                      <w:rFonts w:ascii="Cambria Math" w:hAnsi="Cambria Math"/>
                      <w:iCs/>
                    </w:rPr>
                  </m:ctrlPr>
                </m:sSubPr>
                <m:e>
                  <m:r>
                    <m:rPr>
                      <m:sty m:val="p"/>
                    </m:rPr>
                    <w:rPr>
                      <w:rFonts w:ascii="Cambria Math" w:hAnsi="Cambria Math"/>
                    </w:rPr>
                    <m:t>4 H</m:t>
                  </m:r>
                </m:e>
                <m:sub>
                  <m:r>
                    <m:rPr>
                      <m:sty m:val="p"/>
                    </m:rPr>
                    <w:rPr>
                      <w:rFonts w:ascii="Cambria Math" w:hAnsi="Cambria Math"/>
                    </w:rPr>
                    <m:t>2</m:t>
                  </m:r>
                </m:sub>
              </m:sSub>
              <m:r>
                <m:rPr>
                  <m:sty m:val="p"/>
                </m:rPr>
                <w:rPr>
                  <w:rFonts w:ascii="Cambria Math" w:hAnsi="Cambria Math"/>
                </w:rPr>
                <m:t xml:space="preserve"> ⇋ </m:t>
              </m:r>
              <m:sSub>
                <m:sSubPr>
                  <m:ctrlPr>
                    <w:rPr>
                      <w:rFonts w:ascii="Cambria Math" w:hAnsi="Cambria Math"/>
                      <w:iCs/>
                    </w:rPr>
                  </m:ctrlPr>
                </m:sSubPr>
                <m:e>
                  <m:r>
                    <m:rPr>
                      <m:sty m:val="p"/>
                    </m:rPr>
                    <w:rPr>
                      <w:rFonts w:ascii="Cambria Math" w:hAnsi="Cambria Math"/>
                    </w:rPr>
                    <m:t>CH</m:t>
                  </m:r>
                </m:e>
                <m:sub>
                  <m:r>
                    <m:rPr>
                      <m:sty m:val="p"/>
                    </m:rPr>
                    <w:rPr>
                      <w:rFonts w:ascii="Cambria Math" w:hAnsi="Cambria Math"/>
                    </w:rPr>
                    <m:t>4</m:t>
                  </m:r>
                </m:sub>
              </m:sSub>
              <m:r>
                <m:rPr>
                  <m:sty m:val="p"/>
                </m:rPr>
                <w:rPr>
                  <w:rFonts w:ascii="Cambria Math" w:hAnsi="Cambria Math"/>
                </w:rPr>
                <m:t xml:space="preserve">+2 </m:t>
              </m:r>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 xml:space="preserve">O          </m:t>
              </m:r>
              <m:r>
                <w:rPr>
                  <w:rFonts w:ascii="Cambria Math" w:hAnsi="Cambria Math"/>
                </w:rPr>
                <m:t xml:space="preserve">|  </m:t>
              </m:r>
              <m:sSub>
                <m:sSubPr>
                  <m:ctrlPr>
                    <w:rPr>
                      <w:rFonts w:ascii="Cambria Math" w:hAnsi="Cambria Math"/>
                      <w:i/>
                      <w:iCs/>
                    </w:rPr>
                  </m:ctrlPr>
                </m:sSubPr>
                <m:e>
                  <m:r>
                    <w:rPr>
                      <w:rFonts w:ascii="Cambria Math" w:hAnsi="Cambria Math"/>
                    </w:rPr>
                    <m:t>∆</m:t>
                  </m:r>
                </m:e>
                <m:sub>
                  <m:r>
                    <m:rPr>
                      <m:sty m:val="p"/>
                    </m:rPr>
                    <w:rPr>
                      <w:rFonts w:ascii="Cambria Math" w:hAnsi="Cambria Math"/>
                    </w:rPr>
                    <m:t>R</m:t>
                  </m:r>
                </m:sub>
              </m:sSub>
              <m:sSup>
                <m:sSupPr>
                  <m:ctrlPr>
                    <w:rPr>
                      <w:rFonts w:ascii="Cambria Math" w:hAnsi="Cambria Math"/>
                      <w:i/>
                      <w:iCs/>
                    </w:rPr>
                  </m:ctrlPr>
                </m:sSupPr>
                <m:e>
                  <m:r>
                    <w:rPr>
                      <w:rFonts w:ascii="Cambria Math" w:hAnsi="Cambria Math"/>
                    </w:rPr>
                    <m:t>h</m:t>
                  </m:r>
                </m:e>
                <m:sup>
                  <m:r>
                    <w:rPr>
                      <w:rFonts w:ascii="Cambria Math" w:hAnsi="Cambria Math"/>
                    </w:rPr>
                    <m:t>0</m:t>
                  </m:r>
                </m:sup>
              </m:sSup>
              <m:r>
                <w:rPr>
                  <w:rFonts w:ascii="Cambria Math" w:hAnsi="Cambria Math"/>
                </w:rPr>
                <m:t xml:space="preserve"> = -164.9 </m:t>
              </m:r>
              <m:r>
                <m:rPr>
                  <m:sty m:val="p"/>
                </m:rPr>
                <w:rPr>
                  <w:rFonts w:ascii="Cambria Math" w:hAnsi="Cambria Math"/>
                </w:rPr>
                <m:t xml:space="preserve">kJ </m:t>
              </m:r>
              <m:sSubSup>
                <m:sSubSupPr>
                  <m:ctrlPr>
                    <w:rPr>
                      <w:rFonts w:ascii="Cambria Math" w:hAnsi="Cambria Math"/>
                    </w:rPr>
                  </m:ctrlPr>
                </m:sSubSupPr>
                <m:e>
                  <m:r>
                    <m:rPr>
                      <m:sty m:val="p"/>
                    </m:rPr>
                    <w:rPr>
                      <w:rFonts w:ascii="Cambria Math" w:hAnsi="Cambria Math"/>
                    </w:rPr>
                    <m:t>mol</m:t>
                  </m:r>
                </m:e>
                <m:sub>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sub>
                <m:sup>
                  <m:r>
                    <m:rPr>
                      <m:sty m:val="p"/>
                    </m:rPr>
                    <w:rPr>
                      <w:rFonts w:ascii="Cambria Math" w:hAnsi="Cambria Math"/>
                    </w:rPr>
                    <m:t>-1</m:t>
                  </m:r>
                </m:sup>
              </m:sSubSup>
              <m:r>
                <w:rPr>
                  <w:rFonts w:ascii="Cambria Math" w:hAnsi="Cambria Math"/>
                </w:rPr>
                <m:t xml:space="preserve">        </m:t>
              </m:r>
            </m:oMath>
            <w:r w:rsidR="00841337" w:rsidRPr="00B32A3E">
              <w:rPr>
                <w:iCs/>
              </w:rPr>
              <w:t xml:space="preserve"> </w:t>
            </w:r>
          </w:p>
        </w:tc>
        <w:tc>
          <w:tcPr>
            <w:tcW w:w="2152" w:type="dxa"/>
            <w:shd w:val="clear" w:color="auto" w:fill="auto"/>
            <w:vAlign w:val="center"/>
          </w:tcPr>
          <w:p w14:paraId="1E753041" w14:textId="77777777" w:rsidR="00841337" w:rsidRPr="00B32A3E" w:rsidRDefault="00841337" w:rsidP="00D64568">
            <w:pPr>
              <w:pStyle w:val="Els-body-text"/>
              <w:spacing w:before="120" w:after="120" w:line="264" w:lineRule="auto"/>
              <w:jc w:val="right"/>
            </w:pPr>
            <w:r w:rsidRPr="00B32A3E">
              <w:t>(1)</w:t>
            </w:r>
          </w:p>
        </w:tc>
      </w:tr>
    </w:tbl>
    <w:p w14:paraId="38070EA7" w14:textId="77777777" w:rsidR="00841337" w:rsidRPr="00B32A3E" w:rsidRDefault="00841337" w:rsidP="00841337">
      <w:pPr>
        <w:pStyle w:val="CETBodytext"/>
      </w:pPr>
      <w:r w:rsidRPr="00B32A3E">
        <w:t>Several studies have investigated cooled fixed-bed reactors for CO</w:t>
      </w:r>
      <w:r w:rsidRPr="002F3D95">
        <w:rPr>
          <w:rFonts w:cs="Arial"/>
          <w:vertAlign w:val="subscript"/>
        </w:rPr>
        <w:t>2</w:t>
      </w:r>
      <w:r w:rsidRPr="00B32A3E">
        <w:t xml:space="preserve">, </w:t>
      </w:r>
      <w:r>
        <w:t>CO</w:t>
      </w:r>
      <w:r w:rsidRPr="00B32A3E">
        <w:t>/CO</w:t>
      </w:r>
      <w:r w:rsidRPr="002F3D95">
        <w:rPr>
          <w:rFonts w:cs="Arial"/>
          <w:vertAlign w:val="subscript"/>
        </w:rPr>
        <w:t>2</w:t>
      </w:r>
      <w:r w:rsidRPr="00B32A3E">
        <w:t xml:space="preserve">, or biogas methanation under technically relevant operating conditions, although the applied load ranges differ considerably. A meaningful comparison therefore requires distinguishing between reactor-specific load and processing scale: the gas hourly </w:t>
      </w:r>
      <w:r w:rsidRPr="00B32A3E">
        <w:lastRenderedPageBreak/>
        <w:t>space velocity (GHSV) relates the feed flow to the catalyst-bed volume, whereas the absolute flow rate indicates</w:t>
      </w:r>
      <w:r>
        <w:t xml:space="preserve"> </w:t>
      </w:r>
      <w:r w:rsidRPr="002F3D95">
        <w:rPr>
          <w:rFonts w:cs="Arial"/>
        </w:rPr>
        <w:t xml:space="preserve">the actual processing scale. </w:t>
      </w:r>
      <w:proofErr w:type="spellStart"/>
      <w:r w:rsidRPr="002F3D95">
        <w:rPr>
          <w:rFonts w:cs="Arial"/>
        </w:rPr>
        <w:t>Dannesboe</w:t>
      </w:r>
      <w:proofErr w:type="spellEnd"/>
      <w:r w:rsidRPr="002F3D95">
        <w:rPr>
          <w:rFonts w:cs="Arial"/>
        </w:rPr>
        <w:t xml:space="preserve"> et al. (2020) operated a full-scale, two-pass, boiling-water-cooled fixed-bed reactor for direct biogas methanation for 1,000 h at 20 </w:t>
      </w:r>
      <w:proofErr w:type="gramStart"/>
      <w:r w:rsidRPr="002F3D95">
        <w:rPr>
          <w:rFonts w:cs="Arial"/>
        </w:rPr>
        <w:t>bar</w:t>
      </w:r>
      <w:proofErr w:type="gramEnd"/>
      <w:r w:rsidRPr="002F3D95">
        <w:rPr>
          <w:rFonts w:cs="Arial"/>
        </w:rPr>
        <w:t>(g), using total feed flows of 13–25.6 Nm</w:t>
      </w:r>
      <w:r w:rsidRPr="002F3D95">
        <w:rPr>
          <w:rFonts w:cs="Arial"/>
          <w:vertAlign w:val="superscript"/>
        </w:rPr>
        <w:t>3</w:t>
      </w:r>
      <w:r w:rsidRPr="002F3D95">
        <w:rPr>
          <w:rFonts w:cs="Arial"/>
        </w:rPr>
        <w:t xml:space="preserve"> h</w:t>
      </w:r>
      <w:r w:rsidRPr="002F3D95">
        <w:rPr>
          <w:rFonts w:cs="Arial"/>
          <w:vertAlign w:val="superscript"/>
        </w:rPr>
        <w:t>-1</w:t>
      </w:r>
      <w:r w:rsidRPr="002F3D95">
        <w:rPr>
          <w:rFonts w:cs="Arial"/>
        </w:rPr>
        <w:t>, corresponding to approximately 217–427 LN min</w:t>
      </w:r>
      <w:r w:rsidRPr="002F3D95">
        <w:rPr>
          <w:rFonts w:cs="Arial"/>
          <w:vertAlign w:val="superscript"/>
        </w:rPr>
        <w:t>-1</w:t>
      </w:r>
      <w:r w:rsidRPr="002F3D95">
        <w:rPr>
          <w:rFonts w:cs="Arial"/>
        </w:rPr>
        <w:t xml:space="preserve">. The study therefore provides important long-term evidence that wall-cooled fixed-bed reactors can handle high absolute gas throughputs without measurable catalyst deactivation or carbon-induced loss of activity. However, the proprietary reactor dimensions prevent a detailed assessment of the reactor design and the corresponding reactor-specific load. </w:t>
      </w:r>
      <w:proofErr w:type="spellStart"/>
      <w:r w:rsidRPr="002F3D95">
        <w:rPr>
          <w:rFonts w:cs="Arial"/>
        </w:rPr>
        <w:t>Krammer</w:t>
      </w:r>
      <w:proofErr w:type="spellEnd"/>
      <w:r w:rsidRPr="002F3D95">
        <w:rPr>
          <w:rFonts w:cs="Arial"/>
        </w:rPr>
        <w:t xml:space="preserve"> et al. (2024) investigated CO/CO</w:t>
      </w:r>
      <w:r w:rsidRPr="002F3D95">
        <w:rPr>
          <w:rFonts w:cs="Arial"/>
          <w:vertAlign w:val="subscript"/>
        </w:rPr>
        <w:t>2</w:t>
      </w:r>
      <w:r w:rsidRPr="002F3D95">
        <w:rPr>
          <w:rFonts w:cs="Arial"/>
        </w:rPr>
        <w:t xml:space="preserve"> methanation in naturally cooled and thermal-oil-cooled reactor tubes with an inner diameter of 14 mm at GHSV values of up to 29,000 h</w:t>
      </w:r>
      <w:r w:rsidRPr="002F3D95">
        <w:rPr>
          <w:rFonts w:cs="Arial"/>
          <w:vertAlign w:val="superscript"/>
        </w:rPr>
        <w:t>-1</w:t>
      </w:r>
      <w:r w:rsidRPr="002F3D95">
        <w:rPr>
          <w:rFonts w:cs="Arial"/>
        </w:rPr>
        <w:t xml:space="preserve"> and pressures of up to 6 bar. Their results show that active cooling and small tube diameters are essential for limiting catalyst temperatures at high loads. Small tube diameters improve radial heat removal but result in low reactor-to-particle diameter ratios, which may cause non-ideal flow behavior. However, the high GHSV values were achieved in laboratory-scale single tubes at comparatively low absolute flow rates. Herrmann et al. (2022) analyzed the operating window and steady-state flexibility of a laboratory-scale, two-stage methanation plant comprising 19 oil-cooled reactor tubes with an inner diameter of 14 mm, followed by an adiabatic reactor. A broad steady-state operating window was demonstrated at 13 bar and GHSV values of up to 4,000 h</w:t>
      </w:r>
      <w:r w:rsidRPr="002F3D95">
        <w:rPr>
          <w:rFonts w:cs="Arial"/>
          <w:vertAlign w:val="superscript"/>
        </w:rPr>
        <w:t>-1</w:t>
      </w:r>
      <w:r w:rsidRPr="002F3D95">
        <w:rPr>
          <w:rFonts w:cs="Arial"/>
        </w:rPr>
        <w:t xml:space="preserve">, making the study particularly relevant for integrated flexible plant operation, although at distinctly lower space velocities than those investigated by </w:t>
      </w:r>
      <w:proofErr w:type="spellStart"/>
      <w:r w:rsidRPr="002F3D95">
        <w:rPr>
          <w:rFonts w:cs="Arial"/>
        </w:rPr>
        <w:t>Krammer</w:t>
      </w:r>
      <w:proofErr w:type="spellEnd"/>
      <w:r w:rsidRPr="002F3D95">
        <w:rPr>
          <w:rFonts w:cs="Arial"/>
        </w:rPr>
        <w:t xml:space="preserve"> et al. (2024). Overall, these studies confirm the suitability of wall-cooled fixed-bed reactors for high-load methanation, while experiments combining high absolute gas throughput and high GHSV remain scarce.</w:t>
      </w:r>
    </w:p>
    <w:p w14:paraId="5953DFA9" w14:textId="77777777" w:rsidR="006C274F" w:rsidRDefault="00841337" w:rsidP="00841337">
      <w:pPr>
        <w:pStyle w:val="CETBodytext"/>
        <w:rPr>
          <w:rFonts w:cs="Arial"/>
        </w:rPr>
      </w:pPr>
      <w:r w:rsidRPr="002F3D95">
        <w:rPr>
          <w:rFonts w:cs="Arial"/>
        </w:rPr>
        <w:t>Dynamic operation adds a further level of complexity. Load</w:t>
      </w:r>
      <w:r w:rsidR="004C7DD2">
        <w:rPr>
          <w:rFonts w:cs="Arial"/>
        </w:rPr>
        <w:t xml:space="preserve"> </w:t>
      </w:r>
      <w:r w:rsidRPr="002F3D95">
        <w:rPr>
          <w:rFonts w:cs="Arial"/>
        </w:rPr>
        <w:t xml:space="preserve">changes, feed-temperature variations, or cooling perturbations can induce delayed thermal responses, moving reaction zones, and non-intuitive temperature excursions. Accordingly, experimental dynamic studies remain scarce. </w:t>
      </w:r>
      <w:proofErr w:type="spellStart"/>
      <w:r w:rsidRPr="002F3D95">
        <w:rPr>
          <w:rFonts w:cs="Arial"/>
        </w:rPr>
        <w:t>Tauer</w:t>
      </w:r>
      <w:proofErr w:type="spellEnd"/>
      <w:r w:rsidRPr="002F3D95">
        <w:rPr>
          <w:rFonts w:cs="Arial"/>
        </w:rPr>
        <w:t xml:space="preserve"> et al. (2019) investigated flow-rate step changes from 7.5 to 60 L h</w:t>
      </w:r>
      <w:r w:rsidRPr="002F3D95">
        <w:rPr>
          <w:rFonts w:cs="Arial"/>
          <w:vertAlign w:val="superscript"/>
        </w:rPr>
        <w:t>-1</w:t>
      </w:r>
      <w:r w:rsidRPr="002F3D95">
        <w:rPr>
          <w:rFonts w:cs="Arial"/>
        </w:rPr>
        <w:t xml:space="preserve"> (STP), corresponding to only 0.125–1.0 LN min</w:t>
      </w:r>
      <w:r w:rsidRPr="002F3D95">
        <w:rPr>
          <w:rFonts w:cs="Arial"/>
          <w:vertAlign w:val="superscript"/>
        </w:rPr>
        <w:t>-1</w:t>
      </w:r>
      <w:r w:rsidRPr="002F3D95">
        <w:rPr>
          <w:rFonts w:cs="Arial"/>
        </w:rPr>
        <w:t>, in a wall-cooled fixed-bed reactor at 1 bar. The experiments revealed pronounced wrong-way behavior during the flow-rate transitions. Fischer et al. (2019) compared reactor models for dynamic CO</w:t>
      </w:r>
      <w:r w:rsidRPr="002F3D95">
        <w:rPr>
          <w:rFonts w:cs="Arial"/>
          <w:vertAlign w:val="subscript"/>
        </w:rPr>
        <w:t>2</w:t>
      </w:r>
      <w:r w:rsidRPr="002F3D95">
        <w:rPr>
          <w:rFonts w:cs="Arial"/>
        </w:rPr>
        <w:t xml:space="preserve"> methanation in a wall-cooled fixed-bed reactor and showed that the chosen model structure strongly affects the predicted transient behavior; however, such model comparisons are typically tied to laboratory-scale dynamic data rather than high-throughput pilot experiments. Bremer (2020) investigated advanced operating strategies for wall-cooled fixed-bed reactors using a dynamic two-dimensional model for CO</w:t>
      </w:r>
      <w:r w:rsidRPr="002F3D95">
        <w:rPr>
          <w:rFonts w:cs="Arial"/>
          <w:vertAlign w:val="subscript"/>
        </w:rPr>
        <w:t>2</w:t>
      </w:r>
      <w:r w:rsidRPr="002F3D95">
        <w:rPr>
          <w:rFonts w:cs="Arial"/>
        </w:rPr>
        <w:t xml:space="preserve"> methanation. In addition, spatially resolved temperature measurements were conducted in an industrial-scale single-tube reactor with an inner diameter of 20 mm and a catalyst-bed length of 2 m. The reactor was operated at feed flows of up to 35 LN min</w:t>
      </w:r>
      <w:r w:rsidRPr="002F3D95">
        <w:rPr>
          <w:rFonts w:cs="Arial"/>
          <w:vertAlign w:val="superscript"/>
        </w:rPr>
        <w:t>-1</w:t>
      </w:r>
      <w:r w:rsidRPr="002F3D95">
        <w:rPr>
          <w:rFonts w:cs="Arial"/>
        </w:rPr>
        <w:t>, corresponding to a GHSV of approximately 3,340 h</w:t>
      </w:r>
      <w:r w:rsidRPr="002F3D95">
        <w:rPr>
          <w:rFonts w:cs="Arial"/>
          <w:vertAlign w:val="superscript"/>
        </w:rPr>
        <w:t>-1</w:t>
      </w:r>
      <w:r w:rsidRPr="002F3D95">
        <w:rPr>
          <w:rFonts w:cs="Arial"/>
        </w:rPr>
        <w:t>. Distributed fiber-optic temperature sensing (DTS) provided detailed axial temperature profiles along the reactor centerline. Such measurements are particularly important because the internal temperature field is highly sensitive to heat release, heat removal, flow distribution, and reaction-front movement. These data also support the interpretation of non-intuitive thermal responses during cooling perturbations, including wrong-way behavior. However, the experiments were explicitly intended as an initial basis for model validation and calibration and focused on selected perturbations rather than systematic high-load operation. Higher loads, systematic load</w:t>
      </w:r>
      <w:r w:rsidR="004C7DD2">
        <w:rPr>
          <w:rFonts w:cs="Arial"/>
        </w:rPr>
        <w:t xml:space="preserve"> </w:t>
      </w:r>
      <w:r w:rsidRPr="002F3D95">
        <w:rPr>
          <w:rFonts w:cs="Arial"/>
        </w:rPr>
        <w:t>changes, and extended dynamic experiments therefore remained open experimental steps. Spatially and temporally resolved high-load pilot data are thus essential not only for robust model assessment, but also for developing a mechanistic understanding of the thermal behavior of wall-cooled fixed-bed reactors under dynamic high-load operation and application-oriented methanation conditions.</w:t>
      </w:r>
    </w:p>
    <w:p w14:paraId="0EF21684" w14:textId="121561C1" w:rsidR="00841337" w:rsidRDefault="00841337" w:rsidP="00841337">
      <w:pPr>
        <w:pStyle w:val="CETBodytext"/>
        <w:rPr>
          <w:rFonts w:cs="Arial"/>
        </w:rPr>
      </w:pPr>
      <w:r w:rsidRPr="002F3D95">
        <w:rPr>
          <w:rFonts w:cs="Arial"/>
        </w:rPr>
        <w:t>The present work addresses this gap by investigating CO</w:t>
      </w:r>
      <w:r w:rsidRPr="002F3D95">
        <w:rPr>
          <w:rFonts w:cs="Arial"/>
          <w:vertAlign w:val="subscript"/>
        </w:rPr>
        <w:t>2</w:t>
      </w:r>
      <w:r w:rsidRPr="002F3D95">
        <w:rPr>
          <w:rFonts w:cs="Arial"/>
        </w:rPr>
        <w:t xml:space="preserve"> methanation in a modular </w:t>
      </w:r>
      <w:proofErr w:type="spellStart"/>
      <w:r w:rsidRPr="002F3D95">
        <w:rPr>
          <w:rFonts w:cs="Arial"/>
        </w:rPr>
        <w:t>PtX</w:t>
      </w:r>
      <w:proofErr w:type="spellEnd"/>
      <w:r w:rsidRPr="002F3D95">
        <w:rPr>
          <w:rFonts w:cs="Arial"/>
        </w:rPr>
        <w:t xml:space="preserve"> lab-pilot plant under industrially relevant loads. </w:t>
      </w:r>
      <w:r w:rsidR="00240B0B" w:rsidRPr="00240B0B">
        <w:rPr>
          <w:rFonts w:cs="Arial"/>
          <w:lang w:val="en-GB"/>
        </w:rPr>
        <w:t xml:space="preserve">The broader </w:t>
      </w:r>
      <w:r w:rsidR="00240B0B">
        <w:rPr>
          <w:rFonts w:cs="Arial"/>
          <w:lang w:val="en-GB"/>
        </w:rPr>
        <w:t xml:space="preserve">experimental </w:t>
      </w:r>
      <w:r w:rsidR="00240B0B" w:rsidRPr="00240B0B">
        <w:rPr>
          <w:rFonts w:cs="Arial"/>
          <w:lang w:val="en-GB"/>
        </w:rPr>
        <w:t>campaign covered pressures of 5–15 bar(g), while the experiments presented here were conducted at 12 bar(g) and feed flow rates of 21–210 LN min</w:t>
      </w:r>
      <w:r w:rsidR="00240B0B" w:rsidRPr="00240B0B">
        <w:rPr>
          <w:rFonts w:ascii="Cambria Math" w:hAnsi="Cambria Math" w:cs="Cambria Math"/>
          <w:lang w:val="en-GB"/>
        </w:rPr>
        <w:t>⁻</w:t>
      </w:r>
      <w:r w:rsidR="00240B0B" w:rsidRPr="00240B0B">
        <w:rPr>
          <w:rFonts w:cs="Arial"/>
          <w:lang w:val="en-GB"/>
        </w:rPr>
        <w:t>¹, corresponding to GHSV values of up to 17,000 h</w:t>
      </w:r>
      <w:r w:rsidR="00240B0B" w:rsidRPr="00240B0B">
        <w:rPr>
          <w:rFonts w:ascii="Cambria Math" w:hAnsi="Cambria Math" w:cs="Cambria Math"/>
          <w:lang w:val="en-GB"/>
        </w:rPr>
        <w:t>⁻</w:t>
      </w:r>
      <w:r w:rsidR="00240B0B" w:rsidRPr="00240B0B">
        <w:rPr>
          <w:rFonts w:cs="Arial"/>
          <w:lang w:val="en-GB"/>
        </w:rPr>
        <w:t xml:space="preserve">¹. </w:t>
      </w:r>
      <w:r w:rsidRPr="002F3D95">
        <w:rPr>
          <w:rFonts w:cs="Arial"/>
        </w:rPr>
        <w:t xml:space="preserve">In terms of absolute gas throughput, this operating range is comparable to the lower full-scale feed-flow case reported by </w:t>
      </w:r>
      <w:proofErr w:type="spellStart"/>
      <w:r w:rsidRPr="002F3D95">
        <w:rPr>
          <w:rFonts w:cs="Arial"/>
        </w:rPr>
        <w:t>Dannesboe</w:t>
      </w:r>
      <w:proofErr w:type="spellEnd"/>
      <w:r w:rsidRPr="002F3D95">
        <w:rPr>
          <w:rFonts w:cs="Arial"/>
        </w:rPr>
        <w:t xml:space="preserve"> et al. (2020) and approaches the high-capacity GHSV range investigated by </w:t>
      </w:r>
      <w:proofErr w:type="spellStart"/>
      <w:r w:rsidRPr="002F3D95">
        <w:rPr>
          <w:rFonts w:cs="Arial"/>
        </w:rPr>
        <w:t>Krammer</w:t>
      </w:r>
      <w:proofErr w:type="spellEnd"/>
      <w:r w:rsidRPr="002F3D95">
        <w:rPr>
          <w:rFonts w:cs="Arial"/>
        </w:rPr>
        <w:t xml:space="preserve"> et al. (2024). Two fiber-optic temperature sensors are installed along the reactor axis, one at the fixed-bed centerline and one near the reactor wall, providing spatially and temporally resolved axial temperature profiles. The experiments comprise steady-state operating points and transient perturbations, including load</w:t>
      </w:r>
      <w:r w:rsidR="004C7DD2">
        <w:rPr>
          <w:rFonts w:cs="Arial"/>
        </w:rPr>
        <w:t xml:space="preserve"> </w:t>
      </w:r>
      <w:r w:rsidRPr="002F3D95">
        <w:rPr>
          <w:rFonts w:cs="Arial"/>
        </w:rPr>
        <w:t xml:space="preserve">changes and </w:t>
      </w:r>
      <w:r w:rsidR="002907A4">
        <w:rPr>
          <w:rFonts w:cs="Arial"/>
        </w:rPr>
        <w:t>f</w:t>
      </w:r>
      <w:r w:rsidRPr="002F3D95">
        <w:rPr>
          <w:rFonts w:cs="Arial"/>
        </w:rPr>
        <w:t>eed</w:t>
      </w:r>
      <w:r w:rsidR="002907A4">
        <w:rPr>
          <w:rFonts w:cs="Arial"/>
        </w:rPr>
        <w:t>-temperature variations</w:t>
      </w:r>
      <w:r w:rsidRPr="002F3D95">
        <w:rPr>
          <w:rFonts w:cs="Arial"/>
        </w:rPr>
        <w:t>. The resulting temperature and gas-composition data are not intended for comprehensive dynamic model validation within this contribution. Instead, they establish a structured experimental basis for comparison with computationally efficient reactor models and for assessing how high-resolution pilot-plant data can support subsequent model alignment and validation.</w:t>
      </w:r>
    </w:p>
    <w:p w14:paraId="785684E4" w14:textId="77777777" w:rsidR="00841337" w:rsidRPr="008940A0" w:rsidRDefault="00841337" w:rsidP="00841337">
      <w:pPr>
        <w:pStyle w:val="CETHeading1"/>
      </w:pPr>
      <w:r w:rsidRPr="008940A0">
        <w:t xml:space="preserve">Methodology </w:t>
      </w:r>
    </w:p>
    <w:p w14:paraId="7D9945AA" w14:textId="77777777" w:rsidR="00841337" w:rsidRDefault="00841337" w:rsidP="00841337">
      <w:pPr>
        <w:pStyle w:val="CETBodytext"/>
        <w:rPr>
          <w:rFonts w:cs="Arial"/>
        </w:rPr>
      </w:pPr>
      <w:r w:rsidRPr="002F3D95">
        <w:rPr>
          <w:rFonts w:cs="Arial"/>
        </w:rPr>
        <w:t xml:space="preserve">The experiments were conducted in a modular </w:t>
      </w:r>
      <w:proofErr w:type="spellStart"/>
      <w:r w:rsidRPr="002F3D95">
        <w:rPr>
          <w:rFonts w:cs="Arial"/>
        </w:rPr>
        <w:t>PtX</w:t>
      </w:r>
      <w:proofErr w:type="spellEnd"/>
      <w:r w:rsidRPr="002F3D95">
        <w:rPr>
          <w:rFonts w:cs="Arial"/>
        </w:rPr>
        <w:t xml:space="preserve"> lab-pilot plant designed for heterogeneously catalyzed gas-phase reactions under industrially relevant operating conditions. The plant operates at pressures of up to 100 bar(g) and total feed flow rates up to 410 LN min</w:t>
      </w:r>
      <w:r w:rsidRPr="002F3D95">
        <w:rPr>
          <w:rFonts w:cs="Arial"/>
          <w:vertAlign w:val="superscript"/>
        </w:rPr>
        <w:t>-1</w:t>
      </w:r>
      <w:r w:rsidRPr="002F3D95">
        <w:rPr>
          <w:rFonts w:cs="Arial"/>
        </w:rPr>
        <w:t>. Its modular reactor section enables the investigation of</w:t>
      </w:r>
    </w:p>
    <w:p w14:paraId="7597E32B" w14:textId="496BC76D" w:rsidR="00A30906" w:rsidRDefault="009E02C2" w:rsidP="00A30906">
      <w:pPr>
        <w:pStyle w:val="CETCaption"/>
        <w:keepNext/>
        <w:jc w:val="center"/>
      </w:pPr>
      <w:r>
        <w:rPr>
          <w:noProof/>
        </w:rPr>
        <w:lastRenderedPageBreak/>
        <w:drawing>
          <wp:inline distT="0" distB="0" distL="0" distR="0" wp14:anchorId="46CE6F33" wp14:editId="35CF664B">
            <wp:extent cx="4826728" cy="3681663"/>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0"/>
                    <a:stretch>
                      <a:fillRect/>
                    </a:stretch>
                  </pic:blipFill>
                  <pic:spPr>
                    <a:xfrm>
                      <a:off x="0" y="0"/>
                      <a:ext cx="4846825" cy="3696992"/>
                    </a:xfrm>
                    <a:prstGeom prst="rect">
                      <a:avLst/>
                    </a:prstGeom>
                  </pic:spPr>
                </pic:pic>
              </a:graphicData>
            </a:graphic>
          </wp:inline>
        </w:drawing>
      </w:r>
    </w:p>
    <w:p w14:paraId="396DE5F1" w14:textId="67160DA1" w:rsidR="00841337" w:rsidRPr="00A30906" w:rsidRDefault="00A30906" w:rsidP="00A30906">
      <w:pPr>
        <w:pStyle w:val="Beschriftung"/>
        <w:rPr>
          <w:b w:val="0"/>
          <w:bCs w:val="0"/>
          <w:i/>
          <w:iCs/>
          <w:color w:val="auto"/>
          <w:lang w:val="en-US"/>
        </w:rPr>
      </w:pPr>
      <w:r w:rsidRPr="00A30906">
        <w:rPr>
          <w:b w:val="0"/>
          <w:bCs w:val="0"/>
          <w:i/>
          <w:iCs/>
          <w:color w:val="auto"/>
        </w:rPr>
        <w:t xml:space="preserve">Figure </w:t>
      </w:r>
      <w:r w:rsidRPr="00A30906">
        <w:rPr>
          <w:b w:val="0"/>
          <w:bCs w:val="0"/>
          <w:i/>
          <w:iCs/>
          <w:color w:val="auto"/>
        </w:rPr>
        <w:fldChar w:fldCharType="begin"/>
      </w:r>
      <w:r w:rsidRPr="00A30906">
        <w:rPr>
          <w:b w:val="0"/>
          <w:bCs w:val="0"/>
          <w:i/>
          <w:iCs/>
          <w:color w:val="auto"/>
        </w:rPr>
        <w:instrText xml:space="preserve"> SEQ Figure \* ARABIC </w:instrText>
      </w:r>
      <w:r w:rsidRPr="00A30906">
        <w:rPr>
          <w:b w:val="0"/>
          <w:bCs w:val="0"/>
          <w:i/>
          <w:iCs/>
          <w:color w:val="auto"/>
        </w:rPr>
        <w:fldChar w:fldCharType="separate"/>
      </w:r>
      <w:r w:rsidR="000F58F4">
        <w:rPr>
          <w:b w:val="0"/>
          <w:bCs w:val="0"/>
          <w:i/>
          <w:iCs/>
          <w:noProof/>
          <w:color w:val="auto"/>
        </w:rPr>
        <w:t>1</w:t>
      </w:r>
      <w:r w:rsidRPr="00A30906">
        <w:rPr>
          <w:b w:val="0"/>
          <w:bCs w:val="0"/>
          <w:i/>
          <w:iCs/>
          <w:color w:val="auto"/>
        </w:rPr>
        <w:fldChar w:fldCharType="end"/>
      </w:r>
      <w:r w:rsidRPr="00A30906">
        <w:rPr>
          <w:b w:val="0"/>
          <w:bCs w:val="0"/>
          <w:i/>
          <w:iCs/>
          <w:color w:val="auto"/>
        </w:rPr>
        <w:t xml:space="preserve">: </w:t>
      </w:r>
      <w:r w:rsidRPr="00A30906">
        <w:rPr>
          <w:b w:val="0"/>
          <w:bCs w:val="0"/>
          <w:i/>
          <w:iCs/>
          <w:color w:val="auto"/>
          <w:lang w:val="en-US"/>
        </w:rPr>
        <w:t xml:space="preserve">Simplified process flow diagram of the modular </w:t>
      </w:r>
      <w:proofErr w:type="spellStart"/>
      <w:r w:rsidRPr="00A30906">
        <w:rPr>
          <w:b w:val="0"/>
          <w:bCs w:val="0"/>
          <w:i/>
          <w:iCs/>
          <w:color w:val="auto"/>
          <w:lang w:val="en-US"/>
        </w:rPr>
        <w:t>PtX</w:t>
      </w:r>
      <w:proofErr w:type="spellEnd"/>
      <w:r w:rsidRPr="00A30906">
        <w:rPr>
          <w:b w:val="0"/>
          <w:bCs w:val="0"/>
          <w:i/>
          <w:iCs/>
          <w:color w:val="auto"/>
          <w:lang w:val="en-US"/>
        </w:rPr>
        <w:t xml:space="preserve"> lab-pilot plant used for dynamic biogas methanation experiments, including feed-gas dosing, feed preheating, the wall-cooled fixed-bed reactor, product gas cooling and gas analysis.</w:t>
      </w:r>
    </w:p>
    <w:p w14:paraId="40E6E55F" w14:textId="702594C6" w:rsidR="00841337" w:rsidRPr="002F2D49" w:rsidRDefault="00841337" w:rsidP="00841337">
      <w:pPr>
        <w:pStyle w:val="CETCaption"/>
        <w:rPr>
          <w:rFonts w:cs="Arial"/>
          <w:i w:val="0"/>
          <w:iCs/>
        </w:rPr>
      </w:pPr>
      <w:bookmarkStart w:id="1" w:name="_Hlk235641486"/>
      <w:r w:rsidRPr="00B85A80">
        <w:rPr>
          <w:rFonts w:cs="Arial"/>
          <w:i w:val="0"/>
          <w:iCs/>
        </w:rPr>
        <w:t xml:space="preserve">different </w:t>
      </w:r>
      <w:proofErr w:type="spellStart"/>
      <w:r w:rsidRPr="00B85A80">
        <w:rPr>
          <w:rFonts w:cs="Arial"/>
          <w:i w:val="0"/>
          <w:iCs/>
        </w:rPr>
        <w:t>PtX</w:t>
      </w:r>
      <w:proofErr w:type="spellEnd"/>
      <w:r w:rsidRPr="00B85A80">
        <w:rPr>
          <w:rFonts w:cs="Arial"/>
          <w:i w:val="0"/>
          <w:iCs/>
        </w:rPr>
        <w:t xml:space="preserve"> reactions using interchangeable reactor concepts at different scale-up levels. In the present study, a </w:t>
      </w:r>
      <w:r w:rsidR="002F2D49">
        <w:rPr>
          <w:rFonts w:cs="Arial"/>
          <w:i w:val="0"/>
          <w:iCs/>
        </w:rPr>
        <w:t xml:space="preserve">single representative tube of an industrial-sized </w:t>
      </w:r>
      <w:r w:rsidRPr="00B85A80">
        <w:rPr>
          <w:rFonts w:cs="Arial"/>
          <w:i w:val="0"/>
          <w:iCs/>
        </w:rPr>
        <w:t>wall-cooled fixed-bed reactor was used for biogas</w:t>
      </w:r>
      <w:r w:rsidR="0007614B">
        <w:rPr>
          <w:rFonts w:cs="Arial"/>
          <w:i w:val="0"/>
          <w:iCs/>
        </w:rPr>
        <w:t xml:space="preserve"> </w:t>
      </w:r>
      <w:r w:rsidRPr="002F2D49">
        <w:rPr>
          <w:i w:val="0"/>
          <w:iCs/>
          <w:lang w:val="en-US"/>
        </w:rPr>
        <w:t>CO</w:t>
      </w:r>
      <w:r w:rsidRPr="002F2D49">
        <w:rPr>
          <w:rFonts w:cs="Arial"/>
          <w:i w:val="0"/>
          <w:iCs/>
          <w:vertAlign w:val="subscript"/>
        </w:rPr>
        <w:t>2</w:t>
      </w:r>
      <w:r w:rsidRPr="002F2D49">
        <w:rPr>
          <w:rFonts w:cs="Arial"/>
          <w:i w:val="0"/>
          <w:iCs/>
        </w:rPr>
        <w:t xml:space="preserve"> </w:t>
      </w:r>
      <w:r w:rsidRPr="00B85A80">
        <w:rPr>
          <w:rFonts w:cs="Arial"/>
          <w:i w:val="0"/>
          <w:iCs/>
        </w:rPr>
        <w:t>methanation. Figure 1 shows a simplified process flow diagram of the lab-pilot plant, including the feed-gas dosing, preheating, reactor, cooling, and gas-analysis sections.</w:t>
      </w:r>
      <w:bookmarkEnd w:id="1"/>
    </w:p>
    <w:p w14:paraId="4670B357" w14:textId="5DA53D3C" w:rsidR="009E4E38" w:rsidRPr="009E4E38" w:rsidRDefault="00841337" w:rsidP="00841337">
      <w:pPr>
        <w:pStyle w:val="CETheadingx"/>
      </w:pPr>
      <w:r>
        <w:t xml:space="preserve">Experimental setup: </w:t>
      </w:r>
      <w:r w:rsidR="002907A4" w:rsidRPr="002907A4">
        <w:rPr>
          <w:lang w:val="en-GB"/>
        </w:rPr>
        <w:t>Multipurpose</w:t>
      </w:r>
      <w:r w:rsidR="002907A4">
        <w:rPr>
          <w:lang w:val="en-GB"/>
        </w:rPr>
        <w:t xml:space="preserve"> </w:t>
      </w:r>
      <w:proofErr w:type="spellStart"/>
      <w:r>
        <w:t>PtX</w:t>
      </w:r>
      <w:proofErr w:type="spellEnd"/>
      <w:r>
        <w:t xml:space="preserve"> lab-pilot p</w:t>
      </w:r>
      <w:r w:rsidR="002907A4">
        <w:t>l</w:t>
      </w:r>
      <w:r>
        <w:t xml:space="preserve">ant </w:t>
      </w:r>
    </w:p>
    <w:p w14:paraId="3CA160FC" w14:textId="77777777" w:rsidR="00841337" w:rsidRPr="00580BFA" w:rsidRDefault="00F3217A" w:rsidP="00841337">
      <w:pPr>
        <w:pStyle w:val="CETBodytext"/>
      </w:pPr>
      <w:r>
        <w:t>The</w:t>
      </w:r>
      <w:r w:rsidR="00841337">
        <w:t xml:space="preserve"> </w:t>
      </w:r>
      <w:r w:rsidR="00841337" w:rsidRPr="00580BFA">
        <w:t>feed gases CO</w:t>
      </w:r>
      <w:r w:rsidR="00841337" w:rsidRPr="00580BFA">
        <w:rPr>
          <w:vertAlign w:val="subscript"/>
        </w:rPr>
        <w:t>2</w:t>
      </w:r>
      <w:r w:rsidR="00841337" w:rsidRPr="00580BFA">
        <w:t>, H</w:t>
      </w:r>
      <w:r w:rsidR="00841337" w:rsidRPr="00580BFA">
        <w:rPr>
          <w:vertAlign w:val="subscript"/>
        </w:rPr>
        <w:t>2</w:t>
      </w:r>
      <w:r w:rsidR="00841337" w:rsidRPr="00580BFA">
        <w:t>, CH</w:t>
      </w:r>
      <w:r w:rsidR="00841337" w:rsidRPr="00580BFA">
        <w:rPr>
          <w:vertAlign w:val="subscript"/>
        </w:rPr>
        <w:t>4</w:t>
      </w:r>
      <w:r w:rsidR="00841337" w:rsidRPr="00580BFA">
        <w:t>, and N</w:t>
      </w:r>
      <w:r w:rsidR="00841337" w:rsidRPr="00580BFA">
        <w:rPr>
          <w:vertAlign w:val="subscript"/>
        </w:rPr>
        <w:t>2</w:t>
      </w:r>
      <w:r w:rsidR="00841337" w:rsidRPr="00580BFA">
        <w:t xml:space="preserve"> are supplied from compressed-gas cylinders and individually dosed using mass flow controllers (FIC001</w:t>
      </w:r>
      <w:r w:rsidR="00841337" w:rsidRPr="00580BFA">
        <w:rPr>
          <w:rFonts w:cs="Arial"/>
        </w:rPr>
        <w:t>–</w:t>
      </w:r>
      <w:r w:rsidR="00841337" w:rsidRPr="00580BFA">
        <w:t>FIC007). After mixing, the feed can be directed either through the reactor or through a reactor bypass used during start-up, purging, and preheating. In the reactor line, two pneumatic control valves (PV006 and PV007) divide the feed between an electrically heated preheating system (WT003</w:t>
      </w:r>
      <w:r w:rsidR="00841337" w:rsidRPr="00580BFA">
        <w:rPr>
          <w:rFonts w:cs="Arial"/>
        </w:rPr>
        <w:t>–</w:t>
      </w:r>
      <w:r w:rsidR="00841337" w:rsidRPr="00580BFA">
        <w:t>WT005) and a cold-gas bypass. Mixing the two partial streams upstream of the reactor enables precise control of the reactor inlet temperature (PID001) and rapid feed-temperature changes during transient experiments.</w:t>
      </w:r>
    </w:p>
    <w:p w14:paraId="161267F6" w14:textId="36B0F2CA" w:rsidR="00841337" w:rsidRPr="00580BFA" w:rsidRDefault="00841337" w:rsidP="00276D59">
      <w:pPr>
        <w:pStyle w:val="CETBodytext"/>
      </w:pPr>
      <w:r w:rsidRPr="00580BFA">
        <w:t>The fixed-bed reactor is cooled through the reactor wall by thermal oil (</w:t>
      </w:r>
      <w:proofErr w:type="spellStart"/>
      <w:r w:rsidRPr="00580BFA">
        <w:t>Marlotherm</w:t>
      </w:r>
      <w:proofErr w:type="spellEnd"/>
      <w:r w:rsidRPr="00580BFA">
        <w:t xml:space="preserve"> SH) supplied by a high-temperature thermostat (WT001) and circulated through the reactor jacket in co-current flow with the process gas. Pressure transmitters (P010 and P011) are installed directly upstream and downstream of the catalyst bed to determine the pressure drop across the reactor. </w:t>
      </w:r>
      <w:r w:rsidR="00276D59" w:rsidRPr="00276D59">
        <w:rPr>
          <w:lang w:val="en-GB"/>
        </w:rPr>
        <w:t>The reactor has an inner diameter of 25 mm and a</w:t>
      </w:r>
      <w:r w:rsidR="00424CD5">
        <w:rPr>
          <w:lang w:val="en-GB"/>
        </w:rPr>
        <w:t xml:space="preserve"> </w:t>
      </w:r>
      <w:r w:rsidR="00276D59" w:rsidRPr="00276D59">
        <w:rPr>
          <w:lang w:val="en-GB"/>
        </w:rPr>
        <w:t>length of 1.</w:t>
      </w:r>
      <w:r w:rsidR="00F5193F">
        <w:rPr>
          <w:lang w:val="en-GB"/>
        </w:rPr>
        <w:t>6</w:t>
      </w:r>
      <w:r w:rsidR="00276D59" w:rsidRPr="00276D59">
        <w:rPr>
          <w:lang w:val="en-GB"/>
        </w:rPr>
        <w:t xml:space="preserve"> m, while the reactor-to-particle diameter ratio </w:t>
      </w:r>
      <w:r w:rsidR="00276D59" w:rsidRPr="00276D59">
        <w:rPr>
          <w:i/>
          <w:iCs/>
          <w:lang w:val="en-GB"/>
        </w:rPr>
        <w:t>D</w:t>
      </w:r>
      <w:r w:rsidR="00276D59" w:rsidRPr="00276D59">
        <w:rPr>
          <w:vertAlign w:val="subscript"/>
          <w:lang w:val="en-GB"/>
        </w:rPr>
        <w:t>R</w:t>
      </w:r>
      <w:r w:rsidR="00276D59" w:rsidRPr="00276D59">
        <w:rPr>
          <w:lang w:val="en-GB"/>
        </w:rPr>
        <w:t>/</w:t>
      </w:r>
      <w:proofErr w:type="spellStart"/>
      <w:r w:rsidR="00276D59" w:rsidRPr="00276D59">
        <w:rPr>
          <w:i/>
          <w:iCs/>
          <w:lang w:val="en-GB"/>
        </w:rPr>
        <w:t>d</w:t>
      </w:r>
      <w:r w:rsidR="00276D59" w:rsidRPr="00276D59">
        <w:rPr>
          <w:vertAlign w:val="subscript"/>
          <w:lang w:val="en-GB"/>
        </w:rPr>
        <w:t>p</w:t>
      </w:r>
      <w:proofErr w:type="spellEnd"/>
      <w:r w:rsidR="00276D59" w:rsidRPr="00276D59">
        <w:rPr>
          <w:lang w:val="en-GB"/>
        </w:rPr>
        <w:t xml:space="preserve"> is specified only within a range of 5–8 for industrial confidentiality reasons and cannot be fully disclosed.</w:t>
      </w:r>
      <w:r w:rsidR="00276D59">
        <w:rPr>
          <w:lang w:val="en-GB"/>
        </w:rPr>
        <w:t xml:space="preserve"> </w:t>
      </w:r>
      <w:r w:rsidRPr="00580BFA">
        <w:t xml:space="preserve">The catalyst is specified as a Ni-based, </w:t>
      </w:r>
      <w:r w:rsidRPr="002F3D95">
        <w:rPr>
          <w:rFonts w:cs="Arial"/>
        </w:rPr>
        <w:t>Al</w:t>
      </w:r>
      <w:r w:rsidRPr="002F3D95">
        <w:rPr>
          <w:rFonts w:cs="Arial"/>
          <w:vertAlign w:val="subscript"/>
        </w:rPr>
        <w:t>2</w:t>
      </w:r>
      <w:r w:rsidRPr="002F3D95">
        <w:rPr>
          <w:rFonts w:cs="Arial"/>
        </w:rPr>
        <w:t>O</w:t>
      </w:r>
      <w:r w:rsidRPr="002F3D95">
        <w:rPr>
          <w:rFonts w:cs="Arial"/>
          <w:vertAlign w:val="subscript"/>
        </w:rPr>
        <w:t>3</w:t>
      </w:r>
      <w:r w:rsidRPr="00580BFA">
        <w:t>-supported methanation catalyst. The operating conditions and measured reactor responses are reported in sufficient detail to enable interpretation of the dynamic reactor behavior.</w:t>
      </w:r>
    </w:p>
    <w:p w14:paraId="5B2AF59F" w14:textId="29355CD1" w:rsidR="00841337" w:rsidRDefault="00841337" w:rsidP="00841337">
      <w:pPr>
        <w:pStyle w:val="CETBodytext"/>
      </w:pPr>
      <w:r w:rsidRPr="00580BFA">
        <w:t>A central feature of the setup is the spatially resolved temperature measurement</w:t>
      </w:r>
      <w:r>
        <w:t xml:space="preserve"> </w:t>
      </w:r>
      <w:r w:rsidRPr="00580BFA">
        <w:t>(</w:t>
      </w:r>
      <w:r w:rsidR="002907A4" w:rsidRPr="002907A4">
        <w:rPr>
          <w:lang w:val="en-GB"/>
        </w:rPr>
        <w:t>distributed temperature sensing</w:t>
      </w:r>
      <w:r w:rsidR="00622070">
        <w:rPr>
          <w:lang w:val="en-GB"/>
        </w:rPr>
        <w:t xml:space="preserve">, </w:t>
      </w:r>
      <w:r w:rsidRPr="00580BFA">
        <w:t xml:space="preserve">DTS) within the catalyst bed. Two fiber-optic temperature sensors based on Rayleigh scattering are installed axially, one along the fixed-bed centerline and one near the reactor wall. </w:t>
      </w:r>
      <w:r w:rsidRPr="00143B9D">
        <w:t>The sensors provide axial temperature profiles with a spatial resolution of approximately 1.3 mm and an acquisition rate of up to 20 Hz</w:t>
      </w:r>
      <w:r w:rsidRPr="00580BFA">
        <w:t>. The measurement system resolves the formation, displacement, and relaxation of hot</w:t>
      </w:r>
      <w:r w:rsidR="006562B3">
        <w:t>-</w:t>
      </w:r>
      <w:r w:rsidRPr="00580BFA">
        <w:t xml:space="preserve">spots during steady-state and transient operation. These spatially and temporally resolved data provide a detailed basis for analyzing the thermal reactor behavior </w:t>
      </w:r>
      <w:r w:rsidRPr="00143B9D">
        <w:t xml:space="preserve">and for </w:t>
      </w:r>
      <w:r w:rsidR="00675D36">
        <w:t>future</w:t>
      </w:r>
      <w:r w:rsidRPr="00143B9D">
        <w:t xml:space="preserve"> model </w:t>
      </w:r>
      <w:r w:rsidR="00675D36">
        <w:t>alignment.</w:t>
      </w:r>
    </w:p>
    <w:p w14:paraId="11BA7D61" w14:textId="2458A404" w:rsidR="00841337" w:rsidRDefault="00841337" w:rsidP="00841337">
      <w:pPr>
        <w:pStyle w:val="CETBodytext"/>
      </w:pPr>
      <w:bookmarkStart w:id="2" w:name="_Hlk235641562"/>
      <w:r w:rsidRPr="00580BFA">
        <w:lastRenderedPageBreak/>
        <w:t>Downstream of the reactor, the product gas is cooled and condensed water is removed (B001, B002). A defined partial flow of the dry product gas is directed to the analytical section, while the main stream enters the exhaust line. Transient gas compositions are measured on-line using an infrared and thermal-conductivity-based analyzer (</w:t>
      </w:r>
      <w:proofErr w:type="spellStart"/>
      <w:r w:rsidRPr="00580BFA">
        <w:t>Messkonzept</w:t>
      </w:r>
      <w:proofErr w:type="spellEnd"/>
      <w:r w:rsidRPr="00580BFA">
        <w:t xml:space="preserve"> FTC400), whereas a gas chromatograph system (Agilent 7890B) equipped with a thermal conductivity detector provides more accurate steady-state measurements. The reactor pressure is controlled by a dome pressure regulator (</w:t>
      </w:r>
      <w:proofErr w:type="spellStart"/>
      <w:r w:rsidRPr="00580BFA">
        <w:t>Equilibar</w:t>
      </w:r>
      <w:proofErr w:type="spellEnd"/>
      <w:r w:rsidRPr="00580BFA">
        <w:t xml:space="preserve"> Research Series) installed in the exhaust line.</w:t>
      </w:r>
    </w:p>
    <w:p w14:paraId="2CC373AD" w14:textId="6BB54659" w:rsidR="00841337" w:rsidRDefault="00841337" w:rsidP="00841337">
      <w:pPr>
        <w:pStyle w:val="CETheadingx"/>
      </w:pPr>
      <w:r w:rsidRPr="008E6AD9">
        <w:t>Experimental procedure and operating conditions</w:t>
      </w:r>
    </w:p>
    <w:p w14:paraId="0633F2E5" w14:textId="18BE32DD" w:rsidR="00841337" w:rsidRDefault="00841337" w:rsidP="00841337">
      <w:pPr>
        <w:pStyle w:val="CETBodytext"/>
        <w:rPr>
          <w:rFonts w:cs="Arial"/>
        </w:rPr>
      </w:pPr>
      <w:r>
        <w:t xml:space="preserve">The </w:t>
      </w:r>
      <w:r w:rsidRPr="00143B9D">
        <w:rPr>
          <w:rFonts w:cs="Arial"/>
        </w:rPr>
        <w:t>experimental procedure was designed to characterize the reactor behavior at steady-state operating points and during dynamic transitions between them. The investigated perturbations comprised changes in reactor load and inlet temperature. Although the setup also permits variations in coolant temperature and feed composition, these were not considered in the present work. All experiments presented here were conducted at a reactor pressure of 12 bar(g) and a coolant temperature of 220 °C.</w:t>
      </w:r>
      <w:r>
        <w:rPr>
          <w:rFonts w:cs="Arial"/>
        </w:rPr>
        <w:t xml:space="preserve"> </w:t>
      </w:r>
      <w:r w:rsidRPr="00143B9D">
        <w:rPr>
          <w:rFonts w:cs="Arial"/>
        </w:rPr>
        <w:t xml:space="preserve">Initially, steady-state experiments were performed across the investigated load range from 10 to 100 % to verify stable reactor operation and to confirm that all measured temperatures remained below </w:t>
      </w:r>
      <w:r>
        <w:rPr>
          <w:rFonts w:cs="Arial"/>
        </w:rPr>
        <w:t xml:space="preserve">the temperature limit of the </w:t>
      </w:r>
      <w:r w:rsidRPr="00580BFA">
        <w:t>fiber-optic temperature sensors</w:t>
      </w:r>
      <w:r>
        <w:t> (</w:t>
      </w:r>
      <w:r w:rsidRPr="00143B9D">
        <w:rPr>
          <w:rFonts w:cs="Arial"/>
        </w:rPr>
        <w:t>550 °C</w:t>
      </w:r>
      <w:r>
        <w:rPr>
          <w:rFonts w:cs="Arial"/>
        </w:rPr>
        <w:t>)</w:t>
      </w:r>
      <w:r w:rsidRPr="00143B9D">
        <w:rPr>
          <w:rFonts w:cs="Arial"/>
        </w:rPr>
        <w:t>.</w:t>
      </w:r>
      <w:r>
        <w:rPr>
          <w:rFonts w:cs="Arial"/>
        </w:rPr>
        <w:t xml:space="preserve"> </w:t>
      </w:r>
      <w:r w:rsidRPr="00143B9D">
        <w:rPr>
          <w:rFonts w:cs="Arial"/>
        </w:rPr>
        <w:t>Before each transient experiment, the reactor was operated until steady</w:t>
      </w:r>
      <w:r>
        <w:rPr>
          <w:rFonts w:cs="Arial"/>
        </w:rPr>
        <w:t xml:space="preserve"> </w:t>
      </w:r>
      <w:r w:rsidRPr="00143B9D">
        <w:rPr>
          <w:rFonts w:cs="Arial"/>
        </w:rPr>
        <w:t>temperature profiles and stable product-gas compositions were obtained. These steady</w:t>
      </w:r>
      <w:r>
        <w:rPr>
          <w:rFonts w:cs="Arial"/>
        </w:rPr>
        <w:t>-</w:t>
      </w:r>
      <w:r w:rsidRPr="00143B9D">
        <w:rPr>
          <w:rFonts w:cs="Arial"/>
        </w:rPr>
        <w:t>states served as reference points for evaluating the subsequent dynamic response.</w:t>
      </w:r>
    </w:p>
    <w:p w14:paraId="11F9EAA0" w14:textId="6D260691" w:rsidR="00841337" w:rsidRPr="00143B9D" w:rsidRDefault="00841337" w:rsidP="00841337">
      <w:pPr>
        <w:pStyle w:val="CETBodytext"/>
        <w:rPr>
          <w:rFonts w:cs="Arial"/>
        </w:rPr>
      </w:pPr>
      <w:r w:rsidRPr="00143B9D">
        <w:rPr>
          <w:rFonts w:cs="Arial"/>
        </w:rPr>
        <w:t>In a first series of experiments, load</w:t>
      </w:r>
      <w:r w:rsidR="00C55537">
        <w:rPr>
          <w:rFonts w:cs="Arial"/>
        </w:rPr>
        <w:t>-</w:t>
      </w:r>
      <w:r w:rsidRPr="00143B9D">
        <w:rPr>
          <w:rFonts w:cs="Arial"/>
        </w:rPr>
        <w:t>flexibility was investigated.</w:t>
      </w:r>
      <w:r>
        <w:rPr>
          <w:rFonts w:cs="Arial"/>
        </w:rPr>
        <w:t xml:space="preserve"> T</w:t>
      </w:r>
      <w:r w:rsidRPr="00143B9D">
        <w:rPr>
          <w:rFonts w:cs="Arial"/>
        </w:rPr>
        <w:t>he total feed flow rate was</w:t>
      </w:r>
      <w:r>
        <w:rPr>
          <w:rFonts w:cs="Arial"/>
        </w:rPr>
        <w:t xml:space="preserve"> continuously</w:t>
      </w:r>
      <w:r w:rsidRPr="00143B9D">
        <w:rPr>
          <w:rFonts w:cs="Arial"/>
        </w:rPr>
        <w:t xml:space="preserve"> </w:t>
      </w:r>
      <w:r>
        <w:rPr>
          <w:rFonts w:cs="Arial"/>
        </w:rPr>
        <w:t xml:space="preserve">ramped </w:t>
      </w:r>
      <w:r w:rsidRPr="00143B9D">
        <w:rPr>
          <w:rFonts w:cs="Arial"/>
        </w:rPr>
        <w:t>from 10 to 100</w:t>
      </w:r>
      <w:r w:rsidRPr="00143B9D">
        <w:rPr>
          <w:rFonts w:cs="Arial"/>
          <w:sz w:val="10"/>
          <w:szCs w:val="12"/>
        </w:rPr>
        <w:t xml:space="preserve"> </w:t>
      </w:r>
      <w:r w:rsidRPr="00143B9D">
        <w:rPr>
          <w:rFonts w:cs="Arial"/>
        </w:rPr>
        <w:t>% load</w:t>
      </w:r>
      <w:r>
        <w:rPr>
          <w:rFonts w:cs="Arial"/>
        </w:rPr>
        <w:t xml:space="preserve"> over 10 min</w:t>
      </w:r>
      <w:r w:rsidRPr="00143B9D">
        <w:rPr>
          <w:rFonts w:cs="Arial"/>
        </w:rPr>
        <w:t xml:space="preserve">, corresponding to </w:t>
      </w:r>
      <w:r>
        <w:rPr>
          <w:rFonts w:cs="Arial"/>
        </w:rPr>
        <w:t xml:space="preserve">an increase from </w:t>
      </w:r>
      <w:r w:rsidRPr="00143B9D">
        <w:rPr>
          <w:rFonts w:cs="Arial"/>
        </w:rPr>
        <w:t>21</w:t>
      </w:r>
      <w:r>
        <w:rPr>
          <w:rFonts w:cs="Arial"/>
        </w:rPr>
        <w:t xml:space="preserve"> to </w:t>
      </w:r>
      <w:r w:rsidRPr="00143B9D">
        <w:rPr>
          <w:rFonts w:cs="Arial"/>
        </w:rPr>
        <w:t>210 LN min</w:t>
      </w:r>
      <w:r w:rsidRPr="00143B9D">
        <w:rPr>
          <w:rFonts w:cs="Arial"/>
          <w:vertAlign w:val="superscript"/>
        </w:rPr>
        <w:t>-1</w:t>
      </w:r>
      <w:r w:rsidRPr="00143B9D">
        <w:rPr>
          <w:rFonts w:cs="Arial"/>
        </w:rPr>
        <w:t>,</w:t>
      </w:r>
      <w:r>
        <w:rPr>
          <w:rFonts w:cs="Arial"/>
        </w:rPr>
        <w:t xml:space="preserve"> thereby </w:t>
      </w:r>
      <w:r w:rsidRPr="00143B9D">
        <w:rPr>
          <w:rFonts w:cs="Arial"/>
        </w:rPr>
        <w:t>representing a transition from partial- to full-load operation. The feed composition, reactor inlet temperature, and coolant temperature were kept constant, allowing the observed response to be attributed primarily to the increase in gas throughput and reaction heat release.</w:t>
      </w:r>
    </w:p>
    <w:p w14:paraId="3BAAAEC7" w14:textId="77777777" w:rsidR="00841337" w:rsidRPr="00143B9D" w:rsidRDefault="00841337" w:rsidP="00841337">
      <w:pPr>
        <w:pStyle w:val="CETBodytext"/>
        <w:rPr>
          <w:rFonts w:cs="Arial"/>
        </w:rPr>
      </w:pPr>
      <w:r w:rsidRPr="00143B9D">
        <w:rPr>
          <w:rFonts w:cs="Arial"/>
        </w:rPr>
        <w:t>In a second series of experiments, the reactor inlet temperature was increased from 60 to 160</w:t>
      </w:r>
      <w:r w:rsidRPr="00143B9D">
        <w:rPr>
          <w:rFonts w:cs="Arial"/>
          <w:sz w:val="10"/>
          <w:szCs w:val="12"/>
        </w:rPr>
        <w:t xml:space="preserve"> </w:t>
      </w:r>
      <w:r w:rsidRPr="00143B9D">
        <w:rPr>
          <w:rFonts w:cs="Arial"/>
        </w:rPr>
        <w:t>°C and subsequently reduced to 60 °C. The total feed flow rate, feed composition, and coolant temperature were kept constant to isolate the thermal response and to analyze how changes in the feed temperature affect the position and intensity of the reaction zone inside the fixed bed.</w:t>
      </w:r>
    </w:p>
    <w:p w14:paraId="447A5CC3" w14:textId="415FB4B4" w:rsidR="00841337" w:rsidRPr="00675D36" w:rsidRDefault="00841337" w:rsidP="00675D36">
      <w:r w:rsidRPr="00143B9D">
        <w:rPr>
          <w:rFonts w:cs="Arial"/>
        </w:rPr>
        <w:t>During all experiments, axial temperature profiles were recorded continuously at both radial sensor positions. The product-gas composition was measured using the on</w:t>
      </w:r>
      <w:r>
        <w:rPr>
          <w:rFonts w:cs="Arial"/>
        </w:rPr>
        <w:t>-</w:t>
      </w:r>
      <w:r w:rsidRPr="00143B9D">
        <w:rPr>
          <w:rFonts w:cs="Arial"/>
        </w:rPr>
        <w:t xml:space="preserve">line gas analyzer and supplemented by gas-chromatographic measurements. The combined temperature and gas-phase data were used to assess steady-state reactor performance and transient hot-spot displacement and to provide an experimental basis for subsequent </w:t>
      </w:r>
      <w:r w:rsidR="00675D36" w:rsidRPr="002F61F6">
        <w:t>model alignment and validation in future work.</w:t>
      </w:r>
    </w:p>
    <w:bookmarkEnd w:id="2"/>
    <w:p w14:paraId="06388239" w14:textId="260C9FF3" w:rsidR="003E37BC" w:rsidRDefault="00C81346" w:rsidP="003E37BC">
      <w:pPr>
        <w:pStyle w:val="CETHeading1"/>
      </w:pPr>
      <w:r>
        <w:t>Results and discussion</w:t>
      </w:r>
    </w:p>
    <w:p w14:paraId="245D2044" w14:textId="31C194F1" w:rsidR="00AF6FEA" w:rsidRPr="00AF6FEA" w:rsidRDefault="003D5AC5" w:rsidP="00AF6FEA">
      <w:pPr>
        <w:pStyle w:val="CETBodytext"/>
      </w:pPr>
      <w:r w:rsidRPr="003D5AC5">
        <w:rPr>
          <w:lang w:val="en-GB"/>
        </w:rPr>
        <w:t xml:space="preserve">The following section discusses the dynamic reactor response to two perturbation scenarios relevant to </w:t>
      </w:r>
      <w:proofErr w:type="spellStart"/>
      <w:r w:rsidRPr="003D5AC5">
        <w:rPr>
          <w:lang w:val="en-GB"/>
        </w:rPr>
        <w:t>PtX</w:t>
      </w:r>
      <w:proofErr w:type="spellEnd"/>
      <w:r w:rsidRPr="003D5AC5">
        <w:rPr>
          <w:lang w:val="en-GB"/>
        </w:rPr>
        <w:t xml:space="preserve"> operation. First, the response to a tenfold load increase is investigated, representing a rapid transition from partial- to full-load operation under fluctuating renewable-electricity availability. Second, the response to feed-temperature variations at constant gas throughput is investigated. The discussion focuses on the spatial displacement of the reaction zone and on the additional information provided by </w:t>
      </w:r>
      <w:proofErr w:type="spellStart"/>
      <w:r w:rsidRPr="003D5AC5">
        <w:rPr>
          <w:lang w:val="en-GB"/>
        </w:rPr>
        <w:t>fiber</w:t>
      </w:r>
      <w:proofErr w:type="spellEnd"/>
      <w:r w:rsidRPr="003D5AC5">
        <w:rPr>
          <w:lang w:val="en-GB"/>
        </w:rPr>
        <w:t>-optic temperature profiles beyond integral conversion data.</w:t>
      </w:r>
    </w:p>
    <w:p w14:paraId="6728B22A" w14:textId="4B565EAF" w:rsidR="003E1738" w:rsidRPr="003E1738" w:rsidRDefault="003E1738" w:rsidP="003E37BC">
      <w:pPr>
        <w:pStyle w:val="CETheadingx"/>
      </w:pPr>
      <w:r w:rsidRPr="003E1738">
        <w:t>Load-change experiment: transition from low-load to high-load operation</w:t>
      </w:r>
    </w:p>
    <w:p w14:paraId="684F528D" w14:textId="536CA4BA" w:rsidR="005977B7" w:rsidRDefault="003E1738" w:rsidP="001B0583">
      <w:pPr>
        <w:pStyle w:val="CETBodytext"/>
      </w:pPr>
      <w:r w:rsidRPr="003E1738">
        <w:t xml:space="preserve">Figure </w:t>
      </w:r>
      <w:r w:rsidR="00AC4445">
        <w:t>2</w:t>
      </w:r>
      <w:r w:rsidR="005977B7">
        <w:t xml:space="preserve"> </w:t>
      </w:r>
      <w:r w:rsidR="005977B7" w:rsidRPr="005977B7">
        <w:t>shows the axial temperature profiles during the continuous load ramp from 10 to 100 % over 10 min. At 10 % load (</w:t>
      </w:r>
      <w:r w:rsidR="005977B7" w:rsidRPr="006562B3">
        <w:rPr>
          <w:i/>
          <w:iCs/>
        </w:rPr>
        <w:t>t</w:t>
      </w:r>
      <w:r w:rsidR="005977B7" w:rsidRPr="005977B7">
        <w:rPr>
          <w:vertAlign w:val="subscript"/>
        </w:rPr>
        <w:t>0</w:t>
      </w:r>
      <w:r w:rsidR="005977B7" w:rsidRPr="005977B7">
        <w:t>), the CO</w:t>
      </w:r>
      <w:r w:rsidR="005977B7" w:rsidRPr="005977B7">
        <w:rPr>
          <w:vertAlign w:val="subscript"/>
        </w:rPr>
        <w:t>2</w:t>
      </w:r>
      <w:r w:rsidR="005977B7" w:rsidRPr="005977B7">
        <w:t xml:space="preserve"> conversion exceeds 95 % and approaches the thermodynamic equilibrium limit. At full load (</w:t>
      </w:r>
      <w:r w:rsidR="005977B7" w:rsidRPr="006562B3">
        <w:rPr>
          <w:i/>
          <w:iCs/>
        </w:rPr>
        <w:t>t</w:t>
      </w:r>
      <w:r w:rsidR="005977B7" w:rsidRPr="005977B7">
        <w:rPr>
          <w:vertAlign w:val="subscript"/>
        </w:rPr>
        <w:t>2</w:t>
      </w:r>
      <w:r w:rsidR="005977B7" w:rsidRPr="005977B7">
        <w:t>), the conversion decreases due to the reduced residence time but still remains above 80 %. The new steady-state temperature profile</w:t>
      </w:r>
      <w:r w:rsidR="006562B3">
        <w:t>s</w:t>
      </w:r>
      <w:r w:rsidR="005977B7" w:rsidRPr="005977B7">
        <w:t xml:space="preserve"> w</w:t>
      </w:r>
      <w:r w:rsidR="006562B3">
        <w:t>ere</w:t>
      </w:r>
      <w:r w:rsidR="005977B7" w:rsidRPr="005977B7">
        <w:t xml:space="preserve"> established approximately 19 min after the start of the ramp</w:t>
      </w:r>
      <w:r w:rsidR="000146FC">
        <w:t xml:space="preserve">. </w:t>
      </w:r>
      <w:r w:rsidR="005977B7" w:rsidRPr="005977B7">
        <w:t xml:space="preserve">This confirms stable reactor operation across the </w:t>
      </w:r>
      <w:r w:rsidR="005977B7">
        <w:t>investi</w:t>
      </w:r>
      <w:r w:rsidR="005977B7" w:rsidRPr="005977B7">
        <w:t>gated load range.</w:t>
      </w:r>
    </w:p>
    <w:p w14:paraId="6C407BC5" w14:textId="5EFF5116" w:rsidR="00F24E3B" w:rsidRDefault="00D150D2" w:rsidP="00F24E3B">
      <w:pPr>
        <w:pStyle w:val="CETBodytext"/>
      </w:pPr>
      <w:r w:rsidRPr="008A6604">
        <w:t xml:space="preserve">The spatially resolved temperature profiles reveal a pronounced displacement of the reaction zone during the load change rather than a substantial increase in the maximum hot-spot temperature. At 10 % load, the hot-spot is located close to the reactor inlet. As the reactor load increases, the hot-spot shifts downstream, while the maximum centerline temperature remains nearly constant; small local variations during the load ramp are likely caused by packing inhomogeneities. A corresponding downstream displacement is also observed in the near-wall temperature profile. </w:t>
      </w:r>
      <w:r w:rsidR="00463088" w:rsidRPr="00463088">
        <w:rPr>
          <w:lang w:val="en-GB"/>
        </w:rPr>
        <w:t>At full load, the elevated-temperature region extends over a larger fraction of the catalyst bed</w:t>
      </w:r>
      <w:r w:rsidRPr="008A6604">
        <w:t>, indicating improved catalyst utilization, while the inlet section mainly serves as a preheating zone. Simultaneously, the near-wall temperature increases, reducing the radial temperature gradient and indicating radial broadening of the hot-spot region. Despite radial temperature differences of up to 250 K, stable operation is</w:t>
      </w:r>
      <w:r w:rsidR="00463088">
        <w:t xml:space="preserve"> </w:t>
      </w:r>
      <w:r w:rsidRPr="008A6604">
        <w:t>maintained</w:t>
      </w:r>
      <w:r w:rsidR="00463088">
        <w:t xml:space="preserve"> </w:t>
      </w:r>
      <w:r w:rsidR="008A6604" w:rsidRPr="008A6604">
        <w:t>throughout the transition. The downstream displacement and broadening primarily result from the reduced</w:t>
      </w:r>
      <w:r w:rsidR="000536FC">
        <w:t xml:space="preserve"> resi</w:t>
      </w:r>
      <w:r w:rsidR="00980FAF" w:rsidRPr="008A6604">
        <w:t>dence time and increased total heat release, whereas radial heat-transfer resistance and thermal</w:t>
      </w:r>
      <w:r w:rsidR="00463088">
        <w:t xml:space="preserve"> </w:t>
      </w:r>
    </w:p>
    <w:p w14:paraId="35183ECE" w14:textId="5A80C659" w:rsidR="00E979BA" w:rsidRDefault="009E02C2" w:rsidP="00E979BA">
      <w:pPr>
        <w:pStyle w:val="CETBodytext"/>
        <w:keepNext/>
        <w:jc w:val="center"/>
      </w:pPr>
      <w:r>
        <w:rPr>
          <w:noProof/>
        </w:rPr>
        <w:lastRenderedPageBreak/>
        <w:drawing>
          <wp:inline distT="0" distB="0" distL="0" distR="0" wp14:anchorId="194636C0" wp14:editId="64824D89">
            <wp:extent cx="4604717" cy="2511188"/>
            <wp:effectExtent l="0" t="0" r="5715"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1"/>
                    <a:stretch>
                      <a:fillRect/>
                    </a:stretch>
                  </pic:blipFill>
                  <pic:spPr>
                    <a:xfrm>
                      <a:off x="0" y="0"/>
                      <a:ext cx="4630860" cy="2525445"/>
                    </a:xfrm>
                    <a:prstGeom prst="rect">
                      <a:avLst/>
                    </a:prstGeom>
                  </pic:spPr>
                </pic:pic>
              </a:graphicData>
            </a:graphic>
          </wp:inline>
        </w:drawing>
      </w:r>
    </w:p>
    <w:p w14:paraId="5D64F974" w14:textId="13DCB071" w:rsidR="00A30906" w:rsidRDefault="00E979BA" w:rsidP="00A30906">
      <w:pPr>
        <w:pStyle w:val="Beschriftung"/>
        <w:rPr>
          <w:rFonts w:cs="Arial"/>
          <w:b w:val="0"/>
          <w:bCs w:val="0"/>
          <w:i/>
          <w:iCs/>
          <w:color w:val="auto"/>
        </w:rPr>
      </w:pPr>
      <w:r w:rsidRPr="00A30906">
        <w:rPr>
          <w:rFonts w:cs="Arial"/>
          <w:b w:val="0"/>
          <w:bCs w:val="0"/>
          <w:i/>
          <w:iCs/>
          <w:color w:val="auto"/>
        </w:rPr>
        <w:t xml:space="preserve">Figure </w:t>
      </w:r>
      <w:r w:rsidR="00A30906">
        <w:rPr>
          <w:rFonts w:cs="Arial"/>
          <w:b w:val="0"/>
          <w:bCs w:val="0"/>
          <w:i/>
          <w:iCs/>
          <w:color w:val="auto"/>
        </w:rPr>
        <w:t>2</w:t>
      </w:r>
      <w:r w:rsidRPr="00A30906">
        <w:rPr>
          <w:rFonts w:cs="Arial"/>
          <w:b w:val="0"/>
          <w:bCs w:val="0"/>
          <w:i/>
          <w:iCs/>
          <w:color w:val="auto"/>
        </w:rPr>
        <w:t>: Axial temperature profiles during a continuous load ramp from 10 % (21 LN min</w:t>
      </w:r>
      <w:r w:rsidR="00A30906" w:rsidRPr="00A30906">
        <w:rPr>
          <w:rFonts w:cs="Arial"/>
          <w:b w:val="0"/>
          <w:bCs w:val="0"/>
          <w:i/>
          <w:iCs/>
          <w:color w:val="auto"/>
          <w:vertAlign w:val="superscript"/>
        </w:rPr>
        <w:t>-1</w:t>
      </w:r>
      <w:r w:rsidRPr="00A30906">
        <w:rPr>
          <w:rFonts w:cs="Arial"/>
          <w:b w:val="0"/>
          <w:bCs w:val="0"/>
          <w:i/>
          <w:iCs/>
          <w:color w:val="auto"/>
        </w:rPr>
        <w:t>; GHSV = 1,700 h</w:t>
      </w:r>
      <w:r w:rsidRPr="00A30906">
        <w:rPr>
          <w:rFonts w:cs="Arial"/>
          <w:b w:val="0"/>
          <w:bCs w:val="0"/>
          <w:i/>
          <w:iCs/>
          <w:color w:val="auto"/>
          <w:vertAlign w:val="superscript"/>
        </w:rPr>
        <w:t>-1</w:t>
      </w:r>
      <w:r w:rsidRPr="00A30906">
        <w:rPr>
          <w:rFonts w:cs="Arial"/>
          <w:b w:val="0"/>
          <w:bCs w:val="0"/>
          <w:i/>
          <w:iCs/>
          <w:color w:val="auto"/>
        </w:rPr>
        <w:t>) to 100 % load (210 LN min</w:t>
      </w:r>
      <w:r w:rsidRPr="00A30906">
        <w:rPr>
          <w:rFonts w:cs="Arial"/>
          <w:b w:val="0"/>
          <w:bCs w:val="0"/>
          <w:i/>
          <w:iCs/>
          <w:color w:val="auto"/>
          <w:vertAlign w:val="superscript"/>
        </w:rPr>
        <w:t>-1</w:t>
      </w:r>
      <w:r w:rsidRPr="00A30906">
        <w:rPr>
          <w:rFonts w:cs="Arial"/>
          <w:b w:val="0"/>
          <w:bCs w:val="0"/>
          <w:i/>
          <w:iCs/>
          <w:color w:val="auto"/>
        </w:rPr>
        <w:t>; GHSV = 17,000 h</w:t>
      </w:r>
      <w:r w:rsidRPr="00A30906">
        <w:rPr>
          <w:rFonts w:cs="Arial"/>
          <w:b w:val="0"/>
          <w:bCs w:val="0"/>
          <w:i/>
          <w:iCs/>
          <w:color w:val="auto"/>
          <w:vertAlign w:val="superscript"/>
        </w:rPr>
        <w:t>-1</w:t>
      </w:r>
      <w:r w:rsidRPr="00A30906">
        <w:rPr>
          <w:rFonts w:cs="Arial"/>
          <w:b w:val="0"/>
          <w:bCs w:val="0"/>
          <w:i/>
          <w:iCs/>
          <w:color w:val="auto"/>
        </w:rPr>
        <w:t xml:space="preserve">) over 10 min at 12 bar(g), </w:t>
      </w:r>
      <w:proofErr w:type="spellStart"/>
      <w:r w:rsidRPr="00A30906">
        <w:rPr>
          <w:rFonts w:cs="Arial"/>
          <w:b w:val="0"/>
          <w:bCs w:val="0"/>
          <w:i/>
          <w:iCs/>
          <w:color w:val="auto"/>
        </w:rPr>
        <w:t>T</w:t>
      </w:r>
      <w:r w:rsidRPr="00A30906">
        <w:rPr>
          <w:rFonts w:cs="Arial"/>
          <w:b w:val="0"/>
          <w:bCs w:val="0"/>
          <w:i/>
          <w:iCs/>
          <w:color w:val="auto"/>
          <w:vertAlign w:val="subscript"/>
        </w:rPr>
        <w:t>cool</w:t>
      </w:r>
      <w:proofErr w:type="spellEnd"/>
      <w:r w:rsidRPr="00A30906">
        <w:rPr>
          <w:rFonts w:cs="Arial"/>
          <w:b w:val="0"/>
          <w:bCs w:val="0"/>
          <w:i/>
          <w:iCs/>
          <w:color w:val="auto"/>
          <w:vertAlign w:val="subscript"/>
        </w:rPr>
        <w:t xml:space="preserve"> </w:t>
      </w:r>
      <w:r w:rsidRPr="00A30906">
        <w:rPr>
          <w:rFonts w:cs="Arial"/>
          <w:b w:val="0"/>
          <w:bCs w:val="0"/>
          <w:i/>
          <w:iCs/>
          <w:color w:val="auto"/>
        </w:rPr>
        <w:t>= 220 °C, and constant</w:t>
      </w:r>
      <w:r w:rsidR="002367AA">
        <w:rPr>
          <w:rFonts w:cs="Arial"/>
          <w:b w:val="0"/>
          <w:bCs w:val="0"/>
          <w:i/>
          <w:iCs/>
          <w:color w:val="auto"/>
        </w:rPr>
        <w:t xml:space="preserve"> molar </w:t>
      </w:r>
      <w:r w:rsidRPr="00A30906">
        <w:rPr>
          <w:rFonts w:cs="Arial"/>
          <w:b w:val="0"/>
          <w:bCs w:val="0"/>
          <w:i/>
          <w:iCs/>
          <w:color w:val="auto"/>
        </w:rPr>
        <w:t>feed composition</w:t>
      </w:r>
      <w:r w:rsidR="002367AA">
        <w:rPr>
          <w:rFonts w:cs="Arial"/>
          <w:b w:val="0"/>
          <w:bCs w:val="0"/>
          <w:i/>
          <w:iCs/>
          <w:color w:val="auto"/>
        </w:rPr>
        <w:t xml:space="preserve"> (</w:t>
      </w:r>
      <w:proofErr w:type="gramStart"/>
      <w:r w:rsidR="002367AA">
        <w:rPr>
          <w:rFonts w:cs="Arial"/>
          <w:b w:val="0"/>
          <w:bCs w:val="0"/>
          <w:i/>
          <w:iCs/>
          <w:color w:val="auto"/>
        </w:rPr>
        <w:t>CO</w:t>
      </w:r>
      <w:r w:rsidR="002367AA" w:rsidRPr="002367AA">
        <w:rPr>
          <w:rFonts w:cs="Arial"/>
          <w:b w:val="0"/>
          <w:bCs w:val="0"/>
          <w:i/>
          <w:iCs/>
          <w:color w:val="auto"/>
          <w:vertAlign w:val="subscript"/>
        </w:rPr>
        <w:t>2</w:t>
      </w:r>
      <w:r w:rsidR="002367AA">
        <w:rPr>
          <w:rFonts w:cs="Arial"/>
          <w:b w:val="0"/>
          <w:bCs w:val="0"/>
          <w:i/>
          <w:iCs/>
          <w:color w:val="auto"/>
        </w:rPr>
        <w:t>:H</w:t>
      </w:r>
      <w:r w:rsidR="002367AA" w:rsidRPr="002367AA">
        <w:rPr>
          <w:rFonts w:cs="Arial"/>
          <w:b w:val="0"/>
          <w:bCs w:val="0"/>
          <w:i/>
          <w:iCs/>
          <w:color w:val="auto"/>
          <w:vertAlign w:val="subscript"/>
        </w:rPr>
        <w:t>2</w:t>
      </w:r>
      <w:r w:rsidR="002367AA">
        <w:rPr>
          <w:rFonts w:cs="Arial"/>
          <w:b w:val="0"/>
          <w:bCs w:val="0"/>
          <w:i/>
          <w:iCs/>
          <w:color w:val="auto"/>
        </w:rPr>
        <w:t>:CH</w:t>
      </w:r>
      <w:r w:rsidR="002367AA" w:rsidRPr="002367AA">
        <w:rPr>
          <w:rFonts w:cs="Arial"/>
          <w:b w:val="0"/>
          <w:bCs w:val="0"/>
          <w:i/>
          <w:iCs/>
          <w:color w:val="auto"/>
          <w:vertAlign w:val="subscript"/>
        </w:rPr>
        <w:t>4</w:t>
      </w:r>
      <w:proofErr w:type="gramEnd"/>
      <w:r w:rsidR="002367AA">
        <w:rPr>
          <w:rFonts w:cs="Arial"/>
          <w:b w:val="0"/>
          <w:bCs w:val="0"/>
          <w:i/>
          <w:iCs/>
          <w:color w:val="auto"/>
        </w:rPr>
        <w:t xml:space="preserve"> = 1:4:</w:t>
      </w:r>
      <w:r w:rsidR="001A1078">
        <w:rPr>
          <w:rFonts w:cs="Arial"/>
          <w:b w:val="0"/>
          <w:bCs w:val="0"/>
          <w:i/>
          <w:iCs/>
          <w:color w:val="auto"/>
        </w:rPr>
        <w:t>2</w:t>
      </w:r>
      <w:r w:rsidR="002367AA">
        <w:rPr>
          <w:rFonts w:cs="Arial"/>
          <w:b w:val="0"/>
          <w:bCs w:val="0"/>
          <w:i/>
          <w:iCs/>
          <w:color w:val="auto"/>
        </w:rPr>
        <w:t>)</w:t>
      </w:r>
      <w:r w:rsidRPr="00A30906">
        <w:rPr>
          <w:rFonts w:cs="Arial"/>
          <w:b w:val="0"/>
          <w:bCs w:val="0"/>
          <w:i/>
          <w:iCs/>
          <w:color w:val="auto"/>
        </w:rPr>
        <w:t>.</w:t>
      </w:r>
    </w:p>
    <w:p w14:paraId="73FAED9E" w14:textId="05BC2646" w:rsidR="00AC4445" w:rsidRPr="00DD0C79" w:rsidRDefault="002C46F2" w:rsidP="00A30906">
      <w:pPr>
        <w:pStyle w:val="Beschriftung"/>
        <w:rPr>
          <w:rFonts w:cs="Arial"/>
        </w:rPr>
      </w:pPr>
      <w:r w:rsidRPr="002C46F2">
        <w:rPr>
          <w:noProof/>
        </w:rPr>
        <w:t xml:space="preserve"> </w:t>
      </w:r>
    </w:p>
    <w:p w14:paraId="71BB30C5" w14:textId="6FA83C1F" w:rsidR="008A6604" w:rsidRDefault="00463088" w:rsidP="008A6604">
      <w:pPr>
        <w:pStyle w:val="CETBodytext"/>
        <w:rPr>
          <w:lang w:val="en-GB"/>
        </w:rPr>
      </w:pPr>
      <w:r>
        <w:t>in</w:t>
      </w:r>
      <w:r w:rsidRPr="008A6604">
        <w:t>ertia co</w:t>
      </w:r>
      <w:r>
        <w:t>ntrib</w:t>
      </w:r>
      <w:r w:rsidR="009946FF">
        <w:t xml:space="preserve">ute </w:t>
      </w:r>
      <w:r w:rsidR="008A6604" w:rsidRPr="008A6604">
        <w:t xml:space="preserve">to the radial temperature gradients and the delayed thermal response. </w:t>
      </w:r>
      <w:r w:rsidR="008A6604" w:rsidRPr="008A6604">
        <w:rPr>
          <w:lang w:val="en-GB"/>
        </w:rPr>
        <w:t xml:space="preserve">While the gas composition reflects the change in overall conversion during the load change, the </w:t>
      </w:r>
      <w:proofErr w:type="spellStart"/>
      <w:r w:rsidR="008A6604" w:rsidRPr="008A6604">
        <w:rPr>
          <w:lang w:val="en-GB"/>
        </w:rPr>
        <w:t>fiber</w:t>
      </w:r>
      <w:proofErr w:type="spellEnd"/>
      <w:r w:rsidR="008A6604" w:rsidRPr="008A6604">
        <w:rPr>
          <w:lang w:val="en-GB"/>
        </w:rPr>
        <w:t xml:space="preserve">-optic temperature measurements reveal the internal movement of the reaction zone and the delayed thermal response of the fixed-bed, </w:t>
      </w:r>
      <w:r w:rsidR="00675D36" w:rsidRPr="002F61F6">
        <w:t>thereby supporting mechanistic understanding and future model validation.</w:t>
      </w:r>
    </w:p>
    <w:p w14:paraId="202D030C" w14:textId="4757A903" w:rsidR="00AC4445" w:rsidRPr="00AC4445" w:rsidRDefault="008A6604" w:rsidP="003E1738">
      <w:pPr>
        <w:pStyle w:val="CETBodytext"/>
      </w:pPr>
      <w:r w:rsidRPr="008A6604">
        <w:t>The near-wall temperature profile shows several local temperature peaks, whereas the centerline profile remains comparatively smooth. The wall-side fluctuations can be attributed to direct contact between the</w:t>
      </w:r>
      <w:r w:rsidR="00D27BC1">
        <w:t xml:space="preserve"> </w:t>
      </w:r>
      <w:r w:rsidRPr="008A6604">
        <w:t>sensor and</w:t>
      </w:r>
      <w:r>
        <w:t xml:space="preserve"> </w:t>
      </w:r>
      <w:r w:rsidRPr="008A6604">
        <w:t xml:space="preserve">catalyst particles. In contrast, the centerline sensor is installed in an additional capillary, which reduces these effects. </w:t>
      </w:r>
      <w:r w:rsidRPr="008A6604">
        <w:rPr>
          <w:lang w:val="en-GB"/>
        </w:rPr>
        <w:t>Nevertheless, the measured steep axial gradients indicate negligible smoothing by the capillary.</w:t>
      </w:r>
    </w:p>
    <w:p w14:paraId="192AB9B3" w14:textId="0317B055" w:rsidR="00AC4445" w:rsidRDefault="00F3217A" w:rsidP="00AC4445">
      <w:pPr>
        <w:pStyle w:val="CETheadingx"/>
      </w:pPr>
      <w:r>
        <w:t>Feed-</w:t>
      </w:r>
      <w:r w:rsidR="00AC4445" w:rsidRPr="00AC4445">
        <w:t>temperature perturbation</w:t>
      </w:r>
    </w:p>
    <w:p w14:paraId="7332C3BC" w14:textId="56E4C321" w:rsidR="00980FAF" w:rsidRDefault="00980FAF" w:rsidP="00980FAF">
      <w:pPr>
        <w:pStyle w:val="CETBodytext"/>
        <w:rPr>
          <w:rFonts w:cs="Arial"/>
          <w:lang w:val="en-GB"/>
        </w:rPr>
      </w:pPr>
      <w:r w:rsidRPr="001E3FC2">
        <w:rPr>
          <w:rFonts w:cs="Arial"/>
        </w:rPr>
        <w:t xml:space="preserve">Figure 3 shows the reactor response to a feed-temperature perturbation at constant gas throughput. The reactor inlet temperature was increased from 60 to 160 °C and subsequently reduced to 60 °C. </w:t>
      </w:r>
      <w:r w:rsidRPr="001E3FC2">
        <w:rPr>
          <w:rFonts w:cs="Arial"/>
          <w:lang w:val="en-GB"/>
        </w:rPr>
        <w:t>All steady-states (</w:t>
      </w:r>
      <w:r w:rsidRPr="001E3FC2">
        <w:rPr>
          <w:rFonts w:cs="Arial"/>
          <w:i/>
          <w:iCs/>
          <w:lang w:val="en-GB"/>
        </w:rPr>
        <w:t>t</w:t>
      </w:r>
      <w:r w:rsidRPr="001E3FC2">
        <w:rPr>
          <w:rFonts w:cs="Arial"/>
          <w:vertAlign w:val="subscript"/>
          <w:lang w:val="en-GB"/>
        </w:rPr>
        <w:t>0</w:t>
      </w:r>
      <w:r w:rsidRPr="001E3FC2">
        <w:rPr>
          <w:rFonts w:cs="Arial"/>
          <w:lang w:val="en-GB"/>
        </w:rPr>
        <w:t xml:space="preserve">, </w:t>
      </w:r>
      <w:r w:rsidRPr="001E3FC2">
        <w:rPr>
          <w:rFonts w:cs="Arial"/>
          <w:i/>
          <w:iCs/>
          <w:lang w:val="en-GB"/>
        </w:rPr>
        <w:t>t</w:t>
      </w:r>
      <w:r w:rsidRPr="001E3FC2">
        <w:rPr>
          <w:rFonts w:cs="Arial"/>
          <w:vertAlign w:val="subscript"/>
          <w:lang w:val="en-GB"/>
        </w:rPr>
        <w:t>2</w:t>
      </w:r>
      <w:r w:rsidRPr="001E3FC2">
        <w:rPr>
          <w:rFonts w:cs="Arial"/>
          <w:lang w:val="en-GB"/>
        </w:rPr>
        <w:t xml:space="preserve">, </w:t>
      </w:r>
      <w:r w:rsidRPr="001E3FC2">
        <w:rPr>
          <w:rFonts w:cs="Arial"/>
          <w:i/>
          <w:iCs/>
          <w:lang w:val="en-GB"/>
        </w:rPr>
        <w:t>t</w:t>
      </w:r>
      <w:r w:rsidRPr="001E3FC2">
        <w:rPr>
          <w:rFonts w:cs="Arial"/>
          <w:vertAlign w:val="subscript"/>
          <w:lang w:val="en-GB"/>
        </w:rPr>
        <w:t>3</w:t>
      </w:r>
      <w:r w:rsidRPr="001E3FC2">
        <w:rPr>
          <w:rFonts w:cs="Arial"/>
          <w:lang w:val="en-GB"/>
        </w:rPr>
        <w:t xml:space="preserve">, </w:t>
      </w:r>
      <w:r w:rsidRPr="001E3FC2">
        <w:rPr>
          <w:rFonts w:cs="Arial"/>
          <w:i/>
          <w:iCs/>
          <w:lang w:val="en-GB"/>
        </w:rPr>
        <w:t>t</w:t>
      </w:r>
      <w:r w:rsidRPr="001E3FC2">
        <w:rPr>
          <w:rFonts w:cs="Arial"/>
          <w:vertAlign w:val="subscript"/>
          <w:lang w:val="en-GB"/>
        </w:rPr>
        <w:t>5</w:t>
      </w:r>
      <w:r w:rsidRPr="001E3FC2">
        <w:rPr>
          <w:rFonts w:cs="Arial"/>
          <w:lang w:val="en-GB"/>
        </w:rPr>
        <w:t xml:space="preserve">) </w:t>
      </w:r>
      <w:r w:rsidR="00F24E3B" w:rsidRPr="00F24E3B">
        <w:rPr>
          <w:rFonts w:cs="Arial"/>
          <w:lang w:val="en-GB"/>
        </w:rPr>
        <w:t xml:space="preserve">achieved </w:t>
      </w:r>
      <w:r w:rsidRPr="001E3FC2">
        <w:rPr>
          <w:rFonts w:cs="Arial"/>
          <w:lang w:val="en-GB"/>
        </w:rPr>
        <w:t>the same CO</w:t>
      </w:r>
      <w:r w:rsidRPr="001E3FC2">
        <w:rPr>
          <w:rFonts w:cs="Arial"/>
          <w:vertAlign w:val="subscript"/>
          <w:lang w:val="en-GB"/>
        </w:rPr>
        <w:t>2</w:t>
      </w:r>
      <w:r w:rsidRPr="001E3FC2">
        <w:rPr>
          <w:rFonts w:cs="Arial"/>
          <w:lang w:val="en-GB"/>
        </w:rPr>
        <w:t xml:space="preserve"> conversion </w:t>
      </w:r>
      <w:r w:rsidR="00F24E3B">
        <w:rPr>
          <w:rFonts w:cs="Arial"/>
          <w:lang w:val="en-GB"/>
        </w:rPr>
        <w:t>exceeding</w:t>
      </w:r>
      <w:r w:rsidRPr="001E3FC2">
        <w:rPr>
          <w:rFonts w:cs="Arial"/>
          <w:lang w:val="en-GB"/>
        </w:rPr>
        <w:t xml:space="preserve"> 90 %, </w:t>
      </w:r>
      <w:r w:rsidRPr="001E3FC2">
        <w:rPr>
          <w:rFonts w:cs="Arial"/>
        </w:rPr>
        <w:t>indicating that the perturbation primarily altered the internal temperature distribution rather than the integral reactor performance.</w:t>
      </w:r>
      <w:r w:rsidRPr="001E3FC2">
        <w:rPr>
          <w:rFonts w:cs="Arial"/>
          <w:lang w:val="en-GB"/>
        </w:rPr>
        <w:t xml:space="preserve"> During the feed</w:t>
      </w:r>
      <w:r w:rsidR="00C55537">
        <w:rPr>
          <w:rFonts w:cs="Arial"/>
          <w:lang w:val="en-GB"/>
        </w:rPr>
        <w:t>-</w:t>
      </w:r>
      <w:r w:rsidRPr="001E3FC2">
        <w:rPr>
          <w:rFonts w:cs="Arial"/>
          <w:lang w:val="en-GB"/>
        </w:rPr>
        <w:t xml:space="preserve">temperature increase, the reaction zone shifts upstream and the hot-spot temperature </w:t>
      </w:r>
      <w:r w:rsidR="00F24E3B" w:rsidRPr="00F24E3B">
        <w:rPr>
          <w:rFonts w:cs="Arial"/>
          <w:lang w:val="en-GB"/>
        </w:rPr>
        <w:t xml:space="preserve">temporarily </w:t>
      </w:r>
      <w:r w:rsidRPr="001E3FC2">
        <w:rPr>
          <w:rFonts w:cs="Arial"/>
          <w:lang w:val="en-GB"/>
        </w:rPr>
        <w:t>decreases</w:t>
      </w:r>
      <w:r>
        <w:rPr>
          <w:rFonts w:cs="Arial"/>
          <w:lang w:val="en-GB"/>
        </w:rPr>
        <w:t xml:space="preserve"> (</w:t>
      </w:r>
      <w:r w:rsidRPr="001E3FC2">
        <w:rPr>
          <w:rFonts w:cs="Arial"/>
          <w:i/>
          <w:iCs/>
          <w:lang w:val="en-GB"/>
        </w:rPr>
        <w:t>t</w:t>
      </w:r>
      <w:r w:rsidRPr="001E3FC2">
        <w:rPr>
          <w:rFonts w:cs="Arial"/>
          <w:vertAlign w:val="subscript"/>
          <w:lang w:val="en-GB"/>
        </w:rPr>
        <w:t>1</w:t>
      </w:r>
      <w:r w:rsidRPr="001E3FC2">
        <w:rPr>
          <w:rFonts w:cs="Arial"/>
          <w:lang w:val="en-GB"/>
        </w:rPr>
        <w:t>). The new steady-state profile</w:t>
      </w:r>
      <w:r>
        <w:rPr>
          <w:rFonts w:cs="Arial"/>
          <w:lang w:val="en-GB"/>
        </w:rPr>
        <w:t xml:space="preserve"> (</w:t>
      </w:r>
      <w:r w:rsidRPr="001E3FC2">
        <w:rPr>
          <w:rFonts w:cs="Arial"/>
          <w:i/>
          <w:iCs/>
          <w:lang w:val="en-GB"/>
        </w:rPr>
        <w:t>t</w:t>
      </w:r>
      <w:r w:rsidRPr="001E3FC2">
        <w:rPr>
          <w:rFonts w:cs="Arial"/>
          <w:vertAlign w:val="subscript"/>
          <w:lang w:val="en-GB"/>
        </w:rPr>
        <w:t>2</w:t>
      </w:r>
      <w:r>
        <w:rPr>
          <w:rFonts w:cs="Arial"/>
          <w:lang w:val="en-GB"/>
        </w:rPr>
        <w:t>)</w:t>
      </w:r>
      <w:r w:rsidRPr="001E3FC2">
        <w:rPr>
          <w:rFonts w:cs="Arial"/>
          <w:lang w:val="en-GB"/>
        </w:rPr>
        <w:t xml:space="preserve"> is established after approximately 205 s. In contrast, reducing the feed temperature</w:t>
      </w:r>
      <w:r>
        <w:rPr>
          <w:rFonts w:cs="Arial"/>
          <w:lang w:val="en-GB"/>
        </w:rPr>
        <w:t xml:space="preserve"> </w:t>
      </w:r>
      <w:r w:rsidRPr="001E3FC2">
        <w:rPr>
          <w:rFonts w:cs="Arial"/>
          <w:lang w:val="en-GB"/>
        </w:rPr>
        <w:t>causes a downstream displacement of the reaction zone, accompanied by a transient increase in the hot-spot temperature</w:t>
      </w:r>
      <w:r>
        <w:rPr>
          <w:rFonts w:cs="Arial"/>
          <w:lang w:val="en-GB"/>
        </w:rPr>
        <w:t xml:space="preserve"> (</w:t>
      </w:r>
      <w:r w:rsidRPr="001E3FC2">
        <w:rPr>
          <w:rFonts w:cs="Arial"/>
          <w:i/>
          <w:iCs/>
          <w:lang w:val="en-GB"/>
        </w:rPr>
        <w:t>t</w:t>
      </w:r>
      <w:r w:rsidRPr="001E3FC2">
        <w:rPr>
          <w:rFonts w:cs="Arial"/>
          <w:vertAlign w:val="subscript"/>
          <w:lang w:val="en-GB"/>
        </w:rPr>
        <w:t>4</w:t>
      </w:r>
      <w:r w:rsidRPr="001E3FC2">
        <w:rPr>
          <w:rFonts w:cs="Arial"/>
          <w:lang w:val="en-GB"/>
        </w:rPr>
        <w:t>). The relaxation to the new steady</w:t>
      </w:r>
      <w:r>
        <w:rPr>
          <w:rFonts w:cs="Arial"/>
          <w:lang w:val="en-GB"/>
        </w:rPr>
        <w:t>-</w:t>
      </w:r>
      <w:r w:rsidRPr="001E3FC2">
        <w:rPr>
          <w:rFonts w:cs="Arial"/>
          <w:lang w:val="en-GB"/>
        </w:rPr>
        <w:t>state</w:t>
      </w:r>
      <w:r>
        <w:rPr>
          <w:rFonts w:cs="Arial"/>
          <w:lang w:val="en-GB"/>
        </w:rPr>
        <w:t xml:space="preserve"> (</w:t>
      </w:r>
      <w:r w:rsidRPr="001E3FC2">
        <w:rPr>
          <w:rFonts w:cs="Arial"/>
          <w:i/>
          <w:iCs/>
          <w:lang w:val="en-GB"/>
        </w:rPr>
        <w:t>t</w:t>
      </w:r>
      <w:r w:rsidRPr="001E3FC2">
        <w:rPr>
          <w:rFonts w:cs="Arial"/>
          <w:vertAlign w:val="subscript"/>
          <w:lang w:val="en-GB"/>
        </w:rPr>
        <w:t>5</w:t>
      </w:r>
      <w:r>
        <w:rPr>
          <w:rFonts w:cs="Arial"/>
          <w:lang w:val="en-GB"/>
        </w:rPr>
        <w:t>)</w:t>
      </w:r>
      <w:r w:rsidRPr="001E3FC2">
        <w:rPr>
          <w:rFonts w:cs="Arial"/>
          <w:lang w:val="en-GB"/>
        </w:rPr>
        <w:t xml:space="preserve"> is slower and requires approximately 335 s.</w:t>
      </w:r>
    </w:p>
    <w:p w14:paraId="7D8BECB8" w14:textId="1A891565" w:rsidR="00980FAF" w:rsidRDefault="00980FAF" w:rsidP="00980FAF">
      <w:pPr>
        <w:pStyle w:val="CETBodytext"/>
        <w:rPr>
          <w:lang w:val="en-GB"/>
        </w:rPr>
      </w:pPr>
      <w:r w:rsidRPr="00B800F4">
        <w:rPr>
          <w:rFonts w:cs="Arial"/>
          <w:lang w:val="en-GB"/>
        </w:rPr>
        <w:t xml:space="preserve">The different transition times indicate that heating and cooling of the reactor are asymmetric. This </w:t>
      </w:r>
      <w:r w:rsidRPr="00B800F4">
        <w:rPr>
          <w:rFonts w:cs="Arial"/>
        </w:rPr>
        <w:t>behavior</w:t>
      </w:r>
      <w:r w:rsidRPr="00B800F4">
        <w:rPr>
          <w:rFonts w:cs="Arial"/>
          <w:lang w:val="en-GB"/>
        </w:rPr>
        <w:t xml:space="preserve"> can be attributed to the interaction between convective heat input, reaction heat release, radial heat removal, and the thermal inertia of the fixed bed, with the different characteristic timescales of reaction and radial heat removal playing a particularly important role.</w:t>
      </w:r>
      <w:r>
        <w:rPr>
          <w:rFonts w:cs="Arial"/>
          <w:lang w:val="en-GB"/>
        </w:rPr>
        <w:t xml:space="preserve"> </w:t>
      </w:r>
      <w:r w:rsidRPr="004F31CE">
        <w:rPr>
          <w:lang w:val="en-GB"/>
        </w:rPr>
        <w:t xml:space="preserve">After the feed temperature is reduced, the upstream reaction rate decreases rapidly, allowing a less-converted gas mixture to penetrate </w:t>
      </w:r>
      <w:r w:rsidRPr="009D7095">
        <w:rPr>
          <w:rFonts w:cs="Arial"/>
          <w:lang w:val="en-GB"/>
        </w:rPr>
        <w:t>further into the hot catalyst bed</w:t>
      </w:r>
      <w:r w:rsidRPr="004F31CE">
        <w:rPr>
          <w:lang w:val="en-GB"/>
        </w:rPr>
        <w:t xml:space="preserve">. </w:t>
      </w:r>
      <w:r w:rsidRPr="009D7095">
        <w:rPr>
          <w:rFonts w:cs="Arial"/>
          <w:lang w:val="en-GB"/>
        </w:rPr>
        <w:t>There, the reactants are rapidly heated and converted, causing a temporary downstream intensification of the hot</w:t>
      </w:r>
      <w:r w:rsidR="009F2E14">
        <w:rPr>
          <w:rFonts w:cs="Arial"/>
          <w:lang w:val="en-GB"/>
        </w:rPr>
        <w:t>-</w:t>
      </w:r>
      <w:r w:rsidRPr="009D7095">
        <w:rPr>
          <w:rFonts w:cs="Arial"/>
          <w:lang w:val="en-GB"/>
        </w:rPr>
        <w:t>spot.</w:t>
      </w:r>
      <w:r>
        <w:rPr>
          <w:lang w:val="en-GB"/>
        </w:rPr>
        <w:t xml:space="preserve"> As</w:t>
      </w:r>
      <w:r w:rsidRPr="004F31CE">
        <w:rPr>
          <w:lang w:val="en-GB"/>
        </w:rPr>
        <w:t xml:space="preserve"> reaction heat release </w:t>
      </w:r>
      <w:r>
        <w:rPr>
          <w:lang w:val="en-GB"/>
        </w:rPr>
        <w:t xml:space="preserve">occurs </w:t>
      </w:r>
      <w:r w:rsidRPr="004F31CE">
        <w:rPr>
          <w:lang w:val="en-GB"/>
        </w:rPr>
        <w:t>faster than radial heat removal, the temperature initially rises despite the colder feed, resulting in</w:t>
      </w:r>
      <w:r>
        <w:rPr>
          <w:lang w:val="en-GB"/>
        </w:rPr>
        <w:t xml:space="preserve"> </w:t>
      </w:r>
      <w:r w:rsidRPr="004F31CE">
        <w:rPr>
          <w:lang w:val="en-GB"/>
        </w:rPr>
        <w:t xml:space="preserve">characteristic wrong-way </w:t>
      </w:r>
      <w:proofErr w:type="spellStart"/>
      <w:r w:rsidRPr="004F31CE">
        <w:rPr>
          <w:lang w:val="en-GB"/>
        </w:rPr>
        <w:t>behavior</w:t>
      </w:r>
      <w:proofErr w:type="spellEnd"/>
      <w:r w:rsidRPr="004F31CE">
        <w:rPr>
          <w:lang w:val="en-GB"/>
        </w:rPr>
        <w:t>.</w:t>
      </w:r>
      <w:r>
        <w:rPr>
          <w:lang w:val="en-GB"/>
        </w:rPr>
        <w:t xml:space="preserve"> </w:t>
      </w:r>
      <w:r w:rsidRPr="004F31CE">
        <w:rPr>
          <w:lang w:val="en-GB"/>
        </w:rPr>
        <w:t>During the feed-temperature increase, the ignition temperature is reached further upstream, shifting the reaction zone toward the inlet, while heat absorption by the catalyst bed</w:t>
      </w:r>
      <w:r>
        <w:rPr>
          <w:lang w:val="en-GB"/>
        </w:rPr>
        <w:t xml:space="preserve"> </w:t>
      </w:r>
      <w:r w:rsidRPr="004F31CE">
        <w:rPr>
          <w:lang w:val="en-GB"/>
        </w:rPr>
        <w:t>causes a temporary decrease in the hot-spot temperature.</w:t>
      </w:r>
      <w:r>
        <w:rPr>
          <w:lang w:val="en-GB"/>
        </w:rPr>
        <w:t xml:space="preserve"> </w:t>
      </w:r>
      <w:r w:rsidRPr="004F31CE">
        <w:rPr>
          <w:lang w:val="en-GB"/>
        </w:rPr>
        <w:t xml:space="preserve">The faster response during the temperature increase is governed mainly by the rapid reaction, whereas the slower response during the decrease </w:t>
      </w:r>
      <w:r w:rsidR="00C55537">
        <w:rPr>
          <w:lang w:val="en-GB"/>
        </w:rPr>
        <w:t xml:space="preserve">is </w:t>
      </w:r>
      <w:r w:rsidR="002C46F2">
        <w:rPr>
          <w:lang w:val="en-GB"/>
        </w:rPr>
        <w:t>governed by s</w:t>
      </w:r>
      <w:r>
        <w:rPr>
          <w:lang w:val="en-GB"/>
        </w:rPr>
        <w:t xml:space="preserve">low </w:t>
      </w:r>
      <w:r w:rsidRPr="004F31CE">
        <w:rPr>
          <w:lang w:val="en-GB"/>
        </w:rPr>
        <w:t>radial heat removal and the thermal inertia of the reactor system.</w:t>
      </w:r>
    </w:p>
    <w:p w14:paraId="2FBB8C9E" w14:textId="1E4B3C56" w:rsidR="00A000A9" w:rsidRPr="001342BD" w:rsidRDefault="00F24E3B" w:rsidP="001342BD">
      <w:r>
        <w:t>T</w:t>
      </w:r>
      <w:r w:rsidRPr="009946FF">
        <w:t>he feed-temperature perturbation does not change the</w:t>
      </w:r>
      <w:r>
        <w:t xml:space="preserve"> </w:t>
      </w:r>
      <w:r w:rsidRPr="009946FF">
        <w:t xml:space="preserve">overall heat release rate. Instead, it modifies the thermal boundary condition at the reactor inlet and thus the position at which the reaction is </w:t>
      </w:r>
      <w:r>
        <w:t>ignited</w:t>
      </w:r>
      <w:r w:rsidRPr="009946FF">
        <w:t xml:space="preserve">. The spatially resolved temperature profiles reveal this internal displacement even though the overall conversion remains unchanged. Such perturbations are relevant to </w:t>
      </w:r>
      <w:proofErr w:type="spellStart"/>
      <w:r w:rsidRPr="009946FF">
        <w:t>PtX</w:t>
      </w:r>
      <w:proofErr w:type="spellEnd"/>
      <w:r w:rsidRPr="009946FF">
        <w:t xml:space="preserve"> operation, where feed-temperature changes may arise from upstream heat integration or preheater operation. For scale-up, the observed </w:t>
      </w:r>
      <w:proofErr w:type="spellStart"/>
      <w:r w:rsidRPr="009946FF">
        <w:t>behavior</w:t>
      </w:r>
      <w:proofErr w:type="spellEnd"/>
      <w:r w:rsidRPr="009946FF">
        <w:t xml:space="preserve"> argues against increasing the reactor-tube diameter, as longer radial heat-transfer paths and greater thermal inertia may amplify and prolong wrong-way </w:t>
      </w:r>
      <w:proofErr w:type="spellStart"/>
      <w:r w:rsidRPr="009946FF">
        <w:t>behavior</w:t>
      </w:r>
      <w:proofErr w:type="spellEnd"/>
      <w:r w:rsidRPr="009946FF">
        <w:t xml:space="preserve">. </w:t>
      </w:r>
      <w:r w:rsidR="001342BD" w:rsidRPr="002F61F6">
        <w:t>The results therefore support numbering-up of small-diameter tubes rather than diameter scale-up as a preferred strategy for increasing capacity.</w:t>
      </w:r>
    </w:p>
    <w:p w14:paraId="486CFFBB" w14:textId="4E9E7BA6" w:rsidR="00E979BA" w:rsidRDefault="009E02C2" w:rsidP="00E979BA">
      <w:pPr>
        <w:keepNext/>
        <w:tabs>
          <w:tab w:val="clear" w:pos="7100"/>
        </w:tabs>
        <w:spacing w:line="276" w:lineRule="auto"/>
        <w:jc w:val="center"/>
      </w:pPr>
      <w:r>
        <w:rPr>
          <w:noProof/>
        </w:rPr>
        <w:lastRenderedPageBreak/>
        <w:drawing>
          <wp:inline distT="0" distB="0" distL="0" distR="0" wp14:anchorId="30FA7CED" wp14:editId="320F6592">
            <wp:extent cx="4453246" cy="2282624"/>
            <wp:effectExtent l="0" t="0" r="5080" b="381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2"/>
                    <a:stretch>
                      <a:fillRect/>
                    </a:stretch>
                  </pic:blipFill>
                  <pic:spPr>
                    <a:xfrm>
                      <a:off x="0" y="0"/>
                      <a:ext cx="4489765" cy="2301343"/>
                    </a:xfrm>
                    <a:prstGeom prst="rect">
                      <a:avLst/>
                    </a:prstGeom>
                  </pic:spPr>
                </pic:pic>
              </a:graphicData>
            </a:graphic>
          </wp:inline>
        </w:drawing>
      </w:r>
    </w:p>
    <w:p w14:paraId="65361C51" w14:textId="7F893F38" w:rsidR="00A74773" w:rsidRPr="00E979BA" w:rsidRDefault="00E979BA" w:rsidP="00A30906">
      <w:pPr>
        <w:pStyle w:val="Beschriftung"/>
        <w:rPr>
          <w:b w:val="0"/>
          <w:bCs w:val="0"/>
          <w:i/>
          <w:iCs/>
          <w:color w:val="auto"/>
          <w:lang w:val="en-US"/>
        </w:rPr>
      </w:pPr>
      <w:r w:rsidRPr="00E979BA">
        <w:rPr>
          <w:b w:val="0"/>
          <w:bCs w:val="0"/>
          <w:i/>
          <w:iCs/>
          <w:color w:val="auto"/>
        </w:rPr>
        <w:t xml:space="preserve">Figure </w:t>
      </w:r>
      <w:r>
        <w:rPr>
          <w:b w:val="0"/>
          <w:bCs w:val="0"/>
          <w:i/>
          <w:iCs/>
          <w:color w:val="auto"/>
        </w:rPr>
        <w:t xml:space="preserve">3: </w:t>
      </w:r>
      <w:r w:rsidRPr="00E979BA">
        <w:rPr>
          <w:b w:val="0"/>
          <w:bCs w:val="0"/>
          <w:i/>
          <w:iCs/>
          <w:color w:val="auto"/>
        </w:rPr>
        <w:t xml:space="preserve">Axial temperature profiles </w:t>
      </w:r>
      <w:r w:rsidR="002367AA">
        <w:rPr>
          <w:b w:val="0"/>
          <w:bCs w:val="0"/>
          <w:i/>
          <w:iCs/>
          <w:color w:val="auto"/>
        </w:rPr>
        <w:t>for</w:t>
      </w:r>
      <w:r w:rsidRPr="00E979BA">
        <w:rPr>
          <w:b w:val="0"/>
          <w:bCs w:val="0"/>
          <w:i/>
          <w:iCs/>
          <w:color w:val="auto"/>
        </w:rPr>
        <w:t xml:space="preserve"> feed-temperature perturbation experiments</w:t>
      </w:r>
      <w:r w:rsidR="002367AA">
        <w:rPr>
          <w:b w:val="0"/>
          <w:bCs w:val="0"/>
          <w:i/>
          <w:iCs/>
          <w:color w:val="auto"/>
        </w:rPr>
        <w:t xml:space="preserve"> </w:t>
      </w:r>
      <w:r w:rsidRPr="00E979BA">
        <w:rPr>
          <w:b w:val="0"/>
          <w:bCs w:val="0"/>
          <w:i/>
          <w:iCs/>
          <w:color w:val="auto"/>
        </w:rPr>
        <w:t>from 60</w:t>
      </w:r>
      <w:r>
        <w:rPr>
          <w:b w:val="0"/>
          <w:bCs w:val="0"/>
          <w:i/>
          <w:iCs/>
          <w:color w:val="auto"/>
        </w:rPr>
        <w:t xml:space="preserve"> </w:t>
      </w:r>
      <w:r w:rsidRPr="00E979BA">
        <w:rPr>
          <w:b w:val="0"/>
          <w:bCs w:val="0"/>
          <w:i/>
          <w:iCs/>
          <w:color w:val="auto"/>
        </w:rPr>
        <w:t>to 160</w:t>
      </w:r>
      <w:r w:rsidRPr="00A30906">
        <w:rPr>
          <w:b w:val="0"/>
          <w:bCs w:val="0"/>
          <w:i/>
          <w:iCs/>
          <w:color w:val="auto"/>
          <w:sz w:val="10"/>
          <w:szCs w:val="10"/>
        </w:rPr>
        <w:t xml:space="preserve"> </w:t>
      </w:r>
      <w:r w:rsidRPr="00E979BA">
        <w:rPr>
          <w:b w:val="0"/>
          <w:bCs w:val="0"/>
          <w:i/>
          <w:iCs/>
          <w:color w:val="auto"/>
        </w:rPr>
        <w:t xml:space="preserve">°C (left) and </w:t>
      </w:r>
      <w:r w:rsidR="002367AA">
        <w:rPr>
          <w:b w:val="0"/>
          <w:bCs w:val="0"/>
          <w:i/>
          <w:iCs/>
          <w:color w:val="auto"/>
        </w:rPr>
        <w:t xml:space="preserve">back to </w:t>
      </w:r>
      <w:r w:rsidRPr="00E979BA">
        <w:rPr>
          <w:b w:val="0"/>
          <w:bCs w:val="0"/>
          <w:i/>
          <w:iCs/>
          <w:color w:val="auto"/>
        </w:rPr>
        <w:t>60</w:t>
      </w:r>
      <w:r w:rsidR="00A30906" w:rsidRPr="00A30906">
        <w:rPr>
          <w:b w:val="0"/>
          <w:bCs w:val="0"/>
          <w:i/>
          <w:iCs/>
          <w:color w:val="auto"/>
          <w:sz w:val="10"/>
          <w:szCs w:val="10"/>
        </w:rPr>
        <w:t xml:space="preserve"> </w:t>
      </w:r>
      <w:r w:rsidRPr="00E979BA">
        <w:rPr>
          <w:b w:val="0"/>
          <w:bCs w:val="0"/>
          <w:i/>
          <w:iCs/>
          <w:color w:val="auto"/>
        </w:rPr>
        <w:t>°C (right) at</w:t>
      </w:r>
      <w:r w:rsidR="00A14CAA">
        <w:rPr>
          <w:b w:val="0"/>
          <w:bCs w:val="0"/>
          <w:i/>
          <w:iCs/>
          <w:color w:val="auto"/>
        </w:rPr>
        <w:t xml:space="preserve"> </w:t>
      </w:r>
      <w:r w:rsidR="002367AA">
        <w:rPr>
          <w:b w:val="0"/>
          <w:bCs w:val="0"/>
          <w:i/>
          <w:iCs/>
          <w:color w:val="auto"/>
        </w:rPr>
        <w:t>a feed flow rate of</w:t>
      </w:r>
      <w:r w:rsidRPr="00E979BA">
        <w:rPr>
          <w:b w:val="0"/>
          <w:bCs w:val="0"/>
          <w:i/>
          <w:iCs/>
          <w:color w:val="auto"/>
        </w:rPr>
        <w:t xml:space="preserve"> 60 LN min</w:t>
      </w:r>
      <w:r w:rsidRPr="00A30906">
        <w:rPr>
          <w:b w:val="0"/>
          <w:bCs w:val="0"/>
          <w:i/>
          <w:iCs/>
          <w:color w:val="auto"/>
          <w:vertAlign w:val="superscript"/>
        </w:rPr>
        <w:t>-1</w:t>
      </w:r>
      <w:r w:rsidRPr="00E979BA">
        <w:rPr>
          <w:b w:val="0"/>
          <w:bCs w:val="0"/>
          <w:i/>
          <w:iCs/>
          <w:color w:val="auto"/>
        </w:rPr>
        <w:t xml:space="preserve"> (GHSV = 4,900 h</w:t>
      </w:r>
      <w:r w:rsidRPr="00A30906">
        <w:rPr>
          <w:b w:val="0"/>
          <w:bCs w:val="0"/>
          <w:i/>
          <w:iCs/>
          <w:color w:val="auto"/>
          <w:vertAlign w:val="superscript"/>
        </w:rPr>
        <w:t>-1</w:t>
      </w:r>
      <w:r w:rsidRPr="00E979BA">
        <w:rPr>
          <w:b w:val="0"/>
          <w:bCs w:val="0"/>
          <w:i/>
          <w:iCs/>
          <w:color w:val="auto"/>
        </w:rPr>
        <w:t xml:space="preserve">), 12 bar(g), </w:t>
      </w:r>
      <w:proofErr w:type="spellStart"/>
      <w:r w:rsidRPr="00E979BA">
        <w:rPr>
          <w:b w:val="0"/>
          <w:bCs w:val="0"/>
          <w:i/>
          <w:iCs/>
          <w:color w:val="auto"/>
        </w:rPr>
        <w:t>T</w:t>
      </w:r>
      <w:r w:rsidRPr="00A30906">
        <w:rPr>
          <w:b w:val="0"/>
          <w:bCs w:val="0"/>
          <w:i/>
          <w:iCs/>
          <w:color w:val="auto"/>
          <w:vertAlign w:val="subscript"/>
        </w:rPr>
        <w:t>cool</w:t>
      </w:r>
      <w:proofErr w:type="spellEnd"/>
      <w:r w:rsidRPr="00E979BA">
        <w:rPr>
          <w:b w:val="0"/>
          <w:bCs w:val="0"/>
          <w:i/>
          <w:iCs/>
          <w:color w:val="auto"/>
        </w:rPr>
        <w:t xml:space="preserve"> = 220 °C</w:t>
      </w:r>
      <w:r w:rsidR="002367AA">
        <w:rPr>
          <w:b w:val="0"/>
          <w:bCs w:val="0"/>
          <w:i/>
          <w:iCs/>
          <w:color w:val="auto"/>
        </w:rPr>
        <w:t>,</w:t>
      </w:r>
      <w:r w:rsidRPr="00E979BA">
        <w:rPr>
          <w:b w:val="0"/>
          <w:bCs w:val="0"/>
          <w:i/>
          <w:iCs/>
          <w:color w:val="auto"/>
        </w:rPr>
        <w:t xml:space="preserve"> </w:t>
      </w:r>
      <w:r w:rsidR="002367AA" w:rsidRPr="00A30906">
        <w:rPr>
          <w:rFonts w:cs="Arial"/>
          <w:b w:val="0"/>
          <w:bCs w:val="0"/>
          <w:i/>
          <w:iCs/>
          <w:color w:val="auto"/>
        </w:rPr>
        <w:t>and constant</w:t>
      </w:r>
      <w:r w:rsidR="002367AA">
        <w:rPr>
          <w:rFonts w:cs="Arial"/>
          <w:b w:val="0"/>
          <w:bCs w:val="0"/>
          <w:i/>
          <w:iCs/>
          <w:color w:val="auto"/>
        </w:rPr>
        <w:t xml:space="preserve"> molar </w:t>
      </w:r>
      <w:r w:rsidR="002367AA" w:rsidRPr="00A30906">
        <w:rPr>
          <w:rFonts w:cs="Arial"/>
          <w:b w:val="0"/>
          <w:bCs w:val="0"/>
          <w:i/>
          <w:iCs/>
          <w:color w:val="auto"/>
        </w:rPr>
        <w:t>feed composition</w:t>
      </w:r>
      <w:r w:rsidR="002367AA">
        <w:rPr>
          <w:rFonts w:cs="Arial"/>
          <w:b w:val="0"/>
          <w:bCs w:val="0"/>
          <w:i/>
          <w:iCs/>
          <w:color w:val="auto"/>
        </w:rPr>
        <w:t xml:space="preserve"> (</w:t>
      </w:r>
      <w:proofErr w:type="gramStart"/>
      <w:r w:rsidR="002367AA">
        <w:rPr>
          <w:rFonts w:cs="Arial"/>
          <w:b w:val="0"/>
          <w:bCs w:val="0"/>
          <w:i/>
          <w:iCs/>
          <w:color w:val="auto"/>
        </w:rPr>
        <w:t>CO</w:t>
      </w:r>
      <w:r w:rsidR="002367AA" w:rsidRPr="002367AA">
        <w:rPr>
          <w:rFonts w:cs="Arial"/>
          <w:b w:val="0"/>
          <w:bCs w:val="0"/>
          <w:i/>
          <w:iCs/>
          <w:color w:val="auto"/>
          <w:vertAlign w:val="subscript"/>
        </w:rPr>
        <w:t>2</w:t>
      </w:r>
      <w:r w:rsidR="002367AA">
        <w:rPr>
          <w:rFonts w:cs="Arial"/>
          <w:b w:val="0"/>
          <w:bCs w:val="0"/>
          <w:i/>
          <w:iCs/>
          <w:color w:val="auto"/>
        </w:rPr>
        <w:t>:H</w:t>
      </w:r>
      <w:r w:rsidR="002367AA" w:rsidRPr="002367AA">
        <w:rPr>
          <w:rFonts w:cs="Arial"/>
          <w:b w:val="0"/>
          <w:bCs w:val="0"/>
          <w:i/>
          <w:iCs/>
          <w:color w:val="auto"/>
          <w:vertAlign w:val="subscript"/>
        </w:rPr>
        <w:t>2</w:t>
      </w:r>
      <w:r w:rsidR="002367AA">
        <w:rPr>
          <w:rFonts w:cs="Arial"/>
          <w:b w:val="0"/>
          <w:bCs w:val="0"/>
          <w:i/>
          <w:iCs/>
          <w:color w:val="auto"/>
        </w:rPr>
        <w:t>:CH</w:t>
      </w:r>
      <w:r w:rsidR="002367AA" w:rsidRPr="002367AA">
        <w:rPr>
          <w:rFonts w:cs="Arial"/>
          <w:b w:val="0"/>
          <w:bCs w:val="0"/>
          <w:i/>
          <w:iCs/>
          <w:color w:val="auto"/>
          <w:vertAlign w:val="subscript"/>
        </w:rPr>
        <w:t>4</w:t>
      </w:r>
      <w:proofErr w:type="gramEnd"/>
      <w:r w:rsidR="002367AA">
        <w:rPr>
          <w:rFonts w:cs="Arial"/>
          <w:b w:val="0"/>
          <w:bCs w:val="0"/>
          <w:i/>
          <w:iCs/>
          <w:color w:val="auto"/>
        </w:rPr>
        <w:t xml:space="preserve"> = 1:4:</w:t>
      </w:r>
      <w:r w:rsidR="001A1078">
        <w:rPr>
          <w:rFonts w:cs="Arial"/>
          <w:b w:val="0"/>
          <w:bCs w:val="0"/>
          <w:i/>
          <w:iCs/>
          <w:color w:val="auto"/>
        </w:rPr>
        <w:t>5</w:t>
      </w:r>
      <w:r w:rsidR="002367AA">
        <w:rPr>
          <w:rFonts w:cs="Arial"/>
          <w:b w:val="0"/>
          <w:bCs w:val="0"/>
          <w:i/>
          <w:iCs/>
          <w:color w:val="auto"/>
        </w:rPr>
        <w:t>)</w:t>
      </w:r>
      <w:r w:rsidR="002367AA" w:rsidRPr="00A30906">
        <w:rPr>
          <w:rFonts w:cs="Arial"/>
          <w:b w:val="0"/>
          <w:bCs w:val="0"/>
          <w:i/>
          <w:iCs/>
          <w:color w:val="auto"/>
        </w:rPr>
        <w:t>.</w:t>
      </w:r>
    </w:p>
    <w:p w14:paraId="48067C26" w14:textId="7BB8D33C" w:rsidR="00C81346" w:rsidRDefault="00C81346" w:rsidP="00C81346">
      <w:pPr>
        <w:pStyle w:val="CETHeading1"/>
      </w:pPr>
      <w:r w:rsidRPr="00C81346">
        <w:t>Conclusions</w:t>
      </w:r>
    </w:p>
    <w:p w14:paraId="7A98D9DC" w14:textId="43C5AC43" w:rsidR="00694F12" w:rsidRPr="00694F12" w:rsidRDefault="00694F12" w:rsidP="001F0DDD">
      <w:pPr>
        <w:pStyle w:val="CETBodytext"/>
        <w:rPr>
          <w:rFonts w:cs="Arial"/>
        </w:rPr>
      </w:pPr>
      <w:r w:rsidRPr="00694F12">
        <w:rPr>
          <w:rFonts w:cs="Arial"/>
          <w:lang w:val="en-GB"/>
        </w:rPr>
        <w:t>This work demonstrate</w:t>
      </w:r>
      <w:r w:rsidR="006562B3">
        <w:rPr>
          <w:rFonts w:cs="Arial"/>
          <w:lang w:val="en-GB"/>
        </w:rPr>
        <w:t>d</w:t>
      </w:r>
      <w:r w:rsidRPr="00694F12">
        <w:rPr>
          <w:rFonts w:cs="Arial"/>
          <w:lang w:val="en-GB"/>
        </w:rPr>
        <w:t xml:space="preserve"> dynamic CO</w:t>
      </w:r>
      <w:r w:rsidRPr="00694F12">
        <w:rPr>
          <w:rFonts w:ascii="Cambria Math" w:hAnsi="Cambria Math" w:cs="Cambria Math"/>
          <w:lang w:val="en-GB"/>
        </w:rPr>
        <w:t>₂</w:t>
      </w:r>
      <w:r w:rsidRPr="00694F12">
        <w:rPr>
          <w:rFonts w:cs="Arial"/>
          <w:lang w:val="en-GB"/>
        </w:rPr>
        <w:t xml:space="preserve"> methanation in a modular </w:t>
      </w:r>
      <w:proofErr w:type="spellStart"/>
      <w:r w:rsidRPr="00694F12">
        <w:rPr>
          <w:rFonts w:cs="Arial"/>
          <w:lang w:val="en-GB"/>
        </w:rPr>
        <w:t>PtX</w:t>
      </w:r>
      <w:proofErr w:type="spellEnd"/>
      <w:r w:rsidRPr="00694F12">
        <w:rPr>
          <w:rFonts w:cs="Arial"/>
          <w:lang w:val="en-GB"/>
        </w:rPr>
        <w:t xml:space="preserve"> lab-pilot plant equipped with a wall-cooled fixed-bed reactor and spatially resolved </w:t>
      </w:r>
      <w:proofErr w:type="spellStart"/>
      <w:r w:rsidRPr="00694F12">
        <w:rPr>
          <w:rFonts w:cs="Arial"/>
          <w:lang w:val="en-GB"/>
        </w:rPr>
        <w:t>fiber</w:t>
      </w:r>
      <w:proofErr w:type="spellEnd"/>
      <w:r w:rsidRPr="00694F12">
        <w:rPr>
          <w:rFonts w:cs="Arial"/>
          <w:lang w:val="en-GB"/>
        </w:rPr>
        <w:t>-optic temperature sensing. At 12 bar(g), stable operation was maintained from 10 to 100 % load (21–210 LN min</w:t>
      </w:r>
      <w:r w:rsidRPr="00694F12">
        <w:rPr>
          <w:rFonts w:cs="Arial"/>
          <w:vertAlign w:val="superscript"/>
          <w:lang w:val="en-GB"/>
        </w:rPr>
        <w:t>-1</w:t>
      </w:r>
      <w:r w:rsidRPr="00694F12">
        <w:rPr>
          <w:rFonts w:cs="Arial"/>
          <w:lang w:val="en-GB"/>
        </w:rPr>
        <w:t>; GHSV = 1,700–17,000 h</w:t>
      </w:r>
      <w:r w:rsidRPr="00694F12">
        <w:rPr>
          <w:rFonts w:cs="Arial"/>
          <w:vertAlign w:val="superscript"/>
          <w:lang w:val="en-GB"/>
        </w:rPr>
        <w:t>-1</w:t>
      </w:r>
      <w:r w:rsidRPr="00694F12">
        <w:rPr>
          <w:rFonts w:cs="Arial"/>
          <w:lang w:val="en-GB"/>
        </w:rPr>
        <w:t xml:space="preserve">). During a continuous load ramp over 10 min, the investigated reactor was transferred rapidly from partial- to full-load operation, demonstrating the suitability of the wall-cooled fixed-bed reactor concept for load-flexible operation of heterogeneously </w:t>
      </w:r>
      <w:proofErr w:type="spellStart"/>
      <w:r w:rsidRPr="00694F12">
        <w:rPr>
          <w:rFonts w:cs="Arial"/>
          <w:lang w:val="en-GB"/>
        </w:rPr>
        <w:t>catalyzed</w:t>
      </w:r>
      <w:proofErr w:type="spellEnd"/>
      <w:r w:rsidRPr="00694F12">
        <w:rPr>
          <w:rFonts w:cs="Arial"/>
          <w:lang w:val="en-GB"/>
        </w:rPr>
        <w:t xml:space="preserve"> reactions in </w:t>
      </w:r>
      <w:proofErr w:type="spellStart"/>
      <w:r w:rsidRPr="00694F12">
        <w:rPr>
          <w:rFonts w:cs="Arial"/>
          <w:lang w:val="en-GB"/>
        </w:rPr>
        <w:t>PtX</w:t>
      </w:r>
      <w:proofErr w:type="spellEnd"/>
      <w:r w:rsidRPr="00694F12">
        <w:rPr>
          <w:rFonts w:cs="Arial"/>
          <w:lang w:val="en-GB"/>
        </w:rPr>
        <w:t xml:space="preserve"> processes. Feed-temperature perturbations produced an asymmetric thermal response: following the temperature increase, a new steady</w:t>
      </w:r>
      <w:r w:rsidR="00C55537">
        <w:rPr>
          <w:rFonts w:cs="Arial"/>
          <w:lang w:val="en-GB"/>
        </w:rPr>
        <w:t>-</w:t>
      </w:r>
      <w:r w:rsidRPr="00694F12">
        <w:rPr>
          <w:rFonts w:cs="Arial"/>
          <w:lang w:val="en-GB"/>
        </w:rPr>
        <w:t xml:space="preserve">state was reached within approximately 205 s, whereas the reverse transition required approximately 335 s and exhibited transient downstream hot-spot intensification characteristic of wrong-way </w:t>
      </w:r>
      <w:proofErr w:type="spellStart"/>
      <w:r w:rsidRPr="00694F12">
        <w:rPr>
          <w:rFonts w:cs="Arial"/>
          <w:lang w:val="en-GB"/>
        </w:rPr>
        <w:t>behavior</w:t>
      </w:r>
      <w:proofErr w:type="spellEnd"/>
      <w:r w:rsidRPr="00694F12">
        <w:rPr>
          <w:rFonts w:cs="Arial"/>
          <w:lang w:val="en-GB"/>
        </w:rPr>
        <w:t>. This asymmetry results primarily from the different timescales of reaction heat release and radial heat removal and may become more pronounced with increasing reactor-tube diameter.</w:t>
      </w:r>
      <w:r>
        <w:rPr>
          <w:rFonts w:cs="Arial"/>
          <w:lang w:val="en-GB"/>
        </w:rPr>
        <w:t xml:space="preserve"> </w:t>
      </w:r>
      <w:r w:rsidRPr="00694F12">
        <w:rPr>
          <w:lang w:val="en-GB"/>
        </w:rPr>
        <w:t xml:space="preserve">These results </w:t>
      </w:r>
      <w:r w:rsidR="006562B3">
        <w:rPr>
          <w:lang w:val="en-GB"/>
        </w:rPr>
        <w:t xml:space="preserve">additionally </w:t>
      </w:r>
      <w:r w:rsidRPr="00694F12">
        <w:rPr>
          <w:lang w:val="en-GB"/>
        </w:rPr>
        <w:t xml:space="preserve">show that dynamic reactor </w:t>
      </w:r>
      <w:proofErr w:type="spellStart"/>
      <w:r w:rsidRPr="00694F12">
        <w:rPr>
          <w:lang w:val="en-GB"/>
        </w:rPr>
        <w:t>behavior</w:t>
      </w:r>
      <w:proofErr w:type="spellEnd"/>
      <w:r w:rsidRPr="00694F12">
        <w:rPr>
          <w:lang w:val="en-GB"/>
        </w:rPr>
        <w:t xml:space="preserve"> cannot be sufficiently characterized by integral conversion or outlet-gas composition alone, as spatially resolved temperature profiles reveal internal reaction-zone shifts even when the overall conversion remains unchanged. </w:t>
      </w:r>
      <w:r w:rsidR="00A14CAA" w:rsidRPr="00A14CAA">
        <w:rPr>
          <w:lang w:val="en-GB"/>
        </w:rPr>
        <w:t>Temperature measurements with high spatial and temporal resolution</w:t>
      </w:r>
      <w:r w:rsidR="00A14CAA">
        <w:rPr>
          <w:lang w:val="en-GB"/>
        </w:rPr>
        <w:t>, e.g. DTS,</w:t>
      </w:r>
      <w:r w:rsidR="00A14CAA" w:rsidRPr="00A14CAA">
        <w:rPr>
          <w:lang w:val="en-GB"/>
        </w:rPr>
        <w:t xml:space="preserve"> are essential for identifying hot-spot movement, radial temperature gradients, and delayed thermal relaxation.</w:t>
      </w:r>
      <w:r w:rsidRPr="00694F12">
        <w:rPr>
          <w:lang w:val="en-GB"/>
        </w:rPr>
        <w:t xml:space="preserve"> The resulting dataset provides a valuable experimental basis for </w:t>
      </w:r>
      <w:r w:rsidR="00675D36">
        <w:rPr>
          <w:lang w:val="en-GB"/>
        </w:rPr>
        <w:t>future</w:t>
      </w:r>
      <w:r w:rsidRPr="00694F12">
        <w:rPr>
          <w:lang w:val="en-GB"/>
        </w:rPr>
        <w:t xml:space="preserve"> model validation and the development of model-supported operating strategies for load-flexible </w:t>
      </w:r>
      <w:proofErr w:type="spellStart"/>
      <w:r w:rsidRPr="00694F12">
        <w:rPr>
          <w:lang w:val="en-GB"/>
        </w:rPr>
        <w:t>PtX</w:t>
      </w:r>
      <w:proofErr w:type="spellEnd"/>
      <w:r w:rsidRPr="00694F12">
        <w:rPr>
          <w:lang w:val="en-GB"/>
        </w:rPr>
        <w:t xml:space="preserve"> reactors.</w:t>
      </w:r>
    </w:p>
    <w:p w14:paraId="56A355B4" w14:textId="77777777" w:rsidR="00C81346" w:rsidRPr="00C36232" w:rsidRDefault="00C81346" w:rsidP="00C81346">
      <w:pPr>
        <w:pStyle w:val="CETAcknowledgementstitle"/>
        <w:rPr>
          <w:lang w:val="en-US"/>
        </w:rPr>
      </w:pPr>
      <w:r w:rsidRPr="00C36232">
        <w:rPr>
          <w:lang w:val="en-US"/>
        </w:rPr>
        <w:t>Acknowledgments</w:t>
      </w:r>
    </w:p>
    <w:p w14:paraId="531BBA5F" w14:textId="01C54847" w:rsidR="00C81346" w:rsidRPr="00DA7935" w:rsidRDefault="00DA7935" w:rsidP="00DA7935">
      <w:pPr>
        <w:pStyle w:val="CETBodytext"/>
      </w:pPr>
      <w:r w:rsidRPr="00DA7935">
        <w:t xml:space="preserve">The authors gratefully acknowledge financial support by the Deutsche </w:t>
      </w:r>
      <w:proofErr w:type="spellStart"/>
      <w:r w:rsidRPr="00DA7935">
        <w:t>Forschungsgemeinschaft</w:t>
      </w:r>
      <w:proofErr w:type="spellEnd"/>
      <w:r w:rsidRPr="00DA7935">
        <w:t xml:space="preserve"> (DFG, German Research Foundation) for funding the major research instrumentation used in this work under grant number INST 189/224-1 FUGG.</w:t>
      </w:r>
    </w:p>
    <w:p w14:paraId="230A65B4" w14:textId="60EC68BB" w:rsidR="002A1AE5" w:rsidRPr="00655D3B" w:rsidRDefault="00C81346" w:rsidP="00C81346">
      <w:pPr>
        <w:pStyle w:val="CETReference"/>
        <w:rPr>
          <w:szCs w:val="18"/>
          <w:lang w:val="en-US"/>
        </w:rPr>
      </w:pPr>
      <w:r w:rsidRPr="00655D3B">
        <w:rPr>
          <w:szCs w:val="18"/>
          <w:lang w:val="en-US"/>
        </w:rPr>
        <w:t>References</w:t>
      </w:r>
    </w:p>
    <w:p w14:paraId="7B301156" w14:textId="783F72A9" w:rsidR="00AA7010" w:rsidRPr="00655D3B" w:rsidRDefault="00AA7010" w:rsidP="00AA7010">
      <w:pPr>
        <w:pStyle w:val="CETReferencetext"/>
        <w:rPr>
          <w:rFonts w:cs="Arial"/>
          <w:szCs w:val="18"/>
          <w:lang w:val="en-US"/>
        </w:rPr>
      </w:pPr>
      <w:r w:rsidRPr="00655D3B">
        <w:rPr>
          <w:rFonts w:cs="Arial"/>
          <w:szCs w:val="18"/>
          <w:lang w:val="en-US"/>
        </w:rPr>
        <w:t>Bremer J., 2020, Advanced operating strategies for non-isothermal fixed-bed reactors exemplified for CO</w:t>
      </w:r>
      <w:r w:rsidR="00841337" w:rsidRPr="00655D3B">
        <w:rPr>
          <w:rFonts w:cs="Arial"/>
          <w:szCs w:val="18"/>
          <w:vertAlign w:val="subscript"/>
          <w:lang w:val="en-US"/>
        </w:rPr>
        <w:t>2</w:t>
      </w:r>
      <w:r w:rsidRPr="00655D3B">
        <w:rPr>
          <w:rFonts w:cs="Arial"/>
          <w:szCs w:val="18"/>
          <w:lang w:val="en-US"/>
        </w:rPr>
        <w:t xml:space="preserve"> methanation, PhD Thesis, Otto-von-Guericke University Magdeburg,</w:t>
      </w:r>
      <w:r w:rsidR="00E979BA" w:rsidRPr="00655D3B">
        <w:rPr>
          <w:rFonts w:cs="Arial"/>
          <w:szCs w:val="18"/>
          <w:lang w:val="en-US"/>
        </w:rPr>
        <w:t xml:space="preserve"> </w:t>
      </w:r>
      <w:r w:rsidRPr="00655D3B">
        <w:rPr>
          <w:rFonts w:cs="Arial"/>
          <w:szCs w:val="18"/>
          <w:lang w:val="en-US"/>
        </w:rPr>
        <w:t>Germany, DOI: 10.25673/36442.</w:t>
      </w:r>
    </w:p>
    <w:p w14:paraId="2C543BB0" w14:textId="3887C70A" w:rsidR="00AA7010" w:rsidRPr="00655D3B" w:rsidRDefault="00AA7010" w:rsidP="00AA7010">
      <w:pPr>
        <w:pStyle w:val="CETReferencetext"/>
        <w:rPr>
          <w:rFonts w:cs="Arial"/>
          <w:szCs w:val="18"/>
          <w:lang w:val="en-US"/>
        </w:rPr>
      </w:pPr>
      <w:proofErr w:type="spellStart"/>
      <w:r w:rsidRPr="00655D3B">
        <w:rPr>
          <w:rFonts w:cs="Arial"/>
          <w:szCs w:val="18"/>
          <w:lang w:val="en-US"/>
        </w:rPr>
        <w:t>Dannesboe</w:t>
      </w:r>
      <w:proofErr w:type="spellEnd"/>
      <w:r w:rsidRPr="00655D3B">
        <w:rPr>
          <w:rFonts w:cs="Arial"/>
          <w:szCs w:val="18"/>
          <w:lang w:val="en-US"/>
        </w:rPr>
        <w:t xml:space="preserve"> C., Hansen J.B., Johannsen I., 2020, Catalytic methanation of CO</w:t>
      </w:r>
      <w:r w:rsidR="00841337" w:rsidRPr="00655D3B">
        <w:rPr>
          <w:rFonts w:cs="Arial"/>
          <w:szCs w:val="18"/>
          <w:vertAlign w:val="subscript"/>
          <w:lang w:val="en-US"/>
        </w:rPr>
        <w:t>2</w:t>
      </w:r>
      <w:r w:rsidRPr="00655D3B">
        <w:rPr>
          <w:rFonts w:cs="Arial"/>
          <w:szCs w:val="18"/>
          <w:lang w:val="en-US"/>
        </w:rPr>
        <w:t xml:space="preserve"> in biogas: experimental results from a reactor at full scale, </w:t>
      </w:r>
      <w:r w:rsidR="00E979BA" w:rsidRPr="00655D3B">
        <w:rPr>
          <w:rFonts w:cs="Arial"/>
          <w:szCs w:val="18"/>
        </w:rPr>
        <w:t>React. Chem. Eng.</w:t>
      </w:r>
      <w:r w:rsidRPr="00655D3B">
        <w:rPr>
          <w:rFonts w:cs="Arial"/>
          <w:szCs w:val="18"/>
          <w:lang w:val="en-US"/>
        </w:rPr>
        <w:t>, 5, 183–189, DOI: 10.1039/C9RE00351G.</w:t>
      </w:r>
    </w:p>
    <w:p w14:paraId="4A10D450" w14:textId="5F8C0A72" w:rsidR="00AA7010" w:rsidRPr="00655D3B" w:rsidRDefault="00AA7010" w:rsidP="00AA7010">
      <w:pPr>
        <w:pStyle w:val="CETReferencetext"/>
        <w:rPr>
          <w:rFonts w:cs="Arial"/>
          <w:szCs w:val="18"/>
          <w:lang w:val="en-US"/>
        </w:rPr>
      </w:pPr>
      <w:r w:rsidRPr="00655D3B">
        <w:rPr>
          <w:rFonts w:cs="Arial"/>
          <w:szCs w:val="18"/>
          <w:lang w:val="en-US"/>
        </w:rPr>
        <w:t xml:space="preserve">Fischer K.L., Langer M.R., Freund H., 2019, Dynamic carbon dioxide methanation in a wall-cooled fixed bed reactor: comparative evaluation of reactor models, </w:t>
      </w:r>
      <w:r w:rsidR="00E979BA" w:rsidRPr="00655D3B">
        <w:rPr>
          <w:rFonts w:cs="Arial"/>
          <w:szCs w:val="18"/>
        </w:rPr>
        <w:t>Ind. Eng. Chem. Res.</w:t>
      </w:r>
      <w:r w:rsidRPr="00655D3B">
        <w:rPr>
          <w:rFonts w:cs="Arial"/>
          <w:szCs w:val="18"/>
          <w:lang w:val="en-US"/>
        </w:rPr>
        <w:t>, 58, 19406–19420, DOI: 10.1021/acs.iecr.9b02863.</w:t>
      </w:r>
    </w:p>
    <w:p w14:paraId="2A93AB28" w14:textId="398F3C13" w:rsidR="00AA7010" w:rsidRPr="00655D3B" w:rsidRDefault="00AA7010" w:rsidP="00AA7010">
      <w:pPr>
        <w:pStyle w:val="CETReferencetext"/>
        <w:rPr>
          <w:rFonts w:cs="Arial"/>
          <w:szCs w:val="18"/>
          <w:lang w:val="en-US"/>
        </w:rPr>
      </w:pPr>
      <w:r w:rsidRPr="00655D3B">
        <w:rPr>
          <w:rFonts w:cs="Arial"/>
          <w:szCs w:val="18"/>
          <w:lang w:val="en-US"/>
        </w:rPr>
        <w:t xml:space="preserve">Herrmann F., </w:t>
      </w:r>
      <w:proofErr w:type="spellStart"/>
      <w:r w:rsidRPr="00655D3B">
        <w:rPr>
          <w:rFonts w:cs="Arial"/>
          <w:szCs w:val="18"/>
          <w:lang w:val="en-US"/>
        </w:rPr>
        <w:t>Grünewald</w:t>
      </w:r>
      <w:proofErr w:type="spellEnd"/>
      <w:r w:rsidRPr="00655D3B">
        <w:rPr>
          <w:rFonts w:cs="Arial"/>
          <w:szCs w:val="18"/>
          <w:lang w:val="en-US"/>
        </w:rPr>
        <w:t xml:space="preserve"> M., Meijer T., </w:t>
      </w:r>
      <w:proofErr w:type="spellStart"/>
      <w:r w:rsidRPr="00655D3B">
        <w:rPr>
          <w:rFonts w:cs="Arial"/>
          <w:szCs w:val="18"/>
          <w:lang w:val="en-US"/>
        </w:rPr>
        <w:t>Gardemann</w:t>
      </w:r>
      <w:proofErr w:type="spellEnd"/>
      <w:r w:rsidRPr="00655D3B">
        <w:rPr>
          <w:rFonts w:cs="Arial"/>
          <w:szCs w:val="18"/>
          <w:lang w:val="en-US"/>
        </w:rPr>
        <w:t xml:space="preserve"> U., </w:t>
      </w:r>
      <w:proofErr w:type="spellStart"/>
      <w:r w:rsidRPr="00655D3B">
        <w:rPr>
          <w:rFonts w:cs="Arial"/>
          <w:szCs w:val="18"/>
          <w:lang w:val="en-US"/>
        </w:rPr>
        <w:t>Feierabend</w:t>
      </w:r>
      <w:proofErr w:type="spellEnd"/>
      <w:r w:rsidRPr="00655D3B">
        <w:rPr>
          <w:rFonts w:cs="Arial"/>
          <w:szCs w:val="18"/>
          <w:lang w:val="en-US"/>
        </w:rPr>
        <w:t xml:space="preserve"> L., </w:t>
      </w:r>
      <w:proofErr w:type="spellStart"/>
      <w:r w:rsidRPr="00655D3B">
        <w:rPr>
          <w:rFonts w:cs="Arial"/>
          <w:szCs w:val="18"/>
          <w:lang w:val="en-US"/>
        </w:rPr>
        <w:t>Riese</w:t>
      </w:r>
      <w:proofErr w:type="spellEnd"/>
      <w:r w:rsidRPr="00655D3B">
        <w:rPr>
          <w:rFonts w:cs="Arial"/>
          <w:szCs w:val="18"/>
          <w:lang w:val="en-US"/>
        </w:rPr>
        <w:t xml:space="preserve"> J., 2022, Operating window and flexibility of a lab-scale methanation plant, </w:t>
      </w:r>
      <w:r w:rsidR="00E979BA" w:rsidRPr="00655D3B">
        <w:rPr>
          <w:rFonts w:cs="Arial"/>
          <w:szCs w:val="18"/>
        </w:rPr>
        <w:t>Chem. Eng. Sci.</w:t>
      </w:r>
      <w:r w:rsidRPr="00655D3B">
        <w:rPr>
          <w:rFonts w:cs="Arial"/>
          <w:szCs w:val="18"/>
          <w:lang w:val="en-US"/>
        </w:rPr>
        <w:t>, 254, 117632, DOI: 10.1016/j.ces.2022.117632.</w:t>
      </w:r>
    </w:p>
    <w:p w14:paraId="7BDB31BE" w14:textId="6B08A436" w:rsidR="00AA7010" w:rsidRPr="00655D3B" w:rsidRDefault="00AA7010" w:rsidP="00AA7010">
      <w:pPr>
        <w:pStyle w:val="CETReferencetext"/>
        <w:rPr>
          <w:rFonts w:cs="Arial"/>
          <w:szCs w:val="18"/>
          <w:lang w:val="en-US"/>
        </w:rPr>
      </w:pPr>
      <w:proofErr w:type="spellStart"/>
      <w:r w:rsidRPr="00655D3B">
        <w:rPr>
          <w:rFonts w:cs="Arial"/>
          <w:szCs w:val="18"/>
          <w:lang w:val="en-US"/>
        </w:rPr>
        <w:t>Krammer</w:t>
      </w:r>
      <w:proofErr w:type="spellEnd"/>
      <w:r w:rsidRPr="00655D3B">
        <w:rPr>
          <w:rFonts w:cs="Arial"/>
          <w:szCs w:val="18"/>
          <w:lang w:val="en-US"/>
        </w:rPr>
        <w:t xml:space="preserve"> A., </w:t>
      </w:r>
      <w:proofErr w:type="spellStart"/>
      <w:r w:rsidRPr="00655D3B">
        <w:rPr>
          <w:rFonts w:cs="Arial"/>
          <w:szCs w:val="18"/>
          <w:lang w:val="en-US"/>
        </w:rPr>
        <w:t>Salbrechter</w:t>
      </w:r>
      <w:proofErr w:type="spellEnd"/>
      <w:r w:rsidRPr="00655D3B">
        <w:rPr>
          <w:rFonts w:cs="Arial"/>
          <w:szCs w:val="18"/>
          <w:lang w:val="en-US"/>
        </w:rPr>
        <w:t xml:space="preserve"> K., Lehner M., 2024, High-capacity CO/CO</w:t>
      </w:r>
      <w:r w:rsidR="00841337" w:rsidRPr="00655D3B">
        <w:rPr>
          <w:rFonts w:cs="Arial"/>
          <w:szCs w:val="18"/>
          <w:vertAlign w:val="subscript"/>
          <w:lang w:val="en-US"/>
        </w:rPr>
        <w:t>2</w:t>
      </w:r>
      <w:r w:rsidRPr="00655D3B">
        <w:rPr>
          <w:rFonts w:cs="Arial"/>
          <w:szCs w:val="18"/>
          <w:lang w:val="en-US"/>
        </w:rPr>
        <w:t xml:space="preserve"> methanation reactor design strategy based on 1D PFR modelling and experimental investigation, </w:t>
      </w:r>
      <w:r w:rsidR="00E979BA" w:rsidRPr="00655D3B">
        <w:rPr>
          <w:rFonts w:cs="Arial"/>
          <w:szCs w:val="18"/>
        </w:rPr>
        <w:t>J. CO</w:t>
      </w:r>
      <w:r w:rsidR="00E979BA" w:rsidRPr="00655D3B">
        <w:rPr>
          <w:rFonts w:cs="Arial"/>
          <w:szCs w:val="18"/>
          <w:vertAlign w:val="subscript"/>
        </w:rPr>
        <w:t>2</w:t>
      </w:r>
      <w:r w:rsidR="00E979BA" w:rsidRPr="00655D3B">
        <w:rPr>
          <w:rFonts w:cs="Arial"/>
          <w:szCs w:val="18"/>
        </w:rPr>
        <w:t> Util.</w:t>
      </w:r>
      <w:r w:rsidRPr="00655D3B">
        <w:rPr>
          <w:rFonts w:cs="Arial"/>
          <w:szCs w:val="18"/>
          <w:lang w:val="en-US"/>
        </w:rPr>
        <w:t>, 80, 102661, DOI: 10.1016/j.jcou.2023.102661.</w:t>
      </w:r>
    </w:p>
    <w:p w14:paraId="1369F8A1" w14:textId="48D605B1" w:rsidR="00694F12" w:rsidRPr="00655D3B" w:rsidRDefault="00AA7010" w:rsidP="000D0894">
      <w:pPr>
        <w:pStyle w:val="CETReferencetext"/>
        <w:rPr>
          <w:rFonts w:cs="Arial"/>
          <w:szCs w:val="18"/>
        </w:rPr>
      </w:pPr>
      <w:proofErr w:type="spellStart"/>
      <w:r w:rsidRPr="00655D3B">
        <w:rPr>
          <w:rFonts w:cs="Arial"/>
          <w:szCs w:val="18"/>
          <w:lang w:val="en-US"/>
        </w:rPr>
        <w:t>Tauer</w:t>
      </w:r>
      <w:proofErr w:type="spellEnd"/>
      <w:r w:rsidRPr="00655D3B">
        <w:rPr>
          <w:rFonts w:cs="Arial"/>
          <w:szCs w:val="18"/>
          <w:lang w:val="en-US"/>
        </w:rPr>
        <w:t xml:space="preserve"> G., Kern C., Jess A., 2019, Transient effects during dynamic operation of a wall-cooled fixed-bed reactor for CO</w:t>
      </w:r>
      <w:r w:rsidR="00841337" w:rsidRPr="00655D3B">
        <w:rPr>
          <w:rFonts w:cs="Arial"/>
          <w:szCs w:val="18"/>
          <w:vertAlign w:val="subscript"/>
          <w:lang w:val="en-US"/>
        </w:rPr>
        <w:t>2</w:t>
      </w:r>
      <w:r w:rsidRPr="00655D3B">
        <w:rPr>
          <w:rFonts w:cs="Arial"/>
          <w:szCs w:val="18"/>
          <w:lang w:val="en-US"/>
        </w:rPr>
        <w:t xml:space="preserve"> methanation, </w:t>
      </w:r>
      <w:r w:rsidR="00E979BA" w:rsidRPr="00655D3B">
        <w:rPr>
          <w:rFonts w:cs="Arial"/>
          <w:szCs w:val="18"/>
        </w:rPr>
        <w:t>Chem. Eng. Technol.</w:t>
      </w:r>
      <w:r w:rsidRPr="00655D3B">
        <w:rPr>
          <w:rFonts w:cs="Arial"/>
          <w:szCs w:val="18"/>
          <w:lang w:val="en-US"/>
        </w:rPr>
        <w:t>, 42, 2401–2409, DOI: 10.1002/ceat.201900367</w:t>
      </w:r>
      <w:r w:rsidR="00841337" w:rsidRPr="00655D3B">
        <w:rPr>
          <w:rFonts w:cs="Arial"/>
          <w:szCs w:val="18"/>
          <w:lang w:val="en-US"/>
        </w:rPr>
        <w:t>.</w:t>
      </w:r>
    </w:p>
    <w:sectPr w:rsidR="00694F12" w:rsidRPr="00655D3B"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2FC2B" w14:textId="77777777" w:rsidR="00E54706" w:rsidRDefault="00E54706" w:rsidP="004F5E36">
      <w:r>
        <w:separator/>
      </w:r>
    </w:p>
  </w:endnote>
  <w:endnote w:type="continuationSeparator" w:id="0">
    <w:p w14:paraId="31272879" w14:textId="77777777" w:rsidR="00E54706" w:rsidRDefault="00E54706"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F2712" w14:textId="77777777" w:rsidR="00E54706" w:rsidRDefault="00E54706" w:rsidP="004F5E36">
      <w:r>
        <w:separator/>
      </w:r>
    </w:p>
  </w:footnote>
  <w:footnote w:type="continuationSeparator" w:id="0">
    <w:p w14:paraId="729FA474" w14:textId="77777777" w:rsidR="00E54706" w:rsidRDefault="00E54706"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8AF15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elleEinfach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4C5363B7"/>
    <w:multiLevelType w:val="multilevel"/>
    <w:tmpl w:val="44607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9"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16882765">
    <w:abstractNumId w:val="10"/>
  </w:num>
  <w:num w:numId="2" w16cid:durableId="1954094313">
    <w:abstractNumId w:val="8"/>
  </w:num>
  <w:num w:numId="3" w16cid:durableId="2001083081">
    <w:abstractNumId w:val="3"/>
  </w:num>
  <w:num w:numId="4" w16cid:durableId="665287687">
    <w:abstractNumId w:val="2"/>
  </w:num>
  <w:num w:numId="5" w16cid:durableId="1763211618">
    <w:abstractNumId w:val="1"/>
  </w:num>
  <w:num w:numId="6" w16cid:durableId="733351894">
    <w:abstractNumId w:val="0"/>
  </w:num>
  <w:num w:numId="7" w16cid:durableId="1265187038">
    <w:abstractNumId w:val="9"/>
  </w:num>
  <w:num w:numId="8" w16cid:durableId="458382672">
    <w:abstractNumId w:val="7"/>
  </w:num>
  <w:num w:numId="9" w16cid:durableId="652636510">
    <w:abstractNumId w:val="6"/>
  </w:num>
  <w:num w:numId="10" w16cid:durableId="1972591888">
    <w:abstractNumId w:val="5"/>
  </w:num>
  <w:num w:numId="11" w16cid:durableId="1179278139">
    <w:abstractNumId w:val="4"/>
  </w:num>
  <w:num w:numId="12" w16cid:durableId="1575509198">
    <w:abstractNumId w:val="18"/>
  </w:num>
  <w:num w:numId="13" w16cid:durableId="695733619">
    <w:abstractNumId w:val="12"/>
  </w:num>
  <w:num w:numId="14" w16cid:durableId="145903400">
    <w:abstractNumId w:val="19"/>
  </w:num>
  <w:num w:numId="15" w16cid:durableId="19162326">
    <w:abstractNumId w:val="21"/>
  </w:num>
  <w:num w:numId="16" w16cid:durableId="1977102699">
    <w:abstractNumId w:val="20"/>
  </w:num>
  <w:num w:numId="17" w16cid:durableId="860774865">
    <w:abstractNumId w:val="11"/>
  </w:num>
  <w:num w:numId="18" w16cid:durableId="313221457">
    <w:abstractNumId w:val="12"/>
    <w:lvlOverride w:ilvl="0">
      <w:startOverride w:val="1"/>
    </w:lvlOverride>
  </w:num>
  <w:num w:numId="19" w16cid:durableId="534971577">
    <w:abstractNumId w:val="17"/>
  </w:num>
  <w:num w:numId="20" w16cid:durableId="1150947773">
    <w:abstractNumId w:val="16"/>
  </w:num>
  <w:num w:numId="21" w16cid:durableId="124660497">
    <w:abstractNumId w:val="14"/>
  </w:num>
  <w:num w:numId="22" w16cid:durableId="2099861471">
    <w:abstractNumId w:val="13"/>
  </w:num>
  <w:num w:numId="23" w16cid:durableId="1468667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autoHyphenation/>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46FC"/>
    <w:rsid w:val="000173F9"/>
    <w:rsid w:val="0001779D"/>
    <w:rsid w:val="0003148D"/>
    <w:rsid w:val="00031EEC"/>
    <w:rsid w:val="0004409D"/>
    <w:rsid w:val="00051566"/>
    <w:rsid w:val="000536FC"/>
    <w:rsid w:val="000562A9"/>
    <w:rsid w:val="00062A9A"/>
    <w:rsid w:val="00065058"/>
    <w:rsid w:val="0007614B"/>
    <w:rsid w:val="000829DB"/>
    <w:rsid w:val="00086981"/>
    <w:rsid w:val="00086C39"/>
    <w:rsid w:val="000906EC"/>
    <w:rsid w:val="000A03B2"/>
    <w:rsid w:val="000A5942"/>
    <w:rsid w:val="000D0268"/>
    <w:rsid w:val="000D0894"/>
    <w:rsid w:val="000D33B9"/>
    <w:rsid w:val="000D34BE"/>
    <w:rsid w:val="000E102F"/>
    <w:rsid w:val="000E36F1"/>
    <w:rsid w:val="000E3A73"/>
    <w:rsid w:val="000E414A"/>
    <w:rsid w:val="000E51EB"/>
    <w:rsid w:val="000E75FD"/>
    <w:rsid w:val="000F093C"/>
    <w:rsid w:val="000F58F4"/>
    <w:rsid w:val="000F787B"/>
    <w:rsid w:val="00101F02"/>
    <w:rsid w:val="0012091F"/>
    <w:rsid w:val="00122E0E"/>
    <w:rsid w:val="00124AAD"/>
    <w:rsid w:val="00126BC2"/>
    <w:rsid w:val="001308B6"/>
    <w:rsid w:val="0013121F"/>
    <w:rsid w:val="00131FE6"/>
    <w:rsid w:val="0013263F"/>
    <w:rsid w:val="001331DF"/>
    <w:rsid w:val="001342BD"/>
    <w:rsid w:val="00134DE4"/>
    <w:rsid w:val="00136524"/>
    <w:rsid w:val="0014034D"/>
    <w:rsid w:val="00140FE3"/>
    <w:rsid w:val="00144D16"/>
    <w:rsid w:val="00150E59"/>
    <w:rsid w:val="001516B6"/>
    <w:rsid w:val="00152DE3"/>
    <w:rsid w:val="00164CF9"/>
    <w:rsid w:val="001667A6"/>
    <w:rsid w:val="00184AD6"/>
    <w:rsid w:val="001A1078"/>
    <w:rsid w:val="001A4AF7"/>
    <w:rsid w:val="001A7AAF"/>
    <w:rsid w:val="001B0349"/>
    <w:rsid w:val="001B0583"/>
    <w:rsid w:val="001B1E93"/>
    <w:rsid w:val="001B65C1"/>
    <w:rsid w:val="001C260F"/>
    <w:rsid w:val="001C33F1"/>
    <w:rsid w:val="001C684B"/>
    <w:rsid w:val="001D0268"/>
    <w:rsid w:val="001D0CFB"/>
    <w:rsid w:val="001D21AF"/>
    <w:rsid w:val="001D53FC"/>
    <w:rsid w:val="001E3FC2"/>
    <w:rsid w:val="001F0DDD"/>
    <w:rsid w:val="001F42A5"/>
    <w:rsid w:val="001F7B9D"/>
    <w:rsid w:val="00201C93"/>
    <w:rsid w:val="002224B4"/>
    <w:rsid w:val="002367AA"/>
    <w:rsid w:val="00240B0B"/>
    <w:rsid w:val="002447EF"/>
    <w:rsid w:val="00251550"/>
    <w:rsid w:val="00263B05"/>
    <w:rsid w:val="0027221A"/>
    <w:rsid w:val="00275B61"/>
    <w:rsid w:val="00276D59"/>
    <w:rsid w:val="00280FAF"/>
    <w:rsid w:val="00282656"/>
    <w:rsid w:val="002907A4"/>
    <w:rsid w:val="00296B83"/>
    <w:rsid w:val="002970EE"/>
    <w:rsid w:val="002A1AE5"/>
    <w:rsid w:val="002B4015"/>
    <w:rsid w:val="002B78CE"/>
    <w:rsid w:val="002C2FB6"/>
    <w:rsid w:val="002C405C"/>
    <w:rsid w:val="002C46F2"/>
    <w:rsid w:val="002C793D"/>
    <w:rsid w:val="002E5FA7"/>
    <w:rsid w:val="002E63AA"/>
    <w:rsid w:val="002F2D49"/>
    <w:rsid w:val="002F3309"/>
    <w:rsid w:val="003008CE"/>
    <w:rsid w:val="00300998"/>
    <w:rsid w:val="003009B7"/>
    <w:rsid w:val="00300E56"/>
    <w:rsid w:val="0030152C"/>
    <w:rsid w:val="0030469C"/>
    <w:rsid w:val="00321CA6"/>
    <w:rsid w:val="00323763"/>
    <w:rsid w:val="00323C5F"/>
    <w:rsid w:val="00334C09"/>
    <w:rsid w:val="00341F8A"/>
    <w:rsid w:val="003723D4"/>
    <w:rsid w:val="003740CE"/>
    <w:rsid w:val="00380481"/>
    <w:rsid w:val="00381905"/>
    <w:rsid w:val="00384CC8"/>
    <w:rsid w:val="003871FD"/>
    <w:rsid w:val="003A1E30"/>
    <w:rsid w:val="003A2829"/>
    <w:rsid w:val="003A7D1C"/>
    <w:rsid w:val="003B304B"/>
    <w:rsid w:val="003B3146"/>
    <w:rsid w:val="003D1E02"/>
    <w:rsid w:val="003D4C49"/>
    <w:rsid w:val="003D5AC5"/>
    <w:rsid w:val="003E1738"/>
    <w:rsid w:val="003E37BC"/>
    <w:rsid w:val="003F015E"/>
    <w:rsid w:val="00400414"/>
    <w:rsid w:val="0041446B"/>
    <w:rsid w:val="00424CD5"/>
    <w:rsid w:val="00432DFC"/>
    <w:rsid w:val="0044071E"/>
    <w:rsid w:val="0044329C"/>
    <w:rsid w:val="00453E24"/>
    <w:rsid w:val="00457456"/>
    <w:rsid w:val="004577FE"/>
    <w:rsid w:val="00457B9C"/>
    <w:rsid w:val="0046164A"/>
    <w:rsid w:val="004628D2"/>
    <w:rsid w:val="00462DCD"/>
    <w:rsid w:val="00463088"/>
    <w:rsid w:val="004648AD"/>
    <w:rsid w:val="004703A9"/>
    <w:rsid w:val="0047579A"/>
    <w:rsid w:val="00475DEC"/>
    <w:rsid w:val="004760DE"/>
    <w:rsid w:val="004763D7"/>
    <w:rsid w:val="004A004E"/>
    <w:rsid w:val="004A24CF"/>
    <w:rsid w:val="004A5E57"/>
    <w:rsid w:val="004C194F"/>
    <w:rsid w:val="004C305B"/>
    <w:rsid w:val="004C3D1D"/>
    <w:rsid w:val="004C3D84"/>
    <w:rsid w:val="004C7913"/>
    <w:rsid w:val="004C7DD2"/>
    <w:rsid w:val="004E4DD6"/>
    <w:rsid w:val="004F26E3"/>
    <w:rsid w:val="004F31CE"/>
    <w:rsid w:val="004F5E36"/>
    <w:rsid w:val="00507B47"/>
    <w:rsid w:val="00507BEF"/>
    <w:rsid w:val="00507CC9"/>
    <w:rsid w:val="005119A5"/>
    <w:rsid w:val="00511D9E"/>
    <w:rsid w:val="005278B7"/>
    <w:rsid w:val="005316A3"/>
    <w:rsid w:val="00532016"/>
    <w:rsid w:val="005346C8"/>
    <w:rsid w:val="00543E7D"/>
    <w:rsid w:val="00547A68"/>
    <w:rsid w:val="005531C9"/>
    <w:rsid w:val="00570C43"/>
    <w:rsid w:val="00583509"/>
    <w:rsid w:val="00592274"/>
    <w:rsid w:val="005977B7"/>
    <w:rsid w:val="005B2110"/>
    <w:rsid w:val="005B61E6"/>
    <w:rsid w:val="005C77E1"/>
    <w:rsid w:val="005D668A"/>
    <w:rsid w:val="005D6A2F"/>
    <w:rsid w:val="005E0592"/>
    <w:rsid w:val="005E1A82"/>
    <w:rsid w:val="005E794C"/>
    <w:rsid w:val="005F0A28"/>
    <w:rsid w:val="005F0E5E"/>
    <w:rsid w:val="00600535"/>
    <w:rsid w:val="00610CD6"/>
    <w:rsid w:val="00620DEE"/>
    <w:rsid w:val="00621F92"/>
    <w:rsid w:val="00622070"/>
    <w:rsid w:val="0062280A"/>
    <w:rsid w:val="006231E1"/>
    <w:rsid w:val="00625639"/>
    <w:rsid w:val="00631B33"/>
    <w:rsid w:val="0064184D"/>
    <w:rsid w:val="006422CC"/>
    <w:rsid w:val="00651D18"/>
    <w:rsid w:val="00655D3B"/>
    <w:rsid w:val="006562B3"/>
    <w:rsid w:val="00660E3E"/>
    <w:rsid w:val="00662E74"/>
    <w:rsid w:val="00664F9F"/>
    <w:rsid w:val="00675D36"/>
    <w:rsid w:val="00680C23"/>
    <w:rsid w:val="00683E23"/>
    <w:rsid w:val="00693766"/>
    <w:rsid w:val="00694F12"/>
    <w:rsid w:val="006A3281"/>
    <w:rsid w:val="006B4888"/>
    <w:rsid w:val="006C274F"/>
    <w:rsid w:val="006C2E45"/>
    <w:rsid w:val="006C359C"/>
    <w:rsid w:val="006C5579"/>
    <w:rsid w:val="006D6E8B"/>
    <w:rsid w:val="006D7209"/>
    <w:rsid w:val="006E737D"/>
    <w:rsid w:val="00707DD1"/>
    <w:rsid w:val="0071084E"/>
    <w:rsid w:val="00713973"/>
    <w:rsid w:val="00720A24"/>
    <w:rsid w:val="00732386"/>
    <w:rsid w:val="0073514D"/>
    <w:rsid w:val="007447F3"/>
    <w:rsid w:val="0075499F"/>
    <w:rsid w:val="0075659E"/>
    <w:rsid w:val="007617CC"/>
    <w:rsid w:val="00765DF0"/>
    <w:rsid w:val="007661C8"/>
    <w:rsid w:val="00766619"/>
    <w:rsid w:val="0077098D"/>
    <w:rsid w:val="00783191"/>
    <w:rsid w:val="00785BF9"/>
    <w:rsid w:val="0079111D"/>
    <w:rsid w:val="007931FA"/>
    <w:rsid w:val="007A4861"/>
    <w:rsid w:val="007A7BBA"/>
    <w:rsid w:val="007B0C50"/>
    <w:rsid w:val="007B48F9"/>
    <w:rsid w:val="007C1A43"/>
    <w:rsid w:val="007C2D57"/>
    <w:rsid w:val="007C55DC"/>
    <w:rsid w:val="007D0951"/>
    <w:rsid w:val="007D2B1D"/>
    <w:rsid w:val="007F27C8"/>
    <w:rsid w:val="0080013E"/>
    <w:rsid w:val="00813288"/>
    <w:rsid w:val="008168FC"/>
    <w:rsid w:val="008237D4"/>
    <w:rsid w:val="00830996"/>
    <w:rsid w:val="008314D7"/>
    <w:rsid w:val="008345F1"/>
    <w:rsid w:val="00841337"/>
    <w:rsid w:val="008449EC"/>
    <w:rsid w:val="00846F98"/>
    <w:rsid w:val="00865B07"/>
    <w:rsid w:val="008667EA"/>
    <w:rsid w:val="0087637F"/>
    <w:rsid w:val="00892AD5"/>
    <w:rsid w:val="008A1512"/>
    <w:rsid w:val="008A6604"/>
    <w:rsid w:val="008D2280"/>
    <w:rsid w:val="008D3137"/>
    <w:rsid w:val="008D32B9"/>
    <w:rsid w:val="008D433B"/>
    <w:rsid w:val="008D4A16"/>
    <w:rsid w:val="008E209A"/>
    <w:rsid w:val="008E45BC"/>
    <w:rsid w:val="008E566E"/>
    <w:rsid w:val="008E6169"/>
    <w:rsid w:val="008F436B"/>
    <w:rsid w:val="0090161A"/>
    <w:rsid w:val="00901EB6"/>
    <w:rsid w:val="009041F8"/>
    <w:rsid w:val="00904C62"/>
    <w:rsid w:val="00922BA8"/>
    <w:rsid w:val="00924DAC"/>
    <w:rsid w:val="00926CB0"/>
    <w:rsid w:val="00927058"/>
    <w:rsid w:val="009342B2"/>
    <w:rsid w:val="00942750"/>
    <w:rsid w:val="009450CE"/>
    <w:rsid w:val="009459BB"/>
    <w:rsid w:val="00947179"/>
    <w:rsid w:val="0095164B"/>
    <w:rsid w:val="00954090"/>
    <w:rsid w:val="009573E7"/>
    <w:rsid w:val="00963E05"/>
    <w:rsid w:val="00964A45"/>
    <w:rsid w:val="00967843"/>
    <w:rsid w:val="00967D54"/>
    <w:rsid w:val="00971028"/>
    <w:rsid w:val="00971E9B"/>
    <w:rsid w:val="00980FAF"/>
    <w:rsid w:val="00984C9E"/>
    <w:rsid w:val="00993B84"/>
    <w:rsid w:val="009946FF"/>
    <w:rsid w:val="00994FED"/>
    <w:rsid w:val="00996483"/>
    <w:rsid w:val="00996F5A"/>
    <w:rsid w:val="009B041A"/>
    <w:rsid w:val="009C37C3"/>
    <w:rsid w:val="009C7C86"/>
    <w:rsid w:val="009D2FF7"/>
    <w:rsid w:val="009D7095"/>
    <w:rsid w:val="009E02C2"/>
    <w:rsid w:val="009E2154"/>
    <w:rsid w:val="009E4E38"/>
    <w:rsid w:val="009E7884"/>
    <w:rsid w:val="009E788A"/>
    <w:rsid w:val="009F0E08"/>
    <w:rsid w:val="009F2E14"/>
    <w:rsid w:val="009F7956"/>
    <w:rsid w:val="00A000A9"/>
    <w:rsid w:val="00A079AE"/>
    <w:rsid w:val="00A14CAA"/>
    <w:rsid w:val="00A1763D"/>
    <w:rsid w:val="00A17CEC"/>
    <w:rsid w:val="00A26CBB"/>
    <w:rsid w:val="00A27EF0"/>
    <w:rsid w:val="00A30906"/>
    <w:rsid w:val="00A42361"/>
    <w:rsid w:val="00A43F20"/>
    <w:rsid w:val="00A50B20"/>
    <w:rsid w:val="00A51390"/>
    <w:rsid w:val="00A60D13"/>
    <w:rsid w:val="00A7223D"/>
    <w:rsid w:val="00A72745"/>
    <w:rsid w:val="00A74773"/>
    <w:rsid w:val="00A76EFC"/>
    <w:rsid w:val="00A87D50"/>
    <w:rsid w:val="00A91010"/>
    <w:rsid w:val="00A97F29"/>
    <w:rsid w:val="00AA7010"/>
    <w:rsid w:val="00AA702E"/>
    <w:rsid w:val="00AA7D26"/>
    <w:rsid w:val="00AB0964"/>
    <w:rsid w:val="00AB5011"/>
    <w:rsid w:val="00AC4445"/>
    <w:rsid w:val="00AC7368"/>
    <w:rsid w:val="00AD0278"/>
    <w:rsid w:val="00AD16B9"/>
    <w:rsid w:val="00AE1106"/>
    <w:rsid w:val="00AE377D"/>
    <w:rsid w:val="00AF0EBA"/>
    <w:rsid w:val="00AF6FEA"/>
    <w:rsid w:val="00AF71D0"/>
    <w:rsid w:val="00B02C8A"/>
    <w:rsid w:val="00B11F2E"/>
    <w:rsid w:val="00B17FBD"/>
    <w:rsid w:val="00B21DEF"/>
    <w:rsid w:val="00B2664B"/>
    <w:rsid w:val="00B315A6"/>
    <w:rsid w:val="00B31813"/>
    <w:rsid w:val="00B33365"/>
    <w:rsid w:val="00B44347"/>
    <w:rsid w:val="00B50AF4"/>
    <w:rsid w:val="00B57B36"/>
    <w:rsid w:val="00B57E6F"/>
    <w:rsid w:val="00B800F4"/>
    <w:rsid w:val="00B8686D"/>
    <w:rsid w:val="00B91C5A"/>
    <w:rsid w:val="00B93F69"/>
    <w:rsid w:val="00BB1DDC"/>
    <w:rsid w:val="00BC30C9"/>
    <w:rsid w:val="00BD077D"/>
    <w:rsid w:val="00BE3E58"/>
    <w:rsid w:val="00C01616"/>
    <w:rsid w:val="00C0162B"/>
    <w:rsid w:val="00C068ED"/>
    <w:rsid w:val="00C208E9"/>
    <w:rsid w:val="00C22E0C"/>
    <w:rsid w:val="00C345B1"/>
    <w:rsid w:val="00C36232"/>
    <w:rsid w:val="00C40142"/>
    <w:rsid w:val="00C52C3C"/>
    <w:rsid w:val="00C55537"/>
    <w:rsid w:val="00C559B3"/>
    <w:rsid w:val="00C57182"/>
    <w:rsid w:val="00C57863"/>
    <w:rsid w:val="00C640AF"/>
    <w:rsid w:val="00C655FD"/>
    <w:rsid w:val="00C75407"/>
    <w:rsid w:val="00C81346"/>
    <w:rsid w:val="00C841C6"/>
    <w:rsid w:val="00C870A8"/>
    <w:rsid w:val="00C94434"/>
    <w:rsid w:val="00CA0D75"/>
    <w:rsid w:val="00CA1C95"/>
    <w:rsid w:val="00CA5A9C"/>
    <w:rsid w:val="00CB21CA"/>
    <w:rsid w:val="00CB2614"/>
    <w:rsid w:val="00CC4C20"/>
    <w:rsid w:val="00CD3517"/>
    <w:rsid w:val="00CD5FE2"/>
    <w:rsid w:val="00CE7C68"/>
    <w:rsid w:val="00D02B4C"/>
    <w:rsid w:val="00D040C4"/>
    <w:rsid w:val="00D150D2"/>
    <w:rsid w:val="00D20AD1"/>
    <w:rsid w:val="00D2582C"/>
    <w:rsid w:val="00D27BC1"/>
    <w:rsid w:val="00D46B7E"/>
    <w:rsid w:val="00D57C84"/>
    <w:rsid w:val="00D6057D"/>
    <w:rsid w:val="00D71640"/>
    <w:rsid w:val="00D7264C"/>
    <w:rsid w:val="00D836C5"/>
    <w:rsid w:val="00D84576"/>
    <w:rsid w:val="00DA0932"/>
    <w:rsid w:val="00DA1399"/>
    <w:rsid w:val="00DA24C6"/>
    <w:rsid w:val="00DA4B08"/>
    <w:rsid w:val="00DA4D7B"/>
    <w:rsid w:val="00DA7935"/>
    <w:rsid w:val="00DD0C79"/>
    <w:rsid w:val="00DD271C"/>
    <w:rsid w:val="00DE264A"/>
    <w:rsid w:val="00DF5072"/>
    <w:rsid w:val="00E02D18"/>
    <w:rsid w:val="00E041E7"/>
    <w:rsid w:val="00E23CA1"/>
    <w:rsid w:val="00E2741C"/>
    <w:rsid w:val="00E409A8"/>
    <w:rsid w:val="00E47D61"/>
    <w:rsid w:val="00E50C12"/>
    <w:rsid w:val="00E54706"/>
    <w:rsid w:val="00E54BC0"/>
    <w:rsid w:val="00E65B91"/>
    <w:rsid w:val="00E7209D"/>
    <w:rsid w:val="00E72EAD"/>
    <w:rsid w:val="00E77223"/>
    <w:rsid w:val="00E8528B"/>
    <w:rsid w:val="00E85B94"/>
    <w:rsid w:val="00E978D0"/>
    <w:rsid w:val="00E979BA"/>
    <w:rsid w:val="00EA4613"/>
    <w:rsid w:val="00EA7F91"/>
    <w:rsid w:val="00EB1523"/>
    <w:rsid w:val="00EC0E49"/>
    <w:rsid w:val="00EC101F"/>
    <w:rsid w:val="00EC1D9F"/>
    <w:rsid w:val="00EC304E"/>
    <w:rsid w:val="00EE0131"/>
    <w:rsid w:val="00EE17B0"/>
    <w:rsid w:val="00EF06D9"/>
    <w:rsid w:val="00EF0982"/>
    <w:rsid w:val="00EF2546"/>
    <w:rsid w:val="00F126A5"/>
    <w:rsid w:val="00F24E3B"/>
    <w:rsid w:val="00F3049E"/>
    <w:rsid w:val="00F30C64"/>
    <w:rsid w:val="00F3217A"/>
    <w:rsid w:val="00F32BA2"/>
    <w:rsid w:val="00F32CDB"/>
    <w:rsid w:val="00F3348F"/>
    <w:rsid w:val="00F37280"/>
    <w:rsid w:val="00F41EE4"/>
    <w:rsid w:val="00F5193F"/>
    <w:rsid w:val="00F565FE"/>
    <w:rsid w:val="00F63A70"/>
    <w:rsid w:val="00F63D8C"/>
    <w:rsid w:val="00F6403A"/>
    <w:rsid w:val="00F7534E"/>
    <w:rsid w:val="00F85B41"/>
    <w:rsid w:val="00F93EDF"/>
    <w:rsid w:val="00FA1802"/>
    <w:rsid w:val="00FA1C9D"/>
    <w:rsid w:val="00FA21D0"/>
    <w:rsid w:val="00FA5F5F"/>
    <w:rsid w:val="00FB730C"/>
    <w:rsid w:val="00FC2695"/>
    <w:rsid w:val="00FC3E03"/>
    <w:rsid w:val="00FC3FC1"/>
    <w:rsid w:val="00FD78D5"/>
    <w:rsid w:val="00FE0114"/>
    <w:rsid w:val="00FF233B"/>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ET Top_page"/>
    <w:rsid w:val="00C81346"/>
    <w:pPr>
      <w:tabs>
        <w:tab w:val="right" w:pos="7100"/>
      </w:tabs>
      <w:spacing w:after="0" w:line="264" w:lineRule="auto"/>
      <w:jc w:val="both"/>
    </w:pPr>
    <w:rPr>
      <w:rFonts w:ascii="Arial" w:eastAsia="Times New Roman" w:hAnsi="Arial" w:cs="Times New Roman"/>
      <w:sz w:val="18"/>
      <w:szCs w:val="20"/>
      <w:lang w:val="en-GB"/>
    </w:rPr>
  </w:style>
  <w:style w:type="paragraph" w:styleId="berschrift1">
    <w:name w:val="heading 1"/>
    <w:basedOn w:val="CETHeading1"/>
    <w:next w:val="Standard"/>
    <w:link w:val="berschrift1Zchn"/>
    <w:uiPriority w:val="9"/>
    <w:rsid w:val="004F5E36"/>
    <w:pPr>
      <w:tabs>
        <w:tab w:val="clear" w:pos="360"/>
        <w:tab w:val="right" w:pos="7100"/>
      </w:tabs>
      <w:jc w:val="both"/>
      <w:outlineLvl w:val="0"/>
    </w:pPr>
    <w:rPr>
      <w:lang w:val="en-GB"/>
    </w:rPr>
  </w:style>
  <w:style w:type="paragraph" w:styleId="berschrift2">
    <w:name w:val="heading 2"/>
    <w:basedOn w:val="Standard"/>
    <w:next w:val="Standard"/>
    <w:link w:val="berschrift2Zchn"/>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berschrift9">
    <w:name w:val="heading 9"/>
    <w:basedOn w:val="Standard"/>
    <w:next w:val="Standard"/>
    <w:link w:val="berschrift9Zchn"/>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elleEinfach1">
    <w:name w:val="Table Simple 1"/>
    <w:basedOn w:val="NormaleTabelle"/>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Kommentarzeichen">
    <w:name w:val="annotation reference"/>
    <w:basedOn w:val="Absatz-Standardschriftart"/>
    <w:uiPriority w:val="99"/>
    <w:semiHidden/>
    <w:unhideWhenUsed/>
    <w:rsid w:val="004577FE"/>
    <w:rPr>
      <w:sz w:val="16"/>
      <w:szCs w:val="16"/>
    </w:rPr>
  </w:style>
  <w:style w:type="paragraph" w:styleId="Sprechblasentext">
    <w:name w:val="Balloon Text"/>
    <w:basedOn w:val="Standard"/>
    <w:link w:val="SprechblasentextZchn"/>
    <w:uiPriority w:val="99"/>
    <w:semiHidden/>
    <w:unhideWhenUsed/>
    <w:rsid w:val="000D34BE"/>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D34BE"/>
    <w:rPr>
      <w:rFonts w:ascii="Tahoma" w:hAnsi="Tahoma" w:cs="Tahoma"/>
      <w:sz w:val="16"/>
      <w:szCs w:val="16"/>
    </w:rPr>
  </w:style>
  <w:style w:type="paragraph" w:styleId="Literaturverzeichnis">
    <w:name w:val="Bibliography"/>
    <w:basedOn w:val="CETReferencetext"/>
    <w:uiPriority w:val="37"/>
    <w:unhideWhenUsed/>
    <w:rsid w:val="00631B33"/>
    <w:pPr>
      <w:spacing w:line="240" w:lineRule="auto"/>
      <w:ind w:left="720" w:hanging="720"/>
    </w:pPr>
  </w:style>
  <w:style w:type="paragraph" w:styleId="Textkrper2">
    <w:name w:val="Body Text 2"/>
    <w:basedOn w:val="Standard"/>
    <w:link w:val="Textkrper2Zchn"/>
    <w:uiPriority w:val="99"/>
    <w:semiHidden/>
    <w:unhideWhenUsed/>
    <w:rsid w:val="0003148D"/>
    <w:pPr>
      <w:spacing w:after="120" w:line="480" w:lineRule="auto"/>
    </w:pPr>
  </w:style>
  <w:style w:type="character" w:customStyle="1" w:styleId="Textkrper2Zchn">
    <w:name w:val="Textkörper 2 Zchn"/>
    <w:basedOn w:val="Absatz-Standardschriftart"/>
    <w:link w:val="Textkrper2"/>
    <w:uiPriority w:val="99"/>
    <w:semiHidden/>
    <w:rsid w:val="0003148D"/>
  </w:style>
  <w:style w:type="paragraph" w:styleId="Textkrper3">
    <w:name w:val="Body Text 3"/>
    <w:basedOn w:val="Standard"/>
    <w:link w:val="Textkrper3Zchn"/>
    <w:uiPriority w:val="99"/>
    <w:semiHidden/>
    <w:unhideWhenUsed/>
    <w:rsid w:val="0003148D"/>
    <w:pPr>
      <w:spacing w:after="120"/>
    </w:pPr>
    <w:rPr>
      <w:sz w:val="16"/>
      <w:szCs w:val="16"/>
    </w:rPr>
  </w:style>
  <w:style w:type="character" w:customStyle="1" w:styleId="Textkrper3Zchn">
    <w:name w:val="Textkörper 3 Zchn"/>
    <w:basedOn w:val="Absatz-Standardschriftart"/>
    <w:link w:val="Textkrper3"/>
    <w:uiPriority w:val="99"/>
    <w:semiHidden/>
    <w:rsid w:val="0003148D"/>
    <w:rPr>
      <w:sz w:val="16"/>
      <w:szCs w:val="16"/>
    </w:rPr>
  </w:style>
  <w:style w:type="paragraph" w:styleId="Textkrper">
    <w:name w:val="Body Text"/>
    <w:basedOn w:val="Standard"/>
    <w:link w:val="TextkrperZchn"/>
    <w:uiPriority w:val="99"/>
    <w:semiHidden/>
    <w:unhideWhenUsed/>
    <w:rsid w:val="0003148D"/>
    <w:pPr>
      <w:spacing w:after="120"/>
    </w:pPr>
  </w:style>
  <w:style w:type="character" w:customStyle="1" w:styleId="TextkrperZchn">
    <w:name w:val="Textkörper Zchn"/>
    <w:basedOn w:val="Absatz-Standardschriftart"/>
    <w:link w:val="Textkrper"/>
    <w:uiPriority w:val="99"/>
    <w:semiHidden/>
    <w:rsid w:val="0003148D"/>
  </w:style>
  <w:style w:type="paragraph" w:styleId="Datum">
    <w:name w:val="Date"/>
    <w:basedOn w:val="Standard"/>
    <w:next w:val="Standard"/>
    <w:link w:val="DatumZchn"/>
    <w:uiPriority w:val="99"/>
    <w:semiHidden/>
    <w:unhideWhenUsed/>
    <w:rsid w:val="0003148D"/>
  </w:style>
  <w:style w:type="character" w:customStyle="1" w:styleId="DatumZchn">
    <w:name w:val="Datum Zchn"/>
    <w:basedOn w:val="Absatz-Standardschriftart"/>
    <w:link w:val="Datum"/>
    <w:uiPriority w:val="99"/>
    <w:semiHidden/>
    <w:rsid w:val="0003148D"/>
  </w:style>
  <w:style w:type="paragraph" w:styleId="Beschriftung">
    <w:name w:val="caption"/>
    <w:basedOn w:val="Standard"/>
    <w:next w:val="Standard"/>
    <w:uiPriority w:val="35"/>
    <w:unhideWhenUsed/>
    <w:qFormat/>
    <w:rsid w:val="0003148D"/>
    <w:pPr>
      <w:spacing w:line="240" w:lineRule="auto"/>
    </w:pPr>
    <w:rPr>
      <w:b/>
      <w:bCs/>
      <w:color w:val="4F81BD" w:themeColor="accent1"/>
      <w:szCs w:val="18"/>
    </w:rPr>
  </w:style>
  <w:style w:type="paragraph" w:styleId="Liste">
    <w:name w:val="List"/>
    <w:basedOn w:val="Standard"/>
    <w:uiPriority w:val="99"/>
    <w:semiHidden/>
    <w:unhideWhenUsed/>
    <w:rsid w:val="0003148D"/>
    <w:pPr>
      <w:ind w:left="283" w:hanging="283"/>
      <w:contextualSpacing/>
    </w:pPr>
  </w:style>
  <w:style w:type="paragraph" w:styleId="Liste2">
    <w:name w:val="List 2"/>
    <w:basedOn w:val="Standard"/>
    <w:uiPriority w:val="99"/>
    <w:semiHidden/>
    <w:unhideWhenUsed/>
    <w:rsid w:val="0003148D"/>
    <w:pPr>
      <w:ind w:left="566" w:hanging="283"/>
      <w:contextualSpacing/>
    </w:pPr>
  </w:style>
  <w:style w:type="paragraph" w:styleId="Liste3">
    <w:name w:val="List 3"/>
    <w:basedOn w:val="Standard"/>
    <w:uiPriority w:val="99"/>
    <w:semiHidden/>
    <w:unhideWhenUsed/>
    <w:rsid w:val="0003148D"/>
    <w:pPr>
      <w:ind w:left="849" w:hanging="283"/>
      <w:contextualSpacing/>
    </w:pPr>
  </w:style>
  <w:style w:type="paragraph" w:styleId="Liste4">
    <w:name w:val="List 4"/>
    <w:basedOn w:val="Standard"/>
    <w:uiPriority w:val="99"/>
    <w:semiHidden/>
    <w:unhideWhenUsed/>
    <w:rsid w:val="0003148D"/>
    <w:pPr>
      <w:ind w:left="1132" w:hanging="283"/>
      <w:contextualSpacing/>
    </w:pPr>
  </w:style>
  <w:style w:type="paragraph" w:styleId="Liste5">
    <w:name w:val="List 5"/>
    <w:basedOn w:val="Standard"/>
    <w:uiPriority w:val="99"/>
    <w:semiHidden/>
    <w:unhideWhenUsed/>
    <w:rsid w:val="0003148D"/>
    <w:pPr>
      <w:ind w:left="1415" w:hanging="283"/>
      <w:contextualSpacing/>
    </w:pPr>
  </w:style>
  <w:style w:type="paragraph" w:styleId="Listenfortsetzung">
    <w:name w:val="List Continue"/>
    <w:basedOn w:val="Standard"/>
    <w:uiPriority w:val="99"/>
    <w:semiHidden/>
    <w:unhideWhenUsed/>
    <w:rsid w:val="0003148D"/>
    <w:pPr>
      <w:spacing w:after="120"/>
      <w:ind w:left="283"/>
      <w:contextualSpacing/>
    </w:pPr>
  </w:style>
  <w:style w:type="paragraph" w:styleId="Listenfortsetzung2">
    <w:name w:val="List Continue 2"/>
    <w:basedOn w:val="Standard"/>
    <w:uiPriority w:val="99"/>
    <w:semiHidden/>
    <w:unhideWhenUsed/>
    <w:rsid w:val="0003148D"/>
    <w:pPr>
      <w:spacing w:after="120"/>
      <w:ind w:left="566"/>
      <w:contextualSpacing/>
    </w:pPr>
  </w:style>
  <w:style w:type="paragraph" w:styleId="Listenfortsetzung3">
    <w:name w:val="List Continue 3"/>
    <w:basedOn w:val="Standard"/>
    <w:uiPriority w:val="99"/>
    <w:semiHidden/>
    <w:unhideWhenUsed/>
    <w:rsid w:val="0003148D"/>
    <w:pPr>
      <w:spacing w:after="120"/>
      <w:ind w:left="849"/>
      <w:contextualSpacing/>
    </w:pPr>
  </w:style>
  <w:style w:type="paragraph" w:styleId="Listenfortsetzung4">
    <w:name w:val="List Continue 4"/>
    <w:basedOn w:val="Standard"/>
    <w:uiPriority w:val="99"/>
    <w:semiHidden/>
    <w:unhideWhenUsed/>
    <w:rsid w:val="0003148D"/>
    <w:pPr>
      <w:spacing w:after="120"/>
      <w:ind w:left="1132"/>
      <w:contextualSpacing/>
    </w:pPr>
  </w:style>
  <w:style w:type="paragraph" w:styleId="Listenfortsetzung5">
    <w:name w:val="List Continue 5"/>
    <w:basedOn w:val="Standard"/>
    <w:uiPriority w:val="99"/>
    <w:semiHidden/>
    <w:unhideWhenUsed/>
    <w:rsid w:val="0003148D"/>
    <w:pPr>
      <w:spacing w:after="120"/>
      <w:ind w:left="1415"/>
      <w:contextualSpacing/>
    </w:pPr>
  </w:style>
  <w:style w:type="paragraph" w:styleId="Unterschrift">
    <w:name w:val="Signature"/>
    <w:basedOn w:val="Standard"/>
    <w:link w:val="UnterschriftZchn"/>
    <w:uiPriority w:val="99"/>
    <w:semiHidden/>
    <w:unhideWhenUsed/>
    <w:rsid w:val="0003148D"/>
    <w:pPr>
      <w:spacing w:line="240" w:lineRule="auto"/>
      <w:ind w:left="4252"/>
    </w:pPr>
  </w:style>
  <w:style w:type="character" w:customStyle="1" w:styleId="UnterschriftZchn">
    <w:name w:val="Unterschrift Zchn"/>
    <w:basedOn w:val="Absatz-Standardschriftart"/>
    <w:link w:val="Unterschrift"/>
    <w:uiPriority w:val="99"/>
    <w:semiHidden/>
    <w:rsid w:val="0003148D"/>
  </w:style>
  <w:style w:type="paragraph" w:styleId="E-Mail-Signatur">
    <w:name w:val="E-mail Signature"/>
    <w:basedOn w:val="Standard"/>
    <w:link w:val="E-Mail-SignaturZchn"/>
    <w:uiPriority w:val="99"/>
    <w:semiHidden/>
    <w:unhideWhenUsed/>
    <w:rsid w:val="0003148D"/>
    <w:pPr>
      <w:spacing w:line="240" w:lineRule="auto"/>
    </w:pPr>
  </w:style>
  <w:style w:type="character" w:customStyle="1" w:styleId="E-Mail-SignaturZchn">
    <w:name w:val="E-Mail-Signatur Zchn"/>
    <w:basedOn w:val="Absatz-Standardschriftart"/>
    <w:link w:val="E-Mail-Signatur"/>
    <w:uiPriority w:val="99"/>
    <w:semiHidden/>
    <w:rsid w:val="0003148D"/>
  </w:style>
  <w:style w:type="paragraph" w:styleId="Anrede">
    <w:name w:val="Salutation"/>
    <w:basedOn w:val="Standard"/>
    <w:next w:val="Standard"/>
    <w:link w:val="AnredeZchn"/>
    <w:uiPriority w:val="99"/>
    <w:semiHidden/>
    <w:unhideWhenUsed/>
    <w:rsid w:val="0003148D"/>
  </w:style>
  <w:style w:type="character" w:customStyle="1" w:styleId="AnredeZchn">
    <w:name w:val="Anrede Zchn"/>
    <w:basedOn w:val="Absatz-Standardschriftart"/>
    <w:link w:val="Anrede"/>
    <w:uiPriority w:val="99"/>
    <w:semiHidden/>
    <w:rsid w:val="0003148D"/>
  </w:style>
  <w:style w:type="paragraph" w:styleId="Gruformel">
    <w:name w:val="Closing"/>
    <w:basedOn w:val="Standard"/>
    <w:link w:val="GruformelZchn"/>
    <w:uiPriority w:val="99"/>
    <w:semiHidden/>
    <w:unhideWhenUsed/>
    <w:rsid w:val="0003148D"/>
    <w:pPr>
      <w:spacing w:line="240" w:lineRule="auto"/>
      <w:ind w:left="4252"/>
    </w:pPr>
  </w:style>
  <w:style w:type="character" w:customStyle="1" w:styleId="GruformelZchn">
    <w:name w:val="Grußformel Zchn"/>
    <w:basedOn w:val="Absatz-Standardschriftart"/>
    <w:link w:val="Gruformel"/>
    <w:uiPriority w:val="99"/>
    <w:semiHidden/>
    <w:rsid w:val="0003148D"/>
  </w:style>
  <w:style w:type="paragraph" w:styleId="Index1">
    <w:name w:val="index 1"/>
    <w:basedOn w:val="Standard"/>
    <w:next w:val="Standard"/>
    <w:autoRedefine/>
    <w:uiPriority w:val="99"/>
    <w:semiHidden/>
    <w:unhideWhenUsed/>
    <w:rsid w:val="0003148D"/>
    <w:pPr>
      <w:spacing w:line="240" w:lineRule="auto"/>
      <w:ind w:left="220" w:hanging="220"/>
    </w:pPr>
  </w:style>
  <w:style w:type="paragraph" w:styleId="Index2">
    <w:name w:val="index 2"/>
    <w:basedOn w:val="Standard"/>
    <w:next w:val="Standard"/>
    <w:autoRedefine/>
    <w:uiPriority w:val="99"/>
    <w:semiHidden/>
    <w:unhideWhenUsed/>
    <w:rsid w:val="0003148D"/>
    <w:pPr>
      <w:spacing w:line="240" w:lineRule="auto"/>
      <w:ind w:left="440" w:hanging="220"/>
    </w:pPr>
  </w:style>
  <w:style w:type="paragraph" w:styleId="Index3">
    <w:name w:val="index 3"/>
    <w:basedOn w:val="Standard"/>
    <w:next w:val="Standard"/>
    <w:autoRedefine/>
    <w:uiPriority w:val="99"/>
    <w:semiHidden/>
    <w:unhideWhenUsed/>
    <w:rsid w:val="0003148D"/>
    <w:pPr>
      <w:spacing w:line="240" w:lineRule="auto"/>
      <w:ind w:left="660" w:hanging="220"/>
    </w:pPr>
  </w:style>
  <w:style w:type="paragraph" w:styleId="Index4">
    <w:name w:val="index 4"/>
    <w:basedOn w:val="Standard"/>
    <w:next w:val="Standard"/>
    <w:autoRedefine/>
    <w:uiPriority w:val="99"/>
    <w:semiHidden/>
    <w:unhideWhenUsed/>
    <w:rsid w:val="0003148D"/>
    <w:pPr>
      <w:spacing w:line="240" w:lineRule="auto"/>
      <w:ind w:left="880" w:hanging="220"/>
    </w:pPr>
  </w:style>
  <w:style w:type="paragraph" w:styleId="Index5">
    <w:name w:val="index 5"/>
    <w:basedOn w:val="Standard"/>
    <w:next w:val="Standard"/>
    <w:autoRedefine/>
    <w:uiPriority w:val="99"/>
    <w:semiHidden/>
    <w:unhideWhenUsed/>
    <w:rsid w:val="0003148D"/>
    <w:pPr>
      <w:spacing w:line="240" w:lineRule="auto"/>
      <w:ind w:left="1100" w:hanging="220"/>
    </w:pPr>
  </w:style>
  <w:style w:type="paragraph" w:styleId="Index6">
    <w:name w:val="index 6"/>
    <w:basedOn w:val="Standard"/>
    <w:next w:val="Standard"/>
    <w:autoRedefine/>
    <w:uiPriority w:val="99"/>
    <w:semiHidden/>
    <w:unhideWhenUsed/>
    <w:rsid w:val="0003148D"/>
    <w:pPr>
      <w:spacing w:line="240" w:lineRule="auto"/>
      <w:ind w:left="1320" w:hanging="220"/>
    </w:pPr>
  </w:style>
  <w:style w:type="paragraph" w:styleId="Index7">
    <w:name w:val="index 7"/>
    <w:basedOn w:val="Standard"/>
    <w:next w:val="Standard"/>
    <w:autoRedefine/>
    <w:uiPriority w:val="99"/>
    <w:semiHidden/>
    <w:unhideWhenUsed/>
    <w:rsid w:val="0003148D"/>
    <w:pPr>
      <w:spacing w:line="240" w:lineRule="auto"/>
      <w:ind w:left="1540" w:hanging="220"/>
    </w:pPr>
  </w:style>
  <w:style w:type="paragraph" w:styleId="Index8">
    <w:name w:val="index 8"/>
    <w:basedOn w:val="Standard"/>
    <w:next w:val="Standard"/>
    <w:autoRedefine/>
    <w:uiPriority w:val="99"/>
    <w:semiHidden/>
    <w:unhideWhenUsed/>
    <w:rsid w:val="0003148D"/>
    <w:pPr>
      <w:spacing w:line="240" w:lineRule="auto"/>
      <w:ind w:left="1760" w:hanging="220"/>
    </w:pPr>
  </w:style>
  <w:style w:type="paragraph" w:styleId="Index9">
    <w:name w:val="index 9"/>
    <w:basedOn w:val="Standard"/>
    <w:next w:val="Standard"/>
    <w:autoRedefine/>
    <w:uiPriority w:val="99"/>
    <w:semiHidden/>
    <w:unhideWhenUsed/>
    <w:rsid w:val="0003148D"/>
    <w:pPr>
      <w:spacing w:line="240" w:lineRule="auto"/>
      <w:ind w:left="1980" w:hanging="220"/>
    </w:pPr>
  </w:style>
  <w:style w:type="paragraph" w:styleId="Abbildungsverzeichnis">
    <w:name w:val="table of figures"/>
    <w:basedOn w:val="Standard"/>
    <w:next w:val="Standard"/>
    <w:uiPriority w:val="99"/>
    <w:semiHidden/>
    <w:unhideWhenUsed/>
    <w:rsid w:val="0003148D"/>
  </w:style>
  <w:style w:type="paragraph" w:styleId="Rechtsgrundlagenverzeichnis">
    <w:name w:val="table of authorities"/>
    <w:basedOn w:val="Standard"/>
    <w:next w:val="Standard"/>
    <w:uiPriority w:val="99"/>
    <w:semiHidden/>
    <w:unhideWhenUsed/>
    <w:rsid w:val="0003148D"/>
    <w:pPr>
      <w:ind w:left="220" w:hanging="220"/>
    </w:pPr>
  </w:style>
  <w:style w:type="paragraph" w:styleId="Umschlagadresse">
    <w:name w:val="envelope address"/>
    <w:basedOn w:val="Standard"/>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Adresse">
    <w:name w:val="HTML Address"/>
    <w:basedOn w:val="Standard"/>
    <w:link w:val="HTMLAdresseZchn"/>
    <w:uiPriority w:val="99"/>
    <w:semiHidden/>
    <w:unhideWhenUsed/>
    <w:rsid w:val="0003148D"/>
    <w:pPr>
      <w:spacing w:line="240" w:lineRule="auto"/>
    </w:pPr>
    <w:rPr>
      <w:i/>
      <w:iCs/>
    </w:rPr>
  </w:style>
  <w:style w:type="character" w:customStyle="1" w:styleId="HTMLAdresseZchn">
    <w:name w:val="HTML Adresse Zchn"/>
    <w:basedOn w:val="Absatz-Standardschriftart"/>
    <w:link w:val="HTMLAdresse"/>
    <w:uiPriority w:val="99"/>
    <w:semiHidden/>
    <w:rsid w:val="0003148D"/>
    <w:rPr>
      <w:i/>
      <w:iCs/>
    </w:rPr>
  </w:style>
  <w:style w:type="paragraph" w:styleId="Umschlagabsenderadresse">
    <w:name w:val="envelope return"/>
    <w:basedOn w:val="Standard"/>
    <w:uiPriority w:val="99"/>
    <w:semiHidden/>
    <w:unhideWhenUsed/>
    <w:rsid w:val="0003148D"/>
    <w:pPr>
      <w:spacing w:line="240" w:lineRule="auto"/>
    </w:pPr>
    <w:rPr>
      <w:rFonts w:asciiTheme="majorHAnsi" w:eastAsiaTheme="majorEastAsia" w:hAnsiTheme="majorHAnsi" w:cstheme="majorBidi"/>
    </w:rPr>
  </w:style>
  <w:style w:type="paragraph" w:styleId="Nachrichtenkopf">
    <w:name w:val="Message Header"/>
    <w:basedOn w:val="Standard"/>
    <w:link w:val="NachrichtenkopfZchn"/>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03148D"/>
    <w:rPr>
      <w:rFonts w:asciiTheme="majorHAnsi" w:eastAsiaTheme="majorEastAsia" w:hAnsiTheme="majorHAnsi" w:cstheme="majorBidi"/>
      <w:sz w:val="24"/>
      <w:szCs w:val="24"/>
      <w:shd w:val="pct20" w:color="auto" w:fill="auto"/>
    </w:rPr>
  </w:style>
  <w:style w:type="paragraph" w:styleId="Fu-Endnotenberschrift">
    <w:name w:val="Note Heading"/>
    <w:basedOn w:val="Standard"/>
    <w:next w:val="Standard"/>
    <w:link w:val="Fu-EndnotenberschriftZchn"/>
    <w:uiPriority w:val="99"/>
    <w:semiHidden/>
    <w:unhideWhenUsed/>
    <w:rsid w:val="0003148D"/>
    <w:pPr>
      <w:spacing w:line="240" w:lineRule="auto"/>
    </w:pPr>
  </w:style>
  <w:style w:type="character" w:customStyle="1" w:styleId="Fu-EndnotenberschriftZchn">
    <w:name w:val="Fuß/-Endnotenüberschrift Zchn"/>
    <w:basedOn w:val="Absatz-Standardschriftart"/>
    <w:link w:val="Fu-Endnotenberschrift"/>
    <w:uiPriority w:val="99"/>
    <w:semiHidden/>
    <w:rsid w:val="0003148D"/>
  </w:style>
  <w:style w:type="paragraph" w:styleId="Dokumentstruktur">
    <w:name w:val="Document Map"/>
    <w:basedOn w:val="Standard"/>
    <w:link w:val="DokumentstrukturZchn"/>
    <w:uiPriority w:val="99"/>
    <w:semiHidden/>
    <w:unhideWhenUsed/>
    <w:rsid w:val="0003148D"/>
    <w:pPr>
      <w:spacing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03148D"/>
    <w:rPr>
      <w:rFonts w:ascii="Tahoma" w:hAnsi="Tahoma" w:cs="Tahoma"/>
      <w:sz w:val="16"/>
      <w:szCs w:val="16"/>
    </w:rPr>
  </w:style>
  <w:style w:type="paragraph" w:styleId="StandardWeb">
    <w:name w:val="Normal (Web)"/>
    <w:basedOn w:val="Standard"/>
    <w:uiPriority w:val="99"/>
    <w:semiHidden/>
    <w:unhideWhenUsed/>
    <w:rsid w:val="0003148D"/>
    <w:rPr>
      <w:sz w:val="24"/>
      <w:szCs w:val="24"/>
    </w:rPr>
  </w:style>
  <w:style w:type="paragraph" w:styleId="Listennummer">
    <w:name w:val="List Number"/>
    <w:basedOn w:val="Standard"/>
    <w:uiPriority w:val="99"/>
    <w:semiHidden/>
    <w:unhideWhenUsed/>
    <w:rsid w:val="0003148D"/>
    <w:pPr>
      <w:numPr>
        <w:numId w:val="2"/>
      </w:numPr>
      <w:contextualSpacing/>
    </w:pPr>
  </w:style>
  <w:style w:type="paragraph" w:styleId="Listennummer2">
    <w:name w:val="List Number 2"/>
    <w:basedOn w:val="Standard"/>
    <w:uiPriority w:val="99"/>
    <w:semiHidden/>
    <w:unhideWhenUsed/>
    <w:rsid w:val="0003148D"/>
    <w:pPr>
      <w:numPr>
        <w:numId w:val="3"/>
      </w:numPr>
      <w:contextualSpacing/>
    </w:pPr>
  </w:style>
  <w:style w:type="paragraph" w:styleId="Listennummer3">
    <w:name w:val="List Number 3"/>
    <w:basedOn w:val="Standard"/>
    <w:uiPriority w:val="99"/>
    <w:semiHidden/>
    <w:unhideWhenUsed/>
    <w:rsid w:val="0003148D"/>
    <w:pPr>
      <w:numPr>
        <w:numId w:val="4"/>
      </w:numPr>
      <w:contextualSpacing/>
    </w:pPr>
  </w:style>
  <w:style w:type="paragraph" w:styleId="Listennummer4">
    <w:name w:val="List Number 4"/>
    <w:basedOn w:val="Standard"/>
    <w:uiPriority w:val="99"/>
    <w:semiHidden/>
    <w:unhideWhenUsed/>
    <w:rsid w:val="0003148D"/>
    <w:pPr>
      <w:numPr>
        <w:numId w:val="5"/>
      </w:numPr>
      <w:contextualSpacing/>
    </w:pPr>
  </w:style>
  <w:style w:type="paragraph" w:styleId="Listennummer5">
    <w:name w:val="List Number 5"/>
    <w:basedOn w:val="Standard"/>
    <w:uiPriority w:val="99"/>
    <w:semiHidden/>
    <w:unhideWhenUsed/>
    <w:rsid w:val="0003148D"/>
    <w:pPr>
      <w:numPr>
        <w:numId w:val="6"/>
      </w:numPr>
      <w:contextualSpacing/>
    </w:pPr>
  </w:style>
  <w:style w:type="paragraph" w:styleId="HTMLVorformatiert">
    <w:name w:val="HTML Preformatted"/>
    <w:basedOn w:val="Standard"/>
    <w:link w:val="HTMLVorformatiertZchn"/>
    <w:uiPriority w:val="99"/>
    <w:semiHidden/>
    <w:unhideWhenUsed/>
    <w:rsid w:val="0003148D"/>
    <w:pPr>
      <w:spacing w:line="240" w:lineRule="auto"/>
    </w:pPr>
    <w:rPr>
      <w:rFonts w:ascii="Consolas" w:hAnsi="Consolas" w:cs="Consolas"/>
    </w:rPr>
  </w:style>
  <w:style w:type="character" w:customStyle="1" w:styleId="HTMLVorformatiertZchn">
    <w:name w:val="HTML Vorformatiert Zchn"/>
    <w:basedOn w:val="Absatz-Standardschriftart"/>
    <w:link w:val="HTMLVorformatiert"/>
    <w:uiPriority w:val="99"/>
    <w:semiHidden/>
    <w:rsid w:val="0003148D"/>
    <w:rPr>
      <w:rFonts w:ascii="Consolas" w:hAnsi="Consolas" w:cs="Consolas"/>
      <w:sz w:val="20"/>
      <w:szCs w:val="20"/>
    </w:rPr>
  </w:style>
  <w:style w:type="paragraph" w:styleId="Textkrper-Erstzeileneinzug">
    <w:name w:val="Body Text First Indent"/>
    <w:basedOn w:val="Textkrper"/>
    <w:link w:val="Textkrper-ErstzeileneinzugZchn"/>
    <w:uiPriority w:val="99"/>
    <w:semiHidden/>
    <w:unhideWhenUsed/>
    <w:rsid w:val="0003148D"/>
    <w:pPr>
      <w:spacing w:after="200"/>
      <w:ind w:firstLine="360"/>
    </w:pPr>
  </w:style>
  <w:style w:type="character" w:customStyle="1" w:styleId="Textkrper-ErstzeileneinzugZchn">
    <w:name w:val="Textkörper-Erstzeileneinzug Zchn"/>
    <w:basedOn w:val="TextkrperZchn"/>
    <w:link w:val="Textkrper-Erstzeileneinzug"/>
    <w:uiPriority w:val="99"/>
    <w:semiHidden/>
    <w:rsid w:val="0003148D"/>
  </w:style>
  <w:style w:type="paragraph" w:styleId="Textkrper-Zeileneinzug">
    <w:name w:val="Body Text Indent"/>
    <w:basedOn w:val="Standard"/>
    <w:link w:val="Textkrper-ZeileneinzugZchn"/>
    <w:uiPriority w:val="99"/>
    <w:semiHidden/>
    <w:unhideWhenUsed/>
    <w:rsid w:val="0003148D"/>
    <w:pPr>
      <w:spacing w:after="120"/>
      <w:ind w:left="283"/>
    </w:pPr>
  </w:style>
  <w:style w:type="character" w:customStyle="1" w:styleId="Textkrper-ZeileneinzugZchn">
    <w:name w:val="Textkörper-Zeileneinzug Zchn"/>
    <w:basedOn w:val="Absatz-Standardschriftart"/>
    <w:link w:val="Textkrper-Zeileneinzug"/>
    <w:uiPriority w:val="99"/>
    <w:semiHidden/>
    <w:rsid w:val="0003148D"/>
  </w:style>
  <w:style w:type="paragraph" w:styleId="Textkrper-Erstzeileneinzug2">
    <w:name w:val="Body Text First Indent 2"/>
    <w:basedOn w:val="Textkrper-Zeileneinzug"/>
    <w:link w:val="Textkrper-Erstzeileneinzug2Zchn"/>
    <w:uiPriority w:val="99"/>
    <w:semiHidden/>
    <w:unhideWhenUsed/>
    <w:rsid w:val="0003148D"/>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03148D"/>
  </w:style>
  <w:style w:type="paragraph" w:styleId="Aufzhlungszeichen">
    <w:name w:val="List Bullet"/>
    <w:basedOn w:val="Standard"/>
    <w:uiPriority w:val="99"/>
    <w:semiHidden/>
    <w:unhideWhenUsed/>
    <w:rsid w:val="0003148D"/>
    <w:pPr>
      <w:numPr>
        <w:numId w:val="7"/>
      </w:numPr>
      <w:contextualSpacing/>
    </w:pPr>
  </w:style>
  <w:style w:type="paragraph" w:styleId="Aufzhlungszeichen2">
    <w:name w:val="List Bullet 2"/>
    <w:basedOn w:val="Standard"/>
    <w:uiPriority w:val="99"/>
    <w:semiHidden/>
    <w:unhideWhenUsed/>
    <w:rsid w:val="0003148D"/>
    <w:pPr>
      <w:numPr>
        <w:numId w:val="8"/>
      </w:numPr>
      <w:contextualSpacing/>
    </w:pPr>
  </w:style>
  <w:style w:type="paragraph" w:styleId="Aufzhlungszeichen3">
    <w:name w:val="List Bullet 3"/>
    <w:basedOn w:val="Standard"/>
    <w:uiPriority w:val="99"/>
    <w:semiHidden/>
    <w:unhideWhenUsed/>
    <w:rsid w:val="0003148D"/>
    <w:pPr>
      <w:numPr>
        <w:numId w:val="9"/>
      </w:numPr>
      <w:contextualSpacing/>
    </w:pPr>
  </w:style>
  <w:style w:type="paragraph" w:styleId="Aufzhlungszeichen4">
    <w:name w:val="List Bullet 4"/>
    <w:basedOn w:val="Standard"/>
    <w:uiPriority w:val="99"/>
    <w:semiHidden/>
    <w:unhideWhenUsed/>
    <w:rsid w:val="0003148D"/>
    <w:pPr>
      <w:numPr>
        <w:numId w:val="10"/>
      </w:numPr>
      <w:contextualSpacing/>
    </w:pPr>
  </w:style>
  <w:style w:type="paragraph" w:styleId="Aufzhlungszeichen5">
    <w:name w:val="List Bullet 5"/>
    <w:basedOn w:val="Standard"/>
    <w:uiPriority w:val="99"/>
    <w:semiHidden/>
    <w:unhideWhenUsed/>
    <w:rsid w:val="0003148D"/>
    <w:pPr>
      <w:numPr>
        <w:numId w:val="11"/>
      </w:numPr>
      <w:contextualSpacing/>
    </w:pPr>
  </w:style>
  <w:style w:type="paragraph" w:styleId="Textkrper-Einzug2">
    <w:name w:val="Body Text Indent 2"/>
    <w:basedOn w:val="Standard"/>
    <w:link w:val="Textkrper-Einzug2Zchn"/>
    <w:uiPriority w:val="99"/>
    <w:semiHidden/>
    <w:unhideWhenUsed/>
    <w:rsid w:val="0003148D"/>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03148D"/>
  </w:style>
  <w:style w:type="paragraph" w:styleId="Textkrper-Einzug3">
    <w:name w:val="Body Text Indent 3"/>
    <w:basedOn w:val="Standard"/>
    <w:link w:val="Textkrper-Einzug3Zchn"/>
    <w:uiPriority w:val="99"/>
    <w:semiHidden/>
    <w:unhideWhenUsed/>
    <w:rsid w:val="0003148D"/>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03148D"/>
    <w:rPr>
      <w:sz w:val="16"/>
      <w:szCs w:val="16"/>
    </w:rPr>
  </w:style>
  <w:style w:type="paragraph" w:styleId="Standardeinzug">
    <w:name w:val="Normal Indent"/>
    <w:basedOn w:val="Standard"/>
    <w:uiPriority w:val="99"/>
    <w:semiHidden/>
    <w:unhideWhenUsed/>
    <w:rsid w:val="0003148D"/>
    <w:pPr>
      <w:ind w:left="720"/>
    </w:pPr>
  </w:style>
  <w:style w:type="paragraph" w:styleId="Kommentartext">
    <w:name w:val="annotation text"/>
    <w:basedOn w:val="Standard"/>
    <w:link w:val="KommentartextZchn"/>
    <w:uiPriority w:val="99"/>
    <w:unhideWhenUsed/>
    <w:rsid w:val="0003148D"/>
    <w:pPr>
      <w:spacing w:line="240" w:lineRule="auto"/>
    </w:pPr>
  </w:style>
  <w:style w:type="character" w:customStyle="1" w:styleId="KommentartextZchn">
    <w:name w:val="Kommentartext Zchn"/>
    <w:basedOn w:val="Absatz-Standardschriftart"/>
    <w:link w:val="Kommentartext"/>
    <w:uiPriority w:val="99"/>
    <w:rsid w:val="0003148D"/>
    <w:rPr>
      <w:sz w:val="20"/>
      <w:szCs w:val="20"/>
    </w:rPr>
  </w:style>
  <w:style w:type="paragraph" w:styleId="Kommentarthema">
    <w:name w:val="annotation subject"/>
    <w:basedOn w:val="Kommentartext"/>
    <w:next w:val="Kommentartext"/>
    <w:link w:val="KommentarthemaZchn"/>
    <w:uiPriority w:val="99"/>
    <w:semiHidden/>
    <w:unhideWhenUsed/>
    <w:rsid w:val="0003148D"/>
    <w:rPr>
      <w:b/>
      <w:bCs/>
    </w:rPr>
  </w:style>
  <w:style w:type="character" w:customStyle="1" w:styleId="KommentarthemaZchn">
    <w:name w:val="Kommentarthema Zchn"/>
    <w:basedOn w:val="KommentartextZchn"/>
    <w:link w:val="Kommentarthema"/>
    <w:uiPriority w:val="99"/>
    <w:semiHidden/>
    <w:rsid w:val="0003148D"/>
    <w:rPr>
      <w:b/>
      <w:bCs/>
      <w:sz w:val="20"/>
      <w:szCs w:val="20"/>
    </w:rPr>
  </w:style>
  <w:style w:type="paragraph" w:styleId="Verzeichnis1">
    <w:name w:val="toc 1"/>
    <w:basedOn w:val="Standard"/>
    <w:next w:val="Standard"/>
    <w:autoRedefine/>
    <w:uiPriority w:val="39"/>
    <w:semiHidden/>
    <w:unhideWhenUsed/>
    <w:rsid w:val="0003148D"/>
    <w:pPr>
      <w:spacing w:after="100"/>
    </w:pPr>
  </w:style>
  <w:style w:type="paragraph" w:styleId="Verzeichnis2">
    <w:name w:val="toc 2"/>
    <w:basedOn w:val="Standard"/>
    <w:next w:val="Standard"/>
    <w:autoRedefine/>
    <w:uiPriority w:val="39"/>
    <w:semiHidden/>
    <w:unhideWhenUsed/>
    <w:rsid w:val="0003148D"/>
    <w:pPr>
      <w:spacing w:after="100"/>
      <w:ind w:left="220"/>
    </w:pPr>
  </w:style>
  <w:style w:type="paragraph" w:styleId="Verzeichnis3">
    <w:name w:val="toc 3"/>
    <w:basedOn w:val="Standard"/>
    <w:next w:val="Standard"/>
    <w:autoRedefine/>
    <w:uiPriority w:val="39"/>
    <w:semiHidden/>
    <w:unhideWhenUsed/>
    <w:rsid w:val="0003148D"/>
    <w:pPr>
      <w:spacing w:after="100"/>
      <w:ind w:left="440"/>
    </w:pPr>
  </w:style>
  <w:style w:type="paragraph" w:styleId="Verzeichnis4">
    <w:name w:val="toc 4"/>
    <w:basedOn w:val="Standard"/>
    <w:next w:val="Standard"/>
    <w:autoRedefine/>
    <w:uiPriority w:val="39"/>
    <w:semiHidden/>
    <w:unhideWhenUsed/>
    <w:rsid w:val="0003148D"/>
    <w:pPr>
      <w:spacing w:after="100"/>
      <w:ind w:left="660"/>
    </w:pPr>
  </w:style>
  <w:style w:type="paragraph" w:styleId="Verzeichnis5">
    <w:name w:val="toc 5"/>
    <w:basedOn w:val="Standard"/>
    <w:next w:val="Standard"/>
    <w:autoRedefine/>
    <w:uiPriority w:val="39"/>
    <w:semiHidden/>
    <w:unhideWhenUsed/>
    <w:rsid w:val="0003148D"/>
    <w:pPr>
      <w:spacing w:after="100"/>
      <w:ind w:left="880"/>
    </w:pPr>
  </w:style>
  <w:style w:type="paragraph" w:styleId="Verzeichnis6">
    <w:name w:val="toc 6"/>
    <w:basedOn w:val="Standard"/>
    <w:next w:val="Standard"/>
    <w:autoRedefine/>
    <w:uiPriority w:val="39"/>
    <w:semiHidden/>
    <w:unhideWhenUsed/>
    <w:rsid w:val="0003148D"/>
    <w:pPr>
      <w:spacing w:after="100"/>
      <w:ind w:left="1100"/>
    </w:pPr>
  </w:style>
  <w:style w:type="paragraph" w:styleId="Verzeichnis7">
    <w:name w:val="toc 7"/>
    <w:basedOn w:val="Standard"/>
    <w:next w:val="Standard"/>
    <w:autoRedefine/>
    <w:uiPriority w:val="39"/>
    <w:semiHidden/>
    <w:unhideWhenUsed/>
    <w:rsid w:val="0003148D"/>
    <w:pPr>
      <w:spacing w:after="100"/>
      <w:ind w:left="1320"/>
    </w:pPr>
  </w:style>
  <w:style w:type="paragraph" w:styleId="Verzeichnis8">
    <w:name w:val="toc 8"/>
    <w:basedOn w:val="Standard"/>
    <w:next w:val="Standard"/>
    <w:autoRedefine/>
    <w:uiPriority w:val="39"/>
    <w:semiHidden/>
    <w:unhideWhenUsed/>
    <w:rsid w:val="0003148D"/>
    <w:pPr>
      <w:spacing w:after="100"/>
      <w:ind w:left="1540"/>
    </w:pPr>
  </w:style>
  <w:style w:type="paragraph" w:styleId="Verzeichnis9">
    <w:name w:val="toc 9"/>
    <w:basedOn w:val="Standard"/>
    <w:next w:val="Standard"/>
    <w:autoRedefine/>
    <w:uiPriority w:val="39"/>
    <w:semiHidden/>
    <w:unhideWhenUsed/>
    <w:rsid w:val="0003148D"/>
    <w:pPr>
      <w:spacing w:after="100"/>
      <w:ind w:left="1760"/>
    </w:pPr>
  </w:style>
  <w:style w:type="paragraph" w:styleId="Blocktext">
    <w:name w:val="Block Text"/>
    <w:basedOn w:val="Standard"/>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Makrotext">
    <w:name w:val="macro"/>
    <w:link w:val="MakrotextZchn"/>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03148D"/>
    <w:rPr>
      <w:rFonts w:ascii="Consolas" w:hAnsi="Consolas" w:cs="Consolas"/>
      <w:sz w:val="20"/>
      <w:szCs w:val="20"/>
    </w:rPr>
  </w:style>
  <w:style w:type="paragraph" w:styleId="NurText">
    <w:name w:val="Plain Text"/>
    <w:basedOn w:val="Standard"/>
    <w:link w:val="NurTextZchn"/>
    <w:uiPriority w:val="99"/>
    <w:semiHidden/>
    <w:unhideWhenUsed/>
    <w:rsid w:val="0003148D"/>
    <w:pPr>
      <w:spacing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03148D"/>
    <w:rPr>
      <w:rFonts w:ascii="Consolas" w:hAnsi="Consolas" w:cs="Consolas"/>
      <w:sz w:val="21"/>
      <w:szCs w:val="21"/>
    </w:rPr>
  </w:style>
  <w:style w:type="paragraph" w:styleId="Funotentext">
    <w:name w:val="footnote text"/>
    <w:basedOn w:val="Standard"/>
    <w:link w:val="FunotentextZchn"/>
    <w:uiPriority w:val="99"/>
    <w:semiHidden/>
    <w:unhideWhenUsed/>
    <w:rsid w:val="0003148D"/>
    <w:pPr>
      <w:spacing w:line="240" w:lineRule="auto"/>
    </w:pPr>
  </w:style>
  <w:style w:type="character" w:customStyle="1" w:styleId="FunotentextZchn">
    <w:name w:val="Fußnotentext Zchn"/>
    <w:basedOn w:val="Absatz-Standardschriftart"/>
    <w:link w:val="Funotentext"/>
    <w:uiPriority w:val="99"/>
    <w:semiHidden/>
    <w:rsid w:val="0003148D"/>
    <w:rPr>
      <w:sz w:val="20"/>
      <w:szCs w:val="20"/>
    </w:rPr>
  </w:style>
  <w:style w:type="paragraph" w:styleId="Endnotentext">
    <w:name w:val="endnote text"/>
    <w:basedOn w:val="Standard"/>
    <w:link w:val="EndnotentextZchn"/>
    <w:uiPriority w:val="99"/>
    <w:semiHidden/>
    <w:unhideWhenUsed/>
    <w:rsid w:val="0003148D"/>
    <w:pPr>
      <w:spacing w:line="240" w:lineRule="auto"/>
    </w:pPr>
  </w:style>
  <w:style w:type="character" w:customStyle="1" w:styleId="EndnotentextZchn">
    <w:name w:val="Endnotentext Zchn"/>
    <w:basedOn w:val="Absatz-Standardschriftart"/>
    <w:link w:val="Endnotentext"/>
    <w:uiPriority w:val="99"/>
    <w:semiHidden/>
    <w:rsid w:val="0003148D"/>
    <w:rPr>
      <w:sz w:val="20"/>
      <w:szCs w:val="20"/>
    </w:rPr>
  </w:style>
  <w:style w:type="character" w:customStyle="1" w:styleId="berschrift1Zchn">
    <w:name w:val="Überschrift 1 Zchn"/>
    <w:basedOn w:val="Absatz-Standardschriftart"/>
    <w:link w:val="berschrift1"/>
    <w:uiPriority w:val="9"/>
    <w:rsid w:val="004F5E36"/>
    <w:rPr>
      <w:rFonts w:ascii="Arial" w:eastAsia="Times New Roman" w:hAnsi="Arial" w:cs="Times New Roman"/>
      <w:b/>
      <w:sz w:val="20"/>
      <w:szCs w:val="20"/>
      <w:lang w:val="en-GB"/>
    </w:rPr>
  </w:style>
  <w:style w:type="character" w:customStyle="1" w:styleId="berschrift2Zchn">
    <w:name w:val="Überschrift 2 Zchn"/>
    <w:basedOn w:val="Absatz-Standardschriftart"/>
    <w:link w:val="berschrift2"/>
    <w:uiPriority w:val="9"/>
    <w:semiHidden/>
    <w:rsid w:val="0003148D"/>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03148D"/>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03148D"/>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03148D"/>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03148D"/>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03148D"/>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03148D"/>
    <w:rPr>
      <w:rFonts w:asciiTheme="majorHAnsi" w:eastAsiaTheme="majorEastAsia" w:hAnsiTheme="majorHAnsi" w:cstheme="majorBidi"/>
      <w:i/>
      <w:iCs/>
      <w:color w:val="404040" w:themeColor="text1" w:themeTint="BF"/>
      <w:sz w:val="20"/>
      <w:szCs w:val="20"/>
    </w:rPr>
  </w:style>
  <w:style w:type="paragraph" w:styleId="Indexberschrift">
    <w:name w:val="index heading"/>
    <w:basedOn w:val="Standard"/>
    <w:next w:val="Index1"/>
    <w:uiPriority w:val="99"/>
    <w:semiHidden/>
    <w:unhideWhenUsed/>
    <w:rsid w:val="0003148D"/>
    <w:rPr>
      <w:rFonts w:asciiTheme="majorHAnsi" w:eastAsiaTheme="majorEastAsia" w:hAnsiTheme="majorHAnsi" w:cstheme="majorBidi"/>
      <w:b/>
      <w:bCs/>
    </w:rPr>
  </w:style>
  <w:style w:type="paragraph" w:styleId="RGV-berschrift">
    <w:name w:val="toa heading"/>
    <w:basedOn w:val="Standard"/>
    <w:next w:val="Standard"/>
    <w:uiPriority w:val="99"/>
    <w:semiHidden/>
    <w:unhideWhenUsed/>
    <w:rsid w:val="0003148D"/>
    <w:pPr>
      <w:spacing w:before="120"/>
    </w:pPr>
    <w:rPr>
      <w:rFonts w:asciiTheme="majorHAnsi" w:eastAsiaTheme="majorEastAsia" w:hAnsiTheme="majorHAnsi" w:cstheme="majorBidi"/>
      <w:b/>
      <w:bCs/>
      <w:sz w:val="24"/>
      <w:szCs w:val="24"/>
    </w:rPr>
  </w:style>
  <w:style w:type="paragraph" w:styleId="Inhaltsverzeichnisberschrift">
    <w:name w:val="TOC Heading"/>
    <w:basedOn w:val="berschrift1"/>
    <w:next w:val="Standard"/>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bsatz-Standardschriftart"/>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Kopfzeile">
    <w:name w:val="header"/>
    <w:basedOn w:val="Standard"/>
    <w:link w:val="KopfzeileZchn"/>
    <w:uiPriority w:val="99"/>
    <w:unhideWhenUsed/>
    <w:rsid w:val="005278B7"/>
    <w:pPr>
      <w:tabs>
        <w:tab w:val="clear" w:pos="7100"/>
        <w:tab w:val="center" w:pos="4819"/>
        <w:tab w:val="right" w:pos="9638"/>
      </w:tabs>
      <w:spacing w:line="240" w:lineRule="auto"/>
    </w:pPr>
  </w:style>
  <w:style w:type="character" w:customStyle="1" w:styleId="KopfzeileZchn">
    <w:name w:val="Kopfzeile Zchn"/>
    <w:basedOn w:val="Absatz-Standardschriftart"/>
    <w:link w:val="Kopfzeile"/>
    <w:uiPriority w:val="99"/>
    <w:rsid w:val="005278B7"/>
    <w:rPr>
      <w:rFonts w:ascii="Arial" w:eastAsia="Times New Roman" w:hAnsi="Arial" w:cs="Times New Roman"/>
      <w:sz w:val="18"/>
      <w:szCs w:val="20"/>
      <w:lang w:val="en-GB"/>
    </w:rPr>
  </w:style>
  <w:style w:type="paragraph" w:styleId="Fuzeile">
    <w:name w:val="footer"/>
    <w:basedOn w:val="Standard"/>
    <w:link w:val="FuzeileZchn"/>
    <w:uiPriority w:val="99"/>
    <w:unhideWhenUsed/>
    <w:rsid w:val="005278B7"/>
    <w:pPr>
      <w:tabs>
        <w:tab w:val="clear" w:pos="7100"/>
        <w:tab w:val="center" w:pos="4819"/>
        <w:tab w:val="right" w:pos="9638"/>
      </w:tabs>
      <w:spacing w:line="240" w:lineRule="auto"/>
    </w:pPr>
  </w:style>
  <w:style w:type="character" w:customStyle="1" w:styleId="FuzeileZchn">
    <w:name w:val="Fußzeile Zchn"/>
    <w:basedOn w:val="Absatz-Standardschriftart"/>
    <w:link w:val="Fuzeile"/>
    <w:uiPriority w:val="99"/>
    <w:rsid w:val="005278B7"/>
    <w:rPr>
      <w:rFonts w:ascii="Arial" w:eastAsia="Times New Roman" w:hAnsi="Arial" w:cs="Times New Roman"/>
      <w:sz w:val="18"/>
      <w:szCs w:val="20"/>
      <w:lang w:val="en-GB"/>
    </w:rPr>
  </w:style>
  <w:style w:type="table" w:styleId="Tabellenraster">
    <w:name w:val="Table Grid"/>
    <w:basedOn w:val="NormaleTabelle"/>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904C62"/>
    <w:rPr>
      <w:color w:val="0000FF" w:themeColor="hyperlink"/>
      <w:u w:val="single"/>
    </w:rPr>
  </w:style>
  <w:style w:type="character" w:customStyle="1" w:styleId="eudoraheader">
    <w:name w:val="eudoraheader"/>
    <w:basedOn w:val="Absatz-Standardschriftart"/>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Listenabsatz">
    <w:name w:val="List Paragraph"/>
    <w:basedOn w:val="Standard"/>
    <w:uiPriority w:val="34"/>
    <w:rsid w:val="00280FAF"/>
    <w:pPr>
      <w:ind w:left="720"/>
      <w:contextualSpacing/>
    </w:pPr>
  </w:style>
  <w:style w:type="character" w:customStyle="1" w:styleId="gmail-apple-converted-space">
    <w:name w:val="gmail-apple-converted-space"/>
    <w:basedOn w:val="Absatz-Standardschriftart"/>
    <w:rsid w:val="00005A19"/>
  </w:style>
  <w:style w:type="character" w:styleId="NichtaufgelsteErwhnung">
    <w:name w:val="Unresolved Mention"/>
    <w:basedOn w:val="Absatz-Standardschriftart"/>
    <w:uiPriority w:val="99"/>
    <w:semiHidden/>
    <w:unhideWhenUsed/>
    <w:rsid w:val="002E63AA"/>
    <w:rPr>
      <w:color w:val="605E5C"/>
      <w:shd w:val="clear" w:color="auto" w:fill="E1DFDD"/>
    </w:rPr>
  </w:style>
  <w:style w:type="paragraph" w:customStyle="1" w:styleId="p1">
    <w:name w:val="p1"/>
    <w:basedOn w:val="Standard"/>
    <w:rsid w:val="00DA0932"/>
    <w:pPr>
      <w:tabs>
        <w:tab w:val="clear" w:pos="7100"/>
      </w:tabs>
      <w:spacing w:before="100" w:beforeAutospacing="1" w:after="100" w:afterAutospacing="1" w:line="240" w:lineRule="auto"/>
      <w:jc w:val="left"/>
    </w:pPr>
    <w:rPr>
      <w:rFonts w:ascii="Times New Roman" w:hAnsi="Times New Roman"/>
      <w:sz w:val="24"/>
      <w:szCs w:val="24"/>
      <w:lang w:val="de-DE" w:eastAsia="de-DE"/>
    </w:rPr>
  </w:style>
  <w:style w:type="paragraph" w:customStyle="1" w:styleId="p2">
    <w:name w:val="p2"/>
    <w:basedOn w:val="Standard"/>
    <w:rsid w:val="002970EE"/>
    <w:pPr>
      <w:tabs>
        <w:tab w:val="clear" w:pos="7100"/>
      </w:tabs>
      <w:spacing w:before="100" w:beforeAutospacing="1" w:after="100" w:afterAutospacing="1" w:line="240" w:lineRule="auto"/>
      <w:jc w:val="left"/>
    </w:pPr>
    <w:rPr>
      <w:rFonts w:ascii="Times New Roman" w:hAnsi="Times New Roman"/>
      <w:sz w:val="24"/>
      <w:szCs w:val="24"/>
      <w:lang w:val="de-DE" w:eastAsia="de-DE"/>
    </w:rPr>
  </w:style>
  <w:style w:type="paragraph" w:customStyle="1" w:styleId="Els-body-text">
    <w:name w:val="Els-body-text"/>
    <w:rsid w:val="00841337"/>
    <w:pPr>
      <w:spacing w:after="0" w:line="240" w:lineRule="auto"/>
      <w:jc w:val="both"/>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058695">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794049">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442485">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3610</Words>
  <Characters>22745</Characters>
  <Application>Microsoft Office Word</Application>
  <DocSecurity>0</DocSecurity>
  <Lines>189</Lines>
  <Paragraphs>52</Paragraphs>
  <ScaleCrop>false</ScaleCrop>
  <HeadingPairs>
    <vt:vector size="6" baseType="variant">
      <vt:variant>
        <vt:lpstr>Titel</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Lukas Gottheil</cp:lastModifiedBy>
  <cp:revision>58</cp:revision>
  <cp:lastPrinted>2026-08-13T08:44:00Z</cp:lastPrinted>
  <dcterms:created xsi:type="dcterms:W3CDTF">2026-04-30T21:06:00Z</dcterms:created>
  <dcterms:modified xsi:type="dcterms:W3CDTF">2026-08-19T15:59:00Z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