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F0307D"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F0307D" w:rsidRDefault="000A03B2" w:rsidP="00DE264A">
            <w:pPr>
              <w:tabs>
                <w:tab w:val="left" w:pos="-108"/>
              </w:tabs>
              <w:ind w:left="-108"/>
              <w:jc w:val="left"/>
              <w:rPr>
                <w:rFonts w:cs="Arial"/>
                <w:b/>
                <w:bCs/>
                <w:i/>
                <w:iCs/>
                <w:color w:val="000066"/>
                <w:sz w:val="12"/>
                <w:szCs w:val="12"/>
                <w:lang w:val="en-US" w:eastAsia="it-IT"/>
              </w:rPr>
            </w:pPr>
            <w:bookmarkStart w:id="0" w:name="_Hlk145068772"/>
            <w:r w:rsidRPr="00F0307D">
              <w:rPr>
                <w:rFonts w:ascii="AdvP6960" w:hAnsi="AdvP6960" w:cs="AdvP6960"/>
                <w:noProof/>
                <w:color w:val="241F20"/>
                <w:szCs w:val="18"/>
                <w:lang w:val="en-US"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F0307D">
              <w:rPr>
                <w:rFonts w:ascii="AdvP6960" w:hAnsi="AdvP6960" w:cs="AdvP6960"/>
                <w:color w:val="241F20"/>
                <w:szCs w:val="18"/>
                <w:lang w:val="en-US" w:eastAsia="it-IT"/>
              </w:rPr>
              <w:t xml:space="preserve"> </w:t>
            </w:r>
            <w:r w:rsidRPr="00F0307D">
              <w:rPr>
                <w:rFonts w:cs="Arial"/>
                <w:b/>
                <w:bCs/>
                <w:i/>
                <w:iCs/>
                <w:color w:val="000066"/>
                <w:sz w:val="24"/>
                <w:szCs w:val="24"/>
                <w:lang w:val="en-US" w:eastAsia="it-IT"/>
              </w:rPr>
              <w:t>CHEMICAL ENGINEERING</w:t>
            </w:r>
            <w:r w:rsidRPr="00F0307D">
              <w:rPr>
                <w:rFonts w:cs="Arial"/>
                <w:b/>
                <w:bCs/>
                <w:i/>
                <w:iCs/>
                <w:color w:val="0033FF"/>
                <w:sz w:val="24"/>
                <w:szCs w:val="24"/>
                <w:lang w:val="en-US" w:eastAsia="it-IT"/>
              </w:rPr>
              <w:t xml:space="preserve"> </w:t>
            </w:r>
            <w:r w:rsidRPr="00F0307D">
              <w:rPr>
                <w:rFonts w:cs="Arial"/>
                <w:b/>
                <w:bCs/>
                <w:i/>
                <w:iCs/>
                <w:color w:val="666666"/>
                <w:sz w:val="24"/>
                <w:szCs w:val="24"/>
                <w:lang w:val="en-US" w:eastAsia="it-IT"/>
              </w:rPr>
              <w:t>TRANSACTIONS</w:t>
            </w:r>
            <w:r w:rsidRPr="00F0307D">
              <w:rPr>
                <w:color w:val="333333"/>
                <w:sz w:val="24"/>
                <w:szCs w:val="24"/>
                <w:lang w:val="en-US" w:eastAsia="it-IT"/>
              </w:rPr>
              <w:t xml:space="preserve"> </w:t>
            </w:r>
            <w:r w:rsidRPr="00F0307D">
              <w:rPr>
                <w:rFonts w:cs="Arial"/>
                <w:b/>
                <w:bCs/>
                <w:i/>
                <w:iCs/>
                <w:color w:val="000066"/>
                <w:sz w:val="27"/>
                <w:szCs w:val="27"/>
                <w:lang w:val="en-US" w:eastAsia="it-IT"/>
              </w:rPr>
              <w:br/>
            </w:r>
          </w:p>
          <w:p w14:paraId="4B780582" w14:textId="753620B8" w:rsidR="000A03B2" w:rsidRPr="00F0307D" w:rsidRDefault="00A76EFC" w:rsidP="001D21AF">
            <w:pPr>
              <w:tabs>
                <w:tab w:val="left" w:pos="-108"/>
              </w:tabs>
              <w:ind w:left="-108"/>
              <w:rPr>
                <w:rFonts w:cs="Arial"/>
                <w:b/>
                <w:bCs/>
                <w:i/>
                <w:iCs/>
                <w:color w:val="000066"/>
                <w:sz w:val="22"/>
                <w:szCs w:val="22"/>
                <w:lang w:val="en-US" w:eastAsia="it-IT"/>
              </w:rPr>
            </w:pPr>
            <w:r w:rsidRPr="00F0307D">
              <w:rPr>
                <w:rFonts w:cs="Arial"/>
                <w:b/>
                <w:bCs/>
                <w:i/>
                <w:iCs/>
                <w:color w:val="000066"/>
                <w:sz w:val="22"/>
                <w:szCs w:val="22"/>
                <w:lang w:val="en-US" w:eastAsia="it-IT"/>
              </w:rPr>
              <w:t>VOL.</w:t>
            </w:r>
            <w:r w:rsidR="00785BF9" w:rsidRPr="00F0307D">
              <w:rPr>
                <w:rFonts w:cs="Arial"/>
                <w:b/>
                <w:bCs/>
                <w:i/>
                <w:iCs/>
                <w:color w:val="000066"/>
                <w:sz w:val="22"/>
                <w:szCs w:val="22"/>
                <w:lang w:val="en-US" w:eastAsia="it-IT"/>
              </w:rPr>
              <w:t xml:space="preserve"> </w:t>
            </w:r>
            <w:r w:rsidR="00AD0278" w:rsidRPr="00F0307D">
              <w:rPr>
                <w:rFonts w:cs="Arial"/>
                <w:b/>
                <w:bCs/>
                <w:i/>
                <w:iCs/>
                <w:color w:val="000066"/>
                <w:sz w:val="22"/>
                <w:szCs w:val="22"/>
                <w:lang w:val="en-US" w:eastAsia="it-IT"/>
              </w:rPr>
              <w:t>xxx</w:t>
            </w:r>
            <w:r w:rsidR="007B48F9" w:rsidRPr="00F0307D">
              <w:rPr>
                <w:rFonts w:cs="Arial"/>
                <w:b/>
                <w:bCs/>
                <w:i/>
                <w:iCs/>
                <w:color w:val="000066"/>
                <w:sz w:val="22"/>
                <w:szCs w:val="22"/>
                <w:lang w:val="en-US" w:eastAsia="it-IT"/>
              </w:rPr>
              <w:t>,</w:t>
            </w:r>
            <w:r w:rsidR="00FA5F5F" w:rsidRPr="00F0307D">
              <w:rPr>
                <w:rFonts w:cs="Arial"/>
                <w:b/>
                <w:bCs/>
                <w:i/>
                <w:iCs/>
                <w:color w:val="000066"/>
                <w:sz w:val="22"/>
                <w:szCs w:val="22"/>
                <w:lang w:val="en-US" w:eastAsia="it-IT"/>
              </w:rPr>
              <w:t xml:space="preserve"> </w:t>
            </w:r>
            <w:r w:rsidR="0030152C" w:rsidRPr="00F0307D">
              <w:rPr>
                <w:rFonts w:cs="Arial"/>
                <w:b/>
                <w:bCs/>
                <w:i/>
                <w:iCs/>
                <w:color w:val="000066"/>
                <w:sz w:val="22"/>
                <w:szCs w:val="22"/>
                <w:lang w:val="en-US" w:eastAsia="it-IT"/>
              </w:rPr>
              <w:t>202</w:t>
            </w:r>
            <w:r w:rsidR="00AD0278" w:rsidRPr="00F0307D">
              <w:rPr>
                <w:rFonts w:cs="Arial"/>
                <w:b/>
                <w:bCs/>
                <w:i/>
                <w:iCs/>
                <w:color w:val="000066"/>
                <w:sz w:val="22"/>
                <w:szCs w:val="22"/>
                <w:lang w:val="en-US" w:eastAsia="it-IT"/>
              </w:rPr>
              <w:t>6</w:t>
            </w:r>
          </w:p>
        </w:tc>
        <w:tc>
          <w:tcPr>
            <w:tcW w:w="1843" w:type="dxa"/>
            <w:tcBorders>
              <w:left w:val="single" w:sz="4" w:space="0" w:color="auto"/>
              <w:bottom w:val="nil"/>
              <w:right w:val="single" w:sz="4" w:space="0" w:color="auto"/>
            </w:tcBorders>
          </w:tcPr>
          <w:p w14:paraId="56782132" w14:textId="77777777" w:rsidR="000A03B2" w:rsidRPr="00F0307D" w:rsidRDefault="000A03B2" w:rsidP="00CD5FE2">
            <w:pPr>
              <w:spacing w:line="140" w:lineRule="atLeast"/>
              <w:jc w:val="right"/>
              <w:rPr>
                <w:rFonts w:cs="Arial"/>
                <w:sz w:val="14"/>
                <w:szCs w:val="14"/>
                <w:lang w:val="en-US"/>
              </w:rPr>
            </w:pPr>
            <w:r w:rsidRPr="00F0307D">
              <w:rPr>
                <w:rFonts w:cs="Arial"/>
                <w:sz w:val="14"/>
                <w:szCs w:val="14"/>
                <w:lang w:val="en-US"/>
              </w:rPr>
              <w:t>A publication of</w:t>
            </w:r>
          </w:p>
          <w:p w14:paraId="599E5441" w14:textId="77777777" w:rsidR="000A03B2" w:rsidRPr="00F0307D" w:rsidRDefault="000A03B2" w:rsidP="00CD5FE2">
            <w:pPr>
              <w:jc w:val="right"/>
              <w:rPr>
                <w:lang w:val="en-US"/>
              </w:rPr>
            </w:pPr>
            <w:r w:rsidRPr="00F0307D">
              <w:rPr>
                <w:noProof/>
                <w:lang w:val="en-US"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F0307D" w14:paraId="380FA3CD" w14:textId="77777777" w:rsidTr="00DE264A">
        <w:trPr>
          <w:trHeight w:val="567"/>
          <w:jc w:val="center"/>
        </w:trPr>
        <w:tc>
          <w:tcPr>
            <w:tcW w:w="6946" w:type="dxa"/>
            <w:vMerge/>
            <w:tcBorders>
              <w:right w:val="single" w:sz="4" w:space="0" w:color="auto"/>
            </w:tcBorders>
          </w:tcPr>
          <w:p w14:paraId="39E5E4C1" w14:textId="77777777" w:rsidR="000A03B2" w:rsidRPr="00F0307D" w:rsidRDefault="000A03B2" w:rsidP="00CD5FE2">
            <w:pPr>
              <w:tabs>
                <w:tab w:val="left" w:pos="-108"/>
              </w:tabs>
              <w:rPr>
                <w:lang w:val="en-US"/>
              </w:rPr>
            </w:pPr>
          </w:p>
        </w:tc>
        <w:tc>
          <w:tcPr>
            <w:tcW w:w="1843" w:type="dxa"/>
            <w:tcBorders>
              <w:left w:val="single" w:sz="4" w:space="0" w:color="auto"/>
              <w:bottom w:val="nil"/>
              <w:right w:val="single" w:sz="4" w:space="0" w:color="auto"/>
            </w:tcBorders>
          </w:tcPr>
          <w:p w14:paraId="43858A98" w14:textId="77777777" w:rsidR="000A03B2" w:rsidRPr="00F0307D" w:rsidRDefault="000A03B2" w:rsidP="00CD5FE2">
            <w:pPr>
              <w:spacing w:line="140" w:lineRule="atLeast"/>
              <w:jc w:val="right"/>
              <w:rPr>
                <w:rFonts w:cs="Arial"/>
                <w:sz w:val="14"/>
                <w:szCs w:val="14"/>
                <w:lang w:val="en-US"/>
              </w:rPr>
            </w:pPr>
            <w:r w:rsidRPr="00F0307D">
              <w:rPr>
                <w:rFonts w:cs="Arial"/>
                <w:sz w:val="14"/>
                <w:szCs w:val="14"/>
                <w:lang w:val="en-US"/>
              </w:rPr>
              <w:t>The Italian Association</w:t>
            </w:r>
          </w:p>
          <w:p w14:paraId="7522B1D2" w14:textId="77777777" w:rsidR="000A03B2" w:rsidRPr="00F0307D" w:rsidRDefault="000A03B2" w:rsidP="00CD5FE2">
            <w:pPr>
              <w:spacing w:line="140" w:lineRule="atLeast"/>
              <w:jc w:val="right"/>
              <w:rPr>
                <w:rFonts w:cs="Arial"/>
                <w:sz w:val="14"/>
                <w:szCs w:val="14"/>
                <w:lang w:val="en-US"/>
              </w:rPr>
            </w:pPr>
            <w:r w:rsidRPr="00F0307D">
              <w:rPr>
                <w:rFonts w:cs="Arial"/>
                <w:sz w:val="14"/>
                <w:szCs w:val="14"/>
                <w:lang w:val="en-US"/>
              </w:rPr>
              <w:t>of Chemical Engineering</w:t>
            </w:r>
          </w:p>
          <w:p w14:paraId="4F0CC5DE" w14:textId="47FDB2FC" w:rsidR="000A03B2" w:rsidRPr="00F0307D" w:rsidRDefault="000D0268" w:rsidP="00CD5FE2">
            <w:pPr>
              <w:spacing w:line="140" w:lineRule="atLeast"/>
              <w:jc w:val="right"/>
              <w:rPr>
                <w:rFonts w:cs="Arial"/>
                <w:sz w:val="13"/>
                <w:szCs w:val="13"/>
                <w:lang w:val="en-US"/>
              </w:rPr>
            </w:pPr>
            <w:r w:rsidRPr="00F0307D">
              <w:rPr>
                <w:rFonts w:cs="Arial"/>
                <w:sz w:val="13"/>
                <w:szCs w:val="13"/>
                <w:lang w:val="en-US"/>
              </w:rPr>
              <w:t>Online at www.cetjournal.it</w:t>
            </w:r>
          </w:p>
        </w:tc>
      </w:tr>
      <w:tr w:rsidR="000A03B2" w:rsidRPr="00F0307D" w14:paraId="2D1B7169" w14:textId="77777777" w:rsidTr="00DE264A">
        <w:trPr>
          <w:trHeight w:val="68"/>
          <w:jc w:val="center"/>
        </w:trPr>
        <w:tc>
          <w:tcPr>
            <w:tcW w:w="8789" w:type="dxa"/>
            <w:gridSpan w:val="2"/>
          </w:tcPr>
          <w:p w14:paraId="1D8DD3C9" w14:textId="174205F6" w:rsidR="00AA7D26" w:rsidRPr="00F0307D" w:rsidRDefault="004A5E57" w:rsidP="00CB2614">
            <w:pPr>
              <w:ind w:left="-107"/>
              <w:outlineLvl w:val="2"/>
              <w:rPr>
                <w:rFonts w:ascii="Tahoma" w:hAnsi="Tahoma" w:cs="Tahoma"/>
                <w:color w:val="000000"/>
                <w:sz w:val="14"/>
                <w:szCs w:val="14"/>
                <w:shd w:val="clear" w:color="auto" w:fill="FFFFFF"/>
                <w:lang w:val="en-US"/>
              </w:rPr>
            </w:pPr>
            <w:r w:rsidRPr="00F0307D">
              <w:rPr>
                <w:rFonts w:ascii="Tahoma" w:hAnsi="Tahoma" w:cs="Tahoma"/>
                <w:iCs/>
                <w:color w:val="333333"/>
                <w:sz w:val="14"/>
                <w:szCs w:val="14"/>
                <w:lang w:val="en-US" w:eastAsia="it-IT"/>
              </w:rPr>
              <w:t>Guest Editors:</w:t>
            </w:r>
            <w:r w:rsidRPr="00F0307D">
              <w:rPr>
                <w:rFonts w:ascii="Tahoma" w:hAnsi="Tahoma" w:cs="Tahoma"/>
                <w:color w:val="000000"/>
                <w:sz w:val="14"/>
                <w:szCs w:val="14"/>
                <w:shd w:val="clear" w:color="auto" w:fill="FFFFFF"/>
                <w:lang w:val="en-US"/>
              </w:rPr>
              <w:t xml:space="preserve"> </w:t>
            </w:r>
            <w:r w:rsidR="00CB2614" w:rsidRPr="00F0307D">
              <w:rPr>
                <w:rFonts w:ascii="Tahoma" w:hAnsi="Tahoma" w:cs="Tahoma"/>
                <w:color w:val="000000"/>
                <w:sz w:val="14"/>
                <w:szCs w:val="14"/>
                <w:shd w:val="clear" w:color="auto" w:fill="FFFFFF"/>
                <w:lang w:val="en-US"/>
              </w:rPr>
              <w:t>Flavio Manenti, Botir Usmonov, Alessandro Di Pretoro</w:t>
            </w:r>
          </w:p>
          <w:p w14:paraId="1B0F1814" w14:textId="710B7B96" w:rsidR="000A03B2" w:rsidRPr="00F0307D" w:rsidRDefault="00AA7D26" w:rsidP="00AA7D26">
            <w:pPr>
              <w:tabs>
                <w:tab w:val="left" w:pos="-108"/>
              </w:tabs>
              <w:spacing w:line="140" w:lineRule="atLeast"/>
              <w:ind w:left="-107"/>
              <w:jc w:val="left"/>
              <w:rPr>
                <w:lang w:val="en-US"/>
              </w:rPr>
            </w:pPr>
            <w:r w:rsidRPr="00F0307D">
              <w:rPr>
                <w:rFonts w:ascii="Tahoma" w:hAnsi="Tahoma" w:cs="Tahoma"/>
                <w:iCs/>
                <w:color w:val="333333"/>
                <w:sz w:val="14"/>
                <w:szCs w:val="14"/>
                <w:lang w:val="en-US" w:eastAsia="it-IT"/>
              </w:rPr>
              <w:t>Copyright © 202</w:t>
            </w:r>
            <w:r w:rsidR="00005884" w:rsidRPr="00F0307D">
              <w:rPr>
                <w:rFonts w:ascii="Tahoma" w:hAnsi="Tahoma" w:cs="Tahoma"/>
                <w:iCs/>
                <w:color w:val="333333"/>
                <w:sz w:val="14"/>
                <w:szCs w:val="14"/>
                <w:lang w:val="en-US" w:eastAsia="it-IT"/>
              </w:rPr>
              <w:t>6</w:t>
            </w:r>
            <w:r w:rsidRPr="00F0307D">
              <w:rPr>
                <w:rFonts w:ascii="Tahoma" w:hAnsi="Tahoma" w:cs="Tahoma"/>
                <w:iCs/>
                <w:color w:val="333333"/>
                <w:sz w:val="14"/>
                <w:szCs w:val="14"/>
                <w:lang w:val="en-US" w:eastAsia="it-IT"/>
              </w:rPr>
              <w:t>, AIDIC Servizi S.r.l.</w:t>
            </w:r>
            <w:r w:rsidRPr="00F0307D">
              <w:rPr>
                <w:rFonts w:ascii="Tahoma" w:hAnsi="Tahoma" w:cs="Tahoma"/>
                <w:iCs/>
                <w:color w:val="333333"/>
                <w:sz w:val="14"/>
                <w:szCs w:val="14"/>
                <w:lang w:val="en-US" w:eastAsia="it-IT"/>
              </w:rPr>
              <w:br/>
            </w:r>
            <w:r w:rsidRPr="00F0307D">
              <w:rPr>
                <w:rFonts w:ascii="Tahoma" w:hAnsi="Tahoma" w:cs="Tahoma"/>
                <w:b/>
                <w:iCs/>
                <w:color w:val="000000"/>
                <w:sz w:val="14"/>
                <w:szCs w:val="14"/>
                <w:lang w:val="en-US" w:eastAsia="it-IT"/>
              </w:rPr>
              <w:t>ISBN</w:t>
            </w:r>
            <w:r w:rsidRPr="00F0307D">
              <w:rPr>
                <w:rFonts w:ascii="Tahoma" w:hAnsi="Tahoma" w:cs="Tahoma"/>
                <w:iCs/>
                <w:color w:val="000000"/>
                <w:sz w:val="14"/>
                <w:szCs w:val="14"/>
                <w:lang w:val="en-US" w:eastAsia="it-IT"/>
              </w:rPr>
              <w:t xml:space="preserve"> </w:t>
            </w:r>
            <w:r w:rsidR="00D2582C" w:rsidRPr="00F0307D">
              <w:rPr>
                <w:rFonts w:ascii="Tahoma" w:hAnsi="Tahoma" w:cs="Tahoma"/>
                <w:sz w:val="14"/>
                <w:szCs w:val="14"/>
                <w:lang w:val="en-US"/>
              </w:rPr>
              <w:t>979-12-81206-</w:t>
            </w:r>
            <w:r w:rsidR="00005884" w:rsidRPr="00F0307D">
              <w:rPr>
                <w:rFonts w:ascii="Tahoma" w:hAnsi="Tahoma" w:cs="Tahoma"/>
                <w:sz w:val="14"/>
                <w:szCs w:val="14"/>
                <w:lang w:val="en-US"/>
              </w:rPr>
              <w:t>xx</w:t>
            </w:r>
            <w:r w:rsidR="009041F8" w:rsidRPr="00F0307D">
              <w:rPr>
                <w:rFonts w:ascii="Tahoma" w:hAnsi="Tahoma" w:cs="Tahoma"/>
                <w:sz w:val="14"/>
                <w:szCs w:val="14"/>
                <w:lang w:val="en-US"/>
              </w:rPr>
              <w:t>-</w:t>
            </w:r>
            <w:r w:rsidR="00005884" w:rsidRPr="00F0307D">
              <w:rPr>
                <w:rFonts w:ascii="Tahoma" w:hAnsi="Tahoma" w:cs="Tahoma"/>
                <w:sz w:val="14"/>
                <w:szCs w:val="14"/>
                <w:lang w:val="en-US"/>
              </w:rPr>
              <w:t>x</w:t>
            </w:r>
            <w:r w:rsidRPr="00F0307D">
              <w:rPr>
                <w:rFonts w:ascii="Tahoma" w:hAnsi="Tahoma" w:cs="Tahoma"/>
                <w:iCs/>
                <w:color w:val="333333"/>
                <w:sz w:val="14"/>
                <w:szCs w:val="14"/>
                <w:lang w:val="en-US" w:eastAsia="it-IT"/>
              </w:rPr>
              <w:t xml:space="preserve">; </w:t>
            </w:r>
            <w:r w:rsidRPr="00F0307D">
              <w:rPr>
                <w:rFonts w:ascii="Tahoma" w:hAnsi="Tahoma" w:cs="Tahoma"/>
                <w:b/>
                <w:iCs/>
                <w:color w:val="333333"/>
                <w:sz w:val="14"/>
                <w:szCs w:val="14"/>
                <w:lang w:val="en-US" w:eastAsia="it-IT"/>
              </w:rPr>
              <w:t>ISSN</w:t>
            </w:r>
            <w:r w:rsidRPr="00F0307D">
              <w:rPr>
                <w:rFonts w:ascii="Tahoma" w:hAnsi="Tahoma" w:cs="Tahoma"/>
                <w:iCs/>
                <w:color w:val="333333"/>
                <w:sz w:val="14"/>
                <w:szCs w:val="14"/>
                <w:lang w:val="en-US" w:eastAsia="it-IT"/>
              </w:rPr>
              <w:t xml:space="preserve"> 2283-9216</w:t>
            </w:r>
          </w:p>
        </w:tc>
      </w:tr>
    </w:tbl>
    <w:bookmarkEnd w:id="0"/>
    <w:p w14:paraId="2E667253" w14:textId="6FFC2597" w:rsidR="00E978D0" w:rsidRPr="00F0307D" w:rsidRDefault="008D78AF" w:rsidP="00E978D0">
      <w:pPr>
        <w:pStyle w:val="CETTitle"/>
        <w:rPr>
          <w:lang w:val="en-US"/>
        </w:rPr>
      </w:pPr>
      <w:r w:rsidRPr="00F0307D">
        <w:rPr>
          <w:lang w:val="en-US"/>
        </w:rPr>
        <w:t>Durability of Optical Frequency Domain Reflectometry Sensors in Dynamic High</w:t>
      </w:r>
      <w:r w:rsidR="00651E1A">
        <w:rPr>
          <w:lang w:val="en-US"/>
        </w:rPr>
        <w:t>-</w:t>
      </w:r>
      <w:r w:rsidRPr="00F0307D">
        <w:rPr>
          <w:lang w:val="en-US"/>
        </w:rPr>
        <w:t>Temperature Fixed-Bed Reactors</w:t>
      </w:r>
    </w:p>
    <w:p w14:paraId="0488FED2" w14:textId="5A9057EC" w:rsidR="00B57E6F" w:rsidRPr="005C5AAB" w:rsidRDefault="008D78AF" w:rsidP="00B57E6F">
      <w:pPr>
        <w:pStyle w:val="CETAuthors"/>
        <w:rPr>
          <w:lang w:val="de-DE"/>
        </w:rPr>
      </w:pPr>
      <w:r w:rsidRPr="005C5AAB">
        <w:rPr>
          <w:lang w:val="de-DE"/>
        </w:rPr>
        <w:t>Daniel Greiner, Lukas Gottheil</w:t>
      </w:r>
      <w:r w:rsidR="00B57E6F" w:rsidRPr="005C5AAB">
        <w:rPr>
          <w:lang w:val="de-DE"/>
        </w:rPr>
        <w:t xml:space="preserve">, </w:t>
      </w:r>
      <w:r w:rsidRPr="005C5AAB">
        <w:rPr>
          <w:lang w:val="de-DE"/>
        </w:rPr>
        <w:t>Jens Bremer</w:t>
      </w:r>
      <w:r w:rsidR="00B57E6F" w:rsidRPr="005C5AAB">
        <w:rPr>
          <w:lang w:val="de-DE"/>
        </w:rPr>
        <w:t>*</w:t>
      </w:r>
    </w:p>
    <w:p w14:paraId="3D72B0B0" w14:textId="7E1DC333" w:rsidR="00B57E6F" w:rsidRPr="00503524" w:rsidRDefault="008D78AF" w:rsidP="008D78AF">
      <w:pPr>
        <w:pStyle w:val="CETAddress"/>
        <w:rPr>
          <w:lang w:val="en-US"/>
        </w:rPr>
      </w:pPr>
      <w:r w:rsidRPr="00F0307D">
        <w:rPr>
          <w:lang w:val="en-US"/>
        </w:rPr>
        <w:t>Clausthal University of Technology,</w:t>
      </w:r>
      <w:r w:rsidR="00503524">
        <w:rPr>
          <w:lang w:val="en-US"/>
        </w:rPr>
        <w:t xml:space="preserve"> Institute of Chemical and Electrochemical Process Engineering,</w:t>
      </w:r>
      <w:r w:rsidRPr="00F0307D">
        <w:rPr>
          <w:lang w:val="en-US"/>
        </w:rPr>
        <w:t xml:space="preserve"> Leibnizstr</w:t>
      </w:r>
      <w:r w:rsidR="00503524">
        <w:rPr>
          <w:lang w:val="en-US"/>
        </w:rPr>
        <w:t>aße</w:t>
      </w:r>
      <w:r w:rsidRPr="00F0307D">
        <w:rPr>
          <w:lang w:val="en-US"/>
        </w:rPr>
        <w:t xml:space="preserve"> </w:t>
      </w:r>
      <w:r w:rsidRPr="00503524">
        <w:rPr>
          <w:lang w:val="en-US"/>
        </w:rPr>
        <w:t>17, 38678 Clausthal-Zellerfeld, Germany</w:t>
      </w:r>
      <w:r w:rsidR="00B57E6F" w:rsidRPr="00503524">
        <w:rPr>
          <w:lang w:val="en-US"/>
        </w:rPr>
        <w:t xml:space="preserve"> </w:t>
      </w:r>
    </w:p>
    <w:p w14:paraId="73F1267A" w14:textId="741B71C4" w:rsidR="00B57E6F" w:rsidRPr="005C5AAB" w:rsidRDefault="009B6182" w:rsidP="00B57E6F">
      <w:pPr>
        <w:pStyle w:val="CETemail"/>
        <w:rPr>
          <w:lang w:val="de-DE"/>
        </w:rPr>
      </w:pPr>
      <w:r>
        <w:rPr>
          <w:lang w:val="de-DE"/>
        </w:rPr>
        <w:t>*</w:t>
      </w:r>
      <w:r w:rsidR="008D78AF" w:rsidRPr="005C5AAB">
        <w:rPr>
          <w:lang w:val="de-DE"/>
        </w:rPr>
        <w:t>bremer</w:t>
      </w:r>
      <w:r w:rsidR="00B57E6F" w:rsidRPr="005C5AAB">
        <w:rPr>
          <w:lang w:val="de-DE"/>
        </w:rPr>
        <w:t>@</w:t>
      </w:r>
      <w:r w:rsidR="008D78AF" w:rsidRPr="005C5AAB">
        <w:rPr>
          <w:lang w:val="de-DE"/>
        </w:rPr>
        <w:t>icvt.tu-clausthal.d</w:t>
      </w:r>
      <w:r w:rsidR="00E5092C" w:rsidRPr="005C5AAB">
        <w:rPr>
          <w:lang w:val="de-DE"/>
        </w:rPr>
        <w:t>e</w:t>
      </w:r>
    </w:p>
    <w:p w14:paraId="06638BE8" w14:textId="2A12DD9F" w:rsidR="00DB122C" w:rsidRPr="00F0307D" w:rsidRDefault="00BB016A" w:rsidP="00DB122C">
      <w:pPr>
        <w:pStyle w:val="CETBodytext"/>
      </w:pPr>
      <w:r w:rsidRPr="00F0307D">
        <w:t xml:space="preserve">Dynamic operation of catalytic fixed-bed reactors in Power-to-X processes requires spatially and temporally resolved temperature measurements, because transient hot-spots strongly affect reactor safety, catalyst durability, and model-based process design and control. Conventional thermocouples provide only limited spatial resolution and may disturb the packed bed, whereas optical frequency domain reflectometry (OFDR) enables distributed temperature sensing along minimally invasive fiber-optic probes. In this work, thin-walled stainless-steel-encapsulated OFDR sensors were evaluated for dynamic measurements in high-temperature packed-bed reactors. An external calibration apparatus was constructed to compare ramp-based and stepwise </w:t>
      </w:r>
      <w:r w:rsidRPr="005C1891">
        <w:rPr>
          <w:i/>
        </w:rPr>
        <w:t>ex situ</w:t>
      </w:r>
      <w:r w:rsidRPr="00F0307D">
        <w:t xml:space="preserve"> calibration against K-type thermocouples, while </w:t>
      </w:r>
      <w:r w:rsidRPr="005C1891">
        <w:rPr>
          <w:i/>
        </w:rPr>
        <w:t>in situ</w:t>
      </w:r>
      <w:r w:rsidRPr="00F0307D">
        <w:t xml:space="preserve"> </w:t>
      </w:r>
      <w:r w:rsidR="002663AF">
        <w:t xml:space="preserve">calibration consistency </w:t>
      </w:r>
      <w:r w:rsidRPr="00F0307D">
        <w:t xml:space="preserve">and </w:t>
      </w:r>
      <w:r w:rsidR="00697531">
        <w:rPr>
          <w:i/>
        </w:rPr>
        <w:t>in operando</w:t>
      </w:r>
      <w:r w:rsidR="00697531">
        <w:t xml:space="preserve"> </w:t>
      </w:r>
      <w:r w:rsidR="002663AF">
        <w:t xml:space="preserve">sensor </w:t>
      </w:r>
      <w:r w:rsidR="00697531">
        <w:t>performance</w:t>
      </w:r>
      <w:r w:rsidRPr="00F0307D">
        <w:t xml:space="preserve"> were assessed under realistic reactor conditions using exothermic</w:t>
      </w:r>
      <w:r w:rsidR="00D4118E">
        <w:t xml:space="preserve"> CO</w:t>
      </w:r>
      <w:r w:rsidR="00D4118E" w:rsidRPr="00727ED0">
        <w:rPr>
          <w:vertAlign w:val="subscript"/>
        </w:rPr>
        <w:t>2</w:t>
      </w:r>
      <w:r w:rsidRPr="00F0307D">
        <w:t xml:space="preserve"> methanation. Sensor-specific calibration was found to be necessary, and fast ramp calibration showed deviations from stepwise calibration due to incomplete thermal equilibration of the calibration assembly. Exposure to approximately 650</w:t>
      </w:r>
      <w:r w:rsidR="00ED1B19">
        <w:t> </w:t>
      </w:r>
      <w:r w:rsidRPr="00F0307D">
        <w:t>°C for 1</w:t>
      </w:r>
      <w:r w:rsidR="00ED1B19">
        <w:t> </w:t>
      </w:r>
      <w:r w:rsidRPr="00F0307D">
        <w:t>h altered the local Rayleigh backscatter pattern after cooling</w:t>
      </w:r>
      <w:r w:rsidR="001B58D0" w:rsidRPr="00F0307D">
        <w:t>.</w:t>
      </w:r>
      <w:r w:rsidRPr="00F0307D">
        <w:t xml:space="preserve"> </w:t>
      </w:r>
      <w:r w:rsidR="001B58D0" w:rsidRPr="00F0307D">
        <w:t>H</w:t>
      </w:r>
      <w:r w:rsidRPr="00F0307D">
        <w:t>owever, rekeying established a new reference state and restored calibration-consistent behavior below approximately 5</w:t>
      </w:r>
      <w:r w:rsidR="001B58D0" w:rsidRPr="00F0307D">
        <w:t>0</w:t>
      </w:r>
      <w:r w:rsidRPr="00F0307D">
        <w:t>0</w:t>
      </w:r>
      <w:r w:rsidR="00ED1B19">
        <w:t> </w:t>
      </w:r>
      <w:r w:rsidRPr="00F0307D">
        <w:t xml:space="preserve">°C. </w:t>
      </w:r>
      <w:r w:rsidR="00ED1B19" w:rsidRPr="0010084B">
        <w:rPr>
          <w:lang w:val="en-GB"/>
        </w:rPr>
        <w:t>During dynamic reactor operation, the sensor resolved downstream hot-spot migration during an increase in total inlet flow from approximately 21 to 91 NL min</w:t>
      </w:r>
      <w:r w:rsidR="00ED1B19" w:rsidRPr="0010084B">
        <w:rPr>
          <w:rFonts w:cs="Arial"/>
          <w:vertAlign w:val="superscript"/>
          <w:lang w:val="en-GB"/>
        </w:rPr>
        <w:t>-1</w:t>
      </w:r>
      <w:r w:rsidR="00ED1B19" w:rsidRPr="0010084B">
        <w:rPr>
          <w:lang w:val="en-GB"/>
        </w:rPr>
        <w:t xml:space="preserve"> over 5 min and the subsequent relaxation toward a new steady state over approximately 8 min, using an axial resolution of 1.3 mm and an acquisition rate of 4 Hz.</w:t>
      </w:r>
      <w:r w:rsidRPr="00F0307D">
        <w:t xml:space="preserve"> The results demonstrate that stainless-steel-encapsulated OFDR sensors are suitable for dynamic reactor-model validation and future load-following control applications, provided that sensor-specific calibration, rekeying after thermal excursions, and recalibration after severe high-temperature exposure are considered.</w:t>
      </w:r>
    </w:p>
    <w:p w14:paraId="3EBC57EF" w14:textId="5F4D77D8" w:rsidR="00DB122C" w:rsidRPr="00F0307D" w:rsidRDefault="00DB122C" w:rsidP="00DB122C">
      <w:pPr>
        <w:pStyle w:val="CETHeading1"/>
      </w:pPr>
      <w:r w:rsidRPr="00F0307D">
        <w:t>Introduction</w:t>
      </w:r>
    </w:p>
    <w:p w14:paraId="0EAD1997" w14:textId="642EEB59" w:rsidR="00D7689D" w:rsidRPr="00F0307D" w:rsidRDefault="00B44A61" w:rsidP="00DB122C">
      <w:pPr>
        <w:pStyle w:val="CETBodytext"/>
      </w:pPr>
      <w:r w:rsidRPr="00F0307D">
        <w:t xml:space="preserve">Fluctuating renewable energy supply and the resulting variability in Power-to-X feedstocks, particularly green hydrogen </w:t>
      </w:r>
      <w:r w:rsidR="001B68DE" w:rsidRPr="00F0307D">
        <w:t>(</w:t>
      </w:r>
      <w:r w:rsidRPr="00F0307D">
        <w:t>H</w:t>
      </w:r>
      <w:r w:rsidRPr="00F0307D">
        <w:rPr>
          <w:vertAlign w:val="subscript"/>
        </w:rPr>
        <w:t>2</w:t>
      </w:r>
      <w:r w:rsidR="001B68DE" w:rsidRPr="00F0307D">
        <w:t>)</w:t>
      </w:r>
      <w:r w:rsidRPr="00F0307D">
        <w:t xml:space="preserve">, are increasing the need for dynamically operated heterogeneous catalytic reactors. </w:t>
      </w:r>
      <w:r w:rsidR="00D7689D" w:rsidRPr="00F0307D">
        <w:t xml:space="preserve">Grenko </w:t>
      </w:r>
      <w:r w:rsidR="00B8330E" w:rsidRPr="00F0307D">
        <w:rPr>
          <w:i/>
        </w:rPr>
        <w:t>et al.</w:t>
      </w:r>
      <w:r w:rsidR="00D7689D" w:rsidRPr="00F0307D">
        <w:t xml:space="preserve"> (2026) have shown that dynamic operation </w:t>
      </w:r>
      <w:r w:rsidR="00744265" w:rsidRPr="00F0307D">
        <w:t>necessitates</w:t>
      </w:r>
      <w:r w:rsidR="00D7689D" w:rsidRPr="00F0307D">
        <w:t xml:space="preserve"> novel </w:t>
      </w:r>
      <w:r w:rsidR="00044BC3" w:rsidRPr="00F0307D">
        <w:t>analytical tools</w:t>
      </w:r>
      <w:r w:rsidR="00D7689D" w:rsidRPr="00F0307D">
        <w:t xml:space="preserve"> to accurately model and simulate dynamic fixed-bed reactors. </w:t>
      </w:r>
      <w:r w:rsidR="000D469F" w:rsidRPr="00F0307D">
        <w:t>They</w:t>
      </w:r>
      <w:r w:rsidR="00744265" w:rsidRPr="00F0307D">
        <w:t xml:space="preserve"> </w:t>
      </w:r>
      <w:r w:rsidR="00D7689D" w:rsidRPr="00F0307D">
        <w:t xml:space="preserve">propose detailed concentration analysis during </w:t>
      </w:r>
      <w:r w:rsidR="00744265" w:rsidRPr="00F0307D">
        <w:t xml:space="preserve">dynamic </w:t>
      </w:r>
      <w:r w:rsidR="00D7689D" w:rsidRPr="00F0307D">
        <w:t xml:space="preserve">reactor operation to reduce model uncertainty, </w:t>
      </w:r>
      <w:r w:rsidR="003E1A5E">
        <w:t>and also note</w:t>
      </w:r>
      <w:r w:rsidR="00D7689D" w:rsidRPr="00F0307D">
        <w:t xml:space="preserve"> the large influence of transient temperature fields.</w:t>
      </w:r>
      <w:r w:rsidR="00B05670" w:rsidRPr="00F0307D">
        <w:t xml:space="preserve"> In strongly exothermic fixed-bed reactors, the spatial temperature profile, particularly the magnitude and axial position of the hot-spot, can be regarded as a thermal fingerprint of the reactor state. Resolving the evolution of this fingerprint during transient operation therefore provides a direct means of assessing reactor dynamics and validating corresponding reactor models.</w:t>
      </w:r>
    </w:p>
    <w:p w14:paraId="6E040D77" w14:textId="2990E691" w:rsidR="00DB122C" w:rsidRPr="00F0307D" w:rsidRDefault="00DB122C" w:rsidP="00DB122C">
      <w:pPr>
        <w:pStyle w:val="CETBodytext"/>
      </w:pPr>
      <w:r w:rsidRPr="00F0307D">
        <w:t>Conventional thermocouples are widely used for reactor monitoring, but their relatively large diameters</w:t>
      </w:r>
      <w:r w:rsidR="00744265" w:rsidRPr="00F0307D">
        <w:t xml:space="preserve"> and </w:t>
      </w:r>
      <w:r w:rsidRPr="00F0307D">
        <w:t>limited multiplexing capabilities</w:t>
      </w:r>
      <w:r w:rsidR="00C3064A" w:rsidRPr="00F0307D">
        <w:t xml:space="preserve"> </w:t>
      </w:r>
      <w:r w:rsidRPr="00F0307D">
        <w:t>constrain their applicability in highly dynamic, spatially resolved measurements. Multipoint thermocouple assemblies</w:t>
      </w:r>
      <w:r w:rsidR="00C3064A" w:rsidRPr="00F0307D">
        <w:t xml:space="preserve"> </w:t>
      </w:r>
      <w:r w:rsidRPr="00F0307D">
        <w:t>can significantly disturb the packed-bed void fraction and introduce thermal lag due to their thermal mass. These drawbacks motivate the development of minimally invasive, high-</w:t>
      </w:r>
      <w:r w:rsidR="00C3064A" w:rsidRPr="00F0307D">
        <w:t>resolution</w:t>
      </w:r>
      <w:r w:rsidRPr="00F0307D">
        <w:t xml:space="preserve"> alternatives</w:t>
      </w:r>
      <w:r w:rsidR="00C3064A" w:rsidRPr="00F0307D">
        <w:t xml:space="preserve"> capable of closely following dynamic temperature fields</w:t>
      </w:r>
      <w:r w:rsidRPr="00F0307D">
        <w:t>.</w:t>
      </w:r>
    </w:p>
    <w:p w14:paraId="1976F85B" w14:textId="52BADB3D" w:rsidR="00DB122C" w:rsidRPr="00F0307D" w:rsidRDefault="00DB122C" w:rsidP="00DB122C">
      <w:pPr>
        <w:pStyle w:val="CETBodytext"/>
      </w:pPr>
      <w:r w:rsidRPr="00F0307D">
        <w:t>Fiber-optic temperature sensors have emerged as promising candidates</w:t>
      </w:r>
      <w:r w:rsidR="00F6078A" w:rsidRPr="00F0307D">
        <w:t>,</w:t>
      </w:r>
      <w:r w:rsidRPr="00F0307D">
        <w:t xml:space="preserve"> owing</w:t>
      </w:r>
      <w:r w:rsidR="003A1546" w:rsidRPr="00F0307D">
        <w:t xml:space="preserve"> </w:t>
      </w:r>
      <w:r w:rsidRPr="00F0307D">
        <w:t>to their small</w:t>
      </w:r>
      <w:r w:rsidR="00C3064A" w:rsidRPr="00F0307D">
        <w:t xml:space="preserve"> sensor</w:t>
      </w:r>
      <w:r w:rsidRPr="00F0307D">
        <w:t xml:space="preserve"> diameter</w:t>
      </w:r>
      <w:r w:rsidR="003A1546" w:rsidRPr="00F0307D">
        <w:t>,</w:t>
      </w:r>
      <w:r w:rsidRPr="00F0307D">
        <w:t xml:space="preserve"> </w:t>
      </w:r>
      <w:r w:rsidR="003A1546" w:rsidRPr="00F0307D">
        <w:t>simple</w:t>
      </w:r>
      <w:r w:rsidR="00C3064A" w:rsidRPr="00F0307D">
        <w:t xml:space="preserve"> manufacturing</w:t>
      </w:r>
      <w:r w:rsidR="00F6078A" w:rsidRPr="00F0307D">
        <w:t>,</w:t>
      </w:r>
      <w:r w:rsidR="00C3064A" w:rsidRPr="00F0307D">
        <w:t xml:space="preserve"> </w:t>
      </w:r>
      <w:r w:rsidRPr="00F0307D">
        <w:t xml:space="preserve">and ability to host multiple sensing points along a single </w:t>
      </w:r>
      <w:r w:rsidR="003A1546" w:rsidRPr="00F0307D">
        <w:t xml:space="preserve">optical </w:t>
      </w:r>
      <w:r w:rsidRPr="00F0307D">
        <w:t>fiber.</w:t>
      </w:r>
      <w:r w:rsidR="003A1546" w:rsidRPr="00F0307D">
        <w:t xml:space="preserve"> A review by Ma </w:t>
      </w:r>
      <w:r w:rsidR="00B8330E" w:rsidRPr="00F0307D">
        <w:rPr>
          <w:i/>
        </w:rPr>
        <w:t>et al.</w:t>
      </w:r>
      <w:r w:rsidR="002E6585" w:rsidRPr="00F0307D">
        <w:t xml:space="preserve"> </w:t>
      </w:r>
      <w:r w:rsidR="003A1546" w:rsidRPr="00F0307D">
        <w:t xml:space="preserve">(2022) identified the main areas of fiber-optic sensor application in the aerospace and metallurgical </w:t>
      </w:r>
      <w:r w:rsidR="003A1546" w:rsidRPr="00F0307D">
        <w:lastRenderedPageBreak/>
        <w:t>industr</w:t>
      </w:r>
      <w:r w:rsidR="00F6078A" w:rsidRPr="00F0307D">
        <w:t>ies</w:t>
      </w:r>
      <w:r w:rsidR="003A1546" w:rsidRPr="00F0307D">
        <w:t>.</w:t>
      </w:r>
      <w:r w:rsidR="00744265" w:rsidRPr="00F0307D">
        <w:t xml:space="preserve"> </w:t>
      </w:r>
      <w:r w:rsidR="007B0E3B" w:rsidRPr="00F0307D">
        <w:t xml:space="preserve">Stegehake and Gruenewald (2017) </w:t>
      </w:r>
      <w:r w:rsidR="0077041B" w:rsidRPr="00F0307D">
        <w:t xml:space="preserve">proposed </w:t>
      </w:r>
      <w:r w:rsidR="007B0E3B" w:rsidRPr="00F0307D">
        <w:t xml:space="preserve">the use of minimally invasive fiber-optic sensors as an alternative to traditional thermocouples in chemical reactors. </w:t>
      </w:r>
      <w:r w:rsidR="00ED1B19" w:rsidRPr="00ED1B19">
        <w:t>Many applications in chemical reactors have focused on steady-state operation.</w:t>
      </w:r>
      <w:r w:rsidR="00744265" w:rsidRPr="00F0307D">
        <w:t xml:space="preserve"> </w:t>
      </w:r>
      <w:r w:rsidR="005C6F0E">
        <w:t xml:space="preserve">For instance, </w:t>
      </w:r>
      <w:r w:rsidR="00F94AE7" w:rsidRPr="005C6F0E">
        <w:t>Geschke</w:t>
      </w:r>
      <w:r w:rsidR="00744265" w:rsidRPr="005C6F0E">
        <w:t xml:space="preserve"> </w:t>
      </w:r>
      <w:r w:rsidR="00B8330E" w:rsidRPr="005C6F0E">
        <w:rPr>
          <w:i/>
        </w:rPr>
        <w:t>et al.</w:t>
      </w:r>
      <w:r w:rsidR="007B0E3B" w:rsidRPr="005C6F0E">
        <w:t xml:space="preserve"> </w:t>
      </w:r>
      <w:r w:rsidR="00744265" w:rsidRPr="005C6F0E">
        <w:t>(202</w:t>
      </w:r>
      <w:r w:rsidR="00F94AE7" w:rsidRPr="005C6F0E">
        <w:t>4</w:t>
      </w:r>
      <w:r w:rsidR="00744265" w:rsidRPr="005C6F0E">
        <w:t>)</w:t>
      </w:r>
      <w:r w:rsidR="005C6F0E" w:rsidRPr="005C6F0E">
        <w:t xml:space="preserve"> used this technique to investigate core-shell particles</w:t>
      </w:r>
      <w:r w:rsidR="00F94AE7" w:rsidRPr="005C6F0E">
        <w:t xml:space="preserve"> for </w:t>
      </w:r>
      <w:r w:rsidR="00044BC3" w:rsidRPr="005C6F0E">
        <w:t>CO</w:t>
      </w:r>
      <w:r w:rsidR="00044BC3" w:rsidRPr="005C6F0E">
        <w:rPr>
          <w:vertAlign w:val="subscript"/>
        </w:rPr>
        <w:t>2</w:t>
      </w:r>
      <w:r w:rsidR="003E1A5E" w:rsidRPr="005C6F0E">
        <w:rPr>
          <w:vertAlign w:val="subscript"/>
        </w:rPr>
        <w:t xml:space="preserve"> </w:t>
      </w:r>
      <w:r w:rsidR="00F94AE7" w:rsidRPr="005C6F0E">
        <w:t>methanation</w:t>
      </w:r>
      <w:r w:rsidR="005C6F0E" w:rsidRPr="005C6F0E">
        <w:t xml:space="preserve">, while Stegehake </w:t>
      </w:r>
      <w:r w:rsidR="005C6F0E" w:rsidRPr="005C6F0E">
        <w:rPr>
          <w:i/>
        </w:rPr>
        <w:t>et al.</w:t>
      </w:r>
      <w:r w:rsidR="005C6F0E" w:rsidRPr="005C6F0E">
        <w:t xml:space="preserve"> (2018) used it to</w:t>
      </w:r>
      <w:r w:rsidR="00F94AE7" w:rsidRPr="005C6F0E">
        <w:t xml:space="preserve"> evaluat</w:t>
      </w:r>
      <w:r w:rsidR="005C6F0E" w:rsidRPr="005C6F0E">
        <w:t>e</w:t>
      </w:r>
      <w:r w:rsidR="00C21B67" w:rsidRPr="005C6F0E">
        <w:t xml:space="preserve"> </w:t>
      </w:r>
      <w:r w:rsidR="005C6F0E" w:rsidRPr="005C6F0E">
        <w:t>the</w:t>
      </w:r>
      <w:r w:rsidR="00F94AE7" w:rsidRPr="005C6F0E">
        <w:t xml:space="preserve"> heat transfer coefficients in fixed</w:t>
      </w:r>
      <w:r w:rsidR="00D4118E" w:rsidRPr="005C6F0E">
        <w:t xml:space="preserve"> </w:t>
      </w:r>
      <w:r w:rsidR="00F94AE7" w:rsidRPr="005C6F0E">
        <w:t>beds</w:t>
      </w:r>
      <w:r w:rsidR="003A1546" w:rsidRPr="00F0307D">
        <w:t xml:space="preserve">. </w:t>
      </w:r>
      <w:r w:rsidRPr="00F0307D">
        <w:t xml:space="preserve">Several optical principles can be exploited, including </w:t>
      </w:r>
      <w:r w:rsidR="00872D51" w:rsidRPr="00F0307D">
        <w:t>Rayleigh,</w:t>
      </w:r>
      <w:r w:rsidRPr="00F0307D">
        <w:t xml:space="preserve"> Brillouin</w:t>
      </w:r>
      <w:r w:rsidR="00872D51" w:rsidRPr="00F0307D">
        <w:t xml:space="preserve"> or Raman</w:t>
      </w:r>
      <w:r w:rsidRPr="00F0307D">
        <w:t xml:space="preserve"> scattering. Raman-based sensors extend the accessible temperature window but at the cost of reduced signal-to-noise ratios</w:t>
      </w:r>
      <w:r w:rsidR="00872D51" w:rsidRPr="00F0307D">
        <w:t xml:space="preserve"> and </w:t>
      </w:r>
      <w:r w:rsidR="00697531">
        <w:t>low</w:t>
      </w:r>
      <w:r w:rsidR="00872D51" w:rsidRPr="00F0307D">
        <w:t xml:space="preserve"> </w:t>
      </w:r>
      <w:r w:rsidR="005C6F0E">
        <w:t>spatial resolution</w:t>
      </w:r>
      <w:r w:rsidRPr="00F0307D">
        <w:t>. Brillouin-based systems enable long-range distributed measurements</w:t>
      </w:r>
      <w:r w:rsidR="00872D51" w:rsidRPr="00F0307D">
        <w:t xml:space="preserve">, but suffer from low acquisition rates and similarly </w:t>
      </w:r>
      <w:r w:rsidR="00697531">
        <w:t>low</w:t>
      </w:r>
      <w:r w:rsidR="00872D51" w:rsidRPr="00F0307D">
        <w:t xml:space="preserve"> </w:t>
      </w:r>
      <w:r w:rsidR="005C6F0E">
        <w:t>spatial resolution</w:t>
      </w:r>
      <w:r w:rsidR="003A1546" w:rsidRPr="00F0307D">
        <w:t xml:space="preserve"> (Ma </w:t>
      </w:r>
      <w:r w:rsidR="00B8330E" w:rsidRPr="00F0307D">
        <w:rPr>
          <w:i/>
        </w:rPr>
        <w:t>et al.</w:t>
      </w:r>
      <w:r w:rsidR="002E6585" w:rsidRPr="00F0307D">
        <w:t>,</w:t>
      </w:r>
      <w:r w:rsidR="003A1546" w:rsidRPr="00F0307D">
        <w:t xml:space="preserve"> 2022)</w:t>
      </w:r>
      <w:r w:rsidRPr="00F0307D">
        <w:t xml:space="preserve">. For highly dynamic catalytic </w:t>
      </w:r>
      <w:r w:rsidR="003A1546" w:rsidRPr="00F0307D">
        <w:t xml:space="preserve">fixed-bed </w:t>
      </w:r>
      <w:r w:rsidRPr="00F0307D">
        <w:t xml:space="preserve">reactors, a technique that combines high spatial resolution with sub-second response </w:t>
      </w:r>
      <w:r w:rsidR="003A1546" w:rsidRPr="00F0307D">
        <w:t xml:space="preserve">time </w:t>
      </w:r>
      <w:r w:rsidRPr="00F0307D">
        <w:t>is preferred.</w:t>
      </w:r>
    </w:p>
    <w:p w14:paraId="434EDE5C" w14:textId="034764F8" w:rsidR="00DB122C" w:rsidRPr="00F0307D" w:rsidRDefault="007A699F" w:rsidP="00DB122C">
      <w:pPr>
        <w:pStyle w:val="CETBodytext"/>
      </w:pPr>
      <w:r w:rsidRPr="0010084B">
        <w:rPr>
          <w:lang w:val="en-GB"/>
        </w:rPr>
        <w:t>Optical frequency-domain reflectometry (OFDR) can be used to interrogate the intrinsic Rayleigh backscatter pattern of an optical fiber, enabling distributed temperature sensing with sub-millimeter spatial resolution.</w:t>
      </w:r>
      <w:r w:rsidR="00ED1B19" w:rsidRPr="0010084B">
        <w:t xml:space="preserve"> Nguyen et al. (2013) demonstrated the ability of distributed OFDR to resolve transient spatiotemporal temperature fields in a catalytic monolith reactor during Pt-catalyzed ammonia oxidation. Further reactor applications include Cholewa et al. (2024) for steady-state ammonia synthesis kinetics at temperatures up to 450 °C, Nestler et al. (2021) for steady-state methanol kinetics below 300 °C, and Bremer (2020) for high-temperature dynamic methanation. However, a systematic assessment of calibration stability, thermal durability, and dynamic response under high-temperature reactive fixed-bed conditions remains limited.</w:t>
      </w:r>
      <w:r w:rsidR="002A711E" w:rsidRPr="00F0307D">
        <w:t xml:space="preserve"> The main limitation in this case is that</w:t>
      </w:r>
      <w:r w:rsidR="00DB122C" w:rsidRPr="00F0307D">
        <w:t xml:space="preserve"> silica fibers undergo viscous creep, dopant diffusion</w:t>
      </w:r>
      <w:r w:rsidR="005E6B88" w:rsidRPr="00F0307D">
        <w:t>,</w:t>
      </w:r>
      <w:r w:rsidR="00DB122C" w:rsidRPr="00F0307D">
        <w:t xml:space="preserve"> and coating degradation</w:t>
      </w:r>
      <w:r w:rsidR="002A711E" w:rsidRPr="00F0307D">
        <w:t xml:space="preserve"> at elevated temperatures</w:t>
      </w:r>
      <w:r w:rsidR="005E6B88" w:rsidRPr="00F0307D">
        <w:t xml:space="preserve">. </w:t>
      </w:r>
      <w:r w:rsidR="00303C62" w:rsidRPr="00F0307D">
        <w:t>These effects may alter the Rayleigh backscatter pattern or the applicable calibration curve, thereby introducing temperature-measurement errors and potentially compromising mechanical robustness</w:t>
      </w:r>
      <w:r w:rsidR="00B8330E" w:rsidRPr="00F0307D">
        <w:t xml:space="preserve"> (Ma </w:t>
      </w:r>
      <w:r w:rsidR="00B8330E" w:rsidRPr="00F0307D">
        <w:rPr>
          <w:i/>
        </w:rPr>
        <w:t>et al.</w:t>
      </w:r>
      <w:r w:rsidR="00B8330E" w:rsidRPr="00F0307D">
        <w:t>, 2022)</w:t>
      </w:r>
      <w:r w:rsidR="00303C62" w:rsidRPr="00F0307D">
        <w:t>.</w:t>
      </w:r>
      <w:r w:rsidR="00DB122C" w:rsidRPr="00F0307D">
        <w:t xml:space="preserve"> To protect the fiber from corrosive media, pressure </w:t>
      </w:r>
      <w:r w:rsidR="00364237" w:rsidRPr="00F0307D">
        <w:t>excursions,</w:t>
      </w:r>
      <w:r w:rsidR="00DB122C" w:rsidRPr="00F0307D">
        <w:t xml:space="preserve"> and mechanical abrasion during catalyst loading, it is embedded in a thin-walled stainless-steel capillary that </w:t>
      </w:r>
      <w:r w:rsidR="002A711E" w:rsidRPr="00F0307D">
        <w:t>may</w:t>
      </w:r>
      <w:r w:rsidR="00DB122C" w:rsidRPr="00F0307D">
        <w:t xml:space="preserve"> introduce appreciable thermal lag or axial temperature smearing.</w:t>
      </w:r>
    </w:p>
    <w:p w14:paraId="03865CAE" w14:textId="52597730" w:rsidR="00DB122C" w:rsidRPr="00F0307D" w:rsidRDefault="00DB122C" w:rsidP="00DB122C">
      <w:pPr>
        <w:pStyle w:val="CETBodytext"/>
      </w:pPr>
      <w:r w:rsidRPr="00F0307D">
        <w:t xml:space="preserve">The present work investigates stainless-steel-encapsulated OFDR fiber-optic temperature sensors for application in highly dynamic packed-bed reactors. The main hypotheses are that (i) </w:t>
      </w:r>
      <w:r w:rsidR="00295C50" w:rsidRPr="00F0307D">
        <w:t>degradation of the fiber-optic sensor due to overheating</w:t>
      </w:r>
      <w:r w:rsidRPr="00F0307D">
        <w:t xml:space="preserve"> can be compensated</w:t>
      </w:r>
      <w:r w:rsidR="00295C50" w:rsidRPr="00F0307D">
        <w:t xml:space="preserve"> for</w:t>
      </w:r>
      <w:r w:rsidRPr="00F0307D">
        <w:t xml:space="preserve"> by re-</w:t>
      </w:r>
      <w:r w:rsidR="00295C50" w:rsidRPr="00F0307D">
        <w:t>evaluating the characteristic backscattering behavior</w:t>
      </w:r>
      <w:r w:rsidRPr="00F0307D">
        <w:t>, (ii) per-fiber calibration over the entire operating range between approximately 20</w:t>
      </w:r>
      <w:r w:rsidR="00295C50" w:rsidRPr="00F0307D">
        <w:t> </w:t>
      </w:r>
      <w:r w:rsidRPr="00F0307D">
        <w:t xml:space="preserve">°C and </w:t>
      </w:r>
      <w:r w:rsidR="006C2104" w:rsidRPr="00F0307D">
        <w:t>65</w:t>
      </w:r>
      <w:r w:rsidR="00295C50" w:rsidRPr="00F0307D">
        <w:t>0 </w:t>
      </w:r>
      <w:r w:rsidRPr="00F0307D">
        <w:t xml:space="preserve">°C is necessary to avoid systematic deviations, and (iii) the </w:t>
      </w:r>
      <w:r w:rsidR="00A47D74" w:rsidRPr="00F0307D">
        <w:t xml:space="preserve">fiber-optic sensor is suitable for measurement </w:t>
      </w:r>
      <w:r w:rsidR="00D4118E">
        <w:t>during</w:t>
      </w:r>
      <w:r w:rsidR="00A47D74" w:rsidRPr="00F0307D">
        <w:t xml:space="preserve"> dynamic reactor operation</w:t>
      </w:r>
      <w:r w:rsidRPr="00F0307D">
        <w:t>. To test these hypotheses, an external calibration apparatus is constructed, calibration strategies are developed and assessed, and the sensors are implemented in a packed-bed reactor equipped with both central and wall-mounted fibers.</w:t>
      </w:r>
      <w:r w:rsidR="002A711E" w:rsidRPr="00F0307D">
        <w:t xml:space="preserve"> E</w:t>
      </w:r>
      <w:r w:rsidRPr="00F0307D">
        <w:t xml:space="preserve">xperiments </w:t>
      </w:r>
      <w:r w:rsidR="00D4118E">
        <w:t>were conducted to investigate</w:t>
      </w:r>
      <w:r w:rsidRPr="00F0307D">
        <w:t xml:space="preserve"> sensor </w:t>
      </w:r>
      <w:r w:rsidR="00295C50" w:rsidRPr="00F0307D">
        <w:t>durability</w:t>
      </w:r>
      <w:r w:rsidRPr="00F0307D">
        <w:t xml:space="preserve"> with respect to </w:t>
      </w:r>
      <w:r w:rsidR="000D469F" w:rsidRPr="00F0307D">
        <w:t>hot-spot</w:t>
      </w:r>
      <w:r w:rsidRPr="00F0307D">
        <w:t xml:space="preserve"> burn-in</w:t>
      </w:r>
      <w:r w:rsidR="002A711E" w:rsidRPr="00F0307D">
        <w:t xml:space="preserve"> and dynamic hot-spot migration</w:t>
      </w:r>
      <w:r w:rsidRPr="00F0307D">
        <w:t>.</w:t>
      </w:r>
    </w:p>
    <w:p w14:paraId="51427BAE" w14:textId="453BD479" w:rsidR="00DB122C" w:rsidRPr="00F0307D" w:rsidRDefault="00DB122C" w:rsidP="00DB122C">
      <w:pPr>
        <w:pStyle w:val="CETHeading1"/>
      </w:pPr>
      <w:r w:rsidRPr="00F0307D">
        <w:t>Methods</w:t>
      </w:r>
    </w:p>
    <w:p w14:paraId="6A0006C0" w14:textId="5B410D37" w:rsidR="00DB122C" w:rsidRPr="00F0307D" w:rsidRDefault="00DB122C" w:rsidP="00DB122C">
      <w:pPr>
        <w:pStyle w:val="CETheadingx"/>
      </w:pPr>
      <w:r w:rsidRPr="00F0307D">
        <w:t xml:space="preserve">Fiber-optic </w:t>
      </w:r>
      <w:r w:rsidR="00295C50" w:rsidRPr="00F0307D">
        <w:t xml:space="preserve">temperature </w:t>
      </w:r>
      <w:r w:rsidRPr="00F0307D">
        <w:t>sensing principle</w:t>
      </w:r>
    </w:p>
    <w:p w14:paraId="47570D57" w14:textId="6DA3E28C" w:rsidR="009948AB" w:rsidRPr="00F0307D" w:rsidRDefault="00DB122C" w:rsidP="00744265">
      <w:pPr>
        <w:pStyle w:val="CETBodytext"/>
        <w:rPr>
          <w:i/>
        </w:rPr>
      </w:pPr>
      <w:r w:rsidRPr="00F0307D">
        <w:t>In an OFDR system</w:t>
      </w:r>
      <w:r w:rsidR="004A1122" w:rsidRPr="00F0307D">
        <w:t>,</w:t>
      </w:r>
      <w:r w:rsidRPr="00F0307D">
        <w:t xml:space="preserve"> a narrow-linewidth laser source is swept linearly in optical frequency. </w:t>
      </w:r>
      <w:r w:rsidR="0020705D" w:rsidRPr="00F0307D">
        <w:t>Light backscattered from microscopic variations in the refractive index of the sensing fiber is compared to a reference measurement, and the resulting interference pattern is recorded as a function of time. These refractive index variations, arising from intrinsic density fluctuations and small-scale compositional variations within the fiber, act as distributed scattering centers and give rise to Rayleigh backscattering.</w:t>
      </w:r>
      <w:r w:rsidRPr="00F0307D">
        <w:t xml:space="preserve"> A Fourier transformation converts this signal into a spatially resolved </w:t>
      </w:r>
      <w:r w:rsidR="006C5F2D" w:rsidRPr="00F0307D">
        <w:t>backscattering</w:t>
      </w:r>
      <w:r w:rsidRPr="00F0307D">
        <w:t xml:space="preserve"> profile along the fiber</w:t>
      </w:r>
      <w:r w:rsidR="0020705D" w:rsidRPr="00F0307D">
        <w:t xml:space="preserve"> (Rahim </w:t>
      </w:r>
      <w:r w:rsidR="00B8330E" w:rsidRPr="00F0307D">
        <w:rPr>
          <w:i/>
        </w:rPr>
        <w:t>et al.</w:t>
      </w:r>
      <w:r w:rsidR="002E6585" w:rsidRPr="00F0307D">
        <w:t>,</w:t>
      </w:r>
      <w:r w:rsidR="0020705D" w:rsidRPr="00F0307D">
        <w:t xml:space="preserve"> 2015)</w:t>
      </w:r>
      <w:r w:rsidR="00BD5818" w:rsidRPr="00F0307D">
        <w:t>.</w:t>
      </w:r>
      <w:r w:rsidRPr="00F0307D">
        <w:t xml:space="preserve"> The achievable axial resolution is </w:t>
      </w:r>
      <w:r w:rsidR="00295C50" w:rsidRPr="00F0307D">
        <w:t xml:space="preserve">below </w:t>
      </w:r>
      <w:r w:rsidR="00BD5818" w:rsidRPr="00F0307D">
        <w:t>one</w:t>
      </w:r>
      <w:r w:rsidR="00295C50" w:rsidRPr="00F0307D">
        <w:t xml:space="preserve"> millimeter</w:t>
      </w:r>
      <w:r w:rsidRPr="00F0307D">
        <w:t>, enabling the reconstruction of detailed temperature fields along the fiber path</w:t>
      </w:r>
      <w:r w:rsidR="0040586C" w:rsidRPr="00F0307D">
        <w:t xml:space="preserve"> (Kreger </w:t>
      </w:r>
      <w:r w:rsidR="00B8330E" w:rsidRPr="00F0307D">
        <w:rPr>
          <w:i/>
        </w:rPr>
        <w:t>et al.</w:t>
      </w:r>
      <w:r w:rsidR="002E6585" w:rsidRPr="00F0307D">
        <w:t>,</w:t>
      </w:r>
      <w:r w:rsidR="0040586C" w:rsidRPr="00F0307D">
        <w:t xml:space="preserve"> 2016)</w:t>
      </w:r>
      <w:r w:rsidRPr="00F0307D">
        <w:t>.</w:t>
      </w:r>
    </w:p>
    <w:p w14:paraId="48882FC2" w14:textId="0A35C745" w:rsidR="002663AF" w:rsidRDefault="00DB122C" w:rsidP="002663AF">
      <w:pPr>
        <w:pStyle w:val="CETBodytext"/>
        <w:rPr>
          <w:lang w:val="en-GB"/>
        </w:rPr>
      </w:pPr>
      <w:r w:rsidRPr="00F0307D">
        <w:t xml:space="preserve">Temperature information is obtained by tracking the temperature-dependent shift of the Rayleigh backscatter pattern relative to a previously recorded reference </w:t>
      </w:r>
      <w:r w:rsidR="000A7AFC" w:rsidRPr="00F0307D">
        <w:t>pattern</w:t>
      </w:r>
      <w:r w:rsidR="00E054D0" w:rsidRPr="00F0307D">
        <w:t xml:space="preserve"> at a specific sensor temperature (typically ambient temperature)</w:t>
      </w:r>
      <w:r w:rsidRPr="00F0307D">
        <w:t xml:space="preserve">. </w:t>
      </w:r>
      <w:r w:rsidR="00811F49" w:rsidRPr="00F0307D">
        <w:t>These shifts arise from change</w:t>
      </w:r>
      <w:r w:rsidR="00D4118E">
        <w:t>s</w:t>
      </w:r>
      <w:r w:rsidR="00811F49" w:rsidRPr="00F0307D">
        <w:t xml:space="preserve"> in the</w:t>
      </w:r>
      <w:r w:rsidR="001C4148" w:rsidRPr="00F0307D">
        <w:t xml:space="preserve"> refractive index of the fiber, through the thermo-optic coefficient, and its physical length due to thermal expansion. </w:t>
      </w:r>
      <w:r w:rsidRPr="00F0307D">
        <w:t>During calibration</w:t>
      </w:r>
      <w:r w:rsidR="004A1122" w:rsidRPr="00F0307D">
        <w:t>,</w:t>
      </w:r>
      <w:r w:rsidRPr="00F0307D">
        <w:t xml:space="preserve"> the fiber is subjected to a series of well-defined temperature</w:t>
      </w:r>
      <w:r w:rsidR="00811F49" w:rsidRPr="00F0307D">
        <w:t>s</w:t>
      </w:r>
      <w:r w:rsidR="00F0307D" w:rsidRPr="00F0307D">
        <w:t>,</w:t>
      </w:r>
      <w:r w:rsidR="00811F49" w:rsidRPr="00F0307D">
        <w:t xml:space="preserve"> </w:t>
      </w:r>
      <w:r w:rsidR="00F0307D" w:rsidRPr="00F0307D">
        <w:t>and the corresponding local frequency shifts are recorded and mapped to temperature,</w:t>
      </w:r>
      <w:r w:rsidRPr="00F0307D">
        <w:t xml:space="preserve"> thereby generating a </w:t>
      </w:r>
      <w:r w:rsidR="004A1122" w:rsidRPr="00F0307D">
        <w:t>calibration</w:t>
      </w:r>
      <w:r w:rsidRPr="00F0307D">
        <w:t xml:space="preserve"> </w:t>
      </w:r>
      <w:r w:rsidR="00E054D0" w:rsidRPr="00F0307D">
        <w:t xml:space="preserve">curve </w:t>
      </w:r>
      <w:r w:rsidRPr="00F0307D">
        <w:t xml:space="preserve">for the </w:t>
      </w:r>
      <w:r w:rsidR="00E054D0" w:rsidRPr="00F0307D">
        <w:t>fiber</w:t>
      </w:r>
      <w:r w:rsidR="001C4148" w:rsidRPr="00F0307D">
        <w:t xml:space="preserve"> </w:t>
      </w:r>
      <w:r w:rsidR="004A1122" w:rsidRPr="00F0307D">
        <w:t>spanning the entire temperature range</w:t>
      </w:r>
      <w:r w:rsidRPr="00F0307D">
        <w:t xml:space="preserve">. Subsequent measurements are evaluated by comparing the instantaneous Rayleigh pattern to </w:t>
      </w:r>
      <w:r w:rsidR="00811F49" w:rsidRPr="00F0307D">
        <w:t>the</w:t>
      </w:r>
      <w:r w:rsidRPr="00F0307D">
        <w:t xml:space="preserve"> reference</w:t>
      </w:r>
      <w:r w:rsidR="00811F49" w:rsidRPr="00F0307D">
        <w:t xml:space="preserve"> pattern</w:t>
      </w:r>
      <w:r w:rsidRPr="00F0307D">
        <w:t xml:space="preserve"> and converting the </w:t>
      </w:r>
      <w:r w:rsidR="005A6B43" w:rsidRPr="00F0307D">
        <w:t>measured</w:t>
      </w:r>
      <w:r w:rsidRPr="00F0307D">
        <w:t xml:space="preserve"> </w:t>
      </w:r>
      <w:r w:rsidR="005A6B43" w:rsidRPr="00F0307D">
        <w:t xml:space="preserve">frequency </w:t>
      </w:r>
      <w:r w:rsidRPr="00F0307D">
        <w:t>shifts to</w:t>
      </w:r>
      <w:r w:rsidR="005A6B43" w:rsidRPr="00F0307D">
        <w:t xml:space="preserve"> absolute changes in</w:t>
      </w:r>
      <w:r w:rsidRPr="00F0307D">
        <w:t xml:space="preserve"> temperature</w:t>
      </w:r>
      <w:r w:rsidR="001C4148" w:rsidRPr="00F0307D">
        <w:t xml:space="preserve"> after applying the calibration</w:t>
      </w:r>
      <w:r w:rsidRPr="00F0307D">
        <w:t>.</w:t>
      </w:r>
      <w:r w:rsidR="00ED1B19">
        <w:t xml:space="preserve"> </w:t>
      </w:r>
      <w:r w:rsidR="00F0307D" w:rsidRPr="00F0307D">
        <w:t xml:space="preserve">Mechanical strain also influences the local backscattering behavior of the fiber sensor, as Rayleigh-based distributed sensing is intrinsically sensitive to both strain and temperature (Palmieri </w:t>
      </w:r>
      <w:r w:rsidR="00F0307D" w:rsidRPr="00F0307D">
        <w:rPr>
          <w:i/>
        </w:rPr>
        <w:t>et al.</w:t>
      </w:r>
      <w:r w:rsidR="00F0307D" w:rsidRPr="00F0307D">
        <w:t xml:space="preserve">, 2022). </w:t>
      </w:r>
      <w:r w:rsidR="002663AF" w:rsidRPr="002663AF">
        <w:rPr>
          <w:lang w:val="en-GB"/>
        </w:rPr>
        <w:t xml:space="preserve">In the present work, the fibers are encapsulated in thin-walled stainless-steel capillaries supplied by Polytec GmbH to reduce strain cross-sensitivity. The LUNA ODiSI 7108 </w:t>
      </w:r>
      <w:r w:rsidR="002663AF">
        <w:rPr>
          <w:lang w:val="en-GB"/>
        </w:rPr>
        <w:t>interrogator</w:t>
      </w:r>
      <w:r w:rsidR="002663AF" w:rsidRPr="002663AF">
        <w:rPr>
          <w:lang w:val="en-GB"/>
        </w:rPr>
        <w:t xml:space="preserve"> used in this study has a reported accuracy of ±1</w:t>
      </w:r>
      <w:r w:rsidR="002663AF">
        <w:rPr>
          <w:lang w:val="en-GB"/>
        </w:rPr>
        <w:t> </w:t>
      </w:r>
      <w:r w:rsidR="002663AF" w:rsidRPr="002663AF">
        <w:rPr>
          <w:lang w:val="en-GB"/>
        </w:rPr>
        <w:t>K, a minimum spatial resolution of 0.65</w:t>
      </w:r>
      <w:r w:rsidR="002663AF">
        <w:rPr>
          <w:lang w:val="en-GB"/>
        </w:rPr>
        <w:t> </w:t>
      </w:r>
      <w:r w:rsidR="002663AF" w:rsidRPr="002663AF">
        <w:rPr>
          <w:lang w:val="en-GB"/>
        </w:rPr>
        <w:t>mm, and acquisition rates of up to 20</w:t>
      </w:r>
      <w:r w:rsidR="002663AF">
        <w:rPr>
          <w:lang w:val="en-GB"/>
        </w:rPr>
        <w:t> </w:t>
      </w:r>
      <w:r w:rsidR="002663AF" w:rsidRPr="002663AF">
        <w:rPr>
          <w:lang w:val="en-GB"/>
        </w:rPr>
        <w:t>Hz</w:t>
      </w:r>
      <w:r w:rsidR="002663AF">
        <w:rPr>
          <w:lang w:val="en-GB"/>
        </w:rPr>
        <w:t>.</w:t>
      </w:r>
      <w:r w:rsidR="002663AF" w:rsidRPr="002663AF">
        <w:rPr>
          <w:lang w:val="en-GB"/>
        </w:rPr>
        <w:t xml:space="preserve"> </w:t>
      </w:r>
      <w:r w:rsidR="002663AF">
        <w:rPr>
          <w:lang w:val="en-GB"/>
        </w:rPr>
        <w:t>T</w:t>
      </w:r>
      <w:r w:rsidR="002663AF" w:rsidRPr="002663AF">
        <w:rPr>
          <w:lang w:val="en-GB"/>
        </w:rPr>
        <w:t>he measurements reported here were acquired at an axial resolution of 1.3</w:t>
      </w:r>
      <w:r w:rsidR="002663AF">
        <w:rPr>
          <w:lang w:val="en-GB"/>
        </w:rPr>
        <w:t> </w:t>
      </w:r>
      <w:r w:rsidR="002663AF" w:rsidRPr="002663AF">
        <w:rPr>
          <w:lang w:val="en-GB"/>
        </w:rPr>
        <w:t>mm and an acquisition rate of 4</w:t>
      </w:r>
      <w:r w:rsidR="002663AF">
        <w:rPr>
          <w:lang w:val="en-GB"/>
        </w:rPr>
        <w:t> </w:t>
      </w:r>
      <w:r w:rsidR="002663AF" w:rsidRPr="002663AF">
        <w:rPr>
          <w:lang w:val="en-GB"/>
        </w:rPr>
        <w:t>Hz.</w:t>
      </w:r>
    </w:p>
    <w:p w14:paraId="5CC2B2BE" w14:textId="506FE60C" w:rsidR="00B05670" w:rsidRPr="00F0307D" w:rsidRDefault="00CA7157" w:rsidP="002663AF">
      <w:pPr>
        <w:pStyle w:val="CETBodytext"/>
      </w:pPr>
      <w:r>
        <w:rPr>
          <w:noProof/>
        </w:rPr>
        <w:lastRenderedPageBreak/>
        <mc:AlternateContent>
          <mc:Choice Requires="wps">
            <w:drawing>
              <wp:anchor distT="0" distB="0" distL="114300" distR="114300" simplePos="0" relativeHeight="251665408" behindDoc="0" locked="0" layoutInCell="1" allowOverlap="1" wp14:anchorId="4A384300" wp14:editId="735704E5">
                <wp:simplePos x="0" y="0"/>
                <wp:positionH relativeFrom="column">
                  <wp:posOffset>2088027</wp:posOffset>
                </wp:positionH>
                <wp:positionV relativeFrom="paragraph">
                  <wp:posOffset>29210</wp:posOffset>
                </wp:positionV>
                <wp:extent cx="288077" cy="233203"/>
                <wp:effectExtent l="0" t="0" r="0" b="0"/>
                <wp:wrapNone/>
                <wp:docPr id="7" name="Textfeld 7"/>
                <wp:cNvGraphicFramePr/>
                <a:graphic xmlns:a="http://schemas.openxmlformats.org/drawingml/2006/main">
                  <a:graphicData uri="http://schemas.microsoft.com/office/word/2010/wordprocessingShape">
                    <wps:wsp>
                      <wps:cNvSpPr txBox="1"/>
                      <wps:spPr>
                        <a:xfrm>
                          <a:off x="0" y="0"/>
                          <a:ext cx="288077" cy="233203"/>
                        </a:xfrm>
                        <a:prstGeom prst="rect">
                          <a:avLst/>
                        </a:prstGeom>
                        <a:noFill/>
                        <a:ln w="6350">
                          <a:noFill/>
                        </a:ln>
                      </wps:spPr>
                      <wps:txbx>
                        <w:txbxContent>
                          <w:p w14:paraId="22C338B2" w14:textId="77777777" w:rsidR="00B16309" w:rsidRPr="00663AAD" w:rsidRDefault="00B16309" w:rsidP="00B16309">
                            <w:pPr>
                              <w:rPr>
                                <w:sz w:val="14"/>
                                <w:szCs w:val="14"/>
                              </w:rPr>
                            </w:pPr>
                            <w:r w:rsidRPr="00663AAD">
                              <w:rPr>
                                <w:sz w:val="14"/>
                                <w:szCs w:val="1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384300" id="_x0000_t202" coordsize="21600,21600" o:spt="202" path="m,l,21600r21600,l21600,xe">
                <v:stroke joinstyle="miter"/>
                <v:path gradientshapeok="t" o:connecttype="rect"/>
              </v:shapetype>
              <v:shape id="Textfeld 7" o:spid="_x0000_s1026" type="#_x0000_t202" style="position:absolute;left:0;text-align:left;margin-left:164.4pt;margin-top:2.3pt;width:22.7pt;height:1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" filled="f" stroked="f" strokeweight=".5pt">
                <v:textbox>
                  <w:txbxContent>
                    <w:p w14:paraId="22C338B2" w14:textId="77777777" w:rsidR="00B16309" w:rsidRPr="00663AAD" w:rsidRDefault="00B16309" w:rsidP="00B16309">
                      <w:pPr>
                        <w:rPr>
                          <w:sz w:val="14"/>
                          <w:szCs w:val="14"/>
                        </w:rPr>
                      </w:pPr>
                      <w:r w:rsidRPr="00663AAD">
                        <w:rPr>
                          <w:sz w:val="14"/>
                          <w:szCs w:val="14"/>
                        </w:rPr>
                        <w:t>a)</w:t>
                      </w:r>
                    </w:p>
                  </w:txbxContent>
                </v:textbox>
              </v:shape>
            </w:pict>
          </mc:Fallback>
        </mc:AlternateContent>
      </w:r>
      <w:r w:rsidR="00B16309">
        <w:rPr>
          <w:noProof/>
        </w:rPr>
        <mc:AlternateContent>
          <mc:Choice Requires="wps">
            <w:drawing>
              <wp:anchor distT="0" distB="0" distL="114300" distR="114300" simplePos="0" relativeHeight="251667456" behindDoc="0" locked="0" layoutInCell="1" allowOverlap="1" wp14:anchorId="7219437A" wp14:editId="18B73A09">
                <wp:simplePos x="0" y="0"/>
                <wp:positionH relativeFrom="column">
                  <wp:posOffset>4130724</wp:posOffset>
                </wp:positionH>
                <wp:positionV relativeFrom="paragraph">
                  <wp:posOffset>27159</wp:posOffset>
                </wp:positionV>
                <wp:extent cx="288077" cy="233203"/>
                <wp:effectExtent l="0" t="0" r="0" b="0"/>
                <wp:wrapNone/>
                <wp:docPr id="10" name="Textfeld 10"/>
                <wp:cNvGraphicFramePr/>
                <a:graphic xmlns:a="http://schemas.openxmlformats.org/drawingml/2006/main">
                  <a:graphicData uri="http://schemas.microsoft.com/office/word/2010/wordprocessingShape">
                    <wps:wsp>
                      <wps:cNvSpPr txBox="1"/>
                      <wps:spPr>
                        <a:xfrm>
                          <a:off x="0" y="0"/>
                          <a:ext cx="288077" cy="233203"/>
                        </a:xfrm>
                        <a:prstGeom prst="rect">
                          <a:avLst/>
                        </a:prstGeom>
                        <a:noFill/>
                        <a:ln w="6350">
                          <a:noFill/>
                        </a:ln>
                      </wps:spPr>
                      <wps:txbx>
                        <w:txbxContent>
                          <w:p w14:paraId="66381FE1" w14:textId="5A1A3285" w:rsidR="00B16309" w:rsidRPr="00663AAD" w:rsidRDefault="00B16309" w:rsidP="00B16309">
                            <w:pPr>
                              <w:rPr>
                                <w:sz w:val="14"/>
                                <w:szCs w:val="14"/>
                              </w:rPr>
                            </w:pPr>
                            <w:r w:rsidRPr="00663AAD">
                              <w:rPr>
                                <w:sz w:val="14"/>
                                <w:szCs w:val="1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9437A" id="Textfeld 10" o:spid="_x0000_s1027" type="#_x0000_t202" style="position:absolute;left:0;text-align:left;margin-left:325.25pt;margin-top:2.15pt;width:22.7pt;height:1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" filled="f" stroked="f" strokeweight=".5pt">
                <v:textbox>
                  <w:txbxContent>
                    <w:p w14:paraId="66381FE1" w14:textId="5A1A3285" w:rsidR="00B16309" w:rsidRPr="00663AAD" w:rsidRDefault="00B16309" w:rsidP="00B16309">
                      <w:pPr>
                        <w:rPr>
                          <w:sz w:val="14"/>
                          <w:szCs w:val="14"/>
                        </w:rPr>
                      </w:pPr>
                      <w:r w:rsidRPr="00663AAD">
                        <w:rPr>
                          <w:sz w:val="14"/>
                          <w:szCs w:val="14"/>
                        </w:rPr>
                        <w:t>b)</w:t>
                      </w:r>
                    </w:p>
                  </w:txbxContent>
                </v:textbox>
              </v:shape>
            </w:pict>
          </mc:Fallback>
        </mc:AlternateContent>
      </w:r>
      <w:r w:rsidR="00B05670" w:rsidRPr="00F0307D">
        <w:rPr>
          <w:noProof/>
        </w:rPr>
        <w:drawing>
          <wp:inline distT="0" distB="0" distL="0" distR="0" wp14:anchorId="7D032C2D" wp14:editId="5951C244">
            <wp:extent cx="2382700" cy="1800000"/>
            <wp:effectExtent l="0" t="0" r="0" b="0"/>
            <wp:docPr id="9" name="Grafik 8">
              <a:extLst xmlns:a="http://schemas.openxmlformats.org/drawingml/2006/main">
                <a:ext uri="{FF2B5EF4-FFF2-40B4-BE49-F238E27FC236}">
                  <a16:creationId xmlns:a16="http://schemas.microsoft.com/office/drawing/2014/main" id="{6AF235F2-6A72-4038-AA88-2A5ABD7B2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id="{6AF235F2-6A72-4038-AA88-2A5ABD7B2C16}"/>
                        </a:ext>
                      </a:extLst>
                    </pic:cNvPr>
                    <pic:cNvPicPr>
                      <a:picLocks noChangeAspect="1"/>
                    </pic:cNvPicPr>
                  </pic:nvPicPr>
                  <pic:blipFill>
                    <a:blip r:embed="rId10"/>
                    <a:stretch>
                      <a:fillRect/>
                    </a:stretch>
                  </pic:blipFill>
                  <pic:spPr>
                    <a:xfrm>
                      <a:off x="0" y="0"/>
                      <a:ext cx="2382700" cy="1800000"/>
                    </a:xfrm>
                    <a:prstGeom prst="rect">
                      <a:avLst/>
                    </a:prstGeom>
                  </pic:spPr>
                </pic:pic>
              </a:graphicData>
            </a:graphic>
          </wp:inline>
        </w:drawing>
      </w:r>
      <w:r w:rsidR="00B05670" w:rsidRPr="00F0307D">
        <w:tab/>
      </w:r>
      <w:r w:rsidR="00B05670" w:rsidRPr="00F0307D">
        <w:rPr>
          <w:noProof/>
        </w:rPr>
        <w:drawing>
          <wp:inline distT="0" distB="0" distL="0" distR="0" wp14:anchorId="31CF0CBB" wp14:editId="00725554">
            <wp:extent cx="1798956" cy="1799999"/>
            <wp:effectExtent l="0" t="0" r="0" b="0"/>
            <wp:docPr id="206" name="Grafik 205">
              <a:extLst xmlns:a="http://schemas.openxmlformats.org/drawingml/2006/main">
                <a:ext uri="{FF2B5EF4-FFF2-40B4-BE49-F238E27FC236}">
                  <a16:creationId xmlns:a16="http://schemas.microsoft.com/office/drawing/2014/main" id="{E5096815-9A6F-4E90-8D41-52739739B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Grafik 205">
                      <a:extLst>
                        <a:ext uri="{FF2B5EF4-FFF2-40B4-BE49-F238E27FC236}">
                          <a16:creationId xmlns:a16="http://schemas.microsoft.com/office/drawing/2014/main" id="{E5096815-9A6F-4E90-8D41-52739739B83D}"/>
                        </a:ext>
                      </a:extLst>
                    </pic:cNvPr>
                    <pic:cNvPicPr>
                      <a:picLocks noChangeAspect="1"/>
                    </pic:cNvPicPr>
                  </pic:nvPicPr>
                  <pic:blipFill>
                    <a:blip r:embed="rId11"/>
                    <a:stretch>
                      <a:fillRect/>
                    </a:stretch>
                  </pic:blipFill>
                  <pic:spPr bwMode="auto">
                    <a:xfrm>
                      <a:off x="0" y="0"/>
                      <a:ext cx="1798956" cy="1799999"/>
                    </a:xfrm>
                    <a:prstGeom prst="rect">
                      <a:avLst/>
                    </a:prstGeom>
                  </pic:spPr>
                </pic:pic>
              </a:graphicData>
            </a:graphic>
          </wp:inline>
        </w:drawing>
      </w:r>
    </w:p>
    <w:p w14:paraId="7EFD76C7" w14:textId="47D38E08" w:rsidR="00B05670" w:rsidRPr="00F0307D" w:rsidRDefault="00B05670" w:rsidP="00B05670">
      <w:pPr>
        <w:pStyle w:val="CETCaption"/>
        <w:rPr>
          <w:lang w:val="en-US"/>
        </w:rPr>
      </w:pPr>
      <w:r w:rsidRPr="001D1DA5">
        <w:rPr>
          <w:lang w:val="en-US"/>
        </w:rPr>
        <w:t>Figure 1</w:t>
      </w:r>
      <w:r w:rsidR="003E1A5E" w:rsidRPr="001D1DA5">
        <w:rPr>
          <w:lang w:val="en-US"/>
        </w:rPr>
        <w:t xml:space="preserve">: </w:t>
      </w:r>
      <w:r w:rsidR="005C1891" w:rsidRPr="001D1DA5">
        <w:t>Calibration of the fiber-optic sensor under ex situ and in situ conditions. a) External calibration setup with tube furnace, K-type thermocouples, and fiber-optic sensor. b) Comparison of ex situ and in situ calibration curves.</w:t>
      </w:r>
    </w:p>
    <w:p w14:paraId="6AF4B9DD" w14:textId="60DC398A" w:rsidR="00DB122C" w:rsidRPr="00F0307D" w:rsidRDefault="009948AB" w:rsidP="00DB122C">
      <w:pPr>
        <w:pStyle w:val="CETheadingx"/>
      </w:pPr>
      <w:r w:rsidRPr="00F0307D">
        <w:rPr>
          <w:i/>
          <w:iCs/>
        </w:rPr>
        <w:t>Ex situ</w:t>
      </w:r>
      <w:r w:rsidR="00DB122C" w:rsidRPr="00F0307D">
        <w:t xml:space="preserve"> calibration</w:t>
      </w:r>
    </w:p>
    <w:p w14:paraId="00B8780A" w14:textId="5A1E8966" w:rsidR="00DB122C" w:rsidRPr="00F0307D" w:rsidRDefault="00545E02" w:rsidP="00DB122C">
      <w:pPr>
        <w:pStyle w:val="CETBodytext"/>
      </w:pPr>
      <w:r w:rsidRPr="00F0307D">
        <w:t>The c</w:t>
      </w:r>
      <w:r w:rsidR="00DB122C" w:rsidRPr="00F0307D">
        <w:t>alibration</w:t>
      </w:r>
      <w:r w:rsidRPr="00F0307D">
        <w:t xml:space="preserve"> of the OFDR sensor</w:t>
      </w:r>
      <w:r w:rsidR="00DB122C" w:rsidRPr="00F0307D">
        <w:t xml:space="preserve"> is performed in an external tube furnace</w:t>
      </w:r>
      <w:r w:rsidRPr="00F0307D">
        <w:t xml:space="preserve"> (</w:t>
      </w:r>
      <w:r w:rsidR="003D00E6" w:rsidRPr="00F0307D">
        <w:t>Carbolite</w:t>
      </w:r>
      <w:r w:rsidRPr="00F0307D">
        <w:t>,</w:t>
      </w:r>
      <w:r w:rsidR="003D00E6" w:rsidRPr="00F0307D">
        <w:t xml:space="preserve"> GHA 12/</w:t>
      </w:r>
      <w:r w:rsidR="00224B88" w:rsidRPr="00F0307D">
        <w:t>30</w:t>
      </w:r>
      <w:r w:rsidR="003D00E6" w:rsidRPr="00F0307D">
        <w:t>0</w:t>
      </w:r>
      <w:r w:rsidRPr="00F0307D">
        <w:t>)</w:t>
      </w:r>
      <w:r w:rsidR="00DB122C" w:rsidRPr="00F0307D">
        <w:t xml:space="preserve"> with a heated length of approximately </w:t>
      </w:r>
      <w:r w:rsidR="00224B88" w:rsidRPr="00F0307D">
        <w:t>30</w:t>
      </w:r>
      <w:r w:rsidR="00B5574C" w:rsidRPr="00F0307D">
        <w:t> </w:t>
      </w:r>
      <w:r w:rsidR="00DB122C" w:rsidRPr="00F0307D">
        <w:t>cm. A custom stainless-steel pipe assembly is placed inside the hot zone of the furnace. This pipe contains an inlet and outlet for carrier gas, a stainless-steel feed-through accommodating up to four K-type thermocouples</w:t>
      </w:r>
      <w:r w:rsidRPr="00F0307D">
        <w:t>,</w:t>
      </w:r>
      <w:r w:rsidR="00DB122C" w:rsidRPr="00F0307D">
        <w:t xml:space="preserve"> and a dedicated connector for the fiber-optic sensor. This configuration </w:t>
      </w:r>
      <w:r w:rsidR="00C93F58" w:rsidRPr="00F0307D">
        <w:t>is illustrated in Figure 1</w:t>
      </w:r>
      <w:r w:rsidR="004340ED">
        <w:t>a</w:t>
      </w:r>
      <w:r w:rsidR="00C93F58" w:rsidRPr="00F0307D">
        <w:t xml:space="preserve"> and </w:t>
      </w:r>
      <w:r w:rsidR="00DB122C" w:rsidRPr="00F0307D">
        <w:t>enables simultaneous acquisition of reference temperatures and fiber response under controlled conditions.</w:t>
      </w:r>
      <w:r w:rsidR="002D68BA" w:rsidRPr="00F0307D">
        <w:t xml:space="preserve"> </w:t>
      </w:r>
    </w:p>
    <w:p w14:paraId="3FE1DA2B" w14:textId="0D696902" w:rsidR="00DB122C" w:rsidRPr="00F0307D" w:rsidRDefault="00DB122C" w:rsidP="000A3666">
      <w:pPr>
        <w:pStyle w:val="CETBodytext"/>
      </w:pPr>
      <w:r w:rsidRPr="00F0307D">
        <w:t>Two principal calibration strategies are investigated: a continuous linear temperature ramp</w:t>
      </w:r>
      <w:r w:rsidR="004C026D" w:rsidRPr="00F0307D">
        <w:t xml:space="preserve"> from </w:t>
      </w:r>
      <w:r w:rsidR="005309A2" w:rsidRPr="00F0307D">
        <w:t>2</w:t>
      </w:r>
      <w:r w:rsidR="004C026D" w:rsidRPr="00F0307D">
        <w:t>0</w:t>
      </w:r>
      <w:r w:rsidR="00D86C36" w:rsidRPr="00F0307D">
        <w:t xml:space="preserve"> </w:t>
      </w:r>
      <w:r w:rsidR="004C026D" w:rsidRPr="00F0307D">
        <w:t>to 650 °C</w:t>
      </w:r>
      <w:r w:rsidRPr="00F0307D">
        <w:t xml:space="preserve"> </w:t>
      </w:r>
      <w:r w:rsidR="005309A2" w:rsidRPr="00F0307D">
        <w:t xml:space="preserve">with a heating rate of 25 </w:t>
      </w:r>
      <w:r w:rsidR="00E54BED" w:rsidRPr="00F0307D">
        <w:t>°C</w:t>
      </w:r>
      <w:r w:rsidR="005309A2" w:rsidRPr="00F0307D">
        <w:t xml:space="preserve"> min</w:t>
      </w:r>
      <w:r w:rsidR="005309A2" w:rsidRPr="00F0307D">
        <w:rPr>
          <w:vertAlign w:val="superscript"/>
        </w:rPr>
        <w:t>-1</w:t>
      </w:r>
      <w:r w:rsidR="005309A2" w:rsidRPr="00F0307D">
        <w:t xml:space="preserve"> </w:t>
      </w:r>
      <w:r w:rsidRPr="00F0307D">
        <w:t xml:space="preserve">and a sequence of </w:t>
      </w:r>
      <w:r w:rsidR="005309A2" w:rsidRPr="00F0307D">
        <w:t xml:space="preserve">steady-state </w:t>
      </w:r>
      <w:r w:rsidRPr="00F0307D">
        <w:t>steps</w:t>
      </w:r>
      <w:r w:rsidR="004C026D" w:rsidRPr="00F0307D">
        <w:t xml:space="preserve"> in the same temperature range</w:t>
      </w:r>
      <w:r w:rsidRPr="00F0307D">
        <w:t>. In the ramp protocol</w:t>
      </w:r>
      <w:r w:rsidR="00C93F58" w:rsidRPr="00F0307D">
        <w:t>,</w:t>
      </w:r>
      <w:r w:rsidRPr="00F0307D">
        <w:t xml:space="preserve"> the furnace temperature is increased linearly with time, providing a dense set of calibration points across the targeted temperature interval. In the stepwise protocol</w:t>
      </w:r>
      <w:r w:rsidR="00C93F58" w:rsidRPr="00F0307D">
        <w:t>,</w:t>
      </w:r>
      <w:r w:rsidRPr="00F0307D">
        <w:t xml:space="preserve"> the</w:t>
      </w:r>
      <w:r w:rsidR="004C026D" w:rsidRPr="00F0307D">
        <w:t xml:space="preserve"> tube</w:t>
      </w:r>
      <w:r w:rsidRPr="00F0307D">
        <w:t xml:space="preserve"> furnace is </w:t>
      </w:r>
      <w:r w:rsidR="005309A2" w:rsidRPr="00F0307D">
        <w:t>operated at</w:t>
      </w:r>
      <w:r w:rsidRPr="00F0307D">
        <w:t xml:space="preserve"> a series of discrete temperature levels. At each </w:t>
      </w:r>
      <w:r w:rsidR="00BB016A" w:rsidRPr="00F0307D">
        <w:t>level,</w:t>
      </w:r>
      <w:r w:rsidRPr="00F0307D">
        <w:t xml:space="preserve"> the system is allowed to reach </w:t>
      </w:r>
      <w:r w:rsidR="00E816BC" w:rsidRPr="00F0307D">
        <w:t>steady</w:t>
      </w:r>
      <w:r w:rsidR="00B001E1" w:rsidRPr="00F0307D">
        <w:t xml:space="preserve"> </w:t>
      </w:r>
      <w:r w:rsidR="00E816BC" w:rsidRPr="00F0307D">
        <w:t>state</w:t>
      </w:r>
      <w:r w:rsidRPr="00F0307D">
        <w:t xml:space="preserve">. </w:t>
      </w:r>
      <w:r w:rsidR="00626FF0" w:rsidRPr="00F0307D">
        <w:t>If the calibration curves obtained from the ramp and stepwise strategies agree within the sensor accuracy, the thermal response of the encapsulated fiber and reference thermocouples can be considered sufficiently fast relative to the imposed temperature ramp, such that thermal lag and axial temperature smearing do not significantly distort the calibration and subsequent measurements.</w:t>
      </w:r>
    </w:p>
    <w:p w14:paraId="23C6AE63" w14:textId="3127900B" w:rsidR="000143EB" w:rsidRPr="00F0307D" w:rsidRDefault="004C026D" w:rsidP="00DB122C">
      <w:pPr>
        <w:pStyle w:val="CETBodytext"/>
      </w:pPr>
      <w:r w:rsidRPr="00F0307D">
        <w:t>The upper</w:t>
      </w:r>
      <w:r w:rsidR="007F1183" w:rsidRPr="00F0307D">
        <w:t xml:space="preserve"> calibration temperature of 650 °C exceeds the reported long-term stability limit of approximately 550 °C</w:t>
      </w:r>
      <w:r w:rsidR="006C2104" w:rsidRPr="00F0307D">
        <w:t xml:space="preserve"> (Rahim </w:t>
      </w:r>
      <w:r w:rsidR="00B8330E" w:rsidRPr="00F0307D">
        <w:rPr>
          <w:i/>
        </w:rPr>
        <w:t>et al.</w:t>
      </w:r>
      <w:r w:rsidR="00482108" w:rsidRPr="00F0307D">
        <w:t>,</w:t>
      </w:r>
      <w:r w:rsidR="006C2104" w:rsidRPr="00F0307D">
        <w:t xml:space="preserve"> 2015)</w:t>
      </w:r>
      <w:r w:rsidR="00F4508F" w:rsidRPr="00F0307D">
        <w:t xml:space="preserve">, which </w:t>
      </w:r>
      <w:r w:rsidR="000143EB" w:rsidRPr="00F0307D">
        <w:t xml:space="preserve">can </w:t>
      </w:r>
      <w:r w:rsidR="00F4508F" w:rsidRPr="00F0307D">
        <w:t xml:space="preserve">permanently </w:t>
      </w:r>
      <w:r w:rsidR="000143EB" w:rsidRPr="00F0307D">
        <w:t xml:space="preserve">alter the Rayleigh reference pattern and </w:t>
      </w:r>
      <w:r w:rsidR="00F4508F" w:rsidRPr="00F0307D">
        <w:t xml:space="preserve">lead to </w:t>
      </w:r>
      <w:r w:rsidR="000143EB" w:rsidRPr="00F0307D">
        <w:t>apparent burn-in</w:t>
      </w:r>
      <w:r w:rsidR="00F4508F" w:rsidRPr="00F0307D">
        <w:t xml:space="preserve"> after cooling, where the recorded temperature may deviate from the actual temperature</w:t>
      </w:r>
      <w:r w:rsidR="000143EB" w:rsidRPr="00F0307D">
        <w:t xml:space="preserve">. A new reference </w:t>
      </w:r>
      <w:r w:rsidR="00F4508F" w:rsidRPr="00F0307D">
        <w:t>pattern</w:t>
      </w:r>
      <w:r w:rsidR="000143EB" w:rsidRPr="00F0307D">
        <w:t xml:space="preserve"> was therefore recorded</w:t>
      </w:r>
      <w:r w:rsidR="006618B5" w:rsidRPr="00F0307D">
        <w:t xml:space="preserve"> (rekeying)</w:t>
      </w:r>
      <w:r w:rsidR="000143EB" w:rsidRPr="00F0307D">
        <w:t xml:space="preserve"> after cooling. To assess repeatability, the sensor was held at approximately 650 °C for 1 h </w:t>
      </w:r>
      <w:r w:rsidR="00F4508F" w:rsidRPr="00F0307D">
        <w:t>at the end of each</w:t>
      </w:r>
      <w:r w:rsidR="000143EB" w:rsidRPr="00F0307D">
        <w:t xml:space="preserve"> calibration, cooled to ambient temperature, rekeyed, and recalibrated. This procedure was repeated three times.</w:t>
      </w:r>
    </w:p>
    <w:p w14:paraId="03903CF0" w14:textId="7FD630B8" w:rsidR="00DB122C" w:rsidRPr="00F0307D" w:rsidRDefault="00DB122C" w:rsidP="00DB122C">
      <w:pPr>
        <w:pStyle w:val="CETheadingx"/>
      </w:pPr>
      <w:r w:rsidRPr="00F0307D">
        <w:t>Reactor configuration</w:t>
      </w:r>
    </w:p>
    <w:p w14:paraId="78557354" w14:textId="2EEC4547" w:rsidR="00682817" w:rsidRPr="00F0307D" w:rsidRDefault="00DB122C" w:rsidP="00E235DF">
      <w:pPr>
        <w:pStyle w:val="CETBodytext"/>
      </w:pPr>
      <w:r w:rsidRPr="00F0307D">
        <w:t xml:space="preserve">The experimental </w:t>
      </w:r>
      <w:r w:rsidR="006274C9" w:rsidRPr="00F0307D">
        <w:t xml:space="preserve">reactor </w:t>
      </w:r>
      <w:r w:rsidR="00813F3C" w:rsidRPr="00F0307D">
        <w:t xml:space="preserve">setup </w:t>
      </w:r>
      <w:r w:rsidR="006274C9" w:rsidRPr="00F0307D">
        <w:t>is housed</w:t>
      </w:r>
      <w:r w:rsidR="00813F3C" w:rsidRPr="00F0307D">
        <w:t xml:space="preserve"> within a modular Power-to-X lab pilot plant. The plant’s gas mass flow controllers accommodate the most common reactants for Power-to-X applications, namely hydrogen, nitrogen</w:t>
      </w:r>
      <w:r w:rsidR="007B7133" w:rsidRPr="00F0307D">
        <w:t>,</w:t>
      </w:r>
      <w:r w:rsidR="00813F3C" w:rsidRPr="00F0307D">
        <w:t xml:space="preserve"> and carbon dioxide. An additional supply line for variable input gases, such as </w:t>
      </w:r>
      <w:r w:rsidR="000F3480" w:rsidRPr="00F0307D">
        <w:t>ammonia</w:t>
      </w:r>
      <w:r w:rsidR="00813F3C" w:rsidRPr="00F0307D">
        <w:t xml:space="preserve"> or methane</w:t>
      </w:r>
      <w:r w:rsidR="007B7133" w:rsidRPr="00F0307D">
        <w:t>,</w:t>
      </w:r>
      <w:r w:rsidR="00813F3C" w:rsidRPr="00F0307D">
        <w:t xml:space="preserve"> is present to allow for rapid switching between plant setups</w:t>
      </w:r>
      <w:r w:rsidR="006274C9" w:rsidRPr="00F0307D">
        <w:t xml:space="preserve"> and thus reaction conditions</w:t>
      </w:r>
      <w:r w:rsidR="00813F3C" w:rsidRPr="00F0307D">
        <w:t>. The plant is designed to house multiple reactor geometries</w:t>
      </w:r>
      <w:r w:rsidR="006274C9" w:rsidRPr="00F0307D">
        <w:t xml:space="preserve"> and nominal gas throughputs. I</w:t>
      </w:r>
      <w:r w:rsidR="00813F3C" w:rsidRPr="00F0307D">
        <w:t>n this study</w:t>
      </w:r>
      <w:r w:rsidR="008C7B49" w:rsidRPr="00F0307D">
        <w:t>,</w:t>
      </w:r>
      <w:r w:rsidR="00813F3C" w:rsidRPr="00F0307D">
        <w:t xml:space="preserve"> an </w:t>
      </w:r>
      <w:r w:rsidR="006274C9" w:rsidRPr="00F0307D">
        <w:t>industrial</w:t>
      </w:r>
      <w:r w:rsidR="00CD4187" w:rsidRPr="00F0307D">
        <w:t>-</w:t>
      </w:r>
      <w:r w:rsidR="00D4118E">
        <w:t>scale</w:t>
      </w:r>
      <w:r w:rsidR="00CD4187" w:rsidRPr="00F0307D">
        <w:t>,</w:t>
      </w:r>
      <w:r w:rsidR="006274C9" w:rsidRPr="00F0307D">
        <w:t xml:space="preserve"> </w:t>
      </w:r>
      <w:r w:rsidR="00813F3C" w:rsidRPr="00F0307D">
        <w:t>external</w:t>
      </w:r>
      <w:r w:rsidR="008C7B49" w:rsidRPr="00F0307D">
        <w:t>ly</w:t>
      </w:r>
      <w:r w:rsidR="00813F3C" w:rsidRPr="00F0307D">
        <w:t xml:space="preserve"> cooled </w:t>
      </w:r>
      <w:r w:rsidR="005C6F0E">
        <w:t xml:space="preserve">single tube </w:t>
      </w:r>
      <w:r w:rsidR="00813F3C" w:rsidRPr="00F0307D">
        <w:t>fixed-bed reactor</w:t>
      </w:r>
      <w:r w:rsidR="006274C9" w:rsidRPr="00F0307D">
        <w:t xml:space="preserve"> and the highly exothermic </w:t>
      </w:r>
      <w:r w:rsidR="008365FF" w:rsidRPr="00F0307D">
        <w:t>CO</w:t>
      </w:r>
      <w:r w:rsidR="008365FF" w:rsidRPr="00F0307D">
        <w:rPr>
          <w:vertAlign w:val="subscript"/>
        </w:rPr>
        <w:t>2</w:t>
      </w:r>
      <w:r w:rsidR="003E1A5E">
        <w:rPr>
          <w:vertAlign w:val="subscript"/>
        </w:rPr>
        <w:t xml:space="preserve"> </w:t>
      </w:r>
      <w:r w:rsidR="006274C9" w:rsidRPr="00F0307D">
        <w:t>methanation reaction</w:t>
      </w:r>
      <w:r w:rsidR="00813F3C" w:rsidRPr="00F0307D">
        <w:t xml:space="preserve"> </w:t>
      </w:r>
      <w:r w:rsidR="008C7B49" w:rsidRPr="00F0307D">
        <w:t>were</w:t>
      </w:r>
      <w:r w:rsidR="00813F3C" w:rsidRPr="00F0307D">
        <w:t xml:space="preserve"> chosen</w:t>
      </w:r>
      <w:r w:rsidR="006274C9" w:rsidRPr="00F0307D">
        <w:t xml:space="preserve"> to give insight into the performance of the fiber-optic sensors in such extreme conditions</w:t>
      </w:r>
      <w:r w:rsidR="00813F3C" w:rsidRPr="00F0307D">
        <w:t>.</w:t>
      </w:r>
      <w:r w:rsidR="006274C9" w:rsidRPr="00F0307D">
        <w:t xml:space="preserve"> </w:t>
      </w:r>
      <w:r w:rsidR="00C62195" w:rsidRPr="00C62195">
        <w:t xml:space="preserve">Detailed reactor geometry and catalyst specifications are not disclosed here; however, the investigated configuration corresponds </w:t>
      </w:r>
      <w:r w:rsidR="00C62195">
        <w:t>to reactor operation at</w:t>
      </w:r>
      <w:r w:rsidR="00C62195" w:rsidRPr="00C62195">
        <w:t xml:space="preserve"> industrially relevant pressure and flow conditions. </w:t>
      </w:r>
      <w:r w:rsidR="004E2A0A" w:rsidRPr="00F0307D">
        <w:t xml:space="preserve">Volumetric reactant flow rates of up to </w:t>
      </w:r>
      <w:r w:rsidR="00367E94" w:rsidRPr="00F0307D">
        <w:t>410</w:t>
      </w:r>
      <w:r w:rsidR="004E2A0A" w:rsidRPr="00F0307D">
        <w:t> NL min</w:t>
      </w:r>
      <w:r w:rsidR="004E2A0A" w:rsidRPr="00F0307D">
        <w:rPr>
          <w:vertAlign w:val="superscript"/>
        </w:rPr>
        <w:t>-1</w:t>
      </w:r>
      <w:r w:rsidR="004E2A0A" w:rsidRPr="00F0307D">
        <w:t xml:space="preserve"> and pressures up to 2</w:t>
      </w:r>
      <w:r w:rsidR="00367E94" w:rsidRPr="00F0307D">
        <w:t>5</w:t>
      </w:r>
      <w:r w:rsidR="004E2A0A" w:rsidRPr="00F0307D">
        <w:t xml:space="preserve"> bar(g) are possible, allowing the evaluation of industrial operating conditions for a </w:t>
      </w:r>
      <w:r w:rsidR="001777C6" w:rsidRPr="00F0307D">
        <w:t>single tube</w:t>
      </w:r>
      <w:r w:rsidR="008365FF" w:rsidRPr="00F0307D">
        <w:t xml:space="preserve">, e.g., as a representative unit </w:t>
      </w:r>
      <w:r w:rsidR="004E2A0A" w:rsidRPr="00F0307D">
        <w:t xml:space="preserve">of a </w:t>
      </w:r>
      <w:r w:rsidR="008C1057" w:rsidRPr="00F0307D">
        <w:t>multi</w:t>
      </w:r>
      <w:r w:rsidR="006754B8" w:rsidRPr="00F0307D">
        <w:t>-</w:t>
      </w:r>
      <w:r w:rsidR="008C1057" w:rsidRPr="00F0307D">
        <w:t>tubular</w:t>
      </w:r>
      <w:r w:rsidR="004E2A0A" w:rsidRPr="00F0307D">
        <w:t xml:space="preserve"> reactor.</w:t>
      </w:r>
    </w:p>
    <w:p w14:paraId="3F9E6783" w14:textId="56A9ACD9" w:rsidR="00DB122C" w:rsidRPr="00F0307D" w:rsidRDefault="00813F3C" w:rsidP="00DB122C">
      <w:pPr>
        <w:pStyle w:val="CETBodytext"/>
      </w:pPr>
      <w:r w:rsidRPr="00F0307D">
        <w:t xml:space="preserve">The reactor was </w:t>
      </w:r>
      <w:r w:rsidR="00DB122C" w:rsidRPr="00F0307D">
        <w:t xml:space="preserve">designed to accommodate simultaneous </w:t>
      </w:r>
      <w:r w:rsidRPr="00F0307D">
        <w:t xml:space="preserve">axial temperature </w:t>
      </w:r>
      <w:r w:rsidR="00DB122C" w:rsidRPr="00F0307D">
        <w:t xml:space="preserve">measurements from two fiber-optic sensors. One sensor is positioned at the </w:t>
      </w:r>
      <w:r w:rsidR="00E235DF" w:rsidRPr="00F0307D">
        <w:t xml:space="preserve">radial </w:t>
      </w:r>
      <w:r w:rsidR="00DB122C" w:rsidRPr="00F0307D">
        <w:t>cent</w:t>
      </w:r>
      <w:r w:rsidR="009948AB" w:rsidRPr="00F0307D">
        <w:t>er</w:t>
      </w:r>
      <w:r w:rsidR="00DB122C" w:rsidRPr="00F0307D">
        <w:t xml:space="preserve"> of the reactor, while the second sensor is </w:t>
      </w:r>
      <w:r w:rsidRPr="00F0307D">
        <w:t>positioned</w:t>
      </w:r>
      <w:r w:rsidR="00DB122C" w:rsidRPr="00F0307D">
        <w:t xml:space="preserve"> at the inner surface of the reactor wall. The central fiber is housed inside an additional thin-walled stainless-steel </w:t>
      </w:r>
      <w:r w:rsidR="00FC01BB" w:rsidRPr="00F0307D">
        <w:t>pipe</w:t>
      </w:r>
      <w:r w:rsidR="00DB122C" w:rsidRPr="00F0307D">
        <w:t xml:space="preserve">. This </w:t>
      </w:r>
      <w:r w:rsidR="00FC01BB" w:rsidRPr="00F0307D">
        <w:t>additional</w:t>
      </w:r>
      <w:r w:rsidR="00DB122C" w:rsidRPr="00F0307D">
        <w:t xml:space="preserve"> </w:t>
      </w:r>
      <w:r w:rsidR="00FC01BB" w:rsidRPr="00F0307D">
        <w:t>pipe</w:t>
      </w:r>
      <w:r w:rsidR="00DB122C" w:rsidRPr="00F0307D">
        <w:t xml:space="preserve"> </w:t>
      </w:r>
      <w:r w:rsidR="00F0307D" w:rsidRPr="00F0307D">
        <w:t>mechanically protects the fiber during catalyst loading and unloading and maintains its position at the reactor centerline.</w:t>
      </w:r>
      <w:r w:rsidR="00E235DF" w:rsidRPr="00F0307D">
        <w:t xml:space="preserve"> The</w:t>
      </w:r>
      <w:r w:rsidR="00DB122C" w:rsidRPr="00F0307D">
        <w:t xml:space="preserve"> wall temperature</w:t>
      </w:r>
      <w:r w:rsidR="00E235DF" w:rsidRPr="00F0307D">
        <w:t xml:space="preserve"> is recorded</w:t>
      </w:r>
      <w:r w:rsidR="00DB122C" w:rsidRPr="00F0307D">
        <w:t xml:space="preserve"> along the axial direction to quantify heat </w:t>
      </w:r>
      <w:r w:rsidR="00E235DF" w:rsidRPr="00F0307D">
        <w:t>transfer</w:t>
      </w:r>
      <w:r w:rsidR="00DB122C" w:rsidRPr="00F0307D">
        <w:t xml:space="preserve"> and validate heat-transfer models</w:t>
      </w:r>
      <w:r w:rsidR="00E235DF" w:rsidRPr="00F0307D">
        <w:t xml:space="preserve"> during dynamic load changes</w:t>
      </w:r>
      <w:r w:rsidR="00DB122C" w:rsidRPr="00F0307D">
        <w:t>.</w:t>
      </w:r>
      <w:r w:rsidR="00E235DF" w:rsidRPr="00F0307D">
        <w:t xml:space="preserve"> </w:t>
      </w:r>
      <w:r w:rsidR="00DB122C" w:rsidRPr="00F0307D">
        <w:t xml:space="preserve">The combined central and </w:t>
      </w:r>
      <w:r w:rsidR="00ED1B19" w:rsidRPr="00F0307D">
        <w:t>wall</w:t>
      </w:r>
      <w:r w:rsidR="00ED1B19">
        <w:t xml:space="preserve"> </w:t>
      </w:r>
      <w:r w:rsidR="00ED1B19" w:rsidRPr="00F0307D">
        <w:t>sensor</w:t>
      </w:r>
      <w:r w:rsidR="00DB122C" w:rsidRPr="00F0307D">
        <w:t xml:space="preserve"> </w:t>
      </w:r>
      <w:r w:rsidR="00DB122C" w:rsidRPr="00F0307D">
        <w:lastRenderedPageBreak/>
        <w:t xml:space="preserve">configuration </w:t>
      </w:r>
      <w:r w:rsidR="003E1A5E">
        <w:t>provide</w:t>
      </w:r>
      <w:r w:rsidR="00ED1B19">
        <w:t>s</w:t>
      </w:r>
      <w:r w:rsidR="00DB122C" w:rsidRPr="00F0307D">
        <w:t xml:space="preserve"> radial temperature information </w:t>
      </w:r>
      <w:r w:rsidRPr="00F0307D">
        <w:t>over the entire axial bed length</w:t>
      </w:r>
      <w:r w:rsidR="00DB122C" w:rsidRPr="00F0307D">
        <w:t xml:space="preserve">. The central sensor provides a bulk temperature profile within the core of the reactor that can be directly compared with the moving thermocouple, whereas the wall sensor supplies the boundary temperature. Together, these measurements support the validation of dynamic reactor models and the extraction of effective heat-transfer coefficients required for advanced model-based </w:t>
      </w:r>
      <w:r w:rsidR="008365FF" w:rsidRPr="00F0307D">
        <w:t xml:space="preserve">analysis and </w:t>
      </w:r>
      <w:r w:rsidR="00DB122C" w:rsidRPr="00F0307D">
        <w:t>control of industrial-</w:t>
      </w:r>
      <w:r w:rsidR="00D4118E">
        <w:t>scale</w:t>
      </w:r>
      <w:r w:rsidR="00DB122C" w:rsidRPr="00F0307D">
        <w:t xml:space="preserve"> processes.</w:t>
      </w:r>
      <w:r w:rsidR="00ED1B19">
        <w:t xml:space="preserve"> </w:t>
      </w:r>
      <w:r w:rsidR="00ED1B19" w:rsidRPr="0010084B">
        <w:rPr>
          <w:lang w:val="en-GB"/>
        </w:rPr>
        <w:t>For the dynamic demonstration, the total inlet flow was increased from approximately 21 to 91 NL min</w:t>
      </w:r>
      <w:r w:rsidR="00ED1B19" w:rsidRPr="0010084B">
        <w:rPr>
          <w:vertAlign w:val="superscript"/>
          <w:lang w:val="en-GB"/>
        </w:rPr>
        <w:t>-1</w:t>
      </w:r>
      <w:r w:rsidR="00ED1B19" w:rsidRPr="0010084B">
        <w:rPr>
          <w:lang w:val="en-GB"/>
        </w:rPr>
        <w:t xml:space="preserve"> over 5 min, while the feed composition and remaining operating conditions were kept constant. The final inlet flow was subsequently held constant, and the reactor temperature field continued to evolve for approximately 8 min before a new steady state was reached.</w:t>
      </w:r>
    </w:p>
    <w:p w14:paraId="3AF5E8FA" w14:textId="77777777" w:rsidR="00DB122C" w:rsidRPr="00F0307D" w:rsidRDefault="00DB122C" w:rsidP="00DB122C">
      <w:pPr>
        <w:pStyle w:val="CETHeading1"/>
      </w:pPr>
      <w:r w:rsidRPr="00F0307D">
        <w:t>Results</w:t>
      </w:r>
    </w:p>
    <w:p w14:paraId="1DCD52A5" w14:textId="35D12234" w:rsidR="00DB122C" w:rsidRPr="00F0307D" w:rsidRDefault="00DB122C" w:rsidP="00DB122C">
      <w:pPr>
        <w:pStyle w:val="CETheadingx"/>
      </w:pPr>
      <w:r w:rsidRPr="00F0307D">
        <w:t>Calibration strategies</w:t>
      </w:r>
    </w:p>
    <w:p w14:paraId="7154D14A" w14:textId="0F4442AC" w:rsidR="00C31A4A" w:rsidRPr="00F0307D" w:rsidRDefault="00DB122C" w:rsidP="004C026D">
      <w:pPr>
        <w:pStyle w:val="CETBodytext"/>
      </w:pPr>
      <w:r w:rsidRPr="00F0307D">
        <w:t xml:space="preserve">The performance of the OFDR fiber-optic sensor depends strongly on the quality of the calibration that links Rayleigh frequency shifts to temperature. Both </w:t>
      </w:r>
      <w:r w:rsidRPr="00F0307D">
        <w:rPr>
          <w:i/>
          <w:iCs/>
        </w:rPr>
        <w:t>ex</w:t>
      </w:r>
      <w:r w:rsidR="00682817" w:rsidRPr="00F0307D">
        <w:rPr>
          <w:i/>
          <w:iCs/>
        </w:rPr>
        <w:t xml:space="preserve"> </w:t>
      </w:r>
      <w:r w:rsidRPr="00F0307D">
        <w:rPr>
          <w:i/>
          <w:iCs/>
        </w:rPr>
        <w:t>situ</w:t>
      </w:r>
      <w:r w:rsidRPr="00F0307D">
        <w:t xml:space="preserve"> and </w:t>
      </w:r>
      <w:r w:rsidRPr="00F0307D">
        <w:rPr>
          <w:i/>
          <w:iCs/>
        </w:rPr>
        <w:t>in</w:t>
      </w:r>
      <w:r w:rsidR="00744265" w:rsidRPr="00F0307D">
        <w:rPr>
          <w:i/>
          <w:iCs/>
        </w:rPr>
        <w:t xml:space="preserve"> </w:t>
      </w:r>
      <w:r w:rsidRPr="00F0307D">
        <w:rPr>
          <w:i/>
          <w:iCs/>
        </w:rPr>
        <w:t>situ</w:t>
      </w:r>
      <w:r w:rsidRPr="00F0307D">
        <w:t xml:space="preserve"> procedures are therefore examined.</w:t>
      </w:r>
      <w:r w:rsidR="00377587" w:rsidRPr="00F0307D">
        <w:t xml:space="preserve"> As shown in Figure </w:t>
      </w:r>
      <w:r w:rsidR="002D68BA" w:rsidRPr="00F0307D">
        <w:t>1b</w:t>
      </w:r>
      <w:r w:rsidR="00377587" w:rsidRPr="00F0307D">
        <w:t xml:space="preserve">, the </w:t>
      </w:r>
      <w:r w:rsidR="00377587" w:rsidRPr="005C1891">
        <w:rPr>
          <w:i/>
        </w:rPr>
        <w:t xml:space="preserve">ex situ </w:t>
      </w:r>
      <w:r w:rsidR="00377587" w:rsidRPr="00F0307D">
        <w:t>and</w:t>
      </w:r>
      <w:r w:rsidR="00377587" w:rsidRPr="00F0307D">
        <w:rPr>
          <w:i/>
        </w:rPr>
        <w:t xml:space="preserve"> in situ</w:t>
      </w:r>
      <w:r w:rsidR="00377587" w:rsidRPr="00F0307D">
        <w:t xml:space="preserve"> calibration curves are in close agreement over the overlapping temperature range and are essentially superimposed. This demonstrates that installation of the sensor in the reactor does not introduce a measurable systematic shift in the calibration within the investigated range. The </w:t>
      </w:r>
      <w:r w:rsidR="00377587" w:rsidRPr="00F0307D">
        <w:rPr>
          <w:i/>
        </w:rPr>
        <w:t>in situ</w:t>
      </w:r>
      <w:r w:rsidR="00377587" w:rsidRPr="00F0307D">
        <w:t xml:space="preserve"> procedure can therefore be used as a practical consistency check of an existing </w:t>
      </w:r>
      <w:r w:rsidR="00377587" w:rsidRPr="005C1891">
        <w:rPr>
          <w:i/>
        </w:rPr>
        <w:t>ex situ</w:t>
      </w:r>
      <w:r w:rsidR="00377587" w:rsidRPr="00F0307D">
        <w:t xml:space="preserve"> calibration during reactor start-up. If the full temperature range of interest can be covered under </w:t>
      </w:r>
      <w:r w:rsidR="00377587" w:rsidRPr="005C1891">
        <w:rPr>
          <w:i/>
        </w:rPr>
        <w:t>in situ</w:t>
      </w:r>
      <w:r w:rsidR="00377587" w:rsidRPr="00F0307D">
        <w:t xml:space="preserve"> conditions, it can also be used as a complete calibration procedure. The </w:t>
      </w:r>
      <w:r w:rsidR="00377587" w:rsidRPr="00F0307D">
        <w:rPr>
          <w:i/>
        </w:rPr>
        <w:t>ex situ</w:t>
      </w:r>
      <w:r w:rsidR="00377587" w:rsidRPr="00F0307D">
        <w:t xml:space="preserve"> approach remains preferable when temperatures beyond the accessible reactor operating range must be included in the calibration.</w:t>
      </w:r>
      <w:r w:rsidR="00EE48B2" w:rsidRPr="00F0307D">
        <w:t xml:space="preserve"> </w:t>
      </w:r>
    </w:p>
    <w:p w14:paraId="58206621" w14:textId="0790A814" w:rsidR="00ED1B19" w:rsidRDefault="00ED1B19" w:rsidP="00540768">
      <w:pPr>
        <w:pStyle w:val="CETBodytext"/>
        <w:rPr>
          <w:lang w:val="en-GB"/>
        </w:rPr>
      </w:pPr>
      <w:r w:rsidRPr="0010084B">
        <w:rPr>
          <w:lang w:val="en-GB"/>
        </w:rPr>
        <w:t>Figure 2a compares the sensor-specific calibration obtained in this study with a previously reported calibration for a similar OFDR sensor (Bremer, 2020). The comparison is restricted to the overlapping temperature range</w:t>
      </w:r>
      <w:r w:rsidR="002663AF" w:rsidRPr="0010084B">
        <w:rPr>
          <w:lang w:val="en-GB"/>
        </w:rPr>
        <w:t>,</w:t>
      </w:r>
      <w:r w:rsidRPr="0010084B">
        <w:rPr>
          <w:lang w:val="en-GB"/>
        </w:rPr>
        <w:t xml:space="preserve"> </w:t>
      </w:r>
      <w:r w:rsidR="002663AF" w:rsidRPr="0010084B">
        <w:rPr>
          <w:lang w:val="en-GB"/>
        </w:rPr>
        <w:t>as</w:t>
      </w:r>
      <w:r w:rsidRPr="0010084B">
        <w:rPr>
          <w:lang w:val="en-GB"/>
        </w:rPr>
        <w:t xml:space="preserve"> the previously reported calibration was established only up to approximately 300 °C. Both calibrations are similar at low temperatures but diverge with increasing temperature, reaching a maximum difference of approximately 5.5 K near 240 °C. This demonstrates that calibration is not necessarily transferable between nominally similar fiber-optic sensors and supports sensor-specific calibration over the </w:t>
      </w:r>
      <w:r w:rsidR="002663AF" w:rsidRPr="0010084B">
        <w:rPr>
          <w:lang w:val="en-GB"/>
        </w:rPr>
        <w:t xml:space="preserve">entire </w:t>
      </w:r>
      <w:r w:rsidRPr="0010084B">
        <w:rPr>
          <w:lang w:val="en-GB"/>
        </w:rPr>
        <w:t>application-relevant temperature range.</w:t>
      </w:r>
    </w:p>
    <w:p w14:paraId="32CD683E" w14:textId="55A28DA2" w:rsidR="005E139D" w:rsidRDefault="00C31A4A" w:rsidP="00540768">
      <w:pPr>
        <w:pStyle w:val="CETBodytext"/>
      </w:pPr>
      <w:r w:rsidRPr="00F0307D">
        <w:t xml:space="preserve">Figure </w:t>
      </w:r>
      <w:r w:rsidR="002D68BA" w:rsidRPr="00F0307D">
        <w:t>2</w:t>
      </w:r>
      <w:r w:rsidRPr="00F0307D">
        <w:t>b</w:t>
      </w:r>
      <w:r w:rsidR="003B79F5" w:rsidRPr="00F0307D">
        <w:t xml:space="preserve"> </w:t>
      </w:r>
      <w:r w:rsidRPr="00F0307D">
        <w:t>compares the ramp</w:t>
      </w:r>
      <w:r w:rsidR="005E139D" w:rsidRPr="00F0307D">
        <w:t xml:space="preserve"> (25 °C min</w:t>
      </w:r>
      <w:r w:rsidR="005E139D" w:rsidRPr="00F0307D">
        <w:rPr>
          <w:vertAlign w:val="superscript"/>
        </w:rPr>
        <w:t>-1</w:t>
      </w:r>
      <w:r w:rsidR="005E139D" w:rsidRPr="00F0307D">
        <w:t>)</w:t>
      </w:r>
      <w:r w:rsidRPr="00F0307D">
        <w:t xml:space="preserve"> and stepwise calibration approach</w:t>
      </w:r>
      <w:r w:rsidR="00191437" w:rsidRPr="00F0307D">
        <w:t>es</w:t>
      </w:r>
      <w:r w:rsidRPr="00F0307D">
        <w:t xml:space="preserve">. The resulting calibration curves of both methods are </w:t>
      </w:r>
      <w:r w:rsidR="002F478B" w:rsidRPr="00F0307D">
        <w:t>substantially</w:t>
      </w:r>
      <w:r w:rsidRPr="00F0307D">
        <w:t xml:space="preserve"> different and warrant further investigation into thermal lag</w:t>
      </w:r>
      <w:r w:rsidR="007F629C" w:rsidRPr="00F0307D">
        <w:t xml:space="preserve">. The divergence </w:t>
      </w:r>
      <w:r w:rsidR="00D82713" w:rsidRPr="00F0307D">
        <w:t>may be attributed to</w:t>
      </w:r>
      <w:r w:rsidR="007F629C" w:rsidRPr="00F0307D">
        <w:t xml:space="preserve"> incomplete </w:t>
      </w:r>
      <w:r w:rsidR="00811B14" w:rsidRPr="00F0307D">
        <w:t xml:space="preserve">thermal </w:t>
      </w:r>
      <w:r w:rsidR="007F629C" w:rsidRPr="00F0307D">
        <w:t>equilibration</w:t>
      </w:r>
      <w:r w:rsidR="00797A9B" w:rsidRPr="00F0307D">
        <w:t xml:space="preserve"> within the calibration assembly, such that </w:t>
      </w:r>
      <w:r w:rsidR="00D82713" w:rsidRPr="00F0307D">
        <w:t>radially</w:t>
      </w:r>
      <w:r w:rsidR="00797A9B" w:rsidRPr="00F0307D">
        <w:t xml:space="preserve"> separated sensor and thermocouple positions may experience different temperatures during heating. </w:t>
      </w:r>
      <w:r w:rsidR="007F629C" w:rsidRPr="00F0307D">
        <w:t xml:space="preserve">Differences in thermal inertia of the fiber-optic sensor and the thermocouples may </w:t>
      </w:r>
      <w:r w:rsidR="00797A9B" w:rsidRPr="00F0307D">
        <w:t>further contribute to this mismatch</w:t>
      </w:r>
      <w:r w:rsidR="007F629C" w:rsidRPr="00F0307D">
        <w:t xml:space="preserve">. A slower ramp would therefore be expected to reduce this mismatch by allowing for </w:t>
      </w:r>
      <w:r w:rsidR="00811B14" w:rsidRPr="00F0307D">
        <w:t xml:space="preserve">thermal </w:t>
      </w:r>
      <w:r w:rsidR="007F629C" w:rsidRPr="00F0307D">
        <w:t xml:space="preserve">equilibration of the calibration assembly. </w:t>
      </w:r>
      <w:r w:rsidR="00797A9B" w:rsidRPr="00F0307D">
        <w:t>The presented results should be interpreted as a limitation of the investigated fast ramp calibration procedure rather than as an inherent limitation of the fiber-optic sensor.</w:t>
      </w:r>
    </w:p>
    <w:p w14:paraId="58FD4494" w14:textId="77CBC108" w:rsidR="003201D3" w:rsidRPr="00F0307D" w:rsidRDefault="003201D3" w:rsidP="00540768">
      <w:pPr>
        <w:pStyle w:val="CETBodytext"/>
      </w:pPr>
    </w:p>
    <w:p w14:paraId="7C3054A9" w14:textId="17A15A73" w:rsidR="0057658F" w:rsidRPr="00F0307D" w:rsidRDefault="00C20B6E" w:rsidP="0057658F">
      <w:pPr>
        <w:pStyle w:val="CETCaption"/>
        <w:rPr>
          <w:lang w:val="en-US"/>
        </w:rPr>
      </w:pPr>
      <w:r>
        <w:rPr>
          <w:noProof/>
          <w:lang w:val="en-US"/>
        </w:rPr>
        <mc:AlternateContent>
          <mc:Choice Requires="wps">
            <w:drawing>
              <wp:anchor distT="0" distB="0" distL="114300" distR="114300" simplePos="0" relativeHeight="251663360" behindDoc="0" locked="0" layoutInCell="1" allowOverlap="1" wp14:anchorId="7480BA0A" wp14:editId="2DA15405">
                <wp:simplePos x="0" y="0"/>
                <wp:positionH relativeFrom="column">
                  <wp:posOffset>5062367</wp:posOffset>
                </wp:positionH>
                <wp:positionV relativeFrom="paragraph">
                  <wp:posOffset>190500</wp:posOffset>
                </wp:positionV>
                <wp:extent cx="287655" cy="233045"/>
                <wp:effectExtent l="0" t="0" r="0" b="0"/>
                <wp:wrapNone/>
                <wp:docPr id="8" name="Textfeld 8"/>
                <wp:cNvGraphicFramePr/>
                <a:graphic xmlns:a="http://schemas.openxmlformats.org/drawingml/2006/main">
                  <a:graphicData uri="http://schemas.microsoft.com/office/word/2010/wordprocessingShape">
                    <wps:wsp>
                      <wps:cNvSpPr txBox="1"/>
                      <wps:spPr>
                        <a:xfrm>
                          <a:off x="0" y="0"/>
                          <a:ext cx="287655" cy="233045"/>
                        </a:xfrm>
                        <a:prstGeom prst="rect">
                          <a:avLst/>
                        </a:prstGeom>
                        <a:noFill/>
                        <a:ln w="6350">
                          <a:noFill/>
                        </a:ln>
                      </wps:spPr>
                      <wps:txbx>
                        <w:txbxContent>
                          <w:p w14:paraId="04361E5F" w14:textId="6E476B9F" w:rsidR="00B56C46" w:rsidRPr="00663AAD" w:rsidRDefault="00B56C46" w:rsidP="00B56C46">
                            <w:pPr>
                              <w:rPr>
                                <w:sz w:val="14"/>
                                <w:szCs w:val="14"/>
                              </w:rPr>
                            </w:pPr>
                            <w:r w:rsidRPr="00663AAD">
                              <w:rPr>
                                <w:sz w:val="14"/>
                                <w:szCs w:val="1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0BA0A" id="Textfeld 8" o:spid="_x0000_s1028" type="#_x0000_t202" style="position:absolute;left:0;text-align:left;margin-left:398.6pt;margin-top:15pt;width:22.65pt;height:1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BhkGgIAADI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" filled="f" stroked="f" strokeweight=".5pt">
                <v:textbox>
                  <w:txbxContent>
                    <w:p w14:paraId="04361E5F" w14:textId="6E476B9F" w:rsidR="00B56C46" w:rsidRPr="00663AAD" w:rsidRDefault="00B56C46" w:rsidP="00B56C46">
                      <w:pPr>
                        <w:rPr>
                          <w:sz w:val="14"/>
                          <w:szCs w:val="14"/>
                        </w:rPr>
                      </w:pPr>
                      <w:r w:rsidRPr="00663AAD">
                        <w:rPr>
                          <w:sz w:val="14"/>
                          <w:szCs w:val="14"/>
                        </w:rPr>
                        <w:t>c)</w:t>
                      </w:r>
                    </w:p>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14:anchorId="45A2320D" wp14:editId="2417BA95">
                <wp:simplePos x="0" y="0"/>
                <wp:positionH relativeFrom="column">
                  <wp:posOffset>3262667</wp:posOffset>
                </wp:positionH>
                <wp:positionV relativeFrom="paragraph">
                  <wp:posOffset>182880</wp:posOffset>
                </wp:positionV>
                <wp:extent cx="287655" cy="233045"/>
                <wp:effectExtent l="0" t="0" r="0" b="0"/>
                <wp:wrapNone/>
                <wp:docPr id="4" name="Textfeld 4"/>
                <wp:cNvGraphicFramePr/>
                <a:graphic xmlns:a="http://schemas.openxmlformats.org/drawingml/2006/main">
                  <a:graphicData uri="http://schemas.microsoft.com/office/word/2010/wordprocessingShape">
                    <wps:wsp>
                      <wps:cNvSpPr txBox="1"/>
                      <wps:spPr>
                        <a:xfrm>
                          <a:off x="0" y="0"/>
                          <a:ext cx="287655" cy="233045"/>
                        </a:xfrm>
                        <a:prstGeom prst="rect">
                          <a:avLst/>
                        </a:prstGeom>
                        <a:noFill/>
                        <a:ln w="6350">
                          <a:noFill/>
                        </a:ln>
                      </wps:spPr>
                      <wps:txbx>
                        <w:txbxContent>
                          <w:p w14:paraId="43097FE6" w14:textId="0C9240D1" w:rsidR="00B56C46" w:rsidRPr="00663AAD" w:rsidRDefault="00B56C46" w:rsidP="00B56C46">
                            <w:pPr>
                              <w:rPr>
                                <w:sz w:val="14"/>
                                <w:szCs w:val="14"/>
                              </w:rPr>
                            </w:pPr>
                            <w:r w:rsidRPr="00663AAD">
                              <w:rPr>
                                <w:sz w:val="14"/>
                                <w:szCs w:val="1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2320D" id="Textfeld 4" o:spid="_x0000_s1029" type="#_x0000_t202" style="position:absolute;left:0;text-align:left;margin-left:256.9pt;margin-top:14.4pt;width:22.65pt;height:1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exGgIAADI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" filled="f" stroked="f" strokeweight=".5pt">
                <v:textbox>
                  <w:txbxContent>
                    <w:p w14:paraId="43097FE6" w14:textId="0C9240D1" w:rsidR="00B56C46" w:rsidRPr="00663AAD" w:rsidRDefault="00B56C46" w:rsidP="00B56C46">
                      <w:pPr>
                        <w:rPr>
                          <w:sz w:val="14"/>
                          <w:szCs w:val="14"/>
                        </w:rPr>
                      </w:pPr>
                      <w:r w:rsidRPr="00663AAD">
                        <w:rPr>
                          <w:sz w:val="14"/>
                          <w:szCs w:val="14"/>
                        </w:rPr>
                        <w:t>b)</w:t>
                      </w:r>
                    </w:p>
                  </w:txbxContent>
                </v:textbox>
              </v:shape>
            </w:pict>
          </mc:Fallback>
        </mc:AlternateContent>
      </w:r>
      <w:r w:rsidR="00646041">
        <w:rPr>
          <w:noProof/>
          <w:lang w:val="en-US"/>
        </w:rPr>
        <mc:AlternateContent>
          <mc:Choice Requires="wps">
            <w:drawing>
              <wp:anchor distT="0" distB="0" distL="114300" distR="114300" simplePos="0" relativeHeight="251659264" behindDoc="0" locked="0" layoutInCell="1" allowOverlap="1" wp14:anchorId="1AC1DFE7" wp14:editId="67DAD957">
                <wp:simplePos x="0" y="0"/>
                <wp:positionH relativeFrom="column">
                  <wp:posOffset>1473835</wp:posOffset>
                </wp:positionH>
                <wp:positionV relativeFrom="paragraph">
                  <wp:posOffset>186509</wp:posOffset>
                </wp:positionV>
                <wp:extent cx="288077" cy="233203"/>
                <wp:effectExtent l="0" t="0" r="0" b="0"/>
                <wp:wrapNone/>
                <wp:docPr id="3" name="Textfeld 3"/>
                <wp:cNvGraphicFramePr/>
                <a:graphic xmlns:a="http://schemas.openxmlformats.org/drawingml/2006/main">
                  <a:graphicData uri="http://schemas.microsoft.com/office/word/2010/wordprocessingShape">
                    <wps:wsp>
                      <wps:cNvSpPr txBox="1"/>
                      <wps:spPr>
                        <a:xfrm>
                          <a:off x="0" y="0"/>
                          <a:ext cx="288077" cy="233203"/>
                        </a:xfrm>
                        <a:prstGeom prst="rect">
                          <a:avLst/>
                        </a:prstGeom>
                        <a:noFill/>
                        <a:ln w="6350">
                          <a:noFill/>
                        </a:ln>
                      </wps:spPr>
                      <wps:txbx>
                        <w:txbxContent>
                          <w:p w14:paraId="47A27F1A" w14:textId="3B95411B" w:rsidR="00646041" w:rsidRPr="00663AAD" w:rsidRDefault="00646041">
                            <w:pPr>
                              <w:rPr>
                                <w:sz w:val="14"/>
                                <w:szCs w:val="14"/>
                              </w:rPr>
                            </w:pPr>
                            <w:r w:rsidRPr="00663AAD">
                              <w:rPr>
                                <w:sz w:val="14"/>
                                <w:szCs w:val="1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1DFE7" id="Textfeld 3" o:spid="_x0000_s1030" type="#_x0000_t202" style="position:absolute;left:0;text-align:left;margin-left:116.05pt;margin-top:14.7pt;width:22.7pt;height:1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" filled="f" stroked="f" strokeweight=".5pt">
                <v:textbox>
                  <w:txbxContent>
                    <w:p w14:paraId="47A27F1A" w14:textId="3B95411B" w:rsidR="00646041" w:rsidRPr="00663AAD" w:rsidRDefault="00646041">
                      <w:pPr>
                        <w:rPr>
                          <w:sz w:val="14"/>
                          <w:szCs w:val="14"/>
                        </w:rPr>
                      </w:pPr>
                      <w:r w:rsidRPr="00663AAD">
                        <w:rPr>
                          <w:sz w:val="14"/>
                          <w:szCs w:val="14"/>
                        </w:rPr>
                        <w:t>a)</w:t>
                      </w:r>
                    </w:p>
                  </w:txbxContent>
                </v:textbox>
              </v:shape>
            </w:pict>
          </mc:Fallback>
        </mc:AlternateContent>
      </w:r>
      <w:r w:rsidR="0057658F" w:rsidRPr="00F0307D">
        <w:rPr>
          <w:noProof/>
          <w:lang w:val="en-US"/>
        </w:rPr>
        <w:drawing>
          <wp:inline distT="0" distB="0" distL="0" distR="0" wp14:anchorId="03D6803A" wp14:editId="2EF579F2">
            <wp:extent cx="1797887" cy="1800000"/>
            <wp:effectExtent l="0" t="0" r="0" b="0"/>
            <wp:docPr id="43" name="Grafik 42">
              <a:extLst xmlns:a="http://schemas.openxmlformats.org/drawingml/2006/main">
                <a:ext uri="{FF2B5EF4-FFF2-40B4-BE49-F238E27FC236}">
                  <a16:creationId xmlns:a16="http://schemas.microsoft.com/office/drawing/2014/main" id="{DCEE26CA-11C3-4CBA-A671-8E43AB55C7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2">
                      <a:extLst>
                        <a:ext uri="{FF2B5EF4-FFF2-40B4-BE49-F238E27FC236}">
                          <a16:creationId xmlns:a16="http://schemas.microsoft.com/office/drawing/2014/main" id="{DCEE26CA-11C3-4CBA-A671-8E43AB55C7D3}"/>
                        </a:ext>
                      </a:extLst>
                    </pic:cNvPr>
                    <pic:cNvPicPr>
                      <a:picLocks noChangeAspect="1"/>
                    </pic:cNvPicPr>
                  </pic:nvPicPr>
                  <pic:blipFill>
                    <a:blip r:embed="rId12"/>
                    <a:stretch>
                      <a:fillRect/>
                    </a:stretch>
                  </pic:blipFill>
                  <pic:spPr>
                    <a:xfrm>
                      <a:off x="0" y="0"/>
                      <a:ext cx="1797887" cy="1800000"/>
                    </a:xfrm>
                    <a:prstGeom prst="rect">
                      <a:avLst/>
                    </a:prstGeom>
                  </pic:spPr>
                </pic:pic>
              </a:graphicData>
            </a:graphic>
          </wp:inline>
        </w:drawing>
      </w:r>
      <w:r w:rsidR="0057658F" w:rsidRPr="00F0307D">
        <w:rPr>
          <w:noProof/>
          <w:lang w:val="en-US"/>
        </w:rPr>
        <w:drawing>
          <wp:inline distT="0" distB="0" distL="0" distR="0" wp14:anchorId="7FBAB43E" wp14:editId="31F3D902">
            <wp:extent cx="1795285" cy="179739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3"/>
                    <a:stretch>
                      <a:fillRect/>
                    </a:stretch>
                  </pic:blipFill>
                  <pic:spPr>
                    <a:xfrm>
                      <a:off x="0" y="0"/>
                      <a:ext cx="1795285" cy="1797395"/>
                    </a:xfrm>
                    <a:prstGeom prst="rect">
                      <a:avLst/>
                    </a:prstGeom>
                  </pic:spPr>
                </pic:pic>
              </a:graphicData>
            </a:graphic>
          </wp:inline>
        </w:drawing>
      </w:r>
      <w:r w:rsidR="0088656A" w:rsidRPr="00F0307D">
        <w:rPr>
          <w:noProof/>
        </w:rPr>
        <w:drawing>
          <wp:inline distT="0" distB="0" distL="0" distR="0" wp14:anchorId="0C78C749" wp14:editId="231D63B0">
            <wp:extent cx="1795285" cy="179739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4"/>
                    <a:stretch>
                      <a:fillRect/>
                    </a:stretch>
                  </pic:blipFill>
                  <pic:spPr>
                    <a:xfrm>
                      <a:off x="0" y="0"/>
                      <a:ext cx="1795285" cy="1797395"/>
                    </a:xfrm>
                    <a:prstGeom prst="rect">
                      <a:avLst/>
                    </a:prstGeom>
                  </pic:spPr>
                </pic:pic>
              </a:graphicData>
            </a:graphic>
          </wp:inline>
        </w:drawing>
      </w:r>
    </w:p>
    <w:p w14:paraId="2D493E1A" w14:textId="15F35D65" w:rsidR="0057658F" w:rsidRPr="001D1DA5" w:rsidRDefault="000671FB" w:rsidP="005C1891">
      <w:pPr>
        <w:pStyle w:val="CETCaption"/>
      </w:pPr>
      <w:r w:rsidRPr="001D1DA5">
        <w:t xml:space="preserve">Figure 2: </w:t>
      </w:r>
      <w:r w:rsidR="00ED1B19" w:rsidRPr="001D1DA5">
        <w:t>Comparison of OFDR calibration behavior for different sensors, calibration procedures, and repeated high-temperature exposure. a) Comparison of the sensor-specific calibration obtained in this study with the literature calibration of Bremer (2020) over the overlapping temperature range up to approximately 300</w:t>
      </w:r>
      <w:r w:rsidR="0031065A" w:rsidRPr="001D1DA5">
        <w:t> </w:t>
      </w:r>
      <w:r w:rsidR="00ED1B19" w:rsidRPr="001D1DA5">
        <w:t>°C.</w:t>
      </w:r>
      <w:r w:rsidR="0031065A" w:rsidRPr="001D1DA5">
        <w:t xml:space="preserve"> </w:t>
      </w:r>
      <w:r w:rsidR="00ED1B19" w:rsidRPr="001D1DA5">
        <w:t>b) Comparison of continuous ramp calibration at 25</w:t>
      </w:r>
      <w:r w:rsidR="0031065A" w:rsidRPr="001D1DA5">
        <w:t> </w:t>
      </w:r>
      <w:r w:rsidR="00ED1B19" w:rsidRPr="001D1DA5">
        <w:t>°C</w:t>
      </w:r>
      <w:r w:rsidR="0031065A" w:rsidRPr="001D1DA5">
        <w:t> </w:t>
      </w:r>
      <w:r w:rsidR="00ED1B19" w:rsidRPr="001D1DA5">
        <w:t>mi</w:t>
      </w:r>
      <w:r w:rsidR="0031065A" w:rsidRPr="001D1DA5">
        <w:t>n</w:t>
      </w:r>
      <w:r w:rsidR="0031065A" w:rsidRPr="001D1DA5">
        <w:rPr>
          <w:vertAlign w:val="superscript"/>
        </w:rPr>
        <w:t>-1</w:t>
      </w:r>
      <w:r w:rsidR="0031065A" w:rsidRPr="001D1DA5">
        <w:t xml:space="preserve"> </w:t>
      </w:r>
      <w:r w:rsidR="00ED1B19" w:rsidRPr="001D1DA5">
        <w:t>and stepwise steady-state calibration up to 650</w:t>
      </w:r>
      <w:r w:rsidR="0031065A" w:rsidRPr="001D1DA5">
        <w:t> </w:t>
      </w:r>
      <w:r w:rsidR="00ED1B19" w:rsidRPr="001D1DA5">
        <w:rPr>
          <w:rFonts w:cs="Arial"/>
        </w:rPr>
        <w:t>°</w:t>
      </w:r>
      <w:r w:rsidR="00ED1B19" w:rsidRPr="001D1DA5">
        <w:t>C. c) Calibration curves obtained after repeated 1</w:t>
      </w:r>
      <w:r w:rsidR="0031065A" w:rsidRPr="001D1DA5">
        <w:t> </w:t>
      </w:r>
      <w:r w:rsidR="00ED1B19" w:rsidRPr="001D1DA5">
        <w:t>h exposures to approximately 650</w:t>
      </w:r>
      <w:r w:rsidR="0031065A" w:rsidRPr="001D1DA5">
        <w:t> </w:t>
      </w:r>
      <w:r w:rsidR="00ED1B19" w:rsidRPr="001D1DA5">
        <w:rPr>
          <w:rFonts w:cs="Arial"/>
        </w:rPr>
        <w:t>°</w:t>
      </w:r>
      <w:r w:rsidR="00ED1B19" w:rsidRPr="001D1DA5">
        <w:t>C followed by cooling and rekeying.</w:t>
      </w:r>
    </w:p>
    <w:p w14:paraId="59555AA7" w14:textId="3AE978E6" w:rsidR="0031065A" w:rsidRPr="00F0307D" w:rsidRDefault="007A699F" w:rsidP="0031065A">
      <w:pPr>
        <w:pStyle w:val="CETBodytext"/>
      </w:pPr>
      <w:r>
        <w:rPr>
          <w:noProof/>
        </w:rPr>
        <w:lastRenderedPageBreak/>
        <w:drawing>
          <wp:inline distT="0" distB="0" distL="0" distR="0" wp14:anchorId="29CFD251" wp14:editId="1B509A7A">
            <wp:extent cx="2639998" cy="1979999"/>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pic:cNvPicPr>
                  </pic:nvPicPr>
                  <pic:blipFill>
                    <a:blip r:embed="rId15"/>
                    <a:stretch>
                      <a:fillRect/>
                    </a:stretch>
                  </pic:blipFill>
                  <pic:spPr bwMode="auto">
                    <a:xfrm>
                      <a:off x="0" y="0"/>
                      <a:ext cx="2639998" cy="1979999"/>
                    </a:xfrm>
                    <a:prstGeom prst="rect">
                      <a:avLst/>
                    </a:prstGeom>
                  </pic:spPr>
                </pic:pic>
              </a:graphicData>
            </a:graphic>
          </wp:inline>
        </w:drawing>
      </w:r>
    </w:p>
    <w:p w14:paraId="38957925" w14:textId="160BA8C7" w:rsidR="0031065A" w:rsidRPr="0031065A" w:rsidRDefault="0031065A" w:rsidP="0031065A">
      <w:pPr>
        <w:pStyle w:val="CETCaption"/>
        <w:rPr>
          <w:lang w:val="en-US"/>
        </w:rPr>
      </w:pPr>
      <w:r w:rsidRPr="001D1DA5">
        <w:t>Figure 3: Dynamic feed-flow experiment during CO</w:t>
      </w:r>
      <w:r w:rsidRPr="001D1DA5">
        <w:rPr>
          <w:vertAlign w:val="subscript"/>
        </w:rPr>
        <w:t>2</w:t>
      </w:r>
      <w:r w:rsidRPr="001D1DA5">
        <w:t xml:space="preserve"> methanation. Dashed and solid lines show the centerline and wall temperature profiles at the start and end of the </w:t>
      </w:r>
      <w:r w:rsidR="008E28F5" w:rsidRPr="001D1DA5">
        <w:t xml:space="preserve">hot-spot </w:t>
      </w:r>
      <w:r w:rsidRPr="001D1DA5">
        <w:t>transition, respectively, while crosses indicate the progression of the centerline hot-spot position</w:t>
      </w:r>
      <w:r w:rsidR="008E28F5" w:rsidRPr="001D1DA5">
        <w:t xml:space="preserve"> and temperature</w:t>
      </w:r>
      <w:r w:rsidRPr="001D1DA5">
        <w:t>.</w:t>
      </w:r>
    </w:p>
    <w:p w14:paraId="037AE3BE" w14:textId="2B821612" w:rsidR="005E139D" w:rsidRPr="00F0307D" w:rsidRDefault="005E139D" w:rsidP="005E139D">
      <w:pPr>
        <w:pStyle w:val="CETheadingx"/>
      </w:pPr>
      <w:r w:rsidRPr="00F0307D">
        <w:t>Sensor durability</w:t>
      </w:r>
    </w:p>
    <w:p w14:paraId="3F4B000E" w14:textId="0754E3DD" w:rsidR="00DB122C" w:rsidRPr="00F0307D" w:rsidRDefault="005E139D" w:rsidP="00117ACB">
      <w:pPr>
        <w:pStyle w:val="CETBodytext"/>
      </w:pPr>
      <w:r w:rsidRPr="00F0307D">
        <w:t xml:space="preserve">The </w:t>
      </w:r>
      <w:r w:rsidR="00330840" w:rsidRPr="00F0307D">
        <w:t>thermal durability</w:t>
      </w:r>
      <w:r w:rsidRPr="00F0307D">
        <w:t xml:space="preserve"> of the fiber-optic sensors </w:t>
      </w:r>
      <w:r w:rsidR="00330840" w:rsidRPr="00F0307D">
        <w:t xml:space="preserve">was assessed </w:t>
      </w:r>
      <w:r w:rsidRPr="00F0307D">
        <w:t xml:space="preserve">by repeated exposure to localized </w:t>
      </w:r>
      <w:r w:rsidR="000D469F" w:rsidRPr="00F0307D">
        <w:t>hot-spot</w:t>
      </w:r>
      <w:r w:rsidRPr="00F0307D">
        <w:t>s</w:t>
      </w:r>
      <w:r w:rsidR="00330840" w:rsidRPr="00F0307D">
        <w:t xml:space="preserve"> under</w:t>
      </w:r>
      <w:r w:rsidRPr="00F0307D">
        <w:t xml:space="preserve"> </w:t>
      </w:r>
      <w:r w:rsidR="006611BB" w:rsidRPr="00F0307D">
        <w:rPr>
          <w:i/>
          <w:iCs/>
        </w:rPr>
        <w:t>ex situ</w:t>
      </w:r>
      <w:r w:rsidRPr="00F0307D">
        <w:t xml:space="preserve"> conditions. Such exposure can cause a </w:t>
      </w:r>
      <w:r w:rsidR="000D469F" w:rsidRPr="00F0307D">
        <w:t>hot-spot</w:t>
      </w:r>
      <w:r w:rsidRPr="00F0307D">
        <w:t xml:space="preserve"> burn-in phenomenon in which the </w:t>
      </w:r>
      <w:r w:rsidR="0034498B" w:rsidRPr="00F0307D">
        <w:t>local</w:t>
      </w:r>
      <w:r w:rsidRPr="00F0307D">
        <w:t xml:space="preserve"> </w:t>
      </w:r>
      <w:r w:rsidR="0034498B" w:rsidRPr="00F0307D">
        <w:t>Rayleigh pattern</w:t>
      </w:r>
      <w:r w:rsidRPr="00F0307D">
        <w:t xml:space="preserve"> of the fiber is modified, leading to apparent drift in the temperature readings if the original </w:t>
      </w:r>
      <w:r w:rsidR="0034498B" w:rsidRPr="00F0307D">
        <w:t>reference pattern</w:t>
      </w:r>
      <w:r w:rsidRPr="00F0307D">
        <w:t xml:space="preserve"> is used for further measurements. The results of recording a new </w:t>
      </w:r>
      <w:r w:rsidR="0073785A" w:rsidRPr="00F0307D">
        <w:t>calibration curve with a rekeyed sensor</w:t>
      </w:r>
      <w:r w:rsidRPr="00F0307D">
        <w:t xml:space="preserve"> after the fiber-optic sensor has cooled </w:t>
      </w:r>
      <w:r w:rsidR="000C02E2" w:rsidRPr="00F0307D">
        <w:t>following controlled</w:t>
      </w:r>
      <w:r w:rsidRPr="00F0307D">
        <w:t xml:space="preserve"> overheating to 650 °C </w:t>
      </w:r>
      <w:r w:rsidR="00330840" w:rsidRPr="00F0307D">
        <w:t>are shown</w:t>
      </w:r>
      <w:r w:rsidRPr="00F0307D">
        <w:t xml:space="preserve"> in </w:t>
      </w:r>
      <w:r w:rsidR="000C02E2" w:rsidRPr="00F0307D">
        <w:t>Fi</w:t>
      </w:r>
      <w:r w:rsidRPr="00F0307D">
        <w:t xml:space="preserve">gure </w:t>
      </w:r>
      <w:r w:rsidR="0088656A">
        <w:t>2c</w:t>
      </w:r>
      <w:r w:rsidRPr="00F0307D">
        <w:t xml:space="preserve">. </w:t>
      </w:r>
      <w:r w:rsidR="0073785A" w:rsidRPr="00F0307D">
        <w:t>T</w:t>
      </w:r>
      <w:r w:rsidR="007E639F" w:rsidRPr="00F0307D">
        <w:t>he calibration curves increasingly diverged above approximately 5</w:t>
      </w:r>
      <w:r w:rsidR="00B05670" w:rsidRPr="00F0307D">
        <w:t>0</w:t>
      </w:r>
      <w:r w:rsidR="007E639F" w:rsidRPr="00F0307D">
        <w:t>0 °C. This indicates that prolonged exposure in this temperature range may alter not only the Rayleigh reference pattern but also the calibration itself, such that recalibration should be considered after extended high-temperature operation. Below approximately 5</w:t>
      </w:r>
      <w:r w:rsidR="00B05670" w:rsidRPr="00F0307D">
        <w:t>0</w:t>
      </w:r>
      <w:r w:rsidR="007E639F" w:rsidRPr="00F0307D">
        <w:t xml:space="preserve">0 °C, the repeated calibration curves remained comparatively consistent under the investigated conditions. In this range, a burn-in-induced offset could generally be compensated by rekeying after cooling without requiring a new calibration. </w:t>
      </w:r>
      <w:r w:rsidR="003A66EC" w:rsidRPr="00F0307D">
        <w:t>The observed burn-in became more pronounced at elevated temperatures and after repeated high-temperature exposure,</w:t>
      </w:r>
      <w:r w:rsidR="007E639F" w:rsidRPr="00F0307D">
        <w:t xml:space="preserve"> </w:t>
      </w:r>
      <w:r w:rsidR="003A66EC" w:rsidRPr="00F0307D">
        <w:t>so</w:t>
      </w:r>
      <w:r w:rsidR="007E639F" w:rsidRPr="00F0307D">
        <w:t xml:space="preserve"> rekeying is primarily required after sufficiently severe local overheating.</w:t>
      </w:r>
      <w:r w:rsidR="00226FFD" w:rsidRPr="00F0307D">
        <w:t xml:space="preserve"> </w:t>
      </w:r>
      <w:r w:rsidRPr="00F0307D">
        <w:t xml:space="preserve">This observation supports the hypothesis that initial </w:t>
      </w:r>
      <w:r w:rsidR="000D469F" w:rsidRPr="00F0307D">
        <w:t>hot-spot</w:t>
      </w:r>
      <w:r w:rsidRPr="00F0307D">
        <w:t xml:space="preserve"> burn-in introduces a shift in the </w:t>
      </w:r>
      <w:r w:rsidR="007E639F" w:rsidRPr="00F0307D">
        <w:t>Rayleigh backscatter pattern, while functionality can be restored by</w:t>
      </w:r>
      <w:r w:rsidRPr="00F0307D">
        <w:t xml:space="preserve"> </w:t>
      </w:r>
      <w:r w:rsidR="00DD22A4" w:rsidRPr="00F0307D">
        <w:t>rekeying the sensor</w:t>
      </w:r>
      <w:r w:rsidR="007E639F" w:rsidRPr="00F0307D">
        <w:t xml:space="preserve"> and, depending on operating conditions, recalibration</w:t>
      </w:r>
      <w:r w:rsidRPr="00F0307D">
        <w:t xml:space="preserve">. </w:t>
      </w:r>
      <w:r w:rsidR="007E639F" w:rsidRPr="00F0307D">
        <w:t xml:space="preserve">Progressive degradation of the sensor was not observed </w:t>
      </w:r>
      <w:r w:rsidR="00386082">
        <w:t>over</w:t>
      </w:r>
      <w:r w:rsidR="007E639F" w:rsidRPr="00F0307D">
        <w:t xml:space="preserve"> the overheating cycles</w:t>
      </w:r>
      <w:r w:rsidRPr="00F0307D">
        <w:t>.</w:t>
      </w:r>
      <w:r w:rsidR="00B05670" w:rsidRPr="00F0307D">
        <w:t xml:space="preserve"> These results suggest a practical distinction between changes in the Rayleigh reference pattern, which can be compensated by rekeying, and changes in the temperature calibration itself, which require recalibration after sufficiently severe high-temperature exposure.</w:t>
      </w:r>
    </w:p>
    <w:p w14:paraId="36E6515C" w14:textId="6F2F00BC" w:rsidR="00DB122C" w:rsidRPr="00F0307D" w:rsidRDefault="00DB122C" w:rsidP="00DB122C">
      <w:pPr>
        <w:pStyle w:val="CETheadingx"/>
      </w:pPr>
      <w:r w:rsidRPr="00F0307D">
        <w:t>Dynamic measurements</w:t>
      </w:r>
    </w:p>
    <w:p w14:paraId="0A2A8D19" w14:textId="113F75F0" w:rsidR="002001B1" w:rsidRPr="0010084B" w:rsidRDefault="0031065A" w:rsidP="002001B1">
      <w:pPr>
        <w:pStyle w:val="CETBodytext"/>
        <w:rPr>
          <w:lang w:val="en-GB"/>
        </w:rPr>
      </w:pPr>
      <w:r w:rsidRPr="0010084B">
        <w:rPr>
          <w:lang w:val="en-GB"/>
        </w:rPr>
        <w:t xml:space="preserve">The calibrated </w:t>
      </w:r>
      <w:r w:rsidR="00BE2F43" w:rsidRPr="0010084B">
        <w:rPr>
          <w:lang w:val="en-GB"/>
        </w:rPr>
        <w:t>OFDR sensors</w:t>
      </w:r>
      <w:r w:rsidRPr="0010084B">
        <w:rPr>
          <w:lang w:val="en-GB"/>
        </w:rPr>
        <w:t xml:space="preserve"> </w:t>
      </w:r>
      <w:r w:rsidR="00BE2F43" w:rsidRPr="0010084B">
        <w:rPr>
          <w:lang w:val="en-GB"/>
        </w:rPr>
        <w:t>were</w:t>
      </w:r>
      <w:r w:rsidRPr="0010084B">
        <w:rPr>
          <w:lang w:val="en-GB"/>
        </w:rPr>
        <w:t xml:space="preserve"> applied to monitor the </w:t>
      </w:r>
      <w:r w:rsidR="00BE2F43" w:rsidRPr="0010084B">
        <w:rPr>
          <w:lang w:val="en-GB"/>
        </w:rPr>
        <w:t>spatial evolution</w:t>
      </w:r>
      <w:r w:rsidRPr="0010084B">
        <w:rPr>
          <w:lang w:val="en-GB"/>
        </w:rPr>
        <w:t xml:space="preserve"> of the temperature field during dynamic reactor operation</w:t>
      </w:r>
      <w:r w:rsidR="00BE2F43" w:rsidRPr="0010084B">
        <w:rPr>
          <w:lang w:val="en-GB"/>
        </w:rPr>
        <w:t>, as seen in Figure 3</w:t>
      </w:r>
      <w:r w:rsidRPr="0010084B">
        <w:rPr>
          <w:lang w:val="en-GB"/>
        </w:rPr>
        <w:t>. During the investigated load change,</w:t>
      </w:r>
      <w:r w:rsidR="00A8169B" w:rsidRPr="0010084B">
        <w:rPr>
          <w:lang w:val="en-GB"/>
        </w:rPr>
        <w:t xml:space="preserve"> t</w:t>
      </w:r>
      <w:r w:rsidRPr="0010084B">
        <w:rPr>
          <w:lang w:val="en-GB"/>
        </w:rPr>
        <w:t>he centerline hot-spot shifted towards the reactor outlet during the transition</w:t>
      </w:r>
      <w:r w:rsidR="00BE2F43" w:rsidRPr="0010084B">
        <w:rPr>
          <w:lang w:val="en-GB"/>
        </w:rPr>
        <w:t>. T</w:t>
      </w:r>
      <w:r w:rsidRPr="0010084B">
        <w:rPr>
          <w:lang w:val="en-GB"/>
        </w:rPr>
        <w:t>he temperature profile</w:t>
      </w:r>
      <w:r w:rsidR="00BE2F43" w:rsidRPr="0010084B">
        <w:rPr>
          <w:lang w:val="en-GB"/>
        </w:rPr>
        <w:t>s</w:t>
      </w:r>
      <w:r w:rsidRPr="0010084B">
        <w:rPr>
          <w:lang w:val="en-GB"/>
        </w:rPr>
        <w:t xml:space="preserve"> broadened and the </w:t>
      </w:r>
      <w:r w:rsidR="00BE2F43" w:rsidRPr="0010084B">
        <w:rPr>
          <w:lang w:val="en-GB"/>
        </w:rPr>
        <w:t xml:space="preserve">absolute </w:t>
      </w:r>
      <w:r w:rsidRPr="0010084B">
        <w:rPr>
          <w:lang w:val="en-GB"/>
        </w:rPr>
        <w:t xml:space="preserve">wall hot-spot temperature increased slightly. The reactor temperature field continued to evolve after completion of the feed-flow ramp and approached a new steady state after an additional 8 min. </w:t>
      </w:r>
    </w:p>
    <w:p w14:paraId="1ED48281" w14:textId="4AA49A77" w:rsidR="0031065A" w:rsidRDefault="0031065A" w:rsidP="002001B1">
      <w:pPr>
        <w:pStyle w:val="CETBodytext"/>
      </w:pPr>
      <w:r w:rsidRPr="0010084B">
        <w:rPr>
          <w:lang w:val="en-GB"/>
        </w:rPr>
        <w:t>Figure 3 illustrates the diagnostic advantage of distributed temperature sensing during th</w:t>
      </w:r>
      <w:r w:rsidR="00BE2F43" w:rsidRPr="0010084B">
        <w:rPr>
          <w:lang w:val="en-GB"/>
        </w:rPr>
        <w:t>is</w:t>
      </w:r>
      <w:r w:rsidRPr="0010084B">
        <w:rPr>
          <w:lang w:val="en-GB"/>
        </w:rPr>
        <w:t xml:space="preserve"> load transition. A fixed thermocouple may register an increase, decrease, or almost no change depending on its position relative to the moving hot-spot. In contrast, the OFDR sensor resolves the complete axial temperature profile and therefore distinguishes hot-spot migration from a purely local temperature change at a single position. The simultaneous wall measurement additionally indicates changes in the radial temperature difference and associated heat removal during the transition. Such spatially and temporally resolved measurements provide the experimental basis required for validating dynamic reactor models and subsequently for developing model-based load-following and control strategies.</w:t>
      </w:r>
    </w:p>
    <w:p w14:paraId="4097BD01" w14:textId="13A80FD7" w:rsidR="00DB122C" w:rsidRPr="00F0307D" w:rsidRDefault="00DB122C" w:rsidP="00F535A6">
      <w:pPr>
        <w:pStyle w:val="CETHeading1"/>
      </w:pPr>
      <w:r w:rsidRPr="00F0307D">
        <w:t>Conclusions</w:t>
      </w:r>
    </w:p>
    <w:p w14:paraId="52C16F92" w14:textId="103E9009" w:rsidR="00493FDF" w:rsidRPr="00F0307D" w:rsidRDefault="00493FDF" w:rsidP="00493FDF">
      <w:pPr>
        <w:pStyle w:val="CETBodytext"/>
      </w:pPr>
      <w:r w:rsidRPr="00F0307D">
        <w:t>Stainless-steel-encapsulated OFDR fiber-optic sensors were evaluated as minimally invasive temperature probes for dynamically operated packed-bed reactors. Sensor-specific calibration was found to be necessary.</w:t>
      </w:r>
      <w:r w:rsidR="0031065A">
        <w:t xml:space="preserve"> </w:t>
      </w:r>
      <w:r w:rsidR="0031065A" w:rsidRPr="0010084B">
        <w:rPr>
          <w:lang w:val="en-GB"/>
        </w:rPr>
        <w:t xml:space="preserve">The sensor-specific calibration differed from the previously reported calibration by up to approximately 5.5 K </w:t>
      </w:r>
      <w:r w:rsidR="0031065A" w:rsidRPr="0010084B">
        <w:rPr>
          <w:lang w:val="en-GB"/>
        </w:rPr>
        <w:lastRenderedPageBreak/>
        <w:t>within their overlapping temperature range up to approximately 300 °C.</w:t>
      </w:r>
      <w:r w:rsidRPr="00F0307D">
        <w:t xml:space="preserve"> For the strongly exothermic system, </w:t>
      </w:r>
      <w:r w:rsidRPr="00F0307D">
        <w:rPr>
          <w:i/>
        </w:rPr>
        <w:t>ex situ</w:t>
      </w:r>
      <w:r w:rsidRPr="00F0307D">
        <w:t xml:space="preserve"> calibration was required because the accessible </w:t>
      </w:r>
      <w:r w:rsidRPr="00F0307D">
        <w:rPr>
          <w:i/>
        </w:rPr>
        <w:t>in situ</w:t>
      </w:r>
      <w:r w:rsidRPr="00F0307D">
        <w:t xml:space="preserve"> calibration range did not cover hot-spot temperatures. The rapid ramp-based calibration also deviated from the stepwise procedure, indicating that thermal equilibration of the calibration assembly must be considered. Hot-spot burn-in was identified as an important durability aspect. Exposure at 650 °C altered the Rayleigh backscatter pattern after cooling. Below 5</w:t>
      </w:r>
      <w:r w:rsidR="00B05670" w:rsidRPr="00F0307D">
        <w:t>0</w:t>
      </w:r>
      <w:r w:rsidRPr="00F0307D">
        <w:t>0 °C, repeated calibrations remained consistent, such that burn-in-induced offsets could be compensated for by rekeying. At higher temperatures, deviations between the repeated calibrations indicate that recalibration should be considered after prolonged high-temperature operation.</w:t>
      </w:r>
    </w:p>
    <w:p w14:paraId="2771B72E" w14:textId="26D1E189" w:rsidR="00493FDF" w:rsidRPr="00F0307D" w:rsidRDefault="0031065A" w:rsidP="00493FDF">
      <w:pPr>
        <w:pStyle w:val="CETBodytext"/>
      </w:pPr>
      <w:r w:rsidRPr="0010084B">
        <w:rPr>
          <w:lang w:val="en-GB"/>
        </w:rPr>
        <w:t>During dynamic reactor operation, the OFDR system resolved the downstream</w:t>
      </w:r>
      <w:r w:rsidR="00A8169B" w:rsidRPr="0010084B">
        <w:rPr>
          <w:lang w:val="en-GB"/>
        </w:rPr>
        <w:t xml:space="preserve"> hot-spot</w:t>
      </w:r>
      <w:r w:rsidRPr="0010084B">
        <w:rPr>
          <w:lang w:val="en-GB"/>
        </w:rPr>
        <w:t xml:space="preserve"> migration and broadening</w:t>
      </w:r>
      <w:r w:rsidR="00A8169B">
        <w:rPr>
          <w:lang w:val="en-GB"/>
        </w:rPr>
        <w:t>, without</w:t>
      </w:r>
      <w:r w:rsidR="00386082">
        <w:t xml:space="preserve"> indication of</w:t>
      </w:r>
      <w:r w:rsidR="00B44A61" w:rsidRPr="00F0307D">
        <w:t xml:space="preserve"> significant measurement delay</w:t>
      </w:r>
      <w:r w:rsidR="002A711E" w:rsidRPr="00F0307D">
        <w:t xml:space="preserve"> </w:t>
      </w:r>
      <w:r w:rsidR="00386082">
        <w:t>or</w:t>
      </w:r>
      <w:r w:rsidR="002A711E" w:rsidRPr="00F0307D">
        <w:t xml:space="preserve"> axial smearing</w:t>
      </w:r>
      <w:r w:rsidR="00B44A61" w:rsidRPr="00F0307D">
        <w:t xml:space="preserve"> during the experiments, indicat</w:t>
      </w:r>
      <w:r w:rsidR="00493FDF" w:rsidRPr="00F0307D">
        <w:t xml:space="preserve">ing that the measurement system is sufficiently responsive for the investigated reactor dynamics. These results support the use of stainless-steel-encapsulated OFDR sensors for dynamic reactor-model validation and load-following applications, provided that sensor-specific calibration, rekeying after burn-in, and recalibration after sufficiently severe high-temperature exposure are considered. Future work should investigate slower </w:t>
      </w:r>
      <w:r w:rsidR="00651E1A">
        <w:t>heat-up</w:t>
      </w:r>
      <w:r w:rsidR="00493FDF" w:rsidRPr="00F0307D">
        <w:t xml:space="preserve"> ramps</w:t>
      </w:r>
      <w:r w:rsidR="00651E1A">
        <w:t xml:space="preserve"> during calibration</w:t>
      </w:r>
      <w:r w:rsidR="00493FDF" w:rsidRPr="00F0307D">
        <w:t xml:space="preserve"> to </w:t>
      </w:r>
      <w:r w:rsidR="00651E1A">
        <w:t xml:space="preserve">ensure equilibrium </w:t>
      </w:r>
      <w:r w:rsidR="00493FDF" w:rsidRPr="00F0307D">
        <w:t>within the calibration assembly</w:t>
      </w:r>
      <w:r w:rsidR="002A711E" w:rsidRPr="00F0307D">
        <w:t xml:space="preserve"> and </w:t>
      </w:r>
      <w:r w:rsidR="00697531">
        <w:t xml:space="preserve">use </w:t>
      </w:r>
      <w:r w:rsidR="002A711E" w:rsidRPr="00F0307D">
        <w:t xml:space="preserve">model-based </w:t>
      </w:r>
      <w:r w:rsidR="00697531">
        <w:t>analysis</w:t>
      </w:r>
      <w:r w:rsidR="002A711E" w:rsidRPr="00F0307D">
        <w:t xml:space="preserve"> </w:t>
      </w:r>
      <w:r w:rsidR="00697531">
        <w:t>to quantify</w:t>
      </w:r>
      <w:r w:rsidR="002A711E" w:rsidRPr="00F0307D">
        <w:t xml:space="preserve"> the specific time</w:t>
      </w:r>
      <w:r w:rsidR="00651E1A">
        <w:t xml:space="preserve"> </w:t>
      </w:r>
      <w:r w:rsidR="002A711E" w:rsidRPr="00F0307D">
        <w:t xml:space="preserve">constants of the sensor </w:t>
      </w:r>
      <w:r w:rsidR="002A711E" w:rsidRPr="00F0307D">
        <w:rPr>
          <w:i/>
        </w:rPr>
        <w:t>in situ</w:t>
      </w:r>
      <w:r w:rsidR="00493FDF" w:rsidRPr="00F0307D">
        <w:t>.</w:t>
      </w:r>
    </w:p>
    <w:p w14:paraId="7D0302C8" w14:textId="77777777" w:rsidR="00310C85" w:rsidRPr="00F0307D" w:rsidRDefault="00310C85" w:rsidP="00F0567E">
      <w:pPr>
        <w:pStyle w:val="CETBodytext"/>
      </w:pPr>
    </w:p>
    <w:p w14:paraId="64360C57" w14:textId="730E3C68" w:rsidR="009C7EF5" w:rsidRPr="00F0307D" w:rsidRDefault="00EC08F3" w:rsidP="009C7EF5">
      <w:pPr>
        <w:pStyle w:val="CETBodytext"/>
        <w:rPr>
          <w:b/>
          <w:bCs/>
        </w:rPr>
      </w:pPr>
      <w:r w:rsidRPr="00F0307D">
        <w:rPr>
          <w:b/>
          <w:bCs/>
        </w:rPr>
        <w:t>Acknowledgment</w:t>
      </w:r>
      <w:r w:rsidR="003D7121" w:rsidRPr="00F0307D">
        <w:rPr>
          <w:b/>
          <w:bCs/>
        </w:rPr>
        <w:t>s</w:t>
      </w:r>
    </w:p>
    <w:p w14:paraId="595F7216" w14:textId="7C782BF2" w:rsidR="009C7EF5" w:rsidRPr="00F0307D" w:rsidRDefault="00EC08F3" w:rsidP="009C7EF5">
      <w:pPr>
        <w:pStyle w:val="CETBodytext"/>
      </w:pPr>
      <w:r w:rsidRPr="00F0307D">
        <w:t>We gratefully acknowledge the Deutsche Forschungsgemeinschaft (DFG) for funding the equipment used in this work within the framework of project 549580941.</w:t>
      </w:r>
      <w:r w:rsidR="009C7EF5" w:rsidRPr="00F0307D">
        <w:t xml:space="preserve"> This publication was created as part of the research program "Transforming the Energy System Lower Saxony" (TEN.efzn) at the Energy Research Center of Lower Saxony (efzn). Grant Number: 11-76251-2884/2024 (ZN4464). Funded by zukunft.niedersachsen, the joint science funding program of the Lower Saxony Ministry of Science and Culture and the Volkswagen Foundation.</w:t>
      </w:r>
    </w:p>
    <w:p w14:paraId="36FCF1E5" w14:textId="59E73B81" w:rsidR="009C7EF5" w:rsidRPr="00F0307D" w:rsidRDefault="009C7EF5" w:rsidP="009C7EF5">
      <w:pPr>
        <w:pStyle w:val="CETReference"/>
        <w:rPr>
          <w:lang w:val="en-US"/>
        </w:rPr>
      </w:pPr>
      <w:r w:rsidRPr="00F0307D">
        <w:rPr>
          <w:lang w:val="en-US"/>
        </w:rPr>
        <w:t>References</w:t>
      </w:r>
    </w:p>
    <w:p w14:paraId="54F63286" w14:textId="5310143B" w:rsidR="00A354D2" w:rsidRPr="00F0307D" w:rsidRDefault="00F0567E" w:rsidP="0020705D">
      <w:pPr>
        <w:pStyle w:val="CETReferencetext"/>
        <w:rPr>
          <w:szCs w:val="18"/>
          <w:lang w:val="en-US"/>
        </w:rPr>
      </w:pPr>
      <w:r w:rsidRPr="00F0307D">
        <w:rPr>
          <w:szCs w:val="18"/>
          <w:lang w:val="en-US"/>
        </w:rPr>
        <w:t>Bremer J., 2020, Advanced Operating Strategies for Non-Isothermal Fixed-Bed Reactors Exemplified for CO</w:t>
      </w:r>
      <w:r w:rsidRPr="00F0307D">
        <w:rPr>
          <w:szCs w:val="18"/>
          <w:vertAlign w:val="subscript"/>
          <w:lang w:val="en-US"/>
        </w:rPr>
        <w:t>2</w:t>
      </w:r>
      <w:r w:rsidRPr="00F0307D">
        <w:rPr>
          <w:szCs w:val="18"/>
          <w:lang w:val="en-US"/>
        </w:rPr>
        <w:t xml:space="preserve"> Methanation, PhD Thesis, Otto-von-Guericke-Universität Magdeburg, Magdeburg, Germany</w:t>
      </w:r>
      <w:r w:rsidR="008C5D53" w:rsidRPr="00F0307D">
        <w:rPr>
          <w:szCs w:val="18"/>
          <w:lang w:val="en-US"/>
        </w:rPr>
        <w:t>.</w:t>
      </w:r>
    </w:p>
    <w:p w14:paraId="7F6E4981" w14:textId="04D3072E" w:rsidR="0068286C" w:rsidRPr="00F0307D" w:rsidRDefault="008C5D53" w:rsidP="0068286C">
      <w:pPr>
        <w:pStyle w:val="CETReferencetext"/>
        <w:rPr>
          <w:szCs w:val="18"/>
          <w:lang w:val="en-US"/>
        </w:rPr>
      </w:pPr>
      <w:r w:rsidRPr="00F0307D">
        <w:rPr>
          <w:szCs w:val="18"/>
          <w:lang w:val="en-US"/>
        </w:rPr>
        <w:t>Cholewa T., Steinbach B., Heim C., Nestler F., Nanba T., Güttel R., Salem O., 2024, Reaction kinetics for ammonia synthesis using ruthenium and iron</w:t>
      </w:r>
      <w:r w:rsidR="00847B90" w:rsidRPr="00F0307D">
        <w:rPr>
          <w:szCs w:val="18"/>
          <w:lang w:val="en-US"/>
        </w:rPr>
        <w:t xml:space="preserve"> </w:t>
      </w:r>
      <w:r w:rsidRPr="00F0307D">
        <w:rPr>
          <w:szCs w:val="18"/>
          <w:lang w:val="en-US"/>
        </w:rPr>
        <w:t>based catalysts under low temperature and pressure conditions, Sustainable Energy &amp; Fuels, 8, 2245–2255.</w:t>
      </w:r>
    </w:p>
    <w:p w14:paraId="4506CB3B" w14:textId="2664D33D" w:rsidR="0068286C" w:rsidRPr="00F0307D" w:rsidRDefault="0068286C" w:rsidP="0068286C">
      <w:pPr>
        <w:pStyle w:val="CETReferencetext"/>
        <w:rPr>
          <w:szCs w:val="18"/>
          <w:lang w:val="en-US"/>
        </w:rPr>
      </w:pPr>
      <w:r w:rsidRPr="00F0307D">
        <w:rPr>
          <w:szCs w:val="18"/>
          <w:lang w:val="en-US"/>
        </w:rPr>
        <w:t>Geschke A., Zimmermann R.T., Bremer J. and Sundmacher K., 2024, Core-Shell Catalyst Pellets for CO</w:t>
      </w:r>
      <w:r w:rsidRPr="00D4118E">
        <w:rPr>
          <w:szCs w:val="18"/>
          <w:vertAlign w:val="subscript"/>
          <w:lang w:val="en-US"/>
        </w:rPr>
        <w:t>2</w:t>
      </w:r>
      <w:r w:rsidRPr="00F0307D">
        <w:rPr>
          <w:szCs w:val="18"/>
          <w:lang w:val="en-US"/>
        </w:rPr>
        <w:t xml:space="preserve"> Methanation in a Pilot-Scale Fixed-Bed Reactor. Chemie Ingenieur Technik, 96</w:t>
      </w:r>
      <w:r w:rsidR="00B20580">
        <w:rPr>
          <w:szCs w:val="18"/>
          <w:lang w:val="en-US"/>
        </w:rPr>
        <w:t>,</w:t>
      </w:r>
      <w:r w:rsidRPr="00F0307D">
        <w:rPr>
          <w:szCs w:val="18"/>
          <w:lang w:val="en-US"/>
        </w:rPr>
        <w:t xml:space="preserve"> 1718-1725.</w:t>
      </w:r>
    </w:p>
    <w:p w14:paraId="60496A73" w14:textId="0B5CBA93" w:rsidR="00F94AE7" w:rsidRPr="00F0307D" w:rsidRDefault="008C5D53" w:rsidP="0068286C">
      <w:pPr>
        <w:pStyle w:val="CETReferencetext"/>
        <w:rPr>
          <w:szCs w:val="18"/>
          <w:lang w:val="en-US"/>
        </w:rPr>
      </w:pPr>
      <w:r w:rsidRPr="00F0307D">
        <w:rPr>
          <w:szCs w:val="18"/>
          <w:lang w:val="en-US"/>
        </w:rPr>
        <w:t>Grenko B., de Jong W., van de Ketterij R., van Biert L., 2026, Analytical and numerical aspects of dynamic industrial chemical process analysis in fixed bed reactors, Chemical Engineering Science, 325, 123421.</w:t>
      </w:r>
    </w:p>
    <w:p w14:paraId="083BDFD8" w14:textId="265D038E" w:rsidR="00F0567E" w:rsidRPr="00F0307D" w:rsidRDefault="00F0567E" w:rsidP="0020705D">
      <w:pPr>
        <w:pStyle w:val="CETReferencetext"/>
        <w:rPr>
          <w:szCs w:val="18"/>
          <w:lang w:val="en-US"/>
        </w:rPr>
      </w:pPr>
      <w:r w:rsidRPr="00F0307D">
        <w:rPr>
          <w:szCs w:val="18"/>
          <w:lang w:val="en-US"/>
        </w:rPr>
        <w:t xml:space="preserve">Kreger </w:t>
      </w:r>
      <w:r w:rsidR="00AE7A46" w:rsidRPr="00F0307D">
        <w:rPr>
          <w:szCs w:val="18"/>
          <w:lang w:val="en-US"/>
        </w:rPr>
        <w:t>S., Rahim N. A. A., Garg N., Klute S., Metrey D., Beaty N., Jeans J., Gamber R.</w:t>
      </w:r>
      <w:r w:rsidRPr="00F0307D">
        <w:rPr>
          <w:szCs w:val="18"/>
          <w:lang w:val="en-US"/>
        </w:rPr>
        <w:t>, 2016, Optical frequency domain reflectometry: principles and applications in fiber optic sensing, Proc. SPIE 9852, Fiber Optic Sensors and Applications XIII, 98520T</w:t>
      </w:r>
      <w:r w:rsidR="008C5D53" w:rsidRPr="00F0307D">
        <w:rPr>
          <w:szCs w:val="18"/>
          <w:lang w:val="en-US"/>
        </w:rPr>
        <w:t>.</w:t>
      </w:r>
    </w:p>
    <w:p w14:paraId="7C0719E3" w14:textId="35F136B8" w:rsidR="00F0567E" w:rsidRDefault="00F0567E" w:rsidP="0020705D">
      <w:pPr>
        <w:pStyle w:val="CETReferencetext"/>
        <w:rPr>
          <w:szCs w:val="18"/>
          <w:lang w:val="en-US"/>
        </w:rPr>
      </w:pPr>
      <w:r w:rsidRPr="00F0307D">
        <w:rPr>
          <w:szCs w:val="18"/>
          <w:lang w:val="en-US"/>
        </w:rPr>
        <w:t xml:space="preserve">Ma </w:t>
      </w:r>
      <w:r w:rsidR="00C51D89" w:rsidRPr="00F0307D">
        <w:rPr>
          <w:szCs w:val="18"/>
          <w:lang w:val="en-US"/>
        </w:rPr>
        <w:t>S., Xu Y., Pang Y., Zhao X., Li Y., Qin Z., Liu Z., Lu P., Bao X.</w:t>
      </w:r>
      <w:r w:rsidRPr="00F0307D">
        <w:rPr>
          <w:szCs w:val="18"/>
          <w:lang w:val="en-US"/>
        </w:rPr>
        <w:t>, 2022, Optical Fiber Sensors for High-Temperature Monitoring: A Review, Sensors 22, no. 15</w:t>
      </w:r>
      <w:r w:rsidR="00B20580">
        <w:rPr>
          <w:szCs w:val="18"/>
          <w:lang w:val="en-US"/>
        </w:rPr>
        <w:t>,</w:t>
      </w:r>
      <w:r w:rsidRPr="00F0307D">
        <w:rPr>
          <w:szCs w:val="18"/>
          <w:lang w:val="en-US"/>
        </w:rPr>
        <w:t xml:space="preserve"> 5722</w:t>
      </w:r>
      <w:r w:rsidR="00651E1A">
        <w:rPr>
          <w:szCs w:val="18"/>
          <w:lang w:val="en-US"/>
        </w:rPr>
        <w:t>.</w:t>
      </w:r>
    </w:p>
    <w:p w14:paraId="74776C0B" w14:textId="3A83FFC2" w:rsidR="00837654" w:rsidRDefault="00837654" w:rsidP="0020705D">
      <w:pPr>
        <w:pStyle w:val="CETReferencetext"/>
        <w:rPr>
          <w:szCs w:val="18"/>
        </w:rPr>
      </w:pPr>
      <w:r w:rsidRPr="00837654">
        <w:rPr>
          <w:szCs w:val="18"/>
        </w:rPr>
        <w:t>Nestler</w:t>
      </w:r>
      <w:r>
        <w:rPr>
          <w:szCs w:val="18"/>
        </w:rPr>
        <w:t xml:space="preserve"> </w:t>
      </w:r>
      <w:r w:rsidRPr="00837654">
        <w:rPr>
          <w:szCs w:val="18"/>
        </w:rPr>
        <w:t>F., Müller</w:t>
      </w:r>
      <w:r>
        <w:rPr>
          <w:szCs w:val="18"/>
        </w:rPr>
        <w:t xml:space="preserve"> </w:t>
      </w:r>
      <w:r w:rsidRPr="00837654">
        <w:rPr>
          <w:szCs w:val="18"/>
        </w:rPr>
        <w:t>V. P., Ouda</w:t>
      </w:r>
      <w:r>
        <w:rPr>
          <w:szCs w:val="18"/>
        </w:rPr>
        <w:t xml:space="preserve"> </w:t>
      </w:r>
      <w:r w:rsidRPr="00837654">
        <w:rPr>
          <w:szCs w:val="18"/>
        </w:rPr>
        <w:t>M.,</w:t>
      </w:r>
      <w:r>
        <w:rPr>
          <w:szCs w:val="18"/>
        </w:rPr>
        <w:t xml:space="preserve"> </w:t>
      </w:r>
      <w:r w:rsidRPr="00837654">
        <w:rPr>
          <w:szCs w:val="18"/>
        </w:rPr>
        <w:t>Hadrich</w:t>
      </w:r>
      <w:r>
        <w:rPr>
          <w:szCs w:val="18"/>
        </w:rPr>
        <w:t xml:space="preserve"> </w:t>
      </w:r>
      <w:r w:rsidRPr="00837654">
        <w:rPr>
          <w:szCs w:val="18"/>
        </w:rPr>
        <w:t>M. J., Schaadt</w:t>
      </w:r>
      <w:r>
        <w:rPr>
          <w:szCs w:val="18"/>
        </w:rPr>
        <w:t xml:space="preserve"> </w:t>
      </w:r>
      <w:r w:rsidRPr="00837654">
        <w:rPr>
          <w:szCs w:val="18"/>
        </w:rPr>
        <w:t>A., Bajohr</w:t>
      </w:r>
      <w:r>
        <w:rPr>
          <w:szCs w:val="18"/>
        </w:rPr>
        <w:t xml:space="preserve"> </w:t>
      </w:r>
      <w:r w:rsidRPr="00837654">
        <w:rPr>
          <w:szCs w:val="18"/>
        </w:rPr>
        <w:t>S., Kolb</w:t>
      </w:r>
      <w:r>
        <w:rPr>
          <w:szCs w:val="18"/>
        </w:rPr>
        <w:t xml:space="preserve"> </w:t>
      </w:r>
      <w:r w:rsidRPr="00837654">
        <w:rPr>
          <w:szCs w:val="18"/>
        </w:rPr>
        <w:t>T.</w:t>
      </w:r>
      <w:r w:rsidR="00651E1A">
        <w:rPr>
          <w:szCs w:val="18"/>
        </w:rPr>
        <w:t>, 2021,</w:t>
      </w:r>
      <w:r w:rsidRPr="00837654">
        <w:rPr>
          <w:szCs w:val="18"/>
        </w:rPr>
        <w:t xml:space="preserve"> A novel approach for kinetic measurements in exothermic fixed bed reactors: advancements in non-isothermal bed conditions demonstrated for methanol synthesis</w:t>
      </w:r>
      <w:r w:rsidR="00651E1A">
        <w:rPr>
          <w:szCs w:val="18"/>
        </w:rPr>
        <w:t>,</w:t>
      </w:r>
      <w:r w:rsidRPr="00837654">
        <w:rPr>
          <w:szCs w:val="18"/>
        </w:rPr>
        <w:t xml:space="preserve"> </w:t>
      </w:r>
      <w:r w:rsidRPr="00BF5058">
        <w:rPr>
          <w:iCs/>
          <w:szCs w:val="18"/>
        </w:rPr>
        <w:t>React. Chem. Eng.</w:t>
      </w:r>
      <w:r w:rsidR="00651E1A">
        <w:rPr>
          <w:i/>
          <w:iCs/>
          <w:szCs w:val="18"/>
        </w:rPr>
        <w:t>,</w:t>
      </w:r>
      <w:r w:rsidRPr="00837654">
        <w:rPr>
          <w:szCs w:val="18"/>
        </w:rPr>
        <w:t xml:space="preserve"> 6</w:t>
      </w:r>
      <w:r w:rsidR="00B20580">
        <w:rPr>
          <w:szCs w:val="18"/>
        </w:rPr>
        <w:t>,</w:t>
      </w:r>
      <w:r w:rsidRPr="00837654">
        <w:rPr>
          <w:szCs w:val="18"/>
        </w:rPr>
        <w:t xml:space="preserve"> 1092–1107.</w:t>
      </w:r>
    </w:p>
    <w:p w14:paraId="28D06C81" w14:textId="7B253C84" w:rsidR="0031065A" w:rsidRDefault="0031065A" w:rsidP="0020705D">
      <w:pPr>
        <w:pStyle w:val="CETReferencetext"/>
        <w:rPr>
          <w:szCs w:val="18"/>
          <w:lang w:val="en-US"/>
        </w:rPr>
      </w:pPr>
      <w:r w:rsidRPr="0010084B">
        <w:rPr>
          <w:szCs w:val="18"/>
        </w:rPr>
        <w:t>Nguyen H., Harold M.P., Luss D., 2013, Optical frequency domain reflectometry measurements of spatio-temporal temperature inside catalytic reactors: Applied to study wrong-way behavior, Chemical Engineering Journal, 234, 312–317.</w:t>
      </w:r>
    </w:p>
    <w:p w14:paraId="16A46C7C" w14:textId="6A95B7C5" w:rsidR="005F61BC" w:rsidRPr="00F0307D" w:rsidRDefault="005F61BC" w:rsidP="0020705D">
      <w:pPr>
        <w:pStyle w:val="CETReferencetext"/>
        <w:rPr>
          <w:szCs w:val="18"/>
          <w:lang w:val="en-US"/>
        </w:rPr>
      </w:pPr>
      <w:r w:rsidRPr="005F61BC">
        <w:rPr>
          <w:szCs w:val="18"/>
        </w:rPr>
        <w:t>Palmieri L., Schenato L., Santagiustina M., Galtarossa A., 2022, Rayleigh-Based Distributed Optical Fiber Sensing, Sensors, 22, 6811.</w:t>
      </w:r>
    </w:p>
    <w:p w14:paraId="60872B99" w14:textId="0A2A52C3" w:rsidR="00F0567E" w:rsidRPr="00F0307D" w:rsidRDefault="0020705D" w:rsidP="00F94AE7">
      <w:pPr>
        <w:pStyle w:val="CETReferencetext"/>
        <w:rPr>
          <w:szCs w:val="18"/>
          <w:lang w:val="en-US"/>
        </w:rPr>
      </w:pPr>
      <w:r w:rsidRPr="00F0307D">
        <w:rPr>
          <w:szCs w:val="18"/>
          <w:lang w:val="en-US"/>
        </w:rPr>
        <w:t xml:space="preserve">Rahim </w:t>
      </w:r>
      <w:r w:rsidR="00C51D89" w:rsidRPr="00F0307D">
        <w:rPr>
          <w:szCs w:val="18"/>
          <w:lang w:val="en-US"/>
        </w:rPr>
        <w:t>N. A. A</w:t>
      </w:r>
      <w:r w:rsidRPr="00F0307D">
        <w:rPr>
          <w:szCs w:val="18"/>
          <w:lang w:val="en-US"/>
        </w:rPr>
        <w:t>.</w:t>
      </w:r>
      <w:r w:rsidR="00C51D89" w:rsidRPr="00F0307D">
        <w:rPr>
          <w:szCs w:val="18"/>
          <w:lang w:val="en-US"/>
        </w:rPr>
        <w:t>, Davis M., Routhier L., Chang B., Chevalier J., Bos J., Kreger S., Sandorn E.</w:t>
      </w:r>
      <w:r w:rsidRPr="00F0307D">
        <w:rPr>
          <w:szCs w:val="18"/>
          <w:lang w:val="en-US"/>
        </w:rPr>
        <w:t xml:space="preserve">, 2015, Accuracy and Survivability of Distributed Fiber Optic Temperature Sensors, </w:t>
      </w:r>
      <w:r w:rsidR="00F94AE7" w:rsidRPr="00F0307D">
        <w:rPr>
          <w:szCs w:val="18"/>
          <w:lang w:val="en-US"/>
        </w:rPr>
        <w:t>53rd AIAA Aerospace Sciences Meeting</w:t>
      </w:r>
      <w:r w:rsidR="008C5D53" w:rsidRPr="00F0307D">
        <w:rPr>
          <w:szCs w:val="18"/>
          <w:lang w:val="en-US"/>
        </w:rPr>
        <w:t>.</w:t>
      </w:r>
    </w:p>
    <w:p w14:paraId="1EB56C07" w14:textId="591C5E45" w:rsidR="00744265" w:rsidRPr="00F0307D" w:rsidRDefault="00744265" w:rsidP="0020705D">
      <w:pPr>
        <w:pStyle w:val="CETReferencetext"/>
        <w:rPr>
          <w:szCs w:val="18"/>
          <w:lang w:val="en-US"/>
        </w:rPr>
      </w:pPr>
      <w:r w:rsidRPr="00F0307D">
        <w:rPr>
          <w:szCs w:val="18"/>
          <w:lang w:val="en-US"/>
        </w:rPr>
        <w:t>Stegehake C., Gruenewald M., 2017, Application of Fiber-Optic Measurement Technology for Minimally-Invasive Measurements of Temperature Profiles in Reactors, Chemie Ingenieur Technik, 89</w:t>
      </w:r>
      <w:r w:rsidR="00B20580">
        <w:rPr>
          <w:szCs w:val="18"/>
          <w:lang w:val="en-US"/>
        </w:rPr>
        <w:t>,</w:t>
      </w:r>
      <w:r w:rsidRPr="00F0307D">
        <w:rPr>
          <w:szCs w:val="18"/>
          <w:lang w:val="en-US"/>
        </w:rPr>
        <w:t xml:space="preserve"> 480-485.</w:t>
      </w:r>
    </w:p>
    <w:p w14:paraId="51722A8E" w14:textId="440C779B" w:rsidR="009948AB" w:rsidRDefault="00744265" w:rsidP="0020705D">
      <w:pPr>
        <w:pStyle w:val="CETReferencetext"/>
        <w:rPr>
          <w:szCs w:val="18"/>
          <w:lang w:val="en-US"/>
        </w:rPr>
      </w:pPr>
      <w:r w:rsidRPr="002663AF">
        <w:rPr>
          <w:szCs w:val="18"/>
          <w:lang w:val="en-US"/>
        </w:rPr>
        <w:t>Stegehake</w:t>
      </w:r>
      <w:r w:rsidR="000E5C19" w:rsidRPr="002663AF">
        <w:rPr>
          <w:szCs w:val="18"/>
          <w:lang w:val="en-US"/>
        </w:rPr>
        <w:t xml:space="preserve"> </w:t>
      </w:r>
      <w:r w:rsidRPr="002663AF">
        <w:rPr>
          <w:szCs w:val="18"/>
          <w:lang w:val="en-US"/>
        </w:rPr>
        <w:t>C., Gr</w:t>
      </w:r>
      <w:r w:rsidR="00F94AE7" w:rsidRPr="002663AF">
        <w:rPr>
          <w:szCs w:val="18"/>
          <w:lang w:val="en-US"/>
        </w:rPr>
        <w:t>ue</w:t>
      </w:r>
      <w:r w:rsidRPr="002663AF">
        <w:rPr>
          <w:szCs w:val="18"/>
          <w:lang w:val="en-US"/>
        </w:rPr>
        <w:t>newald M., Zanthoff H.-W.</w:t>
      </w:r>
      <w:r w:rsidR="002663AF">
        <w:rPr>
          <w:szCs w:val="18"/>
          <w:lang w:val="en-US"/>
        </w:rPr>
        <w:t xml:space="preserve">, </w:t>
      </w:r>
      <w:r w:rsidRPr="002663AF">
        <w:rPr>
          <w:szCs w:val="18"/>
          <w:lang w:val="en-US"/>
        </w:rPr>
        <w:t xml:space="preserve">Hecht C., 2018, </w:t>
      </w:r>
      <w:r w:rsidR="002663AF" w:rsidRPr="002663AF">
        <w:rPr>
          <w:szCs w:val="18"/>
        </w:rPr>
        <w:t>Fiber-optic temperature profile measurements in fixed-bed reactors for model-based evaluation of effective radial thermal conductivity (in German)</w:t>
      </w:r>
      <w:r w:rsidR="002663AF">
        <w:rPr>
          <w:szCs w:val="18"/>
        </w:rPr>
        <w:t>,</w:t>
      </w:r>
      <w:r w:rsidRPr="002663AF">
        <w:rPr>
          <w:szCs w:val="18"/>
          <w:lang w:val="en-US"/>
        </w:rPr>
        <w:t xml:space="preserve"> </w:t>
      </w:r>
      <w:r w:rsidRPr="00F0307D">
        <w:rPr>
          <w:szCs w:val="18"/>
          <w:lang w:val="en-US"/>
        </w:rPr>
        <w:t>Chemie Ingenieur Technik, 90</w:t>
      </w:r>
      <w:r w:rsidR="00B20580">
        <w:rPr>
          <w:szCs w:val="18"/>
          <w:lang w:val="en-US"/>
        </w:rPr>
        <w:t>,</w:t>
      </w:r>
      <w:r w:rsidRPr="00F0307D">
        <w:rPr>
          <w:szCs w:val="18"/>
          <w:lang w:val="en-US"/>
        </w:rPr>
        <w:t xml:space="preserve"> 602-614.</w:t>
      </w:r>
    </w:p>
    <w:p w14:paraId="3912BE81" w14:textId="605EC322" w:rsidR="009B7B53" w:rsidRPr="00F0307D" w:rsidRDefault="009B7B53" w:rsidP="009B7B53">
      <w:pPr>
        <w:pStyle w:val="CETReferencetext"/>
        <w:rPr>
          <w:szCs w:val="18"/>
          <w:lang w:val="en-US"/>
        </w:rPr>
      </w:pPr>
    </w:p>
    <w:sectPr w:rsidR="009B7B53" w:rsidRPr="00F0307D"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C0FE" w14:textId="77777777" w:rsidR="00B23FC6" w:rsidRDefault="00B23FC6" w:rsidP="004F5E36">
      <w:r>
        <w:separator/>
      </w:r>
    </w:p>
  </w:endnote>
  <w:endnote w:type="continuationSeparator" w:id="0">
    <w:p w14:paraId="4AAACF20" w14:textId="77777777" w:rsidR="00B23FC6" w:rsidRDefault="00B23FC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18E60" w14:textId="77777777" w:rsidR="00B23FC6" w:rsidRDefault="00B23FC6" w:rsidP="004F5E36">
      <w:r>
        <w:separator/>
      </w:r>
    </w:p>
  </w:footnote>
  <w:footnote w:type="continuationSeparator" w:id="0">
    <w:p w14:paraId="1E53BE11" w14:textId="77777777" w:rsidR="00B23FC6" w:rsidRDefault="00B23FC6"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eEinfach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94895978">
    <w:abstractNumId w:val="10"/>
  </w:num>
  <w:num w:numId="2" w16cid:durableId="740830833">
    <w:abstractNumId w:val="8"/>
  </w:num>
  <w:num w:numId="3" w16cid:durableId="646666444">
    <w:abstractNumId w:val="3"/>
  </w:num>
  <w:num w:numId="4" w16cid:durableId="1080446019">
    <w:abstractNumId w:val="2"/>
  </w:num>
  <w:num w:numId="5" w16cid:durableId="1993364087">
    <w:abstractNumId w:val="1"/>
  </w:num>
  <w:num w:numId="6" w16cid:durableId="841166235">
    <w:abstractNumId w:val="0"/>
  </w:num>
  <w:num w:numId="7" w16cid:durableId="880477050">
    <w:abstractNumId w:val="9"/>
  </w:num>
  <w:num w:numId="8" w16cid:durableId="2055349015">
    <w:abstractNumId w:val="7"/>
  </w:num>
  <w:num w:numId="9" w16cid:durableId="551767425">
    <w:abstractNumId w:val="6"/>
  </w:num>
  <w:num w:numId="10" w16cid:durableId="262350335">
    <w:abstractNumId w:val="5"/>
  </w:num>
  <w:num w:numId="11" w16cid:durableId="1839080229">
    <w:abstractNumId w:val="4"/>
  </w:num>
  <w:num w:numId="12" w16cid:durableId="1844053538">
    <w:abstractNumId w:val="17"/>
  </w:num>
  <w:num w:numId="13" w16cid:durableId="1967852945">
    <w:abstractNumId w:val="12"/>
  </w:num>
  <w:num w:numId="14" w16cid:durableId="911888367">
    <w:abstractNumId w:val="18"/>
  </w:num>
  <w:num w:numId="15" w16cid:durableId="1822964531">
    <w:abstractNumId w:val="20"/>
  </w:num>
  <w:num w:numId="16" w16cid:durableId="234051817">
    <w:abstractNumId w:val="19"/>
  </w:num>
  <w:num w:numId="17" w16cid:durableId="31344443">
    <w:abstractNumId w:val="11"/>
  </w:num>
  <w:num w:numId="18" w16cid:durableId="1584609116">
    <w:abstractNumId w:val="12"/>
    <w:lvlOverride w:ilvl="0">
      <w:startOverride w:val="1"/>
    </w:lvlOverride>
  </w:num>
  <w:num w:numId="19" w16cid:durableId="1964966902">
    <w:abstractNumId w:val="16"/>
  </w:num>
  <w:num w:numId="20" w16cid:durableId="954946815">
    <w:abstractNumId w:val="15"/>
  </w:num>
  <w:num w:numId="21" w16cid:durableId="1875457544">
    <w:abstractNumId w:val="14"/>
  </w:num>
  <w:num w:numId="22" w16cid:durableId="13431263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0D61"/>
    <w:rsid w:val="000117CB"/>
    <w:rsid w:val="000143EB"/>
    <w:rsid w:val="000173F9"/>
    <w:rsid w:val="0003148D"/>
    <w:rsid w:val="00031EEC"/>
    <w:rsid w:val="00037B3C"/>
    <w:rsid w:val="00044BC3"/>
    <w:rsid w:val="000459A4"/>
    <w:rsid w:val="00051566"/>
    <w:rsid w:val="000562A9"/>
    <w:rsid w:val="00062A9A"/>
    <w:rsid w:val="00065058"/>
    <w:rsid w:val="000671FB"/>
    <w:rsid w:val="00076C18"/>
    <w:rsid w:val="00083B20"/>
    <w:rsid w:val="00086C39"/>
    <w:rsid w:val="000A03B2"/>
    <w:rsid w:val="000A3666"/>
    <w:rsid w:val="000A7AFC"/>
    <w:rsid w:val="000B5A36"/>
    <w:rsid w:val="000B7718"/>
    <w:rsid w:val="000C02E2"/>
    <w:rsid w:val="000C6554"/>
    <w:rsid w:val="000D0268"/>
    <w:rsid w:val="000D1444"/>
    <w:rsid w:val="000D34BE"/>
    <w:rsid w:val="000D469F"/>
    <w:rsid w:val="000E102F"/>
    <w:rsid w:val="000E36F1"/>
    <w:rsid w:val="000E3A73"/>
    <w:rsid w:val="000E414A"/>
    <w:rsid w:val="000E5C19"/>
    <w:rsid w:val="000E75FD"/>
    <w:rsid w:val="000F093C"/>
    <w:rsid w:val="000F3480"/>
    <w:rsid w:val="000F787B"/>
    <w:rsid w:val="0010084B"/>
    <w:rsid w:val="00101F02"/>
    <w:rsid w:val="001072C4"/>
    <w:rsid w:val="00117ACB"/>
    <w:rsid w:val="0012091F"/>
    <w:rsid w:val="00124AAD"/>
    <w:rsid w:val="00126BC2"/>
    <w:rsid w:val="001308B6"/>
    <w:rsid w:val="0013121F"/>
    <w:rsid w:val="00131FE6"/>
    <w:rsid w:val="0013263F"/>
    <w:rsid w:val="001331DF"/>
    <w:rsid w:val="00134DE4"/>
    <w:rsid w:val="0014034D"/>
    <w:rsid w:val="00140FE3"/>
    <w:rsid w:val="00144D16"/>
    <w:rsid w:val="001505E4"/>
    <w:rsid w:val="00150E59"/>
    <w:rsid w:val="00152DE3"/>
    <w:rsid w:val="00154A64"/>
    <w:rsid w:val="001557ED"/>
    <w:rsid w:val="001602F3"/>
    <w:rsid w:val="00164CF9"/>
    <w:rsid w:val="001667A6"/>
    <w:rsid w:val="0017114C"/>
    <w:rsid w:val="001777C6"/>
    <w:rsid w:val="00184AD6"/>
    <w:rsid w:val="001913AD"/>
    <w:rsid w:val="00191437"/>
    <w:rsid w:val="001A3275"/>
    <w:rsid w:val="001A4AF7"/>
    <w:rsid w:val="001A56F2"/>
    <w:rsid w:val="001B0349"/>
    <w:rsid w:val="001B1E93"/>
    <w:rsid w:val="001B58D0"/>
    <w:rsid w:val="001B65C1"/>
    <w:rsid w:val="001B68DE"/>
    <w:rsid w:val="001C260F"/>
    <w:rsid w:val="001C33F1"/>
    <w:rsid w:val="001C4148"/>
    <w:rsid w:val="001C4FFF"/>
    <w:rsid w:val="001C684B"/>
    <w:rsid w:val="001D0CFB"/>
    <w:rsid w:val="001D1DA5"/>
    <w:rsid w:val="001D21AF"/>
    <w:rsid w:val="001D53FC"/>
    <w:rsid w:val="001E06F5"/>
    <w:rsid w:val="001F42A5"/>
    <w:rsid w:val="001F7B9D"/>
    <w:rsid w:val="002001B1"/>
    <w:rsid w:val="00201C93"/>
    <w:rsid w:val="0020705D"/>
    <w:rsid w:val="002224B4"/>
    <w:rsid w:val="00222F8E"/>
    <w:rsid w:val="00224B88"/>
    <w:rsid w:val="00226FFD"/>
    <w:rsid w:val="00230F42"/>
    <w:rsid w:val="00241E2F"/>
    <w:rsid w:val="002447EF"/>
    <w:rsid w:val="00250F6A"/>
    <w:rsid w:val="00251550"/>
    <w:rsid w:val="00252970"/>
    <w:rsid w:val="00263B05"/>
    <w:rsid w:val="002663AF"/>
    <w:rsid w:val="0027221A"/>
    <w:rsid w:val="00275B61"/>
    <w:rsid w:val="00280FAF"/>
    <w:rsid w:val="00282656"/>
    <w:rsid w:val="00283C9C"/>
    <w:rsid w:val="00295C50"/>
    <w:rsid w:val="00296B83"/>
    <w:rsid w:val="002A711E"/>
    <w:rsid w:val="002B21AE"/>
    <w:rsid w:val="002B4015"/>
    <w:rsid w:val="002B4B14"/>
    <w:rsid w:val="002B78CE"/>
    <w:rsid w:val="002C1DD3"/>
    <w:rsid w:val="002C2FB6"/>
    <w:rsid w:val="002D68BA"/>
    <w:rsid w:val="002E5FA7"/>
    <w:rsid w:val="002E6585"/>
    <w:rsid w:val="002F3309"/>
    <w:rsid w:val="002F478B"/>
    <w:rsid w:val="003008CE"/>
    <w:rsid w:val="003009B7"/>
    <w:rsid w:val="00300E56"/>
    <w:rsid w:val="0030152C"/>
    <w:rsid w:val="00303C62"/>
    <w:rsid w:val="0030469C"/>
    <w:rsid w:val="0031065A"/>
    <w:rsid w:val="00310C85"/>
    <w:rsid w:val="00314F3C"/>
    <w:rsid w:val="003201D3"/>
    <w:rsid w:val="00321CA6"/>
    <w:rsid w:val="00323763"/>
    <w:rsid w:val="00323C5F"/>
    <w:rsid w:val="00330840"/>
    <w:rsid w:val="00334C09"/>
    <w:rsid w:val="00335712"/>
    <w:rsid w:val="0034498B"/>
    <w:rsid w:val="003577BC"/>
    <w:rsid w:val="00364237"/>
    <w:rsid w:val="00367E94"/>
    <w:rsid w:val="003723D4"/>
    <w:rsid w:val="003743AB"/>
    <w:rsid w:val="00377587"/>
    <w:rsid w:val="00381905"/>
    <w:rsid w:val="00384CC8"/>
    <w:rsid w:val="00386082"/>
    <w:rsid w:val="003871FD"/>
    <w:rsid w:val="003A1546"/>
    <w:rsid w:val="003A1E30"/>
    <w:rsid w:val="003A2829"/>
    <w:rsid w:val="003A5FE3"/>
    <w:rsid w:val="003A66EC"/>
    <w:rsid w:val="003A7D1C"/>
    <w:rsid w:val="003B304B"/>
    <w:rsid w:val="003B3146"/>
    <w:rsid w:val="003B79F5"/>
    <w:rsid w:val="003D00E6"/>
    <w:rsid w:val="003D1E02"/>
    <w:rsid w:val="003D7121"/>
    <w:rsid w:val="003E1A5E"/>
    <w:rsid w:val="003F015E"/>
    <w:rsid w:val="003F0E17"/>
    <w:rsid w:val="00400414"/>
    <w:rsid w:val="0040586C"/>
    <w:rsid w:val="0041195C"/>
    <w:rsid w:val="0041446B"/>
    <w:rsid w:val="0042181E"/>
    <w:rsid w:val="004340ED"/>
    <w:rsid w:val="0044071E"/>
    <w:rsid w:val="0044329C"/>
    <w:rsid w:val="00446181"/>
    <w:rsid w:val="00452315"/>
    <w:rsid w:val="00453E24"/>
    <w:rsid w:val="00457456"/>
    <w:rsid w:val="004577FE"/>
    <w:rsid w:val="00457B9C"/>
    <w:rsid w:val="00457D83"/>
    <w:rsid w:val="0046164A"/>
    <w:rsid w:val="004628D2"/>
    <w:rsid w:val="00462DCD"/>
    <w:rsid w:val="004648AD"/>
    <w:rsid w:val="004703A9"/>
    <w:rsid w:val="00471A06"/>
    <w:rsid w:val="004760DE"/>
    <w:rsid w:val="004763D7"/>
    <w:rsid w:val="00482108"/>
    <w:rsid w:val="0048371F"/>
    <w:rsid w:val="00492762"/>
    <w:rsid w:val="00493FDF"/>
    <w:rsid w:val="004A004E"/>
    <w:rsid w:val="004A1122"/>
    <w:rsid w:val="004A24CF"/>
    <w:rsid w:val="004A5E57"/>
    <w:rsid w:val="004B19B3"/>
    <w:rsid w:val="004C026D"/>
    <w:rsid w:val="004C194F"/>
    <w:rsid w:val="004C3D1D"/>
    <w:rsid w:val="004C3D84"/>
    <w:rsid w:val="004C5AE8"/>
    <w:rsid w:val="004C7913"/>
    <w:rsid w:val="004D0D88"/>
    <w:rsid w:val="004E2A0A"/>
    <w:rsid w:val="004E4DD6"/>
    <w:rsid w:val="004F34E4"/>
    <w:rsid w:val="004F5E36"/>
    <w:rsid w:val="004F6055"/>
    <w:rsid w:val="00503524"/>
    <w:rsid w:val="00507B47"/>
    <w:rsid w:val="00507BEF"/>
    <w:rsid w:val="00507CC9"/>
    <w:rsid w:val="00510D5C"/>
    <w:rsid w:val="005119A5"/>
    <w:rsid w:val="00517A73"/>
    <w:rsid w:val="0052034E"/>
    <w:rsid w:val="005278B7"/>
    <w:rsid w:val="005309A2"/>
    <w:rsid w:val="00532016"/>
    <w:rsid w:val="00533B78"/>
    <w:rsid w:val="005346C8"/>
    <w:rsid w:val="00540768"/>
    <w:rsid w:val="00543E7D"/>
    <w:rsid w:val="00545355"/>
    <w:rsid w:val="00545E02"/>
    <w:rsid w:val="00546C2A"/>
    <w:rsid w:val="00547A68"/>
    <w:rsid w:val="005531C9"/>
    <w:rsid w:val="00570C43"/>
    <w:rsid w:val="0057658F"/>
    <w:rsid w:val="00577B4F"/>
    <w:rsid w:val="00582C62"/>
    <w:rsid w:val="00583167"/>
    <w:rsid w:val="00592274"/>
    <w:rsid w:val="005A6B43"/>
    <w:rsid w:val="005B092A"/>
    <w:rsid w:val="005B2110"/>
    <w:rsid w:val="005B5878"/>
    <w:rsid w:val="005B61E6"/>
    <w:rsid w:val="005C0734"/>
    <w:rsid w:val="005C1891"/>
    <w:rsid w:val="005C4500"/>
    <w:rsid w:val="005C5AAB"/>
    <w:rsid w:val="005C6F0E"/>
    <w:rsid w:val="005C77E1"/>
    <w:rsid w:val="005D2048"/>
    <w:rsid w:val="005D668A"/>
    <w:rsid w:val="005D6A2F"/>
    <w:rsid w:val="005E0592"/>
    <w:rsid w:val="005E0BB3"/>
    <w:rsid w:val="005E139D"/>
    <w:rsid w:val="005E1A82"/>
    <w:rsid w:val="005E6B88"/>
    <w:rsid w:val="005E794C"/>
    <w:rsid w:val="005F0A28"/>
    <w:rsid w:val="005F0E5E"/>
    <w:rsid w:val="005F61BC"/>
    <w:rsid w:val="00600535"/>
    <w:rsid w:val="00610CD6"/>
    <w:rsid w:val="00620DEE"/>
    <w:rsid w:val="00621F92"/>
    <w:rsid w:val="0062280A"/>
    <w:rsid w:val="006231E1"/>
    <w:rsid w:val="00625639"/>
    <w:rsid w:val="00626FF0"/>
    <w:rsid w:val="006274C9"/>
    <w:rsid w:val="00630B00"/>
    <w:rsid w:val="00631B33"/>
    <w:rsid w:val="0064184D"/>
    <w:rsid w:val="006422CC"/>
    <w:rsid w:val="00646041"/>
    <w:rsid w:val="00651D18"/>
    <w:rsid w:val="00651E1A"/>
    <w:rsid w:val="00652C4C"/>
    <w:rsid w:val="00652FEC"/>
    <w:rsid w:val="00660E3E"/>
    <w:rsid w:val="006611BB"/>
    <w:rsid w:val="006618B5"/>
    <w:rsid w:val="00662E74"/>
    <w:rsid w:val="00663AAD"/>
    <w:rsid w:val="00664F9F"/>
    <w:rsid w:val="006754B8"/>
    <w:rsid w:val="00680C23"/>
    <w:rsid w:val="00682817"/>
    <w:rsid w:val="0068286C"/>
    <w:rsid w:val="00683E23"/>
    <w:rsid w:val="00693766"/>
    <w:rsid w:val="00697531"/>
    <w:rsid w:val="006A056C"/>
    <w:rsid w:val="006A3281"/>
    <w:rsid w:val="006B26CC"/>
    <w:rsid w:val="006B4888"/>
    <w:rsid w:val="006C2104"/>
    <w:rsid w:val="006C2E45"/>
    <w:rsid w:val="006C359C"/>
    <w:rsid w:val="006C5579"/>
    <w:rsid w:val="006C5F2D"/>
    <w:rsid w:val="006D6E8B"/>
    <w:rsid w:val="006D7209"/>
    <w:rsid w:val="006E621B"/>
    <w:rsid w:val="006E737D"/>
    <w:rsid w:val="0070139A"/>
    <w:rsid w:val="0070141F"/>
    <w:rsid w:val="00707DD1"/>
    <w:rsid w:val="00713973"/>
    <w:rsid w:val="00714C43"/>
    <w:rsid w:val="00720A24"/>
    <w:rsid w:val="00727ED0"/>
    <w:rsid w:val="00731E1A"/>
    <w:rsid w:val="00732386"/>
    <w:rsid w:val="0073514D"/>
    <w:rsid w:val="00735959"/>
    <w:rsid w:val="0073785A"/>
    <w:rsid w:val="00744265"/>
    <w:rsid w:val="007447F3"/>
    <w:rsid w:val="0075499F"/>
    <w:rsid w:val="007617CC"/>
    <w:rsid w:val="00765DF0"/>
    <w:rsid w:val="007661C8"/>
    <w:rsid w:val="0077041B"/>
    <w:rsid w:val="0077098D"/>
    <w:rsid w:val="00785BF9"/>
    <w:rsid w:val="007931FA"/>
    <w:rsid w:val="00797A9B"/>
    <w:rsid w:val="007A4861"/>
    <w:rsid w:val="007A699F"/>
    <w:rsid w:val="007A7BBA"/>
    <w:rsid w:val="007B0C50"/>
    <w:rsid w:val="007B0E3B"/>
    <w:rsid w:val="007B48F9"/>
    <w:rsid w:val="007B7133"/>
    <w:rsid w:val="007C1A43"/>
    <w:rsid w:val="007C1F0D"/>
    <w:rsid w:val="007C204F"/>
    <w:rsid w:val="007C52AB"/>
    <w:rsid w:val="007C70D7"/>
    <w:rsid w:val="007D0951"/>
    <w:rsid w:val="007D748C"/>
    <w:rsid w:val="007E639F"/>
    <w:rsid w:val="007F1183"/>
    <w:rsid w:val="007F27C8"/>
    <w:rsid w:val="007F4D5E"/>
    <w:rsid w:val="007F629C"/>
    <w:rsid w:val="007F7A48"/>
    <w:rsid w:val="0080013E"/>
    <w:rsid w:val="0080542A"/>
    <w:rsid w:val="008105C3"/>
    <w:rsid w:val="00811B14"/>
    <w:rsid w:val="00811F49"/>
    <w:rsid w:val="00813288"/>
    <w:rsid w:val="00813F3C"/>
    <w:rsid w:val="008168FC"/>
    <w:rsid w:val="00830996"/>
    <w:rsid w:val="008314D7"/>
    <w:rsid w:val="008345F1"/>
    <w:rsid w:val="008365FF"/>
    <w:rsid w:val="00837654"/>
    <w:rsid w:val="00837AC9"/>
    <w:rsid w:val="0084159E"/>
    <w:rsid w:val="00843F55"/>
    <w:rsid w:val="00844F55"/>
    <w:rsid w:val="00847B90"/>
    <w:rsid w:val="00865B07"/>
    <w:rsid w:val="008667EA"/>
    <w:rsid w:val="00872D51"/>
    <w:rsid w:val="0087637F"/>
    <w:rsid w:val="00877186"/>
    <w:rsid w:val="0088656A"/>
    <w:rsid w:val="0088669D"/>
    <w:rsid w:val="00892AD5"/>
    <w:rsid w:val="00897494"/>
    <w:rsid w:val="008A0047"/>
    <w:rsid w:val="008A1512"/>
    <w:rsid w:val="008A5CD6"/>
    <w:rsid w:val="008C1057"/>
    <w:rsid w:val="008C5D53"/>
    <w:rsid w:val="008C7B49"/>
    <w:rsid w:val="008D32B9"/>
    <w:rsid w:val="008D433B"/>
    <w:rsid w:val="008D4A16"/>
    <w:rsid w:val="008D78AF"/>
    <w:rsid w:val="008E209A"/>
    <w:rsid w:val="008E28F5"/>
    <w:rsid w:val="008E45BC"/>
    <w:rsid w:val="008E4A9C"/>
    <w:rsid w:val="008E566E"/>
    <w:rsid w:val="008F06CE"/>
    <w:rsid w:val="0090161A"/>
    <w:rsid w:val="00901EB6"/>
    <w:rsid w:val="009041F8"/>
    <w:rsid w:val="00904C62"/>
    <w:rsid w:val="00913A19"/>
    <w:rsid w:val="00922BA8"/>
    <w:rsid w:val="00924DAC"/>
    <w:rsid w:val="00927058"/>
    <w:rsid w:val="009300F9"/>
    <w:rsid w:val="00942750"/>
    <w:rsid w:val="009450CE"/>
    <w:rsid w:val="009459BB"/>
    <w:rsid w:val="00946ACD"/>
    <w:rsid w:val="00947179"/>
    <w:rsid w:val="0095164B"/>
    <w:rsid w:val="00954090"/>
    <w:rsid w:val="009573E7"/>
    <w:rsid w:val="00963E05"/>
    <w:rsid w:val="00964A45"/>
    <w:rsid w:val="00967843"/>
    <w:rsid w:val="00967D54"/>
    <w:rsid w:val="00971028"/>
    <w:rsid w:val="009824B0"/>
    <w:rsid w:val="00992D65"/>
    <w:rsid w:val="00993B84"/>
    <w:rsid w:val="00993E90"/>
    <w:rsid w:val="009948AB"/>
    <w:rsid w:val="00996483"/>
    <w:rsid w:val="00996F5A"/>
    <w:rsid w:val="009B041A"/>
    <w:rsid w:val="009B6182"/>
    <w:rsid w:val="009B7B53"/>
    <w:rsid w:val="009C37C3"/>
    <w:rsid w:val="009C7C86"/>
    <w:rsid w:val="009C7EF5"/>
    <w:rsid w:val="009D2FF7"/>
    <w:rsid w:val="009E7884"/>
    <w:rsid w:val="009E788A"/>
    <w:rsid w:val="009E7E7C"/>
    <w:rsid w:val="009F0E08"/>
    <w:rsid w:val="00A079AE"/>
    <w:rsid w:val="00A1763D"/>
    <w:rsid w:val="00A17CEC"/>
    <w:rsid w:val="00A26CBB"/>
    <w:rsid w:val="00A27EF0"/>
    <w:rsid w:val="00A302A9"/>
    <w:rsid w:val="00A354D2"/>
    <w:rsid w:val="00A42361"/>
    <w:rsid w:val="00A4754C"/>
    <w:rsid w:val="00A47D74"/>
    <w:rsid w:val="00A50B20"/>
    <w:rsid w:val="00A51390"/>
    <w:rsid w:val="00A52E4C"/>
    <w:rsid w:val="00A56DDD"/>
    <w:rsid w:val="00A60D13"/>
    <w:rsid w:val="00A7223D"/>
    <w:rsid w:val="00A72745"/>
    <w:rsid w:val="00A76EFC"/>
    <w:rsid w:val="00A8169B"/>
    <w:rsid w:val="00A87D50"/>
    <w:rsid w:val="00A91010"/>
    <w:rsid w:val="00A97F29"/>
    <w:rsid w:val="00AA0B1C"/>
    <w:rsid w:val="00AA702E"/>
    <w:rsid w:val="00AA7D26"/>
    <w:rsid w:val="00AB0964"/>
    <w:rsid w:val="00AB5011"/>
    <w:rsid w:val="00AB524F"/>
    <w:rsid w:val="00AC7368"/>
    <w:rsid w:val="00AD0278"/>
    <w:rsid w:val="00AD16B9"/>
    <w:rsid w:val="00AD3F93"/>
    <w:rsid w:val="00AE26A9"/>
    <w:rsid w:val="00AE377D"/>
    <w:rsid w:val="00AE65BE"/>
    <w:rsid w:val="00AE7A46"/>
    <w:rsid w:val="00AF0EBA"/>
    <w:rsid w:val="00AF3D2C"/>
    <w:rsid w:val="00B00151"/>
    <w:rsid w:val="00B001E1"/>
    <w:rsid w:val="00B02C8A"/>
    <w:rsid w:val="00B05670"/>
    <w:rsid w:val="00B16309"/>
    <w:rsid w:val="00B17FBD"/>
    <w:rsid w:val="00B20580"/>
    <w:rsid w:val="00B23FC6"/>
    <w:rsid w:val="00B315A6"/>
    <w:rsid w:val="00B31813"/>
    <w:rsid w:val="00B31992"/>
    <w:rsid w:val="00B33365"/>
    <w:rsid w:val="00B34015"/>
    <w:rsid w:val="00B34E4B"/>
    <w:rsid w:val="00B44A61"/>
    <w:rsid w:val="00B46831"/>
    <w:rsid w:val="00B5574C"/>
    <w:rsid w:val="00B56C46"/>
    <w:rsid w:val="00B57972"/>
    <w:rsid w:val="00B57B36"/>
    <w:rsid w:val="00B57E6F"/>
    <w:rsid w:val="00B625A3"/>
    <w:rsid w:val="00B71D1F"/>
    <w:rsid w:val="00B7296A"/>
    <w:rsid w:val="00B8330E"/>
    <w:rsid w:val="00B8686D"/>
    <w:rsid w:val="00B93F69"/>
    <w:rsid w:val="00BB016A"/>
    <w:rsid w:val="00BB1DDC"/>
    <w:rsid w:val="00BC30C9"/>
    <w:rsid w:val="00BC4571"/>
    <w:rsid w:val="00BD077D"/>
    <w:rsid w:val="00BD5818"/>
    <w:rsid w:val="00BE2F43"/>
    <w:rsid w:val="00BE3E58"/>
    <w:rsid w:val="00BE6BFA"/>
    <w:rsid w:val="00BF5058"/>
    <w:rsid w:val="00BF6811"/>
    <w:rsid w:val="00C006BC"/>
    <w:rsid w:val="00C01616"/>
    <w:rsid w:val="00C0162B"/>
    <w:rsid w:val="00C068ED"/>
    <w:rsid w:val="00C208E9"/>
    <w:rsid w:val="00C20B6E"/>
    <w:rsid w:val="00C21B67"/>
    <w:rsid w:val="00C22E0C"/>
    <w:rsid w:val="00C25ADD"/>
    <w:rsid w:val="00C27D4A"/>
    <w:rsid w:val="00C3064A"/>
    <w:rsid w:val="00C31A4A"/>
    <w:rsid w:val="00C345B1"/>
    <w:rsid w:val="00C40142"/>
    <w:rsid w:val="00C45133"/>
    <w:rsid w:val="00C51D89"/>
    <w:rsid w:val="00C52C3C"/>
    <w:rsid w:val="00C57182"/>
    <w:rsid w:val="00C57863"/>
    <w:rsid w:val="00C62195"/>
    <w:rsid w:val="00C640AF"/>
    <w:rsid w:val="00C655FD"/>
    <w:rsid w:val="00C75407"/>
    <w:rsid w:val="00C774BB"/>
    <w:rsid w:val="00C841C6"/>
    <w:rsid w:val="00C870A8"/>
    <w:rsid w:val="00C87741"/>
    <w:rsid w:val="00C93F58"/>
    <w:rsid w:val="00C94434"/>
    <w:rsid w:val="00CA0D75"/>
    <w:rsid w:val="00CA1C95"/>
    <w:rsid w:val="00CA3B47"/>
    <w:rsid w:val="00CA5A9C"/>
    <w:rsid w:val="00CA7157"/>
    <w:rsid w:val="00CB2614"/>
    <w:rsid w:val="00CB5764"/>
    <w:rsid w:val="00CB6495"/>
    <w:rsid w:val="00CC360F"/>
    <w:rsid w:val="00CC4C20"/>
    <w:rsid w:val="00CD3517"/>
    <w:rsid w:val="00CD4187"/>
    <w:rsid w:val="00CD5FE2"/>
    <w:rsid w:val="00CE7C68"/>
    <w:rsid w:val="00CF6EA2"/>
    <w:rsid w:val="00D01F41"/>
    <w:rsid w:val="00D02B4C"/>
    <w:rsid w:val="00D040C4"/>
    <w:rsid w:val="00D20AD1"/>
    <w:rsid w:val="00D2582C"/>
    <w:rsid w:val="00D4118E"/>
    <w:rsid w:val="00D44DDC"/>
    <w:rsid w:val="00D46B7E"/>
    <w:rsid w:val="00D57C84"/>
    <w:rsid w:val="00D6003A"/>
    <w:rsid w:val="00D6057D"/>
    <w:rsid w:val="00D71640"/>
    <w:rsid w:val="00D7689D"/>
    <w:rsid w:val="00D82713"/>
    <w:rsid w:val="00D82C3D"/>
    <w:rsid w:val="00D836C5"/>
    <w:rsid w:val="00D84576"/>
    <w:rsid w:val="00D86C36"/>
    <w:rsid w:val="00D87649"/>
    <w:rsid w:val="00D91BA6"/>
    <w:rsid w:val="00D92435"/>
    <w:rsid w:val="00DA1399"/>
    <w:rsid w:val="00DA24C6"/>
    <w:rsid w:val="00DA4D7B"/>
    <w:rsid w:val="00DB122C"/>
    <w:rsid w:val="00DD22A4"/>
    <w:rsid w:val="00DD271C"/>
    <w:rsid w:val="00DE264A"/>
    <w:rsid w:val="00DF5072"/>
    <w:rsid w:val="00E02D18"/>
    <w:rsid w:val="00E041E7"/>
    <w:rsid w:val="00E054D0"/>
    <w:rsid w:val="00E05648"/>
    <w:rsid w:val="00E235DF"/>
    <w:rsid w:val="00E23CA1"/>
    <w:rsid w:val="00E24787"/>
    <w:rsid w:val="00E302EB"/>
    <w:rsid w:val="00E37859"/>
    <w:rsid w:val="00E409A8"/>
    <w:rsid w:val="00E41744"/>
    <w:rsid w:val="00E41816"/>
    <w:rsid w:val="00E45F58"/>
    <w:rsid w:val="00E47D61"/>
    <w:rsid w:val="00E5092C"/>
    <w:rsid w:val="00E50C12"/>
    <w:rsid w:val="00E5260C"/>
    <w:rsid w:val="00E52ACA"/>
    <w:rsid w:val="00E54BED"/>
    <w:rsid w:val="00E645A7"/>
    <w:rsid w:val="00E65B91"/>
    <w:rsid w:val="00E7209D"/>
    <w:rsid w:val="00E72EAD"/>
    <w:rsid w:val="00E77223"/>
    <w:rsid w:val="00E816BC"/>
    <w:rsid w:val="00E8528B"/>
    <w:rsid w:val="00E85B94"/>
    <w:rsid w:val="00E85D91"/>
    <w:rsid w:val="00E978D0"/>
    <w:rsid w:val="00EA0424"/>
    <w:rsid w:val="00EA4613"/>
    <w:rsid w:val="00EA7F91"/>
    <w:rsid w:val="00EB1523"/>
    <w:rsid w:val="00EC08F3"/>
    <w:rsid w:val="00EC0E49"/>
    <w:rsid w:val="00EC101F"/>
    <w:rsid w:val="00EC1D9F"/>
    <w:rsid w:val="00ED1B19"/>
    <w:rsid w:val="00ED7FCF"/>
    <w:rsid w:val="00EE0131"/>
    <w:rsid w:val="00EE17B0"/>
    <w:rsid w:val="00EE339A"/>
    <w:rsid w:val="00EE48B2"/>
    <w:rsid w:val="00EF06D9"/>
    <w:rsid w:val="00EF0982"/>
    <w:rsid w:val="00F0307D"/>
    <w:rsid w:val="00F0567E"/>
    <w:rsid w:val="00F126A5"/>
    <w:rsid w:val="00F13555"/>
    <w:rsid w:val="00F24C17"/>
    <w:rsid w:val="00F3049E"/>
    <w:rsid w:val="00F30C64"/>
    <w:rsid w:val="00F32BA2"/>
    <w:rsid w:val="00F32CDB"/>
    <w:rsid w:val="00F3348F"/>
    <w:rsid w:val="00F37280"/>
    <w:rsid w:val="00F41EE4"/>
    <w:rsid w:val="00F4508F"/>
    <w:rsid w:val="00F52918"/>
    <w:rsid w:val="00F565FE"/>
    <w:rsid w:val="00F56D80"/>
    <w:rsid w:val="00F6078A"/>
    <w:rsid w:val="00F63A70"/>
    <w:rsid w:val="00F63D8C"/>
    <w:rsid w:val="00F74FFE"/>
    <w:rsid w:val="00F7534E"/>
    <w:rsid w:val="00F912B8"/>
    <w:rsid w:val="00F93EDF"/>
    <w:rsid w:val="00F94AE7"/>
    <w:rsid w:val="00FA1802"/>
    <w:rsid w:val="00FA21D0"/>
    <w:rsid w:val="00FA4A97"/>
    <w:rsid w:val="00FA5F5F"/>
    <w:rsid w:val="00FB730C"/>
    <w:rsid w:val="00FC01BB"/>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berschrift1">
    <w:name w:val="heading 1"/>
    <w:basedOn w:val="CETHeading1"/>
    <w:next w:val="Standard"/>
    <w:link w:val="berschrift1Zchn"/>
    <w:uiPriority w:val="9"/>
    <w:rsid w:val="004F5E36"/>
    <w:pPr>
      <w:tabs>
        <w:tab w:val="clear" w:pos="360"/>
        <w:tab w:val="right" w:pos="7100"/>
      </w:tabs>
      <w:jc w:val="both"/>
      <w:outlineLvl w:val="0"/>
    </w:pPr>
    <w:rPr>
      <w:lang w:val="en-GB"/>
    </w:rPr>
  </w:style>
  <w:style w:type="paragraph" w:styleId="berschrift2">
    <w:name w:val="heading 2"/>
    <w:basedOn w:val="Standard"/>
    <w:next w:val="Standard"/>
    <w:link w:val="berschrift2Zchn"/>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eEinfach1">
    <w:name w:val="Table Simple 1"/>
    <w:basedOn w:val="NormaleTabel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Kommentarzeichen">
    <w:name w:val="annotation reference"/>
    <w:basedOn w:val="Absatz-Standardschriftart"/>
    <w:uiPriority w:val="99"/>
    <w:semiHidden/>
    <w:unhideWhenUsed/>
    <w:rsid w:val="004577FE"/>
    <w:rPr>
      <w:sz w:val="16"/>
      <w:szCs w:val="16"/>
    </w:rPr>
  </w:style>
  <w:style w:type="paragraph" w:styleId="Sprechblasentext">
    <w:name w:val="Balloon Text"/>
    <w:basedOn w:val="Standard"/>
    <w:link w:val="SprechblasentextZchn"/>
    <w:uiPriority w:val="99"/>
    <w:semiHidden/>
    <w:unhideWhenUsed/>
    <w:rsid w:val="000D34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34BE"/>
    <w:rPr>
      <w:rFonts w:ascii="Tahoma" w:hAnsi="Tahoma" w:cs="Tahoma"/>
      <w:sz w:val="16"/>
      <w:szCs w:val="16"/>
    </w:rPr>
  </w:style>
  <w:style w:type="paragraph" w:styleId="Literaturverzeichnis">
    <w:name w:val="Bibliography"/>
    <w:basedOn w:val="CETReferencetext"/>
    <w:uiPriority w:val="37"/>
    <w:unhideWhenUsed/>
    <w:rsid w:val="00631B33"/>
    <w:pPr>
      <w:spacing w:line="240" w:lineRule="auto"/>
      <w:ind w:left="720" w:hanging="720"/>
    </w:pPr>
  </w:style>
  <w:style w:type="paragraph" w:styleId="Textkrper2">
    <w:name w:val="Body Text 2"/>
    <w:basedOn w:val="Standard"/>
    <w:link w:val="Textkrper2Zchn"/>
    <w:uiPriority w:val="99"/>
    <w:semiHidden/>
    <w:unhideWhenUsed/>
    <w:rsid w:val="0003148D"/>
    <w:pPr>
      <w:spacing w:after="120" w:line="480" w:lineRule="auto"/>
    </w:pPr>
  </w:style>
  <w:style w:type="character" w:customStyle="1" w:styleId="Textkrper2Zchn">
    <w:name w:val="Textkörper 2 Zchn"/>
    <w:basedOn w:val="Absatz-Standardschriftart"/>
    <w:link w:val="Textkrper2"/>
    <w:uiPriority w:val="99"/>
    <w:semiHidden/>
    <w:rsid w:val="0003148D"/>
  </w:style>
  <w:style w:type="paragraph" w:styleId="Textkrper3">
    <w:name w:val="Body Text 3"/>
    <w:basedOn w:val="Standard"/>
    <w:link w:val="Textkrper3Zchn"/>
    <w:uiPriority w:val="99"/>
    <w:semiHidden/>
    <w:unhideWhenUsed/>
    <w:rsid w:val="0003148D"/>
    <w:pPr>
      <w:spacing w:after="120"/>
    </w:pPr>
    <w:rPr>
      <w:sz w:val="16"/>
      <w:szCs w:val="16"/>
    </w:rPr>
  </w:style>
  <w:style w:type="character" w:customStyle="1" w:styleId="Textkrper3Zchn">
    <w:name w:val="Textkörper 3 Zchn"/>
    <w:basedOn w:val="Absatz-Standardschriftart"/>
    <w:link w:val="Textkrper3"/>
    <w:uiPriority w:val="99"/>
    <w:semiHidden/>
    <w:rsid w:val="0003148D"/>
    <w:rPr>
      <w:sz w:val="16"/>
      <w:szCs w:val="16"/>
    </w:rPr>
  </w:style>
  <w:style w:type="paragraph" w:styleId="Textkrper">
    <w:name w:val="Body Text"/>
    <w:basedOn w:val="Standard"/>
    <w:link w:val="TextkrperZchn"/>
    <w:uiPriority w:val="99"/>
    <w:semiHidden/>
    <w:unhideWhenUsed/>
    <w:rsid w:val="0003148D"/>
    <w:pPr>
      <w:spacing w:after="120"/>
    </w:pPr>
  </w:style>
  <w:style w:type="character" w:customStyle="1" w:styleId="TextkrperZchn">
    <w:name w:val="Textkörper Zchn"/>
    <w:basedOn w:val="Absatz-Standardschriftart"/>
    <w:link w:val="Textkrper"/>
    <w:uiPriority w:val="99"/>
    <w:semiHidden/>
    <w:rsid w:val="0003148D"/>
  </w:style>
  <w:style w:type="paragraph" w:styleId="Datum">
    <w:name w:val="Date"/>
    <w:basedOn w:val="Standard"/>
    <w:next w:val="Standard"/>
    <w:link w:val="DatumZchn"/>
    <w:uiPriority w:val="99"/>
    <w:semiHidden/>
    <w:unhideWhenUsed/>
    <w:rsid w:val="0003148D"/>
  </w:style>
  <w:style w:type="character" w:customStyle="1" w:styleId="DatumZchn">
    <w:name w:val="Datum Zchn"/>
    <w:basedOn w:val="Absatz-Standardschriftart"/>
    <w:link w:val="Datum"/>
    <w:uiPriority w:val="99"/>
    <w:semiHidden/>
    <w:rsid w:val="0003148D"/>
  </w:style>
  <w:style w:type="paragraph" w:styleId="Beschriftung">
    <w:name w:val="caption"/>
    <w:basedOn w:val="Standard"/>
    <w:next w:val="Standard"/>
    <w:uiPriority w:val="35"/>
    <w:semiHidden/>
    <w:unhideWhenUsed/>
    <w:qFormat/>
    <w:rsid w:val="0003148D"/>
    <w:pPr>
      <w:spacing w:line="240" w:lineRule="auto"/>
    </w:pPr>
    <w:rPr>
      <w:b/>
      <w:bCs/>
      <w:color w:val="4F81BD" w:themeColor="accent1"/>
      <w:szCs w:val="18"/>
    </w:rPr>
  </w:style>
  <w:style w:type="paragraph" w:styleId="Liste">
    <w:name w:val="List"/>
    <w:basedOn w:val="Standard"/>
    <w:uiPriority w:val="99"/>
    <w:semiHidden/>
    <w:unhideWhenUsed/>
    <w:rsid w:val="0003148D"/>
    <w:pPr>
      <w:ind w:left="283" w:hanging="283"/>
      <w:contextualSpacing/>
    </w:pPr>
  </w:style>
  <w:style w:type="paragraph" w:styleId="Liste2">
    <w:name w:val="List 2"/>
    <w:basedOn w:val="Standard"/>
    <w:uiPriority w:val="99"/>
    <w:semiHidden/>
    <w:unhideWhenUsed/>
    <w:rsid w:val="0003148D"/>
    <w:pPr>
      <w:ind w:left="566" w:hanging="283"/>
      <w:contextualSpacing/>
    </w:pPr>
  </w:style>
  <w:style w:type="paragraph" w:styleId="Liste3">
    <w:name w:val="List 3"/>
    <w:basedOn w:val="Standard"/>
    <w:uiPriority w:val="99"/>
    <w:semiHidden/>
    <w:unhideWhenUsed/>
    <w:rsid w:val="0003148D"/>
    <w:pPr>
      <w:ind w:left="849" w:hanging="283"/>
      <w:contextualSpacing/>
    </w:pPr>
  </w:style>
  <w:style w:type="paragraph" w:styleId="Liste4">
    <w:name w:val="List 4"/>
    <w:basedOn w:val="Standard"/>
    <w:uiPriority w:val="99"/>
    <w:semiHidden/>
    <w:unhideWhenUsed/>
    <w:rsid w:val="0003148D"/>
    <w:pPr>
      <w:ind w:left="1132" w:hanging="283"/>
      <w:contextualSpacing/>
    </w:pPr>
  </w:style>
  <w:style w:type="paragraph" w:styleId="Liste5">
    <w:name w:val="List 5"/>
    <w:basedOn w:val="Standard"/>
    <w:uiPriority w:val="99"/>
    <w:semiHidden/>
    <w:unhideWhenUsed/>
    <w:rsid w:val="0003148D"/>
    <w:pPr>
      <w:ind w:left="1415" w:hanging="283"/>
      <w:contextualSpacing/>
    </w:pPr>
  </w:style>
  <w:style w:type="paragraph" w:styleId="Listenfortsetzung">
    <w:name w:val="List Continue"/>
    <w:basedOn w:val="Standard"/>
    <w:uiPriority w:val="99"/>
    <w:semiHidden/>
    <w:unhideWhenUsed/>
    <w:rsid w:val="0003148D"/>
    <w:pPr>
      <w:spacing w:after="120"/>
      <w:ind w:left="283"/>
      <w:contextualSpacing/>
    </w:pPr>
  </w:style>
  <w:style w:type="paragraph" w:styleId="Listenfortsetzung2">
    <w:name w:val="List Continue 2"/>
    <w:basedOn w:val="Standard"/>
    <w:uiPriority w:val="99"/>
    <w:semiHidden/>
    <w:unhideWhenUsed/>
    <w:rsid w:val="0003148D"/>
    <w:pPr>
      <w:spacing w:after="120"/>
      <w:ind w:left="566"/>
      <w:contextualSpacing/>
    </w:pPr>
  </w:style>
  <w:style w:type="paragraph" w:styleId="Listenfortsetzung3">
    <w:name w:val="List Continue 3"/>
    <w:basedOn w:val="Standard"/>
    <w:uiPriority w:val="99"/>
    <w:semiHidden/>
    <w:unhideWhenUsed/>
    <w:rsid w:val="0003148D"/>
    <w:pPr>
      <w:spacing w:after="120"/>
      <w:ind w:left="849"/>
      <w:contextualSpacing/>
    </w:pPr>
  </w:style>
  <w:style w:type="paragraph" w:styleId="Listenfortsetzung4">
    <w:name w:val="List Continue 4"/>
    <w:basedOn w:val="Standard"/>
    <w:uiPriority w:val="99"/>
    <w:semiHidden/>
    <w:unhideWhenUsed/>
    <w:rsid w:val="0003148D"/>
    <w:pPr>
      <w:spacing w:after="120"/>
      <w:ind w:left="1132"/>
      <w:contextualSpacing/>
    </w:pPr>
  </w:style>
  <w:style w:type="paragraph" w:styleId="Listenfortsetzung5">
    <w:name w:val="List Continue 5"/>
    <w:basedOn w:val="Standard"/>
    <w:uiPriority w:val="99"/>
    <w:semiHidden/>
    <w:unhideWhenUsed/>
    <w:rsid w:val="0003148D"/>
    <w:pPr>
      <w:spacing w:after="120"/>
      <w:ind w:left="1415"/>
      <w:contextualSpacing/>
    </w:pPr>
  </w:style>
  <w:style w:type="paragraph" w:styleId="Unterschrift">
    <w:name w:val="Signature"/>
    <w:basedOn w:val="Standard"/>
    <w:link w:val="UnterschriftZchn"/>
    <w:uiPriority w:val="99"/>
    <w:semiHidden/>
    <w:unhideWhenUsed/>
    <w:rsid w:val="0003148D"/>
    <w:pPr>
      <w:spacing w:line="240" w:lineRule="auto"/>
      <w:ind w:left="4252"/>
    </w:pPr>
  </w:style>
  <w:style w:type="character" w:customStyle="1" w:styleId="UnterschriftZchn">
    <w:name w:val="Unterschrift Zchn"/>
    <w:basedOn w:val="Absatz-Standardschriftart"/>
    <w:link w:val="Unterschrift"/>
    <w:uiPriority w:val="99"/>
    <w:semiHidden/>
    <w:rsid w:val="0003148D"/>
  </w:style>
  <w:style w:type="paragraph" w:styleId="E-Mail-Signatur">
    <w:name w:val="E-mail Signature"/>
    <w:basedOn w:val="Standard"/>
    <w:link w:val="E-Mail-SignaturZchn"/>
    <w:uiPriority w:val="99"/>
    <w:semiHidden/>
    <w:unhideWhenUsed/>
    <w:rsid w:val="0003148D"/>
    <w:pPr>
      <w:spacing w:line="240" w:lineRule="auto"/>
    </w:pPr>
  </w:style>
  <w:style w:type="character" w:customStyle="1" w:styleId="E-Mail-SignaturZchn">
    <w:name w:val="E-Mail-Signatur Zchn"/>
    <w:basedOn w:val="Absatz-Standardschriftart"/>
    <w:link w:val="E-Mail-Signatur"/>
    <w:uiPriority w:val="99"/>
    <w:semiHidden/>
    <w:rsid w:val="0003148D"/>
  </w:style>
  <w:style w:type="paragraph" w:styleId="Anrede">
    <w:name w:val="Salutation"/>
    <w:basedOn w:val="Standard"/>
    <w:next w:val="Standard"/>
    <w:link w:val="AnredeZchn"/>
    <w:uiPriority w:val="99"/>
    <w:semiHidden/>
    <w:unhideWhenUsed/>
    <w:rsid w:val="0003148D"/>
  </w:style>
  <w:style w:type="character" w:customStyle="1" w:styleId="AnredeZchn">
    <w:name w:val="Anrede Zchn"/>
    <w:basedOn w:val="Absatz-Standardschriftart"/>
    <w:link w:val="Anrede"/>
    <w:uiPriority w:val="99"/>
    <w:semiHidden/>
    <w:rsid w:val="0003148D"/>
  </w:style>
  <w:style w:type="paragraph" w:styleId="Gruformel">
    <w:name w:val="Closing"/>
    <w:basedOn w:val="Standard"/>
    <w:link w:val="GruformelZchn"/>
    <w:uiPriority w:val="99"/>
    <w:semiHidden/>
    <w:unhideWhenUsed/>
    <w:rsid w:val="0003148D"/>
    <w:pPr>
      <w:spacing w:line="240" w:lineRule="auto"/>
      <w:ind w:left="4252"/>
    </w:pPr>
  </w:style>
  <w:style w:type="character" w:customStyle="1" w:styleId="GruformelZchn">
    <w:name w:val="Grußformel Zchn"/>
    <w:basedOn w:val="Absatz-Standardschriftart"/>
    <w:link w:val="Gruformel"/>
    <w:uiPriority w:val="99"/>
    <w:semiHidden/>
    <w:rsid w:val="0003148D"/>
  </w:style>
  <w:style w:type="paragraph" w:styleId="Index1">
    <w:name w:val="index 1"/>
    <w:basedOn w:val="Standard"/>
    <w:next w:val="Standard"/>
    <w:autoRedefine/>
    <w:uiPriority w:val="99"/>
    <w:semiHidden/>
    <w:unhideWhenUsed/>
    <w:rsid w:val="0003148D"/>
    <w:pPr>
      <w:spacing w:line="240" w:lineRule="auto"/>
      <w:ind w:left="220" w:hanging="220"/>
    </w:pPr>
  </w:style>
  <w:style w:type="paragraph" w:styleId="Index2">
    <w:name w:val="index 2"/>
    <w:basedOn w:val="Standard"/>
    <w:next w:val="Standard"/>
    <w:autoRedefine/>
    <w:uiPriority w:val="99"/>
    <w:semiHidden/>
    <w:unhideWhenUsed/>
    <w:rsid w:val="0003148D"/>
    <w:pPr>
      <w:spacing w:line="240" w:lineRule="auto"/>
      <w:ind w:left="440" w:hanging="220"/>
    </w:pPr>
  </w:style>
  <w:style w:type="paragraph" w:styleId="Index3">
    <w:name w:val="index 3"/>
    <w:basedOn w:val="Standard"/>
    <w:next w:val="Standard"/>
    <w:autoRedefine/>
    <w:uiPriority w:val="99"/>
    <w:semiHidden/>
    <w:unhideWhenUsed/>
    <w:rsid w:val="0003148D"/>
    <w:pPr>
      <w:spacing w:line="240" w:lineRule="auto"/>
      <w:ind w:left="660" w:hanging="220"/>
    </w:pPr>
  </w:style>
  <w:style w:type="paragraph" w:styleId="Index4">
    <w:name w:val="index 4"/>
    <w:basedOn w:val="Standard"/>
    <w:next w:val="Standard"/>
    <w:autoRedefine/>
    <w:uiPriority w:val="99"/>
    <w:semiHidden/>
    <w:unhideWhenUsed/>
    <w:rsid w:val="0003148D"/>
    <w:pPr>
      <w:spacing w:line="240" w:lineRule="auto"/>
      <w:ind w:left="880" w:hanging="220"/>
    </w:pPr>
  </w:style>
  <w:style w:type="paragraph" w:styleId="Index5">
    <w:name w:val="index 5"/>
    <w:basedOn w:val="Standard"/>
    <w:next w:val="Standard"/>
    <w:autoRedefine/>
    <w:uiPriority w:val="99"/>
    <w:semiHidden/>
    <w:unhideWhenUsed/>
    <w:rsid w:val="0003148D"/>
    <w:pPr>
      <w:spacing w:line="240" w:lineRule="auto"/>
      <w:ind w:left="1100" w:hanging="220"/>
    </w:pPr>
  </w:style>
  <w:style w:type="paragraph" w:styleId="Index6">
    <w:name w:val="index 6"/>
    <w:basedOn w:val="Standard"/>
    <w:next w:val="Standard"/>
    <w:autoRedefine/>
    <w:uiPriority w:val="99"/>
    <w:semiHidden/>
    <w:unhideWhenUsed/>
    <w:rsid w:val="0003148D"/>
    <w:pPr>
      <w:spacing w:line="240" w:lineRule="auto"/>
      <w:ind w:left="1320" w:hanging="220"/>
    </w:pPr>
  </w:style>
  <w:style w:type="paragraph" w:styleId="Index7">
    <w:name w:val="index 7"/>
    <w:basedOn w:val="Standard"/>
    <w:next w:val="Standard"/>
    <w:autoRedefine/>
    <w:uiPriority w:val="99"/>
    <w:semiHidden/>
    <w:unhideWhenUsed/>
    <w:rsid w:val="0003148D"/>
    <w:pPr>
      <w:spacing w:line="240" w:lineRule="auto"/>
      <w:ind w:left="1540" w:hanging="220"/>
    </w:pPr>
  </w:style>
  <w:style w:type="paragraph" w:styleId="Index8">
    <w:name w:val="index 8"/>
    <w:basedOn w:val="Standard"/>
    <w:next w:val="Standard"/>
    <w:autoRedefine/>
    <w:uiPriority w:val="99"/>
    <w:semiHidden/>
    <w:unhideWhenUsed/>
    <w:rsid w:val="0003148D"/>
    <w:pPr>
      <w:spacing w:line="240" w:lineRule="auto"/>
      <w:ind w:left="1760" w:hanging="220"/>
    </w:pPr>
  </w:style>
  <w:style w:type="paragraph" w:styleId="Index9">
    <w:name w:val="index 9"/>
    <w:basedOn w:val="Standard"/>
    <w:next w:val="Standard"/>
    <w:autoRedefine/>
    <w:uiPriority w:val="99"/>
    <w:semiHidden/>
    <w:unhideWhenUsed/>
    <w:rsid w:val="0003148D"/>
    <w:pPr>
      <w:spacing w:line="240" w:lineRule="auto"/>
      <w:ind w:left="1980" w:hanging="220"/>
    </w:pPr>
  </w:style>
  <w:style w:type="paragraph" w:styleId="Abbildungsverzeichnis">
    <w:name w:val="table of figures"/>
    <w:basedOn w:val="Standard"/>
    <w:next w:val="Standard"/>
    <w:uiPriority w:val="99"/>
    <w:semiHidden/>
    <w:unhideWhenUsed/>
    <w:rsid w:val="0003148D"/>
  </w:style>
  <w:style w:type="paragraph" w:styleId="Rechtsgrundlagenverzeichnis">
    <w:name w:val="table of authorities"/>
    <w:basedOn w:val="Standard"/>
    <w:next w:val="Standard"/>
    <w:uiPriority w:val="99"/>
    <w:semiHidden/>
    <w:unhideWhenUsed/>
    <w:rsid w:val="0003148D"/>
    <w:pPr>
      <w:ind w:left="220" w:hanging="220"/>
    </w:pPr>
  </w:style>
  <w:style w:type="paragraph" w:styleId="Umschlagadresse">
    <w:name w:val="envelope address"/>
    <w:basedOn w:val="Standard"/>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resse">
    <w:name w:val="HTML Address"/>
    <w:basedOn w:val="Standard"/>
    <w:link w:val="HTMLAdresseZchn"/>
    <w:uiPriority w:val="99"/>
    <w:semiHidden/>
    <w:unhideWhenUsed/>
    <w:rsid w:val="0003148D"/>
    <w:pPr>
      <w:spacing w:line="240" w:lineRule="auto"/>
    </w:pPr>
    <w:rPr>
      <w:i/>
      <w:iCs/>
    </w:rPr>
  </w:style>
  <w:style w:type="character" w:customStyle="1" w:styleId="HTMLAdresseZchn">
    <w:name w:val="HTML Adresse Zchn"/>
    <w:basedOn w:val="Absatz-Standardschriftart"/>
    <w:link w:val="HTMLAdresse"/>
    <w:uiPriority w:val="99"/>
    <w:semiHidden/>
    <w:rsid w:val="0003148D"/>
    <w:rPr>
      <w:i/>
      <w:iCs/>
    </w:rPr>
  </w:style>
  <w:style w:type="paragraph" w:styleId="Umschlagabsenderadresse">
    <w:name w:val="envelope return"/>
    <w:basedOn w:val="Standard"/>
    <w:uiPriority w:val="99"/>
    <w:semiHidden/>
    <w:unhideWhenUsed/>
    <w:rsid w:val="0003148D"/>
    <w:pPr>
      <w:spacing w:line="240" w:lineRule="auto"/>
    </w:pPr>
    <w:rPr>
      <w:rFonts w:asciiTheme="majorHAnsi" w:eastAsiaTheme="majorEastAsia" w:hAnsiTheme="majorHAnsi" w:cstheme="majorBidi"/>
    </w:rPr>
  </w:style>
  <w:style w:type="paragraph" w:styleId="Nachrichtenkopf">
    <w:name w:val="Message Header"/>
    <w:basedOn w:val="Standard"/>
    <w:link w:val="NachrichtenkopfZchn"/>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3148D"/>
    <w:rPr>
      <w:rFonts w:asciiTheme="majorHAnsi" w:eastAsiaTheme="majorEastAsia" w:hAnsiTheme="majorHAnsi" w:cstheme="majorBidi"/>
      <w:sz w:val="24"/>
      <w:szCs w:val="24"/>
      <w:shd w:val="pct20" w:color="auto" w:fill="auto"/>
    </w:rPr>
  </w:style>
  <w:style w:type="paragraph" w:styleId="Fu-Endnotenberschrift">
    <w:name w:val="Note Heading"/>
    <w:basedOn w:val="Standard"/>
    <w:next w:val="Standard"/>
    <w:link w:val="Fu-EndnotenberschriftZchn"/>
    <w:uiPriority w:val="99"/>
    <w:semiHidden/>
    <w:unhideWhenUsed/>
    <w:rsid w:val="0003148D"/>
    <w:pPr>
      <w:spacing w:line="240" w:lineRule="auto"/>
    </w:pPr>
  </w:style>
  <w:style w:type="character" w:customStyle="1" w:styleId="Fu-EndnotenberschriftZchn">
    <w:name w:val="Fuß/-Endnotenüberschrift Zchn"/>
    <w:basedOn w:val="Absatz-Standardschriftart"/>
    <w:link w:val="Fu-Endnotenberschrift"/>
    <w:uiPriority w:val="99"/>
    <w:semiHidden/>
    <w:rsid w:val="0003148D"/>
  </w:style>
  <w:style w:type="paragraph" w:styleId="Dokumentstruktur">
    <w:name w:val="Document Map"/>
    <w:basedOn w:val="Standard"/>
    <w:link w:val="DokumentstrukturZchn"/>
    <w:uiPriority w:val="99"/>
    <w:semiHidden/>
    <w:unhideWhenUsed/>
    <w:rsid w:val="0003148D"/>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3148D"/>
    <w:rPr>
      <w:rFonts w:ascii="Tahoma" w:hAnsi="Tahoma" w:cs="Tahoma"/>
      <w:sz w:val="16"/>
      <w:szCs w:val="16"/>
    </w:rPr>
  </w:style>
  <w:style w:type="paragraph" w:styleId="StandardWeb">
    <w:name w:val="Normal (Web)"/>
    <w:basedOn w:val="Standard"/>
    <w:uiPriority w:val="99"/>
    <w:semiHidden/>
    <w:unhideWhenUsed/>
    <w:rsid w:val="0003148D"/>
    <w:rPr>
      <w:sz w:val="24"/>
      <w:szCs w:val="24"/>
    </w:rPr>
  </w:style>
  <w:style w:type="paragraph" w:styleId="Listennummer">
    <w:name w:val="List Number"/>
    <w:basedOn w:val="Standard"/>
    <w:uiPriority w:val="99"/>
    <w:semiHidden/>
    <w:unhideWhenUsed/>
    <w:rsid w:val="0003148D"/>
    <w:pPr>
      <w:numPr>
        <w:numId w:val="2"/>
      </w:numPr>
      <w:contextualSpacing/>
    </w:pPr>
  </w:style>
  <w:style w:type="paragraph" w:styleId="Listennummer2">
    <w:name w:val="List Number 2"/>
    <w:basedOn w:val="Standard"/>
    <w:uiPriority w:val="99"/>
    <w:semiHidden/>
    <w:unhideWhenUsed/>
    <w:rsid w:val="0003148D"/>
    <w:pPr>
      <w:numPr>
        <w:numId w:val="3"/>
      </w:numPr>
      <w:contextualSpacing/>
    </w:pPr>
  </w:style>
  <w:style w:type="paragraph" w:styleId="Listennummer3">
    <w:name w:val="List Number 3"/>
    <w:basedOn w:val="Standard"/>
    <w:uiPriority w:val="99"/>
    <w:semiHidden/>
    <w:unhideWhenUsed/>
    <w:rsid w:val="0003148D"/>
    <w:pPr>
      <w:numPr>
        <w:numId w:val="4"/>
      </w:numPr>
      <w:contextualSpacing/>
    </w:pPr>
  </w:style>
  <w:style w:type="paragraph" w:styleId="Listennummer4">
    <w:name w:val="List Number 4"/>
    <w:basedOn w:val="Standard"/>
    <w:uiPriority w:val="99"/>
    <w:semiHidden/>
    <w:unhideWhenUsed/>
    <w:rsid w:val="0003148D"/>
    <w:pPr>
      <w:numPr>
        <w:numId w:val="5"/>
      </w:numPr>
      <w:contextualSpacing/>
    </w:pPr>
  </w:style>
  <w:style w:type="paragraph" w:styleId="Listennummer5">
    <w:name w:val="List Number 5"/>
    <w:basedOn w:val="Standard"/>
    <w:uiPriority w:val="99"/>
    <w:semiHidden/>
    <w:unhideWhenUsed/>
    <w:rsid w:val="0003148D"/>
    <w:pPr>
      <w:numPr>
        <w:numId w:val="6"/>
      </w:numPr>
      <w:contextualSpacing/>
    </w:pPr>
  </w:style>
  <w:style w:type="paragraph" w:styleId="HTMLVorformatiert">
    <w:name w:val="HTML Preformatted"/>
    <w:basedOn w:val="Standard"/>
    <w:link w:val="HTMLVorformatiertZchn"/>
    <w:uiPriority w:val="99"/>
    <w:semiHidden/>
    <w:unhideWhenUsed/>
    <w:rsid w:val="0003148D"/>
    <w:pPr>
      <w:spacing w:line="240" w:lineRule="auto"/>
    </w:pPr>
    <w:rPr>
      <w:rFonts w:ascii="Consolas" w:hAnsi="Consolas" w:cs="Consolas"/>
    </w:rPr>
  </w:style>
  <w:style w:type="character" w:customStyle="1" w:styleId="HTMLVorformatiertZchn">
    <w:name w:val="HTML Vorformatiert Zchn"/>
    <w:basedOn w:val="Absatz-Standardschriftart"/>
    <w:link w:val="HTMLVorformatiert"/>
    <w:uiPriority w:val="99"/>
    <w:semiHidden/>
    <w:rsid w:val="0003148D"/>
    <w:rPr>
      <w:rFonts w:ascii="Consolas" w:hAnsi="Consolas" w:cs="Consolas"/>
      <w:sz w:val="20"/>
      <w:szCs w:val="20"/>
    </w:rPr>
  </w:style>
  <w:style w:type="paragraph" w:styleId="Textkrper-Erstzeileneinzug">
    <w:name w:val="Body Text First Indent"/>
    <w:basedOn w:val="Textkrper"/>
    <w:link w:val="Textkrper-ErstzeileneinzugZchn"/>
    <w:uiPriority w:val="99"/>
    <w:semiHidden/>
    <w:unhideWhenUsed/>
    <w:rsid w:val="0003148D"/>
    <w:pPr>
      <w:spacing w:after="200"/>
      <w:ind w:firstLine="360"/>
    </w:pPr>
  </w:style>
  <w:style w:type="character" w:customStyle="1" w:styleId="Textkrper-ErstzeileneinzugZchn">
    <w:name w:val="Textkörper-Erstzeileneinzug Zchn"/>
    <w:basedOn w:val="TextkrperZchn"/>
    <w:link w:val="Textkrper-Erstzeileneinzug"/>
    <w:uiPriority w:val="99"/>
    <w:semiHidden/>
    <w:rsid w:val="0003148D"/>
  </w:style>
  <w:style w:type="paragraph" w:styleId="Textkrper-Zeileneinzug">
    <w:name w:val="Body Text Indent"/>
    <w:basedOn w:val="Standard"/>
    <w:link w:val="Textkrper-ZeileneinzugZchn"/>
    <w:uiPriority w:val="99"/>
    <w:semiHidden/>
    <w:unhideWhenUsed/>
    <w:rsid w:val="0003148D"/>
    <w:pPr>
      <w:spacing w:after="120"/>
      <w:ind w:left="283"/>
    </w:pPr>
  </w:style>
  <w:style w:type="character" w:customStyle="1" w:styleId="Textkrper-ZeileneinzugZchn">
    <w:name w:val="Textkörper-Zeileneinzug Zchn"/>
    <w:basedOn w:val="Absatz-Standardschriftart"/>
    <w:link w:val="Textkrper-Zeileneinzug"/>
    <w:uiPriority w:val="99"/>
    <w:semiHidden/>
    <w:rsid w:val="0003148D"/>
  </w:style>
  <w:style w:type="paragraph" w:styleId="Textkrper-Erstzeileneinzug2">
    <w:name w:val="Body Text First Indent 2"/>
    <w:basedOn w:val="Textkrper-Zeileneinzug"/>
    <w:link w:val="Textkrper-Erstzeileneinzug2Zchn"/>
    <w:uiPriority w:val="99"/>
    <w:semiHidden/>
    <w:unhideWhenUsed/>
    <w:rsid w:val="0003148D"/>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3148D"/>
  </w:style>
  <w:style w:type="paragraph" w:styleId="Aufzhlungszeichen">
    <w:name w:val="List Bullet"/>
    <w:basedOn w:val="Standard"/>
    <w:uiPriority w:val="99"/>
    <w:unhideWhenUsed/>
    <w:rsid w:val="0003148D"/>
    <w:pPr>
      <w:numPr>
        <w:numId w:val="7"/>
      </w:numPr>
      <w:contextualSpacing/>
    </w:pPr>
  </w:style>
  <w:style w:type="paragraph" w:styleId="Aufzhlungszeichen2">
    <w:name w:val="List Bullet 2"/>
    <w:basedOn w:val="Standard"/>
    <w:uiPriority w:val="99"/>
    <w:semiHidden/>
    <w:unhideWhenUsed/>
    <w:rsid w:val="0003148D"/>
    <w:pPr>
      <w:numPr>
        <w:numId w:val="8"/>
      </w:numPr>
      <w:contextualSpacing/>
    </w:pPr>
  </w:style>
  <w:style w:type="paragraph" w:styleId="Aufzhlungszeichen3">
    <w:name w:val="List Bullet 3"/>
    <w:basedOn w:val="Standard"/>
    <w:uiPriority w:val="99"/>
    <w:semiHidden/>
    <w:unhideWhenUsed/>
    <w:rsid w:val="0003148D"/>
    <w:pPr>
      <w:numPr>
        <w:numId w:val="9"/>
      </w:numPr>
      <w:contextualSpacing/>
    </w:pPr>
  </w:style>
  <w:style w:type="paragraph" w:styleId="Aufzhlungszeichen4">
    <w:name w:val="List Bullet 4"/>
    <w:basedOn w:val="Standard"/>
    <w:uiPriority w:val="99"/>
    <w:semiHidden/>
    <w:unhideWhenUsed/>
    <w:rsid w:val="0003148D"/>
    <w:pPr>
      <w:numPr>
        <w:numId w:val="10"/>
      </w:numPr>
      <w:contextualSpacing/>
    </w:pPr>
  </w:style>
  <w:style w:type="paragraph" w:styleId="Aufzhlungszeichen5">
    <w:name w:val="List Bullet 5"/>
    <w:basedOn w:val="Standard"/>
    <w:uiPriority w:val="99"/>
    <w:semiHidden/>
    <w:unhideWhenUsed/>
    <w:rsid w:val="0003148D"/>
    <w:pPr>
      <w:numPr>
        <w:numId w:val="11"/>
      </w:numPr>
      <w:contextualSpacing/>
    </w:pPr>
  </w:style>
  <w:style w:type="paragraph" w:styleId="Textkrper-Einzug2">
    <w:name w:val="Body Text Indent 2"/>
    <w:basedOn w:val="Standard"/>
    <w:link w:val="Textkrper-Einzug2Zchn"/>
    <w:uiPriority w:val="99"/>
    <w:semiHidden/>
    <w:unhideWhenUsed/>
    <w:rsid w:val="0003148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3148D"/>
  </w:style>
  <w:style w:type="paragraph" w:styleId="Textkrper-Einzug3">
    <w:name w:val="Body Text Indent 3"/>
    <w:basedOn w:val="Standard"/>
    <w:link w:val="Textkrper-Einzug3Zchn"/>
    <w:uiPriority w:val="99"/>
    <w:semiHidden/>
    <w:unhideWhenUsed/>
    <w:rsid w:val="0003148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3148D"/>
    <w:rPr>
      <w:sz w:val="16"/>
      <w:szCs w:val="16"/>
    </w:rPr>
  </w:style>
  <w:style w:type="paragraph" w:styleId="Standardeinzug">
    <w:name w:val="Normal Indent"/>
    <w:basedOn w:val="Standard"/>
    <w:uiPriority w:val="99"/>
    <w:semiHidden/>
    <w:unhideWhenUsed/>
    <w:rsid w:val="0003148D"/>
    <w:pPr>
      <w:ind w:left="720"/>
    </w:pPr>
  </w:style>
  <w:style w:type="paragraph" w:styleId="Kommentartext">
    <w:name w:val="annotation text"/>
    <w:basedOn w:val="Standard"/>
    <w:link w:val="KommentartextZchn"/>
    <w:uiPriority w:val="99"/>
    <w:unhideWhenUsed/>
    <w:rsid w:val="0003148D"/>
    <w:pPr>
      <w:spacing w:line="240" w:lineRule="auto"/>
    </w:pPr>
  </w:style>
  <w:style w:type="character" w:customStyle="1" w:styleId="KommentartextZchn">
    <w:name w:val="Kommentartext Zchn"/>
    <w:basedOn w:val="Absatz-Standardschriftart"/>
    <w:link w:val="Kommentartext"/>
    <w:uiPriority w:val="99"/>
    <w:rsid w:val="0003148D"/>
    <w:rPr>
      <w:sz w:val="20"/>
      <w:szCs w:val="20"/>
    </w:rPr>
  </w:style>
  <w:style w:type="paragraph" w:styleId="Kommentarthema">
    <w:name w:val="annotation subject"/>
    <w:basedOn w:val="Kommentartext"/>
    <w:next w:val="Kommentartext"/>
    <w:link w:val="KommentarthemaZchn"/>
    <w:uiPriority w:val="99"/>
    <w:semiHidden/>
    <w:unhideWhenUsed/>
    <w:rsid w:val="0003148D"/>
    <w:rPr>
      <w:b/>
      <w:bCs/>
    </w:rPr>
  </w:style>
  <w:style w:type="character" w:customStyle="1" w:styleId="KommentarthemaZchn">
    <w:name w:val="Kommentarthema Zchn"/>
    <w:basedOn w:val="KommentartextZchn"/>
    <w:link w:val="Kommentarthema"/>
    <w:uiPriority w:val="99"/>
    <w:semiHidden/>
    <w:rsid w:val="0003148D"/>
    <w:rPr>
      <w:b/>
      <w:bCs/>
      <w:sz w:val="20"/>
      <w:szCs w:val="20"/>
    </w:rPr>
  </w:style>
  <w:style w:type="paragraph" w:styleId="Verzeichnis1">
    <w:name w:val="toc 1"/>
    <w:basedOn w:val="Standard"/>
    <w:next w:val="Standard"/>
    <w:autoRedefine/>
    <w:uiPriority w:val="39"/>
    <w:semiHidden/>
    <w:unhideWhenUsed/>
    <w:rsid w:val="0003148D"/>
    <w:pPr>
      <w:spacing w:after="100"/>
    </w:pPr>
  </w:style>
  <w:style w:type="paragraph" w:styleId="Verzeichnis2">
    <w:name w:val="toc 2"/>
    <w:basedOn w:val="Standard"/>
    <w:next w:val="Standard"/>
    <w:autoRedefine/>
    <w:uiPriority w:val="39"/>
    <w:semiHidden/>
    <w:unhideWhenUsed/>
    <w:rsid w:val="0003148D"/>
    <w:pPr>
      <w:spacing w:after="100"/>
      <w:ind w:left="220"/>
    </w:pPr>
  </w:style>
  <w:style w:type="paragraph" w:styleId="Verzeichnis3">
    <w:name w:val="toc 3"/>
    <w:basedOn w:val="Standard"/>
    <w:next w:val="Standard"/>
    <w:autoRedefine/>
    <w:uiPriority w:val="39"/>
    <w:semiHidden/>
    <w:unhideWhenUsed/>
    <w:rsid w:val="0003148D"/>
    <w:pPr>
      <w:spacing w:after="100"/>
      <w:ind w:left="440"/>
    </w:pPr>
  </w:style>
  <w:style w:type="paragraph" w:styleId="Verzeichnis4">
    <w:name w:val="toc 4"/>
    <w:basedOn w:val="Standard"/>
    <w:next w:val="Standard"/>
    <w:autoRedefine/>
    <w:uiPriority w:val="39"/>
    <w:semiHidden/>
    <w:unhideWhenUsed/>
    <w:rsid w:val="0003148D"/>
    <w:pPr>
      <w:spacing w:after="100"/>
      <w:ind w:left="660"/>
    </w:pPr>
  </w:style>
  <w:style w:type="paragraph" w:styleId="Verzeichnis5">
    <w:name w:val="toc 5"/>
    <w:basedOn w:val="Standard"/>
    <w:next w:val="Standard"/>
    <w:autoRedefine/>
    <w:uiPriority w:val="39"/>
    <w:semiHidden/>
    <w:unhideWhenUsed/>
    <w:rsid w:val="0003148D"/>
    <w:pPr>
      <w:spacing w:after="100"/>
      <w:ind w:left="880"/>
    </w:pPr>
  </w:style>
  <w:style w:type="paragraph" w:styleId="Verzeichnis6">
    <w:name w:val="toc 6"/>
    <w:basedOn w:val="Standard"/>
    <w:next w:val="Standard"/>
    <w:autoRedefine/>
    <w:uiPriority w:val="39"/>
    <w:semiHidden/>
    <w:unhideWhenUsed/>
    <w:rsid w:val="0003148D"/>
    <w:pPr>
      <w:spacing w:after="100"/>
      <w:ind w:left="1100"/>
    </w:pPr>
  </w:style>
  <w:style w:type="paragraph" w:styleId="Verzeichnis7">
    <w:name w:val="toc 7"/>
    <w:basedOn w:val="Standard"/>
    <w:next w:val="Standard"/>
    <w:autoRedefine/>
    <w:uiPriority w:val="39"/>
    <w:semiHidden/>
    <w:unhideWhenUsed/>
    <w:rsid w:val="0003148D"/>
    <w:pPr>
      <w:spacing w:after="100"/>
      <w:ind w:left="1320"/>
    </w:pPr>
  </w:style>
  <w:style w:type="paragraph" w:styleId="Verzeichnis8">
    <w:name w:val="toc 8"/>
    <w:basedOn w:val="Standard"/>
    <w:next w:val="Standard"/>
    <w:autoRedefine/>
    <w:uiPriority w:val="39"/>
    <w:semiHidden/>
    <w:unhideWhenUsed/>
    <w:rsid w:val="0003148D"/>
    <w:pPr>
      <w:spacing w:after="100"/>
      <w:ind w:left="1540"/>
    </w:pPr>
  </w:style>
  <w:style w:type="paragraph" w:styleId="Verzeichnis9">
    <w:name w:val="toc 9"/>
    <w:basedOn w:val="Standard"/>
    <w:next w:val="Standard"/>
    <w:autoRedefine/>
    <w:uiPriority w:val="39"/>
    <w:semiHidden/>
    <w:unhideWhenUsed/>
    <w:rsid w:val="0003148D"/>
    <w:pPr>
      <w:spacing w:after="100"/>
      <w:ind w:left="1760"/>
    </w:pPr>
  </w:style>
  <w:style w:type="paragraph" w:styleId="Blocktext">
    <w:name w:val="Block Text"/>
    <w:basedOn w:val="Standard"/>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krotext">
    <w:name w:val="macro"/>
    <w:link w:val="MakrotextZchn"/>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03148D"/>
    <w:rPr>
      <w:rFonts w:ascii="Consolas" w:hAnsi="Consolas" w:cs="Consolas"/>
      <w:sz w:val="20"/>
      <w:szCs w:val="20"/>
    </w:rPr>
  </w:style>
  <w:style w:type="paragraph" w:styleId="NurText">
    <w:name w:val="Plain Text"/>
    <w:basedOn w:val="Standard"/>
    <w:link w:val="NurTextZchn"/>
    <w:uiPriority w:val="99"/>
    <w:semiHidden/>
    <w:unhideWhenUsed/>
    <w:rsid w:val="0003148D"/>
    <w:pPr>
      <w:spacing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03148D"/>
    <w:rPr>
      <w:rFonts w:ascii="Consolas" w:hAnsi="Consolas" w:cs="Consolas"/>
      <w:sz w:val="21"/>
      <w:szCs w:val="21"/>
    </w:rPr>
  </w:style>
  <w:style w:type="paragraph" w:styleId="Funotentext">
    <w:name w:val="footnote text"/>
    <w:basedOn w:val="Standard"/>
    <w:link w:val="FunotentextZchn"/>
    <w:uiPriority w:val="99"/>
    <w:semiHidden/>
    <w:unhideWhenUsed/>
    <w:rsid w:val="0003148D"/>
    <w:pPr>
      <w:spacing w:line="240" w:lineRule="auto"/>
    </w:pPr>
  </w:style>
  <w:style w:type="character" w:customStyle="1" w:styleId="FunotentextZchn">
    <w:name w:val="Fußnotentext Zchn"/>
    <w:basedOn w:val="Absatz-Standardschriftart"/>
    <w:link w:val="Funotentext"/>
    <w:uiPriority w:val="99"/>
    <w:semiHidden/>
    <w:rsid w:val="0003148D"/>
    <w:rPr>
      <w:sz w:val="20"/>
      <w:szCs w:val="20"/>
    </w:rPr>
  </w:style>
  <w:style w:type="paragraph" w:styleId="Endnotentext">
    <w:name w:val="endnote text"/>
    <w:basedOn w:val="Standard"/>
    <w:link w:val="EndnotentextZchn"/>
    <w:uiPriority w:val="99"/>
    <w:semiHidden/>
    <w:unhideWhenUsed/>
    <w:rsid w:val="0003148D"/>
    <w:pPr>
      <w:spacing w:line="240" w:lineRule="auto"/>
    </w:pPr>
  </w:style>
  <w:style w:type="character" w:customStyle="1" w:styleId="EndnotentextZchn">
    <w:name w:val="Endnotentext Zchn"/>
    <w:basedOn w:val="Absatz-Standardschriftart"/>
    <w:link w:val="Endnotentext"/>
    <w:uiPriority w:val="99"/>
    <w:semiHidden/>
    <w:rsid w:val="0003148D"/>
    <w:rPr>
      <w:sz w:val="20"/>
      <w:szCs w:val="20"/>
    </w:rPr>
  </w:style>
  <w:style w:type="character" w:customStyle="1" w:styleId="berschrift1Zchn">
    <w:name w:val="Überschrift 1 Zchn"/>
    <w:basedOn w:val="Absatz-Standardschriftart"/>
    <w:link w:val="berschrift1"/>
    <w:uiPriority w:val="9"/>
    <w:rsid w:val="004F5E36"/>
    <w:rPr>
      <w:rFonts w:ascii="Arial" w:eastAsia="Times New Roman" w:hAnsi="Arial" w:cs="Times New Roman"/>
      <w:b/>
      <w:sz w:val="20"/>
      <w:szCs w:val="20"/>
      <w:lang w:val="en-GB"/>
    </w:rPr>
  </w:style>
  <w:style w:type="character" w:customStyle="1" w:styleId="berschrift2Zchn">
    <w:name w:val="Überschrift 2 Zchn"/>
    <w:basedOn w:val="Absatz-Standardschriftart"/>
    <w:link w:val="berschrift2"/>
    <w:uiPriority w:val="9"/>
    <w:semiHidden/>
    <w:rsid w:val="0003148D"/>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03148D"/>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03148D"/>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03148D"/>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03148D"/>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03148D"/>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berschrift">
    <w:name w:val="index heading"/>
    <w:basedOn w:val="Standard"/>
    <w:next w:val="Index1"/>
    <w:uiPriority w:val="99"/>
    <w:semiHidden/>
    <w:unhideWhenUsed/>
    <w:rsid w:val="0003148D"/>
    <w:rPr>
      <w:rFonts w:asciiTheme="majorHAnsi" w:eastAsiaTheme="majorEastAsia" w:hAnsiTheme="majorHAnsi" w:cstheme="majorBidi"/>
      <w:b/>
      <w:bCs/>
    </w:rPr>
  </w:style>
  <w:style w:type="paragraph" w:styleId="RGV-berschrift">
    <w:name w:val="toa heading"/>
    <w:basedOn w:val="Standard"/>
    <w:next w:val="Standard"/>
    <w:uiPriority w:val="99"/>
    <w:semiHidden/>
    <w:unhideWhenUsed/>
    <w:rsid w:val="0003148D"/>
    <w:pPr>
      <w:spacing w:before="120"/>
    </w:pPr>
    <w:rPr>
      <w:rFonts w:asciiTheme="majorHAnsi" w:eastAsiaTheme="majorEastAsia" w:hAnsiTheme="majorHAnsi" w:cstheme="majorBidi"/>
      <w:b/>
      <w:bCs/>
      <w:sz w:val="24"/>
      <w:szCs w:val="24"/>
    </w:rPr>
  </w:style>
  <w:style w:type="paragraph" w:styleId="Inhaltsverzeichnisberschrift">
    <w:name w:val="TOC Heading"/>
    <w:basedOn w:val="berschrift1"/>
    <w:next w:val="Standard"/>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bsatz-Standardschriftar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Kopfzeile">
    <w:name w:val="header"/>
    <w:basedOn w:val="Standard"/>
    <w:link w:val="KopfzeileZchn"/>
    <w:uiPriority w:val="99"/>
    <w:unhideWhenUsed/>
    <w:rsid w:val="005278B7"/>
    <w:pPr>
      <w:tabs>
        <w:tab w:val="clear" w:pos="7100"/>
        <w:tab w:val="center" w:pos="4819"/>
        <w:tab w:val="right" w:pos="9638"/>
      </w:tabs>
      <w:spacing w:line="240" w:lineRule="auto"/>
    </w:pPr>
  </w:style>
  <w:style w:type="character" w:customStyle="1" w:styleId="KopfzeileZchn">
    <w:name w:val="Kopfzeile Zchn"/>
    <w:basedOn w:val="Absatz-Standardschriftart"/>
    <w:link w:val="Kopfzeile"/>
    <w:uiPriority w:val="99"/>
    <w:rsid w:val="005278B7"/>
    <w:rPr>
      <w:rFonts w:ascii="Arial" w:eastAsia="Times New Roman" w:hAnsi="Arial" w:cs="Times New Roman"/>
      <w:sz w:val="18"/>
      <w:szCs w:val="20"/>
      <w:lang w:val="en-GB"/>
    </w:rPr>
  </w:style>
  <w:style w:type="paragraph" w:styleId="Fuzeile">
    <w:name w:val="footer"/>
    <w:basedOn w:val="Standard"/>
    <w:link w:val="FuzeileZchn"/>
    <w:uiPriority w:val="99"/>
    <w:unhideWhenUsed/>
    <w:rsid w:val="005278B7"/>
    <w:pPr>
      <w:tabs>
        <w:tab w:val="clear" w:pos="7100"/>
        <w:tab w:val="center" w:pos="4819"/>
        <w:tab w:val="right" w:pos="9638"/>
      </w:tabs>
      <w:spacing w:line="240" w:lineRule="auto"/>
    </w:pPr>
  </w:style>
  <w:style w:type="character" w:customStyle="1" w:styleId="FuzeileZchn">
    <w:name w:val="Fußzeile Zchn"/>
    <w:basedOn w:val="Absatz-Standardschriftart"/>
    <w:link w:val="Fuzeile"/>
    <w:uiPriority w:val="99"/>
    <w:rsid w:val="005278B7"/>
    <w:rPr>
      <w:rFonts w:ascii="Arial" w:eastAsia="Times New Roman" w:hAnsi="Arial" w:cs="Times New Roman"/>
      <w:sz w:val="18"/>
      <w:szCs w:val="20"/>
      <w:lang w:val="en-GB"/>
    </w:rPr>
  </w:style>
  <w:style w:type="table" w:styleId="Tabellenraster">
    <w:name w:val="Table Grid"/>
    <w:basedOn w:val="NormaleTabel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04C62"/>
    <w:rPr>
      <w:color w:val="0000FF" w:themeColor="hyperlink"/>
      <w:u w:val="single"/>
    </w:rPr>
  </w:style>
  <w:style w:type="character" w:customStyle="1" w:styleId="eudoraheader">
    <w:name w:val="eudoraheader"/>
    <w:basedOn w:val="Absatz-Standardschriftar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enabsatz">
    <w:name w:val="List Paragraph"/>
    <w:basedOn w:val="Standard"/>
    <w:uiPriority w:val="34"/>
    <w:rsid w:val="00280FAF"/>
    <w:pPr>
      <w:ind w:left="720"/>
      <w:contextualSpacing/>
    </w:pPr>
  </w:style>
  <w:style w:type="character" w:customStyle="1" w:styleId="gmail-apple-converted-space">
    <w:name w:val="gmail-apple-converted-space"/>
    <w:basedOn w:val="Absatz-Standardschriftart"/>
    <w:rsid w:val="00005A19"/>
  </w:style>
  <w:style w:type="character" w:styleId="NichtaufgelsteErwhnung">
    <w:name w:val="Unresolved Mention"/>
    <w:basedOn w:val="Absatz-Standardschriftart"/>
    <w:uiPriority w:val="99"/>
    <w:semiHidden/>
    <w:unhideWhenUsed/>
    <w:rsid w:val="00F0567E"/>
    <w:rPr>
      <w:color w:val="605E5C"/>
      <w:shd w:val="clear" w:color="auto" w:fill="E1DFDD"/>
    </w:rPr>
  </w:style>
  <w:style w:type="paragraph" w:styleId="berarbeitung">
    <w:name w:val="Revision"/>
    <w:hidden/>
    <w:uiPriority w:val="99"/>
    <w:semiHidden/>
    <w:rsid w:val="00044BC3"/>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87554">
      <w:bodyDiv w:val="1"/>
      <w:marLeft w:val="0"/>
      <w:marRight w:val="0"/>
      <w:marTop w:val="0"/>
      <w:marBottom w:val="0"/>
      <w:divBdr>
        <w:top w:val="none" w:sz="0" w:space="0" w:color="auto"/>
        <w:left w:val="none" w:sz="0" w:space="0" w:color="auto"/>
        <w:bottom w:val="none" w:sz="0" w:space="0" w:color="auto"/>
        <w:right w:val="none" w:sz="0" w:space="0" w:color="auto"/>
      </w:divBdr>
    </w:div>
    <w:div w:id="522330422">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71948">
      <w:bodyDiv w:val="1"/>
      <w:marLeft w:val="0"/>
      <w:marRight w:val="0"/>
      <w:marTop w:val="0"/>
      <w:marBottom w:val="0"/>
      <w:divBdr>
        <w:top w:val="none" w:sz="0" w:space="0" w:color="auto"/>
        <w:left w:val="none" w:sz="0" w:space="0" w:color="auto"/>
        <w:bottom w:val="none" w:sz="0" w:space="0" w:color="auto"/>
        <w:right w:val="none" w:sz="0" w:space="0" w:color="auto"/>
      </w:divBdr>
    </w:div>
    <w:div w:id="1279872331">
      <w:bodyDiv w:val="1"/>
      <w:marLeft w:val="0"/>
      <w:marRight w:val="0"/>
      <w:marTop w:val="0"/>
      <w:marBottom w:val="0"/>
      <w:divBdr>
        <w:top w:val="none" w:sz="0" w:space="0" w:color="auto"/>
        <w:left w:val="none" w:sz="0" w:space="0" w:color="auto"/>
        <w:bottom w:val="none" w:sz="0" w:space="0" w:color="auto"/>
        <w:right w:val="none" w:sz="0" w:space="0" w:color="auto"/>
      </w:divBdr>
    </w:div>
    <w:div w:id="1291131454">
      <w:bodyDiv w:val="1"/>
      <w:marLeft w:val="0"/>
      <w:marRight w:val="0"/>
      <w:marTop w:val="0"/>
      <w:marBottom w:val="0"/>
      <w:divBdr>
        <w:top w:val="none" w:sz="0" w:space="0" w:color="auto"/>
        <w:left w:val="none" w:sz="0" w:space="0" w:color="auto"/>
        <w:bottom w:val="none" w:sz="0" w:space="0" w:color="auto"/>
        <w:right w:val="none" w:sz="0" w:space="0" w:color="auto"/>
      </w:divBdr>
      <w:divsChild>
        <w:div w:id="746456767">
          <w:marLeft w:val="0"/>
          <w:marRight w:val="0"/>
          <w:marTop w:val="0"/>
          <w:marBottom w:val="0"/>
          <w:divBdr>
            <w:top w:val="none" w:sz="0" w:space="0" w:color="auto"/>
            <w:left w:val="none" w:sz="0" w:space="0" w:color="auto"/>
            <w:bottom w:val="none" w:sz="0" w:space="0" w:color="auto"/>
            <w:right w:val="none" w:sz="0" w:space="0" w:color="auto"/>
          </w:divBdr>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3789250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131241">
      <w:bodyDiv w:val="1"/>
      <w:marLeft w:val="0"/>
      <w:marRight w:val="0"/>
      <w:marTop w:val="0"/>
      <w:marBottom w:val="0"/>
      <w:divBdr>
        <w:top w:val="none" w:sz="0" w:space="0" w:color="auto"/>
        <w:left w:val="none" w:sz="0" w:space="0" w:color="auto"/>
        <w:bottom w:val="none" w:sz="0" w:space="0" w:color="auto"/>
        <w:right w:val="none" w:sz="0" w:space="0" w:color="auto"/>
      </w:divBdr>
    </w:div>
    <w:div w:id="1715688970">
      <w:bodyDiv w:val="1"/>
      <w:marLeft w:val="0"/>
      <w:marRight w:val="0"/>
      <w:marTop w:val="0"/>
      <w:marBottom w:val="0"/>
      <w:divBdr>
        <w:top w:val="none" w:sz="0" w:space="0" w:color="auto"/>
        <w:left w:val="none" w:sz="0" w:space="0" w:color="auto"/>
        <w:bottom w:val="none" w:sz="0" w:space="0" w:color="auto"/>
        <w:right w:val="none" w:sz="0" w:space="0" w:color="auto"/>
      </w:divBdr>
    </w:div>
    <w:div w:id="1795827628">
      <w:bodyDiv w:val="1"/>
      <w:marLeft w:val="0"/>
      <w:marRight w:val="0"/>
      <w:marTop w:val="0"/>
      <w:marBottom w:val="0"/>
      <w:divBdr>
        <w:top w:val="none" w:sz="0" w:space="0" w:color="auto"/>
        <w:left w:val="none" w:sz="0" w:space="0" w:color="auto"/>
        <w:bottom w:val="none" w:sz="0" w:space="0" w:color="auto"/>
        <w:right w:val="none" w:sz="0" w:space="0" w:color="auto"/>
      </w:divBdr>
    </w:div>
    <w:div w:id="1915045294">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4031</Words>
  <Characters>22979</Characters>
  <Application>Microsoft Office Word</Application>
  <DocSecurity>0</DocSecurity>
  <Lines>191</Lines>
  <Paragraphs>53</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Daniel Greiner</cp:lastModifiedBy>
  <cp:revision>64</cp:revision>
  <cp:lastPrinted>2026-09-01T19:01:00Z</cp:lastPrinted>
  <dcterms:created xsi:type="dcterms:W3CDTF">2026-08-14T21:06:00Z</dcterms:created>
  <dcterms:modified xsi:type="dcterms:W3CDTF">2026-09-01T19:29:00Z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