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405991" w:rsidRPr="00B57B36" w14:paraId="32C3355F" w14:textId="77777777" w:rsidTr="00DE264A">
        <w:trPr>
          <w:trHeight w:val="852"/>
          <w:jc w:val="center"/>
        </w:trPr>
        <w:tc>
          <w:tcPr>
            <w:tcW w:w="6946" w:type="dxa"/>
            <w:vMerge w:val="restart"/>
            <w:tcBorders>
              <w:right w:val="single" w:sz="4" w:space="0" w:color="auto"/>
            </w:tcBorders>
          </w:tcPr>
          <w:p w14:paraId="072B0493" w14:textId="77777777" w:rsidR="00405991" w:rsidRPr="00B57B36" w:rsidRDefault="00405991"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509DBE02" wp14:editId="4E8F2E37">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185B3194" w14:textId="77777777" w:rsidR="00405991" w:rsidRPr="00B57B36" w:rsidRDefault="00405991"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Pr>
                <w:rFonts w:cs="Arial"/>
                <w:b/>
                <w:bCs/>
                <w:i/>
                <w:iCs/>
                <w:color w:val="000066"/>
                <w:sz w:val="22"/>
                <w:szCs w:val="22"/>
                <w:lang w:eastAsia="it-IT"/>
              </w:rPr>
              <w:t xml:space="preserve"> xxx, 2026</w:t>
            </w:r>
          </w:p>
        </w:tc>
        <w:tc>
          <w:tcPr>
            <w:tcW w:w="1843" w:type="dxa"/>
            <w:tcBorders>
              <w:left w:val="single" w:sz="4" w:space="0" w:color="auto"/>
              <w:bottom w:val="nil"/>
              <w:right w:val="single" w:sz="4" w:space="0" w:color="auto"/>
            </w:tcBorders>
          </w:tcPr>
          <w:p w14:paraId="7D89BAC0" w14:textId="77777777" w:rsidR="00405991" w:rsidRPr="00B57B36" w:rsidRDefault="00405991" w:rsidP="00CD5FE2">
            <w:pPr>
              <w:spacing w:line="140" w:lineRule="atLeast"/>
              <w:jc w:val="right"/>
              <w:rPr>
                <w:rFonts w:cs="Arial"/>
                <w:sz w:val="14"/>
                <w:szCs w:val="14"/>
              </w:rPr>
            </w:pPr>
            <w:r w:rsidRPr="00B57B36">
              <w:rPr>
                <w:rFonts w:cs="Arial"/>
                <w:sz w:val="14"/>
                <w:szCs w:val="14"/>
              </w:rPr>
              <w:t>A publication of</w:t>
            </w:r>
          </w:p>
          <w:p w14:paraId="27CE5C9A" w14:textId="77777777" w:rsidR="00405991" w:rsidRPr="00B57B36" w:rsidRDefault="00405991" w:rsidP="00CD5FE2">
            <w:pPr>
              <w:jc w:val="right"/>
            </w:pPr>
            <w:r w:rsidRPr="00B57B36">
              <w:rPr>
                <w:noProof/>
                <w:lang w:val="it-IT" w:eastAsia="it-IT"/>
              </w:rPr>
              <w:drawing>
                <wp:inline distT="0" distB="0" distL="0" distR="0" wp14:anchorId="65ECC580" wp14:editId="4761B151">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405991" w:rsidRPr="00B57B36" w14:paraId="6FA66B4C" w14:textId="77777777" w:rsidTr="00DE264A">
        <w:trPr>
          <w:trHeight w:val="567"/>
          <w:jc w:val="center"/>
        </w:trPr>
        <w:tc>
          <w:tcPr>
            <w:tcW w:w="6946" w:type="dxa"/>
            <w:vMerge/>
            <w:tcBorders>
              <w:right w:val="single" w:sz="4" w:space="0" w:color="auto"/>
            </w:tcBorders>
          </w:tcPr>
          <w:p w14:paraId="05E3448C" w14:textId="77777777" w:rsidR="00405991" w:rsidRPr="00B57B36" w:rsidRDefault="00405991" w:rsidP="00CD5FE2">
            <w:pPr>
              <w:tabs>
                <w:tab w:val="left" w:pos="-108"/>
              </w:tabs>
            </w:pPr>
          </w:p>
        </w:tc>
        <w:tc>
          <w:tcPr>
            <w:tcW w:w="1843" w:type="dxa"/>
            <w:tcBorders>
              <w:left w:val="single" w:sz="4" w:space="0" w:color="auto"/>
              <w:bottom w:val="nil"/>
              <w:right w:val="single" w:sz="4" w:space="0" w:color="auto"/>
            </w:tcBorders>
          </w:tcPr>
          <w:p w14:paraId="7AC969D3" w14:textId="77777777" w:rsidR="00405991" w:rsidRPr="00B57B36" w:rsidRDefault="00405991" w:rsidP="00CD5FE2">
            <w:pPr>
              <w:spacing w:line="140" w:lineRule="atLeast"/>
              <w:jc w:val="right"/>
              <w:rPr>
                <w:rFonts w:cs="Arial"/>
                <w:sz w:val="14"/>
                <w:szCs w:val="14"/>
              </w:rPr>
            </w:pPr>
            <w:r w:rsidRPr="00B57B36">
              <w:rPr>
                <w:rFonts w:cs="Arial"/>
                <w:sz w:val="14"/>
                <w:szCs w:val="14"/>
              </w:rPr>
              <w:t>The Italian Association</w:t>
            </w:r>
          </w:p>
          <w:p w14:paraId="1BEDC1FC" w14:textId="77777777" w:rsidR="00405991" w:rsidRPr="00B57B36" w:rsidRDefault="00405991" w:rsidP="00CD5FE2">
            <w:pPr>
              <w:spacing w:line="140" w:lineRule="atLeast"/>
              <w:jc w:val="right"/>
              <w:rPr>
                <w:rFonts w:cs="Arial"/>
                <w:sz w:val="14"/>
                <w:szCs w:val="14"/>
              </w:rPr>
            </w:pPr>
            <w:r w:rsidRPr="00B57B36">
              <w:rPr>
                <w:rFonts w:cs="Arial"/>
                <w:sz w:val="14"/>
                <w:szCs w:val="14"/>
              </w:rPr>
              <w:t>of Chemical Engineering</w:t>
            </w:r>
          </w:p>
          <w:p w14:paraId="0B379D9E" w14:textId="77777777" w:rsidR="00405991" w:rsidRPr="000D0268" w:rsidRDefault="00405991" w:rsidP="00CD5FE2">
            <w:pPr>
              <w:spacing w:line="140" w:lineRule="atLeast"/>
              <w:jc w:val="right"/>
              <w:rPr>
                <w:rFonts w:cs="Arial"/>
                <w:sz w:val="13"/>
                <w:szCs w:val="13"/>
              </w:rPr>
            </w:pPr>
            <w:r w:rsidRPr="000D0268">
              <w:rPr>
                <w:rFonts w:cs="Arial"/>
                <w:sz w:val="13"/>
                <w:szCs w:val="13"/>
              </w:rPr>
              <w:t>Online at www.cetjournal.it</w:t>
            </w:r>
          </w:p>
        </w:tc>
      </w:tr>
      <w:tr w:rsidR="00405991" w:rsidRPr="00B57B36" w14:paraId="097120B4" w14:textId="77777777" w:rsidTr="00DE264A">
        <w:trPr>
          <w:trHeight w:val="68"/>
          <w:jc w:val="center"/>
        </w:trPr>
        <w:tc>
          <w:tcPr>
            <w:tcW w:w="8789" w:type="dxa"/>
            <w:gridSpan w:val="2"/>
          </w:tcPr>
          <w:p w14:paraId="5E6F2597" w14:textId="77777777" w:rsidR="00405991" w:rsidRPr="00CB2614" w:rsidRDefault="00405991"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Flavio Manenti, </w:t>
            </w:r>
            <w:proofErr w:type="spellStart"/>
            <w:r w:rsidRPr="00CB2614">
              <w:rPr>
                <w:rFonts w:ascii="Tahoma" w:hAnsi="Tahoma" w:cs="Tahoma"/>
                <w:color w:val="000000"/>
                <w:sz w:val="14"/>
                <w:szCs w:val="14"/>
                <w:shd w:val="clear" w:color="auto" w:fill="FFFFFF"/>
                <w:lang w:val="it-IT"/>
              </w:rPr>
              <w:t>Botir</w:t>
            </w:r>
            <w:proofErr w:type="spellEnd"/>
            <w:r w:rsidRPr="00CB2614">
              <w:rPr>
                <w:rFonts w:ascii="Tahoma" w:hAnsi="Tahoma" w:cs="Tahoma"/>
                <w:color w:val="000000"/>
                <w:sz w:val="14"/>
                <w:szCs w:val="14"/>
                <w:shd w:val="clear" w:color="auto" w:fill="FFFFFF"/>
                <w:lang w:val="it-IT"/>
              </w:rPr>
              <w:t xml:space="preserve"> </w:t>
            </w:r>
            <w:proofErr w:type="spellStart"/>
            <w:r w:rsidRPr="00CB2614">
              <w:rPr>
                <w:rFonts w:ascii="Tahoma" w:hAnsi="Tahoma" w:cs="Tahoma"/>
                <w:color w:val="000000"/>
                <w:sz w:val="14"/>
                <w:szCs w:val="14"/>
                <w:shd w:val="clear" w:color="auto" w:fill="FFFFFF"/>
                <w:lang w:val="it-IT"/>
              </w:rPr>
              <w:t>Usmonov</w:t>
            </w:r>
            <w:proofErr w:type="spellEnd"/>
            <w:r w:rsidRPr="00CB2614">
              <w:rPr>
                <w:rFonts w:ascii="Tahoma" w:hAnsi="Tahoma" w:cs="Tahoma"/>
                <w:color w:val="000000"/>
                <w:sz w:val="14"/>
                <w:szCs w:val="14"/>
                <w:shd w:val="clear" w:color="auto" w:fill="FFFFFF"/>
                <w:lang w:val="it-IT"/>
              </w:rPr>
              <w:t>, Alessandro Di Pretoro</w:t>
            </w:r>
          </w:p>
          <w:p w14:paraId="6901E9BF" w14:textId="77777777" w:rsidR="00405991" w:rsidRPr="00B57B36" w:rsidRDefault="00405991" w:rsidP="00AA7D26">
            <w:pPr>
              <w:tabs>
                <w:tab w:val="left" w:pos="-108"/>
              </w:tabs>
              <w:spacing w:line="140" w:lineRule="atLeast"/>
              <w:ind w:left="-107"/>
              <w:jc w:val="left"/>
            </w:pPr>
            <w:r>
              <w:rPr>
                <w:rFonts w:ascii="Tahoma" w:hAnsi="Tahoma" w:cs="Tahoma"/>
                <w:iCs/>
                <w:color w:val="333333"/>
                <w:sz w:val="14"/>
                <w:szCs w:val="14"/>
                <w:lang w:eastAsia="it-IT"/>
              </w:rPr>
              <w:t>Copyright © 2026</w:t>
            </w:r>
            <w:r w:rsidRPr="00B57B36">
              <w:rPr>
                <w:rFonts w:ascii="Tahoma" w:hAnsi="Tahoma" w:cs="Tahoma"/>
                <w:iCs/>
                <w:color w:val="333333"/>
                <w:sz w:val="14"/>
                <w:szCs w:val="14"/>
                <w:lang w:eastAsia="it-IT"/>
              </w:rPr>
              <w:t xml:space="preserve">, AIDIC </w:t>
            </w:r>
            <w:proofErr w:type="spellStart"/>
            <w:r w:rsidRPr="00B57B36">
              <w:rPr>
                <w:rFonts w:ascii="Tahoma" w:hAnsi="Tahoma" w:cs="Tahoma"/>
                <w:iCs/>
                <w:color w:val="333333"/>
                <w:sz w:val="14"/>
                <w:szCs w:val="14"/>
                <w:lang w:eastAsia="it-IT"/>
              </w:rPr>
              <w:t>Servizi</w:t>
            </w:r>
            <w:proofErr w:type="spellEnd"/>
            <w:r w:rsidRPr="00B57B36">
              <w:rPr>
                <w:rFonts w:ascii="Tahoma" w:hAnsi="Tahoma" w:cs="Tahoma"/>
                <w:iCs/>
                <w:color w:val="333333"/>
                <w:sz w:val="14"/>
                <w:szCs w:val="14"/>
                <w:lang w:eastAsia="it-IT"/>
              </w:rPr>
              <w:t xml:space="preserve">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Pr="000562A9">
              <w:rPr>
                <w:rFonts w:ascii="Tahoma" w:hAnsi="Tahoma" w:cs="Tahoma"/>
                <w:sz w:val="14"/>
                <w:szCs w:val="14"/>
              </w:rPr>
              <w:t>97</w:t>
            </w:r>
            <w:r>
              <w:rPr>
                <w:rFonts w:ascii="Tahoma" w:hAnsi="Tahoma" w:cs="Tahoma"/>
                <w:sz w:val="14"/>
                <w:szCs w:val="14"/>
              </w:rPr>
              <w:t>9</w:t>
            </w:r>
            <w:r w:rsidRPr="000562A9">
              <w:rPr>
                <w:rFonts w:ascii="Tahoma" w:hAnsi="Tahoma" w:cs="Tahoma"/>
                <w:sz w:val="14"/>
                <w:szCs w:val="14"/>
              </w:rPr>
              <w:t>-</w:t>
            </w:r>
            <w:r>
              <w:rPr>
                <w:rFonts w:ascii="Tahoma" w:hAnsi="Tahoma" w:cs="Tahoma"/>
                <w:sz w:val="14"/>
                <w:szCs w:val="14"/>
              </w:rPr>
              <w:t>12</w:t>
            </w:r>
            <w:r w:rsidRPr="000562A9">
              <w:rPr>
                <w:rFonts w:ascii="Tahoma" w:hAnsi="Tahoma" w:cs="Tahoma"/>
                <w:sz w:val="14"/>
                <w:szCs w:val="14"/>
              </w:rPr>
              <w:t>-</w:t>
            </w:r>
            <w:r>
              <w:rPr>
                <w:rFonts w:ascii="Tahoma" w:hAnsi="Tahoma" w:cs="Tahoma"/>
                <w:sz w:val="14"/>
                <w:szCs w:val="14"/>
              </w:rPr>
              <w:t>81206-xx-x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54004479" w14:textId="77777777" w:rsidR="00405991" w:rsidRPr="00B57B36" w:rsidRDefault="00405991" w:rsidP="00E978D0">
      <w:pPr>
        <w:pStyle w:val="CETTitle"/>
      </w:pPr>
      <w:r w:rsidRPr="00EC1A81">
        <w:t>Perspective in Electrified Biotechnologies for Hydrogen Production from Organic Waste</w:t>
      </w:r>
    </w:p>
    <w:p w14:paraId="294FC0CE" w14:textId="77777777" w:rsidR="00405991" w:rsidRPr="00EC1A81" w:rsidRDefault="00405991" w:rsidP="00B57E6F">
      <w:pPr>
        <w:pStyle w:val="CETAuthors"/>
        <w:rPr>
          <w:lang w:val="it-IT"/>
        </w:rPr>
      </w:pPr>
      <w:r w:rsidRPr="00EC1A81">
        <w:rPr>
          <w:lang w:val="it-IT"/>
        </w:rPr>
        <w:t>Angela Marchetti, Matteo Serafini, Martina Trinchillo, Marco Zeppilli</w:t>
      </w:r>
      <w:r>
        <w:rPr>
          <w:lang w:val="it-IT"/>
        </w:rPr>
        <w:t>*</w:t>
      </w:r>
    </w:p>
    <w:p w14:paraId="73A4796C" w14:textId="77777777" w:rsidR="00405991" w:rsidRPr="00B57B36" w:rsidRDefault="00405991" w:rsidP="00B57E6F">
      <w:pPr>
        <w:pStyle w:val="CETAddress"/>
      </w:pPr>
      <w:r w:rsidRPr="00EC1A81">
        <w:t>Department of Chemistry, University of Rome Sapienza, Piazzale Aldo Moro 5 00185 Rome, Italy</w:t>
      </w:r>
    </w:p>
    <w:p w14:paraId="07D3153B" w14:textId="77777777" w:rsidR="00405991" w:rsidRPr="00B57B36" w:rsidRDefault="00405991" w:rsidP="00B57E6F">
      <w:pPr>
        <w:pStyle w:val="CETemail"/>
      </w:pPr>
      <w:r>
        <w:t>*marco.zeppilli@uniroma1.it</w:t>
      </w:r>
    </w:p>
    <w:p w14:paraId="47E2289D" w14:textId="77777777" w:rsidR="00405991" w:rsidRDefault="00405991" w:rsidP="00600535">
      <w:pPr>
        <w:pStyle w:val="CETBodytext"/>
        <w:rPr>
          <w:lang w:val="en-GB"/>
        </w:rPr>
      </w:pPr>
      <w:r w:rsidRPr="00EC1A81">
        <w:rPr>
          <w:lang w:val="en-GB"/>
        </w:rPr>
        <w:t>The transition toward a sustainable hydrogen economy necessitates the development of high-efficiency recovery processes from renewable biogenic sources, such as organic industrial wastewaters and solid residues. Conventional biological hydrogen production, primarily represented by dark fermentation, is often restricted by thermodynamic and stoichiometric barriers that limit the overall energy recovery and specific hydrogen yield. A promising perspective to overcome these bottlenecks involves the integration of electrified biotechnologies, where biological pathways are synergistically coupled with bioelectrochemical and electrochemical refining stages. The inclusion of a</w:t>
      </w:r>
      <w:r>
        <w:rPr>
          <w:lang w:val="en-GB"/>
        </w:rPr>
        <w:t xml:space="preserve">n </w:t>
      </w:r>
      <w:r w:rsidRPr="00EC1A81">
        <w:rPr>
          <w:lang w:val="en-GB"/>
        </w:rPr>
        <w:t>advanced electrolysis stage further ensures the oxidation of residual organic matter, providing a flexible refining response to varying load qualities through tailored electrochemical sensors. Moreover, beyond hydrogen generation, this integrated platform facilitates advanced carbon management, indeed the spontaneous alkalinity generated during the electrochemical processes enables the selective removal of biogenic carbon dioxide from the biogas stream through chemical sorption, potentially yielding high-purity hydrogen streams close to 100%. The present study presents a detailed analysis of different case study scenarios in which integrated biological, bioelectrochemical, and electrochemical technologies are used for the treatment of various organic waste streams, such as food processing wastewater and the organic fraction of municipal solid waste. These different case studies have been characterized through the use of mass, energy, and electron balances. The final outcome is a circular process that simultaneously achieves water purification, carbon sequestration, and high-efficiency energy recovery, maintaining competitive operational costs and energy consumption levels compared to traditional electrolysis</w:t>
      </w:r>
    </w:p>
    <w:p w14:paraId="4A3CE102" w14:textId="77777777" w:rsidR="00405991" w:rsidRPr="00B57B36" w:rsidRDefault="00405991" w:rsidP="00600535">
      <w:pPr>
        <w:pStyle w:val="CETHeading1"/>
        <w:rPr>
          <w:lang w:val="en-GB"/>
        </w:rPr>
      </w:pPr>
      <w:r w:rsidRPr="00B57B36">
        <w:rPr>
          <w:lang w:val="en-GB"/>
        </w:rPr>
        <w:t>Introduction</w:t>
      </w:r>
    </w:p>
    <w:p w14:paraId="7BD3563A" w14:textId="217AE2C1" w:rsidR="00405991" w:rsidRDefault="00405991" w:rsidP="00F05D4E">
      <w:pPr>
        <w:pStyle w:val="CETBodytext"/>
      </w:pPr>
      <w:r w:rsidRPr="00EC1A81">
        <w:rPr>
          <w:lang w:val="en-GB"/>
        </w:rPr>
        <w:t>Energy consumption and the Human Development Index (HDI) have historically shown a strong correlation, whereby small increases in per-capita energy use at low development levels lead to significant gains in HDI. As global population growth continues, energy demand is expected to rise significantly, intensifying pressure on existing energy systems. Today, energy production and consumption account for approximately 75% of global greenhouse-gas emissions, making the energy sector the primary driver of climate change</w:t>
      </w:r>
      <w:r>
        <w:rPr>
          <w:lang w:val="en-GB"/>
        </w:rPr>
        <w:t xml:space="preserve"> </w:t>
      </w:r>
      <w:r>
        <w:rPr>
          <w:noProof/>
          <w:lang w:val="en-GB"/>
        </w:rPr>
        <w:t>(Mancini et al., 2021)</w:t>
      </w:r>
      <w:r w:rsidRPr="00EC1A81">
        <w:rPr>
          <w:lang w:val="en-GB"/>
        </w:rPr>
        <w:t>. Decoupling socio-economic development from carbon-intensive energy sources is therefore a core challenge for long-term sustainability</w:t>
      </w:r>
      <w:r>
        <w:rPr>
          <w:lang w:val="en-GB"/>
        </w:rPr>
        <w:t xml:space="preserve"> </w:t>
      </w:r>
      <w:r>
        <w:rPr>
          <w:noProof/>
          <w:lang w:val="en-GB"/>
        </w:rPr>
        <w:t>(Bluerisk, 2023)</w:t>
      </w:r>
      <w:r w:rsidRPr="00EC1A81">
        <w:rPr>
          <w:lang w:val="en-GB"/>
        </w:rPr>
        <w:t xml:space="preserve">. In this context, green hydrogen has emerged as a key enabler of deep decarbonisation, offering a clean and flexible energy carrier capable of linking renewable electricity with hard-to-abate sectors such as industry, </w:t>
      </w:r>
      <w:proofErr w:type="gramStart"/>
      <w:r w:rsidRPr="00EC1A81">
        <w:rPr>
          <w:lang w:val="en-GB"/>
        </w:rPr>
        <w:t>chemicals</w:t>
      </w:r>
      <w:proofErr w:type="gramEnd"/>
      <w:r w:rsidRPr="00EC1A81">
        <w:rPr>
          <w:lang w:val="en-GB"/>
        </w:rPr>
        <w:t xml:space="preserve"> and transport</w:t>
      </w:r>
      <w:r>
        <w:rPr>
          <w:lang w:val="en-GB"/>
        </w:rPr>
        <w:t xml:space="preserve"> </w:t>
      </w:r>
      <w:r>
        <w:rPr>
          <w:noProof/>
          <w:lang w:val="en-GB"/>
        </w:rPr>
        <w:t>(Marchetti et al., 2026a)</w:t>
      </w:r>
      <w:r w:rsidRPr="00EC1A81">
        <w:rPr>
          <w:lang w:val="en-GB"/>
        </w:rPr>
        <w:t>. At the same time, large-scale hydrogen deployment introduces significant challenges, particularly related to freshwater consumption, which is projected to increase six-fold by 2050, reaching 12.1 billion m</w:t>
      </w:r>
      <w:r w:rsidRPr="00B54ECA">
        <w:rPr>
          <w:vertAlign w:val="superscript"/>
          <w:lang w:val="en-GB"/>
        </w:rPr>
        <w:t>3</w:t>
      </w:r>
      <w:r w:rsidRPr="00EC1A81">
        <w:rPr>
          <w:lang w:val="en-GB"/>
        </w:rPr>
        <w:t xml:space="preserve"> per year</w:t>
      </w:r>
      <w:r>
        <w:rPr>
          <w:lang w:val="en-GB"/>
        </w:rPr>
        <w:t xml:space="preserve">. </w:t>
      </w:r>
      <w:r w:rsidRPr="00EC1A81">
        <w:rPr>
          <w:lang w:val="en-GB"/>
        </w:rPr>
        <w:t>Despite intense research activity, current hydrogen production and wastewater treatment technologies remain fragmented and technology-specific, often addressing energy generation and waste management as separate challenges. Water electrolysis reliably produces high-purity hydrogen but remains electricity- and freshwater-intensive and does not valorise organic waste streams. Biological routes such as dark fermentation (DF) enable hydrogen production from wastewater but are constrained by thermodynamic and stoichiometric limits, resulting in incomplete substrate conversion and modest hydrogen yields</w:t>
      </w:r>
      <w:r>
        <w:rPr>
          <w:lang w:val="en-GB"/>
        </w:rPr>
        <w:t xml:space="preserve"> </w:t>
      </w:r>
      <w:r>
        <w:rPr>
          <w:noProof/>
          <w:lang w:val="en-GB"/>
        </w:rPr>
        <w:t>(Fu et al., 2026)</w:t>
      </w:r>
      <w:r w:rsidRPr="00EC1A81">
        <w:rPr>
          <w:lang w:val="en-GB"/>
        </w:rPr>
        <w:t xml:space="preserve">. To overcome these limitations, </w:t>
      </w:r>
      <w:r>
        <w:rPr>
          <w:lang w:val="en-GB"/>
        </w:rPr>
        <w:t>the present study</w:t>
      </w:r>
      <w:r w:rsidRPr="00EC1A81">
        <w:rPr>
          <w:lang w:val="en-GB"/>
        </w:rPr>
        <w:t xml:space="preserve"> proposes a</w:t>
      </w:r>
      <w:r>
        <w:rPr>
          <w:lang w:val="en-GB"/>
        </w:rPr>
        <w:t xml:space="preserve">n integrated electrified biological platform </w:t>
      </w:r>
      <w:r w:rsidRPr="00EC1A81">
        <w:rPr>
          <w:lang w:val="en-GB"/>
        </w:rPr>
        <w:t xml:space="preserve">hydrogen production from organic waste </w:t>
      </w:r>
      <w:r w:rsidRPr="00EC1A81">
        <w:rPr>
          <w:lang w:val="en-GB"/>
        </w:rPr>
        <w:lastRenderedPageBreak/>
        <w:t xml:space="preserve">streams </w:t>
      </w:r>
      <w:r>
        <w:rPr>
          <w:lang w:val="en-GB"/>
        </w:rPr>
        <w:t>coming from agrifood industry and municipal solid waste</w:t>
      </w:r>
      <w:r>
        <w:rPr>
          <w:noProof/>
          <w:lang w:val="en-GB"/>
        </w:rPr>
        <w:t xml:space="preserve"> (Salvatori et al., 2025)</w:t>
      </w:r>
      <w:r>
        <w:rPr>
          <w:lang w:val="en-GB"/>
        </w:rPr>
        <w:t>. Specifically, the current study</w:t>
      </w:r>
      <w:r w:rsidRPr="00EC1A81">
        <w:rPr>
          <w:lang w:val="en-GB"/>
        </w:rPr>
        <w:t xml:space="preserve"> focuses on the optimisation and tight integration of biological, bioelectrochemical and electrochemical processes to maximise energy recovery from organic matter, while simultaneously capturing and sequestering the biogenic CO</w:t>
      </w:r>
      <w:r w:rsidRPr="002A7012">
        <w:rPr>
          <w:vertAlign w:val="subscript"/>
          <w:lang w:val="en-GB"/>
        </w:rPr>
        <w:t>2</w:t>
      </w:r>
      <w:r w:rsidRPr="00EC1A81">
        <w:rPr>
          <w:lang w:val="en-GB"/>
        </w:rPr>
        <w:t xml:space="preserve"> released during feedstock conversion. </w:t>
      </w:r>
      <w:r>
        <w:rPr>
          <w:lang w:val="en-GB"/>
        </w:rPr>
        <w:t>In the explored context</w:t>
      </w:r>
      <w:r w:rsidRPr="00EC1A81">
        <w:rPr>
          <w:lang w:val="en-GB"/>
        </w:rPr>
        <w:t xml:space="preserve">, dark fermentation (DF) is re-engineered as a selective pre-conversion step, rather than a yield-limited standalone hydrogen technology. By physically decoupling acidogenesis from downstream beta-oxidation and hydrogen recovery, residual chemical oxygen demand (COD) is intentionally preserved and redirected to the </w:t>
      </w:r>
      <w:proofErr w:type="spellStart"/>
      <w:r w:rsidRPr="00EC1A81">
        <w:rPr>
          <w:lang w:val="en-GB"/>
        </w:rPr>
        <w:t>bioanodic</w:t>
      </w:r>
      <w:proofErr w:type="spellEnd"/>
      <w:r w:rsidRPr="00EC1A81">
        <w:rPr>
          <w:lang w:val="en-GB"/>
        </w:rPr>
        <w:t xml:space="preserve"> chamber of MECs. This enables the conversion of residual organic matter into additional hydrogen at thermodynamic potentials significantly lower than those required for standard water electrolysis (</w:t>
      </w:r>
      <w:proofErr w:type="gramStart"/>
      <w:r w:rsidRPr="00EC1A81">
        <w:rPr>
          <w:lang w:val="en-GB"/>
        </w:rPr>
        <w:t>i.e.</w:t>
      </w:r>
      <w:proofErr w:type="gramEnd"/>
      <w:r w:rsidRPr="00EC1A81">
        <w:rPr>
          <w:lang w:val="en-GB"/>
        </w:rPr>
        <w:t xml:space="preserve"> 85% electromotive force reduction when oxidising acetate instead of water).</w:t>
      </w:r>
      <w:r>
        <w:rPr>
          <w:lang w:val="en-GB"/>
        </w:rPr>
        <w:t xml:space="preserve"> </w:t>
      </w:r>
      <w:r w:rsidRPr="00226918">
        <w:t>The innovation is further reinforced by the inclusion of a</w:t>
      </w:r>
      <w:r>
        <w:t>n</w:t>
      </w:r>
      <w:r w:rsidRPr="00226918">
        <w:t xml:space="preserve"> advanced electrolysis </w:t>
      </w:r>
      <w:r>
        <w:t>cell</w:t>
      </w:r>
      <w:r w:rsidRPr="00226918">
        <w:t xml:space="preserve"> (AEC) as a third stage, enabling electrically driven refinement of residual </w:t>
      </w:r>
      <w:r>
        <w:rPr>
          <w:iCs/>
        </w:rPr>
        <w:t>wastewater</w:t>
      </w:r>
      <w:r w:rsidRPr="00226918">
        <w:t xml:space="preserve"> and real-time control of electron extraction based on tailored COD electrochemical sensing</w:t>
      </w:r>
      <w:r>
        <w:rPr>
          <w:noProof/>
        </w:rPr>
        <w:t xml:space="preserve"> (Liu et al., 2020)</w:t>
      </w:r>
      <w:r w:rsidRPr="00226918">
        <w:t>.</w:t>
      </w:r>
      <w:r>
        <w:t xml:space="preserve"> </w:t>
      </w:r>
      <w:r w:rsidRPr="00226918">
        <w:rPr>
          <w:iCs/>
        </w:rPr>
        <w:t>This three-stage integration results in hydrogen</w:t>
      </w:r>
      <w:r>
        <w:rPr>
          <w:iCs/>
        </w:rPr>
        <w:t xml:space="preserve"> </w:t>
      </w:r>
      <w:r w:rsidRPr="00226918">
        <w:rPr>
          <w:iCs/>
        </w:rPr>
        <w:t>productivity increase</w:t>
      </w:r>
      <w:r>
        <w:rPr>
          <w:iCs/>
        </w:rPr>
        <w:t>s</w:t>
      </w:r>
      <w:r w:rsidRPr="00226918">
        <w:rPr>
          <w:iCs/>
        </w:rPr>
        <w:t xml:space="preserve"> of over 100% and yield improvements up to one order of magnitude compared to standalone </w:t>
      </w:r>
      <w:r>
        <w:rPr>
          <w:iCs/>
        </w:rPr>
        <w:t>DF</w:t>
      </w:r>
      <w:r w:rsidRPr="00226918">
        <w:rPr>
          <w:iCs/>
        </w:rPr>
        <w:t xml:space="preserve"> systems.</w:t>
      </w:r>
      <w:r>
        <w:t xml:space="preserve"> </w:t>
      </w:r>
      <w:r w:rsidRPr="00226918">
        <w:t xml:space="preserve">Together, these elements form a highly electrified bioprocess platform that supports process intensification, improved energy efficiency and consistent production of high-purity hydrogen (&gt;99%) from complex biogenic feedstocks. In parallel, </w:t>
      </w:r>
      <w:r>
        <w:t>the proposed integration approach</w:t>
      </w:r>
      <w:r w:rsidRPr="00226918">
        <w:t xml:space="preserve"> integrates carbon capture directly within the hydrogen production chain. Biogenic CO</w:t>
      </w:r>
      <w:r w:rsidRPr="00136F97">
        <w:rPr>
          <w:vertAlign w:val="subscript"/>
        </w:rPr>
        <w:t>2</w:t>
      </w:r>
      <w:r w:rsidRPr="00226918">
        <w:t xml:space="preserve"> released during multiple process streams (including the </w:t>
      </w:r>
      <w:r>
        <w:t>DF off-gas</w:t>
      </w:r>
      <w:r w:rsidRPr="00226918">
        <w:t xml:space="preserve">, the anodic </w:t>
      </w:r>
      <w:r>
        <w:t>gas stream of the</w:t>
      </w:r>
      <w:r w:rsidRPr="00226918">
        <w:t xml:space="preserve"> MEC and the anodic </w:t>
      </w:r>
      <w:r>
        <w:t xml:space="preserve">gas stream </w:t>
      </w:r>
      <w:r w:rsidRPr="00226918">
        <w:t xml:space="preserve">of the </w:t>
      </w:r>
      <w:r w:rsidR="00A76D28">
        <w:t>AEC</w:t>
      </w:r>
      <w:r w:rsidRPr="00226918">
        <w:t>) is directed to the cathodic chamber of the MEC, where it is chemically absorbed in the alkaline environment generated during operation and subsequently precipitated in carbonate form using alkaline ions such as calcium and magnesium, enabling direct feedstock-related CO</w:t>
      </w:r>
      <w:r w:rsidRPr="0026711C">
        <w:rPr>
          <w:vertAlign w:val="subscript"/>
        </w:rPr>
        <w:t>2</w:t>
      </w:r>
      <w:r w:rsidRPr="00226918">
        <w:t xml:space="preserve"> emission reductions</w:t>
      </w:r>
      <w:r>
        <w:rPr>
          <w:noProof/>
        </w:rPr>
        <w:t xml:space="preserve"> (Zeppilli et al., 2021)</w:t>
      </w:r>
      <w:r>
        <w:t>.</w:t>
      </w:r>
      <w:r w:rsidR="00CE6D65">
        <w:t xml:space="preserve"> </w:t>
      </w:r>
      <w:r>
        <w:t xml:space="preserve">The present study </w:t>
      </w:r>
      <w:r w:rsidR="00B54ECA">
        <w:t>proposed a preliminary analysis focused on the potential integration of DF, MEC and AEC systems to maximize hydrogen production while sequestrating biogenic CO</w:t>
      </w:r>
      <w:r w:rsidR="00B54ECA" w:rsidRPr="00B54ECA">
        <w:rPr>
          <w:vertAlign w:val="subscript"/>
        </w:rPr>
        <w:t>2</w:t>
      </w:r>
      <w:r w:rsidR="00B54ECA">
        <w:t xml:space="preserve"> and cleaning water. The study is </w:t>
      </w:r>
      <w:proofErr w:type="spellStart"/>
      <w:r w:rsidR="00B54ECA">
        <w:t>abased</w:t>
      </w:r>
      <w:proofErr w:type="spellEnd"/>
      <w:r w:rsidR="00B54ECA">
        <w:t xml:space="preserve"> on </w:t>
      </w:r>
      <w:r>
        <w:t xml:space="preserve">literature </w:t>
      </w:r>
      <w:r w:rsidR="00B54ECA">
        <w:t>data from</w:t>
      </w:r>
      <w:r>
        <w:t xml:space="preserve"> real case studies at pilot</w:t>
      </w:r>
      <w:r w:rsidR="00B54ECA">
        <w:t xml:space="preserve"> or </w:t>
      </w:r>
      <w:r>
        <w:t>demonstration scale related to the dark fermentation of food industry byproducts</w:t>
      </w:r>
      <w:r w:rsidR="00B54ECA">
        <w:t xml:space="preserve"> and the organic fraction of the municipal waste</w:t>
      </w:r>
      <w:r>
        <w:t xml:space="preserve">. Digester volume applied organic loading rates, and the composition of the matrix have been collected from literature studies. </w:t>
      </w:r>
      <w:r w:rsidR="00B54ECA">
        <w:t xml:space="preserve">Electron, </w:t>
      </w:r>
      <w:proofErr w:type="gramStart"/>
      <w:r>
        <w:t>mass</w:t>
      </w:r>
      <w:proofErr w:type="gramEnd"/>
      <w:r>
        <w:t xml:space="preserve"> and energy balance</w:t>
      </w:r>
      <w:r w:rsidR="00B54ECA">
        <w:t>s</w:t>
      </w:r>
      <w:r>
        <w:t xml:space="preserve"> </w:t>
      </w:r>
      <w:r w:rsidR="00B54ECA">
        <w:t>have</w:t>
      </w:r>
      <w:r>
        <w:t xml:space="preserve"> been utilized </w:t>
      </w:r>
      <w:r w:rsidR="00B54ECA">
        <w:t xml:space="preserve">as main tool for the </w:t>
      </w:r>
      <w:r>
        <w:t>evaluation of the different mass fluxes,</w:t>
      </w:r>
      <w:r w:rsidR="00B54ECA">
        <w:t xml:space="preserve"> specific yields and energetic costs.</w:t>
      </w:r>
    </w:p>
    <w:p w14:paraId="759FE2AF" w14:textId="77777777" w:rsidR="00405991" w:rsidRDefault="00405991" w:rsidP="00453E24">
      <w:pPr>
        <w:pStyle w:val="CETHeading1"/>
      </w:pPr>
      <w:r>
        <w:t>Methods</w:t>
      </w:r>
    </w:p>
    <w:p w14:paraId="11C837E8" w14:textId="77777777" w:rsidR="00405991" w:rsidRDefault="00405991" w:rsidP="00F05D4E">
      <w:pPr>
        <w:pStyle w:val="CETheadingx"/>
      </w:pPr>
      <w:r>
        <w:t xml:space="preserve">Technologies integration </w:t>
      </w:r>
    </w:p>
    <w:p w14:paraId="49157B26" w14:textId="77777777" w:rsidR="00405991" w:rsidRDefault="00405991" w:rsidP="005B4616">
      <w:pPr>
        <w:pStyle w:val="CETBodytext"/>
      </w:pPr>
      <w:r>
        <w:t xml:space="preserve">The concept for the combination of dark fermentation, microbial electrolysis, and advanced electrolysis follows a linear scheme in which the effluent phase from one step constitutes the influent stream of the downstream step (Figure 1). </w:t>
      </w:r>
    </w:p>
    <w:p w14:paraId="58223FAA" w14:textId="52BBC6B0" w:rsidR="00405991" w:rsidRDefault="00B54ECA" w:rsidP="005B4616">
      <w:pPr>
        <w:pStyle w:val="CETBodytext"/>
        <w:jc w:val="center"/>
      </w:pPr>
      <w:r w:rsidRPr="00B54ECA">
        <w:rPr>
          <w:noProof/>
        </w:rPr>
        <w:drawing>
          <wp:inline distT="0" distB="0" distL="0" distR="0" wp14:anchorId="3936761D" wp14:editId="426C06F1">
            <wp:extent cx="5760720" cy="264725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6019" cy="2654284"/>
                    </a:xfrm>
                    <a:prstGeom prst="rect">
                      <a:avLst/>
                    </a:prstGeom>
                    <a:noFill/>
                    <a:ln>
                      <a:noFill/>
                    </a:ln>
                  </pic:spPr>
                </pic:pic>
              </a:graphicData>
            </a:graphic>
          </wp:inline>
        </w:drawing>
      </w:r>
    </w:p>
    <w:p w14:paraId="34F134F3" w14:textId="77777777" w:rsidR="00405991" w:rsidRPr="00BD077D" w:rsidRDefault="00405991" w:rsidP="005B4616">
      <w:pPr>
        <w:pStyle w:val="CETCaption"/>
      </w:pPr>
      <w:r w:rsidRPr="00BD077D">
        <w:rPr>
          <w:rStyle w:val="CETCaptionCarattere"/>
        </w:rPr>
        <w:t xml:space="preserve">Figure 1: </w:t>
      </w:r>
      <w:r>
        <w:rPr>
          <w:rStyle w:val="CETCaptionCarattere"/>
        </w:rPr>
        <w:t xml:space="preserve">Schematic representation of gaseous and liquid streams in the integrated three stage process </w:t>
      </w:r>
      <w:proofErr w:type="spellStart"/>
      <w:r>
        <w:rPr>
          <w:rStyle w:val="CETCaptionCarattere"/>
        </w:rPr>
        <w:t>analyzed</w:t>
      </w:r>
      <w:proofErr w:type="spellEnd"/>
      <w:r>
        <w:rPr>
          <w:rStyle w:val="CETCaptionCarattere"/>
        </w:rPr>
        <w:t xml:space="preserve"> in the present study</w:t>
      </w:r>
    </w:p>
    <w:p w14:paraId="2489201A" w14:textId="617E07E9" w:rsidR="00405991" w:rsidRDefault="00405991" w:rsidP="005B4616">
      <w:pPr>
        <w:pStyle w:val="CETBodytext"/>
      </w:pPr>
      <w:r>
        <w:lastRenderedPageBreak/>
        <w:t>The processes involved in the overall evaluation include a solid-liquid separation unit for solids separation from the dark fermentation effluent liquid phase, the solid fraction is not considered for valorization in this work. The liquid stream is then sent into the bioanode section of a microbial electrolysis cell to be oxidized by electroactive microorganisms. After the treatment of the DF effluent in the bioanode chamber, residual COD, usually constituted by the most recalcitrant organic matter, can be treated directly in an abiotic anode in which a suitable material and electrode potential promote the oxidation of organic matter into CO</w:t>
      </w:r>
      <w:r w:rsidRPr="00AA32A4">
        <w:rPr>
          <w:vertAlign w:val="subscript"/>
        </w:rPr>
        <w:t>2</w:t>
      </w:r>
      <w:r>
        <w:t xml:space="preserve"> using reactive oxidative species. Hydrogen is produced in the cathodic chambers of the MEC and AEC systems, recovering part of the electrons extracted from the organic matter into hydrogen</w:t>
      </w:r>
      <w:r>
        <w:rPr>
          <w:noProof/>
        </w:rPr>
        <w:t xml:space="preserve"> (Marchetti et al., 2026b)</w:t>
      </w:r>
      <w:r>
        <w:t xml:space="preserve">. An interesting additional aspect of the integration of the MEC and AEC cathodes is related to the alkalinity generation produced in the cathodic chamber when an ion exchange membrane is used as a separator. Indeed, most of the ionic flux is transported by ions other than protons and hydroxyls, promoting the consumption of protons from water </w:t>
      </w:r>
      <w:proofErr w:type="spellStart"/>
      <w:r>
        <w:t>autoprotolysis</w:t>
      </w:r>
      <w:proofErr w:type="spellEnd"/>
      <w:r>
        <w:t>; as a result, alkalinization occurs in the cathode while acidification occurs in the anode chamber of the electrochemical systems.</w:t>
      </w:r>
      <w:r w:rsidRPr="005B4616">
        <w:t xml:space="preserve"> </w:t>
      </w:r>
      <w:r>
        <w:t xml:space="preserve">Input data from literature were collected considering three case scenarios at pilot-demonstration scale related to the dark fermentation of organic waste; as reported in Table 1, three main input scenarios were investigated considering fruit waste (FW), cheese whey (CW), and the organic fraction of municipal solid waste (OF-MSW). </w:t>
      </w:r>
    </w:p>
    <w:p w14:paraId="30ABA54E" w14:textId="77777777" w:rsidR="00633F5C" w:rsidRDefault="00633F5C" w:rsidP="005B4616">
      <w:pPr>
        <w:pStyle w:val="CETBodytext"/>
        <w:rPr>
          <w:lang w:val="en-GB"/>
        </w:rPr>
      </w:pPr>
    </w:p>
    <w:p w14:paraId="3BA14669" w14:textId="77777777" w:rsidR="00405991" w:rsidRDefault="00405991" w:rsidP="005B4616">
      <w:pPr>
        <w:pStyle w:val="CETBodytext"/>
        <w:rPr>
          <w:lang w:val="en-GB"/>
        </w:rPr>
      </w:pPr>
      <w:r w:rsidRPr="00B57B36">
        <w:t xml:space="preserve">Table 1: </w:t>
      </w:r>
      <w:r>
        <w:t>Input data from the selected dark fermentation case studies</w:t>
      </w:r>
    </w:p>
    <w:tbl>
      <w:tblPr>
        <w:tblW w:w="9072" w:type="dxa"/>
        <w:tblBorders>
          <w:top w:val="single" w:sz="12" w:space="0" w:color="008000"/>
          <w:bottom w:val="single" w:sz="12" w:space="0" w:color="008000"/>
        </w:tblBorders>
        <w:shd w:val="clear" w:color="auto" w:fill="FFFFFF"/>
        <w:tblLayout w:type="fixed"/>
        <w:tblCellMar>
          <w:left w:w="0" w:type="dxa"/>
          <w:right w:w="0" w:type="dxa"/>
        </w:tblCellMar>
        <w:tblLook w:val="00A0" w:firstRow="1" w:lastRow="0" w:firstColumn="1" w:lastColumn="0" w:noHBand="0" w:noVBand="0"/>
      </w:tblPr>
      <w:tblGrid>
        <w:gridCol w:w="993"/>
        <w:gridCol w:w="1417"/>
        <w:gridCol w:w="2126"/>
        <w:gridCol w:w="1276"/>
        <w:gridCol w:w="1276"/>
        <w:gridCol w:w="567"/>
        <w:gridCol w:w="567"/>
        <w:gridCol w:w="850"/>
      </w:tblGrid>
      <w:tr w:rsidR="00405991" w:rsidRPr="009E1541" w14:paraId="59996F60" w14:textId="77777777" w:rsidTr="00BF6AF5">
        <w:tc>
          <w:tcPr>
            <w:tcW w:w="993" w:type="dxa"/>
            <w:tcBorders>
              <w:top w:val="single" w:sz="12" w:space="0" w:color="008000"/>
              <w:bottom w:val="single" w:sz="6" w:space="0" w:color="008000"/>
            </w:tcBorders>
            <w:shd w:val="clear" w:color="auto" w:fill="FFFFFF"/>
          </w:tcPr>
          <w:p w14:paraId="3516F021" w14:textId="77777777" w:rsidR="00405991" w:rsidRPr="00B57B36" w:rsidRDefault="00405991" w:rsidP="00BF6AF5">
            <w:pPr>
              <w:pStyle w:val="CETBodytext"/>
              <w:rPr>
                <w:lang w:val="en-GB"/>
              </w:rPr>
            </w:pPr>
            <w:r>
              <w:rPr>
                <w:lang w:val="en-GB"/>
              </w:rPr>
              <w:t>Case study</w:t>
            </w:r>
          </w:p>
        </w:tc>
        <w:tc>
          <w:tcPr>
            <w:tcW w:w="1417" w:type="dxa"/>
            <w:tcBorders>
              <w:top w:val="single" w:sz="12" w:space="0" w:color="008000"/>
              <w:bottom w:val="single" w:sz="6" w:space="0" w:color="008000"/>
            </w:tcBorders>
            <w:shd w:val="clear" w:color="auto" w:fill="FFFFFF"/>
          </w:tcPr>
          <w:p w14:paraId="4C06EE7D" w14:textId="77777777" w:rsidR="00405991" w:rsidRPr="00B57B36" w:rsidRDefault="00405991" w:rsidP="00BF6AF5">
            <w:pPr>
              <w:pStyle w:val="CETBodytext"/>
              <w:rPr>
                <w:lang w:val="en-GB"/>
              </w:rPr>
            </w:pPr>
            <w:r w:rsidRPr="009E1541">
              <w:rPr>
                <w:lang w:val="en-GB"/>
              </w:rPr>
              <w:t>Volume DF (m</w:t>
            </w:r>
            <w:r w:rsidRPr="005B4616">
              <w:rPr>
                <w:vertAlign w:val="superscript"/>
                <w:lang w:val="en-GB"/>
              </w:rPr>
              <w:t>3</w:t>
            </w:r>
            <w:r w:rsidRPr="009E1541">
              <w:rPr>
                <w:lang w:val="en-GB"/>
              </w:rPr>
              <w:t>)</w:t>
            </w:r>
          </w:p>
        </w:tc>
        <w:tc>
          <w:tcPr>
            <w:tcW w:w="2126" w:type="dxa"/>
            <w:tcBorders>
              <w:top w:val="single" w:sz="12" w:space="0" w:color="008000"/>
              <w:bottom w:val="single" w:sz="6" w:space="0" w:color="008000"/>
            </w:tcBorders>
            <w:shd w:val="clear" w:color="auto" w:fill="FFFFFF"/>
          </w:tcPr>
          <w:p w14:paraId="40F81CB5" w14:textId="77777777" w:rsidR="00405991" w:rsidRPr="00B57B36" w:rsidRDefault="00405991" w:rsidP="00BF6AF5">
            <w:pPr>
              <w:pStyle w:val="CETBodytext"/>
              <w:rPr>
                <w:lang w:val="en-GB"/>
              </w:rPr>
            </w:pPr>
            <w:r w:rsidRPr="009E1541">
              <w:rPr>
                <w:lang w:val="en-GB"/>
              </w:rPr>
              <w:t>OLR (</w:t>
            </w:r>
            <w:proofErr w:type="spellStart"/>
            <w:r w:rsidRPr="009E1541">
              <w:rPr>
                <w:lang w:val="en-GB"/>
              </w:rPr>
              <w:t>kgCODsoluble</w:t>
            </w:r>
            <w:proofErr w:type="spellEnd"/>
            <w:r w:rsidRPr="009E1541">
              <w:rPr>
                <w:lang w:val="en-GB"/>
              </w:rPr>
              <w:t>/m</w:t>
            </w:r>
            <w:r w:rsidRPr="0012303C">
              <w:rPr>
                <w:vertAlign w:val="superscript"/>
                <w:lang w:val="en-GB"/>
              </w:rPr>
              <w:t>3</w:t>
            </w:r>
            <w:r w:rsidRPr="009E1541">
              <w:rPr>
                <w:lang w:val="en-GB"/>
              </w:rPr>
              <w:t>d)</w:t>
            </w:r>
          </w:p>
        </w:tc>
        <w:tc>
          <w:tcPr>
            <w:tcW w:w="1276" w:type="dxa"/>
            <w:tcBorders>
              <w:top w:val="single" w:sz="12" w:space="0" w:color="008000"/>
              <w:bottom w:val="single" w:sz="6" w:space="0" w:color="008000"/>
            </w:tcBorders>
            <w:shd w:val="clear" w:color="auto" w:fill="FFFFFF"/>
          </w:tcPr>
          <w:p w14:paraId="097229CB" w14:textId="77777777" w:rsidR="00405991" w:rsidRPr="009E1541" w:rsidRDefault="00405991" w:rsidP="00BF6AF5">
            <w:pPr>
              <w:pStyle w:val="CETBodytext"/>
              <w:ind w:right="-1"/>
              <w:rPr>
                <w:lang w:val="en-GB"/>
              </w:rPr>
            </w:pPr>
            <w:proofErr w:type="spellStart"/>
            <w:r w:rsidRPr="009E1541">
              <w:rPr>
                <w:lang w:val="en-GB"/>
              </w:rPr>
              <w:t>Qgas</w:t>
            </w:r>
            <w:proofErr w:type="spellEnd"/>
            <w:r w:rsidRPr="009E1541">
              <w:rPr>
                <w:lang w:val="en-GB"/>
              </w:rPr>
              <w:t xml:space="preserve"> (m</w:t>
            </w:r>
            <w:r w:rsidRPr="0012303C">
              <w:rPr>
                <w:vertAlign w:val="superscript"/>
                <w:lang w:val="en-GB"/>
              </w:rPr>
              <w:t>3</w:t>
            </w:r>
            <w:r w:rsidRPr="009E1541">
              <w:rPr>
                <w:lang w:val="en-GB"/>
              </w:rPr>
              <w:t>/d)</w:t>
            </w:r>
          </w:p>
        </w:tc>
        <w:tc>
          <w:tcPr>
            <w:tcW w:w="1276" w:type="dxa"/>
            <w:tcBorders>
              <w:top w:val="single" w:sz="12" w:space="0" w:color="008000"/>
              <w:bottom w:val="single" w:sz="6" w:space="0" w:color="008000"/>
            </w:tcBorders>
            <w:shd w:val="clear" w:color="auto" w:fill="FFFFFF"/>
          </w:tcPr>
          <w:p w14:paraId="7BBA02A5" w14:textId="77777777" w:rsidR="00405991" w:rsidRPr="009E1541" w:rsidRDefault="00405991" w:rsidP="00BF6AF5">
            <w:pPr>
              <w:pStyle w:val="CETBodytext"/>
              <w:ind w:right="-1"/>
              <w:rPr>
                <w:lang w:val="en-GB"/>
              </w:rPr>
            </w:pPr>
            <w:r>
              <w:rPr>
                <w:lang w:val="en-GB"/>
              </w:rPr>
              <w:t>F liquid (m</w:t>
            </w:r>
            <w:r w:rsidRPr="0012303C">
              <w:rPr>
                <w:vertAlign w:val="superscript"/>
                <w:lang w:val="en-GB"/>
              </w:rPr>
              <w:t>3</w:t>
            </w:r>
            <w:r>
              <w:rPr>
                <w:lang w:val="en-GB"/>
              </w:rPr>
              <w:t>/d)</w:t>
            </w:r>
          </w:p>
        </w:tc>
        <w:tc>
          <w:tcPr>
            <w:tcW w:w="567" w:type="dxa"/>
            <w:tcBorders>
              <w:top w:val="single" w:sz="12" w:space="0" w:color="008000"/>
              <w:bottom w:val="single" w:sz="6" w:space="0" w:color="008000"/>
            </w:tcBorders>
            <w:shd w:val="clear" w:color="auto" w:fill="FFFFFF"/>
          </w:tcPr>
          <w:p w14:paraId="2A047319" w14:textId="77777777" w:rsidR="00405991" w:rsidRPr="009E1541" w:rsidRDefault="00405991" w:rsidP="00BF6AF5">
            <w:pPr>
              <w:pStyle w:val="CETBodytext"/>
              <w:ind w:right="-1"/>
              <w:rPr>
                <w:lang w:val="en-GB"/>
              </w:rPr>
            </w:pPr>
            <w:r w:rsidRPr="009E1541">
              <w:rPr>
                <w:lang w:val="en-GB"/>
              </w:rPr>
              <w:t>%H</w:t>
            </w:r>
            <w:r w:rsidRPr="0012303C">
              <w:rPr>
                <w:vertAlign w:val="subscript"/>
                <w:lang w:val="en-GB"/>
              </w:rPr>
              <w:t>2</w:t>
            </w:r>
          </w:p>
        </w:tc>
        <w:tc>
          <w:tcPr>
            <w:tcW w:w="567" w:type="dxa"/>
            <w:tcBorders>
              <w:top w:val="single" w:sz="12" w:space="0" w:color="008000"/>
              <w:bottom w:val="single" w:sz="6" w:space="0" w:color="008000"/>
            </w:tcBorders>
            <w:shd w:val="clear" w:color="auto" w:fill="FFFFFF"/>
          </w:tcPr>
          <w:p w14:paraId="07C04301" w14:textId="77777777" w:rsidR="00405991" w:rsidRPr="009E1541" w:rsidRDefault="00405991" w:rsidP="00BF6AF5">
            <w:pPr>
              <w:pStyle w:val="CETBodytext"/>
              <w:ind w:right="-1"/>
              <w:rPr>
                <w:lang w:val="en-GB"/>
              </w:rPr>
            </w:pPr>
            <w:r w:rsidRPr="009E1541">
              <w:rPr>
                <w:lang w:val="en-GB"/>
              </w:rPr>
              <w:t>%CO</w:t>
            </w:r>
            <w:r w:rsidRPr="0012303C">
              <w:rPr>
                <w:vertAlign w:val="subscript"/>
                <w:lang w:val="en-GB"/>
              </w:rPr>
              <w:t>2</w:t>
            </w:r>
          </w:p>
        </w:tc>
        <w:tc>
          <w:tcPr>
            <w:tcW w:w="850" w:type="dxa"/>
            <w:tcBorders>
              <w:top w:val="single" w:sz="12" w:space="0" w:color="008000"/>
              <w:bottom w:val="single" w:sz="6" w:space="0" w:color="008000"/>
            </w:tcBorders>
            <w:shd w:val="clear" w:color="auto" w:fill="FFFFFF"/>
          </w:tcPr>
          <w:p w14:paraId="75D72453" w14:textId="77777777" w:rsidR="00405991" w:rsidRPr="009E1541" w:rsidRDefault="00405991" w:rsidP="00BF6AF5">
            <w:pPr>
              <w:pStyle w:val="CETBodytext"/>
              <w:jc w:val="center"/>
              <w:rPr>
                <w:lang w:val="en-GB"/>
              </w:rPr>
            </w:pPr>
            <w:r w:rsidRPr="009E1541">
              <w:rPr>
                <w:lang w:val="en-GB"/>
              </w:rPr>
              <w:t>Reference</w:t>
            </w:r>
          </w:p>
        </w:tc>
      </w:tr>
      <w:tr w:rsidR="00405991" w:rsidRPr="00494E15" w14:paraId="6A580101" w14:textId="77777777" w:rsidTr="00BF6AF5">
        <w:tc>
          <w:tcPr>
            <w:tcW w:w="993" w:type="dxa"/>
            <w:shd w:val="clear" w:color="auto" w:fill="FFFFFF"/>
          </w:tcPr>
          <w:p w14:paraId="6E528D04" w14:textId="77777777" w:rsidR="00405991" w:rsidRPr="00B57B36" w:rsidRDefault="00405991" w:rsidP="00BF6AF5">
            <w:pPr>
              <w:pStyle w:val="CETBodytext"/>
              <w:rPr>
                <w:lang w:val="en-GB"/>
              </w:rPr>
            </w:pPr>
            <w:r>
              <w:rPr>
                <w:lang w:val="en-GB"/>
              </w:rPr>
              <w:t>CW</w:t>
            </w:r>
          </w:p>
        </w:tc>
        <w:tc>
          <w:tcPr>
            <w:tcW w:w="1417" w:type="dxa"/>
            <w:shd w:val="clear" w:color="auto" w:fill="FFFFFF"/>
          </w:tcPr>
          <w:p w14:paraId="6FF8B5CE" w14:textId="77777777" w:rsidR="00405991" w:rsidRPr="00B57B36" w:rsidRDefault="00405991" w:rsidP="00BF6AF5">
            <w:pPr>
              <w:pStyle w:val="CETBodytext"/>
              <w:rPr>
                <w:lang w:val="en-GB"/>
              </w:rPr>
            </w:pPr>
            <w:r w:rsidRPr="009E1541">
              <w:rPr>
                <w:lang w:val="en-GB"/>
              </w:rPr>
              <w:t>140</w:t>
            </w:r>
          </w:p>
        </w:tc>
        <w:tc>
          <w:tcPr>
            <w:tcW w:w="2126" w:type="dxa"/>
            <w:shd w:val="clear" w:color="auto" w:fill="FFFFFF"/>
          </w:tcPr>
          <w:p w14:paraId="33639AA5" w14:textId="77777777" w:rsidR="00405991" w:rsidRPr="00B57B36" w:rsidRDefault="00405991" w:rsidP="00BF6AF5">
            <w:pPr>
              <w:pStyle w:val="CETBodytext"/>
              <w:rPr>
                <w:lang w:val="en-GB"/>
              </w:rPr>
            </w:pPr>
            <w:r w:rsidRPr="009E1541">
              <w:rPr>
                <w:lang w:val="en-GB"/>
              </w:rPr>
              <w:t>13</w:t>
            </w:r>
          </w:p>
        </w:tc>
        <w:tc>
          <w:tcPr>
            <w:tcW w:w="1276" w:type="dxa"/>
            <w:shd w:val="clear" w:color="auto" w:fill="FFFFFF"/>
          </w:tcPr>
          <w:p w14:paraId="0F307AB2" w14:textId="77777777" w:rsidR="00405991" w:rsidRPr="009E1541" w:rsidRDefault="00405991" w:rsidP="00BF6AF5">
            <w:pPr>
              <w:pStyle w:val="CETBodytext"/>
              <w:ind w:right="-1"/>
              <w:rPr>
                <w:lang w:val="en-GB"/>
              </w:rPr>
            </w:pPr>
            <w:r w:rsidRPr="009E1541">
              <w:rPr>
                <w:lang w:val="en-GB"/>
              </w:rPr>
              <w:t>240</w:t>
            </w:r>
          </w:p>
        </w:tc>
        <w:tc>
          <w:tcPr>
            <w:tcW w:w="1276" w:type="dxa"/>
            <w:shd w:val="clear" w:color="auto" w:fill="FFFFFF"/>
          </w:tcPr>
          <w:p w14:paraId="51DFAE78" w14:textId="77777777" w:rsidR="00405991" w:rsidRPr="009E1541" w:rsidRDefault="00405991" w:rsidP="00BF6AF5">
            <w:pPr>
              <w:pStyle w:val="CETBodytext"/>
              <w:ind w:right="-1"/>
              <w:rPr>
                <w:lang w:val="en-GB"/>
              </w:rPr>
            </w:pPr>
            <w:r>
              <w:rPr>
                <w:lang w:val="en-GB"/>
              </w:rPr>
              <w:t>20</w:t>
            </w:r>
          </w:p>
        </w:tc>
        <w:tc>
          <w:tcPr>
            <w:tcW w:w="567" w:type="dxa"/>
            <w:shd w:val="clear" w:color="auto" w:fill="FFFFFF"/>
          </w:tcPr>
          <w:p w14:paraId="0D350717" w14:textId="77777777" w:rsidR="00405991" w:rsidRPr="009E1541" w:rsidRDefault="00405991" w:rsidP="00BF6AF5">
            <w:pPr>
              <w:pStyle w:val="CETBodytext"/>
              <w:ind w:right="-1"/>
              <w:rPr>
                <w:lang w:val="en-GB"/>
              </w:rPr>
            </w:pPr>
            <w:r w:rsidRPr="009E1541">
              <w:rPr>
                <w:lang w:val="en-GB"/>
              </w:rPr>
              <w:t>30</w:t>
            </w:r>
          </w:p>
        </w:tc>
        <w:tc>
          <w:tcPr>
            <w:tcW w:w="567" w:type="dxa"/>
            <w:shd w:val="clear" w:color="auto" w:fill="FFFFFF"/>
          </w:tcPr>
          <w:p w14:paraId="465DBA7F" w14:textId="77777777" w:rsidR="00405991" w:rsidRPr="009E1541" w:rsidRDefault="00405991" w:rsidP="00BF6AF5">
            <w:pPr>
              <w:pStyle w:val="CETBodytext"/>
              <w:ind w:right="-1"/>
              <w:rPr>
                <w:lang w:val="en-GB"/>
              </w:rPr>
            </w:pPr>
            <w:r w:rsidRPr="009E1541">
              <w:rPr>
                <w:lang w:val="en-GB"/>
              </w:rPr>
              <w:t>70</w:t>
            </w:r>
          </w:p>
        </w:tc>
        <w:tc>
          <w:tcPr>
            <w:tcW w:w="850" w:type="dxa"/>
            <w:shd w:val="clear" w:color="auto" w:fill="FFFFFF"/>
          </w:tcPr>
          <w:p w14:paraId="14C87C5F" w14:textId="77777777" w:rsidR="00405991" w:rsidRPr="00494E15" w:rsidRDefault="00405991" w:rsidP="00BF6AF5">
            <w:pPr>
              <w:pStyle w:val="CETBodytext"/>
              <w:ind w:right="-1"/>
              <w:rPr>
                <w:lang w:val="it-IT"/>
              </w:rPr>
            </w:pPr>
            <w:r w:rsidRPr="00494E15">
              <w:rPr>
                <w:noProof/>
                <w:lang w:val="it-IT"/>
              </w:rPr>
              <w:t xml:space="preserve"> (Rovira-Cal et al., 2025)</w:t>
            </w:r>
          </w:p>
        </w:tc>
      </w:tr>
      <w:tr w:rsidR="00405991" w:rsidRPr="00B57B36" w14:paraId="61D81B10" w14:textId="77777777" w:rsidTr="00BF6AF5">
        <w:tc>
          <w:tcPr>
            <w:tcW w:w="993" w:type="dxa"/>
            <w:shd w:val="clear" w:color="auto" w:fill="FFFFFF"/>
          </w:tcPr>
          <w:p w14:paraId="4D2B81EB" w14:textId="77777777" w:rsidR="00405991" w:rsidRPr="00B57B36" w:rsidRDefault="00405991" w:rsidP="00BF6AF5">
            <w:pPr>
              <w:pStyle w:val="CETBodytext"/>
              <w:rPr>
                <w:lang w:val="en-GB"/>
              </w:rPr>
            </w:pPr>
            <w:r>
              <w:rPr>
                <w:lang w:val="en-GB"/>
              </w:rPr>
              <w:t>FW</w:t>
            </w:r>
          </w:p>
        </w:tc>
        <w:tc>
          <w:tcPr>
            <w:tcW w:w="1417" w:type="dxa"/>
            <w:shd w:val="clear" w:color="auto" w:fill="FFFFFF"/>
          </w:tcPr>
          <w:p w14:paraId="1923E632" w14:textId="77777777" w:rsidR="00405991" w:rsidRPr="00B57B36" w:rsidRDefault="00405991" w:rsidP="00BF6AF5">
            <w:pPr>
              <w:pStyle w:val="CETBodytext"/>
              <w:rPr>
                <w:lang w:val="en-GB"/>
              </w:rPr>
            </w:pPr>
            <w:r w:rsidRPr="009E1541">
              <w:rPr>
                <w:lang w:val="en-GB"/>
              </w:rPr>
              <w:t>160</w:t>
            </w:r>
          </w:p>
        </w:tc>
        <w:tc>
          <w:tcPr>
            <w:tcW w:w="2126" w:type="dxa"/>
            <w:shd w:val="clear" w:color="auto" w:fill="FFFFFF"/>
          </w:tcPr>
          <w:p w14:paraId="1142CD21" w14:textId="77777777" w:rsidR="00405991" w:rsidRPr="00B57B36" w:rsidRDefault="00405991" w:rsidP="00BF6AF5">
            <w:pPr>
              <w:pStyle w:val="CETBodytext"/>
              <w:rPr>
                <w:lang w:val="en-GB"/>
              </w:rPr>
            </w:pPr>
            <w:r w:rsidRPr="009E1541">
              <w:rPr>
                <w:lang w:val="en-GB"/>
              </w:rPr>
              <w:t>25</w:t>
            </w:r>
          </w:p>
        </w:tc>
        <w:tc>
          <w:tcPr>
            <w:tcW w:w="1276" w:type="dxa"/>
            <w:shd w:val="clear" w:color="auto" w:fill="FFFFFF"/>
          </w:tcPr>
          <w:p w14:paraId="4AC430F9" w14:textId="77777777" w:rsidR="00405991" w:rsidRPr="009E1541" w:rsidRDefault="00405991" w:rsidP="00BF6AF5">
            <w:pPr>
              <w:pStyle w:val="CETBodytext"/>
              <w:ind w:right="-1"/>
              <w:rPr>
                <w:lang w:val="en-GB"/>
              </w:rPr>
            </w:pPr>
            <w:r w:rsidRPr="009E1541">
              <w:rPr>
                <w:lang w:val="en-GB"/>
              </w:rPr>
              <w:t>585</w:t>
            </w:r>
          </w:p>
        </w:tc>
        <w:tc>
          <w:tcPr>
            <w:tcW w:w="1276" w:type="dxa"/>
            <w:shd w:val="clear" w:color="auto" w:fill="FFFFFF"/>
          </w:tcPr>
          <w:p w14:paraId="63978CF5" w14:textId="77777777" w:rsidR="00405991" w:rsidRPr="009E1541" w:rsidRDefault="00405991" w:rsidP="00BF6AF5">
            <w:pPr>
              <w:pStyle w:val="CETBodytext"/>
              <w:ind w:right="-1"/>
              <w:rPr>
                <w:lang w:val="en-GB"/>
              </w:rPr>
            </w:pPr>
            <w:r>
              <w:rPr>
                <w:lang w:val="en-GB"/>
              </w:rPr>
              <w:t>20</w:t>
            </w:r>
          </w:p>
        </w:tc>
        <w:tc>
          <w:tcPr>
            <w:tcW w:w="567" w:type="dxa"/>
            <w:shd w:val="clear" w:color="auto" w:fill="FFFFFF"/>
          </w:tcPr>
          <w:p w14:paraId="48077E4D" w14:textId="77777777" w:rsidR="00405991" w:rsidRPr="009E1541" w:rsidRDefault="00405991" w:rsidP="00BF6AF5">
            <w:pPr>
              <w:pStyle w:val="CETBodytext"/>
              <w:ind w:right="-1"/>
              <w:rPr>
                <w:lang w:val="en-GB"/>
              </w:rPr>
            </w:pPr>
            <w:r w:rsidRPr="009E1541">
              <w:rPr>
                <w:lang w:val="en-GB"/>
              </w:rPr>
              <w:t>40</w:t>
            </w:r>
          </w:p>
        </w:tc>
        <w:tc>
          <w:tcPr>
            <w:tcW w:w="567" w:type="dxa"/>
            <w:shd w:val="clear" w:color="auto" w:fill="FFFFFF"/>
          </w:tcPr>
          <w:p w14:paraId="62852E02" w14:textId="77777777" w:rsidR="00405991" w:rsidRPr="009E1541" w:rsidRDefault="00405991" w:rsidP="00BF6AF5">
            <w:pPr>
              <w:pStyle w:val="CETBodytext"/>
              <w:ind w:right="-1"/>
              <w:rPr>
                <w:lang w:val="en-GB"/>
              </w:rPr>
            </w:pPr>
            <w:r w:rsidRPr="009E1541">
              <w:rPr>
                <w:lang w:val="en-GB"/>
              </w:rPr>
              <w:t>60</w:t>
            </w:r>
          </w:p>
        </w:tc>
        <w:tc>
          <w:tcPr>
            <w:tcW w:w="850" w:type="dxa"/>
            <w:shd w:val="clear" w:color="auto" w:fill="FFFFFF"/>
          </w:tcPr>
          <w:p w14:paraId="2A42DAFE" w14:textId="77777777" w:rsidR="00405991" w:rsidRPr="00EC1F16" w:rsidRDefault="00405991" w:rsidP="00BF6AF5">
            <w:pPr>
              <w:pStyle w:val="CETBodytext"/>
              <w:ind w:right="-1"/>
              <w:rPr>
                <w:lang w:val="en-GB"/>
              </w:rPr>
            </w:pPr>
            <w:r>
              <w:rPr>
                <w:noProof/>
                <w:lang w:val="en-GB"/>
              </w:rPr>
              <w:t xml:space="preserve"> (Silva et al., 2022)</w:t>
            </w:r>
          </w:p>
        </w:tc>
      </w:tr>
      <w:tr w:rsidR="00405991" w:rsidRPr="00B57B36" w14:paraId="15EFEF8D" w14:textId="77777777" w:rsidTr="00BF6AF5">
        <w:tc>
          <w:tcPr>
            <w:tcW w:w="993" w:type="dxa"/>
            <w:shd w:val="clear" w:color="auto" w:fill="FFFFFF"/>
          </w:tcPr>
          <w:p w14:paraId="3A931805" w14:textId="77777777" w:rsidR="00405991" w:rsidRPr="009E1541" w:rsidRDefault="00405991" w:rsidP="00BF6AF5">
            <w:pPr>
              <w:pStyle w:val="CETBodytext"/>
              <w:ind w:right="-1"/>
              <w:rPr>
                <w:lang w:val="en-GB"/>
              </w:rPr>
            </w:pPr>
            <w:r w:rsidRPr="009E1541">
              <w:rPr>
                <w:lang w:val="en-GB"/>
              </w:rPr>
              <w:t>OF-MSW</w:t>
            </w:r>
          </w:p>
        </w:tc>
        <w:tc>
          <w:tcPr>
            <w:tcW w:w="1417" w:type="dxa"/>
            <w:shd w:val="clear" w:color="auto" w:fill="FFFFFF"/>
          </w:tcPr>
          <w:p w14:paraId="380D3E2D" w14:textId="77777777" w:rsidR="00405991" w:rsidRPr="009E1541" w:rsidRDefault="00405991" w:rsidP="00BF6AF5">
            <w:pPr>
              <w:pStyle w:val="CETBodytext"/>
              <w:ind w:right="-1"/>
              <w:rPr>
                <w:lang w:val="en-GB"/>
              </w:rPr>
            </w:pPr>
            <w:r w:rsidRPr="009E1541">
              <w:rPr>
                <w:lang w:val="en-GB"/>
              </w:rPr>
              <w:t>0.2</w:t>
            </w:r>
          </w:p>
        </w:tc>
        <w:tc>
          <w:tcPr>
            <w:tcW w:w="2126" w:type="dxa"/>
            <w:shd w:val="clear" w:color="auto" w:fill="FFFFFF"/>
          </w:tcPr>
          <w:p w14:paraId="6F170D53" w14:textId="77777777" w:rsidR="00405991" w:rsidRPr="009E1541" w:rsidRDefault="00405991" w:rsidP="00BF6AF5">
            <w:pPr>
              <w:pStyle w:val="CETBodytext"/>
              <w:ind w:right="-1"/>
              <w:rPr>
                <w:lang w:val="en-GB"/>
              </w:rPr>
            </w:pPr>
            <w:r w:rsidRPr="009E1541">
              <w:rPr>
                <w:lang w:val="en-GB"/>
              </w:rPr>
              <w:t>4</w:t>
            </w:r>
          </w:p>
        </w:tc>
        <w:tc>
          <w:tcPr>
            <w:tcW w:w="1276" w:type="dxa"/>
            <w:shd w:val="clear" w:color="auto" w:fill="FFFFFF"/>
          </w:tcPr>
          <w:p w14:paraId="62672635" w14:textId="77777777" w:rsidR="00405991" w:rsidRPr="009E1541" w:rsidRDefault="00405991" w:rsidP="00BF6AF5">
            <w:pPr>
              <w:pStyle w:val="CETBodytext"/>
              <w:ind w:right="-1"/>
              <w:rPr>
                <w:lang w:val="en-GB"/>
              </w:rPr>
            </w:pPr>
            <w:r w:rsidRPr="009E1541">
              <w:rPr>
                <w:lang w:val="en-GB"/>
              </w:rPr>
              <w:t>0.24</w:t>
            </w:r>
          </w:p>
        </w:tc>
        <w:tc>
          <w:tcPr>
            <w:tcW w:w="1276" w:type="dxa"/>
            <w:shd w:val="clear" w:color="auto" w:fill="FFFFFF"/>
          </w:tcPr>
          <w:p w14:paraId="2A319F3D" w14:textId="77777777" w:rsidR="00405991" w:rsidRPr="009E1541" w:rsidRDefault="00405991" w:rsidP="00BF6AF5">
            <w:pPr>
              <w:pStyle w:val="CETBodytext"/>
              <w:ind w:right="-1"/>
              <w:rPr>
                <w:lang w:val="en-GB"/>
              </w:rPr>
            </w:pPr>
            <w:r>
              <w:rPr>
                <w:lang w:val="en-GB"/>
              </w:rPr>
              <w:t>0.05</w:t>
            </w:r>
          </w:p>
        </w:tc>
        <w:tc>
          <w:tcPr>
            <w:tcW w:w="567" w:type="dxa"/>
            <w:shd w:val="clear" w:color="auto" w:fill="FFFFFF"/>
          </w:tcPr>
          <w:p w14:paraId="4CB6B4C9" w14:textId="77777777" w:rsidR="00405991" w:rsidRPr="009E1541" w:rsidRDefault="00405991" w:rsidP="00BF6AF5">
            <w:pPr>
              <w:pStyle w:val="CETBodytext"/>
              <w:ind w:right="-1"/>
              <w:rPr>
                <w:lang w:val="en-GB"/>
              </w:rPr>
            </w:pPr>
            <w:r w:rsidRPr="009E1541">
              <w:rPr>
                <w:lang w:val="en-GB"/>
              </w:rPr>
              <w:t>25</w:t>
            </w:r>
          </w:p>
        </w:tc>
        <w:tc>
          <w:tcPr>
            <w:tcW w:w="567" w:type="dxa"/>
            <w:shd w:val="clear" w:color="auto" w:fill="FFFFFF"/>
          </w:tcPr>
          <w:p w14:paraId="184263C1" w14:textId="77777777" w:rsidR="00405991" w:rsidRPr="009E1541" w:rsidRDefault="00405991" w:rsidP="00BF6AF5">
            <w:pPr>
              <w:pStyle w:val="CETBodytext"/>
              <w:ind w:right="-1"/>
              <w:rPr>
                <w:lang w:val="en-GB"/>
              </w:rPr>
            </w:pPr>
            <w:r w:rsidRPr="009E1541">
              <w:rPr>
                <w:lang w:val="en-GB"/>
              </w:rPr>
              <w:t>75</w:t>
            </w:r>
          </w:p>
        </w:tc>
        <w:tc>
          <w:tcPr>
            <w:tcW w:w="850" w:type="dxa"/>
            <w:shd w:val="clear" w:color="auto" w:fill="FFFFFF"/>
          </w:tcPr>
          <w:p w14:paraId="45F9A9B2" w14:textId="77777777" w:rsidR="00405991" w:rsidRPr="00EC1F16" w:rsidRDefault="00405991" w:rsidP="00BF6AF5">
            <w:pPr>
              <w:pStyle w:val="CETBodytext"/>
              <w:ind w:right="-1"/>
              <w:rPr>
                <w:lang w:val="en-GB"/>
              </w:rPr>
            </w:pPr>
            <w:r>
              <w:rPr>
                <w:noProof/>
                <w:lang w:val="en-GB"/>
              </w:rPr>
              <w:t xml:space="preserve"> (Gottardo et al., 2023)</w:t>
            </w:r>
          </w:p>
        </w:tc>
      </w:tr>
    </w:tbl>
    <w:p w14:paraId="30C5BE8E" w14:textId="6ABC4E99" w:rsidR="00405991" w:rsidRDefault="00405991" w:rsidP="00E021FA">
      <w:pPr>
        <w:pStyle w:val="CETBodytext"/>
        <w:rPr>
          <w:lang w:val="en-GB"/>
        </w:rPr>
      </w:pPr>
    </w:p>
    <w:p w14:paraId="5D323D8B" w14:textId="77777777" w:rsidR="00633F5C" w:rsidRDefault="00633F5C" w:rsidP="00633F5C">
      <w:pPr>
        <w:pStyle w:val="CETBodytext"/>
        <w:rPr>
          <w:lang w:val="en-GB"/>
        </w:rPr>
      </w:pPr>
      <w:r w:rsidRPr="00B57B36">
        <w:t xml:space="preserve">Table </w:t>
      </w:r>
      <w:r>
        <w:t>2</w:t>
      </w:r>
      <w:r w:rsidRPr="00B57B36">
        <w:t xml:space="preserve">: </w:t>
      </w:r>
      <w:r>
        <w:t>Input data related to the composition of volatile fatty acids produced by dark fermentation case studies</w:t>
      </w:r>
    </w:p>
    <w:tbl>
      <w:tblPr>
        <w:tblW w:w="9072"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993"/>
        <w:gridCol w:w="1134"/>
        <w:gridCol w:w="992"/>
        <w:gridCol w:w="850"/>
        <w:gridCol w:w="1134"/>
        <w:gridCol w:w="993"/>
        <w:gridCol w:w="992"/>
        <w:gridCol w:w="992"/>
        <w:gridCol w:w="992"/>
      </w:tblGrid>
      <w:tr w:rsidR="00633F5C" w:rsidRPr="009E1541" w14:paraId="27E9D83E" w14:textId="77777777" w:rsidTr="00BF6AF5">
        <w:tc>
          <w:tcPr>
            <w:tcW w:w="993" w:type="dxa"/>
            <w:tcBorders>
              <w:top w:val="single" w:sz="12" w:space="0" w:color="008000"/>
              <w:bottom w:val="single" w:sz="6" w:space="0" w:color="008000"/>
            </w:tcBorders>
            <w:shd w:val="clear" w:color="auto" w:fill="FFFFFF"/>
          </w:tcPr>
          <w:p w14:paraId="6B6FD90E" w14:textId="77777777" w:rsidR="00633F5C" w:rsidRPr="00B57B36" w:rsidRDefault="00633F5C" w:rsidP="00BF6AF5">
            <w:pPr>
              <w:pStyle w:val="CETBodytext"/>
              <w:rPr>
                <w:lang w:val="en-GB"/>
              </w:rPr>
            </w:pPr>
            <w:r>
              <w:rPr>
                <w:lang w:val="en-GB"/>
              </w:rPr>
              <w:t>Case study</w:t>
            </w:r>
          </w:p>
        </w:tc>
        <w:tc>
          <w:tcPr>
            <w:tcW w:w="1134" w:type="dxa"/>
            <w:tcBorders>
              <w:top w:val="single" w:sz="12" w:space="0" w:color="008000"/>
              <w:bottom w:val="single" w:sz="6" w:space="0" w:color="008000"/>
            </w:tcBorders>
            <w:shd w:val="clear" w:color="auto" w:fill="FFFFFF"/>
          </w:tcPr>
          <w:p w14:paraId="3CE6ECF1" w14:textId="77777777" w:rsidR="00633F5C" w:rsidRPr="00B57B36" w:rsidRDefault="00633F5C" w:rsidP="00BF6AF5">
            <w:pPr>
              <w:pStyle w:val="CETBodytext"/>
              <w:rPr>
                <w:lang w:val="en-GB"/>
              </w:rPr>
            </w:pPr>
            <w:r>
              <w:rPr>
                <w:lang w:val="en-GB"/>
              </w:rPr>
              <w:t>VFA out (g/L)</w:t>
            </w:r>
          </w:p>
        </w:tc>
        <w:tc>
          <w:tcPr>
            <w:tcW w:w="992" w:type="dxa"/>
            <w:tcBorders>
              <w:top w:val="single" w:sz="12" w:space="0" w:color="008000"/>
              <w:bottom w:val="single" w:sz="6" w:space="0" w:color="008000"/>
            </w:tcBorders>
            <w:shd w:val="clear" w:color="auto" w:fill="FFFFFF"/>
          </w:tcPr>
          <w:p w14:paraId="021CA0F6" w14:textId="77777777" w:rsidR="00633F5C" w:rsidRPr="00B57B36" w:rsidRDefault="00633F5C" w:rsidP="00BF6AF5">
            <w:pPr>
              <w:pStyle w:val="CETBodytext"/>
              <w:rPr>
                <w:lang w:val="en-GB"/>
              </w:rPr>
            </w:pPr>
            <w:r w:rsidRPr="009E1541">
              <w:rPr>
                <w:lang w:val="en-GB"/>
              </w:rPr>
              <w:t>Acetic (%)</w:t>
            </w:r>
          </w:p>
        </w:tc>
        <w:tc>
          <w:tcPr>
            <w:tcW w:w="850" w:type="dxa"/>
            <w:tcBorders>
              <w:top w:val="single" w:sz="12" w:space="0" w:color="008000"/>
              <w:bottom w:val="single" w:sz="6" w:space="0" w:color="008000"/>
            </w:tcBorders>
            <w:shd w:val="clear" w:color="auto" w:fill="FFFFFF"/>
          </w:tcPr>
          <w:p w14:paraId="1F57B4D1" w14:textId="77777777" w:rsidR="00633F5C" w:rsidRPr="009E1541" w:rsidRDefault="00633F5C" w:rsidP="00BF6AF5">
            <w:pPr>
              <w:pStyle w:val="CETBodytext"/>
              <w:ind w:right="-1"/>
              <w:rPr>
                <w:lang w:val="en-GB"/>
              </w:rPr>
            </w:pPr>
            <w:r w:rsidRPr="009E1541">
              <w:rPr>
                <w:lang w:val="en-GB"/>
              </w:rPr>
              <w:t>Lactic (%)</w:t>
            </w:r>
          </w:p>
        </w:tc>
        <w:tc>
          <w:tcPr>
            <w:tcW w:w="1134" w:type="dxa"/>
            <w:tcBorders>
              <w:top w:val="single" w:sz="12" w:space="0" w:color="008000"/>
              <w:bottom w:val="single" w:sz="6" w:space="0" w:color="008000"/>
            </w:tcBorders>
            <w:shd w:val="clear" w:color="auto" w:fill="FFFFFF"/>
          </w:tcPr>
          <w:p w14:paraId="02C0794B" w14:textId="77777777" w:rsidR="00633F5C" w:rsidRPr="009E1541" w:rsidRDefault="00633F5C" w:rsidP="00BF6AF5">
            <w:pPr>
              <w:pStyle w:val="CETBodytext"/>
              <w:ind w:right="-1"/>
              <w:rPr>
                <w:lang w:val="en-GB"/>
              </w:rPr>
            </w:pPr>
            <w:r w:rsidRPr="009E1541">
              <w:rPr>
                <w:lang w:val="en-GB"/>
              </w:rPr>
              <w:t>Propionic (%)</w:t>
            </w:r>
          </w:p>
        </w:tc>
        <w:tc>
          <w:tcPr>
            <w:tcW w:w="993" w:type="dxa"/>
            <w:tcBorders>
              <w:top w:val="single" w:sz="12" w:space="0" w:color="008000"/>
              <w:bottom w:val="single" w:sz="6" w:space="0" w:color="008000"/>
            </w:tcBorders>
            <w:shd w:val="clear" w:color="auto" w:fill="FFFFFF"/>
          </w:tcPr>
          <w:p w14:paraId="2CF9E1AD" w14:textId="77777777" w:rsidR="00633F5C" w:rsidRPr="009E1541" w:rsidRDefault="00633F5C" w:rsidP="00BF6AF5">
            <w:pPr>
              <w:pStyle w:val="CETBodytext"/>
              <w:ind w:right="-1"/>
              <w:rPr>
                <w:lang w:val="en-GB"/>
              </w:rPr>
            </w:pPr>
            <w:r w:rsidRPr="009E1541">
              <w:rPr>
                <w:lang w:val="en-GB"/>
              </w:rPr>
              <w:t>Butyric (%)</w:t>
            </w:r>
          </w:p>
        </w:tc>
        <w:tc>
          <w:tcPr>
            <w:tcW w:w="992" w:type="dxa"/>
            <w:tcBorders>
              <w:top w:val="single" w:sz="12" w:space="0" w:color="008000"/>
              <w:bottom w:val="single" w:sz="6" w:space="0" w:color="008000"/>
            </w:tcBorders>
            <w:shd w:val="clear" w:color="auto" w:fill="FFFFFF"/>
          </w:tcPr>
          <w:p w14:paraId="095382DE" w14:textId="77777777" w:rsidR="00633F5C" w:rsidRPr="009E1541" w:rsidRDefault="00633F5C" w:rsidP="00BF6AF5">
            <w:pPr>
              <w:pStyle w:val="CETBodytext"/>
              <w:ind w:right="-1"/>
              <w:rPr>
                <w:lang w:val="en-GB"/>
              </w:rPr>
            </w:pPr>
            <w:r w:rsidRPr="009E1541">
              <w:rPr>
                <w:lang w:val="en-GB"/>
              </w:rPr>
              <w:t>valeric (%)</w:t>
            </w:r>
          </w:p>
        </w:tc>
        <w:tc>
          <w:tcPr>
            <w:tcW w:w="992" w:type="dxa"/>
            <w:tcBorders>
              <w:top w:val="single" w:sz="12" w:space="0" w:color="008000"/>
              <w:bottom w:val="single" w:sz="6" w:space="0" w:color="008000"/>
            </w:tcBorders>
            <w:shd w:val="clear" w:color="auto" w:fill="FFFFFF"/>
          </w:tcPr>
          <w:p w14:paraId="63D04108" w14:textId="77777777" w:rsidR="00633F5C" w:rsidRPr="009E1541" w:rsidRDefault="00633F5C" w:rsidP="00BF6AF5">
            <w:pPr>
              <w:pStyle w:val="CETBodytext"/>
              <w:ind w:right="-1"/>
              <w:rPr>
                <w:lang w:val="en-GB"/>
              </w:rPr>
            </w:pPr>
            <w:r w:rsidRPr="009E1541">
              <w:rPr>
                <w:lang w:val="en-GB"/>
              </w:rPr>
              <w:t>caproic (%)</w:t>
            </w:r>
          </w:p>
        </w:tc>
        <w:tc>
          <w:tcPr>
            <w:tcW w:w="992" w:type="dxa"/>
            <w:tcBorders>
              <w:top w:val="single" w:sz="12" w:space="0" w:color="008000"/>
              <w:bottom w:val="single" w:sz="6" w:space="0" w:color="008000"/>
            </w:tcBorders>
            <w:shd w:val="clear" w:color="auto" w:fill="FFFFFF"/>
          </w:tcPr>
          <w:p w14:paraId="475BCD90" w14:textId="77777777" w:rsidR="00633F5C" w:rsidRPr="009E1541" w:rsidRDefault="00633F5C" w:rsidP="00BF6AF5">
            <w:pPr>
              <w:pStyle w:val="CETBodytext"/>
              <w:ind w:right="-1"/>
              <w:rPr>
                <w:lang w:val="en-GB"/>
              </w:rPr>
            </w:pPr>
            <w:r>
              <w:rPr>
                <w:lang w:val="en-GB"/>
              </w:rPr>
              <w:t>R</w:t>
            </w:r>
            <w:r w:rsidRPr="009E1541">
              <w:rPr>
                <w:lang w:val="en-GB"/>
              </w:rPr>
              <w:t>eference</w:t>
            </w:r>
          </w:p>
        </w:tc>
      </w:tr>
      <w:tr w:rsidR="00633F5C" w:rsidRPr="00494E15" w14:paraId="693AEE9C" w14:textId="77777777" w:rsidTr="00BF6AF5">
        <w:tc>
          <w:tcPr>
            <w:tcW w:w="993" w:type="dxa"/>
            <w:shd w:val="clear" w:color="auto" w:fill="FFFFFF"/>
          </w:tcPr>
          <w:p w14:paraId="51198E93" w14:textId="77777777" w:rsidR="00633F5C" w:rsidRPr="00B57B36" w:rsidRDefault="00633F5C" w:rsidP="00BF6AF5">
            <w:pPr>
              <w:pStyle w:val="CETBodytext"/>
              <w:rPr>
                <w:lang w:val="en-GB"/>
              </w:rPr>
            </w:pPr>
            <w:r>
              <w:rPr>
                <w:lang w:val="en-GB"/>
              </w:rPr>
              <w:t>CW</w:t>
            </w:r>
          </w:p>
        </w:tc>
        <w:tc>
          <w:tcPr>
            <w:tcW w:w="1134" w:type="dxa"/>
            <w:shd w:val="clear" w:color="auto" w:fill="FFFFFF"/>
          </w:tcPr>
          <w:p w14:paraId="5C7F8540" w14:textId="77777777" w:rsidR="00633F5C" w:rsidRPr="00B57B36" w:rsidRDefault="00633F5C" w:rsidP="00BF6AF5">
            <w:pPr>
              <w:pStyle w:val="CETBodytext"/>
              <w:rPr>
                <w:lang w:val="en-GB"/>
              </w:rPr>
            </w:pPr>
            <w:r w:rsidRPr="009E1541">
              <w:rPr>
                <w:lang w:val="en-GB"/>
              </w:rPr>
              <w:t>25</w:t>
            </w:r>
          </w:p>
        </w:tc>
        <w:tc>
          <w:tcPr>
            <w:tcW w:w="992" w:type="dxa"/>
            <w:shd w:val="clear" w:color="auto" w:fill="FFFFFF"/>
          </w:tcPr>
          <w:p w14:paraId="2327DF03" w14:textId="77777777" w:rsidR="00633F5C" w:rsidRPr="00B57B36" w:rsidRDefault="00633F5C" w:rsidP="00BF6AF5">
            <w:pPr>
              <w:pStyle w:val="CETBodytext"/>
              <w:rPr>
                <w:lang w:val="en-GB"/>
              </w:rPr>
            </w:pPr>
            <w:r w:rsidRPr="009E1541">
              <w:rPr>
                <w:lang w:val="en-GB"/>
              </w:rPr>
              <w:t>11</w:t>
            </w:r>
          </w:p>
        </w:tc>
        <w:tc>
          <w:tcPr>
            <w:tcW w:w="850" w:type="dxa"/>
            <w:shd w:val="clear" w:color="auto" w:fill="FFFFFF"/>
          </w:tcPr>
          <w:p w14:paraId="4BA34C1B" w14:textId="77777777" w:rsidR="00633F5C" w:rsidRPr="009E1541" w:rsidRDefault="00633F5C" w:rsidP="00BF6AF5">
            <w:pPr>
              <w:pStyle w:val="CETBodytext"/>
              <w:ind w:right="-1"/>
              <w:rPr>
                <w:lang w:val="en-GB"/>
              </w:rPr>
            </w:pPr>
            <w:r w:rsidRPr="009E1541">
              <w:rPr>
                <w:lang w:val="en-GB"/>
              </w:rPr>
              <w:t>24</w:t>
            </w:r>
          </w:p>
        </w:tc>
        <w:tc>
          <w:tcPr>
            <w:tcW w:w="1134" w:type="dxa"/>
            <w:shd w:val="clear" w:color="auto" w:fill="FFFFFF"/>
          </w:tcPr>
          <w:p w14:paraId="52AB95BA" w14:textId="77777777" w:rsidR="00633F5C" w:rsidRPr="009E1541" w:rsidRDefault="00633F5C" w:rsidP="00BF6AF5">
            <w:pPr>
              <w:pStyle w:val="CETBodytext"/>
              <w:ind w:right="-1"/>
              <w:rPr>
                <w:lang w:val="en-GB"/>
              </w:rPr>
            </w:pPr>
            <w:r w:rsidRPr="009E1541">
              <w:rPr>
                <w:lang w:val="en-GB"/>
              </w:rPr>
              <w:t>-</w:t>
            </w:r>
          </w:p>
        </w:tc>
        <w:tc>
          <w:tcPr>
            <w:tcW w:w="993" w:type="dxa"/>
            <w:shd w:val="clear" w:color="auto" w:fill="FFFFFF"/>
          </w:tcPr>
          <w:p w14:paraId="1B9BEC52" w14:textId="77777777" w:rsidR="00633F5C" w:rsidRPr="009E1541" w:rsidRDefault="00633F5C" w:rsidP="00BF6AF5">
            <w:pPr>
              <w:pStyle w:val="CETBodytext"/>
              <w:ind w:right="-1"/>
              <w:rPr>
                <w:lang w:val="en-GB"/>
              </w:rPr>
            </w:pPr>
            <w:r w:rsidRPr="009E1541">
              <w:rPr>
                <w:lang w:val="en-GB"/>
              </w:rPr>
              <w:t>65</w:t>
            </w:r>
          </w:p>
        </w:tc>
        <w:tc>
          <w:tcPr>
            <w:tcW w:w="992" w:type="dxa"/>
            <w:shd w:val="clear" w:color="auto" w:fill="FFFFFF"/>
          </w:tcPr>
          <w:p w14:paraId="47C5C0E8" w14:textId="77777777" w:rsidR="00633F5C" w:rsidRPr="009E1541" w:rsidRDefault="00633F5C" w:rsidP="00BF6AF5">
            <w:pPr>
              <w:pStyle w:val="CETBodytext"/>
              <w:ind w:right="-1"/>
              <w:rPr>
                <w:lang w:val="en-GB"/>
              </w:rPr>
            </w:pPr>
            <w:r w:rsidRPr="009E1541">
              <w:rPr>
                <w:lang w:val="en-GB"/>
              </w:rPr>
              <w:t>-</w:t>
            </w:r>
          </w:p>
        </w:tc>
        <w:tc>
          <w:tcPr>
            <w:tcW w:w="992" w:type="dxa"/>
            <w:shd w:val="clear" w:color="auto" w:fill="FFFFFF"/>
          </w:tcPr>
          <w:p w14:paraId="08866A30" w14:textId="77777777" w:rsidR="00633F5C" w:rsidRPr="009E1541" w:rsidRDefault="00633F5C" w:rsidP="00BF6AF5">
            <w:pPr>
              <w:pStyle w:val="CETBodytext"/>
              <w:ind w:right="-1"/>
              <w:rPr>
                <w:lang w:val="en-GB"/>
              </w:rPr>
            </w:pPr>
            <w:r w:rsidRPr="009E1541">
              <w:rPr>
                <w:lang w:val="en-GB"/>
              </w:rPr>
              <w:t>-</w:t>
            </w:r>
          </w:p>
        </w:tc>
        <w:tc>
          <w:tcPr>
            <w:tcW w:w="992" w:type="dxa"/>
            <w:shd w:val="clear" w:color="auto" w:fill="FFFFFF"/>
          </w:tcPr>
          <w:p w14:paraId="27A4681D" w14:textId="77777777" w:rsidR="00633F5C" w:rsidRPr="00494E15" w:rsidRDefault="00633F5C" w:rsidP="00BF6AF5">
            <w:pPr>
              <w:pStyle w:val="CETBodytext"/>
              <w:ind w:right="-1"/>
              <w:rPr>
                <w:lang w:val="it-IT"/>
              </w:rPr>
            </w:pPr>
            <w:r w:rsidRPr="00494E15">
              <w:rPr>
                <w:noProof/>
                <w:lang w:val="it-IT"/>
              </w:rPr>
              <w:t xml:space="preserve"> (Rovira-Cal et al., 2025)</w:t>
            </w:r>
          </w:p>
        </w:tc>
      </w:tr>
      <w:tr w:rsidR="00633F5C" w:rsidRPr="00B57B36" w14:paraId="2E45F024" w14:textId="77777777" w:rsidTr="00BF6AF5">
        <w:tc>
          <w:tcPr>
            <w:tcW w:w="993" w:type="dxa"/>
            <w:shd w:val="clear" w:color="auto" w:fill="FFFFFF"/>
          </w:tcPr>
          <w:p w14:paraId="14E0BADB" w14:textId="77777777" w:rsidR="00633F5C" w:rsidRPr="00B57B36" w:rsidRDefault="00633F5C" w:rsidP="00BF6AF5">
            <w:pPr>
              <w:pStyle w:val="CETBodytext"/>
              <w:rPr>
                <w:lang w:val="en-GB"/>
              </w:rPr>
            </w:pPr>
            <w:r>
              <w:rPr>
                <w:lang w:val="en-GB"/>
              </w:rPr>
              <w:t>FW</w:t>
            </w:r>
          </w:p>
        </w:tc>
        <w:tc>
          <w:tcPr>
            <w:tcW w:w="1134" w:type="dxa"/>
            <w:shd w:val="clear" w:color="auto" w:fill="FFFFFF"/>
          </w:tcPr>
          <w:p w14:paraId="0C6D116B" w14:textId="77777777" w:rsidR="00633F5C" w:rsidRPr="00B57B36" w:rsidRDefault="00633F5C" w:rsidP="00BF6AF5">
            <w:pPr>
              <w:pStyle w:val="CETBodytext"/>
              <w:rPr>
                <w:lang w:val="en-GB"/>
              </w:rPr>
            </w:pPr>
            <w:r w:rsidRPr="009E1541">
              <w:rPr>
                <w:lang w:val="en-GB"/>
              </w:rPr>
              <w:t>30</w:t>
            </w:r>
          </w:p>
        </w:tc>
        <w:tc>
          <w:tcPr>
            <w:tcW w:w="992" w:type="dxa"/>
            <w:shd w:val="clear" w:color="auto" w:fill="FFFFFF"/>
          </w:tcPr>
          <w:p w14:paraId="4F41EFA4" w14:textId="77777777" w:rsidR="00633F5C" w:rsidRPr="00B57B36" w:rsidRDefault="00633F5C" w:rsidP="00BF6AF5">
            <w:pPr>
              <w:pStyle w:val="CETBodytext"/>
              <w:rPr>
                <w:lang w:val="en-GB"/>
              </w:rPr>
            </w:pPr>
            <w:r w:rsidRPr="009E1541">
              <w:rPr>
                <w:lang w:val="en-GB"/>
              </w:rPr>
              <w:t>15</w:t>
            </w:r>
          </w:p>
        </w:tc>
        <w:tc>
          <w:tcPr>
            <w:tcW w:w="850" w:type="dxa"/>
            <w:shd w:val="clear" w:color="auto" w:fill="FFFFFF"/>
          </w:tcPr>
          <w:p w14:paraId="2F934224" w14:textId="77777777" w:rsidR="00633F5C" w:rsidRPr="009E1541" w:rsidRDefault="00633F5C" w:rsidP="00BF6AF5">
            <w:pPr>
              <w:pStyle w:val="CETBodytext"/>
              <w:ind w:right="-1"/>
              <w:rPr>
                <w:lang w:val="en-GB"/>
              </w:rPr>
            </w:pPr>
            <w:r>
              <w:rPr>
                <w:lang w:val="en-GB"/>
              </w:rPr>
              <w:t>-</w:t>
            </w:r>
          </w:p>
        </w:tc>
        <w:tc>
          <w:tcPr>
            <w:tcW w:w="1134" w:type="dxa"/>
            <w:shd w:val="clear" w:color="auto" w:fill="FFFFFF"/>
          </w:tcPr>
          <w:p w14:paraId="3F5D3792" w14:textId="77777777" w:rsidR="00633F5C" w:rsidRPr="009E1541" w:rsidRDefault="00633F5C" w:rsidP="00BF6AF5">
            <w:pPr>
              <w:pStyle w:val="CETBodytext"/>
              <w:ind w:right="-1"/>
              <w:rPr>
                <w:lang w:val="en-GB"/>
              </w:rPr>
            </w:pPr>
            <w:r w:rsidRPr="009E1541">
              <w:rPr>
                <w:lang w:val="en-GB"/>
              </w:rPr>
              <w:t>28</w:t>
            </w:r>
          </w:p>
        </w:tc>
        <w:tc>
          <w:tcPr>
            <w:tcW w:w="993" w:type="dxa"/>
            <w:shd w:val="clear" w:color="auto" w:fill="FFFFFF"/>
          </w:tcPr>
          <w:p w14:paraId="7629A35E" w14:textId="77777777" w:rsidR="00633F5C" w:rsidRPr="009E1541" w:rsidRDefault="00633F5C" w:rsidP="00BF6AF5">
            <w:pPr>
              <w:pStyle w:val="CETBodytext"/>
              <w:ind w:right="-1"/>
              <w:rPr>
                <w:lang w:val="en-GB"/>
              </w:rPr>
            </w:pPr>
            <w:r w:rsidRPr="009E1541">
              <w:rPr>
                <w:lang w:val="en-GB"/>
              </w:rPr>
              <w:t>42</w:t>
            </w:r>
          </w:p>
        </w:tc>
        <w:tc>
          <w:tcPr>
            <w:tcW w:w="992" w:type="dxa"/>
            <w:shd w:val="clear" w:color="auto" w:fill="FFFFFF"/>
          </w:tcPr>
          <w:p w14:paraId="366D4A5B" w14:textId="77777777" w:rsidR="00633F5C" w:rsidRPr="009E1541" w:rsidRDefault="00633F5C" w:rsidP="00BF6AF5">
            <w:pPr>
              <w:pStyle w:val="CETBodytext"/>
              <w:ind w:right="-1"/>
              <w:rPr>
                <w:lang w:val="en-GB"/>
              </w:rPr>
            </w:pPr>
            <w:r w:rsidRPr="009E1541">
              <w:rPr>
                <w:lang w:val="en-GB"/>
              </w:rPr>
              <w:t>8</w:t>
            </w:r>
          </w:p>
        </w:tc>
        <w:tc>
          <w:tcPr>
            <w:tcW w:w="992" w:type="dxa"/>
            <w:shd w:val="clear" w:color="auto" w:fill="FFFFFF"/>
          </w:tcPr>
          <w:p w14:paraId="19CA4C9E" w14:textId="77777777" w:rsidR="00633F5C" w:rsidRPr="009E1541" w:rsidRDefault="00633F5C" w:rsidP="00BF6AF5">
            <w:pPr>
              <w:pStyle w:val="CETBodytext"/>
              <w:ind w:right="-1"/>
              <w:rPr>
                <w:lang w:val="en-GB"/>
              </w:rPr>
            </w:pPr>
            <w:r w:rsidRPr="009E1541">
              <w:rPr>
                <w:lang w:val="en-GB"/>
              </w:rPr>
              <w:t>7</w:t>
            </w:r>
          </w:p>
        </w:tc>
        <w:tc>
          <w:tcPr>
            <w:tcW w:w="992" w:type="dxa"/>
            <w:shd w:val="clear" w:color="auto" w:fill="FFFFFF"/>
          </w:tcPr>
          <w:p w14:paraId="00EA0EC9" w14:textId="77777777" w:rsidR="00633F5C" w:rsidRPr="00EC1F16" w:rsidRDefault="00633F5C" w:rsidP="00BF6AF5">
            <w:pPr>
              <w:pStyle w:val="CETBodytext"/>
              <w:ind w:right="-1"/>
              <w:rPr>
                <w:lang w:val="en-GB"/>
              </w:rPr>
            </w:pPr>
            <w:r>
              <w:rPr>
                <w:noProof/>
                <w:lang w:val="en-GB"/>
              </w:rPr>
              <w:t xml:space="preserve"> (Silva et al., 2022)</w:t>
            </w:r>
          </w:p>
        </w:tc>
      </w:tr>
      <w:tr w:rsidR="00633F5C" w:rsidRPr="00B57B36" w14:paraId="1B9D793C" w14:textId="77777777" w:rsidTr="00BF6AF5">
        <w:tc>
          <w:tcPr>
            <w:tcW w:w="993" w:type="dxa"/>
            <w:shd w:val="clear" w:color="auto" w:fill="FFFFFF"/>
          </w:tcPr>
          <w:p w14:paraId="4C1A549E" w14:textId="77777777" w:rsidR="00633F5C" w:rsidRPr="009E1541" w:rsidRDefault="00633F5C" w:rsidP="00BF6AF5">
            <w:pPr>
              <w:pStyle w:val="CETBodytext"/>
              <w:ind w:right="-1"/>
              <w:rPr>
                <w:lang w:val="en-GB"/>
              </w:rPr>
            </w:pPr>
            <w:r w:rsidRPr="009E1541">
              <w:rPr>
                <w:lang w:val="en-GB"/>
              </w:rPr>
              <w:t>OF-MSW</w:t>
            </w:r>
          </w:p>
        </w:tc>
        <w:tc>
          <w:tcPr>
            <w:tcW w:w="1134" w:type="dxa"/>
            <w:shd w:val="clear" w:color="auto" w:fill="FFFFFF"/>
          </w:tcPr>
          <w:p w14:paraId="292D17F1" w14:textId="77777777" w:rsidR="00633F5C" w:rsidRPr="009E1541" w:rsidRDefault="00633F5C" w:rsidP="00BF6AF5">
            <w:pPr>
              <w:pStyle w:val="CETBodytext"/>
              <w:ind w:right="-1"/>
              <w:rPr>
                <w:lang w:val="en-GB"/>
              </w:rPr>
            </w:pPr>
            <w:r w:rsidRPr="009E1541">
              <w:rPr>
                <w:lang w:val="en-GB"/>
              </w:rPr>
              <w:t>13</w:t>
            </w:r>
          </w:p>
        </w:tc>
        <w:tc>
          <w:tcPr>
            <w:tcW w:w="992" w:type="dxa"/>
            <w:shd w:val="clear" w:color="auto" w:fill="FFFFFF"/>
          </w:tcPr>
          <w:p w14:paraId="41FC2EF3" w14:textId="77777777" w:rsidR="00633F5C" w:rsidRPr="009E1541" w:rsidRDefault="00633F5C" w:rsidP="00BF6AF5">
            <w:pPr>
              <w:pStyle w:val="CETBodytext"/>
              <w:ind w:right="-1"/>
              <w:rPr>
                <w:lang w:val="en-GB"/>
              </w:rPr>
            </w:pPr>
            <w:r w:rsidRPr="009E1541">
              <w:rPr>
                <w:lang w:val="en-GB"/>
              </w:rPr>
              <w:t>12</w:t>
            </w:r>
          </w:p>
        </w:tc>
        <w:tc>
          <w:tcPr>
            <w:tcW w:w="850" w:type="dxa"/>
            <w:shd w:val="clear" w:color="auto" w:fill="FFFFFF"/>
          </w:tcPr>
          <w:p w14:paraId="02A1F52D" w14:textId="77777777" w:rsidR="00633F5C" w:rsidRPr="009E1541" w:rsidRDefault="00633F5C" w:rsidP="00BF6AF5">
            <w:pPr>
              <w:pStyle w:val="CETBodytext"/>
              <w:ind w:right="-1"/>
              <w:rPr>
                <w:lang w:val="en-GB"/>
              </w:rPr>
            </w:pPr>
            <w:r w:rsidRPr="009E1541">
              <w:rPr>
                <w:lang w:val="en-GB"/>
              </w:rPr>
              <w:t>-</w:t>
            </w:r>
          </w:p>
        </w:tc>
        <w:tc>
          <w:tcPr>
            <w:tcW w:w="1134" w:type="dxa"/>
            <w:shd w:val="clear" w:color="auto" w:fill="FFFFFF"/>
          </w:tcPr>
          <w:p w14:paraId="1A476B1C" w14:textId="77777777" w:rsidR="00633F5C" w:rsidRPr="009E1541" w:rsidRDefault="00633F5C" w:rsidP="00BF6AF5">
            <w:pPr>
              <w:pStyle w:val="CETBodytext"/>
              <w:ind w:right="-1"/>
              <w:rPr>
                <w:lang w:val="en-GB"/>
              </w:rPr>
            </w:pPr>
            <w:r w:rsidRPr="009E1541">
              <w:rPr>
                <w:lang w:val="en-GB"/>
              </w:rPr>
              <w:t>13</w:t>
            </w:r>
          </w:p>
        </w:tc>
        <w:tc>
          <w:tcPr>
            <w:tcW w:w="993" w:type="dxa"/>
            <w:shd w:val="clear" w:color="auto" w:fill="FFFFFF"/>
          </w:tcPr>
          <w:p w14:paraId="40E4C7A6" w14:textId="77777777" w:rsidR="00633F5C" w:rsidRPr="009E1541" w:rsidRDefault="00633F5C" w:rsidP="00BF6AF5">
            <w:pPr>
              <w:pStyle w:val="CETBodytext"/>
              <w:ind w:right="-1"/>
              <w:rPr>
                <w:lang w:val="en-GB"/>
              </w:rPr>
            </w:pPr>
            <w:r w:rsidRPr="009E1541">
              <w:rPr>
                <w:lang w:val="en-GB"/>
              </w:rPr>
              <w:t>72</w:t>
            </w:r>
          </w:p>
        </w:tc>
        <w:tc>
          <w:tcPr>
            <w:tcW w:w="992" w:type="dxa"/>
            <w:shd w:val="clear" w:color="auto" w:fill="FFFFFF"/>
          </w:tcPr>
          <w:p w14:paraId="23CBF7CF" w14:textId="77777777" w:rsidR="00633F5C" w:rsidRPr="009E1541" w:rsidRDefault="00633F5C" w:rsidP="00BF6AF5">
            <w:pPr>
              <w:pStyle w:val="CETBodytext"/>
              <w:ind w:right="-1"/>
              <w:rPr>
                <w:lang w:val="en-GB"/>
              </w:rPr>
            </w:pPr>
            <w:r w:rsidRPr="009E1541">
              <w:rPr>
                <w:lang w:val="en-GB"/>
              </w:rPr>
              <w:t>2</w:t>
            </w:r>
          </w:p>
        </w:tc>
        <w:tc>
          <w:tcPr>
            <w:tcW w:w="992" w:type="dxa"/>
            <w:shd w:val="clear" w:color="auto" w:fill="FFFFFF"/>
          </w:tcPr>
          <w:p w14:paraId="62EE8522" w14:textId="77777777" w:rsidR="00633F5C" w:rsidRPr="009E1541" w:rsidRDefault="00633F5C" w:rsidP="00BF6AF5">
            <w:pPr>
              <w:pStyle w:val="CETBodytext"/>
              <w:ind w:right="-1"/>
              <w:rPr>
                <w:lang w:val="en-GB"/>
              </w:rPr>
            </w:pPr>
            <w:r w:rsidRPr="009E1541">
              <w:rPr>
                <w:lang w:val="en-GB"/>
              </w:rPr>
              <w:t>2</w:t>
            </w:r>
          </w:p>
        </w:tc>
        <w:tc>
          <w:tcPr>
            <w:tcW w:w="992" w:type="dxa"/>
            <w:shd w:val="clear" w:color="auto" w:fill="FFFFFF"/>
          </w:tcPr>
          <w:p w14:paraId="73764762" w14:textId="77777777" w:rsidR="00633F5C" w:rsidRPr="00EC1F16" w:rsidRDefault="00633F5C" w:rsidP="00BF6AF5">
            <w:pPr>
              <w:pStyle w:val="CETBodytext"/>
              <w:ind w:right="-1"/>
              <w:rPr>
                <w:lang w:val="en-GB"/>
              </w:rPr>
            </w:pPr>
            <w:r>
              <w:rPr>
                <w:noProof/>
                <w:lang w:val="en-GB"/>
              </w:rPr>
              <w:t xml:space="preserve"> (Gottardo et al., 2023)</w:t>
            </w:r>
          </w:p>
        </w:tc>
      </w:tr>
    </w:tbl>
    <w:p w14:paraId="40F94F6F" w14:textId="77777777" w:rsidR="00405991" w:rsidRDefault="00405991" w:rsidP="00F05D4E">
      <w:pPr>
        <w:pStyle w:val="CETheadingx"/>
        <w:rPr>
          <w:lang w:val="en-GB"/>
        </w:rPr>
      </w:pPr>
      <w:r w:rsidRPr="00F05D4E">
        <w:t>Mass and electron balance definition</w:t>
      </w:r>
      <w:r>
        <w:rPr>
          <w:lang w:val="en-GB"/>
        </w:rPr>
        <w:t xml:space="preserve"> </w:t>
      </w:r>
    </w:p>
    <w:p w14:paraId="376933E2" w14:textId="77777777" w:rsidR="00405991" w:rsidRDefault="00405991" w:rsidP="00FB0F9B">
      <w:pPr>
        <w:pStyle w:val="CETBodytext"/>
      </w:pPr>
      <w:r>
        <w:t>Based on the input data regarding DF liquid and gaseous effluent composition, the integration of a MEC and an AEC system was elaborated considering the possibility of converting the entire VFA fraction. The VFA fraction coming from the DF effluent was considered fully oxidizable by the bioanode of the MEC step, while the remaining part of the soluble COD was assumed to be recalcitrant under bioanode conditions and was considered oxidizable only at the AEC anode. MEC current production from VFA oxidation was evaluated by equation 1:</w:t>
      </w:r>
    </w:p>
    <w:p w14:paraId="59F847C8" w14:textId="3F696060" w:rsidR="00405991" w:rsidRDefault="00405991" w:rsidP="00FB0F9B">
      <w:pPr>
        <w:pStyle w:val="CETBodytext"/>
      </w:pPr>
      <m:oMath>
        <m:r>
          <w:rPr>
            <w:rFonts w:ascii="Cambria Math" w:hAnsi="Cambria Math" w:cs="Calibri"/>
          </w:rPr>
          <m:t xml:space="preserve">MEC current </m:t>
        </m:r>
        <m:d>
          <m:dPr>
            <m:ctrlPr>
              <w:rPr>
                <w:rFonts w:ascii="Cambria Math" w:hAnsi="Cambria Math" w:cs="Calibri"/>
                <w:i/>
              </w:rPr>
            </m:ctrlPr>
          </m:dPr>
          <m:e>
            <m:r>
              <w:rPr>
                <w:rFonts w:ascii="Cambria Math" w:hAnsi="Cambria Math" w:cs="Calibri"/>
              </w:rPr>
              <m:t>A</m:t>
            </m:r>
          </m:e>
        </m:d>
        <m:r>
          <w:rPr>
            <w:rFonts w:ascii="Cambria Math" w:hAnsi="Cambria Math" w:cs="Calibri"/>
          </w:rPr>
          <m:t xml:space="preserve">=VFA </m:t>
        </m:r>
        <m:d>
          <m:dPr>
            <m:ctrlPr>
              <w:rPr>
                <w:rFonts w:ascii="Cambria Math" w:hAnsi="Cambria Math" w:cs="Calibri"/>
                <w:i/>
              </w:rPr>
            </m:ctrlPr>
          </m:dPr>
          <m:e>
            <m:f>
              <m:fPr>
                <m:ctrlPr>
                  <w:rPr>
                    <w:rFonts w:ascii="Cambria Math" w:hAnsi="Cambria Math" w:cs="Calibri"/>
                    <w:i/>
                  </w:rPr>
                </m:ctrlPr>
              </m:fPr>
              <m:num>
                <m:r>
                  <w:rPr>
                    <w:rFonts w:ascii="Cambria Math" w:hAnsi="Cambria Math" w:cs="Calibri"/>
                  </w:rPr>
                  <m:t>gCOD</m:t>
                </m:r>
              </m:num>
              <m:den>
                <m:r>
                  <w:rPr>
                    <w:rFonts w:ascii="Cambria Math" w:hAnsi="Cambria Math" w:cs="Calibri"/>
                  </w:rPr>
                  <m:t>d</m:t>
                </m:r>
              </m:den>
            </m:f>
          </m:e>
        </m:d>
        <m:r>
          <w:rPr>
            <w:rFonts w:ascii="Cambria Math" w:hAnsi="Cambria Math" w:cs="Calibri"/>
          </w:rPr>
          <m:t>*</m:t>
        </m:r>
        <m:f>
          <m:fPr>
            <m:ctrlPr>
              <w:rPr>
                <w:rFonts w:ascii="Cambria Math" w:hAnsi="Cambria Math" w:cs="Calibri"/>
                <w:i/>
              </w:rPr>
            </m:ctrlPr>
          </m:fPr>
          <m:num>
            <m:r>
              <w:rPr>
                <w:rFonts w:ascii="Cambria Math" w:hAnsi="Cambria Math" w:cs="Calibri"/>
              </w:rPr>
              <m:t>4 (</m:t>
            </m:r>
            <m:f>
              <m:fPr>
                <m:ctrlPr>
                  <w:rPr>
                    <w:rFonts w:ascii="Cambria Math" w:hAnsi="Cambria Math" w:cs="Calibri"/>
                    <w:i/>
                  </w:rPr>
                </m:ctrlPr>
              </m:fPr>
              <m:num>
                <m:r>
                  <w:rPr>
                    <w:rFonts w:ascii="Cambria Math" w:hAnsi="Cambria Math" w:cs="Calibri"/>
                  </w:rPr>
                  <m:t>eq</m:t>
                </m:r>
              </m:num>
              <m:den>
                <m:r>
                  <w:rPr>
                    <w:rFonts w:ascii="Cambria Math" w:hAnsi="Cambria Math" w:cs="Calibri"/>
                  </w:rPr>
                  <m:t>mol</m:t>
                </m:r>
              </m:den>
            </m:f>
            <m:r>
              <w:rPr>
                <w:rFonts w:ascii="Cambria Math" w:hAnsi="Cambria Math" w:cs="Calibri"/>
              </w:rPr>
              <m:t>)</m:t>
            </m:r>
          </m:num>
          <m:den>
            <m:r>
              <w:rPr>
                <w:rFonts w:ascii="Cambria Math" w:hAnsi="Cambria Math" w:cs="Calibri"/>
              </w:rPr>
              <m:t>32 (</m:t>
            </m:r>
            <m:f>
              <m:fPr>
                <m:ctrlPr>
                  <w:rPr>
                    <w:rFonts w:ascii="Cambria Math" w:hAnsi="Cambria Math" w:cs="Calibri"/>
                    <w:i/>
                  </w:rPr>
                </m:ctrlPr>
              </m:fPr>
              <m:num>
                <m:r>
                  <w:rPr>
                    <w:rFonts w:ascii="Cambria Math" w:hAnsi="Cambria Math" w:cs="Calibri"/>
                  </w:rPr>
                  <m:t>g</m:t>
                </m:r>
              </m:num>
              <m:den>
                <m:r>
                  <w:rPr>
                    <w:rFonts w:ascii="Cambria Math" w:hAnsi="Cambria Math" w:cs="Calibri"/>
                  </w:rPr>
                  <m:t>mol</m:t>
                </m:r>
              </m:den>
            </m:f>
            <m:r>
              <w:rPr>
                <w:rFonts w:ascii="Cambria Math" w:hAnsi="Cambria Math" w:cs="Calibri"/>
              </w:rPr>
              <m:t>)</m:t>
            </m:r>
          </m:den>
        </m:f>
        <m:r>
          <w:rPr>
            <w:rFonts w:ascii="Cambria Math" w:hAnsi="Cambria Math" w:cs="Calibri"/>
          </w:rPr>
          <m:t>*</m:t>
        </m:r>
        <m:f>
          <m:fPr>
            <m:ctrlPr>
              <w:rPr>
                <w:rFonts w:ascii="Cambria Math" w:hAnsi="Cambria Math" w:cs="Calibri"/>
                <w:i/>
              </w:rPr>
            </m:ctrlPr>
          </m:fPr>
          <m:num>
            <m:r>
              <w:rPr>
                <w:rFonts w:ascii="Cambria Math" w:hAnsi="Cambria Math" w:cs="Calibri"/>
              </w:rPr>
              <m:t>F (</m:t>
            </m:r>
            <m:f>
              <m:fPr>
                <m:ctrlPr>
                  <w:rPr>
                    <w:rFonts w:ascii="Cambria Math" w:hAnsi="Cambria Math" w:cs="Calibri"/>
                    <w:i/>
                  </w:rPr>
                </m:ctrlPr>
              </m:fPr>
              <m:num>
                <m:r>
                  <w:rPr>
                    <w:rFonts w:ascii="Cambria Math" w:hAnsi="Cambria Math" w:cs="Calibri"/>
                  </w:rPr>
                  <m:t>C</m:t>
                </m:r>
              </m:num>
              <m:den>
                <m:r>
                  <w:rPr>
                    <w:rFonts w:ascii="Cambria Math" w:hAnsi="Cambria Math" w:cs="Calibri"/>
                  </w:rPr>
                  <m:t>eq</m:t>
                </m:r>
              </m:den>
            </m:f>
            <m:r>
              <w:rPr>
                <w:rFonts w:ascii="Cambria Math" w:hAnsi="Cambria Math" w:cs="Calibri"/>
              </w:rPr>
              <m:t>)</m:t>
            </m:r>
          </m:num>
          <m:den>
            <m:r>
              <w:rPr>
                <w:rFonts w:ascii="Cambria Math" w:hAnsi="Cambria Math" w:cs="Calibri"/>
              </w:rPr>
              <m:t>8600 (</m:t>
            </m:r>
            <m:f>
              <m:fPr>
                <m:ctrlPr>
                  <w:rPr>
                    <w:rFonts w:ascii="Cambria Math" w:hAnsi="Cambria Math" w:cs="Calibri"/>
                    <w:i/>
                  </w:rPr>
                </m:ctrlPr>
              </m:fPr>
              <m:num>
                <m:r>
                  <w:rPr>
                    <w:rFonts w:ascii="Cambria Math" w:hAnsi="Cambria Math" w:cs="Calibri"/>
                  </w:rPr>
                  <m:t>s</m:t>
                </m:r>
              </m:num>
              <m:den>
                <m:r>
                  <w:rPr>
                    <w:rFonts w:ascii="Cambria Math" w:hAnsi="Cambria Math" w:cs="Calibri"/>
                  </w:rPr>
                  <m:t>d</m:t>
                </m:r>
              </m:den>
            </m:f>
            <m:r>
              <w:rPr>
                <w:rFonts w:ascii="Cambria Math" w:hAnsi="Cambria Math" w:cs="Calibri"/>
              </w:rPr>
              <m:t>)</m:t>
            </m:r>
          </m:den>
        </m:f>
      </m:oMath>
      <w:r w:rsidRPr="0024513A">
        <w:t xml:space="preserve"> (1</w:t>
      </w:r>
      <w:r>
        <w:t>)</w:t>
      </w:r>
    </w:p>
    <w:p w14:paraId="24E6A5F7" w14:textId="77777777" w:rsidR="00405991" w:rsidRDefault="00405991" w:rsidP="00FB0F9B">
      <w:pPr>
        <w:pStyle w:val="CETBodytext"/>
      </w:pPr>
      <w:r>
        <w:t>in which VFA represents the effluent stream from DF step, F is the faraday constant and 86400 represents the seconds in a day. The electrons produced by VFA oxidation was evaluated considering the release of 4 electrons for each mole of COD (i.e., 32 g of O2) according to the water oxidation semi reaction (equation 2):</w:t>
      </w:r>
    </w:p>
    <w:p w14:paraId="3B02B63C" w14:textId="77777777" w:rsidR="00405991" w:rsidRDefault="00000000" w:rsidP="00FB0F9B">
      <w:pPr>
        <w:pStyle w:val="CETBodytext"/>
      </w:pPr>
      <m:oMath>
        <m:sSub>
          <m:sSubPr>
            <m:ctrlPr>
              <w:rPr>
                <w:rFonts w:ascii="Cambria Math" w:hAnsi="Cambria Math" w:cs="Calibri"/>
                <w:i/>
              </w:rPr>
            </m:ctrlPr>
          </m:sSubPr>
          <m:e>
            <m:r>
              <w:rPr>
                <w:rFonts w:ascii="Cambria Math" w:hAnsi="Cambria Math" w:cs="Calibri"/>
              </w:rPr>
              <m:t>2H</m:t>
            </m:r>
          </m:e>
          <m:sub>
            <m:r>
              <w:rPr>
                <w:rFonts w:ascii="Cambria Math" w:hAnsi="Cambria Math" w:cs="Calibri"/>
              </w:rPr>
              <m:t>2</m:t>
            </m:r>
          </m:sub>
        </m:sSub>
        <m:r>
          <w:rPr>
            <w:rFonts w:ascii="Cambria Math" w:hAnsi="Cambria Math" w:cs="Calibri"/>
          </w:rPr>
          <m:t>O</m:t>
        </m:r>
        <m:box>
          <m:boxPr>
            <m:opEmu m:val="1"/>
            <m:ctrlPr>
              <w:rPr>
                <w:rFonts w:ascii="Cambria Math" w:hAnsi="Cambria Math"/>
                <w:i/>
              </w:rPr>
            </m:ctrlPr>
          </m:boxPr>
          <m:e>
            <m:groupChr>
              <m:groupChrPr>
                <m:chr m:val="→"/>
                <m:pos m:val="top"/>
                <m:ctrlPr>
                  <w:rPr>
                    <w:rFonts w:ascii="Cambria Math" w:hAnsi="Cambria Math"/>
                    <w:i/>
                  </w:rPr>
                </m:ctrlPr>
              </m:groupChrPr>
              <m:e/>
            </m:groupChr>
          </m:e>
        </m:box>
        <m:sSup>
          <m:sSupPr>
            <m:ctrlPr>
              <w:rPr>
                <w:rFonts w:ascii="Cambria Math" w:hAnsi="Cambria Math"/>
                <w:i/>
              </w:rPr>
            </m:ctrlPr>
          </m:sSupPr>
          <m:e>
            <m:r>
              <w:rPr>
                <w:rFonts w:ascii="Cambria Math" w:hAnsi="Cambria Math"/>
              </w:rPr>
              <m:t>4H</m:t>
            </m:r>
          </m:e>
          <m:sup>
            <m:r>
              <w:rPr>
                <w:rFonts w:ascii="Cambria Math" w:hAnsi="Cambria Math"/>
              </w:rPr>
              <m:t>+</m:t>
            </m:r>
          </m:sup>
        </m:sSup>
        <m:r>
          <w:rPr>
            <w:rFonts w:ascii="Cambria Math" w:hAnsi="Cambria Math"/>
          </w:rPr>
          <m:t xml:space="preserve"> +</m:t>
        </m:r>
        <m:sSup>
          <m:sSupPr>
            <m:ctrlPr>
              <w:rPr>
                <w:rFonts w:ascii="Cambria Math" w:hAnsi="Cambria Math"/>
                <w:i/>
              </w:rPr>
            </m:ctrlPr>
          </m:sSupPr>
          <m:e>
            <m:r>
              <w:rPr>
                <w:rFonts w:ascii="Cambria Math" w:hAnsi="Cambria Math"/>
              </w:rPr>
              <m:t>4e</m:t>
            </m:r>
          </m:e>
          <m:sup>
            <m:r>
              <w:rPr>
                <w:rFonts w:ascii="Cambria Math" w:hAnsi="Cambria Math"/>
              </w:rPr>
              <m:t>-</m:t>
            </m:r>
          </m:sup>
        </m:sSup>
        <m:r>
          <w:rPr>
            <w:rFonts w:ascii="Cambria Math" w:hAnsi="Cambria Math"/>
          </w:rPr>
          <m:t xml:space="preserve">+ </m:t>
        </m:r>
        <m:sSub>
          <m:sSubPr>
            <m:ctrlPr>
              <w:rPr>
                <w:rFonts w:ascii="Cambria Math" w:hAnsi="Cambria Math"/>
                <w:i/>
              </w:rPr>
            </m:ctrlPr>
          </m:sSubPr>
          <m:e>
            <m:r>
              <w:rPr>
                <w:rFonts w:ascii="Cambria Math" w:hAnsi="Cambria Math"/>
              </w:rPr>
              <m:t>O</m:t>
            </m:r>
          </m:e>
          <m:sub>
            <m:r>
              <w:rPr>
                <w:rFonts w:ascii="Cambria Math" w:hAnsi="Cambria Math"/>
              </w:rPr>
              <m:t>2</m:t>
            </m:r>
          </m:sub>
        </m:sSub>
      </m:oMath>
      <w:r w:rsidR="00405991">
        <w:t xml:space="preserve"> </w:t>
      </w:r>
      <w:r w:rsidR="00405991" w:rsidRPr="0024513A">
        <w:t>(</w:t>
      </w:r>
      <w:r w:rsidR="00405991">
        <w:t>2)</w:t>
      </w:r>
    </w:p>
    <w:p w14:paraId="01736B1B" w14:textId="7F4A53CE" w:rsidR="00405991" w:rsidRDefault="00405991" w:rsidP="00FB0F9B">
      <w:pPr>
        <w:pStyle w:val="CETBodytext"/>
      </w:pPr>
      <w:r>
        <w:t>The moles of CO</w:t>
      </w:r>
      <w:r w:rsidRPr="002A7012">
        <w:rPr>
          <w:vertAlign w:val="subscript"/>
        </w:rPr>
        <w:t>2</w:t>
      </w:r>
      <w:r>
        <w:t xml:space="preserve"> released from VFA oxidation was calculated considering their stoichiometric oxidation equation (Table 2). The remaining soluble COD in the DF effluent stream was assumed recalcitrant in the bioanode </w:t>
      </w:r>
      <w:proofErr w:type="gramStart"/>
      <w:r>
        <w:t>environment</w:t>
      </w:r>
      <w:proofErr w:type="gramEnd"/>
      <w:r>
        <w:t xml:space="preserve"> and it was considered oxidable only in the AEC step</w:t>
      </w:r>
      <w:r>
        <w:rPr>
          <w:noProof/>
        </w:rPr>
        <w:t xml:space="preserve"> (Dell'Armi et al., 2025)</w:t>
      </w:r>
      <w:r>
        <w:t>. Current generation in the AEC process was calculated according to equation 3:</w:t>
      </w:r>
    </w:p>
    <w:p w14:paraId="43E09E22" w14:textId="77777777" w:rsidR="00405991" w:rsidRPr="00AA32A4" w:rsidRDefault="00405991" w:rsidP="00FB0F9B">
      <w:pPr>
        <w:pStyle w:val="CETBodytext"/>
      </w:pPr>
      <m:oMath>
        <m:r>
          <w:rPr>
            <w:rFonts w:ascii="Cambria Math" w:hAnsi="Cambria Math" w:cs="Calibri"/>
          </w:rPr>
          <m:t xml:space="preserve">AEC current </m:t>
        </m:r>
        <m:d>
          <m:dPr>
            <m:ctrlPr>
              <w:rPr>
                <w:rFonts w:ascii="Cambria Math" w:hAnsi="Cambria Math" w:cs="Calibri"/>
                <w:i/>
              </w:rPr>
            </m:ctrlPr>
          </m:dPr>
          <m:e>
            <m:r>
              <w:rPr>
                <w:rFonts w:ascii="Cambria Math" w:hAnsi="Cambria Math" w:cs="Calibri"/>
              </w:rPr>
              <m:t>A</m:t>
            </m:r>
          </m:e>
        </m:d>
        <m:r>
          <w:rPr>
            <w:rFonts w:ascii="Cambria Math" w:hAnsi="Cambria Math" w:cs="Calibri"/>
          </w:rPr>
          <m:t xml:space="preserve">=COD </m:t>
        </m:r>
        <m:d>
          <m:dPr>
            <m:ctrlPr>
              <w:rPr>
                <w:rFonts w:ascii="Cambria Math" w:hAnsi="Cambria Math" w:cs="Calibri"/>
                <w:i/>
              </w:rPr>
            </m:ctrlPr>
          </m:dPr>
          <m:e>
            <m:f>
              <m:fPr>
                <m:ctrlPr>
                  <w:rPr>
                    <w:rFonts w:ascii="Cambria Math" w:hAnsi="Cambria Math" w:cs="Calibri"/>
                    <w:i/>
                  </w:rPr>
                </m:ctrlPr>
              </m:fPr>
              <m:num>
                <m:r>
                  <w:rPr>
                    <w:rFonts w:ascii="Cambria Math" w:hAnsi="Cambria Math" w:cs="Calibri"/>
                  </w:rPr>
                  <m:t>gCOD</m:t>
                </m:r>
              </m:num>
              <m:den>
                <m:r>
                  <w:rPr>
                    <w:rFonts w:ascii="Cambria Math" w:hAnsi="Cambria Math" w:cs="Calibri"/>
                  </w:rPr>
                  <m:t>d</m:t>
                </m:r>
              </m:den>
            </m:f>
          </m:e>
        </m:d>
        <m:r>
          <w:rPr>
            <w:rFonts w:ascii="Cambria Math" w:hAnsi="Cambria Math" w:cs="Calibri"/>
          </w:rPr>
          <m:t>*</m:t>
        </m:r>
        <m:f>
          <m:fPr>
            <m:ctrlPr>
              <w:rPr>
                <w:rFonts w:ascii="Cambria Math" w:hAnsi="Cambria Math" w:cs="Calibri"/>
                <w:i/>
              </w:rPr>
            </m:ctrlPr>
          </m:fPr>
          <m:num>
            <m:r>
              <w:rPr>
                <w:rFonts w:ascii="Cambria Math" w:hAnsi="Cambria Math" w:cs="Calibri"/>
              </w:rPr>
              <m:t>4 (</m:t>
            </m:r>
            <m:f>
              <m:fPr>
                <m:ctrlPr>
                  <w:rPr>
                    <w:rFonts w:ascii="Cambria Math" w:hAnsi="Cambria Math" w:cs="Calibri"/>
                    <w:i/>
                  </w:rPr>
                </m:ctrlPr>
              </m:fPr>
              <m:num>
                <m:r>
                  <w:rPr>
                    <w:rFonts w:ascii="Cambria Math" w:hAnsi="Cambria Math" w:cs="Calibri"/>
                  </w:rPr>
                  <m:t>eq</m:t>
                </m:r>
              </m:num>
              <m:den>
                <m:r>
                  <w:rPr>
                    <w:rFonts w:ascii="Cambria Math" w:hAnsi="Cambria Math" w:cs="Calibri"/>
                  </w:rPr>
                  <m:t>mol</m:t>
                </m:r>
              </m:den>
            </m:f>
            <m:r>
              <w:rPr>
                <w:rFonts w:ascii="Cambria Math" w:hAnsi="Cambria Math" w:cs="Calibri"/>
              </w:rPr>
              <m:t>)</m:t>
            </m:r>
          </m:num>
          <m:den>
            <m:r>
              <w:rPr>
                <w:rFonts w:ascii="Cambria Math" w:hAnsi="Cambria Math" w:cs="Calibri"/>
              </w:rPr>
              <m:t>32 (</m:t>
            </m:r>
            <m:f>
              <m:fPr>
                <m:ctrlPr>
                  <w:rPr>
                    <w:rFonts w:ascii="Cambria Math" w:hAnsi="Cambria Math" w:cs="Calibri"/>
                    <w:i/>
                  </w:rPr>
                </m:ctrlPr>
              </m:fPr>
              <m:num>
                <m:r>
                  <w:rPr>
                    <w:rFonts w:ascii="Cambria Math" w:hAnsi="Cambria Math" w:cs="Calibri"/>
                  </w:rPr>
                  <m:t>g</m:t>
                </m:r>
              </m:num>
              <m:den>
                <m:r>
                  <w:rPr>
                    <w:rFonts w:ascii="Cambria Math" w:hAnsi="Cambria Math" w:cs="Calibri"/>
                  </w:rPr>
                  <m:t>mol</m:t>
                </m:r>
              </m:den>
            </m:f>
            <m:r>
              <w:rPr>
                <w:rFonts w:ascii="Cambria Math" w:hAnsi="Cambria Math" w:cs="Calibri"/>
              </w:rPr>
              <m:t>)</m:t>
            </m:r>
          </m:den>
        </m:f>
        <m:r>
          <w:rPr>
            <w:rFonts w:ascii="Cambria Math" w:hAnsi="Cambria Math" w:cs="Calibri"/>
          </w:rPr>
          <m:t>*</m:t>
        </m:r>
        <m:f>
          <m:fPr>
            <m:ctrlPr>
              <w:rPr>
                <w:rFonts w:ascii="Cambria Math" w:hAnsi="Cambria Math" w:cs="Calibri"/>
                <w:i/>
              </w:rPr>
            </m:ctrlPr>
          </m:fPr>
          <m:num>
            <m:r>
              <w:rPr>
                <w:rFonts w:ascii="Cambria Math" w:hAnsi="Cambria Math" w:cs="Calibri"/>
              </w:rPr>
              <m:t>F (</m:t>
            </m:r>
            <m:f>
              <m:fPr>
                <m:ctrlPr>
                  <w:rPr>
                    <w:rFonts w:ascii="Cambria Math" w:hAnsi="Cambria Math" w:cs="Calibri"/>
                    <w:i/>
                  </w:rPr>
                </m:ctrlPr>
              </m:fPr>
              <m:num>
                <m:r>
                  <w:rPr>
                    <w:rFonts w:ascii="Cambria Math" w:hAnsi="Cambria Math" w:cs="Calibri"/>
                  </w:rPr>
                  <m:t>C</m:t>
                </m:r>
              </m:num>
              <m:den>
                <m:r>
                  <w:rPr>
                    <w:rFonts w:ascii="Cambria Math" w:hAnsi="Cambria Math" w:cs="Calibri"/>
                  </w:rPr>
                  <m:t>eq</m:t>
                </m:r>
              </m:den>
            </m:f>
            <m:r>
              <w:rPr>
                <w:rFonts w:ascii="Cambria Math" w:hAnsi="Cambria Math" w:cs="Calibri"/>
              </w:rPr>
              <m:t>)</m:t>
            </m:r>
          </m:num>
          <m:den>
            <m:r>
              <w:rPr>
                <w:rFonts w:ascii="Cambria Math" w:hAnsi="Cambria Math" w:cs="Calibri"/>
              </w:rPr>
              <m:t>8600 (</m:t>
            </m:r>
            <m:f>
              <m:fPr>
                <m:ctrlPr>
                  <w:rPr>
                    <w:rFonts w:ascii="Cambria Math" w:hAnsi="Cambria Math" w:cs="Calibri"/>
                    <w:i/>
                  </w:rPr>
                </m:ctrlPr>
              </m:fPr>
              <m:num>
                <m:r>
                  <w:rPr>
                    <w:rFonts w:ascii="Cambria Math" w:hAnsi="Cambria Math" w:cs="Calibri"/>
                  </w:rPr>
                  <m:t>s</m:t>
                </m:r>
              </m:num>
              <m:den>
                <m:r>
                  <w:rPr>
                    <w:rFonts w:ascii="Cambria Math" w:hAnsi="Cambria Math" w:cs="Calibri"/>
                  </w:rPr>
                  <m:t>d</m:t>
                </m:r>
              </m:den>
            </m:f>
            <m:r>
              <w:rPr>
                <w:rFonts w:ascii="Cambria Math" w:hAnsi="Cambria Math" w:cs="Calibri"/>
              </w:rPr>
              <m:t>)</m:t>
            </m:r>
          </m:den>
        </m:f>
      </m:oMath>
      <w:r>
        <w:t xml:space="preserve"> </w:t>
      </w:r>
      <w:r w:rsidRPr="0024513A">
        <w:t>(</w:t>
      </w:r>
      <w:r>
        <w:t>3)</w:t>
      </w:r>
    </w:p>
    <w:p w14:paraId="1EF6F0E0" w14:textId="77777777" w:rsidR="00405991" w:rsidRDefault="00405991" w:rsidP="00FB0F9B">
      <w:pPr>
        <w:pStyle w:val="CETBodytext"/>
      </w:pPr>
      <w:r>
        <w:t>in which COD represents the effluent soluble COD not represented by VFA coming from DF process.</w:t>
      </w:r>
    </w:p>
    <w:p w14:paraId="028386D6" w14:textId="77777777" w:rsidR="00405991" w:rsidRDefault="00405991" w:rsidP="00D93F6E">
      <w:pPr>
        <w:pStyle w:val="CETBodytext"/>
      </w:pPr>
      <w:r>
        <w:lastRenderedPageBreak/>
        <w:t>For recalcitrant COD, a general assumption of 1 moles of CO</w:t>
      </w:r>
      <w:r w:rsidRPr="00AA32A4">
        <w:rPr>
          <w:vertAlign w:val="subscript"/>
        </w:rPr>
        <w:t>2</w:t>
      </w:r>
      <w:r>
        <w:t xml:space="preserve"> per mole of COD was assumed to estimate the CO2 release. Hydrogen production in MEC and AEC process was evaluated considering a complete recovery of the current into H</w:t>
      </w:r>
      <w:r w:rsidRPr="00AA32A4">
        <w:rPr>
          <w:vertAlign w:val="subscript"/>
        </w:rPr>
        <w:t>2</w:t>
      </w:r>
      <w:r>
        <w:t xml:space="preserve"> according to equation 4:</w:t>
      </w:r>
    </w:p>
    <w:p w14:paraId="0AD881D5" w14:textId="3DDCEE92" w:rsidR="00405991" w:rsidRDefault="00A76D28" w:rsidP="00D93F6E">
      <w:pPr>
        <w:pStyle w:val="CETBodytext"/>
      </w:pPr>
      <m:oMath>
        <m:sSub>
          <m:sSubPr>
            <m:ctrlPr>
              <w:rPr>
                <w:rFonts w:ascii="Cambria Math" w:hAnsi="Cambria Math" w:cs="Calibri"/>
                <w:i/>
              </w:rPr>
            </m:ctrlPr>
          </m:sSubPr>
          <m:e>
            <m:r>
              <w:rPr>
                <w:rFonts w:ascii="Cambria Math" w:hAnsi="Cambria Math" w:cs="Calibri"/>
              </w:rPr>
              <m:t>H</m:t>
            </m:r>
          </m:e>
          <m:sub>
            <m:r>
              <w:rPr>
                <w:rFonts w:ascii="Cambria Math" w:hAnsi="Cambria Math" w:cs="Calibri"/>
              </w:rPr>
              <m:t>2</m:t>
            </m:r>
          </m:sub>
        </m:sSub>
        <m:r>
          <w:rPr>
            <w:rFonts w:ascii="Cambria Math" w:hAnsi="Cambria Math" w:cs="Calibri"/>
          </w:rPr>
          <m:t xml:space="preserve"> production </m:t>
        </m:r>
        <m:d>
          <m:dPr>
            <m:ctrlPr>
              <w:rPr>
                <w:rFonts w:ascii="Cambria Math" w:hAnsi="Cambria Math" w:cs="Calibri"/>
                <w:i/>
              </w:rPr>
            </m:ctrlPr>
          </m:dPr>
          <m:e>
            <m:r>
              <w:rPr>
                <w:rFonts w:ascii="Cambria Math" w:hAnsi="Cambria Math" w:cs="Calibri"/>
              </w:rPr>
              <m:t>m3/ d</m:t>
            </m:r>
          </m:e>
        </m:d>
        <m:r>
          <w:rPr>
            <w:rFonts w:ascii="Cambria Math" w:hAnsi="Cambria Math" w:cs="Calibri"/>
          </w:rPr>
          <m:t xml:space="preserve"> =Current</m:t>
        </m:r>
        <m:f>
          <m:fPr>
            <m:ctrlPr>
              <w:rPr>
                <w:rFonts w:ascii="Cambria Math" w:hAnsi="Cambria Math" w:cs="Calibri"/>
                <w:i/>
              </w:rPr>
            </m:ctrlPr>
          </m:fPr>
          <m:num>
            <m:d>
              <m:dPr>
                <m:ctrlPr>
                  <w:rPr>
                    <w:rFonts w:ascii="Cambria Math" w:hAnsi="Cambria Math" w:cs="Calibri"/>
                    <w:i/>
                  </w:rPr>
                </m:ctrlPr>
              </m:dPr>
              <m:e>
                <m:r>
                  <w:rPr>
                    <w:rFonts w:ascii="Cambria Math" w:hAnsi="Cambria Math" w:cs="Calibri"/>
                  </w:rPr>
                  <m:t>A</m:t>
                </m:r>
              </m:e>
            </m:d>
          </m:num>
          <m:den>
            <m:r>
              <w:rPr>
                <w:rFonts w:ascii="Cambria Math" w:hAnsi="Cambria Math" w:cs="Calibri"/>
              </w:rPr>
              <m:t>2 (</m:t>
            </m:r>
            <m:f>
              <m:fPr>
                <m:ctrlPr>
                  <w:rPr>
                    <w:rFonts w:ascii="Cambria Math" w:hAnsi="Cambria Math" w:cs="Calibri"/>
                    <w:i/>
                  </w:rPr>
                </m:ctrlPr>
              </m:fPr>
              <m:num>
                <m:r>
                  <w:rPr>
                    <w:rFonts w:ascii="Cambria Math" w:hAnsi="Cambria Math" w:cs="Calibri"/>
                  </w:rPr>
                  <m:t>eq</m:t>
                </m:r>
              </m:num>
              <m:den>
                <m:r>
                  <w:rPr>
                    <w:rFonts w:ascii="Cambria Math" w:hAnsi="Cambria Math" w:cs="Calibri"/>
                  </w:rPr>
                  <m:t>mol</m:t>
                </m:r>
              </m:den>
            </m:f>
            <m:r>
              <w:rPr>
                <w:rFonts w:ascii="Cambria Math" w:hAnsi="Cambria Math" w:cs="Calibri"/>
              </w:rPr>
              <m:t>)</m:t>
            </m:r>
          </m:den>
        </m:f>
        <m:r>
          <w:rPr>
            <w:rFonts w:ascii="Cambria Math" w:hAnsi="Cambria Math" w:cs="Calibri"/>
          </w:rPr>
          <m:t>*</m:t>
        </m:r>
        <m:f>
          <m:fPr>
            <m:ctrlPr>
              <w:rPr>
                <w:rFonts w:ascii="Cambria Math" w:hAnsi="Cambria Math" w:cs="Calibri"/>
                <w:i/>
              </w:rPr>
            </m:ctrlPr>
          </m:fPr>
          <m:num>
            <m:r>
              <w:rPr>
                <w:rFonts w:ascii="Cambria Math" w:hAnsi="Cambria Math" w:cs="Calibri"/>
              </w:rPr>
              <m:t xml:space="preserve">8600 </m:t>
            </m:r>
            <m:d>
              <m:dPr>
                <m:ctrlPr>
                  <w:rPr>
                    <w:rFonts w:ascii="Cambria Math" w:hAnsi="Cambria Math" w:cs="Calibri"/>
                    <w:i/>
                  </w:rPr>
                </m:ctrlPr>
              </m:dPr>
              <m:e>
                <m:f>
                  <m:fPr>
                    <m:ctrlPr>
                      <w:rPr>
                        <w:rFonts w:ascii="Cambria Math" w:hAnsi="Cambria Math" w:cs="Calibri"/>
                        <w:i/>
                      </w:rPr>
                    </m:ctrlPr>
                  </m:fPr>
                  <m:num>
                    <m:r>
                      <w:rPr>
                        <w:rFonts w:ascii="Cambria Math" w:hAnsi="Cambria Math" w:cs="Calibri"/>
                      </w:rPr>
                      <m:t>s</m:t>
                    </m:r>
                  </m:num>
                  <m:den>
                    <m:r>
                      <w:rPr>
                        <w:rFonts w:ascii="Cambria Math" w:hAnsi="Cambria Math" w:cs="Calibri"/>
                      </w:rPr>
                      <m:t>d</m:t>
                    </m:r>
                  </m:den>
                </m:f>
              </m:e>
            </m:d>
          </m:num>
          <m:den>
            <m:r>
              <w:rPr>
                <w:rFonts w:ascii="Cambria Math" w:hAnsi="Cambria Math" w:cs="Calibri"/>
              </w:rPr>
              <m:t xml:space="preserve">F </m:t>
            </m:r>
            <m:d>
              <m:dPr>
                <m:ctrlPr>
                  <w:rPr>
                    <w:rFonts w:ascii="Cambria Math" w:hAnsi="Cambria Math" w:cs="Calibri"/>
                    <w:i/>
                  </w:rPr>
                </m:ctrlPr>
              </m:dPr>
              <m:e>
                <m:f>
                  <m:fPr>
                    <m:ctrlPr>
                      <w:rPr>
                        <w:rFonts w:ascii="Cambria Math" w:hAnsi="Cambria Math" w:cs="Calibri"/>
                        <w:i/>
                      </w:rPr>
                    </m:ctrlPr>
                  </m:fPr>
                  <m:num>
                    <m:r>
                      <w:rPr>
                        <w:rFonts w:ascii="Cambria Math" w:hAnsi="Cambria Math" w:cs="Calibri"/>
                      </w:rPr>
                      <m:t>C</m:t>
                    </m:r>
                  </m:num>
                  <m:den>
                    <m:r>
                      <w:rPr>
                        <w:rFonts w:ascii="Cambria Math" w:hAnsi="Cambria Math" w:cs="Calibri"/>
                      </w:rPr>
                      <m:t>eq</m:t>
                    </m:r>
                  </m:den>
                </m:f>
              </m:e>
            </m:d>
          </m:den>
        </m:f>
        <m:r>
          <w:rPr>
            <w:rFonts w:ascii="Cambria Math" w:hAnsi="Cambria Math" w:cs="Calibri"/>
          </w:rPr>
          <m:t>*</m:t>
        </m:r>
        <m:f>
          <m:fPr>
            <m:ctrlPr>
              <w:rPr>
                <w:rFonts w:ascii="Cambria Math" w:hAnsi="Cambria Math" w:cs="Calibri"/>
                <w:i/>
              </w:rPr>
            </m:ctrlPr>
          </m:fPr>
          <m:num>
            <m:r>
              <w:rPr>
                <w:rFonts w:ascii="Cambria Math" w:hAnsi="Cambria Math" w:cs="Calibri"/>
              </w:rPr>
              <m:t>24.414</m:t>
            </m:r>
          </m:num>
          <m:den>
            <m:r>
              <w:rPr>
                <w:rFonts w:ascii="Cambria Math" w:hAnsi="Cambria Math" w:cs="Calibri"/>
              </w:rPr>
              <m:t>1000</m:t>
            </m:r>
          </m:den>
        </m:f>
        <m:r>
          <w:rPr>
            <w:rFonts w:ascii="Cambria Math" w:hAnsi="Cambria Math" w:cs="Calibri"/>
          </w:rPr>
          <m:t>(</m:t>
        </m:r>
        <m:f>
          <m:fPr>
            <m:ctrlPr>
              <w:rPr>
                <w:rFonts w:ascii="Cambria Math" w:hAnsi="Cambria Math" w:cs="Calibri"/>
                <w:i/>
              </w:rPr>
            </m:ctrlPr>
          </m:fPr>
          <m:num>
            <m:r>
              <w:rPr>
                <w:rFonts w:ascii="Cambria Math" w:hAnsi="Cambria Math" w:cs="Calibri"/>
              </w:rPr>
              <m:t>m3</m:t>
            </m:r>
          </m:num>
          <m:den>
            <m:r>
              <w:rPr>
                <w:rFonts w:ascii="Cambria Math" w:hAnsi="Cambria Math" w:cs="Calibri"/>
              </w:rPr>
              <m:t>mol</m:t>
            </m:r>
          </m:den>
        </m:f>
        <m:r>
          <w:rPr>
            <w:rFonts w:ascii="Cambria Math" w:hAnsi="Cambria Math" w:cs="Calibri"/>
          </w:rPr>
          <m:t xml:space="preserve">) </m:t>
        </m:r>
      </m:oMath>
      <w:r w:rsidR="00405991">
        <w:t xml:space="preserve"> (4)</w:t>
      </w:r>
    </w:p>
    <w:p w14:paraId="2EF983CD" w14:textId="7DE19123" w:rsidR="00405991" w:rsidRDefault="00405991" w:rsidP="00FB0F9B">
      <w:pPr>
        <w:pStyle w:val="CETBodytext"/>
      </w:pPr>
      <w:r w:rsidRPr="00D93F6E">
        <w:t>in which 2 represents the n</w:t>
      </w:r>
      <w:r>
        <w:t>umber of electrons necessary to proton reduction, F is the faraday constant an 86400 are the seconds in a day, 24.414 is the liter of a mole of gas (1 atm 25°C)</w:t>
      </w:r>
      <w:r>
        <w:rPr>
          <w:noProof/>
        </w:rPr>
        <w:t xml:space="preserve"> (Marchetti </w:t>
      </w:r>
      <w:r w:rsidR="000B454D">
        <w:rPr>
          <w:noProof/>
        </w:rPr>
        <w:t>et al.</w:t>
      </w:r>
      <w:r>
        <w:rPr>
          <w:noProof/>
        </w:rPr>
        <w:t xml:space="preserve"> 2026)</w:t>
      </w:r>
      <w:r>
        <w:t>. Hydrogen production rate expressed as m</w:t>
      </w:r>
      <w:r w:rsidRPr="00AA32A4">
        <w:rPr>
          <w:vertAlign w:val="superscript"/>
        </w:rPr>
        <w:t>3</w:t>
      </w:r>
      <w:r>
        <w:t>H</w:t>
      </w:r>
      <w:r w:rsidRPr="00AA32A4">
        <w:rPr>
          <w:vertAlign w:val="subscript"/>
        </w:rPr>
        <w:t>2</w:t>
      </w:r>
      <w:r>
        <w:t>/m</w:t>
      </w:r>
      <w:r w:rsidRPr="00AA32A4">
        <w:rPr>
          <w:vertAlign w:val="superscript"/>
        </w:rPr>
        <w:t>3</w:t>
      </w:r>
      <w:r>
        <w:t xml:space="preserve"> d was obtained by dividing the H</w:t>
      </w:r>
      <w:r w:rsidRPr="00AA32A4">
        <w:rPr>
          <w:vertAlign w:val="subscript"/>
        </w:rPr>
        <w:t>2</w:t>
      </w:r>
      <w:r>
        <w:t xml:space="preserve"> production for the overall volume of DF, MEC and AEC process. CO</w:t>
      </w:r>
      <w:r w:rsidRPr="00AA32A4">
        <w:rPr>
          <w:vertAlign w:val="subscript"/>
        </w:rPr>
        <w:t>2</w:t>
      </w:r>
      <w:r>
        <w:t xml:space="preserve"> sequestration maximum capacity in the MEC catholyte was evaluated considering a quantitative generation of alkalinity generated from the current. Indeed, </w:t>
      </w:r>
      <w:proofErr w:type="gramStart"/>
      <w:r>
        <w:t>assuming that</w:t>
      </w:r>
      <w:proofErr w:type="gramEnd"/>
      <w:r>
        <w:t xml:space="preserve"> all the ionic current necessary to counterbalance the equivalents of electricity (released from the VFA oxidation in the bioanode) was ensured by other species than protons or hydroxyls, an equivalent generation of hydroxyls can be calculated according to equation 5:</w:t>
      </w:r>
    </w:p>
    <w:p w14:paraId="44266F8E" w14:textId="77777777" w:rsidR="00405991" w:rsidRDefault="00000000" w:rsidP="00FB0F9B">
      <w:pPr>
        <w:pStyle w:val="CETBodytext"/>
      </w:pPr>
      <m:oMath>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 xml:space="preserve"> - MEC equestration capacity (</m:t>
        </m:r>
        <m:f>
          <m:fPr>
            <m:ctrlPr>
              <w:rPr>
                <w:rFonts w:ascii="Cambria Math" w:hAnsi="Cambria Math"/>
                <w:i/>
              </w:rPr>
            </m:ctrlPr>
          </m:fPr>
          <m:num>
            <m:r>
              <w:rPr>
                <w:rFonts w:ascii="Cambria Math" w:hAnsi="Cambria Math"/>
              </w:rPr>
              <m:t>mol</m:t>
            </m:r>
          </m:num>
          <m:den>
            <m:r>
              <w:rPr>
                <w:rFonts w:ascii="Cambria Math" w:hAnsi="Cambria Math"/>
              </w:rPr>
              <m:t>d</m:t>
            </m:r>
          </m:den>
        </m:f>
        <m:r>
          <w:rPr>
            <w:rFonts w:ascii="Cambria Math" w:hAnsi="Cambria Math"/>
          </w:rPr>
          <m:t>)</m:t>
        </m:r>
        <m:r>
          <w:rPr>
            <w:rFonts w:ascii="Cambria Math" w:hAnsi="Cambria Math" w:cs="Calibri"/>
          </w:rPr>
          <m:t>=</m:t>
        </m:r>
        <m:f>
          <m:fPr>
            <m:ctrlPr>
              <w:rPr>
                <w:rFonts w:ascii="Cambria Math" w:hAnsi="Cambria Math" w:cs="Calibri"/>
                <w:i/>
              </w:rPr>
            </m:ctrlPr>
          </m:fPr>
          <m:num>
            <m:r>
              <w:rPr>
                <w:rFonts w:ascii="Cambria Math" w:hAnsi="Cambria Math" w:cs="Calibri"/>
              </w:rPr>
              <m:t xml:space="preserve">MEC-Current </m:t>
            </m:r>
            <m:d>
              <m:dPr>
                <m:ctrlPr>
                  <w:rPr>
                    <w:rFonts w:ascii="Cambria Math" w:hAnsi="Cambria Math" w:cs="Calibri"/>
                    <w:i/>
                  </w:rPr>
                </m:ctrlPr>
              </m:dPr>
              <m:e>
                <m:r>
                  <w:rPr>
                    <w:rFonts w:ascii="Cambria Math" w:hAnsi="Cambria Math" w:cs="Calibri"/>
                  </w:rPr>
                  <m:t>A</m:t>
                </m:r>
              </m:e>
            </m:d>
          </m:num>
          <m:den>
            <m:r>
              <w:rPr>
                <w:rFonts w:ascii="Cambria Math" w:hAnsi="Cambria Math" w:cs="Calibri"/>
              </w:rPr>
              <m:t xml:space="preserve">F </m:t>
            </m:r>
            <m:d>
              <m:dPr>
                <m:ctrlPr>
                  <w:rPr>
                    <w:rFonts w:ascii="Cambria Math" w:hAnsi="Cambria Math" w:cs="Calibri"/>
                    <w:i/>
                  </w:rPr>
                </m:ctrlPr>
              </m:dPr>
              <m:e>
                <m:f>
                  <m:fPr>
                    <m:ctrlPr>
                      <w:rPr>
                        <w:rFonts w:ascii="Cambria Math" w:hAnsi="Cambria Math" w:cs="Calibri"/>
                        <w:i/>
                      </w:rPr>
                    </m:ctrlPr>
                  </m:fPr>
                  <m:num>
                    <m:r>
                      <w:rPr>
                        <w:rFonts w:ascii="Cambria Math" w:hAnsi="Cambria Math" w:cs="Calibri"/>
                      </w:rPr>
                      <m:t>C</m:t>
                    </m:r>
                  </m:num>
                  <m:den>
                    <m:r>
                      <w:rPr>
                        <w:rFonts w:ascii="Cambria Math" w:hAnsi="Cambria Math" w:cs="Calibri"/>
                      </w:rPr>
                      <m:t>eq</m:t>
                    </m:r>
                  </m:den>
                </m:f>
              </m:e>
            </m:d>
          </m:den>
        </m:f>
        <m:r>
          <w:rPr>
            <w:rFonts w:ascii="Cambria Math" w:hAnsi="Cambria Math" w:cs="Calibri"/>
          </w:rPr>
          <m:t>*86400 (</m:t>
        </m:r>
        <m:f>
          <m:fPr>
            <m:ctrlPr>
              <w:rPr>
                <w:rFonts w:ascii="Cambria Math" w:hAnsi="Cambria Math" w:cs="Calibri"/>
                <w:i/>
              </w:rPr>
            </m:ctrlPr>
          </m:fPr>
          <m:num>
            <m:r>
              <w:rPr>
                <w:rFonts w:ascii="Cambria Math" w:hAnsi="Cambria Math" w:cs="Calibri"/>
              </w:rPr>
              <m:t>s</m:t>
            </m:r>
          </m:num>
          <m:den>
            <m:r>
              <w:rPr>
                <w:rFonts w:ascii="Cambria Math" w:hAnsi="Cambria Math" w:cs="Calibri"/>
              </w:rPr>
              <m:t>d</m:t>
            </m:r>
          </m:den>
        </m:f>
        <m:r>
          <w:rPr>
            <w:rFonts w:ascii="Cambria Math" w:hAnsi="Cambria Math"/>
          </w:rPr>
          <m:t>)*1 (</m:t>
        </m:r>
        <m:f>
          <m:fPr>
            <m:ctrlPr>
              <w:rPr>
                <w:rFonts w:ascii="Cambria Math" w:hAnsi="Cambria Math"/>
                <w:i/>
              </w:rPr>
            </m:ctrlPr>
          </m:fPr>
          <m:num>
            <m:r>
              <w:rPr>
                <w:rFonts w:ascii="Cambria Math" w:hAnsi="Cambria Math"/>
              </w:rPr>
              <m:t>mol</m:t>
            </m:r>
          </m:num>
          <m:den>
            <m:r>
              <w:rPr>
                <w:rFonts w:ascii="Cambria Math" w:hAnsi="Cambria Math"/>
              </w:rPr>
              <m:t>eq</m:t>
            </m:r>
          </m:den>
        </m:f>
        <m:r>
          <w:rPr>
            <w:rFonts w:ascii="Cambria Math" w:hAnsi="Cambria Math"/>
          </w:rPr>
          <m:t>)</m:t>
        </m:r>
      </m:oMath>
      <w:r w:rsidR="00405991">
        <w:t xml:space="preserve"> </w:t>
      </w:r>
      <w:r w:rsidR="00405991" w:rsidRPr="0024513A">
        <w:t>(</w:t>
      </w:r>
      <w:r w:rsidR="00405991">
        <w:t>5)</w:t>
      </w:r>
    </w:p>
    <w:p w14:paraId="11927F8E" w14:textId="77777777" w:rsidR="00405991" w:rsidRDefault="00405991" w:rsidP="00FB0F9B">
      <w:pPr>
        <w:pStyle w:val="CETBodytext"/>
      </w:pPr>
      <w:r>
        <w:t xml:space="preserve">Where current is the theoretical current calculated from the electron balance, </w:t>
      </w:r>
      <w:proofErr w:type="gramStart"/>
      <w:r>
        <w:t>i.e.</w:t>
      </w:r>
      <w:proofErr w:type="gramEnd"/>
      <w:r>
        <w:t xml:space="preserve"> VFA complete oxidation, while F is the faraday constant, 86400 represents the seconds in a day and 1 is the molar ration between the electrons transported and the OH</w:t>
      </w:r>
      <w:r w:rsidRPr="002A7012">
        <w:rPr>
          <w:vertAlign w:val="superscript"/>
        </w:rPr>
        <w:t>-</w:t>
      </w:r>
      <w:r>
        <w:t xml:space="preserve"> generated. The CO</w:t>
      </w:r>
      <w:r w:rsidRPr="002A7012">
        <w:rPr>
          <w:vertAlign w:val="subscript"/>
        </w:rPr>
        <w:t>2</w:t>
      </w:r>
      <w:r>
        <w:t xml:space="preserve"> sequestration yield was than calculated comparing the CO</w:t>
      </w:r>
      <w:r w:rsidRPr="002A7012">
        <w:rPr>
          <w:vertAlign w:val="subscript"/>
        </w:rPr>
        <w:t>2</w:t>
      </w:r>
      <w:r>
        <w:t xml:space="preserve"> produced from all the three processes, </w:t>
      </w:r>
      <w:proofErr w:type="spellStart"/>
      <w:proofErr w:type="gramStart"/>
      <w:r>
        <w:t>i</w:t>
      </w:r>
      <w:proofErr w:type="spellEnd"/>
      <w:r>
        <w:t>..e</w:t>
      </w:r>
      <w:proofErr w:type="gramEnd"/>
      <w:r>
        <w:t xml:space="preserve"> from DF, MEC bioanode and AEC anode, with the maximum CO</w:t>
      </w:r>
      <w:r w:rsidRPr="002A7012">
        <w:rPr>
          <w:vertAlign w:val="subscript"/>
        </w:rPr>
        <w:t>2</w:t>
      </w:r>
      <w:r>
        <w:t xml:space="preserve"> sequestration capacity according to the following equation 6:</w:t>
      </w:r>
    </w:p>
    <w:p w14:paraId="3C342807" w14:textId="2B6B52D0" w:rsidR="00405991" w:rsidRDefault="00000000" w:rsidP="00FB0F9B">
      <w:pPr>
        <w:pStyle w:val="CETBodytext"/>
      </w:pPr>
      <m:oMath>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 xml:space="preserve"> sequestration yield (%)= </m:t>
        </m:r>
        <m:f>
          <m:fPr>
            <m:ctrlPr>
              <w:rPr>
                <w:rFonts w:ascii="Cambria Math" w:hAnsi="Cambria Math"/>
                <w:i/>
              </w:rPr>
            </m:ctrlPr>
          </m:fPr>
          <m:num>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 xml:space="preserve"> production </m:t>
            </m:r>
            <m:d>
              <m:dPr>
                <m:ctrlPr>
                  <w:rPr>
                    <w:rFonts w:ascii="Cambria Math" w:hAnsi="Cambria Math"/>
                    <w:i/>
                  </w:rPr>
                </m:ctrlPr>
              </m:dPr>
              <m:e>
                <m:r>
                  <w:rPr>
                    <w:rFonts w:ascii="Cambria Math" w:hAnsi="Cambria Math"/>
                  </w:rPr>
                  <m:t>DF+MEC+AEC</m:t>
                </m:r>
              </m:e>
            </m:d>
            <m:r>
              <w:rPr>
                <w:rFonts w:ascii="Cambria Math" w:hAnsi="Cambria Math"/>
              </w:rPr>
              <m:t xml:space="preserve"> (</m:t>
            </m:r>
            <m:f>
              <m:fPr>
                <m:ctrlPr>
                  <w:rPr>
                    <w:rFonts w:ascii="Cambria Math" w:hAnsi="Cambria Math"/>
                    <w:i/>
                  </w:rPr>
                </m:ctrlPr>
              </m:fPr>
              <m:num>
                <m:r>
                  <w:rPr>
                    <w:rFonts w:ascii="Cambria Math" w:hAnsi="Cambria Math"/>
                  </w:rPr>
                  <m:t>mol</m:t>
                </m:r>
              </m:num>
              <m:den>
                <m:r>
                  <w:rPr>
                    <w:rFonts w:ascii="Cambria Math" w:hAnsi="Cambria Math"/>
                  </w:rPr>
                  <m:t>d</m:t>
                </m:r>
              </m:den>
            </m:f>
            <m:r>
              <w:rPr>
                <w:rFonts w:ascii="Cambria Math" w:hAnsi="Cambria Math"/>
              </w:rPr>
              <m:t>)</m:t>
            </m:r>
          </m:num>
          <m:den>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 xml:space="preserve"> - MEC removal capacity (</m:t>
            </m:r>
            <m:f>
              <m:fPr>
                <m:ctrlPr>
                  <w:rPr>
                    <w:rFonts w:ascii="Cambria Math" w:hAnsi="Cambria Math"/>
                    <w:i/>
                  </w:rPr>
                </m:ctrlPr>
              </m:fPr>
              <m:num>
                <m:r>
                  <w:rPr>
                    <w:rFonts w:ascii="Cambria Math" w:hAnsi="Cambria Math"/>
                  </w:rPr>
                  <m:t>mol</m:t>
                </m:r>
              </m:num>
              <m:den>
                <m:r>
                  <w:rPr>
                    <w:rFonts w:ascii="Cambria Math" w:hAnsi="Cambria Math"/>
                  </w:rPr>
                  <m:t>d</m:t>
                </m:r>
              </m:den>
            </m:f>
            <m:r>
              <w:rPr>
                <w:rFonts w:ascii="Cambria Math" w:hAnsi="Cambria Math"/>
              </w:rPr>
              <m:t xml:space="preserve">) </m:t>
            </m:r>
          </m:den>
        </m:f>
        <m:r>
          <w:rPr>
            <w:rFonts w:ascii="Cambria Math" w:hAnsi="Cambria Math"/>
          </w:rPr>
          <m:t>*100</m:t>
        </m:r>
      </m:oMath>
      <w:r w:rsidR="00405991">
        <w:t xml:space="preserve"> </w:t>
      </w:r>
      <w:r w:rsidR="00405991" w:rsidRPr="0024513A">
        <w:t>(</w:t>
      </w:r>
      <w:r w:rsidR="00405991">
        <w:t>6)</w:t>
      </w:r>
    </w:p>
    <w:p w14:paraId="37F06C49" w14:textId="77777777" w:rsidR="00405991" w:rsidRDefault="00405991" w:rsidP="00F05D4E">
      <w:pPr>
        <w:pStyle w:val="CETheadingx"/>
      </w:pPr>
      <w:r>
        <w:t>Energy balance definition and calculation</w:t>
      </w:r>
    </w:p>
    <w:p w14:paraId="1D76FAE6" w14:textId="74C97A79" w:rsidR="00405991" w:rsidRDefault="00405991" w:rsidP="00FB0F9B">
      <w:pPr>
        <w:pStyle w:val="CETBodytext"/>
      </w:pPr>
      <w:r>
        <w:t>The energy consumption evaluation is conducted considering the power input for DF as the heat energy necessary for maintaining the liquid phase under thermophilic conditions (</w:t>
      </w:r>
      <w:proofErr w:type="gramStart"/>
      <w:r>
        <w:t>i.e.</w:t>
      </w:r>
      <w:proofErr w:type="gramEnd"/>
      <w:r>
        <w:t xml:space="preserve"> 55°C) while the MEC and AEC energy input is represented by the energy utilized for the polarization of the system. For MEC and AEC reference value of energy consumption</w:t>
      </w:r>
      <w:r w:rsidR="00C35CBE">
        <w:t xml:space="preserve">, </w:t>
      </w:r>
      <w:r w:rsidR="00C35CBE" w:rsidRPr="00C35CBE">
        <w:t>9 kWh/m</w:t>
      </w:r>
      <w:r w:rsidR="00C35CBE" w:rsidRPr="00C35CBE">
        <w:rPr>
          <w:vertAlign w:val="superscript"/>
        </w:rPr>
        <w:t>3</w:t>
      </w:r>
      <w:r w:rsidR="00C35CBE" w:rsidRPr="00C35CBE">
        <w:t>H</w:t>
      </w:r>
      <w:r w:rsidR="00C35CBE" w:rsidRPr="00C35CBE">
        <w:rPr>
          <w:vertAlign w:val="subscript"/>
        </w:rPr>
        <w:t>2</w:t>
      </w:r>
      <w:r w:rsidR="00C35CBE" w:rsidRPr="00C35CBE">
        <w:t xml:space="preserve"> for MEC process and 4.5 kWh/m</w:t>
      </w:r>
      <w:r w:rsidR="00C35CBE" w:rsidRPr="00C35CBE">
        <w:rPr>
          <w:vertAlign w:val="superscript"/>
        </w:rPr>
        <w:t>3</w:t>
      </w:r>
      <w:r w:rsidR="00C35CBE" w:rsidRPr="00C35CBE">
        <w:t>H</w:t>
      </w:r>
      <w:r w:rsidR="00C35CBE" w:rsidRPr="00C35CBE">
        <w:rPr>
          <w:vertAlign w:val="subscript"/>
        </w:rPr>
        <w:t>2</w:t>
      </w:r>
      <w:r w:rsidR="00C35CBE" w:rsidRPr="00C35CBE">
        <w:t xml:space="preserve"> for AEC</w:t>
      </w:r>
      <w:r>
        <w:t xml:space="preserve"> </w:t>
      </w:r>
      <w:r w:rsidR="00C35CBE">
        <w:t xml:space="preserve">have </w:t>
      </w:r>
      <w:r>
        <w:t>been utilized as reported in literature data (</w:t>
      </w:r>
      <w:r w:rsidR="00C35CBE">
        <w:rPr>
          <w:iCs/>
          <w:noProof/>
          <w:lang w:val="en-GB"/>
        </w:rPr>
        <w:t>Kojima et al., 2023</w:t>
      </w:r>
      <w:r>
        <w:t>). Overall energy consumption has been evaluated as the sum of the three energy inputs while the energy efficiency has been evaluated considering the theoretical energy production from the H</w:t>
      </w:r>
      <w:r w:rsidRPr="002A7012">
        <w:rPr>
          <w:vertAlign w:val="subscript"/>
        </w:rPr>
        <w:t>2</w:t>
      </w:r>
      <w:r>
        <w:t xml:space="preserve"> combustion, </w:t>
      </w:r>
      <w:proofErr w:type="gramStart"/>
      <w:r>
        <w:t>i.e.</w:t>
      </w:r>
      <w:proofErr w:type="gramEnd"/>
      <w:r>
        <w:t xml:space="preserve"> the </w:t>
      </w:r>
      <w:r>
        <w:rPr>
          <w:rFonts w:cs="Arial"/>
        </w:rPr>
        <w:t>Δ</w:t>
      </w:r>
      <w:r>
        <w:t>G</w:t>
      </w:r>
      <w:r w:rsidRPr="00AA32A4">
        <w:rPr>
          <w:vertAlign w:val="superscript"/>
        </w:rPr>
        <w:t>0</w:t>
      </w:r>
      <w:r>
        <w:t xml:space="preserve"> of 237 KJ/mol, and the energy consumption of the three investigated technology according to equation 7. </w:t>
      </w:r>
    </w:p>
    <w:p w14:paraId="7A892DD5" w14:textId="77777777" w:rsidR="00405991" w:rsidRDefault="00405991" w:rsidP="00FB0F9B">
      <w:pPr>
        <w:pStyle w:val="CETBodytext"/>
      </w:pPr>
      <m:oMath>
        <m:r>
          <w:rPr>
            <w:rFonts w:ascii="Cambria Math" w:hAnsi="Cambria Math" w:cs="Calibri"/>
          </w:rPr>
          <m:t>ƞ</m:t>
        </m:r>
        <m:r>
          <w:rPr>
            <w:rFonts w:ascii="Cambria Math" w:hAnsi="Cambria Math"/>
          </w:rPr>
          <m:t xml:space="preserve">E </m:t>
        </m:r>
        <m:d>
          <m:dPr>
            <m:ctrlPr>
              <w:rPr>
                <w:rFonts w:ascii="Cambria Math" w:hAnsi="Cambria Math"/>
                <w:i/>
              </w:rPr>
            </m:ctrlPr>
          </m:dPr>
          <m:e>
            <m:r>
              <w:rPr>
                <w:rFonts w:ascii="Cambria Math" w:hAnsi="Cambria Math"/>
              </w:rPr>
              <m:t>%</m:t>
            </m:r>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 xml:space="preserve"> production </m:t>
            </m:r>
            <m:d>
              <m:dPr>
                <m:ctrlPr>
                  <w:rPr>
                    <w:rFonts w:ascii="Cambria Math" w:hAnsi="Cambria Math"/>
                    <w:i/>
                  </w:rPr>
                </m:ctrlPr>
              </m:dPr>
              <m:e>
                <m:r>
                  <w:rPr>
                    <w:rFonts w:ascii="Cambria Math" w:hAnsi="Cambria Math"/>
                  </w:rPr>
                  <m:t>DF+MEC+AEC</m:t>
                </m:r>
              </m:e>
            </m:d>
            <m:d>
              <m:dPr>
                <m:ctrlPr>
                  <w:rPr>
                    <w:rFonts w:ascii="Cambria Math" w:hAnsi="Cambria Math"/>
                    <w:i/>
                  </w:rPr>
                </m:ctrlPr>
              </m:dPr>
              <m:e>
                <m:f>
                  <m:fPr>
                    <m:ctrlPr>
                      <w:rPr>
                        <w:rFonts w:ascii="Cambria Math" w:hAnsi="Cambria Math"/>
                        <w:i/>
                      </w:rPr>
                    </m:ctrlPr>
                  </m:fPr>
                  <m:num>
                    <m:r>
                      <w:rPr>
                        <w:rFonts w:ascii="Cambria Math" w:hAnsi="Cambria Math"/>
                      </w:rPr>
                      <m:t>mol</m:t>
                    </m:r>
                  </m:num>
                  <m:den>
                    <m:r>
                      <w:rPr>
                        <w:rFonts w:ascii="Cambria Math" w:hAnsi="Cambria Math"/>
                      </w:rPr>
                      <m:t>d</m:t>
                    </m:r>
                  </m:den>
                </m:f>
              </m:e>
            </m:d>
            <m:r>
              <w:rPr>
                <w:rFonts w:ascii="Cambria Math" w:hAnsi="Cambria Math"/>
              </w:rPr>
              <m:t xml:space="preserve">* </m:t>
            </m:r>
            <m:sSup>
              <m:sSupPr>
                <m:ctrlPr>
                  <w:rPr>
                    <w:rFonts w:ascii="Cambria Math" w:hAnsi="Cambria Math"/>
                    <w:i/>
                  </w:rPr>
                </m:ctrlPr>
              </m:sSupPr>
              <m:e>
                <m:r>
                  <w:rPr>
                    <w:rFonts w:ascii="Cambria Math" w:hAnsi="Cambria Math"/>
                  </w:rPr>
                  <m:t>ΔG</m:t>
                </m:r>
              </m:e>
              <m:sup>
                <m:r>
                  <w:rPr>
                    <w:rFonts w:ascii="Cambria Math" w:hAnsi="Cambria Math"/>
                  </w:rPr>
                  <m:t>0</m:t>
                </m:r>
              </m:sup>
            </m:sSup>
            <m:sSub>
              <m:sSubPr>
                <m:ctrlPr>
                  <w:rPr>
                    <w:rFonts w:ascii="Cambria Math" w:hAnsi="Cambria Math"/>
                    <w:i/>
                  </w:rPr>
                </m:ctrlPr>
              </m:sSubPr>
              <m:e>
                <m:r>
                  <w:rPr>
                    <w:rFonts w:ascii="Cambria Math" w:hAnsi="Cambria Math"/>
                  </w:rPr>
                  <m:t>H</m:t>
                </m:r>
              </m:e>
              <m:sub>
                <m:r>
                  <w:rPr>
                    <w:rFonts w:ascii="Cambria Math" w:hAnsi="Cambria Math"/>
                  </w:rPr>
                  <m:t>2</m:t>
                </m:r>
              </m:sub>
            </m:sSub>
            <m:d>
              <m:dPr>
                <m:ctrlPr>
                  <w:rPr>
                    <w:rFonts w:ascii="Cambria Math" w:hAnsi="Cambria Math"/>
                    <w:i/>
                  </w:rPr>
                </m:ctrlPr>
              </m:dPr>
              <m:e>
                <m:f>
                  <m:fPr>
                    <m:ctrlPr>
                      <w:rPr>
                        <w:rFonts w:ascii="Cambria Math" w:hAnsi="Cambria Math"/>
                        <w:i/>
                      </w:rPr>
                    </m:ctrlPr>
                  </m:fPr>
                  <m:num>
                    <m:r>
                      <w:rPr>
                        <w:rFonts w:ascii="Cambria Math" w:hAnsi="Cambria Math"/>
                      </w:rPr>
                      <m:t>kJ</m:t>
                    </m:r>
                  </m:num>
                  <m:den>
                    <m:r>
                      <w:rPr>
                        <w:rFonts w:ascii="Cambria Math" w:hAnsi="Cambria Math"/>
                      </w:rPr>
                      <m:t>mol</m:t>
                    </m:r>
                  </m:den>
                </m:f>
              </m:e>
            </m:d>
            <m:r>
              <w:rPr>
                <w:rFonts w:ascii="Cambria Math" w:hAnsi="Cambria Math"/>
              </w:rPr>
              <m:t xml:space="preserve">*3600 </m:t>
            </m:r>
            <m:d>
              <m:dPr>
                <m:ctrlPr>
                  <w:rPr>
                    <w:rFonts w:ascii="Cambria Math" w:hAnsi="Cambria Math"/>
                    <w:i/>
                  </w:rPr>
                </m:ctrlPr>
              </m:dPr>
              <m:e>
                <m:f>
                  <m:fPr>
                    <m:ctrlPr>
                      <w:rPr>
                        <w:rFonts w:ascii="Cambria Math" w:hAnsi="Cambria Math"/>
                        <w:i/>
                      </w:rPr>
                    </m:ctrlPr>
                  </m:fPr>
                  <m:num>
                    <m:r>
                      <w:rPr>
                        <w:rFonts w:ascii="Cambria Math" w:hAnsi="Cambria Math"/>
                      </w:rPr>
                      <m:t>kJ</m:t>
                    </m:r>
                  </m:num>
                  <m:den>
                    <m:r>
                      <w:rPr>
                        <w:rFonts w:ascii="Cambria Math" w:hAnsi="Cambria Math"/>
                      </w:rPr>
                      <m:t>KWh</m:t>
                    </m:r>
                  </m:den>
                </m:f>
              </m:e>
            </m:d>
          </m:num>
          <m:den>
            <m:r>
              <w:rPr>
                <w:rFonts w:ascii="Cambria Math" w:hAnsi="Cambria Math"/>
              </w:rPr>
              <m:t xml:space="preserve">Energy consumption </m:t>
            </m:r>
            <m:d>
              <m:dPr>
                <m:ctrlPr>
                  <w:rPr>
                    <w:rFonts w:ascii="Cambria Math" w:hAnsi="Cambria Math"/>
                    <w:i/>
                  </w:rPr>
                </m:ctrlPr>
              </m:dPr>
              <m:e>
                <m:r>
                  <w:rPr>
                    <w:rFonts w:ascii="Cambria Math" w:hAnsi="Cambria Math"/>
                  </w:rPr>
                  <m:t>DF+MEC+AEC</m:t>
                </m:r>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kWh</m:t>
                    </m:r>
                  </m:num>
                  <m:den>
                    <m:r>
                      <w:rPr>
                        <w:rFonts w:ascii="Cambria Math" w:hAnsi="Cambria Math"/>
                      </w:rPr>
                      <m:t>d</m:t>
                    </m:r>
                  </m:den>
                </m:f>
              </m:e>
            </m:d>
          </m:den>
        </m:f>
        <m:r>
          <w:rPr>
            <w:rFonts w:ascii="Cambria Math" w:hAnsi="Cambria Math"/>
          </w:rPr>
          <m:t>*100</m:t>
        </m:r>
      </m:oMath>
      <w:r w:rsidRPr="00AA32A4">
        <w:t xml:space="preserve"> (</w:t>
      </w:r>
      <w:r>
        <w:t>7)</w:t>
      </w:r>
    </w:p>
    <w:p w14:paraId="356ECC6D" w14:textId="1B7788BF" w:rsidR="00405991" w:rsidRDefault="00405991" w:rsidP="00FB0F9B">
      <w:pPr>
        <w:pStyle w:val="CETBodytext"/>
      </w:pPr>
      <w:r>
        <w:t>Specific H</w:t>
      </w:r>
      <w:r w:rsidRPr="00633F5C">
        <w:rPr>
          <w:vertAlign w:val="subscript"/>
        </w:rPr>
        <w:t>2</w:t>
      </w:r>
      <w:r>
        <w:t xml:space="preserve"> production and CO</w:t>
      </w:r>
      <w:r w:rsidRPr="00633F5C">
        <w:rPr>
          <w:vertAlign w:val="subscript"/>
        </w:rPr>
        <w:t>2</w:t>
      </w:r>
      <w:r>
        <w:t xml:space="preserve"> sequestration cost </w:t>
      </w:r>
      <w:r w:rsidR="00B54ECA">
        <w:t>was</w:t>
      </w:r>
      <w:r>
        <w:t xml:space="preserve"> evaluated according to equation 8 and 9:</w:t>
      </w:r>
    </w:p>
    <w:p w14:paraId="3E4BD95C" w14:textId="4F6359A7" w:rsidR="00405991" w:rsidRDefault="00000000" w:rsidP="00FB0F9B">
      <w:pPr>
        <w:pStyle w:val="CETBodytext"/>
      </w:pPr>
      <m:oMath>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 xml:space="preserve"> production cost (kWh/</m:t>
        </m:r>
        <m:sSup>
          <m:sSupPr>
            <m:ctrlPr>
              <w:rPr>
                <w:rFonts w:ascii="Cambria Math" w:hAnsi="Cambria Math"/>
              </w:rPr>
            </m:ctrlPr>
          </m:sSupPr>
          <m:e>
            <m:r>
              <m:rPr>
                <m:sty m:val="p"/>
              </m:rPr>
              <w:rPr>
                <w:rFonts w:ascii="Cambria Math" w:hAnsi="Cambria Math"/>
              </w:rPr>
              <m:t>m</m:t>
            </m:r>
          </m:e>
          <m:sup>
            <m:r>
              <m:rPr>
                <m:sty m:val="p"/>
              </m:rPr>
              <w:rPr>
                <w:rFonts w:ascii="Cambria Math" w:hAnsi="Cambria Math"/>
                <w:vertAlign w:val="superscript"/>
              </w:rPr>
              <m:t>3</m:t>
            </m:r>
          </m:sup>
        </m:sSup>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m:t>
        </m:r>
        <m:r>
          <w:rPr>
            <w:rFonts w:ascii="Cambria Math" w:hAnsi="Cambria Math"/>
          </w:rPr>
          <m:t xml:space="preserve">= </m:t>
        </m:r>
        <m:f>
          <m:fPr>
            <m:ctrlPr>
              <w:rPr>
                <w:rFonts w:ascii="Cambria Math" w:hAnsi="Cambria Math"/>
                <w:i/>
              </w:rPr>
            </m:ctrlPr>
          </m:fPr>
          <m:num>
            <m:r>
              <w:rPr>
                <w:rFonts w:ascii="Cambria Math" w:hAnsi="Cambria Math"/>
              </w:rPr>
              <m:t xml:space="preserve">Energy consumption </m:t>
            </m:r>
            <m:d>
              <m:dPr>
                <m:ctrlPr>
                  <w:rPr>
                    <w:rFonts w:ascii="Cambria Math" w:hAnsi="Cambria Math"/>
                    <w:i/>
                  </w:rPr>
                </m:ctrlPr>
              </m:dPr>
              <m:e>
                <m:r>
                  <w:rPr>
                    <w:rFonts w:ascii="Cambria Math" w:hAnsi="Cambria Math"/>
                  </w:rPr>
                  <m:t>DF+MEC+AEC</m:t>
                </m:r>
              </m:e>
            </m:d>
            <m:r>
              <w:rPr>
                <w:rFonts w:ascii="Cambria Math" w:hAnsi="Cambria Math"/>
              </w:rPr>
              <m:t xml:space="preserve"> (</m:t>
            </m:r>
            <m:f>
              <m:fPr>
                <m:ctrlPr>
                  <w:rPr>
                    <w:rFonts w:ascii="Cambria Math" w:hAnsi="Cambria Math"/>
                    <w:i/>
                  </w:rPr>
                </m:ctrlPr>
              </m:fPr>
              <m:num>
                <m:r>
                  <w:rPr>
                    <w:rFonts w:ascii="Cambria Math" w:hAnsi="Cambria Math"/>
                  </w:rPr>
                  <m:t>kWh</m:t>
                </m:r>
              </m:num>
              <m:den>
                <m:r>
                  <w:rPr>
                    <w:rFonts w:ascii="Cambria Math" w:hAnsi="Cambria Math"/>
                  </w:rPr>
                  <m:t>d</m:t>
                </m:r>
              </m:den>
            </m:f>
            <m:r>
              <w:rPr>
                <w:rFonts w:ascii="Cambria Math" w:hAnsi="Cambria Math"/>
              </w:rPr>
              <m:t xml:space="preserve">) </m:t>
            </m:r>
          </m:num>
          <m:den>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 xml:space="preserve"> production </m:t>
            </m:r>
            <m:d>
              <m:dPr>
                <m:ctrlPr>
                  <w:rPr>
                    <w:rFonts w:ascii="Cambria Math" w:hAnsi="Cambria Math"/>
                    <w:i/>
                  </w:rPr>
                </m:ctrlPr>
              </m:dPr>
              <m:e>
                <m:r>
                  <w:rPr>
                    <w:rFonts w:ascii="Cambria Math" w:hAnsi="Cambria Math"/>
                  </w:rPr>
                  <m:t>DF+MEC+AEC</m:t>
                </m:r>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e>
            </m:d>
          </m:den>
        </m:f>
      </m:oMath>
      <w:r w:rsidR="00405991">
        <w:t xml:space="preserve"> </w:t>
      </w:r>
      <w:r w:rsidR="00405991" w:rsidRPr="00AA32A4">
        <w:t>(</w:t>
      </w:r>
      <w:r w:rsidR="00405991">
        <w:t>8)</w:t>
      </w:r>
    </w:p>
    <w:p w14:paraId="7EDE77F5" w14:textId="77777777" w:rsidR="00405991" w:rsidRDefault="00000000" w:rsidP="00FB0F9B">
      <w:pPr>
        <w:pStyle w:val="CETBodytext"/>
      </w:pP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vertAlign w:val="subscript"/>
              </w:rPr>
              <m:t>2</m:t>
            </m:r>
          </m:sub>
        </m:sSub>
        <m:r>
          <m:rPr>
            <m:sty m:val="p"/>
          </m:rPr>
          <w:rPr>
            <w:rFonts w:ascii="Cambria Math" w:hAnsi="Cambria Math"/>
          </w:rPr>
          <m:t xml:space="preserve"> sequestration cost (kWh/</m:t>
        </m:r>
        <m:sSup>
          <m:sSupPr>
            <m:ctrlPr>
              <w:rPr>
                <w:rFonts w:ascii="Cambria Math" w:hAnsi="Cambria Math"/>
              </w:rPr>
            </m:ctrlPr>
          </m:sSupPr>
          <m:e>
            <m:r>
              <m:rPr>
                <m:sty m:val="p"/>
              </m:rPr>
              <w:rPr>
                <w:rFonts w:ascii="Cambria Math" w:hAnsi="Cambria Math"/>
              </w:rPr>
              <m:t>m</m:t>
            </m:r>
          </m:e>
          <m:sup>
            <m:r>
              <m:rPr>
                <m:sty m:val="p"/>
              </m:rPr>
              <w:rPr>
                <w:rFonts w:ascii="Cambria Math" w:hAnsi="Cambria Math"/>
                <w:vertAlign w:val="superscript"/>
              </w:rPr>
              <m:t>3</m:t>
            </m:r>
          </m:sup>
        </m:sSup>
        <m:sSub>
          <m:sSubPr>
            <m:ctrlPr>
              <w:rPr>
                <w:rFonts w:ascii="Cambria Math" w:hAnsi="Cambria Math"/>
              </w:rPr>
            </m:ctrlPr>
          </m:sSubPr>
          <m:e>
            <m:r>
              <m:rPr>
                <m:sty m:val="p"/>
              </m:rPr>
              <w:rPr>
                <w:rFonts w:ascii="Cambria Math" w:hAnsi="Cambria Math"/>
              </w:rPr>
              <m:t>CO</m:t>
            </m:r>
          </m:e>
          <m:sub>
            <m:r>
              <m:rPr>
                <m:sty m:val="p"/>
              </m:rPr>
              <w:rPr>
                <w:rFonts w:ascii="Cambria Math" w:hAnsi="Cambria Math"/>
                <w:vertAlign w:val="subscript"/>
              </w:rPr>
              <m:t>2</m:t>
            </m:r>
          </m:sub>
        </m:sSub>
        <m:r>
          <m:rPr>
            <m:sty m:val="p"/>
          </m:rPr>
          <w:rPr>
            <w:rFonts w:ascii="Cambria Math" w:hAnsi="Cambria Math"/>
          </w:rPr>
          <m:t>)</m:t>
        </m:r>
        <m:r>
          <w:rPr>
            <w:rFonts w:ascii="Cambria Math" w:hAnsi="Cambria Math"/>
          </w:rPr>
          <m:t xml:space="preserve">= </m:t>
        </m:r>
        <m:f>
          <m:fPr>
            <m:ctrlPr>
              <w:rPr>
                <w:rFonts w:ascii="Cambria Math" w:hAnsi="Cambria Math"/>
                <w:i/>
              </w:rPr>
            </m:ctrlPr>
          </m:fPr>
          <m:num>
            <m:r>
              <w:rPr>
                <w:rFonts w:ascii="Cambria Math" w:hAnsi="Cambria Math"/>
              </w:rPr>
              <m:t xml:space="preserve">Energy consumption </m:t>
            </m:r>
            <m:d>
              <m:dPr>
                <m:ctrlPr>
                  <w:rPr>
                    <w:rFonts w:ascii="Cambria Math" w:hAnsi="Cambria Math"/>
                    <w:i/>
                  </w:rPr>
                </m:ctrlPr>
              </m:dPr>
              <m:e>
                <m:r>
                  <w:rPr>
                    <w:rFonts w:ascii="Cambria Math" w:hAnsi="Cambria Math"/>
                  </w:rPr>
                  <m:t>DF+MEC+AEC</m:t>
                </m:r>
              </m:e>
            </m:d>
            <m:r>
              <w:rPr>
                <w:rFonts w:ascii="Cambria Math" w:hAnsi="Cambria Math"/>
              </w:rPr>
              <m:t xml:space="preserve"> (</m:t>
            </m:r>
            <m:f>
              <m:fPr>
                <m:ctrlPr>
                  <w:rPr>
                    <w:rFonts w:ascii="Cambria Math" w:hAnsi="Cambria Math"/>
                    <w:i/>
                  </w:rPr>
                </m:ctrlPr>
              </m:fPr>
              <m:num>
                <m:r>
                  <w:rPr>
                    <w:rFonts w:ascii="Cambria Math" w:hAnsi="Cambria Math"/>
                  </w:rPr>
                  <m:t>kWh</m:t>
                </m:r>
              </m:num>
              <m:den>
                <m:r>
                  <w:rPr>
                    <w:rFonts w:ascii="Cambria Math" w:hAnsi="Cambria Math"/>
                  </w:rPr>
                  <m:t>d</m:t>
                </m:r>
              </m:den>
            </m:f>
            <m:r>
              <w:rPr>
                <w:rFonts w:ascii="Cambria Math" w:hAnsi="Cambria Math"/>
              </w:rPr>
              <m:t xml:space="preserve">) </m:t>
            </m:r>
          </m:num>
          <m:den>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 xml:space="preserve"> production </m:t>
            </m:r>
            <m:d>
              <m:dPr>
                <m:ctrlPr>
                  <w:rPr>
                    <w:rFonts w:ascii="Cambria Math" w:hAnsi="Cambria Math"/>
                    <w:i/>
                  </w:rPr>
                </m:ctrlPr>
              </m:dPr>
              <m:e>
                <m:r>
                  <w:rPr>
                    <w:rFonts w:ascii="Cambria Math" w:hAnsi="Cambria Math"/>
                  </w:rPr>
                  <m:t>DF+MEC+AEC</m:t>
                </m:r>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e>
            </m:d>
          </m:den>
        </m:f>
      </m:oMath>
      <w:r w:rsidR="00405991">
        <w:t xml:space="preserve"> (9)</w:t>
      </w:r>
    </w:p>
    <w:p w14:paraId="37ACF488" w14:textId="77777777" w:rsidR="00405991" w:rsidRPr="00B57B36" w:rsidRDefault="00405991" w:rsidP="00600535">
      <w:pPr>
        <w:pStyle w:val="CETHeading1"/>
        <w:tabs>
          <w:tab w:val="clear" w:pos="360"/>
          <w:tab w:val="right" w:pos="7100"/>
        </w:tabs>
        <w:jc w:val="both"/>
        <w:rPr>
          <w:lang w:val="en-GB"/>
        </w:rPr>
      </w:pPr>
      <w:r>
        <w:rPr>
          <w:lang w:val="en-GB"/>
        </w:rPr>
        <w:t>Results and discussion</w:t>
      </w:r>
    </w:p>
    <w:p w14:paraId="012DC912" w14:textId="77777777" w:rsidR="00405991" w:rsidRDefault="00405991" w:rsidP="00E021FA">
      <w:pPr>
        <w:pStyle w:val="CETheadingx"/>
        <w:rPr>
          <w:i/>
          <w:lang w:val="en-GB"/>
        </w:rPr>
      </w:pPr>
      <w:r w:rsidRPr="00E021FA">
        <w:t xml:space="preserve"> Mass and electron balance for the three-stage integrated</w:t>
      </w:r>
      <w:r>
        <w:t xml:space="preserve"> electrified </w:t>
      </w:r>
      <w:r w:rsidRPr="00E021FA">
        <w:t>bioH</w:t>
      </w:r>
      <w:r w:rsidRPr="002A7012">
        <w:rPr>
          <w:vertAlign w:val="subscript"/>
        </w:rPr>
        <w:t>2</w:t>
      </w:r>
      <w:r w:rsidRPr="00E021FA">
        <w:t xml:space="preserve"> platform design</w:t>
      </w:r>
    </w:p>
    <w:p w14:paraId="54876BD7" w14:textId="77777777" w:rsidR="00405991" w:rsidRPr="00286335" w:rsidRDefault="00405991" w:rsidP="00286335">
      <w:pPr>
        <w:pStyle w:val="CETBodytext"/>
        <w:rPr>
          <w:iCs/>
          <w:lang w:val="en-GB"/>
        </w:rPr>
      </w:pPr>
      <w:r w:rsidRPr="00D93F6E">
        <w:rPr>
          <w:iCs/>
          <w:lang w:val="en-GB"/>
        </w:rPr>
        <w:t xml:space="preserve">Based on </w:t>
      </w:r>
      <w:r>
        <w:rPr>
          <w:iCs/>
          <w:lang w:val="en-GB"/>
        </w:rPr>
        <w:t>input data reported from the three case studies, the evaluation current generation potential in MEC and AEC system allow to determine the surface and the volume of the reactors to be placed in series to the DF step. the calculation of the surface was conducted considering two reference value for current density in the MEC and AEC systems. While for MEC a current density of 11 A/m</w:t>
      </w:r>
      <w:r w:rsidRPr="002A7012">
        <w:rPr>
          <w:iCs/>
          <w:vertAlign w:val="superscript"/>
          <w:lang w:val="en-GB"/>
        </w:rPr>
        <w:t>2</w:t>
      </w:r>
      <w:r>
        <w:rPr>
          <w:iCs/>
          <w:lang w:val="en-GB"/>
        </w:rPr>
        <w:t xml:space="preserve"> was considered, as reported in </w:t>
      </w:r>
      <w:r>
        <w:rPr>
          <w:iCs/>
          <w:noProof/>
          <w:lang w:val="en-GB"/>
        </w:rPr>
        <w:t>(Fu et al., 2026)</w:t>
      </w:r>
      <w:r>
        <w:rPr>
          <w:iCs/>
          <w:lang w:val="en-GB"/>
        </w:rPr>
        <w:t>, the current density of 10000 A/m</w:t>
      </w:r>
      <w:r w:rsidRPr="002A7012">
        <w:rPr>
          <w:iCs/>
          <w:vertAlign w:val="superscript"/>
          <w:lang w:val="en-GB"/>
        </w:rPr>
        <w:t>2</w:t>
      </w:r>
      <w:r>
        <w:rPr>
          <w:iCs/>
          <w:lang w:val="en-GB"/>
        </w:rPr>
        <w:t xml:space="preserve"> was utilized for a conventional AEC system, as reported in </w:t>
      </w:r>
      <w:r>
        <w:rPr>
          <w:iCs/>
          <w:noProof/>
          <w:lang w:val="en-GB"/>
        </w:rPr>
        <w:t>(Lettenmeier et al., 2016)</w:t>
      </w:r>
      <w:r>
        <w:rPr>
          <w:iCs/>
          <w:lang w:val="en-GB"/>
        </w:rPr>
        <w:t xml:space="preserve">. The significant difference in current density resulted in an important surface and volumetric request for accomplish the total conversion of soluble waste COD into current. Despite the important surface of electrode, the MEC system to be coupled with a full-scale DF step was in the range of </w:t>
      </w:r>
      <w:proofErr w:type="gramStart"/>
      <w:r>
        <w:rPr>
          <w:iCs/>
          <w:lang w:val="en-GB"/>
        </w:rPr>
        <w:t>full scale</w:t>
      </w:r>
      <w:proofErr w:type="gramEnd"/>
      <w:r>
        <w:rPr>
          <w:iCs/>
          <w:lang w:val="en-GB"/>
        </w:rPr>
        <w:t xml:space="preserve"> electrolysers installation, in which for </w:t>
      </w:r>
      <w:r w:rsidRPr="00286335">
        <w:rPr>
          <w:iCs/>
          <w:lang w:val="en-GB"/>
        </w:rPr>
        <w:t xml:space="preserve">approximately </w:t>
      </w:r>
      <w:r>
        <w:rPr>
          <w:iCs/>
          <w:lang w:val="en-GB"/>
        </w:rPr>
        <w:t xml:space="preserve">100 </w:t>
      </w:r>
      <w:r w:rsidRPr="00286335">
        <w:rPr>
          <w:iCs/>
          <w:lang w:val="en-GB"/>
        </w:rPr>
        <w:t>cell stacks</w:t>
      </w:r>
      <w:r>
        <w:rPr>
          <w:iCs/>
          <w:lang w:val="en-GB"/>
        </w:rPr>
        <w:t xml:space="preserve"> of 25 m</w:t>
      </w:r>
      <w:r w:rsidRPr="0084248C">
        <w:rPr>
          <w:iCs/>
          <w:vertAlign w:val="superscript"/>
          <w:lang w:val="en-GB"/>
        </w:rPr>
        <w:t>2</w:t>
      </w:r>
      <w:r>
        <w:rPr>
          <w:iCs/>
          <w:lang w:val="en-GB"/>
        </w:rPr>
        <w:t xml:space="preserve"> were operated for 5000 hours at 4000 A of direct current </w:t>
      </w:r>
      <w:r>
        <w:rPr>
          <w:iCs/>
          <w:noProof/>
          <w:lang w:val="en-GB"/>
        </w:rPr>
        <w:t>(Bender et al., 2026)</w:t>
      </w:r>
      <w:r>
        <w:rPr>
          <w:iCs/>
          <w:lang w:val="en-GB"/>
        </w:rPr>
        <w:t>.</w:t>
      </w:r>
    </w:p>
    <w:p w14:paraId="6A40E8B4" w14:textId="77777777" w:rsidR="00405991" w:rsidRDefault="00405991" w:rsidP="00D93F6E">
      <w:pPr>
        <w:pStyle w:val="CETBodytext"/>
        <w:rPr>
          <w:i/>
          <w:lang w:val="en-GB"/>
        </w:rPr>
      </w:pPr>
    </w:p>
    <w:p w14:paraId="572C1F46" w14:textId="77777777" w:rsidR="00405991" w:rsidRPr="00EC1F16" w:rsidRDefault="00405991" w:rsidP="00EC1F16">
      <w:pPr>
        <w:pStyle w:val="CETBodytext"/>
      </w:pPr>
      <w:r w:rsidRPr="00B57B36">
        <w:t xml:space="preserve">Table </w:t>
      </w:r>
      <w:r>
        <w:t>3</w:t>
      </w:r>
      <w:r w:rsidRPr="00B57B36">
        <w:t xml:space="preserve">: </w:t>
      </w:r>
      <w:r>
        <w:t xml:space="preserve">Volumetric and surface estimation for MEC and AEC processes based on case studies scenario </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276"/>
        <w:gridCol w:w="2268"/>
        <w:gridCol w:w="1701"/>
        <w:gridCol w:w="1701"/>
        <w:gridCol w:w="1843"/>
      </w:tblGrid>
      <w:tr w:rsidR="00405991" w:rsidRPr="009E1541" w14:paraId="2549295A" w14:textId="77777777" w:rsidTr="00E00621">
        <w:tc>
          <w:tcPr>
            <w:tcW w:w="1276" w:type="dxa"/>
            <w:tcBorders>
              <w:top w:val="single" w:sz="12" w:space="0" w:color="008000"/>
              <w:bottom w:val="single" w:sz="6" w:space="0" w:color="008000"/>
            </w:tcBorders>
            <w:shd w:val="clear" w:color="auto" w:fill="FFFFFF"/>
          </w:tcPr>
          <w:p w14:paraId="52B8B11F" w14:textId="77777777" w:rsidR="00405991" w:rsidRPr="00B57B36" w:rsidRDefault="00405991" w:rsidP="00BA57CD">
            <w:pPr>
              <w:pStyle w:val="CETBodytext"/>
              <w:rPr>
                <w:lang w:val="en-GB"/>
              </w:rPr>
            </w:pPr>
            <w:r>
              <w:rPr>
                <w:lang w:val="en-GB"/>
              </w:rPr>
              <w:t>Case study</w:t>
            </w:r>
          </w:p>
        </w:tc>
        <w:tc>
          <w:tcPr>
            <w:tcW w:w="2268" w:type="dxa"/>
            <w:tcBorders>
              <w:top w:val="single" w:sz="12" w:space="0" w:color="008000"/>
              <w:bottom w:val="single" w:sz="6" w:space="0" w:color="008000"/>
            </w:tcBorders>
            <w:shd w:val="clear" w:color="auto" w:fill="FFFFFF"/>
          </w:tcPr>
          <w:p w14:paraId="126FD34C" w14:textId="77777777" w:rsidR="00405991" w:rsidRPr="00B57B36" w:rsidRDefault="00405991" w:rsidP="00BA57CD">
            <w:pPr>
              <w:pStyle w:val="CETBodytext"/>
              <w:rPr>
                <w:lang w:val="en-GB"/>
              </w:rPr>
            </w:pPr>
            <w:r>
              <w:rPr>
                <w:lang w:val="en-GB"/>
              </w:rPr>
              <w:t>MEC surface (m</w:t>
            </w:r>
            <w:r>
              <w:rPr>
                <w:vertAlign w:val="superscript"/>
                <w:lang w:val="en-GB"/>
              </w:rPr>
              <w:t>3</w:t>
            </w:r>
            <w:r>
              <w:rPr>
                <w:lang w:val="en-GB"/>
              </w:rPr>
              <w:t>)</w:t>
            </w:r>
          </w:p>
        </w:tc>
        <w:tc>
          <w:tcPr>
            <w:tcW w:w="1701" w:type="dxa"/>
            <w:tcBorders>
              <w:top w:val="single" w:sz="12" w:space="0" w:color="008000"/>
              <w:bottom w:val="single" w:sz="6" w:space="0" w:color="008000"/>
            </w:tcBorders>
            <w:shd w:val="clear" w:color="auto" w:fill="FFFFFF"/>
          </w:tcPr>
          <w:p w14:paraId="6709C6B3" w14:textId="77777777" w:rsidR="00405991" w:rsidRPr="00B57B36" w:rsidRDefault="00405991" w:rsidP="00BA57CD">
            <w:pPr>
              <w:pStyle w:val="CETBodytext"/>
              <w:rPr>
                <w:lang w:val="en-GB"/>
              </w:rPr>
            </w:pPr>
            <w:r>
              <w:rPr>
                <w:lang w:val="en-GB"/>
              </w:rPr>
              <w:t>MEC volume (m</w:t>
            </w:r>
            <w:r>
              <w:rPr>
                <w:vertAlign w:val="superscript"/>
                <w:lang w:val="en-GB"/>
              </w:rPr>
              <w:t>3</w:t>
            </w:r>
            <w:r>
              <w:rPr>
                <w:lang w:val="en-GB"/>
              </w:rPr>
              <w:t>)</w:t>
            </w:r>
          </w:p>
        </w:tc>
        <w:tc>
          <w:tcPr>
            <w:tcW w:w="1701" w:type="dxa"/>
            <w:tcBorders>
              <w:top w:val="single" w:sz="12" w:space="0" w:color="008000"/>
              <w:bottom w:val="single" w:sz="6" w:space="0" w:color="008000"/>
            </w:tcBorders>
            <w:shd w:val="clear" w:color="auto" w:fill="FFFFFF"/>
          </w:tcPr>
          <w:p w14:paraId="7D18B4CA" w14:textId="77777777" w:rsidR="00405991" w:rsidRPr="009E1541" w:rsidRDefault="00405991" w:rsidP="00BA57CD">
            <w:pPr>
              <w:pStyle w:val="CETBodytext"/>
              <w:ind w:right="-1"/>
              <w:rPr>
                <w:lang w:val="en-GB"/>
              </w:rPr>
            </w:pPr>
            <w:r>
              <w:rPr>
                <w:lang w:val="en-GB"/>
              </w:rPr>
              <w:t>AEC surface (m</w:t>
            </w:r>
            <w:r w:rsidRPr="00D93F6E">
              <w:rPr>
                <w:vertAlign w:val="superscript"/>
                <w:lang w:val="en-GB"/>
              </w:rPr>
              <w:t>2</w:t>
            </w:r>
            <w:r>
              <w:rPr>
                <w:lang w:val="en-GB"/>
              </w:rPr>
              <w:t>)</w:t>
            </w:r>
          </w:p>
        </w:tc>
        <w:tc>
          <w:tcPr>
            <w:tcW w:w="1843" w:type="dxa"/>
            <w:tcBorders>
              <w:top w:val="single" w:sz="12" w:space="0" w:color="008000"/>
              <w:bottom w:val="single" w:sz="6" w:space="0" w:color="008000"/>
            </w:tcBorders>
            <w:shd w:val="clear" w:color="auto" w:fill="FFFFFF"/>
          </w:tcPr>
          <w:p w14:paraId="37DC9B93" w14:textId="77777777" w:rsidR="00405991" w:rsidRPr="009E1541" w:rsidRDefault="00405991" w:rsidP="00BA57CD">
            <w:pPr>
              <w:pStyle w:val="CETBodytext"/>
              <w:ind w:right="-1"/>
              <w:rPr>
                <w:lang w:val="en-GB"/>
              </w:rPr>
            </w:pPr>
            <w:r>
              <w:rPr>
                <w:lang w:val="en-GB"/>
              </w:rPr>
              <w:t>AEC volume (m</w:t>
            </w:r>
            <w:r>
              <w:rPr>
                <w:vertAlign w:val="superscript"/>
                <w:lang w:val="en-GB"/>
              </w:rPr>
              <w:t>3</w:t>
            </w:r>
            <w:r>
              <w:rPr>
                <w:lang w:val="en-GB"/>
              </w:rPr>
              <w:t>)</w:t>
            </w:r>
          </w:p>
        </w:tc>
      </w:tr>
      <w:tr w:rsidR="00405991" w:rsidRPr="00B57B36" w14:paraId="425D0C86" w14:textId="77777777" w:rsidTr="00E00621">
        <w:tc>
          <w:tcPr>
            <w:tcW w:w="1276" w:type="dxa"/>
            <w:shd w:val="clear" w:color="auto" w:fill="FFFFFF"/>
          </w:tcPr>
          <w:p w14:paraId="02C41819" w14:textId="77777777" w:rsidR="00405991" w:rsidRPr="00B57B36" w:rsidRDefault="00405991" w:rsidP="00205B23">
            <w:pPr>
              <w:pStyle w:val="CETBodytext"/>
              <w:rPr>
                <w:lang w:val="en-GB"/>
              </w:rPr>
            </w:pPr>
            <w:r>
              <w:rPr>
                <w:lang w:val="en-GB"/>
              </w:rPr>
              <w:t>CW</w:t>
            </w:r>
          </w:p>
        </w:tc>
        <w:tc>
          <w:tcPr>
            <w:tcW w:w="2268" w:type="dxa"/>
            <w:shd w:val="clear" w:color="auto" w:fill="FFFFFF"/>
          </w:tcPr>
          <w:p w14:paraId="37DD259D" w14:textId="77777777" w:rsidR="00405991" w:rsidRPr="00B57B36" w:rsidRDefault="00405991" w:rsidP="00205B23">
            <w:pPr>
              <w:pStyle w:val="CETBodytext"/>
              <w:rPr>
                <w:lang w:val="en-GB"/>
              </w:rPr>
            </w:pPr>
            <w:r w:rsidRPr="002C62CA">
              <w:t>6345</w:t>
            </w:r>
          </w:p>
        </w:tc>
        <w:tc>
          <w:tcPr>
            <w:tcW w:w="1701" w:type="dxa"/>
            <w:shd w:val="clear" w:color="auto" w:fill="FFFFFF"/>
          </w:tcPr>
          <w:p w14:paraId="39F8CA29" w14:textId="77777777" w:rsidR="00405991" w:rsidRPr="00B57B36" w:rsidRDefault="00405991" w:rsidP="00205B23">
            <w:pPr>
              <w:pStyle w:val="CETBodytext"/>
              <w:rPr>
                <w:lang w:val="en-GB"/>
              </w:rPr>
            </w:pPr>
            <w:r w:rsidRPr="002C62CA">
              <w:t>190</w:t>
            </w:r>
          </w:p>
        </w:tc>
        <w:tc>
          <w:tcPr>
            <w:tcW w:w="1701" w:type="dxa"/>
            <w:shd w:val="clear" w:color="auto" w:fill="FFFFFF"/>
          </w:tcPr>
          <w:p w14:paraId="18705460" w14:textId="77777777" w:rsidR="00405991" w:rsidRPr="009E1541" w:rsidRDefault="00405991" w:rsidP="00205B23">
            <w:pPr>
              <w:pStyle w:val="CETBodytext"/>
              <w:ind w:right="-1"/>
              <w:rPr>
                <w:lang w:val="en-GB"/>
              </w:rPr>
            </w:pPr>
            <w:r w:rsidRPr="002C62CA">
              <w:t>5.025</w:t>
            </w:r>
          </w:p>
        </w:tc>
        <w:tc>
          <w:tcPr>
            <w:tcW w:w="1843" w:type="dxa"/>
            <w:shd w:val="clear" w:color="auto" w:fill="FFFFFF"/>
          </w:tcPr>
          <w:p w14:paraId="2861934F" w14:textId="77777777" w:rsidR="00405991" w:rsidRPr="009E1541" w:rsidRDefault="00405991" w:rsidP="00205B23">
            <w:pPr>
              <w:pStyle w:val="CETBodytext"/>
              <w:ind w:right="-1"/>
              <w:rPr>
                <w:lang w:val="en-GB"/>
              </w:rPr>
            </w:pPr>
            <w:r w:rsidRPr="002C62CA">
              <w:t>0.151</w:t>
            </w:r>
          </w:p>
        </w:tc>
      </w:tr>
      <w:tr w:rsidR="00405991" w:rsidRPr="00B57B36" w14:paraId="4FD21E04" w14:textId="77777777" w:rsidTr="00E00621">
        <w:tc>
          <w:tcPr>
            <w:tcW w:w="1276" w:type="dxa"/>
            <w:shd w:val="clear" w:color="auto" w:fill="FFFFFF"/>
          </w:tcPr>
          <w:p w14:paraId="06B64DD2" w14:textId="77777777" w:rsidR="00405991" w:rsidRPr="00B57B36" w:rsidRDefault="00405991" w:rsidP="00205B23">
            <w:pPr>
              <w:pStyle w:val="CETBodytext"/>
              <w:rPr>
                <w:lang w:val="en-GB"/>
              </w:rPr>
            </w:pPr>
            <w:r>
              <w:rPr>
                <w:lang w:val="en-GB"/>
              </w:rPr>
              <w:lastRenderedPageBreak/>
              <w:t>FW</w:t>
            </w:r>
          </w:p>
        </w:tc>
        <w:tc>
          <w:tcPr>
            <w:tcW w:w="2268" w:type="dxa"/>
            <w:shd w:val="clear" w:color="auto" w:fill="FFFFFF"/>
          </w:tcPr>
          <w:p w14:paraId="1AD41C4D" w14:textId="77777777" w:rsidR="00405991" w:rsidRPr="00B57B36" w:rsidRDefault="00405991" w:rsidP="00205B23">
            <w:pPr>
              <w:pStyle w:val="CETBodytext"/>
              <w:rPr>
                <w:lang w:val="en-GB"/>
              </w:rPr>
            </w:pPr>
            <w:r w:rsidRPr="002C62CA">
              <w:t>7614</w:t>
            </w:r>
          </w:p>
        </w:tc>
        <w:tc>
          <w:tcPr>
            <w:tcW w:w="1701" w:type="dxa"/>
            <w:shd w:val="clear" w:color="auto" w:fill="FFFFFF"/>
          </w:tcPr>
          <w:p w14:paraId="564E737D" w14:textId="77777777" w:rsidR="00405991" w:rsidRPr="00B57B36" w:rsidRDefault="00405991" w:rsidP="00205B23">
            <w:pPr>
              <w:pStyle w:val="CETBodytext"/>
              <w:rPr>
                <w:lang w:val="en-GB"/>
              </w:rPr>
            </w:pPr>
            <w:r w:rsidRPr="002C62CA">
              <w:t>228</w:t>
            </w:r>
          </w:p>
        </w:tc>
        <w:tc>
          <w:tcPr>
            <w:tcW w:w="1701" w:type="dxa"/>
            <w:shd w:val="clear" w:color="auto" w:fill="FFFFFF"/>
          </w:tcPr>
          <w:p w14:paraId="1AB1611F" w14:textId="77777777" w:rsidR="00405991" w:rsidRPr="009E1541" w:rsidRDefault="00405991" w:rsidP="00205B23">
            <w:pPr>
              <w:pStyle w:val="CETBodytext"/>
              <w:ind w:right="-1"/>
              <w:rPr>
                <w:lang w:val="en-GB"/>
              </w:rPr>
            </w:pPr>
            <w:r w:rsidRPr="002C62CA">
              <w:t>9.771</w:t>
            </w:r>
          </w:p>
        </w:tc>
        <w:tc>
          <w:tcPr>
            <w:tcW w:w="1843" w:type="dxa"/>
            <w:shd w:val="clear" w:color="auto" w:fill="FFFFFF"/>
          </w:tcPr>
          <w:p w14:paraId="21E7AC85" w14:textId="77777777" w:rsidR="00405991" w:rsidRPr="009E1541" w:rsidRDefault="00405991" w:rsidP="00205B23">
            <w:pPr>
              <w:pStyle w:val="CETBodytext"/>
              <w:ind w:right="-1"/>
              <w:rPr>
                <w:lang w:val="en-GB"/>
              </w:rPr>
            </w:pPr>
            <w:r w:rsidRPr="002C62CA">
              <w:t>0.293</w:t>
            </w:r>
          </w:p>
        </w:tc>
      </w:tr>
      <w:tr w:rsidR="00405991" w:rsidRPr="00B57B36" w14:paraId="5F422188" w14:textId="77777777" w:rsidTr="00E00621">
        <w:tc>
          <w:tcPr>
            <w:tcW w:w="1276" w:type="dxa"/>
            <w:shd w:val="clear" w:color="auto" w:fill="FFFFFF"/>
          </w:tcPr>
          <w:p w14:paraId="4AD66608" w14:textId="77777777" w:rsidR="00405991" w:rsidRPr="009E1541" w:rsidRDefault="00405991" w:rsidP="00205B23">
            <w:pPr>
              <w:pStyle w:val="CETBodytext"/>
              <w:ind w:right="-1"/>
              <w:rPr>
                <w:lang w:val="en-GB"/>
              </w:rPr>
            </w:pPr>
            <w:r w:rsidRPr="009E1541">
              <w:rPr>
                <w:lang w:val="en-GB"/>
              </w:rPr>
              <w:t>OF-MSW</w:t>
            </w:r>
          </w:p>
        </w:tc>
        <w:tc>
          <w:tcPr>
            <w:tcW w:w="2268" w:type="dxa"/>
            <w:shd w:val="clear" w:color="auto" w:fill="FFFFFF"/>
          </w:tcPr>
          <w:p w14:paraId="1E150DEF" w14:textId="77777777" w:rsidR="00405991" w:rsidRPr="009E1541" w:rsidRDefault="00405991" w:rsidP="00205B23">
            <w:pPr>
              <w:pStyle w:val="CETBodytext"/>
              <w:ind w:right="-1"/>
              <w:rPr>
                <w:lang w:val="en-GB"/>
              </w:rPr>
            </w:pPr>
            <w:r w:rsidRPr="002C62CA">
              <w:t>8</w:t>
            </w:r>
          </w:p>
        </w:tc>
        <w:tc>
          <w:tcPr>
            <w:tcW w:w="1701" w:type="dxa"/>
            <w:shd w:val="clear" w:color="auto" w:fill="FFFFFF"/>
          </w:tcPr>
          <w:p w14:paraId="28C4592D" w14:textId="77777777" w:rsidR="00405991" w:rsidRPr="009E1541" w:rsidRDefault="00405991" w:rsidP="00205B23">
            <w:pPr>
              <w:pStyle w:val="CETBodytext"/>
              <w:ind w:right="-1"/>
              <w:rPr>
                <w:lang w:val="en-GB"/>
              </w:rPr>
            </w:pPr>
            <w:r w:rsidRPr="002C62CA">
              <w:t>0.24</w:t>
            </w:r>
          </w:p>
        </w:tc>
        <w:tc>
          <w:tcPr>
            <w:tcW w:w="1701" w:type="dxa"/>
            <w:shd w:val="clear" w:color="auto" w:fill="FFFFFF"/>
          </w:tcPr>
          <w:p w14:paraId="0F9DD48A" w14:textId="77777777" w:rsidR="00405991" w:rsidRPr="009E1541" w:rsidRDefault="00405991" w:rsidP="00205B23">
            <w:pPr>
              <w:pStyle w:val="CETBodytext"/>
              <w:ind w:right="-1"/>
              <w:rPr>
                <w:lang w:val="en-GB"/>
              </w:rPr>
            </w:pPr>
            <w:r w:rsidRPr="002C62CA">
              <w:t>0.005</w:t>
            </w:r>
          </w:p>
        </w:tc>
        <w:tc>
          <w:tcPr>
            <w:tcW w:w="1843" w:type="dxa"/>
            <w:shd w:val="clear" w:color="auto" w:fill="FFFFFF"/>
          </w:tcPr>
          <w:p w14:paraId="34EF66A9" w14:textId="77777777" w:rsidR="00405991" w:rsidRPr="009E1541" w:rsidRDefault="00405991" w:rsidP="00205B23">
            <w:pPr>
              <w:pStyle w:val="CETBodytext"/>
              <w:ind w:right="-1"/>
              <w:rPr>
                <w:lang w:val="en-GB"/>
              </w:rPr>
            </w:pPr>
            <w:r w:rsidRPr="002C62CA">
              <w:t>0.010</w:t>
            </w:r>
          </w:p>
        </w:tc>
      </w:tr>
    </w:tbl>
    <w:p w14:paraId="070D4AD5" w14:textId="77777777" w:rsidR="00405991" w:rsidRDefault="00405991" w:rsidP="00C81E11">
      <w:pPr>
        <w:pStyle w:val="CETBodytext"/>
        <w:rPr>
          <w:i/>
          <w:lang w:val="en-GB"/>
        </w:rPr>
      </w:pPr>
      <w:r>
        <w:rPr>
          <w:i/>
          <w:lang w:val="en-GB"/>
        </w:rPr>
        <w:t>* Current density for MEC - 11 A/m</w:t>
      </w:r>
      <w:r w:rsidRPr="0084248C">
        <w:rPr>
          <w:i/>
          <w:vertAlign w:val="superscript"/>
          <w:lang w:val="en-GB"/>
        </w:rPr>
        <w:t>2</w:t>
      </w:r>
      <w:r>
        <w:rPr>
          <w:i/>
          <w:lang w:val="en-GB"/>
        </w:rPr>
        <w:t>, current density for AEC 10000 A/m</w:t>
      </w:r>
      <w:r w:rsidRPr="0084248C">
        <w:rPr>
          <w:i/>
          <w:vertAlign w:val="superscript"/>
          <w:lang w:val="en-GB"/>
        </w:rPr>
        <w:t>2</w:t>
      </w:r>
    </w:p>
    <w:p w14:paraId="23FC7A7D" w14:textId="77777777" w:rsidR="00405991" w:rsidRDefault="00405991" w:rsidP="00C81E11">
      <w:pPr>
        <w:pStyle w:val="CETBodytext"/>
        <w:rPr>
          <w:i/>
          <w:lang w:val="en-GB"/>
        </w:rPr>
      </w:pPr>
    </w:p>
    <w:p w14:paraId="27F3CE3A" w14:textId="3BFBE519" w:rsidR="00405991" w:rsidRDefault="00405991" w:rsidP="00C81E11">
      <w:pPr>
        <w:pStyle w:val="CETBodytext"/>
        <w:rPr>
          <w:iCs/>
          <w:lang w:val="en-GB"/>
        </w:rPr>
      </w:pPr>
      <w:r>
        <w:rPr>
          <w:iCs/>
          <w:lang w:val="en-GB"/>
        </w:rPr>
        <w:t>Table 4 reports the direct estimation of the H</w:t>
      </w:r>
      <w:r w:rsidRPr="00E00621">
        <w:rPr>
          <w:iCs/>
          <w:vertAlign w:val="subscript"/>
          <w:lang w:val="en-GB"/>
        </w:rPr>
        <w:t>2</w:t>
      </w:r>
      <w:r>
        <w:rPr>
          <w:iCs/>
          <w:lang w:val="en-GB"/>
        </w:rPr>
        <w:t xml:space="preserve"> production rate an H</w:t>
      </w:r>
      <w:r w:rsidRPr="00E00621">
        <w:rPr>
          <w:iCs/>
          <w:vertAlign w:val="subscript"/>
          <w:lang w:val="en-GB"/>
        </w:rPr>
        <w:t>2</w:t>
      </w:r>
      <w:r>
        <w:rPr>
          <w:iCs/>
          <w:lang w:val="en-GB"/>
        </w:rPr>
        <w:t xml:space="preserve"> yield obtained in the three case studies. It is interesting to underline that both parameters resulted higher for the fruit waste scenario which constituted the most suitable substrate for biological transformation due to its low suspended solid content and their VFA composition. Interestingly CO</w:t>
      </w:r>
      <w:r w:rsidRPr="00E00621">
        <w:rPr>
          <w:iCs/>
          <w:vertAlign w:val="subscript"/>
          <w:lang w:val="en-GB"/>
        </w:rPr>
        <w:t>2</w:t>
      </w:r>
      <w:r>
        <w:rPr>
          <w:iCs/>
          <w:lang w:val="en-GB"/>
        </w:rPr>
        <w:t xml:space="preserve"> sequestration rate, expressed as kgHCO</w:t>
      </w:r>
      <w:r w:rsidRPr="00E00621">
        <w:rPr>
          <w:iCs/>
          <w:vertAlign w:val="subscript"/>
          <w:lang w:val="en-GB"/>
        </w:rPr>
        <w:t>3</w:t>
      </w:r>
      <w:r w:rsidRPr="00E00621">
        <w:rPr>
          <w:iCs/>
          <w:vertAlign w:val="superscript"/>
          <w:lang w:val="en-GB"/>
        </w:rPr>
        <w:t>-</w:t>
      </w:r>
      <w:r>
        <w:rPr>
          <w:iCs/>
          <w:lang w:val="en-GB"/>
        </w:rPr>
        <w:t xml:space="preserve"> daily removed, follow a similar trend being higher in the case of FW as a direct consequence of the higher availability of VFA in the DF streams. in term of CO</w:t>
      </w:r>
      <w:r w:rsidRPr="00E00621">
        <w:rPr>
          <w:iCs/>
          <w:vertAlign w:val="subscript"/>
          <w:lang w:val="en-GB"/>
        </w:rPr>
        <w:t>2</w:t>
      </w:r>
      <w:r>
        <w:rPr>
          <w:iCs/>
          <w:lang w:val="en-GB"/>
        </w:rPr>
        <w:t xml:space="preserve"> MEC sequestration capacity (Table 4), all the three case studies highlight a considerable higher capacity of CO</w:t>
      </w:r>
      <w:r w:rsidRPr="00E00621">
        <w:rPr>
          <w:iCs/>
          <w:vertAlign w:val="subscript"/>
          <w:lang w:val="en-GB"/>
        </w:rPr>
        <w:t>2</w:t>
      </w:r>
      <w:r>
        <w:rPr>
          <w:iCs/>
          <w:lang w:val="en-GB"/>
        </w:rPr>
        <w:t xml:space="preserve"> sequestration with respect the alkalinity generation availability in the cathodic chamber. This interesting result shows the potential of the MEC process to integrate CO</w:t>
      </w:r>
      <w:r w:rsidRPr="00E00621">
        <w:rPr>
          <w:iCs/>
          <w:vertAlign w:val="subscript"/>
          <w:lang w:val="en-GB"/>
        </w:rPr>
        <w:t>2</w:t>
      </w:r>
      <w:r>
        <w:rPr>
          <w:iCs/>
          <w:lang w:val="en-GB"/>
        </w:rPr>
        <w:t xml:space="preserve"> sequestration in the electrified biorefinery proposed in this study.</w:t>
      </w:r>
    </w:p>
    <w:p w14:paraId="4990B457" w14:textId="77777777" w:rsidR="00633F5C" w:rsidRDefault="00633F5C" w:rsidP="00C81E11">
      <w:pPr>
        <w:pStyle w:val="CETBodytext"/>
        <w:rPr>
          <w:i/>
          <w:lang w:val="en-GB"/>
        </w:rPr>
      </w:pPr>
    </w:p>
    <w:p w14:paraId="4F3B3F1E" w14:textId="77777777" w:rsidR="00405991" w:rsidRDefault="00405991" w:rsidP="00C81E11">
      <w:pPr>
        <w:pStyle w:val="CETBodytext"/>
        <w:rPr>
          <w:i/>
          <w:lang w:val="en-GB"/>
        </w:rPr>
      </w:pPr>
      <w:r w:rsidRPr="00B57B36">
        <w:t xml:space="preserve">Table </w:t>
      </w:r>
      <w:r>
        <w:t>4</w:t>
      </w:r>
      <w:r w:rsidRPr="00B57B36">
        <w:t xml:space="preserve">: </w:t>
      </w:r>
      <w:r>
        <w:t>Results about H</w:t>
      </w:r>
      <w:r w:rsidRPr="00F05D4E">
        <w:rPr>
          <w:vertAlign w:val="subscript"/>
        </w:rPr>
        <w:t>2</w:t>
      </w:r>
      <w:r>
        <w:t xml:space="preserve"> productivity H</w:t>
      </w:r>
      <w:r w:rsidRPr="00F05D4E">
        <w:rPr>
          <w:vertAlign w:val="subscript"/>
        </w:rPr>
        <w:t>2</w:t>
      </w:r>
      <w:r>
        <w:t xml:space="preserve"> yields and CO</w:t>
      </w:r>
      <w:r w:rsidRPr="00F05D4E">
        <w:rPr>
          <w:vertAlign w:val="subscript"/>
        </w:rPr>
        <w:t>2</w:t>
      </w:r>
      <w:r>
        <w:t xml:space="preserve"> sequestration from the different case study </w:t>
      </w:r>
    </w:p>
    <w:tbl>
      <w:tblPr>
        <w:tblW w:w="8931"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276"/>
        <w:gridCol w:w="1985"/>
        <w:gridCol w:w="1559"/>
        <w:gridCol w:w="1984"/>
        <w:gridCol w:w="2127"/>
      </w:tblGrid>
      <w:tr w:rsidR="00405991" w:rsidRPr="009E1541" w14:paraId="4521B33B" w14:textId="77777777" w:rsidTr="00F05D4E">
        <w:tc>
          <w:tcPr>
            <w:tcW w:w="1276" w:type="dxa"/>
            <w:tcBorders>
              <w:top w:val="single" w:sz="12" w:space="0" w:color="008000"/>
              <w:bottom w:val="single" w:sz="6" w:space="0" w:color="008000"/>
            </w:tcBorders>
            <w:shd w:val="clear" w:color="auto" w:fill="FFFFFF"/>
          </w:tcPr>
          <w:p w14:paraId="2EF136A5" w14:textId="77777777" w:rsidR="00405991" w:rsidRPr="00B57B36" w:rsidRDefault="00405991" w:rsidP="002E4CC3">
            <w:pPr>
              <w:pStyle w:val="CETBodytext"/>
              <w:rPr>
                <w:lang w:val="en-GB"/>
              </w:rPr>
            </w:pPr>
            <w:r>
              <w:rPr>
                <w:lang w:val="en-GB"/>
              </w:rPr>
              <w:t>Case study</w:t>
            </w:r>
          </w:p>
        </w:tc>
        <w:tc>
          <w:tcPr>
            <w:tcW w:w="1985" w:type="dxa"/>
            <w:tcBorders>
              <w:top w:val="single" w:sz="12" w:space="0" w:color="008000"/>
              <w:bottom w:val="single" w:sz="6" w:space="0" w:color="008000"/>
            </w:tcBorders>
            <w:shd w:val="clear" w:color="auto" w:fill="FFFFFF"/>
          </w:tcPr>
          <w:p w14:paraId="76CA1C20" w14:textId="77777777" w:rsidR="00405991" w:rsidRPr="00B57B36" w:rsidRDefault="00405991" w:rsidP="002E4CC3">
            <w:pPr>
              <w:pStyle w:val="CETBodytext"/>
              <w:rPr>
                <w:lang w:val="en-GB"/>
              </w:rPr>
            </w:pPr>
            <w:r w:rsidRPr="00630393">
              <w:t>H</w:t>
            </w:r>
            <w:r w:rsidRPr="00F05D4E">
              <w:rPr>
                <w:vertAlign w:val="subscript"/>
              </w:rPr>
              <w:t>2</w:t>
            </w:r>
            <w:r w:rsidRPr="00630393">
              <w:t xml:space="preserve"> production (m</w:t>
            </w:r>
            <w:r w:rsidRPr="00F05D4E">
              <w:rPr>
                <w:vertAlign w:val="superscript"/>
              </w:rPr>
              <w:t>3</w:t>
            </w:r>
            <w:r w:rsidRPr="00630393">
              <w:t>H</w:t>
            </w:r>
            <w:r w:rsidRPr="00F05D4E">
              <w:rPr>
                <w:vertAlign w:val="subscript"/>
              </w:rPr>
              <w:t>2</w:t>
            </w:r>
            <w:r w:rsidRPr="00630393">
              <w:t>/m</w:t>
            </w:r>
            <w:r w:rsidRPr="00F05D4E">
              <w:rPr>
                <w:vertAlign w:val="superscript"/>
              </w:rPr>
              <w:t>3</w:t>
            </w:r>
            <w:r w:rsidRPr="00630393">
              <w:t>d)</w:t>
            </w:r>
          </w:p>
        </w:tc>
        <w:tc>
          <w:tcPr>
            <w:tcW w:w="1559" w:type="dxa"/>
            <w:tcBorders>
              <w:top w:val="single" w:sz="12" w:space="0" w:color="008000"/>
              <w:bottom w:val="single" w:sz="6" w:space="0" w:color="008000"/>
            </w:tcBorders>
            <w:shd w:val="clear" w:color="auto" w:fill="FFFFFF"/>
          </w:tcPr>
          <w:p w14:paraId="42A5DCB4" w14:textId="77777777" w:rsidR="00405991" w:rsidRPr="00B57B36" w:rsidRDefault="00405991" w:rsidP="002E4CC3">
            <w:pPr>
              <w:pStyle w:val="CETBodytext"/>
              <w:rPr>
                <w:lang w:val="en-GB"/>
              </w:rPr>
            </w:pPr>
            <w:r w:rsidRPr="00630393">
              <w:t>H</w:t>
            </w:r>
            <w:r w:rsidRPr="00F05D4E">
              <w:rPr>
                <w:vertAlign w:val="subscript"/>
              </w:rPr>
              <w:t>2</w:t>
            </w:r>
            <w:r w:rsidRPr="00630393">
              <w:t xml:space="preserve"> yield </w:t>
            </w:r>
            <w:r>
              <w:t>(</w:t>
            </w:r>
            <w:r w:rsidRPr="00630393">
              <w:t>kgH</w:t>
            </w:r>
            <w:r w:rsidRPr="00F05D4E">
              <w:rPr>
                <w:vertAlign w:val="subscript"/>
              </w:rPr>
              <w:t>2</w:t>
            </w:r>
            <w:r w:rsidRPr="00630393">
              <w:t>/</w:t>
            </w:r>
            <w:proofErr w:type="spellStart"/>
            <w:r w:rsidRPr="00630393">
              <w:t>kgCOD</w:t>
            </w:r>
            <w:proofErr w:type="spellEnd"/>
            <w:r>
              <w:t>)</w:t>
            </w:r>
          </w:p>
        </w:tc>
        <w:tc>
          <w:tcPr>
            <w:tcW w:w="1984" w:type="dxa"/>
            <w:tcBorders>
              <w:top w:val="single" w:sz="12" w:space="0" w:color="008000"/>
              <w:bottom w:val="single" w:sz="6" w:space="0" w:color="008000"/>
            </w:tcBorders>
            <w:shd w:val="clear" w:color="auto" w:fill="FFFFFF"/>
          </w:tcPr>
          <w:p w14:paraId="7010C093" w14:textId="77777777" w:rsidR="00405991" w:rsidRPr="009E1541" w:rsidRDefault="00405991" w:rsidP="002E4CC3">
            <w:pPr>
              <w:pStyle w:val="CETBodytext"/>
              <w:ind w:right="-1"/>
              <w:rPr>
                <w:lang w:val="en-GB"/>
              </w:rPr>
            </w:pPr>
            <w:r w:rsidRPr="00630393">
              <w:t>CO</w:t>
            </w:r>
            <w:r w:rsidRPr="00F05D4E">
              <w:rPr>
                <w:vertAlign w:val="subscript"/>
              </w:rPr>
              <w:t>2</w:t>
            </w:r>
            <w:r w:rsidRPr="00630393">
              <w:t xml:space="preserve"> sequestration rate (kgHCO</w:t>
            </w:r>
            <w:r w:rsidRPr="00F05D4E">
              <w:rPr>
                <w:vertAlign w:val="subscript"/>
              </w:rPr>
              <w:t>3</w:t>
            </w:r>
            <w:r w:rsidRPr="00630393">
              <w:t>/m</w:t>
            </w:r>
            <w:r w:rsidRPr="00F05D4E">
              <w:rPr>
                <w:vertAlign w:val="superscript"/>
              </w:rPr>
              <w:t>3</w:t>
            </w:r>
            <w:r w:rsidRPr="00630393">
              <w:t>d)</w:t>
            </w:r>
          </w:p>
        </w:tc>
        <w:tc>
          <w:tcPr>
            <w:tcW w:w="2127" w:type="dxa"/>
            <w:tcBorders>
              <w:top w:val="single" w:sz="12" w:space="0" w:color="008000"/>
              <w:bottom w:val="single" w:sz="6" w:space="0" w:color="008000"/>
            </w:tcBorders>
            <w:shd w:val="clear" w:color="auto" w:fill="FFFFFF"/>
          </w:tcPr>
          <w:p w14:paraId="4DB8C9C7" w14:textId="77777777" w:rsidR="00405991" w:rsidRPr="009E1541" w:rsidRDefault="00405991" w:rsidP="002E4CC3">
            <w:pPr>
              <w:pStyle w:val="CETBodytext"/>
              <w:ind w:right="-1"/>
              <w:rPr>
                <w:lang w:val="en-GB"/>
              </w:rPr>
            </w:pPr>
            <w:r w:rsidRPr="00630393">
              <w:t>CO</w:t>
            </w:r>
            <w:r w:rsidRPr="00F05D4E">
              <w:rPr>
                <w:vertAlign w:val="subscript"/>
              </w:rPr>
              <w:t>2</w:t>
            </w:r>
            <w:r w:rsidRPr="00630393">
              <w:t xml:space="preserve"> </w:t>
            </w:r>
            <w:r>
              <w:t xml:space="preserve">MEC </w:t>
            </w:r>
            <w:r w:rsidRPr="00630393">
              <w:t xml:space="preserve">sequestration </w:t>
            </w:r>
            <w:proofErr w:type="gramStart"/>
            <w:r w:rsidRPr="00630393">
              <w:t>efficiency(</w:t>
            </w:r>
            <w:proofErr w:type="gramEnd"/>
            <w:r w:rsidRPr="00630393">
              <w:t>%)</w:t>
            </w:r>
          </w:p>
        </w:tc>
      </w:tr>
      <w:tr w:rsidR="00405991" w:rsidRPr="00B57B36" w14:paraId="60FAD8C2" w14:textId="77777777" w:rsidTr="00F05D4E">
        <w:tc>
          <w:tcPr>
            <w:tcW w:w="1276" w:type="dxa"/>
            <w:shd w:val="clear" w:color="auto" w:fill="FFFFFF"/>
          </w:tcPr>
          <w:p w14:paraId="38E5B367" w14:textId="77777777" w:rsidR="00405991" w:rsidRPr="00B57B36" w:rsidRDefault="00405991" w:rsidP="002E4CC3">
            <w:pPr>
              <w:pStyle w:val="CETBodytext"/>
              <w:rPr>
                <w:lang w:val="en-GB"/>
              </w:rPr>
            </w:pPr>
            <w:r>
              <w:rPr>
                <w:lang w:val="en-GB"/>
              </w:rPr>
              <w:t>CW</w:t>
            </w:r>
          </w:p>
        </w:tc>
        <w:tc>
          <w:tcPr>
            <w:tcW w:w="1985" w:type="dxa"/>
            <w:shd w:val="clear" w:color="auto" w:fill="FFFFFF"/>
          </w:tcPr>
          <w:p w14:paraId="5F204F82" w14:textId="77777777" w:rsidR="00405991" w:rsidRPr="00B57B36" w:rsidRDefault="00405991" w:rsidP="002E4CC3">
            <w:pPr>
              <w:pStyle w:val="CETBodytext"/>
              <w:rPr>
                <w:lang w:val="en-GB"/>
              </w:rPr>
            </w:pPr>
            <w:r w:rsidRPr="00630393">
              <w:t>4.19876627</w:t>
            </w:r>
          </w:p>
        </w:tc>
        <w:tc>
          <w:tcPr>
            <w:tcW w:w="1559" w:type="dxa"/>
            <w:shd w:val="clear" w:color="auto" w:fill="FFFFFF"/>
          </w:tcPr>
          <w:p w14:paraId="759706F0" w14:textId="77777777" w:rsidR="00405991" w:rsidRPr="00B57B36" w:rsidRDefault="00405991" w:rsidP="002E4CC3">
            <w:pPr>
              <w:pStyle w:val="CETBodytext"/>
              <w:rPr>
                <w:lang w:val="en-GB"/>
              </w:rPr>
            </w:pPr>
            <w:r w:rsidRPr="00630393">
              <w:t>0.079</w:t>
            </w:r>
          </w:p>
        </w:tc>
        <w:tc>
          <w:tcPr>
            <w:tcW w:w="1984" w:type="dxa"/>
            <w:shd w:val="clear" w:color="auto" w:fill="FFFFFF"/>
          </w:tcPr>
          <w:p w14:paraId="3DF227CA" w14:textId="77777777" w:rsidR="00405991" w:rsidRPr="009E1541" w:rsidRDefault="00405991" w:rsidP="002E4CC3">
            <w:pPr>
              <w:pStyle w:val="CETBodytext"/>
              <w:ind w:right="-1"/>
              <w:rPr>
                <w:lang w:val="en-GB"/>
              </w:rPr>
            </w:pPr>
            <w:r w:rsidRPr="00630393">
              <w:t>5.9</w:t>
            </w:r>
          </w:p>
        </w:tc>
        <w:tc>
          <w:tcPr>
            <w:tcW w:w="2127" w:type="dxa"/>
            <w:shd w:val="clear" w:color="auto" w:fill="FFFFFF"/>
          </w:tcPr>
          <w:p w14:paraId="0DED3AF1" w14:textId="77777777" w:rsidR="00405991" w:rsidRPr="009E1541" w:rsidRDefault="00405991" w:rsidP="002E4CC3">
            <w:pPr>
              <w:pStyle w:val="CETBodytext"/>
              <w:ind w:right="-1"/>
              <w:rPr>
                <w:lang w:val="en-GB"/>
              </w:rPr>
            </w:pPr>
            <w:r w:rsidRPr="00630393">
              <w:t>197</w:t>
            </w:r>
          </w:p>
        </w:tc>
      </w:tr>
      <w:tr w:rsidR="00405991" w:rsidRPr="00B57B36" w14:paraId="2556CE83" w14:textId="77777777" w:rsidTr="00F05D4E">
        <w:tc>
          <w:tcPr>
            <w:tcW w:w="1276" w:type="dxa"/>
            <w:shd w:val="clear" w:color="auto" w:fill="FFFFFF"/>
          </w:tcPr>
          <w:p w14:paraId="125A86F0" w14:textId="77777777" w:rsidR="00405991" w:rsidRPr="00B57B36" w:rsidRDefault="00405991" w:rsidP="002E4CC3">
            <w:pPr>
              <w:pStyle w:val="CETBodytext"/>
              <w:rPr>
                <w:lang w:val="en-GB"/>
              </w:rPr>
            </w:pPr>
            <w:r>
              <w:rPr>
                <w:lang w:val="en-GB"/>
              </w:rPr>
              <w:t>FW</w:t>
            </w:r>
          </w:p>
        </w:tc>
        <w:tc>
          <w:tcPr>
            <w:tcW w:w="1985" w:type="dxa"/>
            <w:shd w:val="clear" w:color="auto" w:fill="FFFFFF"/>
          </w:tcPr>
          <w:p w14:paraId="35F74D5A" w14:textId="77777777" w:rsidR="00405991" w:rsidRPr="00B57B36" w:rsidRDefault="00405991" w:rsidP="002E4CC3">
            <w:pPr>
              <w:pStyle w:val="CETBodytext"/>
              <w:rPr>
                <w:lang w:val="en-GB"/>
              </w:rPr>
            </w:pPr>
            <w:r w:rsidRPr="00630393">
              <w:t>5.718462555</w:t>
            </w:r>
          </w:p>
        </w:tc>
        <w:tc>
          <w:tcPr>
            <w:tcW w:w="1559" w:type="dxa"/>
            <w:shd w:val="clear" w:color="auto" w:fill="FFFFFF"/>
          </w:tcPr>
          <w:p w14:paraId="6B5F36F5" w14:textId="77777777" w:rsidR="00405991" w:rsidRPr="00B57B36" w:rsidRDefault="00405991" w:rsidP="002E4CC3">
            <w:pPr>
              <w:pStyle w:val="CETBodytext"/>
              <w:rPr>
                <w:lang w:val="en-GB"/>
              </w:rPr>
            </w:pPr>
            <w:r w:rsidRPr="00630393">
              <w:t>0.090</w:t>
            </w:r>
          </w:p>
        </w:tc>
        <w:tc>
          <w:tcPr>
            <w:tcW w:w="1984" w:type="dxa"/>
            <w:shd w:val="clear" w:color="auto" w:fill="FFFFFF"/>
          </w:tcPr>
          <w:p w14:paraId="3ECC36DC" w14:textId="77777777" w:rsidR="00405991" w:rsidRPr="009E1541" w:rsidRDefault="00405991" w:rsidP="002E4CC3">
            <w:pPr>
              <w:pStyle w:val="CETBodytext"/>
              <w:ind w:right="-1"/>
              <w:rPr>
                <w:lang w:val="en-GB"/>
              </w:rPr>
            </w:pPr>
            <w:r w:rsidRPr="00630393">
              <w:t>8.2</w:t>
            </w:r>
          </w:p>
        </w:tc>
        <w:tc>
          <w:tcPr>
            <w:tcW w:w="2127" w:type="dxa"/>
            <w:shd w:val="clear" w:color="auto" w:fill="FFFFFF"/>
          </w:tcPr>
          <w:p w14:paraId="3B617874" w14:textId="77777777" w:rsidR="00405991" w:rsidRPr="009E1541" w:rsidRDefault="00405991" w:rsidP="002E4CC3">
            <w:pPr>
              <w:pStyle w:val="CETBodytext"/>
              <w:ind w:right="-1"/>
              <w:rPr>
                <w:lang w:val="en-GB"/>
              </w:rPr>
            </w:pPr>
            <w:r w:rsidRPr="00630393">
              <w:t>144</w:t>
            </w:r>
          </w:p>
        </w:tc>
      </w:tr>
      <w:tr w:rsidR="00405991" w:rsidRPr="00B57B36" w14:paraId="6A0BA039" w14:textId="77777777" w:rsidTr="00F05D4E">
        <w:tc>
          <w:tcPr>
            <w:tcW w:w="1276" w:type="dxa"/>
            <w:shd w:val="clear" w:color="auto" w:fill="FFFFFF"/>
          </w:tcPr>
          <w:p w14:paraId="0E3D3F4D" w14:textId="77777777" w:rsidR="00405991" w:rsidRPr="009E1541" w:rsidRDefault="00405991" w:rsidP="002E4CC3">
            <w:pPr>
              <w:pStyle w:val="CETBodytext"/>
              <w:ind w:right="-1"/>
              <w:rPr>
                <w:lang w:val="en-GB"/>
              </w:rPr>
            </w:pPr>
            <w:r w:rsidRPr="009E1541">
              <w:rPr>
                <w:lang w:val="en-GB"/>
              </w:rPr>
              <w:t>OF-MSW</w:t>
            </w:r>
          </w:p>
        </w:tc>
        <w:tc>
          <w:tcPr>
            <w:tcW w:w="1985" w:type="dxa"/>
            <w:shd w:val="clear" w:color="auto" w:fill="FFFFFF"/>
          </w:tcPr>
          <w:p w14:paraId="5EB219EE" w14:textId="77777777" w:rsidR="00405991" w:rsidRPr="009E1541" w:rsidRDefault="00405991" w:rsidP="002E4CC3">
            <w:pPr>
              <w:pStyle w:val="CETBodytext"/>
              <w:ind w:right="-1"/>
              <w:rPr>
                <w:lang w:val="en-GB"/>
              </w:rPr>
            </w:pPr>
            <w:r w:rsidRPr="00630393">
              <w:t>3.554229298</w:t>
            </w:r>
          </w:p>
        </w:tc>
        <w:tc>
          <w:tcPr>
            <w:tcW w:w="1559" w:type="dxa"/>
            <w:shd w:val="clear" w:color="auto" w:fill="FFFFFF"/>
          </w:tcPr>
          <w:p w14:paraId="719998B3" w14:textId="77777777" w:rsidR="00405991" w:rsidRPr="009E1541" w:rsidRDefault="00405991" w:rsidP="002E4CC3">
            <w:pPr>
              <w:pStyle w:val="CETBodytext"/>
              <w:ind w:right="-1"/>
              <w:rPr>
                <w:lang w:val="en-GB"/>
              </w:rPr>
            </w:pPr>
            <w:r w:rsidRPr="00630393">
              <w:t>0.053</w:t>
            </w:r>
          </w:p>
        </w:tc>
        <w:tc>
          <w:tcPr>
            <w:tcW w:w="1984" w:type="dxa"/>
            <w:shd w:val="clear" w:color="auto" w:fill="FFFFFF"/>
          </w:tcPr>
          <w:p w14:paraId="2C83F1AE" w14:textId="77777777" w:rsidR="00405991" w:rsidRPr="009E1541" w:rsidRDefault="00405991" w:rsidP="002E4CC3">
            <w:pPr>
              <w:pStyle w:val="CETBodytext"/>
              <w:ind w:right="-1"/>
              <w:rPr>
                <w:lang w:val="en-GB"/>
              </w:rPr>
            </w:pPr>
            <w:r w:rsidRPr="00630393">
              <w:t>4.7</w:t>
            </w:r>
          </w:p>
        </w:tc>
        <w:tc>
          <w:tcPr>
            <w:tcW w:w="2127" w:type="dxa"/>
            <w:shd w:val="clear" w:color="auto" w:fill="FFFFFF"/>
          </w:tcPr>
          <w:p w14:paraId="5CDB745B" w14:textId="77777777" w:rsidR="00405991" w:rsidRPr="009E1541" w:rsidRDefault="00405991" w:rsidP="002E4CC3">
            <w:pPr>
              <w:pStyle w:val="CETBodytext"/>
              <w:ind w:right="-1"/>
              <w:rPr>
                <w:lang w:val="en-GB"/>
              </w:rPr>
            </w:pPr>
            <w:r w:rsidRPr="00630393">
              <w:t>234</w:t>
            </w:r>
          </w:p>
        </w:tc>
      </w:tr>
    </w:tbl>
    <w:p w14:paraId="5B0E8A64" w14:textId="77777777" w:rsidR="00405991" w:rsidRDefault="00405991" w:rsidP="00E021FA">
      <w:pPr>
        <w:pStyle w:val="CETheadingx"/>
        <w:rPr>
          <w:i/>
          <w:lang w:val="en-GB"/>
        </w:rPr>
      </w:pPr>
      <w:r w:rsidRPr="00E021FA">
        <w:t xml:space="preserve"> Energy balance for the three-stage integrated H</w:t>
      </w:r>
      <w:r w:rsidRPr="0084248C">
        <w:rPr>
          <w:vertAlign w:val="subscript"/>
        </w:rPr>
        <w:t>2</w:t>
      </w:r>
      <w:r w:rsidRPr="00E021FA">
        <w:t xml:space="preserve"> platform </w:t>
      </w:r>
    </w:p>
    <w:p w14:paraId="57DFF671" w14:textId="77777777" w:rsidR="00405991" w:rsidRDefault="00405991" w:rsidP="00C81E11">
      <w:pPr>
        <w:pStyle w:val="CETBodytext"/>
        <w:rPr>
          <w:iCs/>
          <w:lang w:val="en-GB"/>
        </w:rPr>
      </w:pPr>
      <w:r>
        <w:rPr>
          <w:iCs/>
          <w:lang w:val="en-GB"/>
        </w:rPr>
        <w:t xml:space="preserve">Energy balance and energetic cost of </w:t>
      </w:r>
      <w:r w:rsidRPr="00D93F6E">
        <w:rPr>
          <w:iCs/>
          <w:lang w:val="en-GB"/>
        </w:rPr>
        <w:t>H</w:t>
      </w:r>
      <w:r w:rsidRPr="00E00621">
        <w:rPr>
          <w:iCs/>
          <w:vertAlign w:val="subscript"/>
          <w:lang w:val="en-GB"/>
        </w:rPr>
        <w:t>2</w:t>
      </w:r>
      <w:r>
        <w:rPr>
          <w:iCs/>
          <w:lang w:val="en-GB"/>
        </w:rPr>
        <w:t xml:space="preserve"> production estimation was conducted on the three case studies reporting similar results for the CW and FW full scale case studies while the pilot scale DF process working on OF-MSW results in a higher energy efficiency of the process. In terms of specific energy cost all the three case study scenario results in a higher energy cost with the reference cost of an industrial electrolysers, </w:t>
      </w:r>
      <w:proofErr w:type="gramStart"/>
      <w:r>
        <w:rPr>
          <w:iCs/>
          <w:lang w:val="en-GB"/>
        </w:rPr>
        <w:t>i.e.</w:t>
      </w:r>
      <w:proofErr w:type="gramEnd"/>
      <w:r>
        <w:rPr>
          <w:iCs/>
          <w:lang w:val="en-GB"/>
        </w:rPr>
        <w:t xml:space="preserve"> 4.5 </w:t>
      </w:r>
      <w:r w:rsidRPr="00D93F6E">
        <w:rPr>
          <w:iCs/>
          <w:lang w:val="en-GB"/>
        </w:rPr>
        <w:t>kWh/m</w:t>
      </w:r>
      <w:r w:rsidRPr="00E00621">
        <w:rPr>
          <w:iCs/>
          <w:vertAlign w:val="superscript"/>
          <w:lang w:val="en-GB"/>
        </w:rPr>
        <w:t>3</w:t>
      </w:r>
      <w:r w:rsidRPr="00D93F6E">
        <w:rPr>
          <w:iCs/>
          <w:lang w:val="en-GB"/>
        </w:rPr>
        <w:t>H</w:t>
      </w:r>
      <w:r w:rsidRPr="00E00621">
        <w:rPr>
          <w:iCs/>
          <w:vertAlign w:val="subscript"/>
          <w:lang w:val="en-GB"/>
        </w:rPr>
        <w:t>2</w:t>
      </w:r>
      <w:r>
        <w:rPr>
          <w:iCs/>
          <w:vertAlign w:val="subscript"/>
          <w:lang w:val="en-GB"/>
        </w:rPr>
        <w:t xml:space="preserve"> </w:t>
      </w:r>
      <w:r>
        <w:rPr>
          <w:iCs/>
          <w:noProof/>
          <w:lang w:val="en-GB"/>
        </w:rPr>
        <w:t>(Kojima et al., 2023)</w:t>
      </w:r>
      <w:r>
        <w:rPr>
          <w:iCs/>
          <w:lang w:val="en-GB"/>
        </w:rPr>
        <w:t>. This higher energy cost is mainly caused by the double energy cost considered for the MEC technology in the energy balance. This energetic cost however must be considered as an energy cost that also allowed for water treatment and most importantly to CO</w:t>
      </w:r>
      <w:r w:rsidRPr="00E00621">
        <w:rPr>
          <w:iCs/>
          <w:vertAlign w:val="subscript"/>
          <w:lang w:val="en-GB"/>
        </w:rPr>
        <w:t>2</w:t>
      </w:r>
      <w:r>
        <w:rPr>
          <w:iCs/>
          <w:lang w:val="en-GB"/>
        </w:rPr>
        <w:t xml:space="preserve"> sequestration, indeed, being the energetic cost of CO</w:t>
      </w:r>
      <w:r w:rsidRPr="00E00621">
        <w:rPr>
          <w:iCs/>
          <w:vertAlign w:val="subscript"/>
          <w:lang w:val="en-GB"/>
        </w:rPr>
        <w:t>2</w:t>
      </w:r>
      <w:r>
        <w:rPr>
          <w:iCs/>
          <w:lang w:val="en-GB"/>
        </w:rPr>
        <w:t xml:space="preserve"> sequestration 0.016 kWh/m</w:t>
      </w:r>
      <w:r w:rsidRPr="00E00621">
        <w:rPr>
          <w:iCs/>
          <w:vertAlign w:val="superscript"/>
          <w:lang w:val="en-GB"/>
        </w:rPr>
        <w:t>3</w:t>
      </w:r>
      <w:r>
        <w:rPr>
          <w:iCs/>
          <w:lang w:val="en-GB"/>
        </w:rPr>
        <w:t>CO</w:t>
      </w:r>
      <w:r w:rsidRPr="00E00621">
        <w:rPr>
          <w:iCs/>
          <w:vertAlign w:val="subscript"/>
          <w:lang w:val="en-GB"/>
        </w:rPr>
        <w:t>2</w:t>
      </w:r>
      <w:r>
        <w:rPr>
          <w:iCs/>
          <w:lang w:val="en-GB"/>
        </w:rPr>
        <w:t>, using 7.5 kWh/d of energy correspond to the daily production of 1 m</w:t>
      </w:r>
      <w:r w:rsidRPr="00E00621">
        <w:rPr>
          <w:iCs/>
          <w:vertAlign w:val="superscript"/>
          <w:lang w:val="en-GB"/>
        </w:rPr>
        <w:t>3</w:t>
      </w:r>
      <w:r>
        <w:rPr>
          <w:iCs/>
          <w:lang w:val="en-GB"/>
        </w:rPr>
        <w:t xml:space="preserve"> </w:t>
      </w:r>
      <w:r w:rsidRPr="00D93F6E">
        <w:rPr>
          <w:iCs/>
          <w:lang w:val="en-GB"/>
        </w:rPr>
        <w:t>H</w:t>
      </w:r>
      <w:r w:rsidRPr="00E00621">
        <w:rPr>
          <w:iCs/>
          <w:vertAlign w:val="subscript"/>
          <w:lang w:val="en-GB"/>
        </w:rPr>
        <w:t>2</w:t>
      </w:r>
      <w:r>
        <w:rPr>
          <w:iCs/>
          <w:lang w:val="en-GB"/>
        </w:rPr>
        <w:t xml:space="preserve"> and to the removal of 468 m</w:t>
      </w:r>
      <w:r w:rsidRPr="00E00621">
        <w:rPr>
          <w:iCs/>
          <w:vertAlign w:val="superscript"/>
          <w:lang w:val="en-GB"/>
        </w:rPr>
        <w:t xml:space="preserve">3 </w:t>
      </w:r>
      <w:r>
        <w:rPr>
          <w:iCs/>
          <w:lang w:val="en-GB"/>
        </w:rPr>
        <w:t>of CO</w:t>
      </w:r>
      <w:r w:rsidRPr="00E00621">
        <w:rPr>
          <w:iCs/>
          <w:vertAlign w:val="subscript"/>
          <w:lang w:val="en-GB"/>
        </w:rPr>
        <w:t>2</w:t>
      </w:r>
      <w:r>
        <w:rPr>
          <w:iCs/>
          <w:lang w:val="en-GB"/>
        </w:rPr>
        <w:t xml:space="preserve"> (or 1.17 kgHCO</w:t>
      </w:r>
      <w:r w:rsidRPr="00E00621">
        <w:rPr>
          <w:iCs/>
          <w:vertAlign w:val="subscript"/>
          <w:lang w:val="en-GB"/>
        </w:rPr>
        <w:t>3</w:t>
      </w:r>
      <w:r w:rsidRPr="00E00621">
        <w:rPr>
          <w:iCs/>
          <w:vertAlign w:val="superscript"/>
          <w:lang w:val="en-GB"/>
        </w:rPr>
        <w:t>-</w:t>
      </w:r>
      <w:r>
        <w:rPr>
          <w:iCs/>
          <w:lang w:val="en-GB"/>
        </w:rPr>
        <w:t xml:space="preserve">/d). </w:t>
      </w:r>
    </w:p>
    <w:p w14:paraId="45FE3E44" w14:textId="77777777" w:rsidR="00405991" w:rsidRDefault="00405991" w:rsidP="00C81E11">
      <w:pPr>
        <w:pStyle w:val="CETBodytext"/>
        <w:rPr>
          <w:i/>
          <w:lang w:val="en-GB"/>
        </w:rPr>
      </w:pPr>
    </w:p>
    <w:p w14:paraId="45A7A226" w14:textId="77777777" w:rsidR="00405991" w:rsidRDefault="00405991" w:rsidP="00C81E11">
      <w:pPr>
        <w:pStyle w:val="CETBodytext"/>
        <w:rPr>
          <w:i/>
          <w:lang w:val="en-GB"/>
        </w:rPr>
      </w:pPr>
      <w:r w:rsidRPr="00B57B36">
        <w:t xml:space="preserve">Table </w:t>
      </w:r>
      <w:r>
        <w:t>5</w:t>
      </w:r>
      <w:r w:rsidRPr="00B57B36">
        <w:t xml:space="preserve">: </w:t>
      </w:r>
      <w:r>
        <w:t xml:space="preserve">Energy balance estimation of the overall process based on case studies input </w:t>
      </w:r>
    </w:p>
    <w:tbl>
      <w:tblPr>
        <w:tblW w:w="8931"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034"/>
        <w:gridCol w:w="1801"/>
        <w:gridCol w:w="2977"/>
        <w:gridCol w:w="3119"/>
      </w:tblGrid>
      <w:tr w:rsidR="00405991" w:rsidRPr="009E1541" w14:paraId="66FC44B3" w14:textId="77777777" w:rsidTr="00AA32A4">
        <w:tc>
          <w:tcPr>
            <w:tcW w:w="1034" w:type="dxa"/>
            <w:tcBorders>
              <w:top w:val="single" w:sz="12" w:space="0" w:color="008000"/>
              <w:bottom w:val="single" w:sz="6" w:space="0" w:color="008000"/>
            </w:tcBorders>
            <w:shd w:val="clear" w:color="auto" w:fill="FFFFFF"/>
          </w:tcPr>
          <w:p w14:paraId="4B0477C7" w14:textId="77777777" w:rsidR="00405991" w:rsidRPr="00B57B36" w:rsidRDefault="00405991" w:rsidP="00A01A2C">
            <w:pPr>
              <w:pStyle w:val="CETBodytext"/>
              <w:rPr>
                <w:lang w:val="en-GB"/>
              </w:rPr>
            </w:pPr>
            <w:r>
              <w:rPr>
                <w:lang w:val="en-GB"/>
              </w:rPr>
              <w:t>Case study</w:t>
            </w:r>
          </w:p>
        </w:tc>
        <w:tc>
          <w:tcPr>
            <w:tcW w:w="1801" w:type="dxa"/>
            <w:tcBorders>
              <w:top w:val="single" w:sz="12" w:space="0" w:color="008000"/>
              <w:bottom w:val="single" w:sz="6" w:space="0" w:color="008000"/>
            </w:tcBorders>
            <w:shd w:val="clear" w:color="auto" w:fill="FFFFFF"/>
          </w:tcPr>
          <w:p w14:paraId="0573DD52" w14:textId="77777777" w:rsidR="00405991" w:rsidRPr="00B57B36" w:rsidRDefault="00405991" w:rsidP="00A01A2C">
            <w:pPr>
              <w:pStyle w:val="CETBodytext"/>
              <w:rPr>
                <w:lang w:val="en-GB"/>
              </w:rPr>
            </w:pPr>
            <w:r w:rsidRPr="00774EF9">
              <w:t>Energy balance (%)</w:t>
            </w:r>
          </w:p>
        </w:tc>
        <w:tc>
          <w:tcPr>
            <w:tcW w:w="2977" w:type="dxa"/>
            <w:tcBorders>
              <w:top w:val="single" w:sz="12" w:space="0" w:color="008000"/>
              <w:bottom w:val="single" w:sz="6" w:space="0" w:color="008000"/>
            </w:tcBorders>
            <w:shd w:val="clear" w:color="auto" w:fill="FFFFFF"/>
          </w:tcPr>
          <w:p w14:paraId="48FE45F7" w14:textId="77777777" w:rsidR="00405991" w:rsidRPr="00B57B36" w:rsidRDefault="00405991" w:rsidP="00A01A2C">
            <w:pPr>
              <w:pStyle w:val="CETBodytext"/>
              <w:rPr>
                <w:lang w:val="en-GB"/>
              </w:rPr>
            </w:pPr>
            <w:r>
              <w:t>H</w:t>
            </w:r>
            <w:r w:rsidRPr="00AA32A4">
              <w:rPr>
                <w:vertAlign w:val="subscript"/>
              </w:rPr>
              <w:t>2</w:t>
            </w:r>
            <w:r>
              <w:t xml:space="preserve"> production</w:t>
            </w:r>
            <w:r w:rsidRPr="00774EF9">
              <w:t xml:space="preserve"> co</w:t>
            </w:r>
            <w:r>
              <w:t>st</w:t>
            </w:r>
            <w:r w:rsidRPr="00774EF9">
              <w:t xml:space="preserve"> (kWh/m</w:t>
            </w:r>
            <w:r w:rsidRPr="00F05D4E">
              <w:rPr>
                <w:vertAlign w:val="superscript"/>
              </w:rPr>
              <w:t>3</w:t>
            </w:r>
            <w:r w:rsidRPr="00774EF9">
              <w:t>H</w:t>
            </w:r>
            <w:r w:rsidRPr="00F05D4E">
              <w:rPr>
                <w:vertAlign w:val="subscript"/>
              </w:rPr>
              <w:t>2</w:t>
            </w:r>
            <w:r w:rsidRPr="00774EF9">
              <w:t>)</w:t>
            </w:r>
          </w:p>
        </w:tc>
        <w:tc>
          <w:tcPr>
            <w:tcW w:w="3119" w:type="dxa"/>
            <w:tcBorders>
              <w:top w:val="single" w:sz="12" w:space="0" w:color="008000"/>
              <w:bottom w:val="single" w:sz="6" w:space="0" w:color="008000"/>
            </w:tcBorders>
            <w:shd w:val="clear" w:color="auto" w:fill="FFFFFF"/>
          </w:tcPr>
          <w:p w14:paraId="5DCEF0E4" w14:textId="77777777" w:rsidR="00405991" w:rsidRPr="00774EF9" w:rsidRDefault="00405991" w:rsidP="00A01A2C">
            <w:pPr>
              <w:pStyle w:val="CETBodytext"/>
            </w:pPr>
            <w:r>
              <w:t>CO</w:t>
            </w:r>
            <w:r w:rsidRPr="00AA32A4">
              <w:rPr>
                <w:vertAlign w:val="subscript"/>
              </w:rPr>
              <w:t>2</w:t>
            </w:r>
            <w:r>
              <w:t xml:space="preserve"> sequestration cost </w:t>
            </w:r>
            <w:r w:rsidRPr="00774EF9">
              <w:t>(kWh/m</w:t>
            </w:r>
            <w:r w:rsidRPr="00F05D4E">
              <w:rPr>
                <w:vertAlign w:val="superscript"/>
              </w:rPr>
              <w:t>3</w:t>
            </w:r>
            <w:r>
              <w:t>CO</w:t>
            </w:r>
            <w:r w:rsidRPr="00F05D4E">
              <w:rPr>
                <w:vertAlign w:val="subscript"/>
              </w:rPr>
              <w:t>2</w:t>
            </w:r>
            <w:r w:rsidRPr="00774EF9">
              <w:t>)</w:t>
            </w:r>
          </w:p>
        </w:tc>
      </w:tr>
      <w:tr w:rsidR="00405991" w:rsidRPr="00B57B36" w14:paraId="1682A32F" w14:textId="77777777" w:rsidTr="00AA32A4">
        <w:tc>
          <w:tcPr>
            <w:tcW w:w="1034" w:type="dxa"/>
            <w:shd w:val="clear" w:color="auto" w:fill="FFFFFF"/>
          </w:tcPr>
          <w:p w14:paraId="76E47A1D" w14:textId="77777777" w:rsidR="00405991" w:rsidRPr="00B57B36" w:rsidRDefault="00405991" w:rsidP="00CF652D">
            <w:pPr>
              <w:pStyle w:val="CETBodytext"/>
              <w:rPr>
                <w:lang w:val="en-GB"/>
              </w:rPr>
            </w:pPr>
            <w:r>
              <w:rPr>
                <w:lang w:val="en-GB"/>
              </w:rPr>
              <w:t>CW</w:t>
            </w:r>
          </w:p>
        </w:tc>
        <w:tc>
          <w:tcPr>
            <w:tcW w:w="1801" w:type="dxa"/>
            <w:shd w:val="clear" w:color="auto" w:fill="FFFFFF"/>
          </w:tcPr>
          <w:p w14:paraId="362DAABD" w14:textId="77777777" w:rsidR="00405991" w:rsidRPr="00B57B36" w:rsidRDefault="00405991" w:rsidP="00CF652D">
            <w:pPr>
              <w:pStyle w:val="CETBodytext"/>
              <w:rPr>
                <w:lang w:val="en-GB"/>
              </w:rPr>
            </w:pPr>
            <w:r w:rsidRPr="00774EF9">
              <w:t>3</w:t>
            </w:r>
            <w:r>
              <w:t>5</w:t>
            </w:r>
          </w:p>
        </w:tc>
        <w:tc>
          <w:tcPr>
            <w:tcW w:w="2977" w:type="dxa"/>
            <w:shd w:val="clear" w:color="auto" w:fill="FFFFFF"/>
          </w:tcPr>
          <w:p w14:paraId="10FBE669" w14:textId="77777777" w:rsidR="00405991" w:rsidRPr="00B57B36" w:rsidRDefault="00405991" w:rsidP="00CF652D">
            <w:pPr>
              <w:pStyle w:val="CETBodytext"/>
              <w:rPr>
                <w:lang w:val="en-GB"/>
              </w:rPr>
            </w:pPr>
            <w:r w:rsidRPr="00774EF9">
              <w:t>7.7</w:t>
            </w:r>
            <w:r>
              <w:t>9</w:t>
            </w:r>
          </w:p>
        </w:tc>
        <w:tc>
          <w:tcPr>
            <w:tcW w:w="3119" w:type="dxa"/>
            <w:shd w:val="clear" w:color="auto" w:fill="FFFFFF"/>
          </w:tcPr>
          <w:p w14:paraId="2AC30424" w14:textId="77777777" w:rsidR="00405991" w:rsidRPr="00774EF9" w:rsidRDefault="00405991" w:rsidP="00CF652D">
            <w:pPr>
              <w:pStyle w:val="CETBodytext"/>
            </w:pPr>
            <w:r w:rsidRPr="00C40FC3">
              <w:t>0.01</w:t>
            </w:r>
            <w:r>
              <w:t>6</w:t>
            </w:r>
          </w:p>
        </w:tc>
      </w:tr>
      <w:tr w:rsidR="00405991" w:rsidRPr="00B57B36" w14:paraId="12974A37" w14:textId="77777777" w:rsidTr="00AA32A4">
        <w:tc>
          <w:tcPr>
            <w:tcW w:w="1034" w:type="dxa"/>
            <w:shd w:val="clear" w:color="auto" w:fill="FFFFFF"/>
          </w:tcPr>
          <w:p w14:paraId="2CBB0E34" w14:textId="77777777" w:rsidR="00405991" w:rsidRPr="00B57B36" w:rsidRDefault="00405991" w:rsidP="00CF652D">
            <w:pPr>
              <w:pStyle w:val="CETBodytext"/>
              <w:rPr>
                <w:lang w:val="en-GB"/>
              </w:rPr>
            </w:pPr>
            <w:r>
              <w:rPr>
                <w:lang w:val="en-GB"/>
              </w:rPr>
              <w:t>FW</w:t>
            </w:r>
          </w:p>
        </w:tc>
        <w:tc>
          <w:tcPr>
            <w:tcW w:w="1801" w:type="dxa"/>
            <w:shd w:val="clear" w:color="auto" w:fill="FFFFFF"/>
          </w:tcPr>
          <w:p w14:paraId="1F1CA959" w14:textId="77777777" w:rsidR="00405991" w:rsidRPr="00B57B36" w:rsidRDefault="00405991" w:rsidP="00CF652D">
            <w:pPr>
              <w:pStyle w:val="CETBodytext"/>
              <w:rPr>
                <w:lang w:val="en-GB"/>
              </w:rPr>
            </w:pPr>
            <w:r>
              <w:t>35</w:t>
            </w:r>
          </w:p>
        </w:tc>
        <w:tc>
          <w:tcPr>
            <w:tcW w:w="2977" w:type="dxa"/>
            <w:shd w:val="clear" w:color="auto" w:fill="FFFFFF"/>
          </w:tcPr>
          <w:p w14:paraId="2999879C" w14:textId="77777777" w:rsidR="00405991" w:rsidRPr="00B57B36" w:rsidRDefault="00405991" w:rsidP="00CF652D">
            <w:pPr>
              <w:pStyle w:val="CETBodytext"/>
              <w:rPr>
                <w:lang w:val="en-GB"/>
              </w:rPr>
            </w:pPr>
            <w:r w:rsidRPr="00774EF9">
              <w:t>7.7</w:t>
            </w:r>
            <w:r>
              <w:t>9</w:t>
            </w:r>
          </w:p>
        </w:tc>
        <w:tc>
          <w:tcPr>
            <w:tcW w:w="3119" w:type="dxa"/>
            <w:shd w:val="clear" w:color="auto" w:fill="FFFFFF"/>
          </w:tcPr>
          <w:p w14:paraId="01F44211" w14:textId="77777777" w:rsidR="00405991" w:rsidRPr="00774EF9" w:rsidRDefault="00405991" w:rsidP="00CF652D">
            <w:pPr>
              <w:pStyle w:val="CETBodytext"/>
            </w:pPr>
            <w:r w:rsidRPr="00C40FC3">
              <w:t>0.012</w:t>
            </w:r>
          </w:p>
        </w:tc>
      </w:tr>
      <w:tr w:rsidR="00405991" w:rsidRPr="00B57B36" w14:paraId="2D00E92F" w14:textId="77777777" w:rsidTr="00AA32A4">
        <w:tc>
          <w:tcPr>
            <w:tcW w:w="1034" w:type="dxa"/>
            <w:shd w:val="clear" w:color="auto" w:fill="FFFFFF"/>
          </w:tcPr>
          <w:p w14:paraId="5106D0C3" w14:textId="77777777" w:rsidR="00405991" w:rsidRPr="009E1541" w:rsidRDefault="00405991" w:rsidP="00CF652D">
            <w:pPr>
              <w:pStyle w:val="CETBodytext"/>
              <w:ind w:right="-1"/>
              <w:rPr>
                <w:lang w:val="en-GB"/>
              </w:rPr>
            </w:pPr>
            <w:r w:rsidRPr="009E1541">
              <w:rPr>
                <w:lang w:val="en-GB"/>
              </w:rPr>
              <w:t>OF-MSW</w:t>
            </w:r>
          </w:p>
        </w:tc>
        <w:tc>
          <w:tcPr>
            <w:tcW w:w="1801" w:type="dxa"/>
            <w:shd w:val="clear" w:color="auto" w:fill="FFFFFF"/>
          </w:tcPr>
          <w:p w14:paraId="0D839CD6" w14:textId="77777777" w:rsidR="00405991" w:rsidRPr="009E1541" w:rsidRDefault="00405991" w:rsidP="00CF652D">
            <w:pPr>
              <w:pStyle w:val="CETBodytext"/>
              <w:ind w:right="-1"/>
              <w:rPr>
                <w:lang w:val="en-GB"/>
              </w:rPr>
            </w:pPr>
            <w:r w:rsidRPr="00774EF9">
              <w:t>57</w:t>
            </w:r>
          </w:p>
        </w:tc>
        <w:tc>
          <w:tcPr>
            <w:tcW w:w="2977" w:type="dxa"/>
            <w:shd w:val="clear" w:color="auto" w:fill="FFFFFF"/>
          </w:tcPr>
          <w:p w14:paraId="0D2488F9" w14:textId="77777777" w:rsidR="00405991" w:rsidRPr="009E1541" w:rsidRDefault="00405991" w:rsidP="00CF652D">
            <w:pPr>
              <w:pStyle w:val="CETBodytext"/>
              <w:ind w:right="-1"/>
              <w:rPr>
                <w:lang w:val="en-GB"/>
              </w:rPr>
            </w:pPr>
            <w:r w:rsidRPr="00774EF9">
              <w:t>7.45</w:t>
            </w:r>
          </w:p>
        </w:tc>
        <w:tc>
          <w:tcPr>
            <w:tcW w:w="3119" w:type="dxa"/>
            <w:shd w:val="clear" w:color="auto" w:fill="FFFFFF"/>
          </w:tcPr>
          <w:p w14:paraId="4DA77A05" w14:textId="77777777" w:rsidR="00405991" w:rsidRPr="00774EF9" w:rsidRDefault="00405991" w:rsidP="00CF652D">
            <w:pPr>
              <w:pStyle w:val="CETBodytext"/>
              <w:ind w:right="-1"/>
            </w:pPr>
            <w:r w:rsidRPr="00C40FC3">
              <w:t>0.014</w:t>
            </w:r>
          </w:p>
        </w:tc>
      </w:tr>
    </w:tbl>
    <w:p w14:paraId="16FE81F9" w14:textId="3AC02BF3" w:rsidR="00405991" w:rsidRDefault="00405991" w:rsidP="00C81E11">
      <w:pPr>
        <w:pStyle w:val="CETBodytext"/>
        <w:rPr>
          <w:i/>
          <w:lang w:val="en-GB"/>
        </w:rPr>
      </w:pPr>
      <w:r>
        <w:rPr>
          <w:i/>
          <w:lang w:val="en-GB"/>
        </w:rPr>
        <w:t>*</w:t>
      </w:r>
      <w:bookmarkStart w:id="1" w:name="_Hlk241333284"/>
      <w:proofErr w:type="gramStart"/>
      <w:r>
        <w:rPr>
          <w:i/>
          <w:lang w:val="en-GB"/>
        </w:rPr>
        <w:t>evaluated</w:t>
      </w:r>
      <w:proofErr w:type="gramEnd"/>
      <w:r>
        <w:rPr>
          <w:i/>
          <w:lang w:val="en-GB"/>
        </w:rPr>
        <w:t xml:space="preserve"> considering 9 kWh/m</w:t>
      </w:r>
      <w:r w:rsidRPr="00F05D4E">
        <w:rPr>
          <w:i/>
          <w:vertAlign w:val="superscript"/>
          <w:lang w:val="en-GB"/>
        </w:rPr>
        <w:t>3</w:t>
      </w:r>
      <w:r>
        <w:rPr>
          <w:i/>
          <w:lang w:val="en-GB"/>
        </w:rPr>
        <w:t>H</w:t>
      </w:r>
      <w:r w:rsidRPr="00F05D4E">
        <w:rPr>
          <w:i/>
          <w:vertAlign w:val="subscript"/>
          <w:lang w:val="en-GB"/>
        </w:rPr>
        <w:t>2</w:t>
      </w:r>
      <w:r>
        <w:rPr>
          <w:i/>
          <w:lang w:val="en-GB"/>
        </w:rPr>
        <w:t xml:space="preserve"> for MEC process and 4.5 kWh/m</w:t>
      </w:r>
      <w:r w:rsidRPr="00F05D4E">
        <w:rPr>
          <w:i/>
          <w:vertAlign w:val="superscript"/>
          <w:lang w:val="en-GB"/>
        </w:rPr>
        <w:t>3</w:t>
      </w:r>
      <w:r>
        <w:rPr>
          <w:i/>
          <w:lang w:val="en-GB"/>
        </w:rPr>
        <w:t>H</w:t>
      </w:r>
      <w:r w:rsidRPr="00F05D4E">
        <w:rPr>
          <w:i/>
          <w:vertAlign w:val="subscript"/>
          <w:lang w:val="en-GB"/>
        </w:rPr>
        <w:t>2</w:t>
      </w:r>
      <w:r>
        <w:rPr>
          <w:i/>
          <w:lang w:val="en-GB"/>
        </w:rPr>
        <w:t xml:space="preserve"> for AEC</w:t>
      </w:r>
    </w:p>
    <w:bookmarkEnd w:id="1"/>
    <w:p w14:paraId="3CCCF564" w14:textId="77777777" w:rsidR="00405991" w:rsidRPr="0085667E" w:rsidRDefault="00405991" w:rsidP="0085667E">
      <w:pPr>
        <w:pStyle w:val="CETheadingx"/>
      </w:pPr>
      <w:r w:rsidRPr="0085667E">
        <w:t xml:space="preserve"> Perspective and potential impacts of the integrated biological and electrochemical approach </w:t>
      </w:r>
    </w:p>
    <w:p w14:paraId="1DEEBF31" w14:textId="77777777" w:rsidR="00405991" w:rsidRDefault="00405991" w:rsidP="00C81E11">
      <w:pPr>
        <w:pStyle w:val="CETBodytext"/>
        <w:rPr>
          <w:i/>
          <w:lang w:val="en-GB"/>
        </w:rPr>
      </w:pPr>
      <w:r>
        <w:t>Despite the preliminary approach proposed in this study, the perspective of integrating DF, MEC and AEC technologies shows a viable approach for biowaste valorization, circular sanitation, and carbon-negative energy vector synthesis. Coupling DF with downstream bioelectrochemical and advanced electrolysis cell addresses thermodynamic bottlenecks, enabling near-complete conversion of residual chemical oxygen demand into high-purity hydrogen (&gt;99%) without relying on intensive freshwater consumption. Future implementation hinges on scaling up electroactive biofilm architectures and optimizing low-cost cathode catalysts to reduce the substantial electrode surface requirements imposed by bioelectrochemical operating current densities. Concurrently, refining responsive real-time sensing loops for advanced electrolysis will be pivotal to dynamically adjust current inputs to fluctuating feedstock qualities, thereby suppressing parasitic side reactions. A central technological opportunity lies in engineering the cathode compartments to fully exploit spontaneous electrochemical alkalinity generation, facilitating on-site mineral carbonation using indigenous divalent cations. Long-term perspectives must also address membrane longevity, fouling control, and continuous solid-liquid separation units to preserve operational reliability during prolonged campaigns. Ultimately, this electrified biorefinery architecture bridges industrial wastewater sanitation with renewable electricity grids, fostering a resilient, distributed hydrogen infrastructure aligned with European decarbonization targets.</w:t>
      </w:r>
    </w:p>
    <w:p w14:paraId="6B2987AD" w14:textId="77777777" w:rsidR="00405991" w:rsidRDefault="00405991" w:rsidP="00600535">
      <w:pPr>
        <w:pStyle w:val="CETHeading1"/>
        <w:rPr>
          <w:lang w:val="en-GB"/>
        </w:rPr>
      </w:pPr>
      <w:r w:rsidRPr="00B57B36">
        <w:rPr>
          <w:lang w:val="en-GB"/>
        </w:rPr>
        <w:lastRenderedPageBreak/>
        <w:t>Conclusions</w:t>
      </w:r>
    </w:p>
    <w:p w14:paraId="3346DFA0" w14:textId="44E1ADD2" w:rsidR="00405991" w:rsidRPr="00600E30" w:rsidRDefault="00405991" w:rsidP="00600E30">
      <w:pPr>
        <w:pStyle w:val="CETBodytext"/>
        <w:rPr>
          <w:lang w:val="en-GB"/>
        </w:rPr>
      </w:pPr>
      <w:r>
        <w:t>This</w:t>
      </w:r>
      <w:r w:rsidR="006C574C">
        <w:t xml:space="preserve"> theoretical</w:t>
      </w:r>
      <w:r>
        <w:t xml:space="preserve"> study </w:t>
      </w:r>
      <w:r w:rsidR="006C574C">
        <w:t xml:space="preserve">shows the potential </w:t>
      </w:r>
      <w:r>
        <w:t>of an electrified</w:t>
      </w:r>
      <w:r w:rsidR="006C574C">
        <w:t xml:space="preserve"> biological</w:t>
      </w:r>
      <w:r>
        <w:t xml:space="preserve"> three-stage platform integrating dark fermentation, microbial electrolysis, and advanced electrolysis for organic waste </w:t>
      </w:r>
      <w:proofErr w:type="spellStart"/>
      <w:r>
        <w:t>valorisation</w:t>
      </w:r>
      <w:proofErr w:type="spellEnd"/>
      <w:r>
        <w:t xml:space="preserve"> and simultaneous </w:t>
      </w:r>
      <w:r w:rsidR="006C574C">
        <w:t xml:space="preserve">effluent treatment and </w:t>
      </w:r>
      <w:r>
        <w:t>biogenic carbon capture. Mass, energy, and electron balance assessments across fruit waste, cheese whey, and the organic fraction of municipal solid waste confirmed substantial hydrogen productivity, peaking at 5.72 m</w:t>
      </w:r>
      <w:r w:rsidRPr="00E00621">
        <w:rPr>
          <w:vertAlign w:val="superscript"/>
        </w:rPr>
        <w:t>3</w:t>
      </w:r>
      <w:r>
        <w:t>H</w:t>
      </w:r>
      <w:r w:rsidRPr="00E00621">
        <w:rPr>
          <w:vertAlign w:val="subscript"/>
        </w:rPr>
        <w:t>2</w:t>
      </w:r>
      <w:r>
        <w:t>/m</w:t>
      </w:r>
      <w:r w:rsidRPr="00E00621">
        <w:rPr>
          <w:vertAlign w:val="superscript"/>
        </w:rPr>
        <w:t>3</w:t>
      </w:r>
      <w:r>
        <w:t>d and a yield of 0.090 kgH</w:t>
      </w:r>
      <w:r w:rsidRPr="00E00621">
        <w:rPr>
          <w:vertAlign w:val="subscript"/>
        </w:rPr>
        <w:t>2</w:t>
      </w:r>
      <w:r>
        <w:t>/</w:t>
      </w:r>
      <w:proofErr w:type="spellStart"/>
      <w:r>
        <w:t>kgCOD</w:t>
      </w:r>
      <w:proofErr w:type="spellEnd"/>
      <w:r>
        <w:t xml:space="preserve"> for fruit waste due to its favorable volatile fatty acid profile. The bioelectrochemical stage demonstrated exceptional capacity for biogenic carbon management, where </w:t>
      </w:r>
      <w:proofErr w:type="spellStart"/>
      <w:r>
        <w:t>cathodically</w:t>
      </w:r>
      <w:proofErr w:type="spellEnd"/>
      <w:r>
        <w:t xml:space="preserve"> generated alkalinity achieved theoretical CO</w:t>
      </w:r>
      <w:r w:rsidRPr="00E00621">
        <w:rPr>
          <w:vertAlign w:val="subscript"/>
        </w:rPr>
        <w:t>2</w:t>
      </w:r>
      <w:r>
        <w:t xml:space="preserve"> sequestration efficiencies exceeding 140% across all evaluated substrates. While the specific electrical consumption of 7.45 to 7.79 kWh/m</w:t>
      </w:r>
      <w:r w:rsidRPr="00E00621">
        <w:rPr>
          <w:vertAlign w:val="superscript"/>
        </w:rPr>
        <w:t>3</w:t>
      </w:r>
      <w:r>
        <w:t>H</w:t>
      </w:r>
      <w:r w:rsidRPr="00E00621">
        <w:rPr>
          <w:vertAlign w:val="subscript"/>
        </w:rPr>
        <w:t>2</w:t>
      </w:r>
      <w:r>
        <w:t xml:space="preserve"> remains higher than conventional water electrolysis due to bioelectrochemical polarization, this expenditure simultaneously drives complete wastewater remediation and carbon abatement at a low dedicated cost of 0.012–0.016 kWh/m</w:t>
      </w:r>
      <w:r w:rsidRPr="00E00621">
        <w:rPr>
          <w:vertAlign w:val="superscript"/>
        </w:rPr>
        <w:t>3</w:t>
      </w:r>
      <w:r>
        <w:t>CO</w:t>
      </w:r>
      <w:r w:rsidRPr="00E00621">
        <w:rPr>
          <w:vertAlign w:val="subscript"/>
        </w:rPr>
        <w:t>2</w:t>
      </w:r>
      <w:r>
        <w:t xml:space="preserve">. Energy efficiencies ranged between 35% for full-scale agrifood waste scenarios and 57% for municipal solid waste. </w:t>
      </w:r>
      <w:r w:rsidR="006C574C">
        <w:t xml:space="preserve">Despite the simplified assumptions presented in this preliminary study, </w:t>
      </w:r>
      <w:r>
        <w:t xml:space="preserve">the </w:t>
      </w:r>
      <w:r w:rsidR="006C574C">
        <w:t>proposed electrified biological process</w:t>
      </w:r>
      <w:r>
        <w:t xml:space="preserve"> successfully resolves the yield limitations of standalone dark fermentation</w:t>
      </w:r>
      <w:r w:rsidR="00A76D28">
        <w:t xml:space="preserve"> </w:t>
      </w:r>
      <w:r>
        <w:t>deliver</w:t>
      </w:r>
      <w:r w:rsidR="00A76D28">
        <w:t>ing</w:t>
      </w:r>
      <w:r>
        <w:t xml:space="preserve"> high-purity hydrogen</w:t>
      </w:r>
      <w:r w:rsidR="00A76D28">
        <w:t xml:space="preserve"> while treating effluent streams</w:t>
      </w:r>
      <w:r>
        <w:t xml:space="preserve">, positioning electrified biotechnologies as a </w:t>
      </w:r>
      <w:r w:rsidR="006C574C">
        <w:t xml:space="preserve">potential </w:t>
      </w:r>
      <w:r>
        <w:t>multi-functional pillar for circular bioeconomy platforms.</w:t>
      </w:r>
    </w:p>
    <w:p w14:paraId="5FA19308" w14:textId="350AE2BF" w:rsidR="00633F5C" w:rsidRDefault="00633F5C" w:rsidP="00600535">
      <w:pPr>
        <w:pStyle w:val="CETReference"/>
      </w:pPr>
      <w:r>
        <w:t xml:space="preserve">Funding </w:t>
      </w:r>
    </w:p>
    <w:p w14:paraId="7DA99ADD" w14:textId="17CEF5B7" w:rsidR="00633F5C" w:rsidRPr="00633F5C" w:rsidRDefault="00633F5C" w:rsidP="00633F5C">
      <w:pPr>
        <w:pStyle w:val="CETReference"/>
        <w:rPr>
          <w:b w:val="0"/>
          <w:lang w:val="en-US"/>
        </w:rPr>
      </w:pPr>
      <w:r w:rsidRPr="00633F5C">
        <w:rPr>
          <w:b w:val="0"/>
          <w:lang w:val="en-US"/>
        </w:rPr>
        <w:t>This work was conducted as part of the HUMANFORHYDRO project (20223W9KPM), funded under the 2022 call of the National Research Program and Projects of National Relevance (PRIN).</w:t>
      </w:r>
    </w:p>
    <w:p w14:paraId="122983A5" w14:textId="54927CE3" w:rsidR="00405991" w:rsidRPr="00B57B36" w:rsidRDefault="00405991" w:rsidP="00600535">
      <w:pPr>
        <w:pStyle w:val="CETReference"/>
      </w:pPr>
      <w:r w:rsidRPr="00B57B36">
        <w:t>References</w:t>
      </w:r>
    </w:p>
    <w:p w14:paraId="5DAC1A38" w14:textId="77777777" w:rsidR="00405991" w:rsidRPr="00494E15" w:rsidRDefault="00405991" w:rsidP="00494E15">
      <w:pPr>
        <w:pStyle w:val="EndNoteBibliography"/>
        <w:ind w:left="720" w:hanging="720"/>
      </w:pPr>
      <w:r w:rsidRPr="00494E15">
        <w:t>Bender, G., et al., Megawatt and Electrolyzer Capability Development and Validation (CRADA Final Report). National Laboratory of the Rockies (NLR), Golden, CO (United States); Proton Energy Systems, Inc., Wallingford, CT (United States), United States, 2026, pp. 14 p.</w:t>
      </w:r>
    </w:p>
    <w:p w14:paraId="2E76C8E9" w14:textId="77777777" w:rsidR="00405991" w:rsidRPr="00494E15" w:rsidRDefault="00405991" w:rsidP="00494E15">
      <w:pPr>
        <w:pStyle w:val="EndNoteBibliography"/>
        <w:ind w:left="720" w:hanging="720"/>
      </w:pPr>
      <w:r w:rsidRPr="00494E15">
        <w:t>Bluerisk, I. a., Water for hydrogen production. International Renewable Energy Agency, 2023, pp. Abu Dhabi, United Arab Emirates.</w:t>
      </w:r>
    </w:p>
    <w:p w14:paraId="1E066212" w14:textId="77777777" w:rsidR="00405991" w:rsidRPr="00494E15" w:rsidRDefault="00405991" w:rsidP="00494E15">
      <w:pPr>
        <w:pStyle w:val="EndNoteBibliography"/>
        <w:ind w:left="720" w:hanging="720"/>
      </w:pPr>
      <w:r w:rsidRPr="00494E15">
        <w:t>Dell'Armi, E., et al., 2025. Field test of a scaled-up bioelectrochemical sequential reductive/oxidative process for chlorinated aliphatic hydrocarbons (CAHs) remediation from contaminated groundwater. Chemical Engineering Journal. 524</w:t>
      </w:r>
      <w:r w:rsidRPr="00494E15">
        <w:rPr>
          <w:b/>
        </w:rPr>
        <w:t>,</w:t>
      </w:r>
      <w:r w:rsidRPr="00494E15">
        <w:t xml:space="preserve"> 169825.</w:t>
      </w:r>
    </w:p>
    <w:p w14:paraId="75ED14B1" w14:textId="77777777" w:rsidR="00405991" w:rsidRPr="00494E15" w:rsidRDefault="00405991" w:rsidP="00494E15">
      <w:pPr>
        <w:pStyle w:val="EndNoteBibliography"/>
        <w:ind w:left="720" w:hanging="720"/>
      </w:pPr>
      <w:r w:rsidRPr="00494E15">
        <w:t>Fu, Y., et al., 2026. Integrated dark fermentation and bioelectrochemical systems for waste valorization: A review of microbial fuel cell and microbial electrolysis cell coupling approaches. Renewable and Sustainable Energy Reviews. 237</w:t>
      </w:r>
      <w:r w:rsidRPr="00494E15">
        <w:rPr>
          <w:b/>
        </w:rPr>
        <w:t>,</w:t>
      </w:r>
      <w:r w:rsidRPr="00494E15">
        <w:t xml:space="preserve"> 117021.</w:t>
      </w:r>
    </w:p>
    <w:p w14:paraId="233FC76F" w14:textId="77777777" w:rsidR="00405991" w:rsidRPr="00494E15" w:rsidRDefault="00405991" w:rsidP="00494E15">
      <w:pPr>
        <w:pStyle w:val="EndNoteBibliography"/>
        <w:ind w:left="720" w:hanging="720"/>
      </w:pPr>
      <w:r w:rsidRPr="00494E15">
        <w:t>Gottardo, M., et al., 2023. Boosting butyrate and hydrogen production in acidogenic fermentation of food waste and sewage sludge mixture: a pilot scale demonstration. Journal of Cleaner Production. 404</w:t>
      </w:r>
      <w:r w:rsidRPr="00494E15">
        <w:rPr>
          <w:b/>
        </w:rPr>
        <w:t>,</w:t>
      </w:r>
      <w:r w:rsidRPr="00494E15">
        <w:t xml:space="preserve"> 136919.</w:t>
      </w:r>
    </w:p>
    <w:p w14:paraId="60D2ADFC" w14:textId="77777777" w:rsidR="00405991" w:rsidRPr="00494E15" w:rsidRDefault="00405991" w:rsidP="00494E15">
      <w:pPr>
        <w:pStyle w:val="EndNoteBibliography"/>
        <w:ind w:left="720" w:hanging="720"/>
      </w:pPr>
      <w:r w:rsidRPr="00494E15">
        <w:t>Kojima, H., et al., 2023. Influence of renewable energy power fluctuations on water electrolysis for green hydrogen production. International Journal of Hydrogen Energy. 48</w:t>
      </w:r>
      <w:r w:rsidRPr="00494E15">
        <w:rPr>
          <w:b/>
        </w:rPr>
        <w:t>,</w:t>
      </w:r>
      <w:r w:rsidRPr="00494E15">
        <w:t xml:space="preserve"> 4572-4593.</w:t>
      </w:r>
    </w:p>
    <w:p w14:paraId="0D699363" w14:textId="77777777" w:rsidR="00405991" w:rsidRPr="00494E15" w:rsidRDefault="00405991" w:rsidP="00494E15">
      <w:pPr>
        <w:pStyle w:val="EndNoteBibliography"/>
        <w:ind w:left="720" w:hanging="720"/>
      </w:pPr>
      <w:r w:rsidRPr="00494E15">
        <w:t>Lettenmeier, P., et al., 2016. Durable Membrane Electrode Assemblies for Proton Exchange Membrane Electrolyzer Systems Operating at High Current Densities. Electrochimica Acta. 210</w:t>
      </w:r>
      <w:r w:rsidRPr="00494E15">
        <w:rPr>
          <w:b/>
        </w:rPr>
        <w:t>,</w:t>
      </w:r>
      <w:r w:rsidRPr="00494E15">
        <w:t xml:space="preserve"> 502-511.</w:t>
      </w:r>
    </w:p>
    <w:p w14:paraId="2647F397" w14:textId="77777777" w:rsidR="00405991" w:rsidRPr="00494E15" w:rsidRDefault="00405991" w:rsidP="00494E15">
      <w:pPr>
        <w:pStyle w:val="EndNoteBibliography"/>
        <w:ind w:left="720" w:hanging="720"/>
      </w:pPr>
      <w:r w:rsidRPr="00494E15">
        <w:t>Liu, X., et al., 2020. High degree of contaminant removal and evolution of microbial community in different electrolysis-integrated constructed wetland systems. Chemical Engineering Journal. 388</w:t>
      </w:r>
      <w:r w:rsidRPr="00494E15">
        <w:rPr>
          <w:b/>
        </w:rPr>
        <w:t>,</w:t>
      </w:r>
      <w:r w:rsidRPr="00494E15">
        <w:t xml:space="preserve"> 124391.</w:t>
      </w:r>
    </w:p>
    <w:p w14:paraId="3158AB4B" w14:textId="77777777" w:rsidR="00405991" w:rsidRPr="00494E15" w:rsidRDefault="00405991" w:rsidP="00494E15">
      <w:pPr>
        <w:pStyle w:val="EndNoteBibliography"/>
        <w:ind w:left="720" w:hanging="720"/>
      </w:pPr>
      <w:r w:rsidRPr="00494E15">
        <w:t>Mancini, G., et al., 2021. A water-waste-energy nexus approach to bridge the sustainability gap in landfill-based waste management regions. Renewable and Sustainable Energy Reviews. 137</w:t>
      </w:r>
      <w:r w:rsidRPr="00494E15">
        <w:rPr>
          <w:b/>
        </w:rPr>
        <w:t>,</w:t>
      </w:r>
      <w:r w:rsidRPr="00494E15">
        <w:t xml:space="preserve"> 110441.</w:t>
      </w:r>
    </w:p>
    <w:p w14:paraId="31B02201" w14:textId="77777777" w:rsidR="00405991" w:rsidRPr="00494E15" w:rsidRDefault="00405991" w:rsidP="00494E15">
      <w:pPr>
        <w:pStyle w:val="EndNoteBibliography"/>
        <w:ind w:left="720" w:hanging="720"/>
      </w:pPr>
      <w:r w:rsidRPr="00494E15">
        <w:t>Marchetti, A., et al., 2026a. From Wastewater to Bio-Hydrogen: Advancing Microbial Electrolysis Cells Through Challenges, Innovations, and Process Integration. Hydrogen. 7</w:t>
      </w:r>
      <w:r w:rsidRPr="00494E15">
        <w:rPr>
          <w:b/>
        </w:rPr>
        <w:t>,</w:t>
      </w:r>
      <w:r w:rsidRPr="00494E15">
        <w:t xml:space="preserve"> 85.</w:t>
      </w:r>
    </w:p>
    <w:p w14:paraId="4D155E53" w14:textId="77777777" w:rsidR="00405991" w:rsidRPr="00494E15" w:rsidRDefault="00405991" w:rsidP="00494E15">
      <w:pPr>
        <w:pStyle w:val="EndNoteBibliography"/>
        <w:ind w:left="720" w:hanging="720"/>
      </w:pPr>
      <w:r w:rsidRPr="00494E15">
        <w:t>Marchetti, A., et al., 2026b. Rapid screening approach to evaluate MEC performance for biohydrogen production using synthetic and real organic waste-derived substrates. Sustainable Energy Technologies and Assessments. 93</w:t>
      </w:r>
      <w:r w:rsidRPr="00494E15">
        <w:rPr>
          <w:b/>
        </w:rPr>
        <w:t>,</w:t>
      </w:r>
      <w:r w:rsidRPr="00494E15">
        <w:t xml:space="preserve"> 105351.</w:t>
      </w:r>
    </w:p>
    <w:p w14:paraId="47D06773" w14:textId="77777777" w:rsidR="00405991" w:rsidRPr="00494E15" w:rsidRDefault="00405991" w:rsidP="00494E15">
      <w:pPr>
        <w:pStyle w:val="EndNoteBibliography"/>
        <w:ind w:left="720" w:hanging="720"/>
      </w:pPr>
      <w:r w:rsidRPr="00494E15">
        <w:t>Marchetti Angela, B. S., Chouchane Habib, Zeppilli Marco, 2026. Brewery Wastewater Treatment Coupled to Green Hydrogen Production through Microbial Electrolysis Cell. Chemical Engineering Transactions. 343-348.</w:t>
      </w:r>
    </w:p>
    <w:p w14:paraId="211D83B1" w14:textId="77777777" w:rsidR="00405991" w:rsidRPr="00494E15" w:rsidRDefault="00405991" w:rsidP="00494E15">
      <w:pPr>
        <w:pStyle w:val="EndNoteBibliography"/>
        <w:ind w:left="720" w:hanging="720"/>
      </w:pPr>
      <w:r w:rsidRPr="00494E15">
        <w:t>Rovira-Cal, E., et al., 2025. Cheese whey fermentation for selective VFA production: Operational parameters assessment and scale-up. Journal of Environmental Chemical Engineering. 13</w:t>
      </w:r>
      <w:r w:rsidRPr="00494E15">
        <w:rPr>
          <w:b/>
        </w:rPr>
        <w:t>,</w:t>
      </w:r>
      <w:r w:rsidRPr="00494E15">
        <w:t xml:space="preserve"> 116839.</w:t>
      </w:r>
    </w:p>
    <w:p w14:paraId="0451D9C6" w14:textId="77777777" w:rsidR="00405991" w:rsidRPr="00494E15" w:rsidRDefault="00405991" w:rsidP="00494E15">
      <w:pPr>
        <w:pStyle w:val="EndNoteBibliography"/>
        <w:ind w:left="720" w:hanging="720"/>
      </w:pPr>
      <w:r w:rsidRPr="00494E15">
        <w:t>Salvatori, G., et al., 2025. Pilot-Scale Acidogenic Fermentation of Reground Pasta Byproduct for Polyhydroxyalkanoate Production with Mixed Microbial Cultures. ACS Sustainable Chemistry &amp; Engineering. 13</w:t>
      </w:r>
      <w:r w:rsidRPr="00494E15">
        <w:rPr>
          <w:b/>
        </w:rPr>
        <w:t>,</w:t>
      </w:r>
      <w:r w:rsidRPr="00494E15">
        <w:t xml:space="preserve"> 3024-3035.</w:t>
      </w:r>
    </w:p>
    <w:p w14:paraId="531C2472" w14:textId="77777777" w:rsidR="00405991" w:rsidRPr="00494E15" w:rsidRDefault="00405991" w:rsidP="00494E15">
      <w:pPr>
        <w:pStyle w:val="EndNoteBibliography"/>
        <w:ind w:left="720" w:hanging="720"/>
      </w:pPr>
      <w:r w:rsidRPr="00494E15">
        <w:t>Silva, F., et al., 2022. An integrated process for mixed culture production of 3-hydroxyhexanoate-rich polyhydroxyalkanoates from fruit waste. Chemical Engineering Journal. 427</w:t>
      </w:r>
      <w:r w:rsidRPr="00494E15">
        <w:rPr>
          <w:b/>
        </w:rPr>
        <w:t>,</w:t>
      </w:r>
      <w:r w:rsidRPr="00494E15">
        <w:t xml:space="preserve"> 131908.</w:t>
      </w:r>
    </w:p>
    <w:p w14:paraId="79AF06FF" w14:textId="77777777" w:rsidR="00405991" w:rsidRPr="00494E15" w:rsidRDefault="00405991" w:rsidP="00494E15">
      <w:pPr>
        <w:pStyle w:val="EndNoteBibliography"/>
        <w:ind w:left="720" w:hanging="720"/>
      </w:pPr>
      <w:r w:rsidRPr="00494E15">
        <w:t>Zeppilli, M., et al., 2021. A critical evaluation of the pH split and associated effects in bioelectrochemical processes. Chemical Engineering Journal. 422.</w:t>
      </w:r>
    </w:p>
    <w:p w14:paraId="51E4C671" w14:textId="77777777" w:rsidR="001D06CB" w:rsidRDefault="001D06CB"/>
    <w:sectPr w:rsidR="001D06CB" w:rsidSect="00CE6D65">
      <w:pgSz w:w="11906" w:h="16838"/>
      <w:pgMar w:top="1701"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32553360">
    <w:abstractNumId w:val="10"/>
  </w:num>
  <w:num w:numId="2" w16cid:durableId="2083984449">
    <w:abstractNumId w:val="8"/>
  </w:num>
  <w:num w:numId="3" w16cid:durableId="1058087556">
    <w:abstractNumId w:val="3"/>
  </w:num>
  <w:num w:numId="4" w16cid:durableId="1460606262">
    <w:abstractNumId w:val="2"/>
  </w:num>
  <w:num w:numId="5" w16cid:durableId="1755933864">
    <w:abstractNumId w:val="1"/>
  </w:num>
  <w:num w:numId="6" w16cid:durableId="824593800">
    <w:abstractNumId w:val="0"/>
  </w:num>
  <w:num w:numId="7" w16cid:durableId="293027894">
    <w:abstractNumId w:val="9"/>
  </w:num>
  <w:num w:numId="8" w16cid:durableId="439105447">
    <w:abstractNumId w:val="7"/>
  </w:num>
  <w:num w:numId="9" w16cid:durableId="1067148894">
    <w:abstractNumId w:val="6"/>
  </w:num>
  <w:num w:numId="10" w16cid:durableId="2060125503">
    <w:abstractNumId w:val="5"/>
  </w:num>
  <w:num w:numId="11" w16cid:durableId="1851023445">
    <w:abstractNumId w:val="4"/>
  </w:num>
  <w:num w:numId="12" w16cid:durableId="1696228105">
    <w:abstractNumId w:val="17"/>
  </w:num>
  <w:num w:numId="13" w16cid:durableId="279993741">
    <w:abstractNumId w:val="12"/>
  </w:num>
  <w:num w:numId="14" w16cid:durableId="1154417219">
    <w:abstractNumId w:val="18"/>
  </w:num>
  <w:num w:numId="15" w16cid:durableId="2069448196">
    <w:abstractNumId w:val="20"/>
  </w:num>
  <w:num w:numId="16" w16cid:durableId="1364748099">
    <w:abstractNumId w:val="19"/>
  </w:num>
  <w:num w:numId="17" w16cid:durableId="1290161759">
    <w:abstractNumId w:val="11"/>
  </w:num>
  <w:num w:numId="18" w16cid:durableId="313221457">
    <w:abstractNumId w:val="12"/>
    <w:lvlOverride w:ilvl="0">
      <w:startOverride w:val="1"/>
    </w:lvlOverride>
  </w:num>
  <w:num w:numId="19" w16cid:durableId="1146166201">
    <w:abstractNumId w:val="16"/>
  </w:num>
  <w:num w:numId="20" w16cid:durableId="824468307">
    <w:abstractNumId w:val="15"/>
  </w:num>
  <w:num w:numId="21" w16cid:durableId="633413577">
    <w:abstractNumId w:val="14"/>
  </w:num>
  <w:num w:numId="22" w16cid:durableId="4636928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05991"/>
    <w:rsid w:val="000B454D"/>
    <w:rsid w:val="001D06CB"/>
    <w:rsid w:val="00405991"/>
    <w:rsid w:val="00633F5C"/>
    <w:rsid w:val="006C574C"/>
    <w:rsid w:val="007713A8"/>
    <w:rsid w:val="00A76D28"/>
    <w:rsid w:val="00B54ECA"/>
    <w:rsid w:val="00C35CBE"/>
    <w:rsid w:val="00CE6D65"/>
    <w:rsid w:val="00FE6A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7FBD8"/>
  <w15:chartTrackingRefBased/>
  <w15:docId w15:val="{8C290261-5ADD-4711-BAA3-B504BCCA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405991"/>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05991"/>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40599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405991"/>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405991"/>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05991"/>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05991"/>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0599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0599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40599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991"/>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405991"/>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semiHidden/>
    <w:rsid w:val="00405991"/>
    <w:rPr>
      <w:rFonts w:asciiTheme="majorHAnsi" w:eastAsiaTheme="majorEastAsia" w:hAnsiTheme="majorHAnsi" w:cstheme="majorBidi"/>
      <w:b/>
      <w:bCs/>
      <w:color w:val="4472C4" w:themeColor="accent1"/>
      <w:sz w:val="18"/>
      <w:szCs w:val="20"/>
      <w:lang w:val="en-GB"/>
    </w:rPr>
  </w:style>
  <w:style w:type="character" w:customStyle="1" w:styleId="Heading4Char">
    <w:name w:val="Heading 4 Char"/>
    <w:basedOn w:val="DefaultParagraphFont"/>
    <w:link w:val="Heading4"/>
    <w:uiPriority w:val="9"/>
    <w:semiHidden/>
    <w:rsid w:val="00405991"/>
    <w:rPr>
      <w:rFonts w:asciiTheme="majorHAnsi" w:eastAsiaTheme="majorEastAsia" w:hAnsiTheme="majorHAnsi" w:cstheme="majorBidi"/>
      <w:b/>
      <w:bCs/>
      <w:i/>
      <w:iCs/>
      <w:color w:val="4472C4" w:themeColor="accent1"/>
      <w:sz w:val="18"/>
      <w:szCs w:val="20"/>
      <w:lang w:val="en-GB"/>
    </w:rPr>
  </w:style>
  <w:style w:type="character" w:customStyle="1" w:styleId="Heading5Char">
    <w:name w:val="Heading 5 Char"/>
    <w:basedOn w:val="DefaultParagraphFont"/>
    <w:link w:val="Heading5"/>
    <w:uiPriority w:val="9"/>
    <w:semiHidden/>
    <w:rsid w:val="00405991"/>
    <w:rPr>
      <w:rFonts w:asciiTheme="majorHAnsi" w:eastAsiaTheme="majorEastAsia" w:hAnsiTheme="majorHAnsi" w:cstheme="majorBidi"/>
      <w:color w:val="1F3763" w:themeColor="accent1" w:themeShade="7F"/>
      <w:sz w:val="18"/>
      <w:szCs w:val="20"/>
      <w:lang w:val="en-GB"/>
    </w:rPr>
  </w:style>
  <w:style w:type="character" w:customStyle="1" w:styleId="Heading6Char">
    <w:name w:val="Heading 6 Char"/>
    <w:basedOn w:val="DefaultParagraphFont"/>
    <w:link w:val="Heading6"/>
    <w:uiPriority w:val="9"/>
    <w:semiHidden/>
    <w:rsid w:val="00405991"/>
    <w:rPr>
      <w:rFonts w:asciiTheme="majorHAnsi" w:eastAsiaTheme="majorEastAsia" w:hAnsiTheme="majorHAnsi" w:cstheme="majorBidi"/>
      <w:i/>
      <w:iCs/>
      <w:color w:val="1F3763" w:themeColor="accent1" w:themeShade="7F"/>
      <w:sz w:val="18"/>
      <w:szCs w:val="20"/>
      <w:lang w:val="en-GB"/>
    </w:rPr>
  </w:style>
  <w:style w:type="character" w:customStyle="1" w:styleId="Heading7Char">
    <w:name w:val="Heading 7 Char"/>
    <w:basedOn w:val="DefaultParagraphFont"/>
    <w:link w:val="Heading7"/>
    <w:uiPriority w:val="9"/>
    <w:semiHidden/>
    <w:rsid w:val="00405991"/>
    <w:rPr>
      <w:rFonts w:asciiTheme="majorHAnsi" w:eastAsiaTheme="majorEastAsia" w:hAnsiTheme="majorHAnsi" w:cstheme="majorBidi"/>
      <w:i/>
      <w:iCs/>
      <w:color w:val="404040" w:themeColor="text1" w:themeTint="BF"/>
      <w:sz w:val="18"/>
      <w:szCs w:val="20"/>
      <w:lang w:val="en-GB"/>
    </w:rPr>
  </w:style>
  <w:style w:type="character" w:customStyle="1" w:styleId="Heading8Char">
    <w:name w:val="Heading 8 Char"/>
    <w:basedOn w:val="DefaultParagraphFont"/>
    <w:link w:val="Heading8"/>
    <w:uiPriority w:val="9"/>
    <w:semiHidden/>
    <w:rsid w:val="00405991"/>
    <w:rPr>
      <w:rFonts w:asciiTheme="majorHAnsi" w:eastAsiaTheme="majorEastAsia" w:hAnsiTheme="majorHAnsi" w:cstheme="majorBidi"/>
      <w:color w:val="404040" w:themeColor="text1" w:themeTint="BF"/>
      <w:sz w:val="18"/>
      <w:szCs w:val="20"/>
      <w:lang w:val="en-GB"/>
    </w:rPr>
  </w:style>
  <w:style w:type="character" w:customStyle="1" w:styleId="Heading9Char">
    <w:name w:val="Heading 9 Char"/>
    <w:basedOn w:val="DefaultParagraphFont"/>
    <w:link w:val="Heading9"/>
    <w:uiPriority w:val="9"/>
    <w:semiHidden/>
    <w:rsid w:val="00405991"/>
    <w:rPr>
      <w:rFonts w:asciiTheme="majorHAnsi" w:eastAsiaTheme="majorEastAsia" w:hAnsiTheme="majorHAnsi" w:cstheme="majorBidi"/>
      <w:i/>
      <w:iCs/>
      <w:color w:val="404040" w:themeColor="text1" w:themeTint="BF"/>
      <w:sz w:val="18"/>
      <w:szCs w:val="20"/>
      <w:lang w:val="en-GB"/>
    </w:rPr>
  </w:style>
  <w:style w:type="paragraph" w:customStyle="1" w:styleId="CETAuthors">
    <w:name w:val="CET Authors"/>
    <w:basedOn w:val="CETBodytext"/>
    <w:link w:val="CETAuthorsCarattere"/>
    <w:qFormat/>
    <w:rsid w:val="00405991"/>
    <w:pPr>
      <w:keepNext/>
      <w:suppressAutoHyphens/>
      <w:spacing w:after="120"/>
    </w:pPr>
    <w:rPr>
      <w:noProof/>
      <w:sz w:val="24"/>
      <w:lang w:val="en-GB"/>
    </w:rPr>
  </w:style>
  <w:style w:type="paragraph" w:customStyle="1" w:styleId="CETTitle">
    <w:name w:val="CET Title"/>
    <w:next w:val="CETAuthors"/>
    <w:link w:val="CETTitleCarattere"/>
    <w:rsid w:val="00405991"/>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405991"/>
    <w:rPr>
      <w:rFonts w:ascii="Arial" w:eastAsia="Times New Roman" w:hAnsi="Arial" w:cs="Times New Roman"/>
      <w:noProof/>
      <w:sz w:val="24"/>
      <w:szCs w:val="20"/>
      <w:lang w:val="en-GB"/>
    </w:rPr>
  </w:style>
  <w:style w:type="character" w:customStyle="1" w:styleId="CETTitleCarattere">
    <w:name w:val="CET Title Carattere"/>
    <w:link w:val="CETTitle"/>
    <w:rsid w:val="00405991"/>
    <w:rPr>
      <w:rFonts w:ascii="Arial" w:eastAsia="Times New Roman" w:hAnsi="Arial" w:cs="Times New Roman"/>
      <w:sz w:val="32"/>
      <w:szCs w:val="20"/>
      <w:lang w:val="en-GB"/>
    </w:rPr>
  </w:style>
  <w:style w:type="paragraph" w:customStyle="1" w:styleId="CETHeading1">
    <w:name w:val="CET Heading1"/>
    <w:next w:val="CETBodytext"/>
    <w:qFormat/>
    <w:rsid w:val="00405991"/>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405991"/>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405991"/>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405991"/>
    <w:pPr>
      <w:keepNext/>
      <w:suppressAutoHyphens/>
      <w:spacing w:after="0" w:line="276" w:lineRule="auto"/>
      <w:contextualSpacing/>
    </w:pPr>
    <w:rPr>
      <w:rFonts w:ascii="Arial" w:eastAsia="Times New Roman" w:hAnsi="Arial" w:cs="Times New Roman"/>
      <w:noProof/>
      <w:sz w:val="16"/>
      <w:szCs w:val="20"/>
      <w:lang w:val="en-GB"/>
    </w:rPr>
  </w:style>
  <w:style w:type="table" w:styleId="TableSimple1">
    <w:name w:val="Table Simple 1"/>
    <w:basedOn w:val="TableNormal"/>
    <w:semiHidden/>
    <w:rsid w:val="00405991"/>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405991"/>
    <w:rPr>
      <w:rFonts w:ascii="Arial" w:eastAsia="Times New Roman" w:hAnsi="Arial" w:cs="Times New Roman"/>
      <w:sz w:val="18"/>
      <w:szCs w:val="20"/>
      <w:lang w:val="en-US"/>
    </w:rPr>
  </w:style>
  <w:style w:type="paragraph" w:customStyle="1" w:styleId="CETReference">
    <w:name w:val="CET Reference"/>
    <w:qFormat/>
    <w:rsid w:val="00405991"/>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405991"/>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405991"/>
    <w:rPr>
      <w:rFonts w:ascii="Arial" w:eastAsia="Times New Roman" w:hAnsi="Arial" w:cs="Times New Roman"/>
      <w:b/>
      <w:sz w:val="18"/>
      <w:szCs w:val="20"/>
      <w:lang w:val="en-US"/>
    </w:rPr>
  </w:style>
  <w:style w:type="character" w:customStyle="1" w:styleId="CETCaptionCarattere">
    <w:name w:val="CET Caption Carattere"/>
    <w:link w:val="CETCaption"/>
    <w:rsid w:val="00405991"/>
    <w:rPr>
      <w:rFonts w:ascii="Arial" w:eastAsia="Times New Roman" w:hAnsi="Arial" w:cs="Times New Roman"/>
      <w:i/>
      <w:sz w:val="18"/>
      <w:szCs w:val="20"/>
      <w:lang w:val="en-GB"/>
    </w:rPr>
  </w:style>
  <w:style w:type="paragraph" w:customStyle="1" w:styleId="CETBodytextItalic">
    <w:name w:val="CET Body text (Italic)"/>
    <w:basedOn w:val="CETBodytext"/>
    <w:qFormat/>
    <w:rsid w:val="00405991"/>
    <w:rPr>
      <w:i/>
      <w:lang w:val="en-GB"/>
    </w:rPr>
  </w:style>
  <w:style w:type="character" w:styleId="CommentReference">
    <w:name w:val="annotation reference"/>
    <w:basedOn w:val="DefaultParagraphFont"/>
    <w:uiPriority w:val="99"/>
    <w:semiHidden/>
    <w:unhideWhenUsed/>
    <w:rsid w:val="00405991"/>
    <w:rPr>
      <w:sz w:val="16"/>
      <w:szCs w:val="16"/>
    </w:rPr>
  </w:style>
  <w:style w:type="paragraph" w:styleId="BalloonText">
    <w:name w:val="Balloon Text"/>
    <w:basedOn w:val="Normal"/>
    <w:link w:val="BalloonTextChar"/>
    <w:uiPriority w:val="99"/>
    <w:semiHidden/>
    <w:unhideWhenUsed/>
    <w:rsid w:val="0040599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991"/>
    <w:rPr>
      <w:rFonts w:ascii="Tahoma" w:eastAsia="Times New Roman" w:hAnsi="Tahoma" w:cs="Tahoma"/>
      <w:sz w:val="16"/>
      <w:szCs w:val="16"/>
      <w:lang w:val="en-GB"/>
    </w:rPr>
  </w:style>
  <w:style w:type="paragraph" w:styleId="Bibliography">
    <w:name w:val="Bibliography"/>
    <w:basedOn w:val="CETReferencetext"/>
    <w:uiPriority w:val="37"/>
    <w:unhideWhenUsed/>
    <w:rsid w:val="00405991"/>
    <w:pPr>
      <w:spacing w:line="240" w:lineRule="auto"/>
      <w:ind w:left="720" w:hanging="720"/>
    </w:pPr>
  </w:style>
  <w:style w:type="paragraph" w:styleId="BodyText2">
    <w:name w:val="Body Text 2"/>
    <w:basedOn w:val="Normal"/>
    <w:link w:val="BodyText2Char"/>
    <w:uiPriority w:val="99"/>
    <w:semiHidden/>
    <w:unhideWhenUsed/>
    <w:rsid w:val="00405991"/>
    <w:pPr>
      <w:spacing w:after="120" w:line="480" w:lineRule="auto"/>
    </w:pPr>
  </w:style>
  <w:style w:type="character" w:customStyle="1" w:styleId="BodyText2Char">
    <w:name w:val="Body Text 2 Char"/>
    <w:basedOn w:val="DefaultParagraphFont"/>
    <w:link w:val="BodyText2"/>
    <w:uiPriority w:val="99"/>
    <w:semiHidden/>
    <w:rsid w:val="00405991"/>
    <w:rPr>
      <w:rFonts w:ascii="Arial" w:eastAsia="Times New Roman" w:hAnsi="Arial" w:cs="Times New Roman"/>
      <w:sz w:val="18"/>
      <w:szCs w:val="20"/>
      <w:lang w:val="en-GB"/>
    </w:rPr>
  </w:style>
  <w:style w:type="paragraph" w:styleId="BodyText3">
    <w:name w:val="Body Text 3"/>
    <w:basedOn w:val="Normal"/>
    <w:link w:val="BodyText3Char"/>
    <w:uiPriority w:val="99"/>
    <w:semiHidden/>
    <w:unhideWhenUsed/>
    <w:rsid w:val="00405991"/>
    <w:pPr>
      <w:spacing w:after="120"/>
    </w:pPr>
    <w:rPr>
      <w:sz w:val="16"/>
      <w:szCs w:val="16"/>
    </w:rPr>
  </w:style>
  <w:style w:type="character" w:customStyle="1" w:styleId="BodyText3Char">
    <w:name w:val="Body Text 3 Char"/>
    <w:basedOn w:val="DefaultParagraphFont"/>
    <w:link w:val="BodyText3"/>
    <w:uiPriority w:val="99"/>
    <w:semiHidden/>
    <w:rsid w:val="00405991"/>
    <w:rPr>
      <w:rFonts w:ascii="Arial" w:eastAsia="Times New Roman" w:hAnsi="Arial" w:cs="Times New Roman"/>
      <w:sz w:val="16"/>
      <w:szCs w:val="16"/>
      <w:lang w:val="en-GB"/>
    </w:rPr>
  </w:style>
  <w:style w:type="paragraph" w:styleId="BodyText">
    <w:name w:val="Body Text"/>
    <w:basedOn w:val="Normal"/>
    <w:link w:val="BodyTextChar"/>
    <w:uiPriority w:val="99"/>
    <w:semiHidden/>
    <w:unhideWhenUsed/>
    <w:rsid w:val="00405991"/>
    <w:pPr>
      <w:spacing w:after="120"/>
    </w:pPr>
  </w:style>
  <w:style w:type="character" w:customStyle="1" w:styleId="BodyTextChar">
    <w:name w:val="Body Text Char"/>
    <w:basedOn w:val="DefaultParagraphFont"/>
    <w:link w:val="BodyText"/>
    <w:uiPriority w:val="99"/>
    <w:semiHidden/>
    <w:rsid w:val="00405991"/>
    <w:rPr>
      <w:rFonts w:ascii="Arial" w:eastAsia="Times New Roman" w:hAnsi="Arial" w:cs="Times New Roman"/>
      <w:sz w:val="18"/>
      <w:szCs w:val="20"/>
      <w:lang w:val="en-GB"/>
    </w:rPr>
  </w:style>
  <w:style w:type="paragraph" w:styleId="Date">
    <w:name w:val="Date"/>
    <w:basedOn w:val="Normal"/>
    <w:next w:val="Normal"/>
    <w:link w:val="DateChar"/>
    <w:uiPriority w:val="99"/>
    <w:semiHidden/>
    <w:unhideWhenUsed/>
    <w:rsid w:val="00405991"/>
  </w:style>
  <w:style w:type="character" w:customStyle="1" w:styleId="DateChar">
    <w:name w:val="Date Char"/>
    <w:basedOn w:val="DefaultParagraphFont"/>
    <w:link w:val="Date"/>
    <w:uiPriority w:val="99"/>
    <w:semiHidden/>
    <w:rsid w:val="00405991"/>
    <w:rPr>
      <w:rFonts w:ascii="Arial" w:eastAsia="Times New Roman" w:hAnsi="Arial" w:cs="Times New Roman"/>
      <w:sz w:val="18"/>
      <w:szCs w:val="20"/>
      <w:lang w:val="en-GB"/>
    </w:rPr>
  </w:style>
  <w:style w:type="paragraph" w:styleId="Caption">
    <w:name w:val="caption"/>
    <w:basedOn w:val="Normal"/>
    <w:next w:val="Normal"/>
    <w:uiPriority w:val="35"/>
    <w:semiHidden/>
    <w:unhideWhenUsed/>
    <w:qFormat/>
    <w:rsid w:val="00405991"/>
    <w:pPr>
      <w:spacing w:line="240" w:lineRule="auto"/>
    </w:pPr>
    <w:rPr>
      <w:b/>
      <w:bCs/>
      <w:color w:val="4472C4" w:themeColor="accent1"/>
      <w:szCs w:val="18"/>
    </w:rPr>
  </w:style>
  <w:style w:type="paragraph" w:styleId="List">
    <w:name w:val="List"/>
    <w:basedOn w:val="Normal"/>
    <w:uiPriority w:val="99"/>
    <w:semiHidden/>
    <w:unhideWhenUsed/>
    <w:rsid w:val="00405991"/>
    <w:pPr>
      <w:ind w:left="283" w:hanging="283"/>
      <w:contextualSpacing/>
    </w:pPr>
  </w:style>
  <w:style w:type="paragraph" w:styleId="List2">
    <w:name w:val="List 2"/>
    <w:basedOn w:val="Normal"/>
    <w:uiPriority w:val="99"/>
    <w:semiHidden/>
    <w:unhideWhenUsed/>
    <w:rsid w:val="00405991"/>
    <w:pPr>
      <w:ind w:left="566" w:hanging="283"/>
      <w:contextualSpacing/>
    </w:pPr>
  </w:style>
  <w:style w:type="paragraph" w:styleId="List3">
    <w:name w:val="List 3"/>
    <w:basedOn w:val="Normal"/>
    <w:uiPriority w:val="99"/>
    <w:semiHidden/>
    <w:unhideWhenUsed/>
    <w:rsid w:val="00405991"/>
    <w:pPr>
      <w:ind w:left="849" w:hanging="283"/>
      <w:contextualSpacing/>
    </w:pPr>
  </w:style>
  <w:style w:type="paragraph" w:styleId="List4">
    <w:name w:val="List 4"/>
    <w:basedOn w:val="Normal"/>
    <w:uiPriority w:val="99"/>
    <w:semiHidden/>
    <w:unhideWhenUsed/>
    <w:rsid w:val="00405991"/>
    <w:pPr>
      <w:ind w:left="1132" w:hanging="283"/>
      <w:contextualSpacing/>
    </w:pPr>
  </w:style>
  <w:style w:type="paragraph" w:styleId="List5">
    <w:name w:val="List 5"/>
    <w:basedOn w:val="Normal"/>
    <w:uiPriority w:val="99"/>
    <w:semiHidden/>
    <w:unhideWhenUsed/>
    <w:rsid w:val="00405991"/>
    <w:pPr>
      <w:ind w:left="1415" w:hanging="283"/>
      <w:contextualSpacing/>
    </w:pPr>
  </w:style>
  <w:style w:type="paragraph" w:styleId="ListContinue">
    <w:name w:val="List Continue"/>
    <w:basedOn w:val="Normal"/>
    <w:uiPriority w:val="99"/>
    <w:semiHidden/>
    <w:unhideWhenUsed/>
    <w:rsid w:val="00405991"/>
    <w:pPr>
      <w:spacing w:after="120"/>
      <w:ind w:left="283"/>
      <w:contextualSpacing/>
    </w:pPr>
  </w:style>
  <w:style w:type="paragraph" w:styleId="ListContinue2">
    <w:name w:val="List Continue 2"/>
    <w:basedOn w:val="Normal"/>
    <w:uiPriority w:val="99"/>
    <w:semiHidden/>
    <w:unhideWhenUsed/>
    <w:rsid w:val="00405991"/>
    <w:pPr>
      <w:spacing w:after="120"/>
      <w:ind w:left="566"/>
      <w:contextualSpacing/>
    </w:pPr>
  </w:style>
  <w:style w:type="paragraph" w:styleId="ListContinue3">
    <w:name w:val="List Continue 3"/>
    <w:basedOn w:val="Normal"/>
    <w:uiPriority w:val="99"/>
    <w:semiHidden/>
    <w:unhideWhenUsed/>
    <w:rsid w:val="00405991"/>
    <w:pPr>
      <w:spacing w:after="120"/>
      <w:ind w:left="849"/>
      <w:contextualSpacing/>
    </w:pPr>
  </w:style>
  <w:style w:type="paragraph" w:styleId="ListContinue4">
    <w:name w:val="List Continue 4"/>
    <w:basedOn w:val="Normal"/>
    <w:uiPriority w:val="99"/>
    <w:semiHidden/>
    <w:unhideWhenUsed/>
    <w:rsid w:val="00405991"/>
    <w:pPr>
      <w:spacing w:after="120"/>
      <w:ind w:left="1132"/>
      <w:contextualSpacing/>
    </w:pPr>
  </w:style>
  <w:style w:type="paragraph" w:styleId="ListContinue5">
    <w:name w:val="List Continue 5"/>
    <w:basedOn w:val="Normal"/>
    <w:uiPriority w:val="99"/>
    <w:semiHidden/>
    <w:unhideWhenUsed/>
    <w:rsid w:val="00405991"/>
    <w:pPr>
      <w:spacing w:after="120"/>
      <w:ind w:left="1415"/>
      <w:contextualSpacing/>
    </w:pPr>
  </w:style>
  <w:style w:type="paragraph" w:styleId="Signature">
    <w:name w:val="Signature"/>
    <w:basedOn w:val="Normal"/>
    <w:link w:val="SignatureChar"/>
    <w:uiPriority w:val="99"/>
    <w:semiHidden/>
    <w:unhideWhenUsed/>
    <w:rsid w:val="00405991"/>
    <w:pPr>
      <w:spacing w:line="240" w:lineRule="auto"/>
      <w:ind w:left="4252"/>
    </w:pPr>
  </w:style>
  <w:style w:type="character" w:customStyle="1" w:styleId="SignatureChar">
    <w:name w:val="Signature Char"/>
    <w:basedOn w:val="DefaultParagraphFont"/>
    <w:link w:val="Signature"/>
    <w:uiPriority w:val="99"/>
    <w:semiHidden/>
    <w:rsid w:val="00405991"/>
    <w:rPr>
      <w:rFonts w:ascii="Arial" w:eastAsia="Times New Roman" w:hAnsi="Arial" w:cs="Times New Roman"/>
      <w:sz w:val="18"/>
      <w:szCs w:val="20"/>
      <w:lang w:val="en-GB"/>
    </w:rPr>
  </w:style>
  <w:style w:type="paragraph" w:styleId="EmailSignature">
    <w:name w:val="E-mail Signature"/>
    <w:basedOn w:val="Normal"/>
    <w:link w:val="EmailSignatureChar"/>
    <w:uiPriority w:val="99"/>
    <w:semiHidden/>
    <w:unhideWhenUsed/>
    <w:rsid w:val="00405991"/>
    <w:pPr>
      <w:spacing w:line="240" w:lineRule="auto"/>
    </w:pPr>
  </w:style>
  <w:style w:type="character" w:customStyle="1" w:styleId="EmailSignatureChar">
    <w:name w:val="Email Signature Char"/>
    <w:basedOn w:val="DefaultParagraphFont"/>
    <w:link w:val="EmailSignature"/>
    <w:uiPriority w:val="99"/>
    <w:semiHidden/>
    <w:rsid w:val="00405991"/>
    <w:rPr>
      <w:rFonts w:ascii="Arial" w:eastAsia="Times New Roman" w:hAnsi="Arial" w:cs="Times New Roman"/>
      <w:sz w:val="18"/>
      <w:szCs w:val="20"/>
      <w:lang w:val="en-GB"/>
    </w:rPr>
  </w:style>
  <w:style w:type="paragraph" w:styleId="Salutation">
    <w:name w:val="Salutation"/>
    <w:basedOn w:val="Normal"/>
    <w:next w:val="Normal"/>
    <w:link w:val="SalutationChar"/>
    <w:uiPriority w:val="99"/>
    <w:semiHidden/>
    <w:unhideWhenUsed/>
    <w:rsid w:val="00405991"/>
  </w:style>
  <w:style w:type="character" w:customStyle="1" w:styleId="SalutationChar">
    <w:name w:val="Salutation Char"/>
    <w:basedOn w:val="DefaultParagraphFont"/>
    <w:link w:val="Salutation"/>
    <w:uiPriority w:val="99"/>
    <w:semiHidden/>
    <w:rsid w:val="00405991"/>
    <w:rPr>
      <w:rFonts w:ascii="Arial" w:eastAsia="Times New Roman" w:hAnsi="Arial" w:cs="Times New Roman"/>
      <w:sz w:val="18"/>
      <w:szCs w:val="20"/>
      <w:lang w:val="en-GB"/>
    </w:rPr>
  </w:style>
  <w:style w:type="paragraph" w:styleId="Closing">
    <w:name w:val="Closing"/>
    <w:basedOn w:val="Normal"/>
    <w:link w:val="ClosingChar"/>
    <w:uiPriority w:val="99"/>
    <w:semiHidden/>
    <w:unhideWhenUsed/>
    <w:rsid w:val="00405991"/>
    <w:pPr>
      <w:spacing w:line="240" w:lineRule="auto"/>
      <w:ind w:left="4252"/>
    </w:pPr>
  </w:style>
  <w:style w:type="character" w:customStyle="1" w:styleId="ClosingChar">
    <w:name w:val="Closing Char"/>
    <w:basedOn w:val="DefaultParagraphFont"/>
    <w:link w:val="Closing"/>
    <w:uiPriority w:val="99"/>
    <w:semiHidden/>
    <w:rsid w:val="00405991"/>
    <w:rPr>
      <w:rFonts w:ascii="Arial" w:eastAsia="Times New Roman" w:hAnsi="Arial" w:cs="Times New Roman"/>
      <w:sz w:val="18"/>
      <w:szCs w:val="20"/>
      <w:lang w:val="en-GB"/>
    </w:rPr>
  </w:style>
  <w:style w:type="paragraph" w:styleId="Index1">
    <w:name w:val="index 1"/>
    <w:basedOn w:val="Normal"/>
    <w:next w:val="Normal"/>
    <w:autoRedefine/>
    <w:uiPriority w:val="99"/>
    <w:semiHidden/>
    <w:unhideWhenUsed/>
    <w:rsid w:val="00405991"/>
    <w:pPr>
      <w:spacing w:line="240" w:lineRule="auto"/>
      <w:ind w:left="220" w:hanging="220"/>
    </w:pPr>
  </w:style>
  <w:style w:type="paragraph" w:styleId="Index2">
    <w:name w:val="index 2"/>
    <w:basedOn w:val="Normal"/>
    <w:next w:val="Normal"/>
    <w:autoRedefine/>
    <w:uiPriority w:val="99"/>
    <w:semiHidden/>
    <w:unhideWhenUsed/>
    <w:rsid w:val="00405991"/>
    <w:pPr>
      <w:spacing w:line="240" w:lineRule="auto"/>
      <w:ind w:left="440" w:hanging="220"/>
    </w:pPr>
  </w:style>
  <w:style w:type="paragraph" w:styleId="Index3">
    <w:name w:val="index 3"/>
    <w:basedOn w:val="Normal"/>
    <w:next w:val="Normal"/>
    <w:autoRedefine/>
    <w:uiPriority w:val="99"/>
    <w:semiHidden/>
    <w:unhideWhenUsed/>
    <w:rsid w:val="00405991"/>
    <w:pPr>
      <w:spacing w:line="240" w:lineRule="auto"/>
      <w:ind w:left="660" w:hanging="220"/>
    </w:pPr>
  </w:style>
  <w:style w:type="paragraph" w:styleId="Index4">
    <w:name w:val="index 4"/>
    <w:basedOn w:val="Normal"/>
    <w:next w:val="Normal"/>
    <w:autoRedefine/>
    <w:uiPriority w:val="99"/>
    <w:semiHidden/>
    <w:unhideWhenUsed/>
    <w:rsid w:val="00405991"/>
    <w:pPr>
      <w:spacing w:line="240" w:lineRule="auto"/>
      <w:ind w:left="880" w:hanging="220"/>
    </w:pPr>
  </w:style>
  <w:style w:type="paragraph" w:styleId="Index5">
    <w:name w:val="index 5"/>
    <w:basedOn w:val="Normal"/>
    <w:next w:val="Normal"/>
    <w:autoRedefine/>
    <w:uiPriority w:val="99"/>
    <w:semiHidden/>
    <w:unhideWhenUsed/>
    <w:rsid w:val="00405991"/>
    <w:pPr>
      <w:spacing w:line="240" w:lineRule="auto"/>
      <w:ind w:left="1100" w:hanging="220"/>
    </w:pPr>
  </w:style>
  <w:style w:type="paragraph" w:styleId="Index6">
    <w:name w:val="index 6"/>
    <w:basedOn w:val="Normal"/>
    <w:next w:val="Normal"/>
    <w:autoRedefine/>
    <w:uiPriority w:val="99"/>
    <w:semiHidden/>
    <w:unhideWhenUsed/>
    <w:rsid w:val="00405991"/>
    <w:pPr>
      <w:spacing w:line="240" w:lineRule="auto"/>
      <w:ind w:left="1320" w:hanging="220"/>
    </w:pPr>
  </w:style>
  <w:style w:type="paragraph" w:styleId="Index7">
    <w:name w:val="index 7"/>
    <w:basedOn w:val="Normal"/>
    <w:next w:val="Normal"/>
    <w:autoRedefine/>
    <w:uiPriority w:val="99"/>
    <w:semiHidden/>
    <w:unhideWhenUsed/>
    <w:rsid w:val="00405991"/>
    <w:pPr>
      <w:spacing w:line="240" w:lineRule="auto"/>
      <w:ind w:left="1540" w:hanging="220"/>
    </w:pPr>
  </w:style>
  <w:style w:type="paragraph" w:styleId="Index8">
    <w:name w:val="index 8"/>
    <w:basedOn w:val="Normal"/>
    <w:next w:val="Normal"/>
    <w:autoRedefine/>
    <w:uiPriority w:val="99"/>
    <w:semiHidden/>
    <w:unhideWhenUsed/>
    <w:rsid w:val="00405991"/>
    <w:pPr>
      <w:spacing w:line="240" w:lineRule="auto"/>
      <w:ind w:left="1760" w:hanging="220"/>
    </w:pPr>
  </w:style>
  <w:style w:type="paragraph" w:styleId="Index9">
    <w:name w:val="index 9"/>
    <w:basedOn w:val="Normal"/>
    <w:next w:val="Normal"/>
    <w:autoRedefine/>
    <w:uiPriority w:val="99"/>
    <w:semiHidden/>
    <w:unhideWhenUsed/>
    <w:rsid w:val="00405991"/>
    <w:pPr>
      <w:spacing w:line="240" w:lineRule="auto"/>
      <w:ind w:left="1980" w:hanging="220"/>
    </w:pPr>
  </w:style>
  <w:style w:type="paragraph" w:styleId="TableofFigures">
    <w:name w:val="table of figures"/>
    <w:basedOn w:val="Normal"/>
    <w:next w:val="Normal"/>
    <w:uiPriority w:val="99"/>
    <w:semiHidden/>
    <w:unhideWhenUsed/>
    <w:rsid w:val="00405991"/>
  </w:style>
  <w:style w:type="paragraph" w:styleId="TableofAuthorities">
    <w:name w:val="table of authorities"/>
    <w:basedOn w:val="Normal"/>
    <w:next w:val="Normal"/>
    <w:uiPriority w:val="99"/>
    <w:semiHidden/>
    <w:unhideWhenUsed/>
    <w:rsid w:val="00405991"/>
    <w:pPr>
      <w:ind w:left="220" w:hanging="220"/>
    </w:pPr>
  </w:style>
  <w:style w:type="paragraph" w:styleId="EnvelopeAddress">
    <w:name w:val="envelope address"/>
    <w:basedOn w:val="Normal"/>
    <w:uiPriority w:val="99"/>
    <w:semiHidden/>
    <w:unhideWhenUsed/>
    <w:rsid w:val="00405991"/>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405991"/>
    <w:pPr>
      <w:spacing w:line="240" w:lineRule="auto"/>
    </w:pPr>
    <w:rPr>
      <w:i/>
      <w:iCs/>
    </w:rPr>
  </w:style>
  <w:style w:type="character" w:customStyle="1" w:styleId="HTMLAddressChar">
    <w:name w:val="HTML Address Char"/>
    <w:basedOn w:val="DefaultParagraphFont"/>
    <w:link w:val="HTMLAddress"/>
    <w:uiPriority w:val="99"/>
    <w:semiHidden/>
    <w:rsid w:val="00405991"/>
    <w:rPr>
      <w:rFonts w:ascii="Arial" w:eastAsia="Times New Roman" w:hAnsi="Arial" w:cs="Times New Roman"/>
      <w:i/>
      <w:iCs/>
      <w:sz w:val="18"/>
      <w:szCs w:val="20"/>
      <w:lang w:val="en-GB"/>
    </w:rPr>
  </w:style>
  <w:style w:type="paragraph" w:styleId="EnvelopeReturn">
    <w:name w:val="envelope return"/>
    <w:basedOn w:val="Normal"/>
    <w:uiPriority w:val="99"/>
    <w:semiHidden/>
    <w:unhideWhenUsed/>
    <w:rsid w:val="00405991"/>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405991"/>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05991"/>
    <w:rPr>
      <w:rFonts w:asciiTheme="majorHAnsi" w:eastAsiaTheme="majorEastAsia" w:hAnsiTheme="majorHAnsi" w:cstheme="majorBidi"/>
      <w:sz w:val="24"/>
      <w:szCs w:val="24"/>
      <w:shd w:val="pct20" w:color="auto" w:fill="auto"/>
      <w:lang w:val="en-GB"/>
    </w:rPr>
  </w:style>
  <w:style w:type="paragraph" w:styleId="NoteHeading">
    <w:name w:val="Note Heading"/>
    <w:basedOn w:val="Normal"/>
    <w:next w:val="Normal"/>
    <w:link w:val="NoteHeadingChar"/>
    <w:uiPriority w:val="99"/>
    <w:semiHidden/>
    <w:unhideWhenUsed/>
    <w:rsid w:val="00405991"/>
    <w:pPr>
      <w:spacing w:line="240" w:lineRule="auto"/>
    </w:pPr>
  </w:style>
  <w:style w:type="character" w:customStyle="1" w:styleId="NoteHeadingChar">
    <w:name w:val="Note Heading Char"/>
    <w:basedOn w:val="DefaultParagraphFont"/>
    <w:link w:val="NoteHeading"/>
    <w:uiPriority w:val="99"/>
    <w:semiHidden/>
    <w:rsid w:val="00405991"/>
    <w:rPr>
      <w:rFonts w:ascii="Arial" w:eastAsia="Times New Roman" w:hAnsi="Arial" w:cs="Times New Roman"/>
      <w:sz w:val="18"/>
      <w:szCs w:val="20"/>
      <w:lang w:val="en-GB"/>
    </w:rPr>
  </w:style>
  <w:style w:type="paragraph" w:styleId="DocumentMap">
    <w:name w:val="Document Map"/>
    <w:basedOn w:val="Normal"/>
    <w:link w:val="DocumentMapChar"/>
    <w:uiPriority w:val="99"/>
    <w:semiHidden/>
    <w:unhideWhenUsed/>
    <w:rsid w:val="00405991"/>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05991"/>
    <w:rPr>
      <w:rFonts w:ascii="Tahoma" w:eastAsia="Times New Roman" w:hAnsi="Tahoma" w:cs="Tahoma"/>
      <w:sz w:val="16"/>
      <w:szCs w:val="16"/>
      <w:lang w:val="en-GB"/>
    </w:rPr>
  </w:style>
  <w:style w:type="paragraph" w:styleId="NormalWeb">
    <w:name w:val="Normal (Web)"/>
    <w:basedOn w:val="Normal"/>
    <w:uiPriority w:val="99"/>
    <w:semiHidden/>
    <w:unhideWhenUsed/>
    <w:rsid w:val="00405991"/>
    <w:rPr>
      <w:sz w:val="24"/>
      <w:szCs w:val="24"/>
    </w:rPr>
  </w:style>
  <w:style w:type="paragraph" w:styleId="ListNumber">
    <w:name w:val="List Number"/>
    <w:basedOn w:val="Normal"/>
    <w:uiPriority w:val="99"/>
    <w:semiHidden/>
    <w:unhideWhenUsed/>
    <w:rsid w:val="00405991"/>
    <w:pPr>
      <w:numPr>
        <w:numId w:val="2"/>
      </w:numPr>
      <w:contextualSpacing/>
    </w:pPr>
  </w:style>
  <w:style w:type="paragraph" w:styleId="ListNumber2">
    <w:name w:val="List Number 2"/>
    <w:basedOn w:val="Normal"/>
    <w:uiPriority w:val="99"/>
    <w:semiHidden/>
    <w:unhideWhenUsed/>
    <w:rsid w:val="00405991"/>
    <w:pPr>
      <w:numPr>
        <w:numId w:val="3"/>
      </w:numPr>
      <w:contextualSpacing/>
    </w:pPr>
  </w:style>
  <w:style w:type="paragraph" w:styleId="ListNumber3">
    <w:name w:val="List Number 3"/>
    <w:basedOn w:val="Normal"/>
    <w:uiPriority w:val="99"/>
    <w:semiHidden/>
    <w:unhideWhenUsed/>
    <w:rsid w:val="00405991"/>
    <w:pPr>
      <w:numPr>
        <w:numId w:val="4"/>
      </w:numPr>
      <w:contextualSpacing/>
    </w:pPr>
  </w:style>
  <w:style w:type="paragraph" w:styleId="ListNumber4">
    <w:name w:val="List Number 4"/>
    <w:basedOn w:val="Normal"/>
    <w:uiPriority w:val="99"/>
    <w:semiHidden/>
    <w:unhideWhenUsed/>
    <w:rsid w:val="00405991"/>
    <w:pPr>
      <w:numPr>
        <w:numId w:val="5"/>
      </w:numPr>
      <w:contextualSpacing/>
    </w:pPr>
  </w:style>
  <w:style w:type="paragraph" w:styleId="ListNumber5">
    <w:name w:val="List Number 5"/>
    <w:basedOn w:val="Normal"/>
    <w:uiPriority w:val="99"/>
    <w:semiHidden/>
    <w:unhideWhenUsed/>
    <w:rsid w:val="00405991"/>
    <w:pPr>
      <w:numPr>
        <w:numId w:val="6"/>
      </w:numPr>
      <w:contextualSpacing/>
    </w:pPr>
  </w:style>
  <w:style w:type="paragraph" w:styleId="HTMLPreformatted">
    <w:name w:val="HTML Preformatted"/>
    <w:basedOn w:val="Normal"/>
    <w:link w:val="HTMLPreformattedChar"/>
    <w:uiPriority w:val="99"/>
    <w:semiHidden/>
    <w:unhideWhenUsed/>
    <w:rsid w:val="00405991"/>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405991"/>
    <w:rPr>
      <w:rFonts w:ascii="Consolas" w:eastAsia="Times New Roman" w:hAnsi="Consolas" w:cs="Consolas"/>
      <w:sz w:val="18"/>
      <w:szCs w:val="20"/>
      <w:lang w:val="en-GB"/>
    </w:rPr>
  </w:style>
  <w:style w:type="paragraph" w:styleId="BodyTextFirstIndent">
    <w:name w:val="Body Text First Indent"/>
    <w:basedOn w:val="BodyText"/>
    <w:link w:val="BodyTextFirstIndentChar"/>
    <w:uiPriority w:val="99"/>
    <w:semiHidden/>
    <w:unhideWhenUsed/>
    <w:rsid w:val="00405991"/>
    <w:pPr>
      <w:spacing w:after="200"/>
      <w:ind w:firstLine="360"/>
    </w:pPr>
  </w:style>
  <w:style w:type="character" w:customStyle="1" w:styleId="BodyTextFirstIndentChar">
    <w:name w:val="Body Text First Indent Char"/>
    <w:basedOn w:val="BodyTextChar"/>
    <w:link w:val="BodyTextFirstIndent"/>
    <w:uiPriority w:val="99"/>
    <w:semiHidden/>
    <w:rsid w:val="00405991"/>
    <w:rPr>
      <w:rFonts w:ascii="Arial" w:eastAsia="Times New Roman" w:hAnsi="Arial" w:cs="Times New Roman"/>
      <w:sz w:val="18"/>
      <w:szCs w:val="20"/>
      <w:lang w:val="en-GB"/>
    </w:rPr>
  </w:style>
  <w:style w:type="paragraph" w:styleId="BodyTextIndent">
    <w:name w:val="Body Text Indent"/>
    <w:basedOn w:val="Normal"/>
    <w:link w:val="BodyTextIndentChar"/>
    <w:uiPriority w:val="99"/>
    <w:semiHidden/>
    <w:unhideWhenUsed/>
    <w:rsid w:val="00405991"/>
    <w:pPr>
      <w:spacing w:after="120"/>
      <w:ind w:left="283"/>
    </w:pPr>
  </w:style>
  <w:style w:type="character" w:customStyle="1" w:styleId="BodyTextIndentChar">
    <w:name w:val="Body Text Indent Char"/>
    <w:basedOn w:val="DefaultParagraphFont"/>
    <w:link w:val="BodyTextIndent"/>
    <w:uiPriority w:val="99"/>
    <w:semiHidden/>
    <w:rsid w:val="00405991"/>
    <w:rPr>
      <w:rFonts w:ascii="Arial" w:eastAsia="Times New Roman" w:hAnsi="Arial" w:cs="Times New Roman"/>
      <w:sz w:val="18"/>
      <w:szCs w:val="20"/>
      <w:lang w:val="en-GB"/>
    </w:rPr>
  </w:style>
  <w:style w:type="paragraph" w:styleId="BodyTextFirstIndent2">
    <w:name w:val="Body Text First Indent 2"/>
    <w:basedOn w:val="BodyTextIndent"/>
    <w:link w:val="BodyTextFirstIndent2Char"/>
    <w:uiPriority w:val="99"/>
    <w:semiHidden/>
    <w:unhideWhenUsed/>
    <w:rsid w:val="00405991"/>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405991"/>
    <w:rPr>
      <w:rFonts w:ascii="Arial" w:eastAsia="Times New Roman" w:hAnsi="Arial" w:cs="Times New Roman"/>
      <w:sz w:val="18"/>
      <w:szCs w:val="20"/>
      <w:lang w:val="en-GB"/>
    </w:rPr>
  </w:style>
  <w:style w:type="paragraph" w:styleId="ListBullet">
    <w:name w:val="List Bullet"/>
    <w:basedOn w:val="Normal"/>
    <w:uiPriority w:val="99"/>
    <w:semiHidden/>
    <w:unhideWhenUsed/>
    <w:rsid w:val="00405991"/>
    <w:pPr>
      <w:numPr>
        <w:numId w:val="7"/>
      </w:numPr>
      <w:contextualSpacing/>
    </w:pPr>
  </w:style>
  <w:style w:type="paragraph" w:styleId="ListBullet2">
    <w:name w:val="List Bullet 2"/>
    <w:basedOn w:val="Normal"/>
    <w:uiPriority w:val="99"/>
    <w:semiHidden/>
    <w:unhideWhenUsed/>
    <w:rsid w:val="00405991"/>
    <w:pPr>
      <w:numPr>
        <w:numId w:val="8"/>
      </w:numPr>
      <w:contextualSpacing/>
    </w:pPr>
  </w:style>
  <w:style w:type="paragraph" w:styleId="ListBullet3">
    <w:name w:val="List Bullet 3"/>
    <w:basedOn w:val="Normal"/>
    <w:uiPriority w:val="99"/>
    <w:semiHidden/>
    <w:unhideWhenUsed/>
    <w:rsid w:val="00405991"/>
    <w:pPr>
      <w:numPr>
        <w:numId w:val="9"/>
      </w:numPr>
      <w:contextualSpacing/>
    </w:pPr>
  </w:style>
  <w:style w:type="paragraph" w:styleId="ListBullet4">
    <w:name w:val="List Bullet 4"/>
    <w:basedOn w:val="Normal"/>
    <w:uiPriority w:val="99"/>
    <w:semiHidden/>
    <w:unhideWhenUsed/>
    <w:rsid w:val="00405991"/>
    <w:pPr>
      <w:numPr>
        <w:numId w:val="10"/>
      </w:numPr>
      <w:contextualSpacing/>
    </w:pPr>
  </w:style>
  <w:style w:type="paragraph" w:styleId="ListBullet5">
    <w:name w:val="List Bullet 5"/>
    <w:basedOn w:val="Normal"/>
    <w:uiPriority w:val="99"/>
    <w:semiHidden/>
    <w:unhideWhenUsed/>
    <w:rsid w:val="00405991"/>
    <w:pPr>
      <w:numPr>
        <w:numId w:val="11"/>
      </w:numPr>
      <w:contextualSpacing/>
    </w:pPr>
  </w:style>
  <w:style w:type="paragraph" w:styleId="BodyTextIndent2">
    <w:name w:val="Body Text Indent 2"/>
    <w:basedOn w:val="Normal"/>
    <w:link w:val="BodyTextIndent2Char"/>
    <w:uiPriority w:val="99"/>
    <w:semiHidden/>
    <w:unhideWhenUsed/>
    <w:rsid w:val="00405991"/>
    <w:pPr>
      <w:spacing w:after="120" w:line="480" w:lineRule="auto"/>
      <w:ind w:left="283"/>
    </w:pPr>
  </w:style>
  <w:style w:type="character" w:customStyle="1" w:styleId="BodyTextIndent2Char">
    <w:name w:val="Body Text Indent 2 Char"/>
    <w:basedOn w:val="DefaultParagraphFont"/>
    <w:link w:val="BodyTextIndent2"/>
    <w:uiPriority w:val="99"/>
    <w:semiHidden/>
    <w:rsid w:val="00405991"/>
    <w:rPr>
      <w:rFonts w:ascii="Arial" w:eastAsia="Times New Roman" w:hAnsi="Arial" w:cs="Times New Roman"/>
      <w:sz w:val="18"/>
      <w:szCs w:val="20"/>
      <w:lang w:val="en-GB"/>
    </w:rPr>
  </w:style>
  <w:style w:type="paragraph" w:styleId="BodyTextIndent3">
    <w:name w:val="Body Text Indent 3"/>
    <w:basedOn w:val="Normal"/>
    <w:link w:val="BodyTextIndent3Char"/>
    <w:uiPriority w:val="99"/>
    <w:semiHidden/>
    <w:unhideWhenUsed/>
    <w:rsid w:val="0040599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05991"/>
    <w:rPr>
      <w:rFonts w:ascii="Arial" w:eastAsia="Times New Roman" w:hAnsi="Arial" w:cs="Times New Roman"/>
      <w:sz w:val="16"/>
      <w:szCs w:val="16"/>
      <w:lang w:val="en-GB"/>
    </w:rPr>
  </w:style>
  <w:style w:type="paragraph" w:styleId="NormalIndent">
    <w:name w:val="Normal Indent"/>
    <w:basedOn w:val="Normal"/>
    <w:uiPriority w:val="99"/>
    <w:semiHidden/>
    <w:unhideWhenUsed/>
    <w:rsid w:val="00405991"/>
    <w:pPr>
      <w:ind w:left="720"/>
    </w:pPr>
  </w:style>
  <w:style w:type="paragraph" w:styleId="CommentText">
    <w:name w:val="annotation text"/>
    <w:basedOn w:val="Normal"/>
    <w:link w:val="CommentTextChar"/>
    <w:uiPriority w:val="99"/>
    <w:unhideWhenUsed/>
    <w:rsid w:val="00405991"/>
    <w:pPr>
      <w:spacing w:line="240" w:lineRule="auto"/>
    </w:pPr>
  </w:style>
  <w:style w:type="character" w:customStyle="1" w:styleId="CommentTextChar">
    <w:name w:val="Comment Text Char"/>
    <w:basedOn w:val="DefaultParagraphFont"/>
    <w:link w:val="CommentText"/>
    <w:uiPriority w:val="99"/>
    <w:rsid w:val="00405991"/>
    <w:rPr>
      <w:rFonts w:ascii="Arial" w:eastAsia="Times New Roman" w:hAnsi="Arial" w:cs="Times New Roman"/>
      <w:sz w:val="18"/>
      <w:szCs w:val="20"/>
      <w:lang w:val="en-GB"/>
    </w:rPr>
  </w:style>
  <w:style w:type="paragraph" w:styleId="CommentSubject">
    <w:name w:val="annotation subject"/>
    <w:basedOn w:val="CommentText"/>
    <w:next w:val="CommentText"/>
    <w:link w:val="CommentSubjectChar"/>
    <w:uiPriority w:val="99"/>
    <w:semiHidden/>
    <w:unhideWhenUsed/>
    <w:rsid w:val="00405991"/>
    <w:rPr>
      <w:b/>
      <w:bCs/>
    </w:rPr>
  </w:style>
  <w:style w:type="character" w:customStyle="1" w:styleId="CommentSubjectChar">
    <w:name w:val="Comment Subject Char"/>
    <w:basedOn w:val="CommentTextChar"/>
    <w:link w:val="CommentSubject"/>
    <w:uiPriority w:val="99"/>
    <w:semiHidden/>
    <w:rsid w:val="00405991"/>
    <w:rPr>
      <w:rFonts w:ascii="Arial" w:eastAsia="Times New Roman" w:hAnsi="Arial" w:cs="Times New Roman"/>
      <w:b/>
      <w:bCs/>
      <w:sz w:val="18"/>
      <w:szCs w:val="20"/>
      <w:lang w:val="en-GB"/>
    </w:rPr>
  </w:style>
  <w:style w:type="paragraph" w:styleId="TOC1">
    <w:name w:val="toc 1"/>
    <w:basedOn w:val="Normal"/>
    <w:next w:val="Normal"/>
    <w:autoRedefine/>
    <w:uiPriority w:val="39"/>
    <w:semiHidden/>
    <w:unhideWhenUsed/>
    <w:rsid w:val="00405991"/>
    <w:pPr>
      <w:spacing w:after="100"/>
    </w:pPr>
  </w:style>
  <w:style w:type="paragraph" w:styleId="TOC2">
    <w:name w:val="toc 2"/>
    <w:basedOn w:val="Normal"/>
    <w:next w:val="Normal"/>
    <w:autoRedefine/>
    <w:uiPriority w:val="39"/>
    <w:semiHidden/>
    <w:unhideWhenUsed/>
    <w:rsid w:val="00405991"/>
    <w:pPr>
      <w:spacing w:after="100"/>
      <w:ind w:left="220"/>
    </w:pPr>
  </w:style>
  <w:style w:type="paragraph" w:styleId="TOC3">
    <w:name w:val="toc 3"/>
    <w:basedOn w:val="Normal"/>
    <w:next w:val="Normal"/>
    <w:autoRedefine/>
    <w:uiPriority w:val="39"/>
    <w:semiHidden/>
    <w:unhideWhenUsed/>
    <w:rsid w:val="00405991"/>
    <w:pPr>
      <w:spacing w:after="100"/>
      <w:ind w:left="440"/>
    </w:pPr>
  </w:style>
  <w:style w:type="paragraph" w:styleId="TOC4">
    <w:name w:val="toc 4"/>
    <w:basedOn w:val="Normal"/>
    <w:next w:val="Normal"/>
    <w:autoRedefine/>
    <w:uiPriority w:val="39"/>
    <w:semiHidden/>
    <w:unhideWhenUsed/>
    <w:rsid w:val="00405991"/>
    <w:pPr>
      <w:spacing w:after="100"/>
      <w:ind w:left="660"/>
    </w:pPr>
  </w:style>
  <w:style w:type="paragraph" w:styleId="TOC5">
    <w:name w:val="toc 5"/>
    <w:basedOn w:val="Normal"/>
    <w:next w:val="Normal"/>
    <w:autoRedefine/>
    <w:uiPriority w:val="39"/>
    <w:semiHidden/>
    <w:unhideWhenUsed/>
    <w:rsid w:val="00405991"/>
    <w:pPr>
      <w:spacing w:after="100"/>
      <w:ind w:left="880"/>
    </w:pPr>
  </w:style>
  <w:style w:type="paragraph" w:styleId="TOC6">
    <w:name w:val="toc 6"/>
    <w:basedOn w:val="Normal"/>
    <w:next w:val="Normal"/>
    <w:autoRedefine/>
    <w:uiPriority w:val="39"/>
    <w:semiHidden/>
    <w:unhideWhenUsed/>
    <w:rsid w:val="00405991"/>
    <w:pPr>
      <w:spacing w:after="100"/>
      <w:ind w:left="1100"/>
    </w:pPr>
  </w:style>
  <w:style w:type="paragraph" w:styleId="TOC7">
    <w:name w:val="toc 7"/>
    <w:basedOn w:val="Normal"/>
    <w:next w:val="Normal"/>
    <w:autoRedefine/>
    <w:uiPriority w:val="39"/>
    <w:semiHidden/>
    <w:unhideWhenUsed/>
    <w:rsid w:val="00405991"/>
    <w:pPr>
      <w:spacing w:after="100"/>
      <w:ind w:left="1320"/>
    </w:pPr>
  </w:style>
  <w:style w:type="paragraph" w:styleId="TOC8">
    <w:name w:val="toc 8"/>
    <w:basedOn w:val="Normal"/>
    <w:next w:val="Normal"/>
    <w:autoRedefine/>
    <w:uiPriority w:val="39"/>
    <w:semiHidden/>
    <w:unhideWhenUsed/>
    <w:rsid w:val="00405991"/>
    <w:pPr>
      <w:spacing w:after="100"/>
      <w:ind w:left="1540"/>
    </w:pPr>
  </w:style>
  <w:style w:type="paragraph" w:styleId="TOC9">
    <w:name w:val="toc 9"/>
    <w:basedOn w:val="Normal"/>
    <w:next w:val="Normal"/>
    <w:autoRedefine/>
    <w:uiPriority w:val="39"/>
    <w:semiHidden/>
    <w:unhideWhenUsed/>
    <w:rsid w:val="00405991"/>
    <w:pPr>
      <w:spacing w:after="100"/>
      <w:ind w:left="1760"/>
    </w:pPr>
  </w:style>
  <w:style w:type="paragraph" w:styleId="BlockText">
    <w:name w:val="Block Text"/>
    <w:basedOn w:val="Normal"/>
    <w:uiPriority w:val="99"/>
    <w:semiHidden/>
    <w:unhideWhenUsed/>
    <w:rsid w:val="004059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MacroText">
    <w:name w:val="macro"/>
    <w:link w:val="MacroTextChar"/>
    <w:uiPriority w:val="99"/>
    <w:semiHidden/>
    <w:unhideWhenUsed/>
    <w:rsid w:val="00405991"/>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cs="Consolas"/>
      <w:sz w:val="20"/>
      <w:szCs w:val="20"/>
    </w:rPr>
  </w:style>
  <w:style w:type="character" w:customStyle="1" w:styleId="MacroTextChar">
    <w:name w:val="Macro Text Char"/>
    <w:basedOn w:val="DefaultParagraphFont"/>
    <w:link w:val="MacroText"/>
    <w:uiPriority w:val="99"/>
    <w:semiHidden/>
    <w:rsid w:val="00405991"/>
    <w:rPr>
      <w:rFonts w:ascii="Consolas" w:hAnsi="Consolas" w:cs="Consolas"/>
      <w:sz w:val="20"/>
      <w:szCs w:val="20"/>
    </w:rPr>
  </w:style>
  <w:style w:type="paragraph" w:styleId="PlainText">
    <w:name w:val="Plain Text"/>
    <w:basedOn w:val="Normal"/>
    <w:link w:val="PlainTextChar"/>
    <w:uiPriority w:val="99"/>
    <w:semiHidden/>
    <w:unhideWhenUsed/>
    <w:rsid w:val="00405991"/>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405991"/>
    <w:rPr>
      <w:rFonts w:ascii="Consolas" w:eastAsia="Times New Roman" w:hAnsi="Consolas" w:cs="Consolas"/>
      <w:sz w:val="21"/>
      <w:szCs w:val="21"/>
      <w:lang w:val="en-GB"/>
    </w:rPr>
  </w:style>
  <w:style w:type="paragraph" w:styleId="FootnoteText">
    <w:name w:val="footnote text"/>
    <w:basedOn w:val="Normal"/>
    <w:link w:val="FootnoteTextChar"/>
    <w:uiPriority w:val="99"/>
    <w:semiHidden/>
    <w:unhideWhenUsed/>
    <w:rsid w:val="00405991"/>
    <w:pPr>
      <w:spacing w:line="240" w:lineRule="auto"/>
    </w:pPr>
  </w:style>
  <w:style w:type="character" w:customStyle="1" w:styleId="FootnoteTextChar">
    <w:name w:val="Footnote Text Char"/>
    <w:basedOn w:val="DefaultParagraphFont"/>
    <w:link w:val="FootnoteText"/>
    <w:uiPriority w:val="99"/>
    <w:semiHidden/>
    <w:rsid w:val="00405991"/>
    <w:rPr>
      <w:rFonts w:ascii="Arial" w:eastAsia="Times New Roman" w:hAnsi="Arial" w:cs="Times New Roman"/>
      <w:sz w:val="18"/>
      <w:szCs w:val="20"/>
      <w:lang w:val="en-GB"/>
    </w:rPr>
  </w:style>
  <w:style w:type="paragraph" w:styleId="EndnoteText">
    <w:name w:val="endnote text"/>
    <w:basedOn w:val="Normal"/>
    <w:link w:val="EndnoteTextChar"/>
    <w:uiPriority w:val="99"/>
    <w:semiHidden/>
    <w:unhideWhenUsed/>
    <w:rsid w:val="00405991"/>
    <w:pPr>
      <w:spacing w:line="240" w:lineRule="auto"/>
    </w:pPr>
  </w:style>
  <w:style w:type="character" w:customStyle="1" w:styleId="EndnoteTextChar">
    <w:name w:val="Endnote Text Char"/>
    <w:basedOn w:val="DefaultParagraphFont"/>
    <w:link w:val="EndnoteText"/>
    <w:uiPriority w:val="99"/>
    <w:semiHidden/>
    <w:rsid w:val="00405991"/>
    <w:rPr>
      <w:rFonts w:ascii="Arial" w:eastAsia="Times New Roman" w:hAnsi="Arial" w:cs="Times New Roman"/>
      <w:sz w:val="18"/>
      <w:szCs w:val="20"/>
      <w:lang w:val="en-GB"/>
    </w:rPr>
  </w:style>
  <w:style w:type="paragraph" w:styleId="IndexHeading">
    <w:name w:val="index heading"/>
    <w:basedOn w:val="Normal"/>
    <w:next w:val="Index1"/>
    <w:uiPriority w:val="99"/>
    <w:semiHidden/>
    <w:unhideWhenUsed/>
    <w:rsid w:val="00405991"/>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40599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05991"/>
    <w:pPr>
      <w:outlineLvl w:val="9"/>
    </w:pPr>
  </w:style>
  <w:style w:type="paragraph" w:customStyle="1" w:styleId="CETemail">
    <w:name w:val="CET email"/>
    <w:next w:val="CETBodytext"/>
    <w:rsid w:val="00405991"/>
    <w:pPr>
      <w:spacing w:after="240" w:line="276" w:lineRule="auto"/>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405991"/>
    <w:rPr>
      <w:rFonts w:ascii="Arial" w:eastAsia="Times New Roman" w:hAnsi="Arial" w:cs="Times New Roman"/>
      <w:noProof/>
      <w:sz w:val="16"/>
      <w:szCs w:val="20"/>
      <w:lang w:val="en-GB"/>
    </w:rPr>
  </w:style>
  <w:style w:type="paragraph" w:customStyle="1" w:styleId="CETBodytextBold">
    <w:name w:val="CET Body text (Bold)"/>
    <w:basedOn w:val="CETBodytext"/>
    <w:rsid w:val="00405991"/>
    <w:rPr>
      <w:b/>
    </w:rPr>
  </w:style>
  <w:style w:type="paragraph" w:customStyle="1" w:styleId="CETnumberingbullets">
    <w:name w:val="CET numbering (bullets)"/>
    <w:rsid w:val="00405991"/>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405991"/>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405991"/>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405991"/>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405991"/>
    <w:rPr>
      <w:rFonts w:ascii="Arial" w:eastAsia="Times New Roman" w:hAnsi="Arial" w:cs="Times New Roman"/>
      <w:sz w:val="18"/>
      <w:szCs w:val="20"/>
      <w:lang w:val="en-GB"/>
    </w:rPr>
  </w:style>
  <w:style w:type="paragraph" w:styleId="Footer">
    <w:name w:val="footer"/>
    <w:basedOn w:val="Normal"/>
    <w:link w:val="FooterChar"/>
    <w:uiPriority w:val="99"/>
    <w:unhideWhenUsed/>
    <w:rsid w:val="00405991"/>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405991"/>
    <w:rPr>
      <w:rFonts w:ascii="Arial" w:eastAsia="Times New Roman" w:hAnsi="Arial" w:cs="Times New Roman"/>
      <w:sz w:val="18"/>
      <w:szCs w:val="20"/>
      <w:lang w:val="en-GB"/>
    </w:rPr>
  </w:style>
  <w:style w:type="table" w:styleId="TableGrid">
    <w:name w:val="Table Grid"/>
    <w:basedOn w:val="TableNormal"/>
    <w:uiPriority w:val="39"/>
    <w:rsid w:val="00405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5991"/>
    <w:rPr>
      <w:color w:val="0563C1" w:themeColor="hyperlink"/>
      <w:u w:val="single"/>
    </w:rPr>
  </w:style>
  <w:style w:type="character" w:customStyle="1" w:styleId="eudoraheader">
    <w:name w:val="eudoraheader"/>
    <w:basedOn w:val="DefaultParagraphFont"/>
    <w:rsid w:val="00405991"/>
  </w:style>
  <w:style w:type="paragraph" w:customStyle="1" w:styleId="CETListbullets">
    <w:name w:val="CET List bullets"/>
    <w:qFormat/>
    <w:rsid w:val="00405991"/>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405991"/>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405991"/>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405991"/>
    <w:pPr>
      <w:spacing w:before="200" w:after="120" w:line="276" w:lineRule="auto"/>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405991"/>
    <w:pPr>
      <w:spacing w:before="120" w:after="120"/>
      <w:jc w:val="left"/>
    </w:pPr>
    <w:rPr>
      <w:lang w:val="en-GB"/>
    </w:rPr>
  </w:style>
  <w:style w:type="paragraph" w:customStyle="1" w:styleId="CETHeadingxx">
    <w:name w:val="CET Headingxx"/>
    <w:basedOn w:val="CETheadingx"/>
    <w:link w:val="CETHeadingxxChar"/>
    <w:qFormat/>
    <w:rsid w:val="00405991"/>
    <w:pPr>
      <w:numPr>
        <w:ilvl w:val="0"/>
        <w:numId w:val="0"/>
      </w:numPr>
    </w:pPr>
  </w:style>
  <w:style w:type="character" w:customStyle="1" w:styleId="CETHeadingxxChar">
    <w:name w:val="CET Headingxx Char"/>
    <w:basedOn w:val="CETheadingxCarattere"/>
    <w:link w:val="CETHeadingxx"/>
    <w:rsid w:val="00405991"/>
    <w:rPr>
      <w:rFonts w:ascii="Arial" w:eastAsia="Times New Roman" w:hAnsi="Arial" w:cs="Times New Roman"/>
      <w:b/>
      <w:sz w:val="18"/>
      <w:szCs w:val="20"/>
      <w:lang w:val="en-US"/>
    </w:rPr>
  </w:style>
  <w:style w:type="paragraph" w:styleId="ListParagraph">
    <w:name w:val="List Paragraph"/>
    <w:basedOn w:val="Normal"/>
    <w:uiPriority w:val="34"/>
    <w:rsid w:val="00405991"/>
    <w:pPr>
      <w:ind w:left="720"/>
      <w:contextualSpacing/>
    </w:pPr>
  </w:style>
  <w:style w:type="character" w:customStyle="1" w:styleId="gmail-apple-converted-space">
    <w:name w:val="gmail-apple-converted-space"/>
    <w:basedOn w:val="DefaultParagraphFont"/>
    <w:rsid w:val="00405991"/>
  </w:style>
  <w:style w:type="character" w:styleId="PlaceholderText">
    <w:name w:val="Placeholder Text"/>
    <w:basedOn w:val="DefaultParagraphFont"/>
    <w:uiPriority w:val="99"/>
    <w:semiHidden/>
    <w:rsid w:val="00405991"/>
    <w:rPr>
      <w:color w:val="808080"/>
    </w:rPr>
  </w:style>
  <w:style w:type="paragraph" w:customStyle="1" w:styleId="EndNoteBibliographyTitle">
    <w:name w:val="EndNote Bibliography Title"/>
    <w:basedOn w:val="Normal"/>
    <w:link w:val="EndNoteBibliographyTitleChar"/>
    <w:rsid w:val="00405991"/>
    <w:pPr>
      <w:jc w:val="center"/>
    </w:pPr>
    <w:rPr>
      <w:rFonts w:cs="Arial"/>
      <w:noProof/>
      <w:lang w:val="en-US"/>
    </w:rPr>
  </w:style>
  <w:style w:type="character" w:customStyle="1" w:styleId="EndNoteBibliographyTitleChar">
    <w:name w:val="EndNote Bibliography Title Char"/>
    <w:basedOn w:val="CETBodytextCarattere"/>
    <w:link w:val="EndNoteBibliographyTitle"/>
    <w:rsid w:val="00405991"/>
    <w:rPr>
      <w:rFonts w:ascii="Arial" w:eastAsia="Times New Roman" w:hAnsi="Arial" w:cs="Arial"/>
      <w:noProof/>
      <w:sz w:val="18"/>
      <w:szCs w:val="20"/>
      <w:lang w:val="en-US"/>
    </w:rPr>
  </w:style>
  <w:style w:type="paragraph" w:customStyle="1" w:styleId="EndNoteBibliography">
    <w:name w:val="EndNote Bibliography"/>
    <w:basedOn w:val="Normal"/>
    <w:link w:val="EndNoteBibliographyChar"/>
    <w:rsid w:val="00405991"/>
    <w:pPr>
      <w:spacing w:line="240" w:lineRule="auto"/>
    </w:pPr>
    <w:rPr>
      <w:rFonts w:cs="Arial"/>
      <w:noProof/>
      <w:lang w:val="en-US"/>
    </w:rPr>
  </w:style>
  <w:style w:type="character" w:customStyle="1" w:styleId="EndNoteBibliographyChar">
    <w:name w:val="EndNote Bibliography Char"/>
    <w:basedOn w:val="CETBodytextCarattere"/>
    <w:link w:val="EndNoteBibliography"/>
    <w:rsid w:val="00405991"/>
    <w:rPr>
      <w:rFonts w:ascii="Arial" w:eastAsia="Times New Roman" w:hAnsi="Arial" w:cs="Arial"/>
      <w:noProof/>
      <w:sz w:val="18"/>
      <w:szCs w:val="20"/>
      <w:lang w:val="en-US"/>
    </w:rPr>
  </w:style>
  <w:style w:type="character" w:styleId="UnresolvedMention">
    <w:name w:val="Unresolved Mention"/>
    <w:basedOn w:val="DefaultParagraphFont"/>
    <w:uiPriority w:val="99"/>
    <w:semiHidden/>
    <w:unhideWhenUsed/>
    <w:rsid w:val="004059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3907</Words>
  <Characters>22276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Zeppilli</dc:creator>
  <cp:keywords/>
  <dc:description/>
  <cp:lastModifiedBy>Marco Zeppilli</cp:lastModifiedBy>
  <cp:revision>6</cp:revision>
  <dcterms:created xsi:type="dcterms:W3CDTF">2026-09-26T14:39:00Z</dcterms:created>
  <dcterms:modified xsi:type="dcterms:W3CDTF">2026-09-26T14:53:00Z</dcterms:modified>
</cp:coreProperties>
</file>