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DE264A">
        <w:trPr>
          <w:trHeight w:val="852"/>
          <w:jc w:val="center"/>
        </w:trPr>
        <w:tc>
          <w:tcPr>
            <w:tcW w:w="6946"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3"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DE264A">
        <w:trPr>
          <w:trHeight w:val="567"/>
          <w:jc w:val="center"/>
        </w:trPr>
        <w:tc>
          <w:tcPr>
            <w:tcW w:w="6946" w:type="dxa"/>
            <w:vMerge/>
            <w:tcBorders>
              <w:right w:val="single" w:sz="4" w:space="0" w:color="auto"/>
            </w:tcBorders>
          </w:tcPr>
          <w:p w14:paraId="39E5E4C1" w14:textId="77777777" w:rsidR="000A03B2" w:rsidRPr="00B57B36" w:rsidRDefault="000A03B2" w:rsidP="00CD5FE2">
            <w:pPr>
              <w:tabs>
                <w:tab w:val="left" w:pos="-108"/>
              </w:tabs>
            </w:pPr>
          </w:p>
        </w:tc>
        <w:tc>
          <w:tcPr>
            <w:tcW w:w="1843"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DE264A">
        <w:trPr>
          <w:trHeight w:val="68"/>
          <w:jc w:val="center"/>
        </w:trPr>
        <w:tc>
          <w:tcPr>
            <w:tcW w:w="8789"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2E667253" w14:textId="581833F3" w:rsidR="00E978D0" w:rsidRPr="00A3158B" w:rsidRDefault="00A3158B" w:rsidP="00F5507B">
      <w:pPr>
        <w:pStyle w:val="CETTitle"/>
        <w:spacing w:line="240" w:lineRule="auto"/>
        <w:rPr>
          <w:lang w:val="en-US"/>
        </w:rPr>
      </w:pPr>
      <w:r w:rsidRPr="00A3158B">
        <w:t>Waste-to-Resource Strategy: Enhancing Concrete Properties through Sustainable Use of Soda Industry Limestone Residues</w:t>
      </w:r>
    </w:p>
    <w:p w14:paraId="0488FED2" w14:textId="290B14F1" w:rsidR="00B57E6F" w:rsidRPr="00F5507B" w:rsidRDefault="00A3158B" w:rsidP="00B57E6F">
      <w:pPr>
        <w:pStyle w:val="CETAuthors"/>
        <w:rPr>
          <w:vertAlign w:val="subscript"/>
        </w:rPr>
      </w:pPr>
      <w:r w:rsidRPr="00A3158B">
        <w:t>Shohrukh Rajabov</w:t>
      </w:r>
      <w:r w:rsidRPr="00A3158B">
        <w:rPr>
          <w:vertAlign w:val="superscript"/>
        </w:rPr>
        <w:t>a</w:t>
      </w:r>
      <w:r w:rsidRPr="00B57B36">
        <w:rPr>
          <w:vertAlign w:val="superscript"/>
        </w:rPr>
        <w:t>,</w:t>
      </w:r>
      <w:r w:rsidRPr="00B57B36">
        <w:t>*</w:t>
      </w:r>
      <w:r w:rsidR="00B57E6F" w:rsidRPr="00B57B36">
        <w:t xml:space="preserve">, </w:t>
      </w:r>
      <w:r w:rsidRPr="00A3158B">
        <w:t>Kholtura Mirzakulov</w:t>
      </w:r>
      <w:r>
        <w:rPr>
          <w:vertAlign w:val="superscript"/>
        </w:rPr>
        <w:t>a</w:t>
      </w:r>
      <w:r w:rsidRPr="00A3158B">
        <w:t>, Mirjalil Yunusov</w:t>
      </w:r>
      <w:r w:rsidR="00426C0B">
        <w:rPr>
          <w:vertAlign w:val="superscript"/>
        </w:rPr>
        <w:t>b</w:t>
      </w:r>
      <w:r w:rsidRPr="00A3158B">
        <w:t>, Gavhar Melikulova</w:t>
      </w:r>
      <w:r>
        <w:rPr>
          <w:vertAlign w:val="superscript"/>
        </w:rPr>
        <w:t>a</w:t>
      </w:r>
      <w:r w:rsidR="00F5507B">
        <w:t xml:space="preserve">, </w:t>
      </w:r>
      <w:r w:rsidR="00F5507B">
        <w:t>Kamola</w:t>
      </w:r>
      <w:r w:rsidR="00F5507B">
        <w:t xml:space="preserve"> Arifdjanova</w:t>
      </w:r>
      <w:r w:rsidR="00F5507B" w:rsidRPr="00F5507B">
        <w:rPr>
          <w:vertAlign w:val="superscript"/>
        </w:rPr>
        <w:t>a</w:t>
      </w:r>
      <w:r w:rsidR="00B57E6F" w:rsidRPr="00B57B36">
        <w:t xml:space="preserve"> </w:t>
      </w:r>
    </w:p>
    <w:p w14:paraId="6B2D21B3" w14:textId="31D6BF10" w:rsidR="00B57E6F" w:rsidRPr="00B57B36" w:rsidRDefault="00B57E6F" w:rsidP="00B57E6F">
      <w:pPr>
        <w:pStyle w:val="CETAddress"/>
      </w:pPr>
      <w:r w:rsidRPr="00B57B36">
        <w:rPr>
          <w:vertAlign w:val="superscript"/>
        </w:rPr>
        <w:t>a</w:t>
      </w:r>
      <w:r w:rsidR="00A3158B" w:rsidRPr="00A3158B">
        <w:rPr>
          <w:noProof w:val="0"/>
          <w:sz w:val="18"/>
        </w:rPr>
        <w:t xml:space="preserve"> </w:t>
      </w:r>
      <w:r w:rsidR="00A3158B" w:rsidRPr="00A3158B">
        <w:t>Tashkent Institute of Chemical Technology,</w:t>
      </w:r>
      <w:r w:rsidR="00A3158B">
        <w:t xml:space="preserve"> </w:t>
      </w:r>
      <w:r w:rsidR="00A3158B" w:rsidRPr="00A3158B">
        <w:t>Department of Inorganic Substances Technology,</w:t>
      </w:r>
      <w:r w:rsidR="00A3158B">
        <w:t xml:space="preserve"> </w:t>
      </w:r>
      <w:r w:rsidR="00A3158B" w:rsidRPr="00A3158B">
        <w:t>32 Navoi Street, Tashkent 100011, Uzbekistan</w:t>
      </w:r>
      <w:r w:rsidRPr="00B57B36">
        <w:t xml:space="preserve"> </w:t>
      </w:r>
    </w:p>
    <w:p w14:paraId="7C32C21B" w14:textId="58DD4DC3" w:rsidR="00426C0B" w:rsidRDefault="00B57E6F" w:rsidP="00426C0B">
      <w:pPr>
        <w:pStyle w:val="CETAddress"/>
      </w:pPr>
      <w:r w:rsidRPr="00B57B36">
        <w:rPr>
          <w:vertAlign w:val="superscript"/>
        </w:rPr>
        <w:t>b</w:t>
      </w:r>
      <w:r w:rsidR="00426C0B" w:rsidRPr="00426C0B">
        <w:rPr>
          <w:noProof w:val="0"/>
          <w:sz w:val="18"/>
        </w:rPr>
        <w:t xml:space="preserve"> </w:t>
      </w:r>
      <w:r w:rsidR="00426C0B" w:rsidRPr="00426C0B">
        <w:t>Tashkent Institute of Chemical Technology,</w:t>
      </w:r>
      <w:r w:rsidR="00426C0B">
        <w:t xml:space="preserve"> </w:t>
      </w:r>
      <w:r w:rsidR="00426C0B" w:rsidRPr="00426C0B">
        <w:t>Department of Industrial Ecology and “Green” Technologies,</w:t>
      </w:r>
      <w:r w:rsidR="00426C0B">
        <w:t xml:space="preserve"> </w:t>
      </w:r>
      <w:r w:rsidR="00426C0B" w:rsidRPr="00426C0B">
        <w:t>32 Navoi Street, Tashkent 100011, Uzbekistan</w:t>
      </w:r>
    </w:p>
    <w:p w14:paraId="15A44321" w14:textId="244C7305" w:rsidR="00426C0B" w:rsidRDefault="00B57E6F" w:rsidP="00426C0B">
      <w:pPr>
        <w:pStyle w:val="CETAddress"/>
      </w:pPr>
      <w:r>
        <w:t xml:space="preserve"> </w:t>
      </w:r>
      <w:r w:rsidR="00426C0B">
        <w:t>*-</w:t>
      </w:r>
      <w:r w:rsidR="00426C0B" w:rsidRPr="00426C0B">
        <w:t xml:space="preserve"> </w:t>
      </w:r>
      <w:hyperlink r:id="rId10" w:history="1">
        <w:r w:rsidR="00426C0B" w:rsidRPr="009F7C74">
          <w:rPr>
            <w:rStyle w:val="afffc"/>
          </w:rPr>
          <w:t>rajabovs179@gmail.com</w:t>
        </w:r>
      </w:hyperlink>
      <w:r w:rsidR="00426C0B">
        <w:t xml:space="preserve"> </w:t>
      </w:r>
    </w:p>
    <w:p w14:paraId="71EE3896" w14:textId="77777777" w:rsidR="00426C0B" w:rsidRPr="00B57B36" w:rsidRDefault="00426C0B" w:rsidP="00426C0B">
      <w:pPr>
        <w:pStyle w:val="CETAddress"/>
      </w:pPr>
    </w:p>
    <w:p w14:paraId="4B6A2E69" w14:textId="0C97D7D2" w:rsidR="00426C0B" w:rsidRPr="00426C0B" w:rsidRDefault="00426C0B" w:rsidP="00426C0B">
      <w:pPr>
        <w:pStyle w:val="CETBodytext"/>
        <w:rPr>
          <w:iCs/>
        </w:rPr>
      </w:pPr>
      <w:r w:rsidRPr="00426C0B">
        <w:rPr>
          <w:iCs/>
        </w:rPr>
        <w:t>The rapid growth of soda production industries has led to the continuous accumulation of fine-fraction limestone waste, posing a significant environmental challenge due to land degradation, dust emissions, and inefficient resource utilization. In particular, the Kungrat soda plant generates approximately 35–40 tons of such waste daily, highlighting the urgent need for sustainable waste management solutions aligned with circular economy principles. This study investigates the potential reuse of fine-fraction limestone waste as a secondary raw material in high-strength concrete production, with a focus on both environmental and engineering performance.</w:t>
      </w:r>
    </w:p>
    <w:p w14:paraId="43834CBC" w14:textId="5B2DE8E7" w:rsidR="00426C0B" w:rsidRPr="00426C0B" w:rsidRDefault="00426C0B" w:rsidP="00426C0B">
      <w:pPr>
        <w:pStyle w:val="CETBodytext"/>
        <w:rPr>
          <w:iCs/>
        </w:rPr>
      </w:pPr>
      <w:r w:rsidRPr="00426C0B">
        <w:rPr>
          <w:iCs/>
        </w:rPr>
        <w:t>Comprehensive physico-chemical and mechanical analyses of the waste material were conducted using modern characterization techniques, including X-ray diffraction (XRD) and infrared (IR) spectroscopy. The results confirmed that the waste is predominantly composed of calcium carbonate (CaCO</w:t>
      </w:r>
      <w:r w:rsidR="00F5507B" w:rsidRPr="00F5507B">
        <w:rPr>
          <w:rFonts w:ascii="Cambria Math" w:hAnsi="Cambria Math" w:cs="Cambria Math"/>
          <w:iCs/>
          <w:vertAlign w:val="subscript"/>
        </w:rPr>
        <w:t>3</w:t>
      </w:r>
      <w:r w:rsidRPr="00426C0B">
        <w:rPr>
          <w:iCs/>
        </w:rPr>
        <w:t xml:space="preserve"> </w:t>
      </w:r>
      <w:r w:rsidRPr="00426C0B">
        <w:rPr>
          <w:rFonts w:cs="Arial"/>
          <w:iCs/>
        </w:rPr>
        <w:t>≈</w:t>
      </w:r>
      <w:r w:rsidRPr="00426C0B">
        <w:rPr>
          <w:iCs/>
        </w:rPr>
        <w:t>95.5</w:t>
      </w:r>
      <w:r w:rsidR="009213BD">
        <w:rPr>
          <w:iCs/>
        </w:rPr>
        <w:t xml:space="preserve"> </w:t>
      </w:r>
      <w:r w:rsidRPr="00426C0B">
        <w:rPr>
          <w:iCs/>
        </w:rPr>
        <w:t>%) with minor impurities, and does not contain harmful components that could negatively affect concrete durability or environmental safety. Its granulometric composition and mechanical properties meet the standard requirements for coarse aggregates.</w:t>
      </w:r>
    </w:p>
    <w:p w14:paraId="1F2392EE" w14:textId="3D84F80A" w:rsidR="00426C0B" w:rsidRPr="00426C0B" w:rsidRDefault="00426C0B" w:rsidP="00426C0B">
      <w:pPr>
        <w:pStyle w:val="CETBodytext"/>
        <w:rPr>
          <w:iCs/>
        </w:rPr>
      </w:pPr>
      <w:r w:rsidRPr="00426C0B">
        <w:rPr>
          <w:iCs/>
        </w:rPr>
        <w:t>Experimental investigations were carried out to evaluate the performance of concrete mixtures incorporating varying proportions of limestone waste. The findings revealed that partial substitution of conventional aggregates with 60–65</w:t>
      </w:r>
      <w:r w:rsidR="009213BD">
        <w:rPr>
          <w:iCs/>
        </w:rPr>
        <w:t xml:space="preserve"> </w:t>
      </w:r>
      <w:r w:rsidRPr="00426C0B">
        <w:rPr>
          <w:iCs/>
        </w:rPr>
        <w:t>% limestone waste leads to optimal results, improving compressive strength by up to 3.5</w:t>
      </w:r>
      <w:r w:rsidR="009213BD">
        <w:rPr>
          <w:iCs/>
        </w:rPr>
        <w:t xml:space="preserve"> </w:t>
      </w:r>
      <w:r w:rsidRPr="00426C0B">
        <w:rPr>
          <w:iCs/>
        </w:rPr>
        <w:t>% compared to traditional concrete. Additionally, concrete produced with up to 85</w:t>
      </w:r>
      <w:r w:rsidR="009213BD">
        <w:rPr>
          <w:iCs/>
        </w:rPr>
        <w:t xml:space="preserve"> </w:t>
      </w:r>
      <w:r w:rsidRPr="00426C0B">
        <w:rPr>
          <w:iCs/>
        </w:rPr>
        <w:t>% waste content meets standard strength requirements, demonstrating the material’s technical viability.</w:t>
      </w:r>
    </w:p>
    <w:p w14:paraId="32C864A4" w14:textId="77777777" w:rsidR="00426C0B" w:rsidRPr="00426C0B" w:rsidRDefault="00426C0B" w:rsidP="00426C0B">
      <w:pPr>
        <w:pStyle w:val="CETBodytext"/>
        <w:rPr>
          <w:iCs/>
        </w:rPr>
      </w:pPr>
      <w:r w:rsidRPr="00426C0B">
        <w:rPr>
          <w:iCs/>
        </w:rPr>
        <w:t>From an ecological perspective, the proposed approach significantly reduces industrial waste accumulation, minimizes the need for natural aggregate extraction, and lowers the environmental footprint of construction materials. The reuse of limestone waste contributes to resource conservation, reduction of greenhouse gas emissions associated with raw material processing, and mitigation of pollution from waste disposal sites.</w:t>
      </w:r>
    </w:p>
    <w:p w14:paraId="4CC9B98D" w14:textId="77777777" w:rsidR="00426C0B" w:rsidRPr="00426C0B" w:rsidRDefault="00426C0B" w:rsidP="00426C0B">
      <w:pPr>
        <w:pStyle w:val="CETBodytext"/>
        <w:rPr>
          <w:iCs/>
        </w:rPr>
      </w:pPr>
      <w:r w:rsidRPr="00426C0B">
        <w:rPr>
          <w:iCs/>
        </w:rPr>
        <w:t>Overall, this research demonstrates that integrating soda industry limestone waste into concrete production represents an effective and sustainable strategy that simultaneously addresses environmental concerns and enhances material performance. The results support the development of eco-friendly construction technologies and provide a practical pathway toward achieving sustainable industrial waste valorization.</w:t>
      </w:r>
    </w:p>
    <w:p w14:paraId="383BAFAA" w14:textId="77777777" w:rsidR="008A5736" w:rsidRDefault="008A5736" w:rsidP="008A5736">
      <w:pPr>
        <w:pStyle w:val="CETBodytext"/>
        <w:rPr>
          <w:b/>
          <w:bCs/>
          <w:iCs/>
        </w:rPr>
      </w:pPr>
    </w:p>
    <w:p w14:paraId="0B9F132F" w14:textId="5450BBA6" w:rsidR="008A5736" w:rsidRPr="008A5736" w:rsidRDefault="008A5736" w:rsidP="008A5736">
      <w:pPr>
        <w:pStyle w:val="CETBodytext"/>
        <w:rPr>
          <w:iCs/>
        </w:rPr>
      </w:pPr>
      <w:r w:rsidRPr="008A5736">
        <w:rPr>
          <w:b/>
          <w:bCs/>
          <w:iCs/>
        </w:rPr>
        <w:t>Keywords:</w:t>
      </w:r>
      <w:r w:rsidRPr="008A5736">
        <w:rPr>
          <w:iCs/>
        </w:rPr>
        <w:t xml:space="preserve"> industrial waste recycling, sustainable concrete, limestone waste, circular economy, eco-friendly materials, soda industry.</w:t>
      </w:r>
    </w:p>
    <w:p w14:paraId="09BF57CC" w14:textId="77777777" w:rsidR="00426C0B" w:rsidRPr="008A5736" w:rsidRDefault="00426C0B" w:rsidP="00426C0B">
      <w:pPr>
        <w:pStyle w:val="CETBodytext"/>
      </w:pPr>
    </w:p>
    <w:p w14:paraId="471C7883" w14:textId="77777777" w:rsidR="008A5736" w:rsidRDefault="00600535" w:rsidP="008A5736">
      <w:pPr>
        <w:pStyle w:val="CETBodytext"/>
        <w:rPr>
          <w:b/>
          <w:bCs/>
          <w:lang w:val="en-GB"/>
        </w:rPr>
      </w:pPr>
      <w:r w:rsidRPr="000577CE">
        <w:rPr>
          <w:b/>
          <w:bCs/>
          <w:lang w:val="en-GB"/>
        </w:rPr>
        <w:t>Introduction</w:t>
      </w:r>
      <w:r w:rsidR="008A5736" w:rsidRPr="000577CE">
        <w:rPr>
          <w:b/>
          <w:bCs/>
          <w:lang w:val="en-GB"/>
        </w:rPr>
        <w:t>.</w:t>
      </w:r>
    </w:p>
    <w:p w14:paraId="4E1F5EEE" w14:textId="0EF2F775" w:rsidR="000577CE" w:rsidRPr="000577CE" w:rsidRDefault="000577CE" w:rsidP="000577CE">
      <w:pPr>
        <w:pStyle w:val="CETBodytext"/>
        <w:rPr>
          <w:rFonts w:cs="Arial"/>
          <w:lang w:val="en-GB"/>
        </w:rPr>
      </w:pPr>
      <w:r w:rsidRPr="000577CE">
        <w:rPr>
          <w:rFonts w:cs="Arial"/>
          <w:lang w:val="en-GB"/>
        </w:rPr>
        <w:t xml:space="preserve">In recent decades, rapid industrial growth has led to the large-scale generation of solid waste, creating significant environmental challenges worldwide. In particular, the soda ash industry produces fine-fraction limestone waste, which accumulates in open areas and contributes to land degradation and environmental </w:t>
      </w:r>
      <w:r w:rsidRPr="00F5507B">
        <w:rPr>
          <w:rFonts w:cs="Arial"/>
          <w:lang w:val="en-GB"/>
        </w:rPr>
        <w:t>pollution (</w:t>
      </w:r>
      <w:r w:rsidR="00F5507B" w:rsidRPr="00F5507B">
        <w:rPr>
          <w:bCs/>
        </w:rPr>
        <w:t>Chajec A., 2022</w:t>
      </w:r>
      <w:r w:rsidRPr="00F5507B">
        <w:rPr>
          <w:rFonts w:cs="Arial"/>
          <w:lang w:val="en-GB"/>
        </w:rPr>
        <w:t xml:space="preserve">; </w:t>
      </w:r>
      <w:r w:rsidRPr="000577CE">
        <w:rPr>
          <w:rFonts w:cs="Arial"/>
          <w:lang w:val="en-GB"/>
        </w:rPr>
        <w:t>Damtoft et al., 2008).</w:t>
      </w:r>
      <w:r w:rsidR="00F5507B">
        <w:rPr>
          <w:rFonts w:cs="Arial"/>
          <w:lang w:val="en-GB"/>
        </w:rPr>
        <w:t xml:space="preserve"> </w:t>
      </w:r>
      <w:r w:rsidRPr="000577CE">
        <w:rPr>
          <w:rFonts w:cs="Arial"/>
          <w:lang w:val="en-GB"/>
        </w:rPr>
        <w:t xml:space="preserve">At the same time, the construction industry, especially concrete production, is a </w:t>
      </w:r>
      <w:r w:rsidRPr="000577CE">
        <w:rPr>
          <w:rFonts w:cs="Arial"/>
          <w:lang w:val="en-GB"/>
        </w:rPr>
        <w:lastRenderedPageBreak/>
        <w:t>major consumer of natural resources. The extraction of aggregates not only depletes non-renewable resources but also increases CO</w:t>
      </w:r>
      <w:r w:rsidRPr="000577CE">
        <w:rPr>
          <w:rFonts w:ascii="Cambria Math" w:hAnsi="Cambria Math" w:cs="Cambria Math"/>
          <w:lang w:val="en-GB"/>
        </w:rPr>
        <w:t>₂</w:t>
      </w:r>
      <w:r w:rsidRPr="000577CE">
        <w:rPr>
          <w:rFonts w:cs="Arial"/>
          <w:lang w:val="en-GB"/>
        </w:rPr>
        <w:t xml:space="preserve"> emissions and ecological disturbances (Scrivener et al., 2018; Andrew, 2018; Miller et al., 2016). Therefore, the use of industrial by-products as alternative raw materials is considered an effective approach to sustainable construction (</w:t>
      </w:r>
      <w:r w:rsidR="00F5507B" w:rsidRPr="00F5507B">
        <w:rPr>
          <w:bCs/>
        </w:rPr>
        <w:t xml:space="preserve">Etxeberria </w:t>
      </w:r>
      <w:r w:rsidR="00F5507B">
        <w:rPr>
          <w:bCs/>
        </w:rPr>
        <w:t>and</w:t>
      </w:r>
      <w:r w:rsidR="00F5507B" w:rsidRPr="00F5507B">
        <w:rPr>
          <w:bCs/>
        </w:rPr>
        <w:t xml:space="preserve"> Castillo, 2023</w:t>
      </w:r>
      <w:r w:rsidRPr="000577CE">
        <w:rPr>
          <w:rFonts w:cs="Arial"/>
          <w:lang w:val="en-GB"/>
        </w:rPr>
        <w:t>).</w:t>
      </w:r>
    </w:p>
    <w:p w14:paraId="67636A8C" w14:textId="2D93538C" w:rsidR="00B866B6" w:rsidRDefault="000577CE" w:rsidP="000577CE">
      <w:pPr>
        <w:pStyle w:val="CETBodytext"/>
        <w:rPr>
          <w:rFonts w:cs="Arial"/>
          <w:lang w:val="en-GB"/>
        </w:rPr>
      </w:pPr>
      <w:r w:rsidRPr="000577CE">
        <w:rPr>
          <w:rFonts w:cs="Arial"/>
          <w:lang w:val="en-GB"/>
        </w:rPr>
        <w:t>Among industrial wastes, limestone residues from soda production are of particular interest due to their high calcium carbonate content and favorable physicochemical properties (</w:t>
      </w:r>
      <w:r w:rsidR="00F5507B" w:rsidRPr="00F5507B">
        <w:rPr>
          <w:bCs/>
        </w:rPr>
        <w:t xml:space="preserve">Shmlls </w:t>
      </w:r>
      <w:r w:rsidR="00F5507B">
        <w:rPr>
          <w:bCs/>
        </w:rPr>
        <w:t>et al.,</w:t>
      </w:r>
      <w:r w:rsidR="00F5507B" w:rsidRPr="00F5507B">
        <w:rPr>
          <w:bCs/>
        </w:rPr>
        <w:t xml:space="preserve"> 2023</w:t>
      </w:r>
      <w:r w:rsidRPr="000577CE">
        <w:rPr>
          <w:rFonts w:cs="Arial"/>
          <w:lang w:val="en-GB"/>
        </w:rPr>
        <w:t>; Gartner and Sui, 2018). Previous studies have shown that carbonate materials improve concrete performance by enhancing bonding and optimizing the microstructure (Bentz et al., 2016; Li et al., 2024), while their compatibility with cement hydration products contributes to improved durability (Lothenbach et al., 2011).</w:t>
      </w:r>
      <w:r w:rsidR="00B866B6">
        <w:rPr>
          <w:rFonts w:cs="Arial"/>
          <w:lang w:val="en-GB"/>
        </w:rPr>
        <w:t xml:space="preserve"> </w:t>
      </w:r>
      <w:r w:rsidRPr="000577CE">
        <w:rPr>
          <w:rFonts w:cs="Arial"/>
          <w:lang w:val="en-GB"/>
        </w:rPr>
        <w:t>The use of carbonate fillers has also been associated with improved strength due to better stress distribution. However, the large-scale utilization of fine-fraction limestone waste from soda industries remains limited (</w:t>
      </w:r>
      <w:r w:rsidR="00F5507B">
        <w:rPr>
          <w:rFonts w:cs="Arial"/>
          <w:lang w:val="en-GB"/>
        </w:rPr>
        <w:t>Su</w:t>
      </w:r>
      <w:r w:rsidRPr="000577CE">
        <w:rPr>
          <w:rFonts w:cs="Arial"/>
          <w:lang w:val="en-GB"/>
        </w:rPr>
        <w:t xml:space="preserve"> et al., </w:t>
      </w:r>
      <w:r w:rsidR="00F5507B">
        <w:rPr>
          <w:rFonts w:cs="Arial"/>
          <w:lang w:val="en-GB"/>
        </w:rPr>
        <w:t>2023</w:t>
      </w:r>
      <w:r w:rsidRPr="000577CE">
        <w:rPr>
          <w:rFonts w:cs="Arial"/>
          <w:lang w:val="en-GB"/>
        </w:rPr>
        <w:t>).</w:t>
      </w:r>
      <w:r w:rsidR="00B866B6">
        <w:rPr>
          <w:rFonts w:cs="Arial"/>
          <w:lang w:val="en-GB"/>
        </w:rPr>
        <w:t xml:space="preserve"> </w:t>
      </w:r>
      <w:r w:rsidRPr="000577CE">
        <w:rPr>
          <w:rFonts w:cs="Arial"/>
          <w:lang w:val="en-GB"/>
        </w:rPr>
        <w:t>From an environmental perspective, the reuse of industrial waste reduces landfill accumulation, conserves natural resources, and lowers greenhouse gas emissions (Habert et al., 2020; Siddique and Cachim, 2018).</w:t>
      </w:r>
      <w:r w:rsidR="00B866B6">
        <w:rPr>
          <w:rFonts w:cs="Arial"/>
          <w:lang w:val="en-GB"/>
        </w:rPr>
        <w:t xml:space="preserve"> </w:t>
      </w:r>
      <w:r w:rsidRPr="000577CE">
        <w:rPr>
          <w:rFonts w:cs="Arial"/>
          <w:lang w:val="en-GB"/>
        </w:rPr>
        <w:t>Therefore, this study aims to evaluate the potential of fine-fraction limestone waste as a coarse aggregate in high-strength concrete, focusing on its physicochemical characteristics, mechanical performance, and environmental benefits.</w:t>
      </w:r>
      <w:r w:rsidR="00B866B6">
        <w:rPr>
          <w:rFonts w:cs="Arial"/>
          <w:lang w:val="en-GB"/>
        </w:rPr>
        <w:t xml:space="preserve"> </w:t>
      </w:r>
    </w:p>
    <w:p w14:paraId="6655388F" w14:textId="126C7F7C" w:rsidR="000577CE" w:rsidRDefault="00B866B6" w:rsidP="000577CE">
      <w:pPr>
        <w:pStyle w:val="CETBodytext"/>
        <w:rPr>
          <w:rFonts w:cs="Arial"/>
          <w:lang w:val="en-GB"/>
        </w:rPr>
      </w:pPr>
      <w:r w:rsidRPr="00B866B6">
        <w:rPr>
          <w:rFonts w:cs="Arial"/>
          <w:lang w:val="en-GB"/>
        </w:rPr>
        <w:t>Although previous studies have investigated the use of limestone-based materials in cementitious systems, limited attention has been given to the utilization of fine-fraction limestone waste generated specifically by soda production plants as a coarse aggregate in high-strength concrete. In addition, the combined evaluation of physicochemical characteristics, mechanical performance, and environmental benefits of this waste material remains insufficiently explored. Therefore, the novelty of this study lies in the comprehensive investigation of soda industry limestone residues as a sustainable alternative aggregate for high-strength concrete production within a circular economy framework.</w:t>
      </w:r>
    </w:p>
    <w:p w14:paraId="27A6BE90" w14:textId="77777777" w:rsidR="00EA273A" w:rsidRPr="00F5507B" w:rsidRDefault="00EA273A" w:rsidP="008A5736">
      <w:pPr>
        <w:pStyle w:val="CETBodytext"/>
        <w:rPr>
          <w:sz w:val="14"/>
          <w:szCs w:val="16"/>
          <w:lang w:val="en-GB"/>
        </w:rPr>
      </w:pPr>
    </w:p>
    <w:p w14:paraId="76C92449" w14:textId="3B05D5E0" w:rsidR="00EA273A" w:rsidRPr="00EA273A" w:rsidRDefault="00EA273A" w:rsidP="00EA273A">
      <w:pPr>
        <w:pStyle w:val="CETBodytext"/>
        <w:rPr>
          <w:b/>
          <w:sz w:val="20"/>
          <w:lang w:val="en-GB"/>
        </w:rPr>
      </w:pPr>
      <w:r w:rsidRPr="00EA273A">
        <w:rPr>
          <w:b/>
          <w:sz w:val="20"/>
          <w:lang w:val="en-GB"/>
        </w:rPr>
        <w:t>Methods</w:t>
      </w:r>
    </w:p>
    <w:p w14:paraId="53DABDFD" w14:textId="77777777" w:rsidR="000577CE" w:rsidRPr="000577CE" w:rsidRDefault="000577CE" w:rsidP="000577CE">
      <w:pPr>
        <w:pStyle w:val="CETBodytext"/>
        <w:rPr>
          <w:bCs/>
          <w:szCs w:val="18"/>
          <w:lang w:val="en-GB"/>
        </w:rPr>
      </w:pPr>
      <w:r w:rsidRPr="000577CE">
        <w:rPr>
          <w:bCs/>
          <w:szCs w:val="18"/>
          <w:lang w:val="en-GB"/>
        </w:rPr>
        <w:t>The chemical composition of the fine-fraction limestone waste was determined under laboratory conditions using standard analytical methods. The contents of CaO and MgO were analyzed by volumetric titration using a 0.05 N Trilon B solution in the presence of a chrome dark blue indicator according to GOST 8677-76 and GOST 4526-75.</w:t>
      </w:r>
    </w:p>
    <w:p w14:paraId="5E0A4574" w14:textId="77777777" w:rsidR="000577CE" w:rsidRPr="000577CE" w:rsidRDefault="000577CE" w:rsidP="000577CE">
      <w:pPr>
        <w:pStyle w:val="CETBodytext"/>
        <w:rPr>
          <w:bCs/>
          <w:szCs w:val="18"/>
          <w:lang w:val="en-GB"/>
        </w:rPr>
      </w:pPr>
      <w:r w:rsidRPr="000577CE">
        <w:rPr>
          <w:bCs/>
          <w:szCs w:val="18"/>
          <w:lang w:val="en-GB"/>
        </w:rPr>
        <w:t>X-ray diffraction (XRD) analysis of the raw material was performed using a SHIMADZU 6100 diffractometer under the following operating conditions: voltage 25 kV, current 8 mA, and scanning speed 2°/min.</w:t>
      </w:r>
    </w:p>
    <w:p w14:paraId="5A2A313F" w14:textId="44AB2B5B" w:rsidR="000577CE" w:rsidRPr="000577CE" w:rsidRDefault="000577CE" w:rsidP="000577CE">
      <w:pPr>
        <w:pStyle w:val="CETBodytext"/>
        <w:rPr>
          <w:bCs/>
          <w:szCs w:val="18"/>
          <w:lang w:val="en-GB"/>
        </w:rPr>
      </w:pPr>
      <w:r w:rsidRPr="000577CE">
        <w:rPr>
          <w:bCs/>
          <w:szCs w:val="18"/>
          <w:lang w:val="en-GB"/>
        </w:rPr>
        <w:t>Infrared (IR) spectroscopic analysis was carried out using a SHIMADZU IRAffinity-1S spectrophotometer in the wavenumber range of 4000–400 cm</w:t>
      </w:r>
      <w:r w:rsidRPr="000577CE">
        <w:rPr>
          <w:rFonts w:ascii="Cambria Math" w:hAnsi="Cambria Math" w:cs="Cambria Math"/>
          <w:bCs/>
          <w:szCs w:val="18"/>
          <w:vertAlign w:val="superscript"/>
          <w:lang w:val="en-GB"/>
        </w:rPr>
        <w:t>-1</w:t>
      </w:r>
      <w:r w:rsidRPr="000577CE">
        <w:rPr>
          <w:bCs/>
          <w:szCs w:val="18"/>
          <w:lang w:val="en-GB"/>
        </w:rPr>
        <w:t>.</w:t>
      </w:r>
    </w:p>
    <w:p w14:paraId="45ACDCA6" w14:textId="77777777" w:rsidR="000577CE" w:rsidRPr="000577CE" w:rsidRDefault="000577CE" w:rsidP="000577CE">
      <w:pPr>
        <w:pStyle w:val="CETBodytext"/>
        <w:rPr>
          <w:bCs/>
          <w:szCs w:val="18"/>
          <w:lang w:val="en-GB"/>
        </w:rPr>
      </w:pPr>
      <w:r w:rsidRPr="000577CE">
        <w:rPr>
          <w:bCs/>
          <w:szCs w:val="18"/>
          <w:lang w:val="en-GB"/>
        </w:rPr>
        <w:t>The granulometric composition and physical-mechanical properties of the limestone waste were determined in accordance with GOST 8267-93 and GOST 8269-97 standards.</w:t>
      </w:r>
    </w:p>
    <w:p w14:paraId="0B284CDB" w14:textId="1AA3C68B" w:rsidR="000577CE" w:rsidRPr="000577CE" w:rsidRDefault="000577CE" w:rsidP="000577CE">
      <w:pPr>
        <w:pStyle w:val="CETBodytext"/>
        <w:rPr>
          <w:bCs/>
          <w:szCs w:val="18"/>
          <w:lang w:val="en-GB"/>
        </w:rPr>
      </w:pPr>
      <w:r w:rsidRPr="000577CE">
        <w:rPr>
          <w:bCs/>
          <w:szCs w:val="18"/>
          <w:lang w:val="en-GB"/>
        </w:rPr>
        <w:t>Concrete samples (100×100×100 mm) of grade M400 (class B30) were prepared using limestone waste as a coarse aggregate, quartz sand as a fine aggregate, and Portland cement (PC400-D20) as a binder. The water–cement ratio was maintained at 0.55, and the workability of the mixtures corresponded to slump class P2 according to GOST 7473-2010.</w:t>
      </w:r>
    </w:p>
    <w:p w14:paraId="7D03CF77" w14:textId="723AB1C4" w:rsidR="00643934" w:rsidRDefault="000577CE" w:rsidP="000577CE">
      <w:pPr>
        <w:pStyle w:val="CETBodytext"/>
        <w:rPr>
          <w:bCs/>
          <w:szCs w:val="18"/>
          <w:lang w:val="en-GB"/>
        </w:rPr>
      </w:pPr>
      <w:r w:rsidRPr="000577CE">
        <w:rPr>
          <w:bCs/>
          <w:szCs w:val="18"/>
          <w:lang w:val="en-GB"/>
        </w:rPr>
        <w:t>The compressive strength of the concrete samples was tested at different curing periods (3, 7, 28, 90, 180, and 360 days) in accordance with GOST 10180-2012.</w:t>
      </w:r>
    </w:p>
    <w:p w14:paraId="583D1970" w14:textId="77777777" w:rsidR="000577CE" w:rsidRPr="00F5507B" w:rsidRDefault="000577CE" w:rsidP="000577CE">
      <w:pPr>
        <w:pStyle w:val="CETBodytext"/>
        <w:rPr>
          <w:bCs/>
          <w:sz w:val="12"/>
          <w:szCs w:val="12"/>
          <w:lang w:val="en-GB"/>
        </w:rPr>
      </w:pPr>
    </w:p>
    <w:p w14:paraId="7264CBAC" w14:textId="77777777" w:rsidR="00643934" w:rsidRDefault="00643934" w:rsidP="00643934">
      <w:pPr>
        <w:overflowPunct w:val="0"/>
        <w:autoSpaceDE w:val="0"/>
        <w:autoSpaceDN w:val="0"/>
        <w:adjustRightInd w:val="0"/>
        <w:spacing w:line="240" w:lineRule="auto"/>
        <w:jc w:val="left"/>
        <w:textAlignment w:val="baseline"/>
        <w:rPr>
          <w:rFonts w:cs="Arial"/>
          <w:b/>
          <w:szCs w:val="18"/>
          <w:lang w:eastAsia="de-DE"/>
        </w:rPr>
      </w:pPr>
      <w:r w:rsidRPr="00643934">
        <w:rPr>
          <w:rFonts w:cs="Arial"/>
          <w:b/>
          <w:szCs w:val="18"/>
          <w:lang w:eastAsia="de-DE"/>
        </w:rPr>
        <w:t>Research Results</w:t>
      </w:r>
    </w:p>
    <w:p w14:paraId="2CB836BD" w14:textId="312C75F8" w:rsidR="00643934" w:rsidRPr="00643934" w:rsidRDefault="00643934" w:rsidP="00643934">
      <w:pPr>
        <w:overflowPunct w:val="0"/>
        <w:autoSpaceDE w:val="0"/>
        <w:autoSpaceDN w:val="0"/>
        <w:adjustRightInd w:val="0"/>
        <w:spacing w:line="240" w:lineRule="auto"/>
        <w:textAlignment w:val="baseline"/>
        <w:rPr>
          <w:rFonts w:cs="Arial"/>
          <w:szCs w:val="18"/>
          <w:lang w:bidi="en-US"/>
        </w:rPr>
      </w:pPr>
      <w:r w:rsidRPr="00643934">
        <w:rPr>
          <w:rFonts w:cs="Arial"/>
          <w:szCs w:val="18"/>
          <w:lang w:bidi="en-US"/>
        </w:rPr>
        <w:t>In order to study the effect of the waste products of Soda production plants on the strength of concrete, firstly, it is necessary to study its composition and physico-mechanical properties. As fillers applied for high strength concrete should be clean and have a good granular composition, and less porous, should not have as weak granules as possible. The consistency limit of a large filler should be 20</w:t>
      </w:r>
      <w:r w:rsidR="009213BD">
        <w:rPr>
          <w:rFonts w:cs="Arial"/>
          <w:szCs w:val="18"/>
          <w:lang w:bidi="en-US"/>
        </w:rPr>
        <w:t xml:space="preserve"> </w:t>
      </w:r>
      <w:r w:rsidRPr="00643934">
        <w:rPr>
          <w:rFonts w:cs="Arial"/>
          <w:szCs w:val="18"/>
          <w:lang w:bidi="en-US"/>
        </w:rPr>
        <w:t>% higher than the given strength of concrete.</w:t>
      </w:r>
    </w:p>
    <w:p w14:paraId="3218BBF7" w14:textId="3F6C47B0" w:rsidR="00643934" w:rsidRPr="00643934" w:rsidRDefault="00643934" w:rsidP="00903FDA">
      <w:pPr>
        <w:widowControl w:val="0"/>
        <w:autoSpaceDE w:val="0"/>
        <w:autoSpaceDN w:val="0"/>
        <w:spacing w:line="240" w:lineRule="auto"/>
        <w:rPr>
          <w:rFonts w:cs="Arial"/>
          <w:szCs w:val="18"/>
          <w:lang w:bidi="en-US"/>
        </w:rPr>
      </w:pPr>
      <w:r w:rsidRPr="00643934">
        <w:rPr>
          <w:rFonts w:cs="Arial"/>
          <w:szCs w:val="18"/>
          <w:lang w:bidi="en-US"/>
        </w:rPr>
        <w:t xml:space="preserve">For this reason, </w:t>
      </w:r>
      <w:r w:rsidR="00B866B6" w:rsidRPr="00B866B6">
        <w:rPr>
          <w:rFonts w:cs="Arial"/>
          <w:szCs w:val="18"/>
          <w:lang w:bidi="en-US"/>
        </w:rPr>
        <w:t>the chemical composition was determined</w:t>
      </w:r>
      <w:r w:rsidR="00B866B6">
        <w:rPr>
          <w:rFonts w:cs="Arial"/>
          <w:szCs w:val="18"/>
          <w:lang w:bidi="en-US"/>
        </w:rPr>
        <w:t xml:space="preserve"> </w:t>
      </w:r>
      <w:r w:rsidRPr="00643934">
        <w:rPr>
          <w:rFonts w:cs="Arial"/>
          <w:szCs w:val="18"/>
          <w:lang w:bidi="en-US"/>
        </w:rPr>
        <w:t>of the first raw materials. Based on the results of the conducted chemical analysis, the chemical composition of the fine-fraction limestone, coming out of the soda production plant, was determined. The results are presented in Table 1 below. listed.</w:t>
      </w:r>
    </w:p>
    <w:p w14:paraId="004544B0" w14:textId="77777777" w:rsidR="00903FDA" w:rsidRPr="009213BD" w:rsidRDefault="00903FDA" w:rsidP="00643934">
      <w:pPr>
        <w:widowControl w:val="0"/>
        <w:autoSpaceDE w:val="0"/>
        <w:autoSpaceDN w:val="0"/>
        <w:spacing w:line="240" w:lineRule="auto"/>
        <w:contextualSpacing/>
        <w:jc w:val="center"/>
        <w:rPr>
          <w:rFonts w:ascii="Times New Roman" w:hAnsi="Times New Roman"/>
          <w:sz w:val="10"/>
          <w:szCs w:val="12"/>
          <w:lang w:bidi="en-US"/>
        </w:rPr>
      </w:pPr>
    </w:p>
    <w:p w14:paraId="721BB6BB" w14:textId="5A080218" w:rsidR="00643934" w:rsidRPr="00903FDA" w:rsidRDefault="00643934" w:rsidP="00903FDA">
      <w:pPr>
        <w:widowControl w:val="0"/>
        <w:autoSpaceDE w:val="0"/>
        <w:autoSpaceDN w:val="0"/>
        <w:spacing w:line="240" w:lineRule="auto"/>
        <w:contextualSpacing/>
        <w:jc w:val="left"/>
        <w:rPr>
          <w:rFonts w:cs="Arial"/>
          <w:szCs w:val="18"/>
          <w:lang w:bidi="en-US"/>
        </w:rPr>
      </w:pPr>
      <w:r w:rsidRPr="00903FDA">
        <w:rPr>
          <w:rFonts w:cs="Arial"/>
          <w:szCs w:val="18"/>
          <w:lang w:bidi="en-US"/>
        </w:rPr>
        <w:t>Table 1. Chemical composition of fine-fraction limestones of the Soda plant</w:t>
      </w:r>
    </w:p>
    <w:tbl>
      <w:tblPr>
        <w:tblW w:w="7655" w:type="dxa"/>
        <w:tblCellMar>
          <w:left w:w="103" w:type="dxa"/>
        </w:tblCellMar>
        <w:tblLook w:val="01E0" w:firstRow="1" w:lastRow="1" w:firstColumn="1" w:lastColumn="1" w:noHBand="0" w:noVBand="0"/>
      </w:tblPr>
      <w:tblGrid>
        <w:gridCol w:w="965"/>
        <w:gridCol w:w="678"/>
        <w:gridCol w:w="731"/>
        <w:gridCol w:w="649"/>
        <w:gridCol w:w="765"/>
        <w:gridCol w:w="768"/>
        <w:gridCol w:w="807"/>
        <w:gridCol w:w="588"/>
        <w:gridCol w:w="1704"/>
      </w:tblGrid>
      <w:tr w:rsidR="00643934" w:rsidRPr="00903FDA" w14:paraId="5A725E8C" w14:textId="77777777" w:rsidTr="00F5507B">
        <w:trPr>
          <w:trHeight w:val="328"/>
        </w:trPr>
        <w:tc>
          <w:tcPr>
            <w:tcW w:w="965" w:type="dxa"/>
            <w:tcBorders>
              <w:top w:val="single" w:sz="4" w:space="0" w:color="auto"/>
              <w:bottom w:val="single" w:sz="4" w:space="0" w:color="auto"/>
            </w:tcBorders>
            <w:vAlign w:val="center"/>
            <w:hideMark/>
          </w:tcPr>
          <w:p w14:paraId="2C3E05B7" w14:textId="77777777" w:rsidR="00643934" w:rsidRPr="00903FDA" w:rsidRDefault="00643934" w:rsidP="00F6157A">
            <w:pPr>
              <w:widowControl w:val="0"/>
              <w:suppressAutoHyphens/>
              <w:autoSpaceDE w:val="0"/>
              <w:autoSpaceDN w:val="0"/>
              <w:spacing w:line="240" w:lineRule="auto"/>
              <w:jc w:val="center"/>
              <w:rPr>
                <w:rFonts w:cs="Arial"/>
                <w:szCs w:val="18"/>
                <w:lang w:eastAsia="ru-RU" w:bidi="en-US"/>
              </w:rPr>
            </w:pPr>
            <w:r w:rsidRPr="00903FDA">
              <w:rPr>
                <w:rFonts w:cs="Arial"/>
                <w:szCs w:val="18"/>
                <w:lang w:eastAsia="ru-RU" w:bidi="en-US"/>
              </w:rPr>
              <w:t>№</w:t>
            </w:r>
          </w:p>
        </w:tc>
        <w:tc>
          <w:tcPr>
            <w:tcW w:w="678" w:type="dxa"/>
            <w:tcBorders>
              <w:top w:val="single" w:sz="4" w:space="0" w:color="auto"/>
              <w:bottom w:val="single" w:sz="4" w:space="0" w:color="auto"/>
            </w:tcBorders>
            <w:vAlign w:val="center"/>
          </w:tcPr>
          <w:p w14:paraId="626E18F7" w14:textId="77777777" w:rsidR="00643934" w:rsidRPr="00903FDA" w:rsidRDefault="00643934" w:rsidP="00F6157A">
            <w:pPr>
              <w:widowControl w:val="0"/>
              <w:suppressAutoHyphens/>
              <w:autoSpaceDE w:val="0"/>
              <w:autoSpaceDN w:val="0"/>
              <w:spacing w:line="240" w:lineRule="auto"/>
              <w:jc w:val="center"/>
              <w:rPr>
                <w:rFonts w:cs="Arial"/>
                <w:szCs w:val="18"/>
                <w:lang w:eastAsia="ru-RU" w:bidi="en-US"/>
              </w:rPr>
            </w:pPr>
            <w:r w:rsidRPr="00903FDA">
              <w:rPr>
                <w:rFonts w:cs="Arial"/>
                <w:szCs w:val="18"/>
                <w:lang w:eastAsia="ru-RU" w:bidi="en-US"/>
              </w:rPr>
              <w:t>CaO</w:t>
            </w:r>
          </w:p>
        </w:tc>
        <w:tc>
          <w:tcPr>
            <w:tcW w:w="731" w:type="dxa"/>
            <w:tcBorders>
              <w:top w:val="single" w:sz="4" w:space="0" w:color="auto"/>
              <w:bottom w:val="single" w:sz="4" w:space="0" w:color="auto"/>
            </w:tcBorders>
            <w:vAlign w:val="center"/>
          </w:tcPr>
          <w:p w14:paraId="34C0B39E" w14:textId="77777777" w:rsidR="00643934" w:rsidRPr="00903FDA" w:rsidRDefault="00643934" w:rsidP="00F6157A">
            <w:pPr>
              <w:widowControl w:val="0"/>
              <w:suppressAutoHyphens/>
              <w:autoSpaceDE w:val="0"/>
              <w:autoSpaceDN w:val="0"/>
              <w:spacing w:line="240" w:lineRule="auto"/>
              <w:jc w:val="center"/>
              <w:rPr>
                <w:rFonts w:cs="Arial"/>
                <w:szCs w:val="18"/>
                <w:lang w:eastAsia="ru-RU" w:bidi="en-US"/>
              </w:rPr>
            </w:pPr>
            <w:r w:rsidRPr="00903FDA">
              <w:rPr>
                <w:rFonts w:cs="Arial"/>
                <w:szCs w:val="18"/>
                <w:lang w:eastAsia="ru-RU" w:bidi="en-US"/>
              </w:rPr>
              <w:t>MgO</w:t>
            </w:r>
          </w:p>
        </w:tc>
        <w:tc>
          <w:tcPr>
            <w:tcW w:w="649" w:type="dxa"/>
            <w:tcBorders>
              <w:top w:val="single" w:sz="4" w:space="0" w:color="auto"/>
              <w:bottom w:val="single" w:sz="4" w:space="0" w:color="auto"/>
            </w:tcBorders>
            <w:vAlign w:val="center"/>
          </w:tcPr>
          <w:p w14:paraId="5FB77FDA" w14:textId="77777777" w:rsidR="00643934" w:rsidRPr="00903FDA" w:rsidRDefault="00643934" w:rsidP="00F6157A">
            <w:pPr>
              <w:widowControl w:val="0"/>
              <w:suppressAutoHyphens/>
              <w:autoSpaceDE w:val="0"/>
              <w:autoSpaceDN w:val="0"/>
              <w:spacing w:line="240" w:lineRule="auto"/>
              <w:jc w:val="center"/>
              <w:rPr>
                <w:rFonts w:cs="Arial"/>
                <w:szCs w:val="18"/>
                <w:lang w:eastAsia="ru-RU" w:bidi="en-US"/>
              </w:rPr>
            </w:pPr>
            <w:r w:rsidRPr="00903FDA">
              <w:rPr>
                <w:rFonts w:cs="Arial"/>
                <w:szCs w:val="18"/>
                <w:lang w:eastAsia="ru-RU" w:bidi="en-US"/>
              </w:rPr>
              <w:t>SiO</w:t>
            </w:r>
            <w:r w:rsidRPr="00903FDA">
              <w:rPr>
                <w:rFonts w:cs="Arial"/>
                <w:szCs w:val="18"/>
                <w:vertAlign w:val="subscript"/>
                <w:lang w:eastAsia="ru-RU" w:bidi="en-US"/>
              </w:rPr>
              <w:t>2</w:t>
            </w:r>
          </w:p>
        </w:tc>
        <w:tc>
          <w:tcPr>
            <w:tcW w:w="765" w:type="dxa"/>
            <w:tcBorders>
              <w:top w:val="single" w:sz="4" w:space="0" w:color="auto"/>
              <w:bottom w:val="single" w:sz="4" w:space="0" w:color="auto"/>
            </w:tcBorders>
            <w:vAlign w:val="center"/>
          </w:tcPr>
          <w:p w14:paraId="1DB0A4AA" w14:textId="77777777" w:rsidR="00643934" w:rsidRPr="00903FDA" w:rsidRDefault="00643934" w:rsidP="00F6157A">
            <w:pPr>
              <w:widowControl w:val="0"/>
              <w:suppressAutoHyphens/>
              <w:autoSpaceDE w:val="0"/>
              <w:autoSpaceDN w:val="0"/>
              <w:spacing w:line="240" w:lineRule="auto"/>
              <w:jc w:val="center"/>
              <w:rPr>
                <w:rFonts w:cs="Arial"/>
                <w:szCs w:val="18"/>
                <w:lang w:eastAsia="ru-RU" w:bidi="en-US"/>
              </w:rPr>
            </w:pPr>
            <w:r w:rsidRPr="00903FDA">
              <w:rPr>
                <w:rFonts w:cs="Arial"/>
                <w:szCs w:val="18"/>
                <w:lang w:eastAsia="ru-RU" w:bidi="en-US"/>
              </w:rPr>
              <w:t>Na</w:t>
            </w:r>
            <w:r w:rsidRPr="00903FDA">
              <w:rPr>
                <w:rFonts w:cs="Arial"/>
                <w:szCs w:val="18"/>
                <w:vertAlign w:val="subscript"/>
                <w:lang w:eastAsia="ru-RU" w:bidi="en-US"/>
              </w:rPr>
              <w:t>2</w:t>
            </w:r>
            <w:r w:rsidRPr="00903FDA">
              <w:rPr>
                <w:rFonts w:cs="Arial"/>
                <w:szCs w:val="18"/>
                <w:lang w:eastAsia="ru-RU" w:bidi="en-US"/>
              </w:rPr>
              <w:t>O</w:t>
            </w:r>
          </w:p>
        </w:tc>
        <w:tc>
          <w:tcPr>
            <w:tcW w:w="768" w:type="dxa"/>
            <w:tcBorders>
              <w:top w:val="single" w:sz="4" w:space="0" w:color="auto"/>
              <w:bottom w:val="single" w:sz="4" w:space="0" w:color="auto"/>
            </w:tcBorders>
            <w:vAlign w:val="center"/>
            <w:hideMark/>
          </w:tcPr>
          <w:p w14:paraId="1CA9D8C3" w14:textId="77777777" w:rsidR="00643934" w:rsidRPr="00903FDA" w:rsidRDefault="00643934" w:rsidP="00F6157A">
            <w:pPr>
              <w:widowControl w:val="0"/>
              <w:suppressAutoHyphens/>
              <w:autoSpaceDE w:val="0"/>
              <w:autoSpaceDN w:val="0"/>
              <w:spacing w:line="240" w:lineRule="auto"/>
              <w:jc w:val="center"/>
              <w:rPr>
                <w:rFonts w:cs="Arial"/>
                <w:szCs w:val="18"/>
                <w:lang w:eastAsia="ru-RU" w:bidi="en-US"/>
              </w:rPr>
            </w:pPr>
            <w:r w:rsidRPr="00903FDA">
              <w:rPr>
                <w:rFonts w:cs="Arial"/>
                <w:szCs w:val="18"/>
                <w:lang w:eastAsia="ru-RU" w:bidi="en-US"/>
              </w:rPr>
              <w:t>Al</w:t>
            </w:r>
            <w:r w:rsidRPr="00903FDA">
              <w:rPr>
                <w:rFonts w:cs="Arial"/>
                <w:szCs w:val="18"/>
                <w:vertAlign w:val="subscript"/>
                <w:lang w:eastAsia="ru-RU" w:bidi="en-US"/>
              </w:rPr>
              <w:t>2</w:t>
            </w:r>
            <w:r w:rsidRPr="00903FDA">
              <w:rPr>
                <w:rFonts w:cs="Arial"/>
                <w:szCs w:val="18"/>
                <w:lang w:eastAsia="ru-RU" w:bidi="en-US"/>
              </w:rPr>
              <w:t>O</w:t>
            </w:r>
            <w:r w:rsidRPr="00903FDA">
              <w:rPr>
                <w:rFonts w:cs="Arial"/>
                <w:szCs w:val="18"/>
                <w:vertAlign w:val="subscript"/>
                <w:lang w:eastAsia="ru-RU" w:bidi="en-US"/>
              </w:rPr>
              <w:t>3</w:t>
            </w:r>
          </w:p>
        </w:tc>
        <w:tc>
          <w:tcPr>
            <w:tcW w:w="807" w:type="dxa"/>
            <w:tcBorders>
              <w:top w:val="single" w:sz="4" w:space="0" w:color="auto"/>
              <w:bottom w:val="single" w:sz="4" w:space="0" w:color="auto"/>
            </w:tcBorders>
            <w:vAlign w:val="center"/>
            <w:hideMark/>
          </w:tcPr>
          <w:p w14:paraId="3AED83DC" w14:textId="77777777" w:rsidR="00643934" w:rsidRPr="00903FDA" w:rsidRDefault="00643934" w:rsidP="00F6157A">
            <w:pPr>
              <w:widowControl w:val="0"/>
              <w:suppressAutoHyphens/>
              <w:autoSpaceDE w:val="0"/>
              <w:autoSpaceDN w:val="0"/>
              <w:spacing w:line="240" w:lineRule="auto"/>
              <w:jc w:val="center"/>
              <w:rPr>
                <w:rFonts w:cs="Arial"/>
                <w:szCs w:val="18"/>
                <w:lang w:eastAsia="ru-RU" w:bidi="en-US"/>
              </w:rPr>
            </w:pPr>
            <w:r w:rsidRPr="00903FDA">
              <w:rPr>
                <w:rFonts w:cs="Arial"/>
                <w:szCs w:val="18"/>
                <w:lang w:eastAsia="ru-RU" w:bidi="en-US"/>
              </w:rPr>
              <w:t>Fe</w:t>
            </w:r>
            <w:r w:rsidRPr="00903FDA">
              <w:rPr>
                <w:rFonts w:cs="Arial"/>
                <w:szCs w:val="18"/>
                <w:vertAlign w:val="subscript"/>
                <w:lang w:eastAsia="ru-RU" w:bidi="en-US"/>
              </w:rPr>
              <w:t>2</w:t>
            </w:r>
            <w:r w:rsidRPr="00903FDA">
              <w:rPr>
                <w:rFonts w:cs="Arial"/>
                <w:szCs w:val="18"/>
                <w:lang w:eastAsia="ru-RU" w:bidi="en-US"/>
              </w:rPr>
              <w:t>O</w:t>
            </w:r>
            <w:r w:rsidRPr="00903FDA">
              <w:rPr>
                <w:rFonts w:cs="Arial"/>
                <w:szCs w:val="18"/>
                <w:vertAlign w:val="subscript"/>
                <w:lang w:eastAsia="ru-RU" w:bidi="en-US"/>
              </w:rPr>
              <w:t>3</w:t>
            </w:r>
          </w:p>
        </w:tc>
        <w:tc>
          <w:tcPr>
            <w:tcW w:w="588" w:type="dxa"/>
            <w:tcBorders>
              <w:top w:val="single" w:sz="4" w:space="0" w:color="auto"/>
              <w:bottom w:val="single" w:sz="4" w:space="0" w:color="auto"/>
            </w:tcBorders>
            <w:vAlign w:val="center"/>
            <w:hideMark/>
          </w:tcPr>
          <w:p w14:paraId="44E872A7" w14:textId="77777777" w:rsidR="00643934" w:rsidRPr="00903FDA" w:rsidRDefault="00643934" w:rsidP="00F6157A">
            <w:pPr>
              <w:widowControl w:val="0"/>
              <w:suppressAutoHyphens/>
              <w:autoSpaceDE w:val="0"/>
              <w:autoSpaceDN w:val="0"/>
              <w:spacing w:line="240" w:lineRule="auto"/>
              <w:jc w:val="center"/>
              <w:rPr>
                <w:rFonts w:cs="Arial"/>
                <w:szCs w:val="18"/>
                <w:lang w:eastAsia="ru-RU" w:bidi="en-US"/>
              </w:rPr>
            </w:pPr>
            <w:r w:rsidRPr="00903FDA">
              <w:rPr>
                <w:rFonts w:cs="Arial"/>
                <w:szCs w:val="18"/>
                <w:lang w:eastAsia="ru-RU" w:bidi="en-US"/>
              </w:rPr>
              <w:t>SO</w:t>
            </w:r>
            <w:r w:rsidRPr="00903FDA">
              <w:rPr>
                <w:rFonts w:cs="Arial"/>
                <w:szCs w:val="18"/>
                <w:vertAlign w:val="subscript"/>
                <w:lang w:eastAsia="ru-RU" w:bidi="en-US"/>
              </w:rPr>
              <w:t>3</w:t>
            </w:r>
          </w:p>
        </w:tc>
        <w:tc>
          <w:tcPr>
            <w:tcW w:w="1704" w:type="dxa"/>
            <w:tcBorders>
              <w:top w:val="single" w:sz="4" w:space="0" w:color="auto"/>
              <w:bottom w:val="single" w:sz="4" w:space="0" w:color="auto"/>
            </w:tcBorders>
            <w:vAlign w:val="center"/>
          </w:tcPr>
          <w:p w14:paraId="24834171" w14:textId="77777777" w:rsidR="00643934" w:rsidRPr="00903FDA" w:rsidRDefault="00643934" w:rsidP="00F6157A">
            <w:pPr>
              <w:widowControl w:val="0"/>
              <w:suppressAutoHyphens/>
              <w:autoSpaceDE w:val="0"/>
              <w:autoSpaceDN w:val="0"/>
              <w:spacing w:line="240" w:lineRule="auto"/>
              <w:jc w:val="center"/>
              <w:rPr>
                <w:rFonts w:cs="Arial"/>
                <w:szCs w:val="18"/>
                <w:lang w:eastAsia="ru-RU" w:bidi="en-US"/>
              </w:rPr>
            </w:pPr>
            <w:r w:rsidRPr="00903FDA">
              <w:rPr>
                <w:rFonts w:cs="Arial"/>
                <w:szCs w:val="18"/>
                <w:lang w:bidi="en-US"/>
              </w:rPr>
              <w:t>Loss on ignition</w:t>
            </w:r>
          </w:p>
        </w:tc>
      </w:tr>
      <w:tr w:rsidR="00643934" w:rsidRPr="00903FDA" w14:paraId="3F548590" w14:textId="77777777" w:rsidTr="00F5507B">
        <w:trPr>
          <w:trHeight w:val="273"/>
        </w:trPr>
        <w:tc>
          <w:tcPr>
            <w:tcW w:w="965" w:type="dxa"/>
            <w:tcBorders>
              <w:top w:val="single" w:sz="4" w:space="0" w:color="auto"/>
              <w:bottom w:val="single" w:sz="4" w:space="0" w:color="auto"/>
            </w:tcBorders>
            <w:vAlign w:val="center"/>
            <w:hideMark/>
          </w:tcPr>
          <w:p w14:paraId="70A1FA2C" w14:textId="77777777" w:rsidR="00643934" w:rsidRPr="00903FDA" w:rsidRDefault="00643934" w:rsidP="00F6157A">
            <w:pPr>
              <w:widowControl w:val="0"/>
              <w:suppressAutoHyphens/>
              <w:autoSpaceDE w:val="0"/>
              <w:autoSpaceDN w:val="0"/>
              <w:spacing w:line="240" w:lineRule="auto"/>
              <w:jc w:val="center"/>
              <w:rPr>
                <w:rFonts w:cs="Arial"/>
                <w:szCs w:val="18"/>
                <w:lang w:eastAsia="ru-RU" w:bidi="en-US"/>
              </w:rPr>
            </w:pPr>
            <w:r w:rsidRPr="00903FDA">
              <w:rPr>
                <w:rFonts w:cs="Arial"/>
                <w:szCs w:val="18"/>
                <w:lang w:eastAsia="ru-RU" w:bidi="en-US"/>
              </w:rPr>
              <w:t>1</w:t>
            </w:r>
          </w:p>
        </w:tc>
        <w:tc>
          <w:tcPr>
            <w:tcW w:w="678" w:type="dxa"/>
            <w:tcBorders>
              <w:top w:val="single" w:sz="4" w:space="0" w:color="auto"/>
              <w:bottom w:val="single" w:sz="4" w:space="0" w:color="auto"/>
            </w:tcBorders>
            <w:vAlign w:val="center"/>
          </w:tcPr>
          <w:p w14:paraId="1107579C"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54,22</w:t>
            </w:r>
          </w:p>
        </w:tc>
        <w:tc>
          <w:tcPr>
            <w:tcW w:w="731" w:type="dxa"/>
            <w:tcBorders>
              <w:top w:val="single" w:sz="4" w:space="0" w:color="auto"/>
              <w:bottom w:val="single" w:sz="4" w:space="0" w:color="auto"/>
            </w:tcBorders>
            <w:vAlign w:val="center"/>
          </w:tcPr>
          <w:p w14:paraId="61B8A541"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0,89</w:t>
            </w:r>
          </w:p>
        </w:tc>
        <w:tc>
          <w:tcPr>
            <w:tcW w:w="649" w:type="dxa"/>
            <w:tcBorders>
              <w:top w:val="single" w:sz="4" w:space="0" w:color="auto"/>
              <w:bottom w:val="single" w:sz="4" w:space="0" w:color="auto"/>
            </w:tcBorders>
            <w:vAlign w:val="center"/>
          </w:tcPr>
          <w:p w14:paraId="03A8A78D"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1,21</w:t>
            </w:r>
          </w:p>
        </w:tc>
        <w:tc>
          <w:tcPr>
            <w:tcW w:w="765" w:type="dxa"/>
            <w:tcBorders>
              <w:top w:val="single" w:sz="4" w:space="0" w:color="auto"/>
              <w:bottom w:val="single" w:sz="4" w:space="0" w:color="auto"/>
            </w:tcBorders>
            <w:vAlign w:val="center"/>
          </w:tcPr>
          <w:p w14:paraId="78308624"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0,31</w:t>
            </w:r>
          </w:p>
        </w:tc>
        <w:tc>
          <w:tcPr>
            <w:tcW w:w="768" w:type="dxa"/>
            <w:tcBorders>
              <w:top w:val="single" w:sz="4" w:space="0" w:color="auto"/>
              <w:bottom w:val="single" w:sz="4" w:space="0" w:color="auto"/>
            </w:tcBorders>
            <w:vAlign w:val="center"/>
            <w:hideMark/>
          </w:tcPr>
          <w:p w14:paraId="7896FC93"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0,67</w:t>
            </w:r>
          </w:p>
        </w:tc>
        <w:tc>
          <w:tcPr>
            <w:tcW w:w="807" w:type="dxa"/>
            <w:tcBorders>
              <w:top w:val="single" w:sz="4" w:space="0" w:color="auto"/>
              <w:bottom w:val="single" w:sz="4" w:space="0" w:color="auto"/>
            </w:tcBorders>
            <w:vAlign w:val="center"/>
            <w:hideMark/>
          </w:tcPr>
          <w:p w14:paraId="53648A03"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0,19</w:t>
            </w:r>
          </w:p>
        </w:tc>
        <w:tc>
          <w:tcPr>
            <w:tcW w:w="588" w:type="dxa"/>
            <w:tcBorders>
              <w:top w:val="single" w:sz="4" w:space="0" w:color="auto"/>
              <w:bottom w:val="single" w:sz="4" w:space="0" w:color="auto"/>
            </w:tcBorders>
            <w:vAlign w:val="center"/>
            <w:hideMark/>
          </w:tcPr>
          <w:p w14:paraId="530F839C"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0,49</w:t>
            </w:r>
          </w:p>
        </w:tc>
        <w:tc>
          <w:tcPr>
            <w:tcW w:w="1704" w:type="dxa"/>
            <w:tcBorders>
              <w:top w:val="single" w:sz="4" w:space="0" w:color="auto"/>
              <w:bottom w:val="single" w:sz="4" w:space="0" w:color="auto"/>
            </w:tcBorders>
            <w:vAlign w:val="center"/>
          </w:tcPr>
          <w:p w14:paraId="1538CE71"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42,02</w:t>
            </w:r>
          </w:p>
        </w:tc>
      </w:tr>
      <w:tr w:rsidR="00643934" w:rsidRPr="00903FDA" w14:paraId="7FED81A3" w14:textId="77777777" w:rsidTr="00F5507B">
        <w:trPr>
          <w:trHeight w:val="264"/>
        </w:trPr>
        <w:tc>
          <w:tcPr>
            <w:tcW w:w="965" w:type="dxa"/>
            <w:tcBorders>
              <w:top w:val="single" w:sz="4" w:space="0" w:color="auto"/>
              <w:bottom w:val="single" w:sz="4" w:space="0" w:color="auto"/>
            </w:tcBorders>
            <w:vAlign w:val="center"/>
            <w:hideMark/>
          </w:tcPr>
          <w:p w14:paraId="2894CE37" w14:textId="77777777" w:rsidR="00643934" w:rsidRPr="00903FDA" w:rsidRDefault="00643934" w:rsidP="00F6157A">
            <w:pPr>
              <w:widowControl w:val="0"/>
              <w:suppressAutoHyphens/>
              <w:autoSpaceDE w:val="0"/>
              <w:autoSpaceDN w:val="0"/>
              <w:spacing w:line="240" w:lineRule="auto"/>
              <w:jc w:val="center"/>
              <w:rPr>
                <w:rFonts w:cs="Arial"/>
                <w:szCs w:val="18"/>
                <w:lang w:eastAsia="ru-RU" w:bidi="en-US"/>
              </w:rPr>
            </w:pPr>
            <w:r w:rsidRPr="00903FDA">
              <w:rPr>
                <w:rFonts w:cs="Arial"/>
                <w:szCs w:val="18"/>
                <w:lang w:eastAsia="ru-RU" w:bidi="en-US"/>
              </w:rPr>
              <w:t>2</w:t>
            </w:r>
          </w:p>
        </w:tc>
        <w:tc>
          <w:tcPr>
            <w:tcW w:w="678" w:type="dxa"/>
            <w:tcBorders>
              <w:top w:val="single" w:sz="4" w:space="0" w:color="auto"/>
              <w:bottom w:val="single" w:sz="4" w:space="0" w:color="auto"/>
            </w:tcBorders>
            <w:vAlign w:val="center"/>
          </w:tcPr>
          <w:p w14:paraId="6FB7D2D8"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54,14</w:t>
            </w:r>
          </w:p>
        </w:tc>
        <w:tc>
          <w:tcPr>
            <w:tcW w:w="731" w:type="dxa"/>
            <w:tcBorders>
              <w:top w:val="single" w:sz="4" w:space="0" w:color="auto"/>
              <w:bottom w:val="single" w:sz="4" w:space="0" w:color="auto"/>
            </w:tcBorders>
            <w:vAlign w:val="center"/>
          </w:tcPr>
          <w:p w14:paraId="7A209184"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0,64</w:t>
            </w:r>
          </w:p>
        </w:tc>
        <w:tc>
          <w:tcPr>
            <w:tcW w:w="649" w:type="dxa"/>
            <w:tcBorders>
              <w:top w:val="single" w:sz="4" w:space="0" w:color="auto"/>
              <w:bottom w:val="single" w:sz="4" w:space="0" w:color="auto"/>
            </w:tcBorders>
            <w:vAlign w:val="center"/>
          </w:tcPr>
          <w:p w14:paraId="4E7B6844"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0,76</w:t>
            </w:r>
          </w:p>
        </w:tc>
        <w:tc>
          <w:tcPr>
            <w:tcW w:w="765" w:type="dxa"/>
            <w:tcBorders>
              <w:top w:val="single" w:sz="4" w:space="0" w:color="auto"/>
              <w:bottom w:val="single" w:sz="4" w:space="0" w:color="auto"/>
            </w:tcBorders>
            <w:vAlign w:val="center"/>
          </w:tcPr>
          <w:p w14:paraId="6F5BE785"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0,38</w:t>
            </w:r>
          </w:p>
        </w:tc>
        <w:tc>
          <w:tcPr>
            <w:tcW w:w="768" w:type="dxa"/>
            <w:tcBorders>
              <w:top w:val="single" w:sz="4" w:space="0" w:color="auto"/>
              <w:bottom w:val="single" w:sz="4" w:space="0" w:color="auto"/>
            </w:tcBorders>
            <w:vAlign w:val="center"/>
            <w:hideMark/>
          </w:tcPr>
          <w:p w14:paraId="33CDCBF5"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0,34</w:t>
            </w:r>
          </w:p>
        </w:tc>
        <w:tc>
          <w:tcPr>
            <w:tcW w:w="807" w:type="dxa"/>
            <w:tcBorders>
              <w:top w:val="single" w:sz="4" w:space="0" w:color="auto"/>
              <w:bottom w:val="single" w:sz="4" w:space="0" w:color="auto"/>
            </w:tcBorders>
            <w:vAlign w:val="center"/>
            <w:hideMark/>
          </w:tcPr>
          <w:p w14:paraId="79164C8B"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0,21</w:t>
            </w:r>
          </w:p>
        </w:tc>
        <w:tc>
          <w:tcPr>
            <w:tcW w:w="588" w:type="dxa"/>
            <w:tcBorders>
              <w:top w:val="single" w:sz="4" w:space="0" w:color="auto"/>
              <w:bottom w:val="single" w:sz="4" w:space="0" w:color="auto"/>
            </w:tcBorders>
            <w:vAlign w:val="center"/>
            <w:hideMark/>
          </w:tcPr>
          <w:p w14:paraId="678368D4"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0,61</w:t>
            </w:r>
          </w:p>
        </w:tc>
        <w:tc>
          <w:tcPr>
            <w:tcW w:w="1704" w:type="dxa"/>
            <w:tcBorders>
              <w:top w:val="single" w:sz="4" w:space="0" w:color="auto"/>
              <w:bottom w:val="single" w:sz="4" w:space="0" w:color="auto"/>
            </w:tcBorders>
            <w:vAlign w:val="center"/>
          </w:tcPr>
          <w:p w14:paraId="3759826E"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42,92</w:t>
            </w:r>
          </w:p>
        </w:tc>
      </w:tr>
      <w:tr w:rsidR="00643934" w:rsidRPr="00903FDA" w14:paraId="68BF0C8E" w14:textId="77777777" w:rsidTr="00F5507B">
        <w:trPr>
          <w:trHeight w:val="263"/>
        </w:trPr>
        <w:tc>
          <w:tcPr>
            <w:tcW w:w="965" w:type="dxa"/>
            <w:tcBorders>
              <w:top w:val="single" w:sz="4" w:space="0" w:color="auto"/>
              <w:bottom w:val="single" w:sz="4" w:space="0" w:color="auto"/>
            </w:tcBorders>
            <w:vAlign w:val="center"/>
            <w:hideMark/>
          </w:tcPr>
          <w:p w14:paraId="55933596" w14:textId="77777777" w:rsidR="00643934" w:rsidRPr="00903FDA" w:rsidRDefault="00643934" w:rsidP="00F6157A">
            <w:pPr>
              <w:widowControl w:val="0"/>
              <w:suppressAutoHyphens/>
              <w:autoSpaceDE w:val="0"/>
              <w:autoSpaceDN w:val="0"/>
              <w:spacing w:line="240" w:lineRule="auto"/>
              <w:jc w:val="center"/>
              <w:rPr>
                <w:rFonts w:cs="Arial"/>
                <w:szCs w:val="18"/>
                <w:lang w:eastAsia="ru-RU" w:bidi="en-US"/>
              </w:rPr>
            </w:pPr>
            <w:r w:rsidRPr="00903FDA">
              <w:rPr>
                <w:rFonts w:cs="Arial"/>
                <w:szCs w:val="18"/>
                <w:lang w:eastAsia="ru-RU" w:bidi="en-US"/>
              </w:rPr>
              <w:t>3</w:t>
            </w:r>
          </w:p>
        </w:tc>
        <w:tc>
          <w:tcPr>
            <w:tcW w:w="678" w:type="dxa"/>
            <w:tcBorders>
              <w:top w:val="single" w:sz="4" w:space="0" w:color="auto"/>
              <w:bottom w:val="single" w:sz="4" w:space="0" w:color="auto"/>
            </w:tcBorders>
            <w:vAlign w:val="center"/>
          </w:tcPr>
          <w:p w14:paraId="0B7BA093"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53,62</w:t>
            </w:r>
          </w:p>
        </w:tc>
        <w:tc>
          <w:tcPr>
            <w:tcW w:w="731" w:type="dxa"/>
            <w:tcBorders>
              <w:top w:val="single" w:sz="4" w:space="0" w:color="auto"/>
              <w:bottom w:val="single" w:sz="4" w:space="0" w:color="auto"/>
            </w:tcBorders>
            <w:vAlign w:val="center"/>
          </w:tcPr>
          <w:p w14:paraId="20CBDC27"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0,36</w:t>
            </w:r>
          </w:p>
        </w:tc>
        <w:tc>
          <w:tcPr>
            <w:tcW w:w="649" w:type="dxa"/>
            <w:tcBorders>
              <w:top w:val="single" w:sz="4" w:space="0" w:color="auto"/>
              <w:bottom w:val="single" w:sz="4" w:space="0" w:color="auto"/>
            </w:tcBorders>
            <w:vAlign w:val="center"/>
          </w:tcPr>
          <w:p w14:paraId="47C99936"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1,51</w:t>
            </w:r>
          </w:p>
        </w:tc>
        <w:tc>
          <w:tcPr>
            <w:tcW w:w="765" w:type="dxa"/>
            <w:tcBorders>
              <w:top w:val="single" w:sz="4" w:space="0" w:color="auto"/>
              <w:bottom w:val="single" w:sz="4" w:space="0" w:color="auto"/>
            </w:tcBorders>
            <w:vAlign w:val="center"/>
          </w:tcPr>
          <w:p w14:paraId="1C078CAE"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0,14</w:t>
            </w:r>
          </w:p>
        </w:tc>
        <w:tc>
          <w:tcPr>
            <w:tcW w:w="768" w:type="dxa"/>
            <w:tcBorders>
              <w:top w:val="single" w:sz="4" w:space="0" w:color="auto"/>
              <w:bottom w:val="single" w:sz="4" w:space="0" w:color="auto"/>
            </w:tcBorders>
            <w:vAlign w:val="center"/>
            <w:hideMark/>
          </w:tcPr>
          <w:p w14:paraId="68AC9D71"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0,43</w:t>
            </w:r>
          </w:p>
        </w:tc>
        <w:tc>
          <w:tcPr>
            <w:tcW w:w="807" w:type="dxa"/>
            <w:tcBorders>
              <w:top w:val="single" w:sz="4" w:space="0" w:color="auto"/>
              <w:bottom w:val="single" w:sz="4" w:space="0" w:color="auto"/>
            </w:tcBorders>
            <w:vAlign w:val="center"/>
            <w:hideMark/>
          </w:tcPr>
          <w:p w14:paraId="4120D4AA"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0,28</w:t>
            </w:r>
          </w:p>
        </w:tc>
        <w:tc>
          <w:tcPr>
            <w:tcW w:w="588" w:type="dxa"/>
            <w:tcBorders>
              <w:top w:val="single" w:sz="4" w:space="0" w:color="auto"/>
              <w:bottom w:val="single" w:sz="4" w:space="0" w:color="auto"/>
            </w:tcBorders>
            <w:vAlign w:val="center"/>
            <w:hideMark/>
          </w:tcPr>
          <w:p w14:paraId="238B44B8"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0,22</w:t>
            </w:r>
          </w:p>
        </w:tc>
        <w:tc>
          <w:tcPr>
            <w:tcW w:w="1704" w:type="dxa"/>
            <w:tcBorders>
              <w:top w:val="single" w:sz="4" w:space="0" w:color="auto"/>
              <w:bottom w:val="single" w:sz="4" w:space="0" w:color="auto"/>
            </w:tcBorders>
            <w:vAlign w:val="center"/>
          </w:tcPr>
          <w:p w14:paraId="30D7FAD8"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44,44</w:t>
            </w:r>
          </w:p>
        </w:tc>
      </w:tr>
      <w:tr w:rsidR="00643934" w:rsidRPr="00903FDA" w14:paraId="59B3FECC" w14:textId="77777777" w:rsidTr="00F5507B">
        <w:trPr>
          <w:trHeight w:val="263"/>
        </w:trPr>
        <w:tc>
          <w:tcPr>
            <w:tcW w:w="965" w:type="dxa"/>
            <w:tcBorders>
              <w:top w:val="single" w:sz="4" w:space="0" w:color="auto"/>
              <w:bottom w:val="single" w:sz="4" w:space="0" w:color="auto"/>
            </w:tcBorders>
            <w:vAlign w:val="center"/>
            <w:hideMark/>
          </w:tcPr>
          <w:p w14:paraId="0451867F"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4</w:t>
            </w:r>
          </w:p>
        </w:tc>
        <w:tc>
          <w:tcPr>
            <w:tcW w:w="678" w:type="dxa"/>
            <w:tcBorders>
              <w:top w:val="single" w:sz="4" w:space="0" w:color="auto"/>
              <w:bottom w:val="single" w:sz="4" w:space="0" w:color="auto"/>
            </w:tcBorders>
            <w:vAlign w:val="center"/>
          </w:tcPr>
          <w:p w14:paraId="46A1609F"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53,43</w:t>
            </w:r>
          </w:p>
        </w:tc>
        <w:tc>
          <w:tcPr>
            <w:tcW w:w="731" w:type="dxa"/>
            <w:tcBorders>
              <w:top w:val="single" w:sz="4" w:space="0" w:color="auto"/>
              <w:bottom w:val="single" w:sz="4" w:space="0" w:color="auto"/>
            </w:tcBorders>
            <w:vAlign w:val="center"/>
          </w:tcPr>
          <w:p w14:paraId="38048D3A"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0,97</w:t>
            </w:r>
          </w:p>
        </w:tc>
        <w:tc>
          <w:tcPr>
            <w:tcW w:w="649" w:type="dxa"/>
            <w:tcBorders>
              <w:top w:val="single" w:sz="4" w:space="0" w:color="auto"/>
              <w:bottom w:val="single" w:sz="4" w:space="0" w:color="auto"/>
            </w:tcBorders>
            <w:vAlign w:val="center"/>
          </w:tcPr>
          <w:p w14:paraId="21AABF44"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2,34</w:t>
            </w:r>
          </w:p>
        </w:tc>
        <w:tc>
          <w:tcPr>
            <w:tcW w:w="765" w:type="dxa"/>
            <w:tcBorders>
              <w:top w:val="single" w:sz="4" w:space="0" w:color="auto"/>
              <w:bottom w:val="single" w:sz="4" w:space="0" w:color="auto"/>
            </w:tcBorders>
            <w:vAlign w:val="center"/>
          </w:tcPr>
          <w:p w14:paraId="2E785B56"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0,28</w:t>
            </w:r>
          </w:p>
        </w:tc>
        <w:tc>
          <w:tcPr>
            <w:tcW w:w="768" w:type="dxa"/>
            <w:tcBorders>
              <w:top w:val="single" w:sz="4" w:space="0" w:color="auto"/>
              <w:bottom w:val="single" w:sz="4" w:space="0" w:color="auto"/>
            </w:tcBorders>
            <w:vAlign w:val="center"/>
            <w:hideMark/>
          </w:tcPr>
          <w:p w14:paraId="5A54BE98"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0,84</w:t>
            </w:r>
          </w:p>
        </w:tc>
        <w:tc>
          <w:tcPr>
            <w:tcW w:w="807" w:type="dxa"/>
            <w:tcBorders>
              <w:top w:val="single" w:sz="4" w:space="0" w:color="auto"/>
              <w:bottom w:val="single" w:sz="4" w:space="0" w:color="auto"/>
            </w:tcBorders>
            <w:vAlign w:val="center"/>
            <w:hideMark/>
          </w:tcPr>
          <w:p w14:paraId="0020AA95"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0,10</w:t>
            </w:r>
          </w:p>
        </w:tc>
        <w:tc>
          <w:tcPr>
            <w:tcW w:w="588" w:type="dxa"/>
            <w:tcBorders>
              <w:top w:val="single" w:sz="4" w:space="0" w:color="auto"/>
              <w:bottom w:val="single" w:sz="4" w:space="0" w:color="auto"/>
            </w:tcBorders>
            <w:vAlign w:val="center"/>
            <w:hideMark/>
          </w:tcPr>
          <w:p w14:paraId="003CD60C"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0,43</w:t>
            </w:r>
          </w:p>
        </w:tc>
        <w:tc>
          <w:tcPr>
            <w:tcW w:w="1704" w:type="dxa"/>
            <w:tcBorders>
              <w:top w:val="single" w:sz="4" w:space="0" w:color="auto"/>
              <w:bottom w:val="single" w:sz="4" w:space="0" w:color="auto"/>
            </w:tcBorders>
            <w:vAlign w:val="center"/>
          </w:tcPr>
          <w:p w14:paraId="38EC3B84"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41,61</w:t>
            </w:r>
          </w:p>
        </w:tc>
      </w:tr>
      <w:tr w:rsidR="00643934" w:rsidRPr="00903FDA" w14:paraId="40A3ABD0" w14:textId="77777777" w:rsidTr="00F5507B">
        <w:trPr>
          <w:trHeight w:val="263"/>
        </w:trPr>
        <w:tc>
          <w:tcPr>
            <w:tcW w:w="965" w:type="dxa"/>
            <w:tcBorders>
              <w:top w:val="single" w:sz="4" w:space="0" w:color="auto"/>
              <w:bottom w:val="single" w:sz="4" w:space="0" w:color="auto"/>
            </w:tcBorders>
            <w:vAlign w:val="center"/>
            <w:hideMark/>
          </w:tcPr>
          <w:p w14:paraId="6942B3BF"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5</w:t>
            </w:r>
          </w:p>
        </w:tc>
        <w:tc>
          <w:tcPr>
            <w:tcW w:w="678" w:type="dxa"/>
            <w:tcBorders>
              <w:top w:val="single" w:sz="4" w:space="0" w:color="auto"/>
              <w:bottom w:val="single" w:sz="4" w:space="0" w:color="auto"/>
            </w:tcBorders>
            <w:vAlign w:val="center"/>
          </w:tcPr>
          <w:p w14:paraId="3EF685D9"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52,21</w:t>
            </w:r>
          </w:p>
        </w:tc>
        <w:tc>
          <w:tcPr>
            <w:tcW w:w="731" w:type="dxa"/>
            <w:tcBorders>
              <w:top w:val="single" w:sz="4" w:space="0" w:color="auto"/>
              <w:bottom w:val="single" w:sz="4" w:space="0" w:color="auto"/>
            </w:tcBorders>
            <w:vAlign w:val="center"/>
          </w:tcPr>
          <w:p w14:paraId="1279990C"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0,43</w:t>
            </w:r>
          </w:p>
        </w:tc>
        <w:tc>
          <w:tcPr>
            <w:tcW w:w="649" w:type="dxa"/>
            <w:tcBorders>
              <w:top w:val="single" w:sz="4" w:space="0" w:color="auto"/>
              <w:bottom w:val="single" w:sz="4" w:space="0" w:color="auto"/>
            </w:tcBorders>
            <w:vAlign w:val="center"/>
          </w:tcPr>
          <w:p w14:paraId="5DF11236"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1,54</w:t>
            </w:r>
          </w:p>
        </w:tc>
        <w:tc>
          <w:tcPr>
            <w:tcW w:w="765" w:type="dxa"/>
            <w:tcBorders>
              <w:top w:val="single" w:sz="4" w:space="0" w:color="auto"/>
              <w:bottom w:val="single" w:sz="4" w:space="0" w:color="auto"/>
            </w:tcBorders>
            <w:vAlign w:val="center"/>
          </w:tcPr>
          <w:p w14:paraId="04548BF2"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0,36</w:t>
            </w:r>
          </w:p>
        </w:tc>
        <w:tc>
          <w:tcPr>
            <w:tcW w:w="768" w:type="dxa"/>
            <w:tcBorders>
              <w:top w:val="single" w:sz="4" w:space="0" w:color="auto"/>
              <w:bottom w:val="single" w:sz="4" w:space="0" w:color="auto"/>
            </w:tcBorders>
            <w:vAlign w:val="center"/>
            <w:hideMark/>
          </w:tcPr>
          <w:p w14:paraId="3A896CBA"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0,70</w:t>
            </w:r>
          </w:p>
        </w:tc>
        <w:tc>
          <w:tcPr>
            <w:tcW w:w="807" w:type="dxa"/>
            <w:tcBorders>
              <w:top w:val="single" w:sz="4" w:space="0" w:color="auto"/>
              <w:bottom w:val="single" w:sz="4" w:space="0" w:color="auto"/>
            </w:tcBorders>
            <w:vAlign w:val="center"/>
            <w:hideMark/>
          </w:tcPr>
          <w:p w14:paraId="451CDCAF"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0,09</w:t>
            </w:r>
          </w:p>
        </w:tc>
        <w:tc>
          <w:tcPr>
            <w:tcW w:w="588" w:type="dxa"/>
            <w:tcBorders>
              <w:top w:val="single" w:sz="4" w:space="0" w:color="auto"/>
              <w:bottom w:val="single" w:sz="4" w:space="0" w:color="auto"/>
            </w:tcBorders>
            <w:vAlign w:val="center"/>
            <w:hideMark/>
          </w:tcPr>
          <w:p w14:paraId="7F4AF97E"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0,44</w:t>
            </w:r>
          </w:p>
        </w:tc>
        <w:tc>
          <w:tcPr>
            <w:tcW w:w="1704" w:type="dxa"/>
            <w:tcBorders>
              <w:top w:val="single" w:sz="4" w:space="0" w:color="auto"/>
              <w:bottom w:val="single" w:sz="4" w:space="0" w:color="auto"/>
            </w:tcBorders>
            <w:vAlign w:val="center"/>
          </w:tcPr>
          <w:p w14:paraId="7A524165"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44,23</w:t>
            </w:r>
          </w:p>
        </w:tc>
      </w:tr>
      <w:tr w:rsidR="00643934" w:rsidRPr="00903FDA" w14:paraId="0C05FDAC" w14:textId="77777777" w:rsidTr="00F5507B">
        <w:trPr>
          <w:trHeight w:val="263"/>
        </w:trPr>
        <w:tc>
          <w:tcPr>
            <w:tcW w:w="965" w:type="dxa"/>
            <w:tcBorders>
              <w:top w:val="single" w:sz="4" w:space="0" w:color="auto"/>
              <w:bottom w:val="single" w:sz="4" w:space="0" w:color="auto"/>
            </w:tcBorders>
            <w:vAlign w:val="center"/>
          </w:tcPr>
          <w:p w14:paraId="62032899"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bidi="en-US"/>
              </w:rPr>
              <w:t>Average</w:t>
            </w:r>
          </w:p>
        </w:tc>
        <w:tc>
          <w:tcPr>
            <w:tcW w:w="678" w:type="dxa"/>
            <w:tcBorders>
              <w:top w:val="single" w:sz="4" w:space="0" w:color="auto"/>
              <w:bottom w:val="single" w:sz="4" w:space="0" w:color="auto"/>
            </w:tcBorders>
            <w:vAlign w:val="center"/>
          </w:tcPr>
          <w:p w14:paraId="2E394DD9"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53,52</w:t>
            </w:r>
          </w:p>
        </w:tc>
        <w:tc>
          <w:tcPr>
            <w:tcW w:w="731" w:type="dxa"/>
            <w:tcBorders>
              <w:top w:val="single" w:sz="4" w:space="0" w:color="auto"/>
              <w:bottom w:val="single" w:sz="4" w:space="0" w:color="auto"/>
            </w:tcBorders>
            <w:vAlign w:val="center"/>
          </w:tcPr>
          <w:p w14:paraId="676C569F"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0,65</w:t>
            </w:r>
          </w:p>
        </w:tc>
        <w:tc>
          <w:tcPr>
            <w:tcW w:w="649" w:type="dxa"/>
            <w:tcBorders>
              <w:top w:val="single" w:sz="4" w:space="0" w:color="auto"/>
              <w:bottom w:val="single" w:sz="4" w:space="0" w:color="auto"/>
            </w:tcBorders>
            <w:vAlign w:val="center"/>
          </w:tcPr>
          <w:p w14:paraId="4243F4F8"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1,47</w:t>
            </w:r>
          </w:p>
        </w:tc>
        <w:tc>
          <w:tcPr>
            <w:tcW w:w="765" w:type="dxa"/>
            <w:tcBorders>
              <w:top w:val="single" w:sz="4" w:space="0" w:color="auto"/>
              <w:bottom w:val="single" w:sz="4" w:space="0" w:color="auto"/>
            </w:tcBorders>
            <w:vAlign w:val="center"/>
          </w:tcPr>
          <w:p w14:paraId="44199474"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0,29</w:t>
            </w:r>
          </w:p>
        </w:tc>
        <w:tc>
          <w:tcPr>
            <w:tcW w:w="768" w:type="dxa"/>
            <w:tcBorders>
              <w:top w:val="single" w:sz="4" w:space="0" w:color="auto"/>
              <w:bottom w:val="single" w:sz="4" w:space="0" w:color="auto"/>
            </w:tcBorders>
            <w:vAlign w:val="center"/>
          </w:tcPr>
          <w:p w14:paraId="2460EF1F"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0,59</w:t>
            </w:r>
          </w:p>
        </w:tc>
        <w:tc>
          <w:tcPr>
            <w:tcW w:w="807" w:type="dxa"/>
            <w:tcBorders>
              <w:top w:val="single" w:sz="4" w:space="0" w:color="auto"/>
              <w:bottom w:val="single" w:sz="4" w:space="0" w:color="auto"/>
            </w:tcBorders>
            <w:vAlign w:val="center"/>
          </w:tcPr>
          <w:p w14:paraId="35C24EF4"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0,17</w:t>
            </w:r>
          </w:p>
        </w:tc>
        <w:tc>
          <w:tcPr>
            <w:tcW w:w="588" w:type="dxa"/>
            <w:tcBorders>
              <w:top w:val="single" w:sz="4" w:space="0" w:color="auto"/>
              <w:bottom w:val="single" w:sz="4" w:space="0" w:color="auto"/>
            </w:tcBorders>
            <w:vAlign w:val="center"/>
          </w:tcPr>
          <w:p w14:paraId="7A5BC68C"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0,43</w:t>
            </w:r>
          </w:p>
        </w:tc>
        <w:tc>
          <w:tcPr>
            <w:tcW w:w="1704" w:type="dxa"/>
            <w:tcBorders>
              <w:top w:val="single" w:sz="4" w:space="0" w:color="auto"/>
              <w:bottom w:val="single" w:sz="4" w:space="0" w:color="auto"/>
            </w:tcBorders>
            <w:vAlign w:val="center"/>
          </w:tcPr>
          <w:p w14:paraId="2DDCD5E2" w14:textId="77777777" w:rsidR="00643934" w:rsidRPr="00903FDA" w:rsidRDefault="00643934" w:rsidP="00F6157A">
            <w:pPr>
              <w:widowControl w:val="0"/>
              <w:suppressAutoHyphens/>
              <w:autoSpaceDE w:val="0"/>
              <w:autoSpaceDN w:val="0"/>
              <w:spacing w:line="240" w:lineRule="auto"/>
              <w:jc w:val="center"/>
              <w:rPr>
                <w:rFonts w:cs="Arial"/>
                <w:szCs w:val="18"/>
                <w:lang w:val="uz-Cyrl-UZ" w:eastAsia="ru-RU" w:bidi="en-US"/>
              </w:rPr>
            </w:pPr>
            <w:r w:rsidRPr="00903FDA">
              <w:rPr>
                <w:rFonts w:cs="Arial"/>
                <w:szCs w:val="18"/>
                <w:lang w:val="uz-Cyrl-UZ" w:eastAsia="ru-RU" w:bidi="en-US"/>
              </w:rPr>
              <w:t>42,88</w:t>
            </w:r>
          </w:p>
        </w:tc>
      </w:tr>
    </w:tbl>
    <w:p w14:paraId="5CE1564C" w14:textId="11B678DF" w:rsidR="00643934" w:rsidRPr="00903FDA" w:rsidRDefault="00643934" w:rsidP="00903FDA">
      <w:pPr>
        <w:widowControl w:val="0"/>
        <w:autoSpaceDE w:val="0"/>
        <w:autoSpaceDN w:val="0"/>
        <w:spacing w:before="240" w:line="240" w:lineRule="auto"/>
        <w:rPr>
          <w:rFonts w:cs="Arial"/>
          <w:szCs w:val="18"/>
          <w:lang w:bidi="en-US"/>
        </w:rPr>
      </w:pPr>
      <w:r w:rsidRPr="00903FDA">
        <w:rPr>
          <w:rFonts w:cs="Arial"/>
          <w:szCs w:val="18"/>
          <w:lang w:bidi="en-US"/>
        </w:rPr>
        <w:lastRenderedPageBreak/>
        <w:t>From the results on the basis of the experimental model device, it can be seen that the soda enterprise is made up of CaCO</w:t>
      </w:r>
      <w:r w:rsidRPr="00903FDA">
        <w:rPr>
          <w:rFonts w:cs="Arial"/>
          <w:szCs w:val="18"/>
          <w:vertAlign w:val="subscript"/>
          <w:lang w:bidi="en-US"/>
        </w:rPr>
        <w:t>3</w:t>
      </w:r>
      <w:r w:rsidRPr="00903FDA">
        <w:rPr>
          <w:rFonts w:cs="Arial"/>
          <w:szCs w:val="18"/>
          <w:lang w:bidi="en-US"/>
        </w:rPr>
        <w:t>, the main composition of small-fraction limestone waste. Based on the data presented in Table 1, the mass fraction of CaCO</w:t>
      </w:r>
      <w:r w:rsidRPr="00903FDA">
        <w:rPr>
          <w:rFonts w:cs="Arial"/>
          <w:szCs w:val="18"/>
          <w:vertAlign w:val="subscript"/>
          <w:lang w:bidi="en-US"/>
        </w:rPr>
        <w:t>3</w:t>
      </w:r>
      <w:r w:rsidRPr="00903FDA">
        <w:rPr>
          <w:rFonts w:cs="Arial"/>
          <w:szCs w:val="18"/>
          <w:lang w:bidi="en-US"/>
        </w:rPr>
        <w:t xml:space="preserve"> in the composition of these wastes is an average of 95,5</w:t>
      </w:r>
      <w:r w:rsidR="009213BD">
        <w:rPr>
          <w:rFonts w:cs="Arial"/>
          <w:szCs w:val="18"/>
          <w:lang w:bidi="en-US"/>
        </w:rPr>
        <w:t xml:space="preserve"> </w:t>
      </w:r>
      <w:r w:rsidRPr="00903FDA">
        <w:rPr>
          <w:rFonts w:cs="Arial"/>
          <w:szCs w:val="18"/>
          <w:lang w:bidi="en-US"/>
        </w:rPr>
        <w:t>%. In addition MgCO</w:t>
      </w:r>
      <w:r w:rsidRPr="00903FDA">
        <w:rPr>
          <w:rFonts w:cs="Arial"/>
          <w:szCs w:val="18"/>
          <w:vertAlign w:val="subscript"/>
          <w:lang w:bidi="en-US"/>
        </w:rPr>
        <w:t>3</w:t>
      </w:r>
      <w:r w:rsidRPr="00903FDA">
        <w:rPr>
          <w:rFonts w:cs="Arial"/>
          <w:szCs w:val="18"/>
          <w:lang w:bidi="en-US"/>
        </w:rPr>
        <w:t>, MgSiO</w:t>
      </w:r>
      <w:r w:rsidRPr="00903FDA">
        <w:rPr>
          <w:rFonts w:cs="Arial"/>
          <w:szCs w:val="18"/>
          <w:vertAlign w:val="subscript"/>
          <w:lang w:bidi="en-US"/>
        </w:rPr>
        <w:t>3</w:t>
      </w:r>
      <w:r w:rsidRPr="00903FDA">
        <w:rPr>
          <w:rFonts w:cs="Arial"/>
          <w:szCs w:val="18"/>
          <w:lang w:bidi="en-US"/>
        </w:rPr>
        <w:t xml:space="preserve"> and R</w:t>
      </w:r>
      <w:r w:rsidRPr="00903FDA">
        <w:rPr>
          <w:rFonts w:cs="Arial"/>
          <w:szCs w:val="18"/>
          <w:vertAlign w:val="subscript"/>
          <w:lang w:bidi="en-US"/>
        </w:rPr>
        <w:t>2</w:t>
      </w:r>
      <w:r w:rsidRPr="00903FDA">
        <w:rPr>
          <w:rFonts w:cs="Arial"/>
          <w:szCs w:val="18"/>
          <w:lang w:bidi="en-US"/>
        </w:rPr>
        <w:t>O</w:t>
      </w:r>
      <w:r w:rsidRPr="00903FDA">
        <w:rPr>
          <w:rFonts w:cs="Arial"/>
          <w:szCs w:val="18"/>
          <w:vertAlign w:val="subscript"/>
          <w:lang w:bidi="en-US"/>
        </w:rPr>
        <w:t>3</w:t>
      </w:r>
      <w:r w:rsidRPr="00903FDA">
        <w:rPr>
          <w:rFonts w:cs="Arial"/>
          <w:szCs w:val="18"/>
          <w:lang w:bidi="en-US"/>
        </w:rPr>
        <w:t xml:space="preserve"> were identified in small quantities.</w:t>
      </w:r>
    </w:p>
    <w:p w14:paraId="4BB87EE5" w14:textId="3379D701" w:rsidR="00643934" w:rsidRPr="00903FDA" w:rsidRDefault="00643934" w:rsidP="00903FDA">
      <w:pPr>
        <w:widowControl w:val="0"/>
        <w:autoSpaceDE w:val="0"/>
        <w:autoSpaceDN w:val="0"/>
        <w:spacing w:line="240" w:lineRule="auto"/>
        <w:rPr>
          <w:rFonts w:cs="Arial"/>
          <w:szCs w:val="18"/>
          <w:lang w:bidi="en-US"/>
        </w:rPr>
      </w:pPr>
      <w:r w:rsidRPr="00903FDA">
        <w:rPr>
          <w:rFonts w:cs="Arial"/>
          <w:szCs w:val="18"/>
          <w:lang w:bidi="en-US"/>
        </w:rPr>
        <w:t>The results of an X-ray analysis of the small fraction limestone waste of Soda</w:t>
      </w:r>
      <w:r w:rsidRPr="00903FDA">
        <w:rPr>
          <w:rFonts w:cs="Arial"/>
          <w:szCs w:val="18"/>
          <w:lang w:val="uz-Cyrl-UZ" w:bidi="en-US"/>
        </w:rPr>
        <w:t xml:space="preserve"> </w:t>
      </w:r>
      <w:r w:rsidRPr="00903FDA">
        <w:rPr>
          <w:rFonts w:cs="Arial"/>
          <w:szCs w:val="18"/>
          <w:lang w:bidi="en-US"/>
        </w:rPr>
        <w:t xml:space="preserve">enterprise were obtained, and </w:t>
      </w:r>
      <w:r w:rsidR="00B866B6">
        <w:rPr>
          <w:rFonts w:cs="Arial"/>
          <w:szCs w:val="18"/>
          <w:lang w:bidi="en-US"/>
        </w:rPr>
        <w:t>t</w:t>
      </w:r>
      <w:r w:rsidR="00B866B6" w:rsidRPr="00B866B6">
        <w:rPr>
          <w:rFonts w:cs="Arial"/>
          <w:szCs w:val="18"/>
          <w:lang w:bidi="en-US"/>
        </w:rPr>
        <w:t>he obtained XRD patterns are presented in Figure 1.</w:t>
      </w:r>
    </w:p>
    <w:p w14:paraId="50F2BD8C" w14:textId="57854F87" w:rsidR="00903FDA" w:rsidRPr="00807302" w:rsidRDefault="005850B4" w:rsidP="00903FDA">
      <w:pPr>
        <w:widowControl w:val="0"/>
        <w:autoSpaceDE w:val="0"/>
        <w:autoSpaceDN w:val="0"/>
        <w:spacing w:line="240" w:lineRule="auto"/>
        <w:jc w:val="left"/>
        <w:rPr>
          <w:rFonts w:ascii="Times New Roman" w:hAnsi="Times New Roman"/>
          <w:sz w:val="20"/>
          <w:lang w:bidi="en-US"/>
        </w:rPr>
      </w:pPr>
      <w:r>
        <w:rPr>
          <w:noProof/>
        </w:rPr>
        <w:drawing>
          <wp:inline distT="0" distB="0" distL="0" distR="0" wp14:anchorId="3048C2F0" wp14:editId="3E624448">
            <wp:extent cx="4616828" cy="2628900"/>
            <wp:effectExtent l="0" t="0" r="0" b="0"/>
            <wp:docPr id="18759258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925870" name=""/>
                    <pic:cNvPicPr/>
                  </pic:nvPicPr>
                  <pic:blipFill>
                    <a:blip r:embed="rId11"/>
                    <a:stretch>
                      <a:fillRect/>
                    </a:stretch>
                  </pic:blipFill>
                  <pic:spPr>
                    <a:xfrm>
                      <a:off x="0" y="0"/>
                      <a:ext cx="4638711" cy="2641360"/>
                    </a:xfrm>
                    <a:prstGeom prst="rect">
                      <a:avLst/>
                    </a:prstGeom>
                  </pic:spPr>
                </pic:pic>
              </a:graphicData>
            </a:graphic>
          </wp:inline>
        </w:drawing>
      </w:r>
    </w:p>
    <w:p w14:paraId="0B5E78D5" w14:textId="69738D95" w:rsidR="00903FDA" w:rsidRDefault="00903FDA" w:rsidP="00903FDA">
      <w:pPr>
        <w:widowControl w:val="0"/>
        <w:autoSpaceDE w:val="0"/>
        <w:autoSpaceDN w:val="0"/>
        <w:spacing w:line="240" w:lineRule="auto"/>
        <w:contextualSpacing/>
        <w:jc w:val="left"/>
        <w:rPr>
          <w:rFonts w:ascii="Times New Roman" w:hAnsi="Times New Roman"/>
          <w:szCs w:val="18"/>
          <w:lang w:bidi="en-US"/>
        </w:rPr>
      </w:pPr>
      <w:r>
        <w:rPr>
          <w:rFonts w:ascii="Times New Roman" w:hAnsi="Times New Roman"/>
          <w:szCs w:val="18"/>
          <w:lang w:bidi="en-US"/>
        </w:rPr>
        <w:t>Figure 1</w:t>
      </w:r>
      <w:r w:rsidRPr="00807302">
        <w:rPr>
          <w:rFonts w:ascii="Times New Roman" w:hAnsi="Times New Roman"/>
          <w:szCs w:val="18"/>
          <w:lang w:bidi="en-US"/>
        </w:rPr>
        <w:t>. Results of X-ray analysis of fine-fraction limestone of soda enterprise</w:t>
      </w:r>
    </w:p>
    <w:p w14:paraId="424E361B" w14:textId="77777777" w:rsidR="00903FDA" w:rsidRPr="009213BD" w:rsidRDefault="00903FDA" w:rsidP="00903FDA">
      <w:pPr>
        <w:widowControl w:val="0"/>
        <w:autoSpaceDE w:val="0"/>
        <w:autoSpaceDN w:val="0"/>
        <w:spacing w:line="240" w:lineRule="auto"/>
        <w:contextualSpacing/>
        <w:jc w:val="center"/>
        <w:rPr>
          <w:rFonts w:ascii="Times New Roman" w:hAnsi="Times New Roman"/>
          <w:sz w:val="12"/>
          <w:szCs w:val="12"/>
          <w:lang w:bidi="en-US"/>
        </w:rPr>
      </w:pPr>
    </w:p>
    <w:p w14:paraId="66E543AC" w14:textId="77777777" w:rsidR="000A33EC" w:rsidRPr="00807302" w:rsidRDefault="000A33EC" w:rsidP="000A33EC">
      <w:pPr>
        <w:widowControl w:val="0"/>
        <w:autoSpaceDE w:val="0"/>
        <w:autoSpaceDN w:val="0"/>
        <w:spacing w:line="240" w:lineRule="auto"/>
        <w:ind w:firstLine="284"/>
        <w:rPr>
          <w:rFonts w:ascii="Times New Roman" w:hAnsi="Times New Roman"/>
          <w:sz w:val="20"/>
          <w:lang w:bidi="en-US"/>
        </w:rPr>
      </w:pPr>
      <w:r w:rsidRPr="00807302">
        <w:rPr>
          <w:rFonts w:ascii="Times New Roman" w:hAnsi="Times New Roman"/>
          <w:sz w:val="20"/>
          <w:lang w:bidi="en-US"/>
        </w:rPr>
        <w:t>When we did an X-ray study of the initial samples, it was confirmed that the planelararo distances: 3,035; 1,87 nm in it was CaCO</w:t>
      </w:r>
      <w:r w:rsidRPr="00807302">
        <w:rPr>
          <w:rFonts w:ascii="Times New Roman" w:hAnsi="Times New Roman"/>
          <w:sz w:val="20"/>
          <w:vertAlign w:val="subscript"/>
          <w:lang w:bidi="en-US"/>
        </w:rPr>
        <w:t>3</w:t>
      </w:r>
      <w:r w:rsidRPr="00807302">
        <w:rPr>
          <w:rFonts w:ascii="Times New Roman" w:hAnsi="Times New Roman"/>
          <w:sz w:val="20"/>
          <w:lang w:bidi="en-US"/>
        </w:rPr>
        <w:t xml:space="preserve"> (Picture 1). It also revealed the presence of 1,92 nm MgCO</w:t>
      </w:r>
      <w:r w:rsidRPr="00807302">
        <w:rPr>
          <w:rFonts w:ascii="Times New Roman" w:hAnsi="Times New Roman"/>
          <w:sz w:val="20"/>
          <w:vertAlign w:val="subscript"/>
          <w:lang w:bidi="en-US"/>
        </w:rPr>
        <w:t>3</w:t>
      </w:r>
      <w:r w:rsidRPr="00807302">
        <w:rPr>
          <w:rFonts w:ascii="Times New Roman" w:hAnsi="Times New Roman"/>
          <w:sz w:val="20"/>
          <w:lang w:bidi="en-US"/>
        </w:rPr>
        <w:t>*3H</w:t>
      </w:r>
      <w:r w:rsidRPr="00807302">
        <w:rPr>
          <w:rFonts w:ascii="Times New Roman" w:hAnsi="Times New Roman"/>
          <w:sz w:val="20"/>
          <w:vertAlign w:val="subscript"/>
          <w:lang w:bidi="en-US"/>
        </w:rPr>
        <w:t>2</w:t>
      </w:r>
      <w:r w:rsidRPr="00807302">
        <w:rPr>
          <w:rFonts w:ascii="Times New Roman" w:hAnsi="Times New Roman"/>
          <w:sz w:val="20"/>
          <w:lang w:bidi="en-US"/>
        </w:rPr>
        <w:t>O.</w:t>
      </w:r>
    </w:p>
    <w:p w14:paraId="09622AEC" w14:textId="44855A2F" w:rsidR="00903FDA" w:rsidRPr="000A33EC" w:rsidRDefault="00903FDA" w:rsidP="00903FDA">
      <w:pPr>
        <w:widowControl w:val="0"/>
        <w:autoSpaceDE w:val="0"/>
        <w:autoSpaceDN w:val="0"/>
        <w:spacing w:line="240" w:lineRule="auto"/>
        <w:rPr>
          <w:rFonts w:cs="Arial"/>
          <w:szCs w:val="18"/>
          <w:lang w:bidi="en-US"/>
        </w:rPr>
      </w:pPr>
      <w:r w:rsidRPr="000A33EC">
        <w:rPr>
          <w:rFonts w:cs="Arial"/>
          <w:szCs w:val="18"/>
          <w:lang w:bidi="en-US"/>
        </w:rPr>
        <w:t xml:space="preserve">The results of the IR spectroscopic analysis of the </w:t>
      </w:r>
      <w:r w:rsidR="00B866B6" w:rsidRPr="00B866B6">
        <w:rPr>
          <w:rFonts w:cs="Arial"/>
          <w:szCs w:val="18"/>
          <w:lang w:bidi="en-US"/>
        </w:rPr>
        <w:t>fine-fraction limestone waste</w:t>
      </w:r>
      <w:r w:rsidR="00B866B6">
        <w:rPr>
          <w:rFonts w:cs="Arial"/>
          <w:szCs w:val="18"/>
          <w:lang w:bidi="en-US"/>
        </w:rPr>
        <w:t xml:space="preserve"> </w:t>
      </w:r>
      <w:r w:rsidRPr="000A33EC">
        <w:rPr>
          <w:rFonts w:cs="Arial"/>
          <w:szCs w:val="18"/>
          <w:lang w:bidi="en-US"/>
        </w:rPr>
        <w:t>of Soda enterprise were conducted (Figure 2).</w:t>
      </w:r>
    </w:p>
    <w:p w14:paraId="115FB73C" w14:textId="48E698B2" w:rsidR="00903FDA" w:rsidRPr="00807302" w:rsidRDefault="005850B4" w:rsidP="00903FDA">
      <w:pPr>
        <w:widowControl w:val="0"/>
        <w:autoSpaceDE w:val="0"/>
        <w:autoSpaceDN w:val="0"/>
        <w:spacing w:line="240" w:lineRule="auto"/>
        <w:contextualSpacing/>
        <w:jc w:val="left"/>
        <w:rPr>
          <w:rFonts w:ascii="Times New Roman" w:hAnsi="Times New Roman"/>
          <w:sz w:val="20"/>
          <w:lang w:bidi="en-US"/>
        </w:rPr>
      </w:pPr>
      <w:r>
        <w:rPr>
          <w:noProof/>
        </w:rPr>
        <w:drawing>
          <wp:inline distT="0" distB="0" distL="0" distR="0" wp14:anchorId="517CB164" wp14:editId="20F01264">
            <wp:extent cx="5295158" cy="2876550"/>
            <wp:effectExtent l="0" t="0" r="1270" b="0"/>
            <wp:docPr id="13079005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900584" name=""/>
                    <pic:cNvPicPr/>
                  </pic:nvPicPr>
                  <pic:blipFill>
                    <a:blip r:embed="rId12"/>
                    <a:stretch>
                      <a:fillRect/>
                    </a:stretch>
                  </pic:blipFill>
                  <pic:spPr>
                    <a:xfrm>
                      <a:off x="0" y="0"/>
                      <a:ext cx="5317172" cy="2888509"/>
                    </a:xfrm>
                    <a:prstGeom prst="rect">
                      <a:avLst/>
                    </a:prstGeom>
                  </pic:spPr>
                </pic:pic>
              </a:graphicData>
            </a:graphic>
          </wp:inline>
        </w:drawing>
      </w:r>
    </w:p>
    <w:p w14:paraId="20053677" w14:textId="77777777" w:rsidR="00903FDA" w:rsidRPr="00807302" w:rsidRDefault="00903FDA" w:rsidP="00903FDA">
      <w:pPr>
        <w:widowControl w:val="0"/>
        <w:autoSpaceDE w:val="0"/>
        <w:autoSpaceDN w:val="0"/>
        <w:spacing w:line="240" w:lineRule="auto"/>
        <w:contextualSpacing/>
        <w:jc w:val="center"/>
        <w:rPr>
          <w:rFonts w:ascii="Times New Roman" w:hAnsi="Times New Roman"/>
          <w:sz w:val="20"/>
          <w:lang w:bidi="en-US"/>
        </w:rPr>
      </w:pPr>
    </w:p>
    <w:p w14:paraId="03073984" w14:textId="3500B04B" w:rsidR="00903FDA" w:rsidRPr="00903FDA" w:rsidRDefault="00903FDA" w:rsidP="00903FDA">
      <w:pPr>
        <w:widowControl w:val="0"/>
        <w:autoSpaceDE w:val="0"/>
        <w:autoSpaceDN w:val="0"/>
        <w:spacing w:line="240" w:lineRule="auto"/>
        <w:jc w:val="left"/>
        <w:rPr>
          <w:rFonts w:cs="Arial"/>
          <w:szCs w:val="18"/>
          <w:lang w:bidi="en-US"/>
        </w:rPr>
      </w:pPr>
      <w:r w:rsidRPr="00903FDA">
        <w:rPr>
          <w:rFonts w:cs="Arial"/>
          <w:szCs w:val="18"/>
          <w:lang w:bidi="en-US"/>
        </w:rPr>
        <w:t>Figure 2. Infra-red (IR) spectroscopy of fine-fraction limestone waste from the soda enterprise</w:t>
      </w:r>
    </w:p>
    <w:p w14:paraId="47363EF7" w14:textId="77777777" w:rsidR="00903FDA" w:rsidRPr="00903FDA" w:rsidRDefault="00903FDA" w:rsidP="00903FDA">
      <w:pPr>
        <w:widowControl w:val="0"/>
        <w:autoSpaceDE w:val="0"/>
        <w:autoSpaceDN w:val="0"/>
        <w:spacing w:line="240" w:lineRule="auto"/>
        <w:jc w:val="center"/>
        <w:rPr>
          <w:rFonts w:cs="Arial"/>
          <w:b/>
          <w:szCs w:val="18"/>
          <w:lang w:bidi="en-US"/>
        </w:rPr>
      </w:pPr>
    </w:p>
    <w:p w14:paraId="071A648D" w14:textId="77777777" w:rsidR="00903FDA" w:rsidRPr="00903FDA" w:rsidRDefault="00903FDA" w:rsidP="00903FDA">
      <w:pPr>
        <w:widowControl w:val="0"/>
        <w:autoSpaceDE w:val="0"/>
        <w:autoSpaceDN w:val="0"/>
        <w:spacing w:line="240" w:lineRule="auto"/>
        <w:rPr>
          <w:rFonts w:cs="Arial"/>
          <w:szCs w:val="18"/>
          <w:lang w:bidi="en-US"/>
        </w:rPr>
      </w:pPr>
      <w:r w:rsidRPr="00903FDA">
        <w:rPr>
          <w:rFonts w:cs="Arial"/>
          <w:szCs w:val="18"/>
          <w:lang w:bidi="en-US"/>
        </w:rPr>
        <w:t>According to the results of infrared spectroscopy of fine-fraction limestone waste from the soda plant, slight changes in intensity values are observed. In particular, deformation vibrations of CaO atoms corresponding to the upper range of IR radiation are observed at 709.33 and 875.21 cm−1. In the region from 1395.51 to 1800.08 cm−1, vibrations with the participation of secondary bonds and CO</w:t>
      </w:r>
      <w:r w:rsidRPr="00903FDA">
        <w:rPr>
          <w:rFonts w:cs="Arial"/>
          <w:szCs w:val="18"/>
          <w:vertAlign w:val="subscript"/>
          <w:lang w:bidi="en-US"/>
        </w:rPr>
        <w:t>2</w:t>
      </w:r>
      <w:r w:rsidRPr="00903FDA">
        <w:rPr>
          <w:rFonts w:cs="Arial"/>
          <w:szCs w:val="18"/>
          <w:lang w:bidi="en-US"/>
        </w:rPr>
        <w:t xml:space="preserve"> atoms are observed. In the region from 2135.22 to 2373.91 cm−1, bonds were revealed in the presence of tripled MgO*H</w:t>
      </w:r>
      <w:r w:rsidRPr="00903FDA">
        <w:rPr>
          <w:rFonts w:cs="Arial"/>
          <w:szCs w:val="18"/>
          <w:vertAlign w:val="subscript"/>
          <w:lang w:bidi="en-US"/>
        </w:rPr>
        <w:t>2</w:t>
      </w:r>
      <w:r w:rsidRPr="00903FDA">
        <w:rPr>
          <w:rFonts w:cs="Arial"/>
          <w:szCs w:val="18"/>
          <w:lang w:bidi="en-US"/>
        </w:rPr>
        <w:t>O. In the range from 2515 to 4000 cm-1, vibrations involving hydrogen atoms are observed.</w:t>
      </w:r>
    </w:p>
    <w:p w14:paraId="1A901F09" w14:textId="77777777" w:rsidR="00903FDA" w:rsidRPr="00903FDA" w:rsidRDefault="00903FDA" w:rsidP="00903FDA">
      <w:pPr>
        <w:widowControl w:val="0"/>
        <w:autoSpaceDE w:val="0"/>
        <w:autoSpaceDN w:val="0"/>
        <w:spacing w:line="240" w:lineRule="auto"/>
        <w:rPr>
          <w:rFonts w:cs="Arial"/>
          <w:szCs w:val="18"/>
          <w:lang w:bidi="en-US"/>
        </w:rPr>
      </w:pPr>
      <w:r w:rsidRPr="00903FDA">
        <w:rPr>
          <w:rFonts w:cs="Arial"/>
          <w:szCs w:val="18"/>
          <w:lang w:bidi="en-US"/>
        </w:rPr>
        <w:t>Sieving of 10-20 mm limestones according to GOST 8267-93 was carried out using the following formula and the following results were obtained.</w:t>
      </w:r>
    </w:p>
    <w:p w14:paraId="7213682B" w14:textId="0BE8A47B" w:rsidR="00903FDA" w:rsidRPr="00903FDA" w:rsidRDefault="00903FDA" w:rsidP="00903FDA">
      <w:pPr>
        <w:widowControl w:val="0"/>
        <w:autoSpaceDE w:val="0"/>
        <w:autoSpaceDN w:val="0"/>
        <w:spacing w:before="240" w:after="240" w:line="240" w:lineRule="auto"/>
        <w:ind w:firstLine="284"/>
        <w:contextualSpacing/>
        <w:jc w:val="left"/>
        <w:rPr>
          <w:rFonts w:ascii="Times New Roman" w:hAnsi="Times New Roman"/>
          <w:color w:val="000000"/>
          <w:sz w:val="20"/>
          <w:lang w:bidi="en-US"/>
        </w:rPr>
      </w:pPr>
      <m:oMathPara>
        <m:oMathParaPr>
          <m:jc m:val="left"/>
        </m:oMathParaPr>
        <m:oMath>
          <m:r>
            <w:rPr>
              <w:rFonts w:ascii="Cambria Math" w:hAnsi="Cambria Math" w:cs="Arial"/>
              <w:color w:val="000000"/>
              <w:sz w:val="20"/>
              <w:lang w:bidi="en-US"/>
            </w:rPr>
            <w:lastRenderedPageBreak/>
            <m:t xml:space="preserve">1,25*D=1,25*2=25 </m:t>
          </m:r>
          <m:r>
            <w:rPr>
              <w:rFonts w:ascii="Cambria Math" w:hAnsi="Cambria Math" w:cs="Arial"/>
              <w:color w:val="000000"/>
              <w:sz w:val="20"/>
              <w:lang w:val="uz-Cyrl-UZ" w:bidi="en-US"/>
            </w:rPr>
            <m:t>m</m:t>
          </m:r>
          <m:r>
            <w:rPr>
              <w:rFonts w:ascii="Cambria Math" w:hAnsi="Cambria Math" w:cs="Arial"/>
              <w:color w:val="000000"/>
              <w:sz w:val="20"/>
              <w:lang w:val="en-US" w:bidi="en-US"/>
            </w:rPr>
            <m:t>m</m:t>
          </m:r>
          <m:r>
            <w:rPr>
              <w:rFonts w:ascii="Cambria Math" w:hAnsi="Cambria Math" w:cs="Arial"/>
              <w:color w:val="000000"/>
              <w:sz w:val="20"/>
              <w:lang w:bidi="en-US"/>
            </w:rPr>
            <m:t xml:space="preserve">                                                            (1)</m:t>
          </m:r>
        </m:oMath>
      </m:oMathPara>
    </w:p>
    <w:p w14:paraId="502CAF3A" w14:textId="22897CEB" w:rsidR="00903FDA" w:rsidRPr="00903FDA" w:rsidRDefault="00903FDA" w:rsidP="00903FDA">
      <w:pPr>
        <w:widowControl w:val="0"/>
        <w:autoSpaceDE w:val="0"/>
        <w:autoSpaceDN w:val="0"/>
        <w:spacing w:before="240" w:after="240" w:line="240" w:lineRule="auto"/>
        <w:ind w:firstLine="284"/>
        <w:contextualSpacing/>
        <w:jc w:val="left"/>
        <w:rPr>
          <w:rFonts w:ascii="Times New Roman" w:hAnsi="Times New Roman"/>
          <w:i/>
          <w:color w:val="000000"/>
          <w:sz w:val="20"/>
          <w:lang w:val="uz-Cyrl-UZ" w:bidi="en-US"/>
        </w:rPr>
      </w:pPr>
      <m:oMathPara>
        <m:oMathParaPr>
          <m:jc m:val="left"/>
        </m:oMathParaPr>
        <m:oMath>
          <m:r>
            <w:rPr>
              <w:rFonts w:ascii="Cambria Math" w:hAnsi="Cambria Math" w:cs="Arial"/>
              <w:color w:val="000000"/>
              <w:sz w:val="20"/>
              <w:lang w:val="uz-Cyrl-UZ" w:bidi="en-US"/>
            </w:rPr>
            <m:t>D=20 m</m:t>
          </m:r>
          <m:r>
            <w:rPr>
              <w:rFonts w:ascii="Cambria Math" w:hAnsi="Cambria Math" w:cs="Arial"/>
              <w:color w:val="000000"/>
              <w:sz w:val="20"/>
              <w:lang w:val="en-US" w:bidi="en-US"/>
            </w:rPr>
            <m:t>m</m:t>
          </m:r>
          <m:r>
            <m:rPr>
              <m:sty m:val="p"/>
            </m:rPr>
            <w:rPr>
              <w:rFonts w:ascii="Cambria Math" w:hAnsi="Cambria Math" w:cs="Arial"/>
              <w:color w:val="000000"/>
              <w:sz w:val="20"/>
              <w:lang w:val="uz-Cyrl-UZ" w:bidi="en-US"/>
            </w:rPr>
            <m:t xml:space="preserve">                                              </m:t>
          </m:r>
          <m:r>
            <w:rPr>
              <w:rFonts w:ascii="Cambria Math" w:hAnsi="Cambria Math" w:cs="Arial"/>
              <w:color w:val="000000"/>
              <w:sz w:val="20"/>
              <w:lang w:val="en-US" w:bidi="en-US"/>
            </w:rPr>
            <m:t xml:space="preserve">                                          </m:t>
          </m:r>
          <m:r>
            <m:rPr>
              <m:sty m:val="p"/>
            </m:rPr>
            <w:rPr>
              <w:rFonts w:ascii="Cambria Math" w:hAnsi="Cambria Math" w:cs="Arial"/>
              <w:color w:val="000000"/>
              <w:sz w:val="20"/>
              <w:lang w:val="uz-Cyrl-UZ" w:bidi="en-US"/>
            </w:rPr>
            <m:t xml:space="preserve">      (2)</m:t>
          </m:r>
        </m:oMath>
      </m:oMathPara>
    </w:p>
    <w:p w14:paraId="27B5AF13" w14:textId="4D1AD9E8" w:rsidR="00903FDA" w:rsidRPr="00903FDA" w:rsidRDefault="00000000" w:rsidP="00903FDA">
      <w:pPr>
        <w:widowControl w:val="0"/>
        <w:autoSpaceDE w:val="0"/>
        <w:autoSpaceDN w:val="0"/>
        <w:spacing w:line="240" w:lineRule="auto"/>
        <w:ind w:firstLine="284"/>
        <w:contextualSpacing/>
        <w:jc w:val="left"/>
        <w:rPr>
          <w:rFonts w:ascii="Times New Roman" w:hAnsi="Times New Roman"/>
          <w:i/>
          <w:color w:val="000000"/>
          <w:sz w:val="20"/>
          <w:lang w:val="uz-Cyrl-UZ" w:bidi="en-US"/>
        </w:rPr>
      </w:pPr>
      <m:oMathPara>
        <m:oMathParaPr>
          <m:jc m:val="left"/>
        </m:oMathParaPr>
        <m:oMath>
          <m:f>
            <m:fPr>
              <m:ctrlPr>
                <w:rPr>
                  <w:rFonts w:ascii="Cambria Math" w:hAnsi="Cambria Math" w:cs="Arial"/>
                  <w:i/>
                  <w:color w:val="000000"/>
                  <w:sz w:val="20"/>
                  <w:lang w:bidi="en-US"/>
                </w:rPr>
              </m:ctrlPr>
            </m:fPr>
            <m:num>
              <m:r>
                <w:rPr>
                  <w:rFonts w:ascii="Cambria Math" w:hAnsi="Cambria Math" w:cs="Arial"/>
                  <w:color w:val="000000"/>
                  <w:sz w:val="20"/>
                  <w:lang w:bidi="en-US"/>
                </w:rPr>
                <m:t>D+d</m:t>
              </m:r>
            </m:num>
            <m:den>
              <m:r>
                <w:rPr>
                  <w:rFonts w:ascii="Cambria Math" w:hAnsi="Cambria Math" w:cs="Arial"/>
                  <w:color w:val="000000"/>
                  <w:sz w:val="20"/>
                  <w:lang w:bidi="en-US"/>
                </w:rPr>
                <m:t>2</m:t>
              </m:r>
            </m:den>
          </m:f>
          <m:r>
            <w:rPr>
              <w:rFonts w:ascii="Cambria Math" w:hAnsi="Cambria Math" w:cs="Arial"/>
              <w:color w:val="000000"/>
              <w:sz w:val="20"/>
              <w:lang w:bidi="en-US"/>
            </w:rPr>
            <m:t>=</m:t>
          </m:r>
          <m:f>
            <m:fPr>
              <m:ctrlPr>
                <w:rPr>
                  <w:rFonts w:ascii="Cambria Math" w:hAnsi="Cambria Math" w:cs="Arial"/>
                  <w:i/>
                  <w:color w:val="000000"/>
                  <w:sz w:val="20"/>
                  <w:lang w:bidi="en-US"/>
                </w:rPr>
              </m:ctrlPr>
            </m:fPr>
            <m:num>
              <m:r>
                <w:rPr>
                  <w:rFonts w:ascii="Cambria Math" w:hAnsi="Cambria Math" w:cs="Arial"/>
                  <w:color w:val="000000"/>
                  <w:sz w:val="20"/>
                  <w:lang w:bidi="en-US"/>
                </w:rPr>
                <m:t>20+10</m:t>
              </m:r>
            </m:num>
            <m:den>
              <m:r>
                <w:rPr>
                  <w:rFonts w:ascii="Cambria Math" w:hAnsi="Cambria Math" w:cs="Arial"/>
                  <w:color w:val="000000"/>
                  <w:sz w:val="20"/>
                  <w:lang w:bidi="en-US"/>
                </w:rPr>
                <m:t>2</m:t>
              </m:r>
            </m:den>
          </m:f>
          <m:r>
            <w:rPr>
              <w:rFonts w:ascii="Cambria Math" w:hAnsi="Cambria Math" w:cs="Arial"/>
              <w:color w:val="000000"/>
              <w:sz w:val="20"/>
              <w:lang w:bidi="en-US"/>
            </w:rPr>
            <m:t xml:space="preserve">=15 </m:t>
          </m:r>
          <m:r>
            <w:rPr>
              <w:rFonts w:ascii="Cambria Math" w:hAnsi="Cambria Math" w:cs="Arial"/>
              <w:color w:val="000000"/>
              <w:sz w:val="20"/>
              <w:lang w:val="uz-Cyrl-UZ" w:bidi="en-US"/>
            </w:rPr>
            <m:t>m</m:t>
          </m:r>
          <m:r>
            <w:rPr>
              <w:rFonts w:ascii="Cambria Math" w:hAnsi="Cambria Math" w:cs="Arial"/>
              <w:color w:val="000000"/>
              <w:sz w:val="20"/>
              <w:lang w:val="en-US" w:bidi="en-US"/>
            </w:rPr>
            <m:t>m</m:t>
          </m:r>
          <m:r>
            <m:rPr>
              <m:sty m:val="p"/>
            </m:rPr>
            <w:rPr>
              <w:rFonts w:ascii="Cambria Math" w:hAnsi="Cambria Math" w:cs="Arial"/>
              <w:color w:val="000000"/>
              <w:sz w:val="20"/>
              <w:lang w:val="uz-Cyrl-UZ" w:bidi="en-US"/>
            </w:rPr>
            <m:t xml:space="preserve">                        </m:t>
          </m:r>
          <m:r>
            <w:rPr>
              <w:rFonts w:ascii="Cambria Math" w:hAnsi="Cambria Math" w:cs="Arial"/>
              <w:color w:val="000000"/>
              <w:sz w:val="20"/>
              <w:lang w:val="en-US" w:bidi="en-US"/>
            </w:rPr>
            <m:t xml:space="preserve">                               </m:t>
          </m:r>
          <m:r>
            <m:rPr>
              <m:sty m:val="p"/>
            </m:rPr>
            <w:rPr>
              <w:rFonts w:ascii="Cambria Math" w:hAnsi="Cambria Math" w:cs="Arial"/>
              <w:color w:val="000000"/>
              <w:sz w:val="20"/>
              <w:lang w:val="uz-Cyrl-UZ" w:bidi="en-US"/>
            </w:rPr>
            <m:t xml:space="preserve">         (3)</m:t>
          </m:r>
        </m:oMath>
      </m:oMathPara>
    </w:p>
    <w:p w14:paraId="2253BC07" w14:textId="209C330F" w:rsidR="00903FDA" w:rsidRPr="00903FDA" w:rsidRDefault="00903FDA" w:rsidP="00903FDA">
      <w:pPr>
        <w:widowControl w:val="0"/>
        <w:autoSpaceDE w:val="0"/>
        <w:autoSpaceDN w:val="0"/>
        <w:spacing w:line="240" w:lineRule="auto"/>
        <w:ind w:firstLine="284"/>
        <w:contextualSpacing/>
        <w:jc w:val="left"/>
        <w:rPr>
          <w:rFonts w:ascii="Times New Roman" w:hAnsi="Times New Roman"/>
          <w:i/>
          <w:color w:val="000000"/>
          <w:sz w:val="20"/>
          <w:lang w:val="uz-Cyrl-UZ" w:bidi="en-US"/>
        </w:rPr>
      </w:pPr>
      <m:oMathPara>
        <m:oMathParaPr>
          <m:jc m:val="left"/>
        </m:oMathParaPr>
        <m:oMath>
          <m:r>
            <w:rPr>
              <w:rFonts w:ascii="Cambria Math" w:hAnsi="Cambria Math" w:cs="Arial"/>
              <w:color w:val="000000"/>
              <w:sz w:val="20"/>
              <w:lang w:bidi="en-US"/>
            </w:rPr>
            <m:t xml:space="preserve">d=10 </m:t>
          </m:r>
          <m:r>
            <w:rPr>
              <w:rFonts w:ascii="Cambria Math" w:hAnsi="Cambria Math" w:cs="Arial"/>
              <w:color w:val="000000"/>
              <w:sz w:val="20"/>
              <w:lang w:val="uz-Cyrl-UZ" w:bidi="en-US"/>
            </w:rPr>
            <m:t>m</m:t>
          </m:r>
          <m:r>
            <w:rPr>
              <w:rFonts w:ascii="Cambria Math" w:hAnsi="Cambria Math" w:cs="Arial"/>
              <w:color w:val="000000"/>
              <w:sz w:val="20"/>
              <w:lang w:val="en-US" w:bidi="en-US"/>
            </w:rPr>
            <m:t>m</m:t>
          </m:r>
          <m:r>
            <w:rPr>
              <w:rFonts w:ascii="Cambria Math" w:hAnsi="Cambria Math" w:cs="Arial"/>
              <w:color w:val="000000"/>
              <w:sz w:val="20"/>
              <w:lang w:val="uz-Cyrl-UZ" w:bidi="en-US"/>
            </w:rPr>
            <m:t xml:space="preserve">                                                          </m:t>
          </m:r>
          <m:r>
            <w:rPr>
              <w:rFonts w:ascii="Cambria Math" w:hAnsi="Cambria Math" w:cs="Arial"/>
              <w:color w:val="000000"/>
              <w:sz w:val="20"/>
              <w:lang w:val="en-US" w:bidi="en-US"/>
            </w:rPr>
            <m:t xml:space="preserve">                             </m:t>
          </m:r>
          <m:r>
            <w:rPr>
              <w:rFonts w:ascii="Cambria Math" w:hAnsi="Cambria Math" w:cs="Arial"/>
              <w:color w:val="000000"/>
              <w:sz w:val="20"/>
              <w:lang w:val="uz-Cyrl-UZ" w:bidi="en-US"/>
            </w:rPr>
            <m:t xml:space="preserve">       (4)</m:t>
          </m:r>
        </m:oMath>
      </m:oMathPara>
    </w:p>
    <w:p w14:paraId="01612C65" w14:textId="77777777" w:rsidR="00903FDA" w:rsidRPr="00807302" w:rsidRDefault="00903FDA" w:rsidP="006B3DB2">
      <w:pPr>
        <w:widowControl w:val="0"/>
        <w:autoSpaceDE w:val="0"/>
        <w:autoSpaceDN w:val="0"/>
        <w:spacing w:line="240" w:lineRule="auto"/>
        <w:contextualSpacing/>
        <w:jc w:val="left"/>
        <w:rPr>
          <w:rFonts w:ascii="Times New Roman" w:hAnsi="Times New Roman"/>
          <w:sz w:val="20"/>
          <w:lang w:bidi="en-US"/>
        </w:rPr>
      </w:pPr>
      <w:r w:rsidRPr="00807302">
        <w:rPr>
          <w:rFonts w:ascii="Times New Roman" w:hAnsi="Times New Roman"/>
          <w:noProof/>
          <w:lang w:val="ru-RU" w:eastAsia="ru-RU"/>
        </w:rPr>
        <w:drawing>
          <wp:inline distT="0" distB="0" distL="0" distR="0" wp14:anchorId="2AAC727E" wp14:editId="246AF7EC">
            <wp:extent cx="3495675" cy="1790700"/>
            <wp:effectExtent l="0" t="0" r="9525" b="0"/>
            <wp:docPr id="637131692" name="Диаграмма 63713169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25F27E9" w14:textId="2ABFEE1F" w:rsidR="006B3DB2" w:rsidRDefault="00B866B6" w:rsidP="006B3DB2">
      <w:pPr>
        <w:widowControl w:val="0"/>
        <w:autoSpaceDE w:val="0"/>
        <w:autoSpaceDN w:val="0"/>
        <w:spacing w:line="240" w:lineRule="auto"/>
        <w:contextualSpacing/>
        <w:jc w:val="left"/>
        <w:rPr>
          <w:rFonts w:cs="Arial"/>
          <w:szCs w:val="18"/>
          <w:lang w:bidi="en-US"/>
        </w:rPr>
      </w:pPr>
      <w:r w:rsidRPr="00B866B6">
        <w:rPr>
          <w:rFonts w:cs="Arial"/>
          <w:szCs w:val="18"/>
          <w:lang w:bidi="en-US"/>
        </w:rPr>
        <w:t>Figure 3. Particle size distribution of 10–20 mm limestone waste aggregate.</w:t>
      </w:r>
    </w:p>
    <w:p w14:paraId="5DFD4BCE" w14:textId="77777777" w:rsidR="00B866B6" w:rsidRDefault="00B866B6" w:rsidP="006B3DB2">
      <w:pPr>
        <w:widowControl w:val="0"/>
        <w:autoSpaceDE w:val="0"/>
        <w:autoSpaceDN w:val="0"/>
        <w:spacing w:line="240" w:lineRule="auto"/>
        <w:contextualSpacing/>
        <w:jc w:val="left"/>
        <w:rPr>
          <w:rFonts w:cs="Arial"/>
          <w:szCs w:val="18"/>
          <w:lang w:bidi="en-US"/>
        </w:rPr>
      </w:pPr>
    </w:p>
    <w:p w14:paraId="5E80EB06" w14:textId="32E2596E" w:rsidR="006B3DB2" w:rsidRDefault="006B3DB2" w:rsidP="006B3DB2">
      <w:pPr>
        <w:widowControl w:val="0"/>
        <w:autoSpaceDE w:val="0"/>
        <w:autoSpaceDN w:val="0"/>
        <w:spacing w:line="240" w:lineRule="auto"/>
        <w:contextualSpacing/>
        <w:rPr>
          <w:rFonts w:cs="Arial"/>
          <w:szCs w:val="18"/>
          <w:lang w:bidi="en-US"/>
        </w:rPr>
      </w:pPr>
      <w:r w:rsidRPr="006B3DB2">
        <w:rPr>
          <w:rFonts w:cs="Arial"/>
          <w:szCs w:val="18"/>
          <w:lang w:bidi="en-US"/>
        </w:rPr>
        <w:t xml:space="preserve">As shown in Figure 3, the particle size distribution of the 10–20 mm limestone waste aggregates meets the standard granulometric requirements specified by GOST. </w:t>
      </w:r>
    </w:p>
    <w:p w14:paraId="3A7F8708" w14:textId="089530E1" w:rsidR="00903FDA" w:rsidRPr="00807302" w:rsidRDefault="00903FDA" w:rsidP="006B3DB2">
      <w:pPr>
        <w:widowControl w:val="0"/>
        <w:autoSpaceDE w:val="0"/>
        <w:autoSpaceDN w:val="0"/>
        <w:spacing w:line="240" w:lineRule="auto"/>
        <w:contextualSpacing/>
        <w:jc w:val="left"/>
        <w:rPr>
          <w:rFonts w:ascii="Times New Roman" w:hAnsi="Times New Roman"/>
          <w:sz w:val="20"/>
          <w:lang w:bidi="en-US"/>
        </w:rPr>
      </w:pPr>
      <w:r w:rsidRPr="00807302">
        <w:rPr>
          <w:rFonts w:ascii="Times New Roman" w:hAnsi="Times New Roman"/>
          <w:noProof/>
          <w:lang w:val="ru-RU" w:eastAsia="ru-RU"/>
        </w:rPr>
        <w:drawing>
          <wp:inline distT="0" distB="0" distL="0" distR="0" wp14:anchorId="0A86EF03" wp14:editId="26D225B5">
            <wp:extent cx="3952875" cy="1885950"/>
            <wp:effectExtent l="0" t="0" r="9525" b="0"/>
            <wp:docPr id="1471887059" name="Диаграмма 147188705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169C6C2" w14:textId="205D376A" w:rsidR="006B3DB2" w:rsidRDefault="00B866B6" w:rsidP="006B3DB2">
      <w:pPr>
        <w:widowControl w:val="0"/>
        <w:autoSpaceDE w:val="0"/>
        <w:autoSpaceDN w:val="0"/>
        <w:spacing w:line="240" w:lineRule="auto"/>
        <w:contextualSpacing/>
        <w:jc w:val="left"/>
        <w:rPr>
          <w:rFonts w:cs="Arial"/>
          <w:szCs w:val="18"/>
          <w:lang w:bidi="en-US"/>
        </w:rPr>
      </w:pPr>
      <w:r w:rsidRPr="00B866B6">
        <w:rPr>
          <w:rFonts w:cs="Arial"/>
          <w:szCs w:val="18"/>
          <w:lang w:bidi="en-US"/>
        </w:rPr>
        <w:t>Figure 4. Particle size distribution of 5–10 mm limestone waste aggregate.</w:t>
      </w:r>
    </w:p>
    <w:p w14:paraId="22412DD9" w14:textId="77777777" w:rsidR="00B866B6" w:rsidRDefault="00B866B6" w:rsidP="006B3DB2">
      <w:pPr>
        <w:widowControl w:val="0"/>
        <w:autoSpaceDE w:val="0"/>
        <w:autoSpaceDN w:val="0"/>
        <w:spacing w:line="240" w:lineRule="auto"/>
        <w:contextualSpacing/>
        <w:jc w:val="left"/>
        <w:rPr>
          <w:rFonts w:cs="Arial"/>
          <w:szCs w:val="18"/>
          <w:lang w:bidi="en-US"/>
        </w:rPr>
      </w:pPr>
    </w:p>
    <w:p w14:paraId="1180FA9D" w14:textId="308DB1D8" w:rsidR="00903FDA" w:rsidRDefault="006B3DB2" w:rsidP="006B3DB2">
      <w:pPr>
        <w:widowControl w:val="0"/>
        <w:autoSpaceDE w:val="0"/>
        <w:autoSpaceDN w:val="0"/>
        <w:spacing w:line="240" w:lineRule="auto"/>
        <w:contextualSpacing/>
        <w:rPr>
          <w:rFonts w:cs="Arial"/>
          <w:szCs w:val="18"/>
          <w:lang w:bidi="en-US"/>
        </w:rPr>
      </w:pPr>
      <w:r w:rsidRPr="006B3DB2">
        <w:rPr>
          <w:rFonts w:cs="Arial"/>
          <w:szCs w:val="18"/>
          <w:lang w:bidi="en-US"/>
        </w:rPr>
        <w:t xml:space="preserve">As illustrated in Figure 4, the bulk density and mechanical strength parameters of the limestone waste aggregates comply with the relevant GOST standards. </w:t>
      </w:r>
    </w:p>
    <w:p w14:paraId="20AA78EC" w14:textId="7C1CEBBD" w:rsidR="00EE281B" w:rsidRPr="006B3DB2" w:rsidRDefault="00EE281B" w:rsidP="006B3DB2">
      <w:pPr>
        <w:widowControl w:val="0"/>
        <w:autoSpaceDE w:val="0"/>
        <w:autoSpaceDN w:val="0"/>
        <w:spacing w:line="240" w:lineRule="auto"/>
        <w:contextualSpacing/>
        <w:rPr>
          <w:rFonts w:cs="Arial"/>
          <w:szCs w:val="18"/>
          <w:lang w:bidi="en-US"/>
        </w:rPr>
      </w:pPr>
      <w:r w:rsidRPr="00EE281B">
        <w:rPr>
          <w:rFonts w:cs="Arial"/>
          <w:szCs w:val="18"/>
          <w:lang w:bidi="en-US"/>
        </w:rPr>
        <w:t>Equations (5)–(8) were used to evaluate the granulometric composition, crushing resistance, and shape characteristics of the limestone waste aggregates according to GOST 8267-93 and GOST 8269-97 standards.</w:t>
      </w:r>
    </w:p>
    <w:p w14:paraId="1C1B1AC0" w14:textId="6929895D" w:rsidR="00903FDA" w:rsidRPr="00807302" w:rsidRDefault="00000000" w:rsidP="00EE281B">
      <w:pPr>
        <w:widowControl w:val="0"/>
        <w:autoSpaceDE w:val="0"/>
        <w:autoSpaceDN w:val="0"/>
        <w:spacing w:after="120" w:line="276" w:lineRule="auto"/>
        <w:jc w:val="left"/>
        <w:rPr>
          <w:rFonts w:ascii="Times New Roman" w:hAnsi="Times New Roman"/>
          <w:sz w:val="20"/>
          <w:lang w:val="uz-Cyrl-UZ" w:bidi="en-US"/>
        </w:rPr>
      </w:pPr>
      <m:oMath>
        <m:sSub>
          <m:sSubPr>
            <m:ctrlPr>
              <w:rPr>
                <w:rFonts w:ascii="Cambria Math" w:hAnsi="Cambria Math"/>
                <w:i/>
                <w:sz w:val="20"/>
                <w:lang w:bidi="en-US"/>
              </w:rPr>
            </m:ctrlPr>
          </m:sSubPr>
          <m:e>
            <m:r>
              <w:rPr>
                <w:rFonts w:ascii="Cambria Math" w:hAnsi="Cambria Math"/>
                <w:sz w:val="20"/>
                <w:lang w:val="uz-Cyrl-UZ" w:bidi="en-US"/>
              </w:rPr>
              <m:t>D</m:t>
            </m:r>
          </m:e>
          <m:sub>
            <m:r>
              <w:rPr>
                <w:rFonts w:ascii="Cambria Math" w:hAnsi="Cambria Math"/>
                <w:sz w:val="20"/>
                <w:lang w:val="uz-Cyrl-UZ" w:bidi="en-US"/>
              </w:rPr>
              <m:t>1</m:t>
            </m:r>
          </m:sub>
        </m:sSub>
        <m:r>
          <w:rPr>
            <w:rFonts w:ascii="Cambria Math" w:hAnsi="Cambria Math"/>
            <w:sz w:val="20"/>
            <w:lang w:val="uz-Cyrl-UZ" w:bidi="en-US"/>
          </w:rPr>
          <m:t>=</m:t>
        </m:r>
        <m:f>
          <m:fPr>
            <m:ctrlPr>
              <w:rPr>
                <w:rFonts w:ascii="Cambria Math" w:hAnsi="Cambria Math"/>
                <w:i/>
                <w:sz w:val="20"/>
                <w:lang w:bidi="en-US"/>
              </w:rPr>
            </m:ctrlPr>
          </m:fPr>
          <m:num>
            <m:r>
              <w:rPr>
                <w:rFonts w:ascii="Cambria Math" w:hAnsi="Cambria Math"/>
                <w:sz w:val="20"/>
                <w:lang w:val="uz-Cyrl-UZ" w:bidi="en-US"/>
              </w:rPr>
              <m:t>m-</m:t>
            </m:r>
            <m:sSub>
              <m:sSubPr>
                <m:ctrlPr>
                  <w:rPr>
                    <w:rFonts w:ascii="Cambria Math" w:hAnsi="Cambria Math"/>
                    <w:i/>
                    <w:sz w:val="20"/>
                    <w:lang w:bidi="en-US"/>
                  </w:rPr>
                </m:ctrlPr>
              </m:sSubPr>
              <m:e>
                <m:r>
                  <w:rPr>
                    <w:rFonts w:ascii="Cambria Math" w:hAnsi="Cambria Math"/>
                    <w:sz w:val="20"/>
                    <w:lang w:val="uz-Cyrl-UZ" w:bidi="en-US"/>
                  </w:rPr>
                  <m:t>m</m:t>
                </m:r>
              </m:e>
              <m:sub>
                <m:r>
                  <w:rPr>
                    <w:rFonts w:ascii="Cambria Math" w:hAnsi="Cambria Math"/>
                    <w:sz w:val="20"/>
                    <w:lang w:val="uz-Cyrl-UZ" w:bidi="en-US"/>
                  </w:rPr>
                  <m:t>1</m:t>
                </m:r>
              </m:sub>
            </m:sSub>
          </m:num>
          <m:den>
            <m:r>
              <w:rPr>
                <w:rFonts w:ascii="Cambria Math" w:hAnsi="Cambria Math"/>
                <w:sz w:val="20"/>
                <w:lang w:val="uz-Cyrl-UZ" w:bidi="en-US"/>
              </w:rPr>
              <m:t>m</m:t>
            </m:r>
          </m:den>
        </m:f>
        <m:r>
          <w:rPr>
            <w:rFonts w:ascii="Cambria Math" w:hAnsi="Cambria Math"/>
            <w:sz w:val="20"/>
            <w:lang w:val="uz-Cyrl-UZ" w:bidi="en-US"/>
          </w:rPr>
          <m:t>∙100=</m:t>
        </m:r>
        <m:f>
          <m:fPr>
            <m:ctrlPr>
              <w:rPr>
                <w:rFonts w:ascii="Cambria Math" w:hAnsi="Cambria Math"/>
                <w:i/>
                <w:sz w:val="20"/>
                <w:lang w:val="uz-Cyrl-UZ" w:bidi="en-US"/>
              </w:rPr>
            </m:ctrlPr>
          </m:fPr>
          <m:num>
            <m:r>
              <w:rPr>
                <w:rFonts w:ascii="Cambria Math" w:hAnsi="Cambria Math"/>
                <w:sz w:val="20"/>
                <w:lang w:val="uz-Cyrl-UZ" w:bidi="en-US"/>
              </w:rPr>
              <m:t>338,8-284,6</m:t>
            </m:r>
          </m:num>
          <m:den>
            <m:r>
              <w:rPr>
                <w:rFonts w:ascii="Cambria Math" w:hAnsi="Cambria Math"/>
                <w:sz w:val="20"/>
                <w:lang w:val="uz-Cyrl-UZ" w:bidi="en-US"/>
              </w:rPr>
              <m:t>338,8</m:t>
            </m:r>
          </m:den>
        </m:f>
        <m:r>
          <w:rPr>
            <w:rFonts w:ascii="Cambria Math" w:hAnsi="Cambria Math"/>
            <w:sz w:val="20"/>
            <w:lang w:val="uz-Cyrl-UZ" w:bidi="en-US"/>
          </w:rPr>
          <m:t>∙100=15,99 %</m:t>
        </m:r>
      </m:oMath>
      <w:r w:rsidR="00903FDA" w:rsidRPr="00807302">
        <w:rPr>
          <w:rFonts w:ascii="Times New Roman" w:hAnsi="Times New Roman"/>
          <w:sz w:val="20"/>
          <w:lang w:val="uz-Cyrl-UZ" w:bidi="en-US"/>
        </w:rPr>
        <w:t xml:space="preserve">   </w:t>
      </w:r>
      <w:r w:rsidR="006B3DB2">
        <w:rPr>
          <w:rFonts w:ascii="Times New Roman" w:hAnsi="Times New Roman"/>
          <w:sz w:val="20"/>
          <w:lang w:val="en-US" w:bidi="en-US"/>
        </w:rPr>
        <w:t xml:space="preserve">                                       (</w:t>
      </w:r>
      <w:r w:rsidR="00903FDA" w:rsidRPr="00807302">
        <w:rPr>
          <w:rFonts w:ascii="Times New Roman" w:hAnsi="Times New Roman"/>
          <w:sz w:val="20"/>
          <w:lang w:val="uz-Cyrl-UZ" w:bidi="en-US"/>
        </w:rPr>
        <w:t>5)</w:t>
      </w:r>
    </w:p>
    <w:p w14:paraId="56DDF6B0" w14:textId="59D0D96E" w:rsidR="00903FDA" w:rsidRPr="00807302" w:rsidRDefault="00000000" w:rsidP="00EE281B">
      <w:pPr>
        <w:widowControl w:val="0"/>
        <w:autoSpaceDE w:val="0"/>
        <w:autoSpaceDN w:val="0"/>
        <w:spacing w:after="120" w:line="276" w:lineRule="auto"/>
        <w:jc w:val="left"/>
        <w:rPr>
          <w:rFonts w:ascii="Times New Roman" w:hAnsi="Times New Roman"/>
          <w:sz w:val="20"/>
          <w:lang w:val="uz-Cyrl-UZ" w:bidi="en-US"/>
        </w:rPr>
      </w:pPr>
      <m:oMath>
        <m:sSub>
          <m:sSubPr>
            <m:ctrlPr>
              <w:rPr>
                <w:rFonts w:ascii="Cambria Math" w:hAnsi="Cambria Math"/>
                <w:i/>
                <w:sz w:val="20"/>
                <w:lang w:bidi="en-US"/>
              </w:rPr>
            </m:ctrlPr>
          </m:sSubPr>
          <m:e>
            <m:r>
              <w:rPr>
                <w:rFonts w:ascii="Cambria Math" w:hAnsi="Cambria Math"/>
                <w:sz w:val="20"/>
                <w:lang w:val="uz-Cyrl-UZ" w:bidi="en-US"/>
              </w:rPr>
              <m:t>D</m:t>
            </m:r>
          </m:e>
          <m:sub>
            <m:r>
              <w:rPr>
                <w:rFonts w:ascii="Cambria Math" w:hAnsi="Cambria Math"/>
                <w:sz w:val="20"/>
                <w:lang w:val="uz-Cyrl-UZ" w:bidi="en-US"/>
              </w:rPr>
              <m:t>2</m:t>
            </m:r>
          </m:sub>
        </m:sSub>
        <m:r>
          <w:rPr>
            <w:rFonts w:ascii="Cambria Math" w:hAnsi="Cambria Math"/>
            <w:sz w:val="20"/>
            <w:lang w:val="uz-Cyrl-UZ" w:bidi="en-US"/>
          </w:rPr>
          <m:t>=</m:t>
        </m:r>
        <m:f>
          <m:fPr>
            <m:ctrlPr>
              <w:rPr>
                <w:rFonts w:ascii="Cambria Math" w:hAnsi="Cambria Math"/>
                <w:i/>
                <w:sz w:val="20"/>
                <w:lang w:bidi="en-US"/>
              </w:rPr>
            </m:ctrlPr>
          </m:fPr>
          <m:num>
            <m:r>
              <w:rPr>
                <w:rFonts w:ascii="Cambria Math" w:hAnsi="Cambria Math"/>
                <w:sz w:val="20"/>
                <w:lang w:val="uz-Cyrl-UZ" w:bidi="en-US"/>
              </w:rPr>
              <m:t>m-</m:t>
            </m:r>
            <m:sSub>
              <m:sSubPr>
                <m:ctrlPr>
                  <w:rPr>
                    <w:rFonts w:ascii="Cambria Math" w:hAnsi="Cambria Math"/>
                    <w:i/>
                    <w:sz w:val="20"/>
                    <w:lang w:bidi="en-US"/>
                  </w:rPr>
                </m:ctrlPr>
              </m:sSubPr>
              <m:e>
                <m:r>
                  <w:rPr>
                    <w:rFonts w:ascii="Cambria Math" w:hAnsi="Cambria Math"/>
                    <w:sz w:val="20"/>
                    <w:lang w:val="uz-Cyrl-UZ" w:bidi="en-US"/>
                  </w:rPr>
                  <m:t>m</m:t>
                </m:r>
              </m:e>
              <m:sub>
                <m:r>
                  <w:rPr>
                    <w:rFonts w:ascii="Cambria Math" w:hAnsi="Cambria Math"/>
                    <w:sz w:val="20"/>
                    <w:lang w:val="uz-Cyrl-UZ" w:bidi="en-US"/>
                  </w:rPr>
                  <m:t>1</m:t>
                </m:r>
              </m:sub>
            </m:sSub>
          </m:num>
          <m:den>
            <m:r>
              <w:rPr>
                <w:rFonts w:ascii="Cambria Math" w:hAnsi="Cambria Math"/>
                <w:sz w:val="20"/>
                <w:lang w:val="uz-Cyrl-UZ" w:bidi="en-US"/>
              </w:rPr>
              <m:t>m</m:t>
            </m:r>
          </m:den>
        </m:f>
        <m:r>
          <w:rPr>
            <w:rFonts w:ascii="Cambria Math" w:hAnsi="Cambria Math"/>
            <w:sz w:val="20"/>
            <w:lang w:val="uz-Cyrl-UZ" w:bidi="en-US"/>
          </w:rPr>
          <m:t>∙100=</m:t>
        </m:r>
        <m:f>
          <m:fPr>
            <m:ctrlPr>
              <w:rPr>
                <w:rFonts w:ascii="Cambria Math" w:hAnsi="Cambria Math"/>
                <w:i/>
                <w:sz w:val="20"/>
                <w:lang w:val="uz-Cyrl-UZ" w:bidi="en-US"/>
              </w:rPr>
            </m:ctrlPr>
          </m:fPr>
          <m:num>
            <m:r>
              <w:rPr>
                <w:rFonts w:ascii="Cambria Math" w:hAnsi="Cambria Math"/>
                <w:sz w:val="20"/>
                <w:lang w:val="uz-Cyrl-UZ" w:bidi="en-US"/>
              </w:rPr>
              <m:t>339,5-286,8</m:t>
            </m:r>
          </m:num>
          <m:den>
            <m:r>
              <w:rPr>
                <w:rFonts w:ascii="Cambria Math" w:hAnsi="Cambria Math"/>
                <w:sz w:val="20"/>
                <w:lang w:val="uz-Cyrl-UZ" w:bidi="en-US"/>
              </w:rPr>
              <m:t>339,5</m:t>
            </m:r>
          </m:den>
        </m:f>
        <m:r>
          <w:rPr>
            <w:rFonts w:ascii="Cambria Math" w:hAnsi="Cambria Math"/>
            <w:sz w:val="20"/>
            <w:lang w:val="uz-Cyrl-UZ" w:bidi="en-US"/>
          </w:rPr>
          <m:t>∙100=15,52 %</m:t>
        </m:r>
      </m:oMath>
      <w:r w:rsidR="00903FDA" w:rsidRPr="00807302">
        <w:rPr>
          <w:rFonts w:ascii="Times New Roman" w:hAnsi="Times New Roman"/>
          <w:sz w:val="20"/>
          <w:lang w:val="uz-Cyrl-UZ" w:bidi="en-US"/>
        </w:rPr>
        <w:t xml:space="preserve">   </w:t>
      </w:r>
      <w:r w:rsidR="006B3DB2">
        <w:rPr>
          <w:rFonts w:ascii="Times New Roman" w:hAnsi="Times New Roman"/>
          <w:sz w:val="20"/>
          <w:lang w:val="en-US" w:bidi="en-US"/>
        </w:rPr>
        <w:t xml:space="preserve">                                      </w:t>
      </w:r>
      <w:r w:rsidR="00903FDA" w:rsidRPr="00807302">
        <w:rPr>
          <w:rFonts w:ascii="Times New Roman" w:hAnsi="Times New Roman"/>
          <w:sz w:val="20"/>
          <w:lang w:val="uz-Cyrl-UZ" w:bidi="en-US"/>
        </w:rPr>
        <w:t xml:space="preserve"> (6)</w:t>
      </w:r>
    </w:p>
    <w:p w14:paraId="1C4DADF5" w14:textId="697A0F8D" w:rsidR="00903FDA" w:rsidRPr="00807302" w:rsidRDefault="00000000" w:rsidP="00EE281B">
      <w:pPr>
        <w:widowControl w:val="0"/>
        <w:autoSpaceDE w:val="0"/>
        <w:autoSpaceDN w:val="0"/>
        <w:spacing w:after="120" w:line="276" w:lineRule="auto"/>
        <w:jc w:val="left"/>
        <w:rPr>
          <w:rFonts w:ascii="Times New Roman" w:hAnsi="Times New Roman"/>
          <w:b/>
          <w:sz w:val="20"/>
          <w:lang w:val="uz-Cyrl-UZ" w:bidi="en-US"/>
        </w:rPr>
      </w:pPr>
      <m:oMath>
        <m:sSub>
          <m:sSubPr>
            <m:ctrlPr>
              <w:rPr>
                <w:rFonts w:ascii="Cambria Math" w:hAnsi="Cambria Math"/>
                <w:i/>
                <w:sz w:val="20"/>
                <w:lang w:val="uz-Cyrl-UZ" w:bidi="en-US"/>
              </w:rPr>
            </m:ctrlPr>
          </m:sSubPr>
          <m:e>
            <m:r>
              <w:rPr>
                <w:rFonts w:ascii="Cambria Math" w:hAnsi="Cambria Math"/>
                <w:sz w:val="20"/>
                <w:lang w:val="uz-Cyrl-UZ" w:bidi="en-US"/>
              </w:rPr>
              <m:t>D</m:t>
            </m:r>
          </m:e>
          <m:sub>
            <m:r>
              <w:rPr>
                <w:rFonts w:ascii="Cambria Math" w:hAnsi="Cambria Math"/>
                <w:sz w:val="20"/>
                <w:lang w:val="uz-Cyrl-UZ" w:bidi="en-US"/>
              </w:rPr>
              <m:t>ум</m:t>
            </m:r>
          </m:sub>
        </m:sSub>
        <m:r>
          <w:rPr>
            <w:rFonts w:ascii="Cambria Math" w:hAnsi="Cambria Math"/>
            <w:sz w:val="20"/>
            <w:lang w:val="uz-Cyrl-UZ" w:bidi="en-US"/>
          </w:rPr>
          <m:t>=</m:t>
        </m:r>
        <m:f>
          <m:fPr>
            <m:ctrlPr>
              <w:rPr>
                <w:rFonts w:ascii="Cambria Math" w:hAnsi="Cambria Math"/>
                <w:i/>
                <w:sz w:val="20"/>
                <w:lang w:bidi="en-US"/>
              </w:rPr>
            </m:ctrlPr>
          </m:fPr>
          <m:num>
            <m:sSub>
              <m:sSubPr>
                <m:ctrlPr>
                  <w:rPr>
                    <w:rFonts w:ascii="Cambria Math" w:hAnsi="Cambria Math"/>
                    <w:i/>
                    <w:sz w:val="20"/>
                    <w:lang w:bidi="en-US"/>
                  </w:rPr>
                </m:ctrlPr>
              </m:sSubPr>
              <m:e>
                <m:r>
                  <w:rPr>
                    <w:rFonts w:ascii="Cambria Math" w:hAnsi="Cambria Math"/>
                    <w:sz w:val="20"/>
                    <w:lang w:val="uz-Cyrl-UZ" w:bidi="en-US"/>
                  </w:rPr>
                  <m:t>D</m:t>
                </m:r>
              </m:e>
              <m:sub>
                <m:r>
                  <w:rPr>
                    <w:rFonts w:ascii="Cambria Math" w:hAnsi="Cambria Math"/>
                    <w:sz w:val="20"/>
                    <w:lang w:val="uz-Cyrl-UZ" w:bidi="en-US"/>
                  </w:rPr>
                  <m:t>1</m:t>
                </m:r>
              </m:sub>
            </m:sSub>
            <m:r>
              <w:rPr>
                <w:rFonts w:ascii="Cambria Math" w:hAnsi="Cambria Math"/>
                <w:sz w:val="20"/>
                <w:lang w:val="uz-Cyrl-UZ" w:bidi="en-US"/>
              </w:rPr>
              <m:t>+</m:t>
            </m:r>
            <m:sSub>
              <m:sSubPr>
                <m:ctrlPr>
                  <w:rPr>
                    <w:rFonts w:ascii="Cambria Math" w:hAnsi="Cambria Math"/>
                    <w:i/>
                    <w:sz w:val="20"/>
                    <w:lang w:bidi="en-US"/>
                  </w:rPr>
                </m:ctrlPr>
              </m:sSubPr>
              <m:e>
                <m:r>
                  <w:rPr>
                    <w:rFonts w:ascii="Cambria Math" w:hAnsi="Cambria Math"/>
                    <w:sz w:val="20"/>
                    <w:lang w:val="uz-Cyrl-UZ" w:bidi="en-US"/>
                  </w:rPr>
                  <m:t>D</m:t>
                </m:r>
              </m:e>
              <m:sub>
                <m:r>
                  <w:rPr>
                    <w:rFonts w:ascii="Cambria Math" w:hAnsi="Cambria Math"/>
                    <w:sz w:val="20"/>
                    <w:lang w:val="uz-Cyrl-UZ" w:bidi="en-US"/>
                  </w:rPr>
                  <m:t>2</m:t>
                </m:r>
              </m:sub>
            </m:sSub>
          </m:num>
          <m:den>
            <m:r>
              <w:rPr>
                <w:rFonts w:ascii="Cambria Math" w:hAnsi="Cambria Math"/>
                <w:sz w:val="20"/>
                <w:lang w:val="uz-Cyrl-UZ" w:bidi="en-US"/>
              </w:rPr>
              <m:t>2</m:t>
            </m:r>
          </m:den>
        </m:f>
      </m:oMath>
      <w:r w:rsidR="00903FDA" w:rsidRPr="00807302">
        <w:rPr>
          <w:rFonts w:ascii="Times New Roman" w:hAnsi="Times New Roman"/>
          <w:sz w:val="20"/>
          <w:lang w:val="uz-Cyrl-UZ" w:bidi="en-US"/>
        </w:rPr>
        <w:t xml:space="preserve"> </w:t>
      </w:r>
      <m:oMath>
        <m:r>
          <w:rPr>
            <w:rFonts w:ascii="Cambria Math" w:hAnsi="Cambria Math"/>
            <w:sz w:val="20"/>
            <w:lang w:val="uz-Cyrl-UZ" w:bidi="en-US"/>
          </w:rPr>
          <m:t>=</m:t>
        </m:r>
        <m:f>
          <m:fPr>
            <m:ctrlPr>
              <w:rPr>
                <w:rFonts w:ascii="Cambria Math" w:hAnsi="Cambria Math"/>
                <w:i/>
                <w:sz w:val="20"/>
                <w:lang w:val="uz-Cyrl-UZ" w:bidi="en-US"/>
              </w:rPr>
            </m:ctrlPr>
          </m:fPr>
          <m:num>
            <m:r>
              <w:rPr>
                <w:rFonts w:ascii="Cambria Math" w:hAnsi="Cambria Math"/>
                <w:sz w:val="20"/>
                <w:lang w:val="uz-Cyrl-UZ" w:bidi="en-US"/>
              </w:rPr>
              <m:t>15,99+15,52</m:t>
            </m:r>
          </m:num>
          <m:den>
            <m:r>
              <w:rPr>
                <w:rFonts w:ascii="Cambria Math" w:hAnsi="Cambria Math"/>
                <w:sz w:val="20"/>
                <w:lang w:val="uz-Cyrl-UZ" w:bidi="en-US"/>
              </w:rPr>
              <m:t>2</m:t>
            </m:r>
          </m:den>
        </m:f>
        <m:r>
          <w:rPr>
            <w:rFonts w:ascii="Cambria Math" w:hAnsi="Cambria Math"/>
            <w:sz w:val="20"/>
            <w:lang w:val="uz-Cyrl-UZ" w:bidi="en-US"/>
          </w:rPr>
          <m:t>=15,75 %</m:t>
        </m:r>
      </m:oMath>
      <w:r w:rsidR="00903FDA" w:rsidRPr="00807302">
        <w:rPr>
          <w:rFonts w:ascii="Times New Roman" w:hAnsi="Times New Roman"/>
          <w:sz w:val="20"/>
          <w:lang w:val="uz-Cyrl-UZ" w:bidi="en-US"/>
        </w:rPr>
        <w:t xml:space="preserve">            </w:t>
      </w:r>
      <w:r w:rsidR="006B3DB2">
        <w:rPr>
          <w:rFonts w:ascii="Times New Roman" w:hAnsi="Times New Roman"/>
          <w:sz w:val="20"/>
          <w:lang w:val="en-US" w:bidi="en-US"/>
        </w:rPr>
        <w:t xml:space="preserve">                                              </w:t>
      </w:r>
      <w:r w:rsidR="00903FDA" w:rsidRPr="00807302">
        <w:rPr>
          <w:rFonts w:ascii="Times New Roman" w:hAnsi="Times New Roman"/>
          <w:sz w:val="20"/>
          <w:lang w:val="uz-Cyrl-UZ" w:bidi="en-US"/>
        </w:rPr>
        <w:t xml:space="preserve">  (7)</w:t>
      </w:r>
    </w:p>
    <w:p w14:paraId="6B1758AF" w14:textId="70A70F83" w:rsidR="00903FDA" w:rsidRPr="006B3DB2" w:rsidRDefault="00EE281B" w:rsidP="00903FDA">
      <w:pPr>
        <w:widowControl w:val="0"/>
        <w:autoSpaceDE w:val="0"/>
        <w:autoSpaceDN w:val="0"/>
        <w:spacing w:line="240" w:lineRule="auto"/>
        <w:rPr>
          <w:rFonts w:cs="Arial"/>
          <w:szCs w:val="18"/>
          <w:lang w:bidi="en-US"/>
        </w:rPr>
      </w:pPr>
      <w:r w:rsidRPr="00EE281B">
        <w:rPr>
          <w:rFonts w:cs="Arial"/>
          <w:szCs w:val="18"/>
          <w:lang w:bidi="en-US"/>
        </w:rPr>
        <w:t>where m is the total sample mass and m1 is the mass of the sieved fraction.</w:t>
      </w:r>
      <w:r>
        <w:rPr>
          <w:rFonts w:cs="Arial"/>
          <w:szCs w:val="18"/>
          <w:lang w:bidi="en-US"/>
        </w:rPr>
        <w:t xml:space="preserve"> </w:t>
      </w:r>
      <w:r w:rsidR="00903FDA" w:rsidRPr="006B3DB2">
        <w:rPr>
          <w:rFonts w:cs="Arial"/>
          <w:szCs w:val="18"/>
          <w:lang w:bidi="en-US"/>
        </w:rPr>
        <w:t xml:space="preserve">Here </w:t>
      </w:r>
      <w:r w:rsidR="00903FDA" w:rsidRPr="006B3DB2">
        <w:rPr>
          <w:rFonts w:cs="Arial"/>
          <w:b/>
          <w:szCs w:val="18"/>
          <w:lang w:bidi="en-US"/>
        </w:rPr>
        <w:t>m</w:t>
      </w:r>
      <w:r w:rsidR="00903FDA" w:rsidRPr="006B3DB2">
        <w:rPr>
          <w:rFonts w:cs="Arial"/>
          <w:szCs w:val="18"/>
          <w:lang w:bidi="en-US"/>
        </w:rPr>
        <w:t xml:space="preserve">-total weight, </w:t>
      </w:r>
      <w:r w:rsidR="00903FDA" w:rsidRPr="006B3DB2">
        <w:rPr>
          <w:rFonts w:cs="Arial"/>
          <w:b/>
          <w:szCs w:val="18"/>
          <w:lang w:bidi="en-US"/>
        </w:rPr>
        <w:t>m</w:t>
      </w:r>
      <w:r w:rsidR="00903FDA" w:rsidRPr="006B3DB2">
        <w:rPr>
          <w:rFonts w:cs="Arial"/>
          <w:b/>
          <w:szCs w:val="18"/>
          <w:vertAlign w:val="subscript"/>
          <w:lang w:bidi="en-US"/>
        </w:rPr>
        <w:t>1</w:t>
      </w:r>
      <w:r w:rsidR="00903FDA" w:rsidRPr="006B3DB2">
        <w:rPr>
          <w:rFonts w:cs="Arial"/>
          <w:szCs w:val="18"/>
          <w:lang w:bidi="en-US"/>
        </w:rPr>
        <w:t>–0.25 mm sieved, i.e. crushed limestone. According to the results of the test conducted to determine the strength limit, it was determined that the small-fraction limestone waste of the soda enterprise belongs to the M1000 class of large fillers according to GOST 8267-93.</w:t>
      </w:r>
    </w:p>
    <w:p w14:paraId="79B212C1" w14:textId="77777777" w:rsidR="00903FDA" w:rsidRPr="006B3DB2" w:rsidRDefault="00903FDA" w:rsidP="00903FDA">
      <w:pPr>
        <w:widowControl w:val="0"/>
        <w:autoSpaceDE w:val="0"/>
        <w:autoSpaceDN w:val="0"/>
        <w:spacing w:line="240" w:lineRule="auto"/>
        <w:rPr>
          <w:rFonts w:cs="Arial"/>
          <w:szCs w:val="18"/>
          <w:lang w:bidi="en-US"/>
        </w:rPr>
      </w:pPr>
      <w:r w:rsidRPr="006B3DB2">
        <w:rPr>
          <w:rFonts w:cs="Arial"/>
          <w:szCs w:val="18"/>
          <w:lang w:bidi="en-US"/>
        </w:rPr>
        <w:t>The test results of plate-like and needle-like indicators according to GOST 8267-93 were as follows.</w:t>
      </w:r>
    </w:p>
    <w:p w14:paraId="221A2E55" w14:textId="490804CF" w:rsidR="00903FDA" w:rsidRPr="00807302" w:rsidRDefault="00903FDA" w:rsidP="006B3DB2">
      <w:pPr>
        <w:widowControl w:val="0"/>
        <w:autoSpaceDE w:val="0"/>
        <w:autoSpaceDN w:val="0"/>
        <w:spacing w:line="276" w:lineRule="auto"/>
        <w:jc w:val="left"/>
        <w:rPr>
          <w:rFonts w:ascii="Times New Roman" w:hAnsi="Times New Roman"/>
          <w:sz w:val="20"/>
          <w:lang w:val="uz-Cyrl-UZ" w:bidi="en-US"/>
        </w:rPr>
      </w:pPr>
      <m:oMath>
        <m:r>
          <w:rPr>
            <w:rFonts w:ascii="Cambria Math" w:hAnsi="Cambria Math"/>
            <w:sz w:val="20"/>
            <w:lang w:val="uz-Cyrl-UZ" w:bidi="en-US"/>
          </w:rPr>
          <m:t>П=</m:t>
        </m:r>
        <m:f>
          <m:fPr>
            <m:ctrlPr>
              <w:rPr>
                <w:rFonts w:ascii="Cambria Math" w:hAnsi="Cambria Math"/>
                <w:i/>
                <w:sz w:val="20"/>
                <w:lang w:bidi="en-US"/>
              </w:rPr>
            </m:ctrlPr>
          </m:fPr>
          <m:num>
            <m:r>
              <w:rPr>
                <w:rFonts w:ascii="Cambria Math" w:hAnsi="Cambria Math"/>
                <w:sz w:val="20"/>
                <w:lang w:val="uz-Cyrl-UZ" w:bidi="en-US"/>
              </w:rPr>
              <m:t>m</m:t>
            </m:r>
          </m:num>
          <m:den>
            <m:r>
              <w:rPr>
                <w:rFonts w:ascii="Cambria Math" w:hAnsi="Cambria Math"/>
                <w:sz w:val="20"/>
                <w:lang w:val="uz-Cyrl-UZ" w:bidi="en-US"/>
              </w:rPr>
              <m:t>m</m:t>
            </m:r>
          </m:den>
        </m:f>
        <m:r>
          <w:rPr>
            <w:rFonts w:ascii="Cambria Math" w:hAnsi="Cambria Math"/>
            <w:sz w:val="20"/>
            <w:lang w:val="uz-Cyrl-UZ" w:bidi="en-US"/>
          </w:rPr>
          <m:t>=</m:t>
        </m:r>
        <m:f>
          <m:fPr>
            <m:ctrlPr>
              <w:rPr>
                <w:rFonts w:ascii="Cambria Math" w:hAnsi="Cambria Math"/>
                <w:i/>
                <w:sz w:val="20"/>
                <w:lang w:val="uz-Cyrl-UZ" w:bidi="en-US"/>
              </w:rPr>
            </m:ctrlPr>
          </m:fPr>
          <m:num>
            <m:r>
              <w:rPr>
                <w:rFonts w:ascii="Cambria Math" w:hAnsi="Cambria Math"/>
                <w:sz w:val="20"/>
                <w:lang w:val="uz-Cyrl-UZ" w:bidi="en-US"/>
              </w:rPr>
              <m:t>51,9</m:t>
            </m:r>
          </m:num>
          <m:den>
            <m:r>
              <w:rPr>
                <w:rFonts w:ascii="Cambria Math" w:hAnsi="Cambria Math"/>
                <w:sz w:val="20"/>
                <w:lang w:val="uz-Cyrl-UZ" w:bidi="en-US"/>
              </w:rPr>
              <m:t>250</m:t>
            </m:r>
          </m:den>
        </m:f>
        <m:r>
          <w:rPr>
            <w:rFonts w:ascii="Cambria Math" w:hAnsi="Cambria Math"/>
            <w:sz w:val="20"/>
            <w:lang w:val="uz-Cyrl-UZ" w:bidi="en-US"/>
          </w:rPr>
          <m:t>∙100=20,76%</m:t>
        </m:r>
      </m:oMath>
      <w:r w:rsidRPr="00807302">
        <w:rPr>
          <w:rFonts w:ascii="Times New Roman" w:hAnsi="Times New Roman"/>
          <w:sz w:val="20"/>
          <w:lang w:val="uz-Cyrl-UZ" w:bidi="en-US"/>
        </w:rPr>
        <w:t xml:space="preserve">        </w:t>
      </w:r>
      <w:r w:rsidR="006B3DB2">
        <w:rPr>
          <w:rFonts w:ascii="Times New Roman" w:hAnsi="Times New Roman"/>
          <w:sz w:val="20"/>
          <w:lang w:val="en-US" w:bidi="en-US"/>
        </w:rPr>
        <w:t xml:space="preserve">                                                              </w:t>
      </w:r>
      <w:r w:rsidRPr="00807302">
        <w:rPr>
          <w:rFonts w:ascii="Times New Roman" w:hAnsi="Times New Roman"/>
          <w:sz w:val="20"/>
          <w:lang w:val="uz-Cyrl-UZ" w:bidi="en-US"/>
        </w:rPr>
        <w:t xml:space="preserve"> (8)</w:t>
      </w:r>
    </w:p>
    <w:p w14:paraId="470CECE1" w14:textId="551B0AC7" w:rsidR="006B3DB2" w:rsidRPr="006B3DB2" w:rsidRDefault="006B3DB2" w:rsidP="006B3DB2">
      <w:pPr>
        <w:widowControl w:val="0"/>
        <w:autoSpaceDE w:val="0"/>
        <w:autoSpaceDN w:val="0"/>
        <w:spacing w:line="240" w:lineRule="auto"/>
        <w:rPr>
          <w:rFonts w:cs="Arial"/>
          <w:szCs w:val="18"/>
          <w:lang w:bidi="en-US"/>
        </w:rPr>
      </w:pPr>
      <w:r w:rsidRPr="006B3DB2">
        <w:rPr>
          <w:rFonts w:cs="Arial"/>
          <w:szCs w:val="18"/>
          <w:lang w:bidi="en-US"/>
        </w:rPr>
        <w:t>According to the results of this analysis, it was determined that the small-fraction limestone waste of the soda enterprise belongs to the type of large fillers of the 2</w:t>
      </w:r>
      <w:r w:rsidRPr="006B3DB2">
        <w:rPr>
          <w:rFonts w:cs="Arial"/>
          <w:szCs w:val="18"/>
          <w:vertAlign w:val="superscript"/>
          <w:lang w:bidi="en-US"/>
        </w:rPr>
        <w:t>nd</w:t>
      </w:r>
      <w:r w:rsidRPr="006B3DB2">
        <w:rPr>
          <w:rFonts w:cs="Arial"/>
          <w:szCs w:val="18"/>
          <w:lang w:bidi="en-US"/>
        </w:rPr>
        <w:t xml:space="preserve"> category according to GOST 8267-93</w:t>
      </w:r>
      <w:r w:rsidR="009213BD">
        <w:rPr>
          <w:rFonts w:cs="Arial"/>
          <w:szCs w:val="18"/>
          <w:lang w:bidi="en-US"/>
        </w:rPr>
        <w:t xml:space="preserve"> and </w:t>
      </w:r>
      <w:r w:rsidRPr="006B3DB2">
        <w:rPr>
          <w:rFonts w:cs="Arial"/>
          <w:szCs w:val="18"/>
          <w:lang w:bidi="en-US"/>
        </w:rPr>
        <w:t>can be used as a large filler of small-fraction limestone waste.</w:t>
      </w:r>
    </w:p>
    <w:p w14:paraId="4CC40621" w14:textId="1E72F2DA" w:rsidR="006B3DB2" w:rsidRPr="006B3DB2" w:rsidRDefault="009213BD" w:rsidP="009213BD">
      <w:pPr>
        <w:widowControl w:val="0"/>
        <w:autoSpaceDE w:val="0"/>
        <w:autoSpaceDN w:val="0"/>
        <w:spacing w:line="240" w:lineRule="auto"/>
        <w:rPr>
          <w:rFonts w:cs="Arial"/>
          <w:szCs w:val="18"/>
          <w:lang w:bidi="en-US"/>
        </w:rPr>
      </w:pPr>
      <w:r w:rsidRPr="009213BD">
        <w:rPr>
          <w:rFonts w:cs="Arial"/>
          <w:szCs w:val="18"/>
          <w:lang w:bidi="en-US"/>
        </w:rPr>
        <w:t xml:space="preserve">The results indicate that the incorporation of soda industry limestone waste as coarse aggregate can significantly improve the compressive strength of concrete. Experimental studies were carried out on 100×100×100 mm concrete samples of grade M400 (class B30). The mixtures included fine-fraction limestone waste from a soda plant as coarse aggregate, quartz sand as fine aggregate, and PC400-D20 </w:t>
      </w:r>
      <w:r>
        <w:rPr>
          <w:rFonts w:cs="Arial"/>
          <w:szCs w:val="18"/>
          <w:lang w:bidi="en-US"/>
        </w:rPr>
        <w:t>“</w:t>
      </w:r>
      <w:r w:rsidRPr="009213BD">
        <w:rPr>
          <w:rFonts w:cs="Arial"/>
          <w:szCs w:val="18"/>
          <w:lang w:bidi="en-US"/>
        </w:rPr>
        <w:t>Karakalpak</w:t>
      </w:r>
      <w:r>
        <w:rPr>
          <w:rFonts w:cs="Arial"/>
          <w:szCs w:val="18"/>
          <w:lang w:bidi="en-US"/>
        </w:rPr>
        <w:t>”</w:t>
      </w:r>
      <w:r w:rsidRPr="009213BD">
        <w:rPr>
          <w:rFonts w:cs="Arial"/>
          <w:szCs w:val="18"/>
          <w:lang w:bidi="en-US"/>
        </w:rPr>
        <w:t xml:space="preserve"> </w:t>
      </w:r>
      <w:r w:rsidRPr="009213BD">
        <w:rPr>
          <w:rFonts w:cs="Arial"/>
          <w:szCs w:val="18"/>
          <w:lang w:bidi="en-US"/>
        </w:rPr>
        <w:lastRenderedPageBreak/>
        <w:t>Portland cement as a binder. The water–cement ratio was 0.55, and the workability corresponded to slump class P2 according to GOST 7473-2010.</w:t>
      </w:r>
      <w:r w:rsidR="005850B4">
        <w:rPr>
          <w:rFonts w:cs="Arial"/>
          <w:szCs w:val="18"/>
          <w:lang w:bidi="en-US"/>
        </w:rPr>
        <w:t xml:space="preserve"> </w:t>
      </w:r>
      <w:r w:rsidRPr="009213BD">
        <w:rPr>
          <w:rFonts w:cs="Arial"/>
          <w:szCs w:val="18"/>
          <w:lang w:bidi="en-US"/>
        </w:rPr>
        <w:t>The experimental results (Table 2) show that the inclusion of limestone waste leads to an increase in concrete strength up to a certain optimal level, beyond which a gradual decrease is observed. The cement consumption was maintained at 475 kg/m</w:t>
      </w:r>
      <w:r w:rsidRPr="009213BD">
        <w:rPr>
          <w:rFonts w:cs="Arial"/>
          <w:szCs w:val="18"/>
          <w:vertAlign w:val="superscript"/>
          <w:lang w:bidi="en-US"/>
        </w:rPr>
        <w:t>3</w:t>
      </w:r>
      <w:r w:rsidRPr="009213BD">
        <w:rPr>
          <w:rFonts w:cs="Arial"/>
          <w:szCs w:val="18"/>
          <w:lang w:bidi="en-US"/>
        </w:rPr>
        <w:t xml:space="preserve"> for all mixtures.</w:t>
      </w:r>
      <w:r w:rsidR="006B3DB2" w:rsidRPr="006B3DB2">
        <w:rPr>
          <w:rFonts w:cs="Arial"/>
          <w:szCs w:val="18"/>
          <w:lang w:bidi="en-US"/>
        </w:rPr>
        <w:t>.</w:t>
      </w:r>
    </w:p>
    <w:p w14:paraId="172BFA81" w14:textId="77777777" w:rsidR="006B3DB2" w:rsidRPr="006B3DB2" w:rsidRDefault="006B3DB2" w:rsidP="006B3DB2">
      <w:pPr>
        <w:widowControl w:val="0"/>
        <w:autoSpaceDE w:val="0"/>
        <w:autoSpaceDN w:val="0"/>
        <w:spacing w:line="240" w:lineRule="auto"/>
        <w:ind w:left="720"/>
        <w:contextualSpacing/>
        <w:jc w:val="right"/>
        <w:rPr>
          <w:rFonts w:cs="Arial"/>
          <w:szCs w:val="18"/>
          <w:lang w:bidi="en-US"/>
        </w:rPr>
      </w:pPr>
    </w:p>
    <w:p w14:paraId="0D35EA87" w14:textId="77777777" w:rsidR="006B3DB2" w:rsidRPr="006B3DB2" w:rsidRDefault="006B3DB2" w:rsidP="006B3DB2">
      <w:pPr>
        <w:widowControl w:val="0"/>
        <w:autoSpaceDE w:val="0"/>
        <w:autoSpaceDN w:val="0"/>
        <w:spacing w:line="240" w:lineRule="auto"/>
        <w:contextualSpacing/>
        <w:jc w:val="left"/>
        <w:rPr>
          <w:rFonts w:cs="Arial"/>
          <w:szCs w:val="18"/>
          <w:lang w:bidi="en-US"/>
        </w:rPr>
      </w:pPr>
      <w:r w:rsidRPr="006B3DB2">
        <w:rPr>
          <w:rFonts w:cs="Arial"/>
          <w:szCs w:val="18"/>
          <w:lang w:bidi="en-US"/>
        </w:rPr>
        <w:t>Table 2. Compressive strength of concrete samples with the addition of fine-fraction limestone waste from the soda plant</w:t>
      </w:r>
    </w:p>
    <w:tbl>
      <w:tblPr>
        <w:tblW w:w="0" w:type="auto"/>
        <w:tblLook w:val="04A0" w:firstRow="1" w:lastRow="0" w:firstColumn="1" w:lastColumn="0" w:noHBand="0" w:noVBand="1"/>
      </w:tblPr>
      <w:tblGrid>
        <w:gridCol w:w="1638"/>
        <w:gridCol w:w="1320"/>
        <w:gridCol w:w="974"/>
        <w:gridCol w:w="974"/>
        <w:gridCol w:w="979"/>
        <w:gridCol w:w="979"/>
        <w:gridCol w:w="987"/>
        <w:gridCol w:w="926"/>
      </w:tblGrid>
      <w:tr w:rsidR="006B3DB2" w:rsidRPr="006B3DB2" w14:paraId="3F9722A4" w14:textId="77777777" w:rsidTr="00DC3172">
        <w:trPr>
          <w:trHeight w:val="107"/>
        </w:trPr>
        <w:tc>
          <w:tcPr>
            <w:tcW w:w="2958" w:type="dxa"/>
            <w:gridSpan w:val="2"/>
            <w:tcBorders>
              <w:top w:val="single" w:sz="4" w:space="0" w:color="auto"/>
              <w:bottom w:val="single" w:sz="4" w:space="0" w:color="auto"/>
            </w:tcBorders>
            <w:vAlign w:val="center"/>
            <w:hideMark/>
          </w:tcPr>
          <w:p w14:paraId="3FD52951"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bidi="en-US"/>
              </w:rPr>
              <w:t>Raw materials %</w:t>
            </w:r>
          </w:p>
        </w:tc>
        <w:tc>
          <w:tcPr>
            <w:tcW w:w="5819" w:type="dxa"/>
            <w:gridSpan w:val="6"/>
            <w:tcBorders>
              <w:top w:val="single" w:sz="4" w:space="0" w:color="auto"/>
              <w:bottom w:val="single" w:sz="4" w:space="0" w:color="auto"/>
            </w:tcBorders>
            <w:vAlign w:val="center"/>
            <w:hideMark/>
          </w:tcPr>
          <w:p w14:paraId="6F9EF12C" w14:textId="77777777" w:rsidR="006B3DB2" w:rsidRPr="006B3DB2" w:rsidRDefault="006B3DB2" w:rsidP="00F6157A">
            <w:pPr>
              <w:widowControl w:val="0"/>
              <w:autoSpaceDE w:val="0"/>
              <w:autoSpaceDN w:val="0"/>
              <w:spacing w:line="240" w:lineRule="auto"/>
              <w:jc w:val="center"/>
              <w:rPr>
                <w:rFonts w:cs="Arial"/>
                <w:szCs w:val="18"/>
                <w:lang w:val="uz-Cyrl-UZ" w:eastAsia="ru-RU" w:bidi="en-US"/>
              </w:rPr>
            </w:pPr>
            <w:r w:rsidRPr="006B3DB2">
              <w:rPr>
                <w:rFonts w:cs="Arial"/>
                <w:szCs w:val="18"/>
                <w:lang w:val="uz-Cyrl-UZ" w:bidi="en-US"/>
              </w:rPr>
              <w:t>Time concrete strength MPa</w:t>
            </w:r>
          </w:p>
        </w:tc>
      </w:tr>
      <w:tr w:rsidR="006B3DB2" w:rsidRPr="006B3DB2" w14:paraId="753A9F90" w14:textId="77777777" w:rsidTr="00DC3172">
        <w:trPr>
          <w:trHeight w:val="521"/>
        </w:trPr>
        <w:tc>
          <w:tcPr>
            <w:tcW w:w="1638" w:type="dxa"/>
            <w:tcBorders>
              <w:top w:val="single" w:sz="4" w:space="0" w:color="auto"/>
              <w:bottom w:val="single" w:sz="4" w:space="0" w:color="auto"/>
            </w:tcBorders>
            <w:vAlign w:val="center"/>
            <w:hideMark/>
          </w:tcPr>
          <w:p w14:paraId="2418B895"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bidi="en-US"/>
              </w:rPr>
              <w:t>Filler</w:t>
            </w:r>
            <w:r w:rsidRPr="006B3DB2">
              <w:rPr>
                <w:rFonts w:cs="Arial"/>
                <w:szCs w:val="18"/>
                <w:lang w:val="uz-Cyrl-UZ" w:eastAsia="ru-RU" w:bidi="en-US"/>
              </w:rPr>
              <w:t xml:space="preserve"> (</w:t>
            </w:r>
            <w:r w:rsidRPr="006B3DB2">
              <w:rPr>
                <w:rFonts w:cs="Arial"/>
                <w:szCs w:val="18"/>
                <w:lang w:eastAsia="ru-RU" w:bidi="en-US"/>
              </w:rPr>
              <w:t>crushed stone</w:t>
            </w:r>
            <w:r w:rsidRPr="006B3DB2">
              <w:rPr>
                <w:rFonts w:cs="Arial"/>
                <w:szCs w:val="18"/>
                <w:lang w:val="uz-Cyrl-UZ" w:eastAsia="ru-RU" w:bidi="en-US"/>
              </w:rPr>
              <w:t>)</w:t>
            </w:r>
          </w:p>
        </w:tc>
        <w:tc>
          <w:tcPr>
            <w:tcW w:w="1320" w:type="dxa"/>
            <w:tcBorders>
              <w:top w:val="single" w:sz="4" w:space="0" w:color="auto"/>
              <w:bottom w:val="single" w:sz="4" w:space="0" w:color="auto"/>
            </w:tcBorders>
            <w:vAlign w:val="center"/>
            <w:hideMark/>
          </w:tcPr>
          <w:p w14:paraId="636DFF26"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bidi="en-US"/>
              </w:rPr>
              <w:t>Soda enterprise limestone waste</w:t>
            </w:r>
          </w:p>
        </w:tc>
        <w:tc>
          <w:tcPr>
            <w:tcW w:w="974" w:type="dxa"/>
            <w:tcBorders>
              <w:top w:val="single" w:sz="4" w:space="0" w:color="auto"/>
              <w:bottom w:val="single" w:sz="4" w:space="0" w:color="auto"/>
            </w:tcBorders>
            <w:vAlign w:val="center"/>
            <w:hideMark/>
          </w:tcPr>
          <w:p w14:paraId="0DE2388A"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3</w:t>
            </w:r>
          </w:p>
          <w:p w14:paraId="3A9FB08B"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day</w:t>
            </w:r>
          </w:p>
        </w:tc>
        <w:tc>
          <w:tcPr>
            <w:tcW w:w="974" w:type="dxa"/>
            <w:tcBorders>
              <w:top w:val="single" w:sz="4" w:space="0" w:color="auto"/>
              <w:bottom w:val="single" w:sz="4" w:space="0" w:color="auto"/>
            </w:tcBorders>
            <w:vAlign w:val="center"/>
            <w:hideMark/>
          </w:tcPr>
          <w:p w14:paraId="1B4496FF"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7</w:t>
            </w:r>
          </w:p>
          <w:p w14:paraId="31616797"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eastAsia="ru-RU" w:bidi="en-US"/>
              </w:rPr>
              <w:t>day</w:t>
            </w:r>
          </w:p>
        </w:tc>
        <w:tc>
          <w:tcPr>
            <w:tcW w:w="979" w:type="dxa"/>
            <w:tcBorders>
              <w:top w:val="single" w:sz="4" w:space="0" w:color="auto"/>
              <w:bottom w:val="single" w:sz="4" w:space="0" w:color="auto"/>
            </w:tcBorders>
            <w:vAlign w:val="center"/>
            <w:hideMark/>
          </w:tcPr>
          <w:p w14:paraId="00CFD31E"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28</w:t>
            </w:r>
          </w:p>
          <w:p w14:paraId="3FE2CF69"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eastAsia="ru-RU" w:bidi="en-US"/>
              </w:rPr>
              <w:t>day</w:t>
            </w:r>
          </w:p>
        </w:tc>
        <w:tc>
          <w:tcPr>
            <w:tcW w:w="979" w:type="dxa"/>
            <w:tcBorders>
              <w:top w:val="single" w:sz="4" w:space="0" w:color="auto"/>
              <w:bottom w:val="single" w:sz="4" w:space="0" w:color="auto"/>
            </w:tcBorders>
            <w:vAlign w:val="center"/>
            <w:hideMark/>
          </w:tcPr>
          <w:p w14:paraId="7B3BBABF"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90</w:t>
            </w:r>
          </w:p>
          <w:p w14:paraId="3D782141"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eastAsia="ru-RU" w:bidi="en-US"/>
              </w:rPr>
              <w:t>day</w:t>
            </w:r>
          </w:p>
        </w:tc>
        <w:tc>
          <w:tcPr>
            <w:tcW w:w="987" w:type="dxa"/>
            <w:tcBorders>
              <w:top w:val="single" w:sz="4" w:space="0" w:color="auto"/>
              <w:bottom w:val="single" w:sz="4" w:space="0" w:color="auto"/>
            </w:tcBorders>
            <w:vAlign w:val="center"/>
            <w:hideMark/>
          </w:tcPr>
          <w:p w14:paraId="44A09BCC"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180</w:t>
            </w:r>
          </w:p>
          <w:p w14:paraId="6085AB23"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eastAsia="ru-RU" w:bidi="en-US"/>
              </w:rPr>
              <w:t>day</w:t>
            </w:r>
          </w:p>
        </w:tc>
        <w:tc>
          <w:tcPr>
            <w:tcW w:w="926" w:type="dxa"/>
            <w:tcBorders>
              <w:top w:val="single" w:sz="4" w:space="0" w:color="auto"/>
              <w:bottom w:val="single" w:sz="4" w:space="0" w:color="auto"/>
            </w:tcBorders>
            <w:vAlign w:val="center"/>
            <w:hideMark/>
          </w:tcPr>
          <w:p w14:paraId="0303493E"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360</w:t>
            </w:r>
          </w:p>
          <w:p w14:paraId="301D75BD"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eastAsia="ru-RU" w:bidi="en-US"/>
              </w:rPr>
              <w:t>day</w:t>
            </w:r>
          </w:p>
        </w:tc>
      </w:tr>
      <w:tr w:rsidR="006B3DB2" w:rsidRPr="006B3DB2" w14:paraId="4C0DBC9B" w14:textId="77777777" w:rsidTr="00DC3172">
        <w:tc>
          <w:tcPr>
            <w:tcW w:w="1638" w:type="dxa"/>
            <w:tcBorders>
              <w:top w:val="single" w:sz="4" w:space="0" w:color="auto"/>
              <w:bottom w:val="single" w:sz="4" w:space="0" w:color="auto"/>
            </w:tcBorders>
            <w:vAlign w:val="center"/>
            <w:hideMark/>
          </w:tcPr>
          <w:p w14:paraId="6508483A"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100</w:t>
            </w:r>
          </w:p>
        </w:tc>
        <w:tc>
          <w:tcPr>
            <w:tcW w:w="1320" w:type="dxa"/>
            <w:tcBorders>
              <w:top w:val="single" w:sz="4" w:space="0" w:color="auto"/>
              <w:bottom w:val="single" w:sz="4" w:space="0" w:color="auto"/>
            </w:tcBorders>
            <w:vAlign w:val="center"/>
            <w:hideMark/>
          </w:tcPr>
          <w:p w14:paraId="09C7CF16"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w:t>
            </w:r>
          </w:p>
        </w:tc>
        <w:tc>
          <w:tcPr>
            <w:tcW w:w="974" w:type="dxa"/>
            <w:tcBorders>
              <w:top w:val="single" w:sz="4" w:space="0" w:color="auto"/>
              <w:bottom w:val="single" w:sz="4" w:space="0" w:color="auto"/>
            </w:tcBorders>
            <w:vAlign w:val="center"/>
            <w:hideMark/>
          </w:tcPr>
          <w:p w14:paraId="516035B0"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13,07</w:t>
            </w:r>
          </w:p>
        </w:tc>
        <w:tc>
          <w:tcPr>
            <w:tcW w:w="974" w:type="dxa"/>
            <w:tcBorders>
              <w:top w:val="single" w:sz="4" w:space="0" w:color="auto"/>
              <w:bottom w:val="single" w:sz="4" w:space="0" w:color="auto"/>
            </w:tcBorders>
            <w:vAlign w:val="center"/>
            <w:hideMark/>
          </w:tcPr>
          <w:p w14:paraId="72F891B4"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27,92</w:t>
            </w:r>
          </w:p>
        </w:tc>
        <w:tc>
          <w:tcPr>
            <w:tcW w:w="979" w:type="dxa"/>
            <w:tcBorders>
              <w:top w:val="single" w:sz="4" w:space="0" w:color="auto"/>
              <w:bottom w:val="single" w:sz="4" w:space="0" w:color="auto"/>
            </w:tcBorders>
            <w:vAlign w:val="center"/>
            <w:hideMark/>
          </w:tcPr>
          <w:p w14:paraId="44FA8E64"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40,43</w:t>
            </w:r>
          </w:p>
        </w:tc>
        <w:tc>
          <w:tcPr>
            <w:tcW w:w="979" w:type="dxa"/>
            <w:tcBorders>
              <w:top w:val="single" w:sz="4" w:space="0" w:color="auto"/>
              <w:bottom w:val="single" w:sz="4" w:space="0" w:color="auto"/>
            </w:tcBorders>
            <w:vAlign w:val="center"/>
            <w:hideMark/>
          </w:tcPr>
          <w:p w14:paraId="5B3570A9"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46,55</w:t>
            </w:r>
          </w:p>
        </w:tc>
        <w:tc>
          <w:tcPr>
            <w:tcW w:w="987" w:type="dxa"/>
            <w:tcBorders>
              <w:top w:val="single" w:sz="4" w:space="0" w:color="auto"/>
              <w:bottom w:val="single" w:sz="4" w:space="0" w:color="auto"/>
            </w:tcBorders>
            <w:vAlign w:val="center"/>
            <w:hideMark/>
          </w:tcPr>
          <w:p w14:paraId="2C2FF789"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52,71</w:t>
            </w:r>
          </w:p>
        </w:tc>
        <w:tc>
          <w:tcPr>
            <w:tcW w:w="926" w:type="dxa"/>
            <w:tcBorders>
              <w:top w:val="single" w:sz="4" w:space="0" w:color="auto"/>
              <w:bottom w:val="single" w:sz="4" w:space="0" w:color="auto"/>
            </w:tcBorders>
            <w:vAlign w:val="center"/>
            <w:hideMark/>
          </w:tcPr>
          <w:p w14:paraId="47380B13"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eastAsia="ru-RU" w:bidi="en-US"/>
              </w:rPr>
              <w:t>5</w:t>
            </w:r>
            <w:r w:rsidRPr="006B3DB2">
              <w:rPr>
                <w:rFonts w:cs="Arial"/>
                <w:szCs w:val="18"/>
                <w:lang w:val="uz-Cyrl-UZ" w:eastAsia="ru-RU" w:bidi="en-US"/>
              </w:rPr>
              <w:t>8,22</w:t>
            </w:r>
          </w:p>
        </w:tc>
      </w:tr>
      <w:tr w:rsidR="006B3DB2" w:rsidRPr="006B3DB2" w14:paraId="49E6024A" w14:textId="77777777" w:rsidTr="00DC3172">
        <w:tc>
          <w:tcPr>
            <w:tcW w:w="1638" w:type="dxa"/>
            <w:tcBorders>
              <w:top w:val="single" w:sz="4" w:space="0" w:color="auto"/>
              <w:bottom w:val="single" w:sz="4" w:space="0" w:color="auto"/>
            </w:tcBorders>
            <w:vAlign w:val="center"/>
            <w:hideMark/>
          </w:tcPr>
          <w:p w14:paraId="460964F1"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90</w:t>
            </w:r>
          </w:p>
        </w:tc>
        <w:tc>
          <w:tcPr>
            <w:tcW w:w="1320" w:type="dxa"/>
            <w:tcBorders>
              <w:top w:val="single" w:sz="4" w:space="0" w:color="auto"/>
              <w:bottom w:val="single" w:sz="4" w:space="0" w:color="auto"/>
            </w:tcBorders>
            <w:vAlign w:val="center"/>
            <w:hideMark/>
          </w:tcPr>
          <w:p w14:paraId="71725B32"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10</w:t>
            </w:r>
          </w:p>
        </w:tc>
        <w:tc>
          <w:tcPr>
            <w:tcW w:w="974" w:type="dxa"/>
            <w:tcBorders>
              <w:top w:val="single" w:sz="4" w:space="0" w:color="auto"/>
              <w:bottom w:val="single" w:sz="4" w:space="0" w:color="auto"/>
            </w:tcBorders>
            <w:vAlign w:val="center"/>
            <w:hideMark/>
          </w:tcPr>
          <w:p w14:paraId="4B2191B6"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13,12</w:t>
            </w:r>
          </w:p>
        </w:tc>
        <w:tc>
          <w:tcPr>
            <w:tcW w:w="974" w:type="dxa"/>
            <w:tcBorders>
              <w:top w:val="single" w:sz="4" w:space="0" w:color="auto"/>
              <w:bottom w:val="single" w:sz="4" w:space="0" w:color="auto"/>
            </w:tcBorders>
            <w:vAlign w:val="center"/>
            <w:hideMark/>
          </w:tcPr>
          <w:p w14:paraId="61DFD964"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eastAsia="ru-RU" w:bidi="en-US"/>
              </w:rPr>
              <w:t>28,</w:t>
            </w:r>
            <w:r w:rsidRPr="006B3DB2">
              <w:rPr>
                <w:rFonts w:cs="Arial"/>
                <w:szCs w:val="18"/>
                <w:lang w:val="uz-Cyrl-UZ" w:eastAsia="ru-RU" w:bidi="en-US"/>
              </w:rPr>
              <w:t>00</w:t>
            </w:r>
          </w:p>
        </w:tc>
        <w:tc>
          <w:tcPr>
            <w:tcW w:w="979" w:type="dxa"/>
            <w:tcBorders>
              <w:top w:val="single" w:sz="4" w:space="0" w:color="auto"/>
              <w:bottom w:val="single" w:sz="4" w:space="0" w:color="auto"/>
            </w:tcBorders>
            <w:vAlign w:val="center"/>
            <w:hideMark/>
          </w:tcPr>
          <w:p w14:paraId="63A3CF35"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40,51</w:t>
            </w:r>
          </w:p>
        </w:tc>
        <w:tc>
          <w:tcPr>
            <w:tcW w:w="979" w:type="dxa"/>
            <w:tcBorders>
              <w:top w:val="single" w:sz="4" w:space="0" w:color="auto"/>
              <w:bottom w:val="single" w:sz="4" w:space="0" w:color="auto"/>
            </w:tcBorders>
            <w:vAlign w:val="center"/>
            <w:hideMark/>
          </w:tcPr>
          <w:p w14:paraId="1E510417"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46,62</w:t>
            </w:r>
          </w:p>
        </w:tc>
        <w:tc>
          <w:tcPr>
            <w:tcW w:w="987" w:type="dxa"/>
            <w:tcBorders>
              <w:top w:val="single" w:sz="4" w:space="0" w:color="auto"/>
              <w:bottom w:val="single" w:sz="4" w:space="0" w:color="auto"/>
            </w:tcBorders>
            <w:vAlign w:val="center"/>
            <w:hideMark/>
          </w:tcPr>
          <w:p w14:paraId="2516A60C"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52,80</w:t>
            </w:r>
          </w:p>
        </w:tc>
        <w:tc>
          <w:tcPr>
            <w:tcW w:w="926" w:type="dxa"/>
            <w:tcBorders>
              <w:top w:val="single" w:sz="4" w:space="0" w:color="auto"/>
              <w:bottom w:val="single" w:sz="4" w:space="0" w:color="auto"/>
            </w:tcBorders>
            <w:vAlign w:val="center"/>
            <w:hideMark/>
          </w:tcPr>
          <w:p w14:paraId="70ECDCF8"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58,31</w:t>
            </w:r>
          </w:p>
        </w:tc>
      </w:tr>
      <w:tr w:rsidR="006B3DB2" w:rsidRPr="006B3DB2" w14:paraId="14BA14DB" w14:textId="77777777" w:rsidTr="00DC3172">
        <w:tc>
          <w:tcPr>
            <w:tcW w:w="1638" w:type="dxa"/>
            <w:tcBorders>
              <w:top w:val="single" w:sz="4" w:space="0" w:color="auto"/>
              <w:bottom w:val="single" w:sz="4" w:space="0" w:color="auto"/>
            </w:tcBorders>
            <w:vAlign w:val="center"/>
            <w:hideMark/>
          </w:tcPr>
          <w:p w14:paraId="17F2B5D0"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85</w:t>
            </w:r>
          </w:p>
        </w:tc>
        <w:tc>
          <w:tcPr>
            <w:tcW w:w="1320" w:type="dxa"/>
            <w:tcBorders>
              <w:top w:val="single" w:sz="4" w:space="0" w:color="auto"/>
              <w:bottom w:val="single" w:sz="4" w:space="0" w:color="auto"/>
            </w:tcBorders>
            <w:vAlign w:val="center"/>
            <w:hideMark/>
          </w:tcPr>
          <w:p w14:paraId="5535B9BD"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15</w:t>
            </w:r>
          </w:p>
        </w:tc>
        <w:tc>
          <w:tcPr>
            <w:tcW w:w="974" w:type="dxa"/>
            <w:tcBorders>
              <w:top w:val="single" w:sz="4" w:space="0" w:color="auto"/>
              <w:bottom w:val="single" w:sz="4" w:space="0" w:color="auto"/>
            </w:tcBorders>
            <w:vAlign w:val="center"/>
            <w:hideMark/>
          </w:tcPr>
          <w:p w14:paraId="092364F3"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13,28</w:t>
            </w:r>
          </w:p>
        </w:tc>
        <w:tc>
          <w:tcPr>
            <w:tcW w:w="974" w:type="dxa"/>
            <w:tcBorders>
              <w:top w:val="single" w:sz="4" w:space="0" w:color="auto"/>
              <w:bottom w:val="single" w:sz="4" w:space="0" w:color="auto"/>
            </w:tcBorders>
            <w:vAlign w:val="center"/>
            <w:hideMark/>
          </w:tcPr>
          <w:p w14:paraId="2DE47739"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eastAsia="ru-RU" w:bidi="en-US"/>
              </w:rPr>
              <w:t>28,</w:t>
            </w:r>
            <w:r w:rsidRPr="006B3DB2">
              <w:rPr>
                <w:rFonts w:cs="Arial"/>
                <w:szCs w:val="18"/>
                <w:lang w:val="uz-Cyrl-UZ" w:eastAsia="ru-RU" w:bidi="en-US"/>
              </w:rPr>
              <w:t>04</w:t>
            </w:r>
          </w:p>
        </w:tc>
        <w:tc>
          <w:tcPr>
            <w:tcW w:w="979" w:type="dxa"/>
            <w:tcBorders>
              <w:top w:val="single" w:sz="4" w:space="0" w:color="auto"/>
              <w:bottom w:val="single" w:sz="4" w:space="0" w:color="auto"/>
            </w:tcBorders>
            <w:vAlign w:val="center"/>
            <w:hideMark/>
          </w:tcPr>
          <w:p w14:paraId="30BEA158"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40,56</w:t>
            </w:r>
          </w:p>
        </w:tc>
        <w:tc>
          <w:tcPr>
            <w:tcW w:w="979" w:type="dxa"/>
            <w:tcBorders>
              <w:top w:val="single" w:sz="4" w:space="0" w:color="auto"/>
              <w:bottom w:val="single" w:sz="4" w:space="0" w:color="auto"/>
            </w:tcBorders>
            <w:vAlign w:val="center"/>
            <w:hideMark/>
          </w:tcPr>
          <w:p w14:paraId="1C408C6E"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46,65</w:t>
            </w:r>
          </w:p>
        </w:tc>
        <w:tc>
          <w:tcPr>
            <w:tcW w:w="987" w:type="dxa"/>
            <w:tcBorders>
              <w:top w:val="single" w:sz="4" w:space="0" w:color="auto"/>
              <w:bottom w:val="single" w:sz="4" w:space="0" w:color="auto"/>
            </w:tcBorders>
            <w:vAlign w:val="center"/>
            <w:hideMark/>
          </w:tcPr>
          <w:p w14:paraId="73581B2B"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52,83</w:t>
            </w:r>
          </w:p>
        </w:tc>
        <w:tc>
          <w:tcPr>
            <w:tcW w:w="926" w:type="dxa"/>
            <w:tcBorders>
              <w:top w:val="single" w:sz="4" w:space="0" w:color="auto"/>
              <w:bottom w:val="single" w:sz="4" w:space="0" w:color="auto"/>
            </w:tcBorders>
            <w:vAlign w:val="center"/>
            <w:hideMark/>
          </w:tcPr>
          <w:p w14:paraId="16173E34"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58,36</w:t>
            </w:r>
          </w:p>
        </w:tc>
      </w:tr>
      <w:tr w:rsidR="006B3DB2" w:rsidRPr="006B3DB2" w14:paraId="74F7FF29" w14:textId="77777777" w:rsidTr="00DC3172">
        <w:tc>
          <w:tcPr>
            <w:tcW w:w="1638" w:type="dxa"/>
            <w:tcBorders>
              <w:top w:val="single" w:sz="4" w:space="0" w:color="auto"/>
              <w:bottom w:val="single" w:sz="4" w:space="0" w:color="auto"/>
            </w:tcBorders>
            <w:vAlign w:val="center"/>
            <w:hideMark/>
          </w:tcPr>
          <w:p w14:paraId="41BEBF5E"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80</w:t>
            </w:r>
          </w:p>
        </w:tc>
        <w:tc>
          <w:tcPr>
            <w:tcW w:w="1320" w:type="dxa"/>
            <w:tcBorders>
              <w:top w:val="single" w:sz="4" w:space="0" w:color="auto"/>
              <w:bottom w:val="single" w:sz="4" w:space="0" w:color="auto"/>
            </w:tcBorders>
            <w:vAlign w:val="center"/>
            <w:hideMark/>
          </w:tcPr>
          <w:p w14:paraId="4DC060A0"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eastAsia="ru-RU" w:bidi="en-US"/>
              </w:rPr>
              <w:t>2</w:t>
            </w:r>
            <w:r w:rsidRPr="006B3DB2">
              <w:rPr>
                <w:rFonts w:cs="Arial"/>
                <w:szCs w:val="18"/>
                <w:lang w:val="uz-Cyrl-UZ" w:eastAsia="ru-RU" w:bidi="en-US"/>
              </w:rPr>
              <w:t>0</w:t>
            </w:r>
          </w:p>
        </w:tc>
        <w:tc>
          <w:tcPr>
            <w:tcW w:w="974" w:type="dxa"/>
            <w:tcBorders>
              <w:top w:val="single" w:sz="4" w:space="0" w:color="auto"/>
              <w:bottom w:val="single" w:sz="4" w:space="0" w:color="auto"/>
            </w:tcBorders>
            <w:vAlign w:val="center"/>
            <w:hideMark/>
          </w:tcPr>
          <w:p w14:paraId="6847AE0B"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13,72</w:t>
            </w:r>
          </w:p>
        </w:tc>
        <w:tc>
          <w:tcPr>
            <w:tcW w:w="974" w:type="dxa"/>
            <w:tcBorders>
              <w:top w:val="single" w:sz="4" w:space="0" w:color="auto"/>
              <w:bottom w:val="single" w:sz="4" w:space="0" w:color="auto"/>
            </w:tcBorders>
            <w:vAlign w:val="center"/>
            <w:hideMark/>
          </w:tcPr>
          <w:p w14:paraId="20ECC69F"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eastAsia="ru-RU" w:bidi="en-US"/>
              </w:rPr>
              <w:t>2</w:t>
            </w:r>
            <w:r w:rsidRPr="006B3DB2">
              <w:rPr>
                <w:rFonts w:cs="Arial"/>
                <w:szCs w:val="18"/>
                <w:lang w:val="uz-Cyrl-UZ" w:eastAsia="ru-RU" w:bidi="en-US"/>
              </w:rPr>
              <w:t>8</w:t>
            </w:r>
            <w:r w:rsidRPr="006B3DB2">
              <w:rPr>
                <w:rFonts w:cs="Arial"/>
                <w:szCs w:val="18"/>
                <w:lang w:eastAsia="ru-RU" w:bidi="en-US"/>
              </w:rPr>
              <w:t>,</w:t>
            </w:r>
            <w:r w:rsidRPr="006B3DB2">
              <w:rPr>
                <w:rFonts w:cs="Arial"/>
                <w:szCs w:val="18"/>
                <w:lang w:val="uz-Cyrl-UZ" w:eastAsia="ru-RU" w:bidi="en-US"/>
              </w:rPr>
              <w:t>08</w:t>
            </w:r>
          </w:p>
        </w:tc>
        <w:tc>
          <w:tcPr>
            <w:tcW w:w="979" w:type="dxa"/>
            <w:tcBorders>
              <w:top w:val="single" w:sz="4" w:space="0" w:color="auto"/>
              <w:bottom w:val="single" w:sz="4" w:space="0" w:color="auto"/>
            </w:tcBorders>
            <w:vAlign w:val="center"/>
            <w:hideMark/>
          </w:tcPr>
          <w:p w14:paraId="368C8772"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40,64</w:t>
            </w:r>
          </w:p>
        </w:tc>
        <w:tc>
          <w:tcPr>
            <w:tcW w:w="979" w:type="dxa"/>
            <w:tcBorders>
              <w:top w:val="single" w:sz="4" w:space="0" w:color="auto"/>
              <w:bottom w:val="single" w:sz="4" w:space="0" w:color="auto"/>
            </w:tcBorders>
            <w:vAlign w:val="center"/>
            <w:hideMark/>
          </w:tcPr>
          <w:p w14:paraId="4834F768"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46,69</w:t>
            </w:r>
          </w:p>
        </w:tc>
        <w:tc>
          <w:tcPr>
            <w:tcW w:w="987" w:type="dxa"/>
            <w:tcBorders>
              <w:top w:val="single" w:sz="4" w:space="0" w:color="auto"/>
              <w:bottom w:val="single" w:sz="4" w:space="0" w:color="auto"/>
            </w:tcBorders>
            <w:vAlign w:val="center"/>
            <w:hideMark/>
          </w:tcPr>
          <w:p w14:paraId="33042633"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52,85</w:t>
            </w:r>
          </w:p>
        </w:tc>
        <w:tc>
          <w:tcPr>
            <w:tcW w:w="926" w:type="dxa"/>
            <w:tcBorders>
              <w:top w:val="single" w:sz="4" w:space="0" w:color="auto"/>
              <w:bottom w:val="single" w:sz="4" w:space="0" w:color="auto"/>
            </w:tcBorders>
            <w:vAlign w:val="center"/>
            <w:hideMark/>
          </w:tcPr>
          <w:p w14:paraId="413A4F10"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58,39</w:t>
            </w:r>
          </w:p>
        </w:tc>
      </w:tr>
      <w:tr w:rsidR="006B3DB2" w:rsidRPr="006B3DB2" w14:paraId="52BABFF1" w14:textId="77777777" w:rsidTr="00DC3172">
        <w:tc>
          <w:tcPr>
            <w:tcW w:w="1638" w:type="dxa"/>
            <w:tcBorders>
              <w:top w:val="single" w:sz="4" w:space="0" w:color="auto"/>
              <w:bottom w:val="single" w:sz="4" w:space="0" w:color="auto"/>
            </w:tcBorders>
            <w:vAlign w:val="center"/>
            <w:hideMark/>
          </w:tcPr>
          <w:p w14:paraId="6904CCBD"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75</w:t>
            </w:r>
          </w:p>
        </w:tc>
        <w:tc>
          <w:tcPr>
            <w:tcW w:w="1320" w:type="dxa"/>
            <w:tcBorders>
              <w:top w:val="single" w:sz="4" w:space="0" w:color="auto"/>
              <w:bottom w:val="single" w:sz="4" w:space="0" w:color="auto"/>
            </w:tcBorders>
            <w:vAlign w:val="center"/>
            <w:hideMark/>
          </w:tcPr>
          <w:p w14:paraId="782F70CF"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25</w:t>
            </w:r>
          </w:p>
        </w:tc>
        <w:tc>
          <w:tcPr>
            <w:tcW w:w="974" w:type="dxa"/>
            <w:tcBorders>
              <w:top w:val="single" w:sz="4" w:space="0" w:color="auto"/>
              <w:bottom w:val="single" w:sz="4" w:space="0" w:color="auto"/>
            </w:tcBorders>
            <w:vAlign w:val="center"/>
            <w:hideMark/>
          </w:tcPr>
          <w:p w14:paraId="4F07A298"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13,91</w:t>
            </w:r>
          </w:p>
        </w:tc>
        <w:tc>
          <w:tcPr>
            <w:tcW w:w="974" w:type="dxa"/>
            <w:tcBorders>
              <w:top w:val="single" w:sz="4" w:space="0" w:color="auto"/>
              <w:bottom w:val="single" w:sz="4" w:space="0" w:color="auto"/>
            </w:tcBorders>
            <w:vAlign w:val="center"/>
            <w:hideMark/>
          </w:tcPr>
          <w:p w14:paraId="72F5828C"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eastAsia="ru-RU" w:bidi="en-US"/>
              </w:rPr>
              <w:t>28,</w:t>
            </w:r>
            <w:r w:rsidRPr="006B3DB2">
              <w:rPr>
                <w:rFonts w:cs="Arial"/>
                <w:szCs w:val="18"/>
                <w:lang w:val="uz-Cyrl-UZ" w:eastAsia="ru-RU" w:bidi="en-US"/>
              </w:rPr>
              <w:t>10</w:t>
            </w:r>
          </w:p>
        </w:tc>
        <w:tc>
          <w:tcPr>
            <w:tcW w:w="979" w:type="dxa"/>
            <w:tcBorders>
              <w:top w:val="single" w:sz="4" w:space="0" w:color="auto"/>
              <w:bottom w:val="single" w:sz="4" w:space="0" w:color="auto"/>
            </w:tcBorders>
            <w:vAlign w:val="center"/>
            <w:hideMark/>
          </w:tcPr>
          <w:p w14:paraId="4F9E3330"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40,70</w:t>
            </w:r>
          </w:p>
        </w:tc>
        <w:tc>
          <w:tcPr>
            <w:tcW w:w="979" w:type="dxa"/>
            <w:tcBorders>
              <w:top w:val="single" w:sz="4" w:space="0" w:color="auto"/>
              <w:bottom w:val="single" w:sz="4" w:space="0" w:color="auto"/>
            </w:tcBorders>
            <w:vAlign w:val="center"/>
            <w:hideMark/>
          </w:tcPr>
          <w:p w14:paraId="031E9BDF"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46,73</w:t>
            </w:r>
          </w:p>
        </w:tc>
        <w:tc>
          <w:tcPr>
            <w:tcW w:w="987" w:type="dxa"/>
            <w:tcBorders>
              <w:top w:val="single" w:sz="4" w:space="0" w:color="auto"/>
              <w:bottom w:val="single" w:sz="4" w:space="0" w:color="auto"/>
            </w:tcBorders>
            <w:vAlign w:val="center"/>
            <w:hideMark/>
          </w:tcPr>
          <w:p w14:paraId="484E6EE9"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52,88</w:t>
            </w:r>
          </w:p>
        </w:tc>
        <w:tc>
          <w:tcPr>
            <w:tcW w:w="926" w:type="dxa"/>
            <w:tcBorders>
              <w:top w:val="single" w:sz="4" w:space="0" w:color="auto"/>
              <w:bottom w:val="single" w:sz="4" w:space="0" w:color="auto"/>
            </w:tcBorders>
            <w:vAlign w:val="center"/>
            <w:hideMark/>
          </w:tcPr>
          <w:p w14:paraId="0401C3A2"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58,42</w:t>
            </w:r>
          </w:p>
        </w:tc>
      </w:tr>
      <w:tr w:rsidR="006B3DB2" w:rsidRPr="006B3DB2" w14:paraId="320B1C66" w14:textId="77777777" w:rsidTr="00DC3172">
        <w:tc>
          <w:tcPr>
            <w:tcW w:w="1638" w:type="dxa"/>
            <w:tcBorders>
              <w:top w:val="single" w:sz="4" w:space="0" w:color="auto"/>
              <w:bottom w:val="single" w:sz="4" w:space="0" w:color="auto"/>
            </w:tcBorders>
            <w:vAlign w:val="center"/>
          </w:tcPr>
          <w:p w14:paraId="61627330"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70</w:t>
            </w:r>
          </w:p>
        </w:tc>
        <w:tc>
          <w:tcPr>
            <w:tcW w:w="1320" w:type="dxa"/>
            <w:tcBorders>
              <w:top w:val="single" w:sz="4" w:space="0" w:color="auto"/>
              <w:bottom w:val="single" w:sz="4" w:space="0" w:color="auto"/>
            </w:tcBorders>
            <w:vAlign w:val="center"/>
          </w:tcPr>
          <w:p w14:paraId="18E9F532"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30</w:t>
            </w:r>
          </w:p>
        </w:tc>
        <w:tc>
          <w:tcPr>
            <w:tcW w:w="974" w:type="dxa"/>
            <w:tcBorders>
              <w:top w:val="single" w:sz="4" w:space="0" w:color="auto"/>
              <w:bottom w:val="single" w:sz="4" w:space="0" w:color="auto"/>
            </w:tcBorders>
            <w:vAlign w:val="center"/>
          </w:tcPr>
          <w:p w14:paraId="62704332"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13,96</w:t>
            </w:r>
          </w:p>
        </w:tc>
        <w:tc>
          <w:tcPr>
            <w:tcW w:w="974" w:type="dxa"/>
            <w:tcBorders>
              <w:top w:val="single" w:sz="4" w:space="0" w:color="auto"/>
              <w:bottom w:val="single" w:sz="4" w:space="0" w:color="auto"/>
            </w:tcBorders>
            <w:vAlign w:val="center"/>
          </w:tcPr>
          <w:p w14:paraId="07CED2AC"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eastAsia="ru-RU" w:bidi="en-US"/>
              </w:rPr>
              <w:t>28,</w:t>
            </w:r>
            <w:r w:rsidRPr="006B3DB2">
              <w:rPr>
                <w:rFonts w:cs="Arial"/>
                <w:szCs w:val="18"/>
                <w:lang w:val="uz-Cyrl-UZ" w:eastAsia="ru-RU" w:bidi="en-US"/>
              </w:rPr>
              <w:t>13</w:t>
            </w:r>
          </w:p>
        </w:tc>
        <w:tc>
          <w:tcPr>
            <w:tcW w:w="979" w:type="dxa"/>
            <w:tcBorders>
              <w:top w:val="single" w:sz="4" w:space="0" w:color="auto"/>
              <w:bottom w:val="single" w:sz="4" w:space="0" w:color="auto"/>
            </w:tcBorders>
            <w:vAlign w:val="center"/>
          </w:tcPr>
          <w:p w14:paraId="2474CD7A"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40,77</w:t>
            </w:r>
          </w:p>
        </w:tc>
        <w:tc>
          <w:tcPr>
            <w:tcW w:w="979" w:type="dxa"/>
            <w:tcBorders>
              <w:top w:val="single" w:sz="4" w:space="0" w:color="auto"/>
              <w:bottom w:val="single" w:sz="4" w:space="0" w:color="auto"/>
            </w:tcBorders>
            <w:vAlign w:val="center"/>
          </w:tcPr>
          <w:p w14:paraId="2FFB959E"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46,75</w:t>
            </w:r>
          </w:p>
        </w:tc>
        <w:tc>
          <w:tcPr>
            <w:tcW w:w="987" w:type="dxa"/>
            <w:tcBorders>
              <w:top w:val="single" w:sz="4" w:space="0" w:color="auto"/>
              <w:bottom w:val="single" w:sz="4" w:space="0" w:color="auto"/>
            </w:tcBorders>
            <w:vAlign w:val="center"/>
          </w:tcPr>
          <w:p w14:paraId="61A78F22"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52,91</w:t>
            </w:r>
          </w:p>
        </w:tc>
        <w:tc>
          <w:tcPr>
            <w:tcW w:w="926" w:type="dxa"/>
            <w:tcBorders>
              <w:top w:val="single" w:sz="4" w:space="0" w:color="auto"/>
              <w:bottom w:val="single" w:sz="4" w:space="0" w:color="auto"/>
            </w:tcBorders>
            <w:vAlign w:val="center"/>
          </w:tcPr>
          <w:p w14:paraId="742B0927"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58,46</w:t>
            </w:r>
          </w:p>
        </w:tc>
      </w:tr>
      <w:tr w:rsidR="006B3DB2" w:rsidRPr="006B3DB2" w14:paraId="732BB53E" w14:textId="77777777" w:rsidTr="00DC3172">
        <w:tc>
          <w:tcPr>
            <w:tcW w:w="1638" w:type="dxa"/>
            <w:tcBorders>
              <w:top w:val="single" w:sz="4" w:space="0" w:color="auto"/>
              <w:bottom w:val="single" w:sz="4" w:space="0" w:color="auto"/>
            </w:tcBorders>
            <w:vAlign w:val="center"/>
          </w:tcPr>
          <w:p w14:paraId="6F4D3903"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65</w:t>
            </w:r>
          </w:p>
        </w:tc>
        <w:tc>
          <w:tcPr>
            <w:tcW w:w="1320" w:type="dxa"/>
            <w:tcBorders>
              <w:top w:val="single" w:sz="4" w:space="0" w:color="auto"/>
              <w:bottom w:val="single" w:sz="4" w:space="0" w:color="auto"/>
            </w:tcBorders>
            <w:vAlign w:val="center"/>
          </w:tcPr>
          <w:p w14:paraId="00911EA1"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35</w:t>
            </w:r>
          </w:p>
        </w:tc>
        <w:tc>
          <w:tcPr>
            <w:tcW w:w="974" w:type="dxa"/>
            <w:tcBorders>
              <w:top w:val="single" w:sz="4" w:space="0" w:color="auto"/>
              <w:bottom w:val="single" w:sz="4" w:space="0" w:color="auto"/>
            </w:tcBorders>
            <w:vAlign w:val="center"/>
          </w:tcPr>
          <w:p w14:paraId="5A50C7C0"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14,08</w:t>
            </w:r>
          </w:p>
        </w:tc>
        <w:tc>
          <w:tcPr>
            <w:tcW w:w="974" w:type="dxa"/>
            <w:tcBorders>
              <w:top w:val="single" w:sz="4" w:space="0" w:color="auto"/>
              <w:bottom w:val="single" w:sz="4" w:space="0" w:color="auto"/>
            </w:tcBorders>
            <w:vAlign w:val="center"/>
          </w:tcPr>
          <w:p w14:paraId="680BF29B"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eastAsia="ru-RU" w:bidi="en-US"/>
              </w:rPr>
              <w:t>28,</w:t>
            </w:r>
            <w:r w:rsidRPr="006B3DB2">
              <w:rPr>
                <w:rFonts w:cs="Arial"/>
                <w:szCs w:val="18"/>
                <w:lang w:val="uz-Cyrl-UZ" w:eastAsia="ru-RU" w:bidi="en-US"/>
              </w:rPr>
              <w:t>15</w:t>
            </w:r>
          </w:p>
        </w:tc>
        <w:tc>
          <w:tcPr>
            <w:tcW w:w="979" w:type="dxa"/>
            <w:tcBorders>
              <w:top w:val="single" w:sz="4" w:space="0" w:color="auto"/>
              <w:bottom w:val="single" w:sz="4" w:space="0" w:color="auto"/>
            </w:tcBorders>
            <w:vAlign w:val="center"/>
          </w:tcPr>
          <w:p w14:paraId="2D671228"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40,81</w:t>
            </w:r>
          </w:p>
        </w:tc>
        <w:tc>
          <w:tcPr>
            <w:tcW w:w="979" w:type="dxa"/>
            <w:tcBorders>
              <w:top w:val="single" w:sz="4" w:space="0" w:color="auto"/>
              <w:bottom w:val="single" w:sz="4" w:space="0" w:color="auto"/>
            </w:tcBorders>
            <w:vAlign w:val="center"/>
          </w:tcPr>
          <w:p w14:paraId="663046F2"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46,78</w:t>
            </w:r>
          </w:p>
        </w:tc>
        <w:tc>
          <w:tcPr>
            <w:tcW w:w="987" w:type="dxa"/>
            <w:tcBorders>
              <w:top w:val="single" w:sz="4" w:space="0" w:color="auto"/>
              <w:bottom w:val="single" w:sz="4" w:space="0" w:color="auto"/>
            </w:tcBorders>
            <w:vAlign w:val="center"/>
          </w:tcPr>
          <w:p w14:paraId="651E9784"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52,95</w:t>
            </w:r>
          </w:p>
        </w:tc>
        <w:tc>
          <w:tcPr>
            <w:tcW w:w="926" w:type="dxa"/>
            <w:tcBorders>
              <w:top w:val="single" w:sz="4" w:space="0" w:color="auto"/>
              <w:bottom w:val="single" w:sz="4" w:space="0" w:color="auto"/>
            </w:tcBorders>
            <w:vAlign w:val="center"/>
          </w:tcPr>
          <w:p w14:paraId="61A7887B"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58,48</w:t>
            </w:r>
          </w:p>
        </w:tc>
      </w:tr>
      <w:tr w:rsidR="006B3DB2" w:rsidRPr="006B3DB2" w14:paraId="0D27180B" w14:textId="77777777" w:rsidTr="00DC3172">
        <w:tc>
          <w:tcPr>
            <w:tcW w:w="1638" w:type="dxa"/>
            <w:tcBorders>
              <w:top w:val="single" w:sz="4" w:space="0" w:color="auto"/>
              <w:bottom w:val="single" w:sz="4" w:space="0" w:color="auto"/>
            </w:tcBorders>
            <w:vAlign w:val="center"/>
          </w:tcPr>
          <w:p w14:paraId="6ED4EE34"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60</w:t>
            </w:r>
          </w:p>
        </w:tc>
        <w:tc>
          <w:tcPr>
            <w:tcW w:w="1320" w:type="dxa"/>
            <w:tcBorders>
              <w:top w:val="single" w:sz="4" w:space="0" w:color="auto"/>
              <w:bottom w:val="single" w:sz="4" w:space="0" w:color="auto"/>
            </w:tcBorders>
            <w:vAlign w:val="center"/>
          </w:tcPr>
          <w:p w14:paraId="79C32345"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40</w:t>
            </w:r>
          </w:p>
        </w:tc>
        <w:tc>
          <w:tcPr>
            <w:tcW w:w="974" w:type="dxa"/>
            <w:tcBorders>
              <w:top w:val="single" w:sz="4" w:space="0" w:color="auto"/>
              <w:bottom w:val="single" w:sz="4" w:space="0" w:color="auto"/>
            </w:tcBorders>
            <w:vAlign w:val="center"/>
          </w:tcPr>
          <w:p w14:paraId="4E2CFAF0"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14,11</w:t>
            </w:r>
          </w:p>
        </w:tc>
        <w:tc>
          <w:tcPr>
            <w:tcW w:w="974" w:type="dxa"/>
            <w:tcBorders>
              <w:top w:val="single" w:sz="4" w:space="0" w:color="auto"/>
              <w:bottom w:val="single" w:sz="4" w:space="0" w:color="auto"/>
            </w:tcBorders>
            <w:vAlign w:val="center"/>
          </w:tcPr>
          <w:p w14:paraId="2EA3A02E"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eastAsia="ru-RU" w:bidi="en-US"/>
              </w:rPr>
              <w:t>28,</w:t>
            </w:r>
            <w:r w:rsidRPr="006B3DB2">
              <w:rPr>
                <w:rFonts w:cs="Arial"/>
                <w:szCs w:val="18"/>
                <w:lang w:val="uz-Cyrl-UZ" w:eastAsia="ru-RU" w:bidi="en-US"/>
              </w:rPr>
              <w:t>17</w:t>
            </w:r>
          </w:p>
        </w:tc>
        <w:tc>
          <w:tcPr>
            <w:tcW w:w="979" w:type="dxa"/>
            <w:tcBorders>
              <w:top w:val="single" w:sz="4" w:space="0" w:color="auto"/>
              <w:bottom w:val="single" w:sz="4" w:space="0" w:color="auto"/>
            </w:tcBorders>
            <w:vAlign w:val="center"/>
          </w:tcPr>
          <w:p w14:paraId="5644DA21"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40,88</w:t>
            </w:r>
          </w:p>
        </w:tc>
        <w:tc>
          <w:tcPr>
            <w:tcW w:w="979" w:type="dxa"/>
            <w:tcBorders>
              <w:top w:val="single" w:sz="4" w:space="0" w:color="auto"/>
              <w:bottom w:val="single" w:sz="4" w:space="0" w:color="auto"/>
            </w:tcBorders>
            <w:vAlign w:val="center"/>
          </w:tcPr>
          <w:p w14:paraId="2A710087"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46,82</w:t>
            </w:r>
          </w:p>
        </w:tc>
        <w:tc>
          <w:tcPr>
            <w:tcW w:w="987" w:type="dxa"/>
            <w:tcBorders>
              <w:top w:val="single" w:sz="4" w:space="0" w:color="auto"/>
              <w:bottom w:val="single" w:sz="4" w:space="0" w:color="auto"/>
            </w:tcBorders>
            <w:vAlign w:val="center"/>
          </w:tcPr>
          <w:p w14:paraId="4C2DFB08"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52,98</w:t>
            </w:r>
          </w:p>
        </w:tc>
        <w:tc>
          <w:tcPr>
            <w:tcW w:w="926" w:type="dxa"/>
            <w:tcBorders>
              <w:top w:val="single" w:sz="4" w:space="0" w:color="auto"/>
              <w:bottom w:val="single" w:sz="4" w:space="0" w:color="auto"/>
            </w:tcBorders>
            <w:vAlign w:val="center"/>
          </w:tcPr>
          <w:p w14:paraId="1B044065"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58,53</w:t>
            </w:r>
          </w:p>
        </w:tc>
      </w:tr>
      <w:tr w:rsidR="006B3DB2" w:rsidRPr="006B3DB2" w14:paraId="76EDA78E" w14:textId="77777777" w:rsidTr="00DC3172">
        <w:tc>
          <w:tcPr>
            <w:tcW w:w="1638" w:type="dxa"/>
            <w:tcBorders>
              <w:top w:val="single" w:sz="4" w:space="0" w:color="auto"/>
              <w:bottom w:val="single" w:sz="4" w:space="0" w:color="auto"/>
            </w:tcBorders>
            <w:vAlign w:val="center"/>
          </w:tcPr>
          <w:p w14:paraId="2FD21E10"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55</w:t>
            </w:r>
          </w:p>
        </w:tc>
        <w:tc>
          <w:tcPr>
            <w:tcW w:w="1320" w:type="dxa"/>
            <w:tcBorders>
              <w:top w:val="single" w:sz="4" w:space="0" w:color="auto"/>
              <w:bottom w:val="single" w:sz="4" w:space="0" w:color="auto"/>
            </w:tcBorders>
            <w:vAlign w:val="center"/>
          </w:tcPr>
          <w:p w14:paraId="2AD80AE7"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45</w:t>
            </w:r>
          </w:p>
        </w:tc>
        <w:tc>
          <w:tcPr>
            <w:tcW w:w="974" w:type="dxa"/>
            <w:tcBorders>
              <w:top w:val="single" w:sz="4" w:space="0" w:color="auto"/>
              <w:bottom w:val="single" w:sz="4" w:space="0" w:color="auto"/>
            </w:tcBorders>
            <w:vAlign w:val="center"/>
          </w:tcPr>
          <w:p w14:paraId="3D271782"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14,13</w:t>
            </w:r>
          </w:p>
        </w:tc>
        <w:tc>
          <w:tcPr>
            <w:tcW w:w="974" w:type="dxa"/>
            <w:tcBorders>
              <w:top w:val="single" w:sz="4" w:space="0" w:color="auto"/>
              <w:bottom w:val="single" w:sz="4" w:space="0" w:color="auto"/>
            </w:tcBorders>
            <w:vAlign w:val="center"/>
          </w:tcPr>
          <w:p w14:paraId="1FBDBD08"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eastAsia="ru-RU" w:bidi="en-US"/>
              </w:rPr>
              <w:t>28,</w:t>
            </w:r>
            <w:r w:rsidRPr="006B3DB2">
              <w:rPr>
                <w:rFonts w:cs="Arial"/>
                <w:szCs w:val="18"/>
                <w:lang w:val="uz-Cyrl-UZ" w:eastAsia="ru-RU" w:bidi="en-US"/>
              </w:rPr>
              <w:t>18</w:t>
            </w:r>
          </w:p>
        </w:tc>
        <w:tc>
          <w:tcPr>
            <w:tcW w:w="979" w:type="dxa"/>
            <w:tcBorders>
              <w:top w:val="single" w:sz="4" w:space="0" w:color="auto"/>
              <w:bottom w:val="single" w:sz="4" w:space="0" w:color="auto"/>
            </w:tcBorders>
            <w:vAlign w:val="center"/>
          </w:tcPr>
          <w:p w14:paraId="4D099779"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40,92</w:t>
            </w:r>
          </w:p>
        </w:tc>
        <w:tc>
          <w:tcPr>
            <w:tcW w:w="979" w:type="dxa"/>
            <w:tcBorders>
              <w:top w:val="single" w:sz="4" w:space="0" w:color="auto"/>
              <w:bottom w:val="single" w:sz="4" w:space="0" w:color="auto"/>
            </w:tcBorders>
            <w:vAlign w:val="center"/>
          </w:tcPr>
          <w:p w14:paraId="0404E64F"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46,85</w:t>
            </w:r>
          </w:p>
        </w:tc>
        <w:tc>
          <w:tcPr>
            <w:tcW w:w="987" w:type="dxa"/>
            <w:tcBorders>
              <w:top w:val="single" w:sz="4" w:space="0" w:color="auto"/>
              <w:bottom w:val="single" w:sz="4" w:space="0" w:color="auto"/>
            </w:tcBorders>
            <w:vAlign w:val="center"/>
          </w:tcPr>
          <w:p w14:paraId="4B042703"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53,02</w:t>
            </w:r>
          </w:p>
        </w:tc>
        <w:tc>
          <w:tcPr>
            <w:tcW w:w="926" w:type="dxa"/>
            <w:tcBorders>
              <w:top w:val="single" w:sz="4" w:space="0" w:color="auto"/>
              <w:bottom w:val="single" w:sz="4" w:space="0" w:color="auto"/>
            </w:tcBorders>
            <w:vAlign w:val="center"/>
          </w:tcPr>
          <w:p w14:paraId="79596E69"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58,58</w:t>
            </w:r>
          </w:p>
        </w:tc>
      </w:tr>
      <w:tr w:rsidR="006B3DB2" w:rsidRPr="006B3DB2" w14:paraId="683C5648" w14:textId="77777777" w:rsidTr="00DC3172">
        <w:tc>
          <w:tcPr>
            <w:tcW w:w="1638" w:type="dxa"/>
            <w:tcBorders>
              <w:top w:val="single" w:sz="4" w:space="0" w:color="auto"/>
              <w:bottom w:val="single" w:sz="4" w:space="0" w:color="auto"/>
            </w:tcBorders>
            <w:vAlign w:val="center"/>
          </w:tcPr>
          <w:p w14:paraId="1641E4B4"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50</w:t>
            </w:r>
          </w:p>
        </w:tc>
        <w:tc>
          <w:tcPr>
            <w:tcW w:w="1320" w:type="dxa"/>
            <w:tcBorders>
              <w:top w:val="single" w:sz="4" w:space="0" w:color="auto"/>
              <w:bottom w:val="single" w:sz="4" w:space="0" w:color="auto"/>
            </w:tcBorders>
            <w:vAlign w:val="center"/>
          </w:tcPr>
          <w:p w14:paraId="78EF9971"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50</w:t>
            </w:r>
          </w:p>
        </w:tc>
        <w:tc>
          <w:tcPr>
            <w:tcW w:w="974" w:type="dxa"/>
            <w:tcBorders>
              <w:top w:val="single" w:sz="4" w:space="0" w:color="auto"/>
              <w:bottom w:val="single" w:sz="4" w:space="0" w:color="auto"/>
            </w:tcBorders>
            <w:vAlign w:val="center"/>
          </w:tcPr>
          <w:p w14:paraId="1ADE6BE7"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14,21</w:t>
            </w:r>
          </w:p>
        </w:tc>
        <w:tc>
          <w:tcPr>
            <w:tcW w:w="974" w:type="dxa"/>
            <w:tcBorders>
              <w:top w:val="single" w:sz="4" w:space="0" w:color="auto"/>
              <w:bottom w:val="single" w:sz="4" w:space="0" w:color="auto"/>
            </w:tcBorders>
            <w:vAlign w:val="center"/>
          </w:tcPr>
          <w:p w14:paraId="61DE4D77"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eastAsia="ru-RU" w:bidi="en-US"/>
              </w:rPr>
              <w:t>28,</w:t>
            </w:r>
            <w:r w:rsidRPr="006B3DB2">
              <w:rPr>
                <w:rFonts w:cs="Arial"/>
                <w:szCs w:val="18"/>
                <w:lang w:val="uz-Cyrl-UZ" w:eastAsia="ru-RU" w:bidi="en-US"/>
              </w:rPr>
              <w:t>20</w:t>
            </w:r>
          </w:p>
        </w:tc>
        <w:tc>
          <w:tcPr>
            <w:tcW w:w="979" w:type="dxa"/>
            <w:tcBorders>
              <w:top w:val="single" w:sz="4" w:space="0" w:color="auto"/>
              <w:bottom w:val="single" w:sz="4" w:space="0" w:color="auto"/>
            </w:tcBorders>
            <w:vAlign w:val="center"/>
          </w:tcPr>
          <w:p w14:paraId="284EB230"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41,00</w:t>
            </w:r>
          </w:p>
        </w:tc>
        <w:tc>
          <w:tcPr>
            <w:tcW w:w="979" w:type="dxa"/>
            <w:tcBorders>
              <w:top w:val="single" w:sz="4" w:space="0" w:color="auto"/>
              <w:bottom w:val="single" w:sz="4" w:space="0" w:color="auto"/>
            </w:tcBorders>
            <w:vAlign w:val="center"/>
          </w:tcPr>
          <w:p w14:paraId="6E169AC0"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val="uz-Cyrl-UZ" w:eastAsia="ru-RU" w:bidi="en-US"/>
              </w:rPr>
              <w:t>46,87</w:t>
            </w:r>
          </w:p>
        </w:tc>
        <w:tc>
          <w:tcPr>
            <w:tcW w:w="987" w:type="dxa"/>
            <w:tcBorders>
              <w:top w:val="single" w:sz="4" w:space="0" w:color="auto"/>
              <w:bottom w:val="single" w:sz="4" w:space="0" w:color="auto"/>
            </w:tcBorders>
            <w:vAlign w:val="center"/>
          </w:tcPr>
          <w:p w14:paraId="743BA43E"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53,05</w:t>
            </w:r>
          </w:p>
        </w:tc>
        <w:tc>
          <w:tcPr>
            <w:tcW w:w="926" w:type="dxa"/>
            <w:tcBorders>
              <w:top w:val="single" w:sz="4" w:space="0" w:color="auto"/>
              <w:bottom w:val="single" w:sz="4" w:space="0" w:color="auto"/>
            </w:tcBorders>
            <w:vAlign w:val="center"/>
          </w:tcPr>
          <w:p w14:paraId="2F18DF54"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58,61</w:t>
            </w:r>
          </w:p>
        </w:tc>
      </w:tr>
      <w:tr w:rsidR="006B3DB2" w:rsidRPr="006B3DB2" w14:paraId="32C95B96" w14:textId="77777777" w:rsidTr="00DC3172">
        <w:tc>
          <w:tcPr>
            <w:tcW w:w="1638" w:type="dxa"/>
            <w:tcBorders>
              <w:top w:val="single" w:sz="4" w:space="0" w:color="auto"/>
              <w:bottom w:val="single" w:sz="4" w:space="0" w:color="auto"/>
            </w:tcBorders>
            <w:vAlign w:val="center"/>
          </w:tcPr>
          <w:p w14:paraId="6DC6EDE8" w14:textId="77777777" w:rsidR="006B3DB2" w:rsidRPr="006B3DB2" w:rsidRDefault="006B3DB2" w:rsidP="00F6157A">
            <w:pPr>
              <w:widowControl w:val="0"/>
              <w:autoSpaceDE w:val="0"/>
              <w:autoSpaceDN w:val="0"/>
              <w:spacing w:line="240" w:lineRule="auto"/>
              <w:ind w:right="11"/>
              <w:jc w:val="center"/>
              <w:rPr>
                <w:rFonts w:cs="Arial"/>
                <w:color w:val="000000"/>
                <w:szCs w:val="18"/>
                <w:lang w:val="uz-Cyrl-UZ" w:eastAsia="ru-RU" w:bidi="en-US"/>
              </w:rPr>
            </w:pPr>
            <w:r w:rsidRPr="006B3DB2">
              <w:rPr>
                <w:rFonts w:cs="Arial"/>
                <w:color w:val="000000"/>
                <w:szCs w:val="18"/>
                <w:lang w:val="uz-Cyrl-UZ" w:eastAsia="ru-RU" w:bidi="en-US"/>
              </w:rPr>
              <w:t>45</w:t>
            </w:r>
          </w:p>
        </w:tc>
        <w:tc>
          <w:tcPr>
            <w:tcW w:w="1320" w:type="dxa"/>
            <w:tcBorders>
              <w:top w:val="single" w:sz="4" w:space="0" w:color="auto"/>
              <w:bottom w:val="single" w:sz="4" w:space="0" w:color="auto"/>
            </w:tcBorders>
            <w:vAlign w:val="center"/>
          </w:tcPr>
          <w:p w14:paraId="03A1D0C0" w14:textId="77777777" w:rsidR="006B3DB2" w:rsidRPr="006B3DB2" w:rsidRDefault="006B3DB2" w:rsidP="00F6157A">
            <w:pPr>
              <w:widowControl w:val="0"/>
              <w:autoSpaceDE w:val="0"/>
              <w:autoSpaceDN w:val="0"/>
              <w:spacing w:line="240" w:lineRule="auto"/>
              <w:ind w:right="11"/>
              <w:jc w:val="center"/>
              <w:rPr>
                <w:rFonts w:cs="Arial"/>
                <w:color w:val="000000"/>
                <w:szCs w:val="18"/>
                <w:lang w:val="uz-Cyrl-UZ" w:eastAsia="ru-RU" w:bidi="en-US"/>
              </w:rPr>
            </w:pPr>
            <w:r w:rsidRPr="006B3DB2">
              <w:rPr>
                <w:rFonts w:cs="Arial"/>
                <w:color w:val="000000"/>
                <w:szCs w:val="18"/>
                <w:lang w:val="uz-Cyrl-UZ" w:eastAsia="ru-RU" w:bidi="en-US"/>
              </w:rPr>
              <w:t>55</w:t>
            </w:r>
          </w:p>
        </w:tc>
        <w:tc>
          <w:tcPr>
            <w:tcW w:w="974" w:type="dxa"/>
            <w:tcBorders>
              <w:top w:val="single" w:sz="4" w:space="0" w:color="auto"/>
              <w:bottom w:val="single" w:sz="4" w:space="0" w:color="auto"/>
            </w:tcBorders>
            <w:vAlign w:val="center"/>
          </w:tcPr>
          <w:p w14:paraId="71D205C7" w14:textId="77777777" w:rsidR="006B3DB2" w:rsidRPr="006B3DB2" w:rsidRDefault="006B3DB2" w:rsidP="00F6157A">
            <w:pPr>
              <w:widowControl w:val="0"/>
              <w:autoSpaceDE w:val="0"/>
              <w:autoSpaceDN w:val="0"/>
              <w:spacing w:line="240" w:lineRule="auto"/>
              <w:ind w:right="11"/>
              <w:jc w:val="center"/>
              <w:rPr>
                <w:rFonts w:cs="Arial"/>
                <w:color w:val="000000"/>
                <w:szCs w:val="18"/>
                <w:lang w:eastAsia="ru-RU" w:bidi="en-US"/>
              </w:rPr>
            </w:pPr>
            <w:r w:rsidRPr="006B3DB2">
              <w:rPr>
                <w:rFonts w:cs="Arial"/>
                <w:color w:val="000000"/>
                <w:szCs w:val="18"/>
                <w:lang w:eastAsia="ru-RU" w:bidi="en-US"/>
              </w:rPr>
              <w:t>14,15</w:t>
            </w:r>
          </w:p>
        </w:tc>
        <w:tc>
          <w:tcPr>
            <w:tcW w:w="974" w:type="dxa"/>
            <w:tcBorders>
              <w:top w:val="single" w:sz="4" w:space="0" w:color="auto"/>
              <w:bottom w:val="single" w:sz="4" w:space="0" w:color="auto"/>
            </w:tcBorders>
            <w:vAlign w:val="center"/>
          </w:tcPr>
          <w:p w14:paraId="21348DB1" w14:textId="77777777" w:rsidR="006B3DB2" w:rsidRPr="006B3DB2" w:rsidRDefault="006B3DB2" w:rsidP="00F6157A">
            <w:pPr>
              <w:widowControl w:val="0"/>
              <w:autoSpaceDE w:val="0"/>
              <w:autoSpaceDN w:val="0"/>
              <w:spacing w:line="240" w:lineRule="auto"/>
              <w:ind w:right="11"/>
              <w:jc w:val="center"/>
              <w:rPr>
                <w:rFonts w:cs="Arial"/>
                <w:color w:val="000000"/>
                <w:szCs w:val="18"/>
                <w:lang w:val="uz-Cyrl-UZ" w:eastAsia="ru-RU" w:bidi="en-US"/>
              </w:rPr>
            </w:pPr>
            <w:r w:rsidRPr="006B3DB2">
              <w:rPr>
                <w:rFonts w:cs="Arial"/>
                <w:color w:val="000000"/>
                <w:szCs w:val="18"/>
                <w:lang w:eastAsia="ru-RU" w:bidi="en-US"/>
              </w:rPr>
              <w:t>2</w:t>
            </w:r>
            <w:r w:rsidRPr="006B3DB2">
              <w:rPr>
                <w:rFonts w:cs="Arial"/>
                <w:color w:val="000000"/>
                <w:szCs w:val="18"/>
                <w:lang w:val="uz-Cyrl-UZ" w:eastAsia="ru-RU" w:bidi="en-US"/>
              </w:rPr>
              <w:t>8</w:t>
            </w:r>
            <w:r w:rsidRPr="006B3DB2">
              <w:rPr>
                <w:rFonts w:cs="Arial"/>
                <w:color w:val="000000"/>
                <w:szCs w:val="18"/>
                <w:lang w:eastAsia="ru-RU" w:bidi="en-US"/>
              </w:rPr>
              <w:t>,</w:t>
            </w:r>
            <w:r w:rsidRPr="006B3DB2">
              <w:rPr>
                <w:rFonts w:cs="Arial"/>
                <w:color w:val="000000"/>
                <w:szCs w:val="18"/>
                <w:lang w:val="uz-Cyrl-UZ" w:eastAsia="ru-RU" w:bidi="en-US"/>
              </w:rPr>
              <w:t>21</w:t>
            </w:r>
          </w:p>
        </w:tc>
        <w:tc>
          <w:tcPr>
            <w:tcW w:w="979" w:type="dxa"/>
            <w:tcBorders>
              <w:top w:val="single" w:sz="4" w:space="0" w:color="auto"/>
              <w:bottom w:val="single" w:sz="4" w:space="0" w:color="auto"/>
            </w:tcBorders>
            <w:vAlign w:val="center"/>
          </w:tcPr>
          <w:p w14:paraId="782C9670" w14:textId="77777777" w:rsidR="006B3DB2" w:rsidRPr="006B3DB2" w:rsidRDefault="006B3DB2" w:rsidP="00F6157A">
            <w:pPr>
              <w:widowControl w:val="0"/>
              <w:autoSpaceDE w:val="0"/>
              <w:autoSpaceDN w:val="0"/>
              <w:spacing w:line="240" w:lineRule="auto"/>
              <w:ind w:right="11"/>
              <w:jc w:val="center"/>
              <w:rPr>
                <w:rFonts w:cs="Arial"/>
                <w:color w:val="000000"/>
                <w:szCs w:val="18"/>
                <w:lang w:val="uz-Cyrl-UZ" w:eastAsia="ru-RU" w:bidi="en-US"/>
              </w:rPr>
            </w:pPr>
            <w:r w:rsidRPr="006B3DB2">
              <w:rPr>
                <w:rFonts w:cs="Arial"/>
                <w:color w:val="000000"/>
                <w:szCs w:val="18"/>
                <w:lang w:val="uz-Cyrl-UZ" w:eastAsia="ru-RU" w:bidi="en-US"/>
              </w:rPr>
              <w:t>41,06</w:t>
            </w:r>
          </w:p>
        </w:tc>
        <w:tc>
          <w:tcPr>
            <w:tcW w:w="979" w:type="dxa"/>
            <w:tcBorders>
              <w:top w:val="single" w:sz="4" w:space="0" w:color="auto"/>
              <w:bottom w:val="single" w:sz="4" w:space="0" w:color="auto"/>
            </w:tcBorders>
            <w:vAlign w:val="center"/>
          </w:tcPr>
          <w:p w14:paraId="61945067" w14:textId="77777777" w:rsidR="006B3DB2" w:rsidRPr="006B3DB2" w:rsidRDefault="006B3DB2" w:rsidP="00F6157A">
            <w:pPr>
              <w:widowControl w:val="0"/>
              <w:autoSpaceDE w:val="0"/>
              <w:autoSpaceDN w:val="0"/>
              <w:spacing w:line="240" w:lineRule="auto"/>
              <w:ind w:right="11"/>
              <w:jc w:val="center"/>
              <w:rPr>
                <w:rFonts w:cs="Arial"/>
                <w:color w:val="000000"/>
                <w:szCs w:val="18"/>
                <w:lang w:eastAsia="ru-RU" w:bidi="en-US"/>
              </w:rPr>
            </w:pPr>
            <w:r w:rsidRPr="006B3DB2">
              <w:rPr>
                <w:rFonts w:cs="Arial"/>
                <w:color w:val="000000"/>
                <w:szCs w:val="18"/>
                <w:lang w:val="uz-Cyrl-UZ" w:eastAsia="ru-RU" w:bidi="en-US"/>
              </w:rPr>
              <w:t>46,90</w:t>
            </w:r>
          </w:p>
        </w:tc>
        <w:tc>
          <w:tcPr>
            <w:tcW w:w="987" w:type="dxa"/>
            <w:tcBorders>
              <w:top w:val="single" w:sz="4" w:space="0" w:color="auto"/>
              <w:bottom w:val="single" w:sz="4" w:space="0" w:color="auto"/>
            </w:tcBorders>
            <w:vAlign w:val="center"/>
          </w:tcPr>
          <w:p w14:paraId="11DD7A3B" w14:textId="77777777" w:rsidR="006B3DB2" w:rsidRPr="006B3DB2" w:rsidRDefault="006B3DB2" w:rsidP="00F6157A">
            <w:pPr>
              <w:widowControl w:val="0"/>
              <w:autoSpaceDE w:val="0"/>
              <w:autoSpaceDN w:val="0"/>
              <w:spacing w:line="240" w:lineRule="auto"/>
              <w:ind w:right="11"/>
              <w:jc w:val="center"/>
              <w:rPr>
                <w:rFonts w:cs="Arial"/>
                <w:color w:val="000000"/>
                <w:szCs w:val="18"/>
                <w:lang w:eastAsia="ru-RU" w:bidi="en-US"/>
              </w:rPr>
            </w:pPr>
            <w:r w:rsidRPr="006B3DB2">
              <w:rPr>
                <w:rFonts w:cs="Arial"/>
                <w:color w:val="000000"/>
                <w:szCs w:val="18"/>
                <w:lang w:val="uz-Cyrl-UZ" w:eastAsia="ru-RU" w:bidi="en-US"/>
              </w:rPr>
              <w:t>53,09</w:t>
            </w:r>
          </w:p>
        </w:tc>
        <w:tc>
          <w:tcPr>
            <w:tcW w:w="926" w:type="dxa"/>
            <w:tcBorders>
              <w:top w:val="single" w:sz="4" w:space="0" w:color="auto"/>
              <w:bottom w:val="single" w:sz="4" w:space="0" w:color="auto"/>
            </w:tcBorders>
            <w:vAlign w:val="center"/>
          </w:tcPr>
          <w:p w14:paraId="78A6D1BE" w14:textId="77777777" w:rsidR="006B3DB2" w:rsidRPr="006B3DB2" w:rsidRDefault="006B3DB2" w:rsidP="00F6157A">
            <w:pPr>
              <w:widowControl w:val="0"/>
              <w:autoSpaceDE w:val="0"/>
              <w:autoSpaceDN w:val="0"/>
              <w:spacing w:line="240" w:lineRule="auto"/>
              <w:ind w:right="11"/>
              <w:jc w:val="center"/>
              <w:rPr>
                <w:rFonts w:cs="Arial"/>
                <w:color w:val="000000"/>
                <w:szCs w:val="18"/>
                <w:lang w:eastAsia="ru-RU" w:bidi="en-US"/>
              </w:rPr>
            </w:pPr>
            <w:r w:rsidRPr="006B3DB2">
              <w:rPr>
                <w:rFonts w:cs="Arial"/>
                <w:color w:val="000000"/>
                <w:szCs w:val="18"/>
                <w:lang w:val="uz-Cyrl-UZ" w:eastAsia="ru-RU" w:bidi="en-US"/>
              </w:rPr>
              <w:t>58,64</w:t>
            </w:r>
          </w:p>
        </w:tc>
      </w:tr>
      <w:tr w:rsidR="006B3DB2" w:rsidRPr="006B3DB2" w14:paraId="3D972949" w14:textId="77777777" w:rsidTr="00DC3172">
        <w:tc>
          <w:tcPr>
            <w:tcW w:w="1638" w:type="dxa"/>
            <w:tcBorders>
              <w:top w:val="single" w:sz="4" w:space="0" w:color="auto"/>
              <w:bottom w:val="single" w:sz="4" w:space="0" w:color="auto"/>
            </w:tcBorders>
            <w:vAlign w:val="center"/>
          </w:tcPr>
          <w:p w14:paraId="71CB632E" w14:textId="77777777" w:rsidR="006B3DB2" w:rsidRPr="006B3DB2" w:rsidRDefault="006B3DB2" w:rsidP="00F6157A">
            <w:pPr>
              <w:widowControl w:val="0"/>
              <w:autoSpaceDE w:val="0"/>
              <w:autoSpaceDN w:val="0"/>
              <w:spacing w:line="240" w:lineRule="auto"/>
              <w:ind w:right="11"/>
              <w:jc w:val="center"/>
              <w:rPr>
                <w:rFonts w:cs="Arial"/>
                <w:color w:val="000000"/>
                <w:szCs w:val="18"/>
                <w:lang w:val="uz-Cyrl-UZ" w:eastAsia="ru-RU" w:bidi="en-US"/>
              </w:rPr>
            </w:pPr>
            <w:r w:rsidRPr="006B3DB2">
              <w:rPr>
                <w:rFonts w:cs="Arial"/>
                <w:color w:val="000000"/>
                <w:szCs w:val="18"/>
                <w:lang w:val="uz-Cyrl-UZ" w:eastAsia="ru-RU" w:bidi="en-US"/>
              </w:rPr>
              <w:t>40</w:t>
            </w:r>
          </w:p>
        </w:tc>
        <w:tc>
          <w:tcPr>
            <w:tcW w:w="1320" w:type="dxa"/>
            <w:tcBorders>
              <w:top w:val="single" w:sz="4" w:space="0" w:color="auto"/>
              <w:bottom w:val="single" w:sz="4" w:space="0" w:color="auto"/>
            </w:tcBorders>
            <w:vAlign w:val="center"/>
          </w:tcPr>
          <w:p w14:paraId="22A8C5D0" w14:textId="77777777" w:rsidR="006B3DB2" w:rsidRPr="006B3DB2" w:rsidRDefault="006B3DB2" w:rsidP="00F6157A">
            <w:pPr>
              <w:widowControl w:val="0"/>
              <w:autoSpaceDE w:val="0"/>
              <w:autoSpaceDN w:val="0"/>
              <w:spacing w:line="240" w:lineRule="auto"/>
              <w:ind w:right="11"/>
              <w:jc w:val="center"/>
              <w:rPr>
                <w:rFonts w:cs="Arial"/>
                <w:color w:val="000000"/>
                <w:szCs w:val="18"/>
                <w:lang w:val="uz-Cyrl-UZ" w:eastAsia="ru-RU" w:bidi="en-US"/>
              </w:rPr>
            </w:pPr>
            <w:r w:rsidRPr="006B3DB2">
              <w:rPr>
                <w:rFonts w:cs="Arial"/>
                <w:color w:val="000000"/>
                <w:szCs w:val="18"/>
                <w:lang w:val="uz-Cyrl-UZ" w:eastAsia="ru-RU" w:bidi="en-US"/>
              </w:rPr>
              <w:t>60</w:t>
            </w:r>
          </w:p>
        </w:tc>
        <w:tc>
          <w:tcPr>
            <w:tcW w:w="974" w:type="dxa"/>
            <w:tcBorders>
              <w:top w:val="single" w:sz="4" w:space="0" w:color="auto"/>
              <w:bottom w:val="single" w:sz="4" w:space="0" w:color="auto"/>
            </w:tcBorders>
            <w:vAlign w:val="center"/>
          </w:tcPr>
          <w:p w14:paraId="3FB977D5" w14:textId="77777777" w:rsidR="006B3DB2" w:rsidRPr="006B3DB2" w:rsidRDefault="006B3DB2" w:rsidP="00F6157A">
            <w:pPr>
              <w:widowControl w:val="0"/>
              <w:autoSpaceDE w:val="0"/>
              <w:autoSpaceDN w:val="0"/>
              <w:spacing w:line="240" w:lineRule="auto"/>
              <w:ind w:right="11"/>
              <w:jc w:val="center"/>
              <w:rPr>
                <w:rFonts w:cs="Arial"/>
                <w:color w:val="000000"/>
                <w:szCs w:val="18"/>
                <w:lang w:eastAsia="ru-RU" w:bidi="en-US"/>
              </w:rPr>
            </w:pPr>
            <w:r w:rsidRPr="006B3DB2">
              <w:rPr>
                <w:rFonts w:cs="Arial"/>
                <w:color w:val="000000"/>
                <w:szCs w:val="18"/>
                <w:lang w:eastAsia="ru-RU" w:bidi="en-US"/>
              </w:rPr>
              <w:t>14,03</w:t>
            </w:r>
          </w:p>
        </w:tc>
        <w:tc>
          <w:tcPr>
            <w:tcW w:w="974" w:type="dxa"/>
            <w:tcBorders>
              <w:top w:val="single" w:sz="4" w:space="0" w:color="auto"/>
              <w:bottom w:val="single" w:sz="4" w:space="0" w:color="auto"/>
            </w:tcBorders>
            <w:vAlign w:val="center"/>
          </w:tcPr>
          <w:p w14:paraId="4936F3DB" w14:textId="77777777" w:rsidR="006B3DB2" w:rsidRPr="006B3DB2" w:rsidRDefault="006B3DB2" w:rsidP="00F6157A">
            <w:pPr>
              <w:widowControl w:val="0"/>
              <w:autoSpaceDE w:val="0"/>
              <w:autoSpaceDN w:val="0"/>
              <w:spacing w:line="240" w:lineRule="auto"/>
              <w:ind w:right="11"/>
              <w:jc w:val="center"/>
              <w:rPr>
                <w:rFonts w:cs="Arial"/>
                <w:color w:val="000000"/>
                <w:szCs w:val="18"/>
                <w:lang w:val="uz-Cyrl-UZ" w:eastAsia="ru-RU" w:bidi="en-US"/>
              </w:rPr>
            </w:pPr>
            <w:r w:rsidRPr="006B3DB2">
              <w:rPr>
                <w:rFonts w:cs="Arial"/>
                <w:color w:val="000000"/>
                <w:szCs w:val="18"/>
                <w:lang w:eastAsia="ru-RU" w:bidi="en-US"/>
              </w:rPr>
              <w:t>2</w:t>
            </w:r>
            <w:r w:rsidRPr="006B3DB2">
              <w:rPr>
                <w:rFonts w:cs="Arial"/>
                <w:color w:val="000000"/>
                <w:szCs w:val="18"/>
                <w:lang w:val="uz-Cyrl-UZ" w:eastAsia="ru-RU" w:bidi="en-US"/>
              </w:rPr>
              <w:t>8</w:t>
            </w:r>
            <w:r w:rsidRPr="006B3DB2">
              <w:rPr>
                <w:rFonts w:cs="Arial"/>
                <w:color w:val="000000"/>
                <w:szCs w:val="18"/>
                <w:lang w:eastAsia="ru-RU" w:bidi="en-US"/>
              </w:rPr>
              <w:t>,</w:t>
            </w:r>
            <w:r w:rsidRPr="006B3DB2">
              <w:rPr>
                <w:rFonts w:cs="Arial"/>
                <w:color w:val="000000"/>
                <w:szCs w:val="18"/>
                <w:lang w:val="uz-Cyrl-UZ" w:eastAsia="ru-RU" w:bidi="en-US"/>
              </w:rPr>
              <w:t>22</w:t>
            </w:r>
          </w:p>
        </w:tc>
        <w:tc>
          <w:tcPr>
            <w:tcW w:w="979" w:type="dxa"/>
            <w:tcBorders>
              <w:top w:val="single" w:sz="4" w:space="0" w:color="auto"/>
              <w:bottom w:val="single" w:sz="4" w:space="0" w:color="auto"/>
            </w:tcBorders>
            <w:vAlign w:val="center"/>
          </w:tcPr>
          <w:p w14:paraId="5C35EB5A" w14:textId="77777777" w:rsidR="006B3DB2" w:rsidRPr="006B3DB2" w:rsidRDefault="006B3DB2" w:rsidP="00F6157A">
            <w:pPr>
              <w:widowControl w:val="0"/>
              <w:autoSpaceDE w:val="0"/>
              <w:autoSpaceDN w:val="0"/>
              <w:spacing w:line="240" w:lineRule="auto"/>
              <w:ind w:right="11"/>
              <w:jc w:val="center"/>
              <w:rPr>
                <w:rFonts w:cs="Arial"/>
                <w:color w:val="000000"/>
                <w:szCs w:val="18"/>
                <w:lang w:val="uz-Cyrl-UZ" w:eastAsia="ru-RU" w:bidi="en-US"/>
              </w:rPr>
            </w:pPr>
            <w:r w:rsidRPr="006B3DB2">
              <w:rPr>
                <w:rFonts w:cs="Arial"/>
                <w:color w:val="000000"/>
                <w:szCs w:val="18"/>
                <w:lang w:val="uz-Cyrl-UZ" w:eastAsia="ru-RU" w:bidi="en-US"/>
              </w:rPr>
              <w:t>41,13</w:t>
            </w:r>
          </w:p>
        </w:tc>
        <w:tc>
          <w:tcPr>
            <w:tcW w:w="979" w:type="dxa"/>
            <w:tcBorders>
              <w:top w:val="single" w:sz="4" w:space="0" w:color="auto"/>
              <w:bottom w:val="single" w:sz="4" w:space="0" w:color="auto"/>
            </w:tcBorders>
            <w:vAlign w:val="center"/>
          </w:tcPr>
          <w:p w14:paraId="1B92D0E3" w14:textId="77777777" w:rsidR="006B3DB2" w:rsidRPr="006B3DB2" w:rsidRDefault="006B3DB2" w:rsidP="00F6157A">
            <w:pPr>
              <w:widowControl w:val="0"/>
              <w:autoSpaceDE w:val="0"/>
              <w:autoSpaceDN w:val="0"/>
              <w:spacing w:line="240" w:lineRule="auto"/>
              <w:ind w:right="11"/>
              <w:jc w:val="center"/>
              <w:rPr>
                <w:rFonts w:cs="Arial"/>
                <w:color w:val="000000"/>
                <w:szCs w:val="18"/>
                <w:lang w:eastAsia="ru-RU" w:bidi="en-US"/>
              </w:rPr>
            </w:pPr>
            <w:r w:rsidRPr="006B3DB2">
              <w:rPr>
                <w:rFonts w:cs="Arial"/>
                <w:color w:val="000000"/>
                <w:szCs w:val="18"/>
                <w:lang w:val="uz-Cyrl-UZ" w:eastAsia="ru-RU" w:bidi="en-US"/>
              </w:rPr>
              <w:t>46,92</w:t>
            </w:r>
          </w:p>
        </w:tc>
        <w:tc>
          <w:tcPr>
            <w:tcW w:w="987" w:type="dxa"/>
            <w:tcBorders>
              <w:top w:val="single" w:sz="4" w:space="0" w:color="auto"/>
              <w:bottom w:val="single" w:sz="4" w:space="0" w:color="auto"/>
            </w:tcBorders>
            <w:vAlign w:val="center"/>
          </w:tcPr>
          <w:p w14:paraId="6A644B3C" w14:textId="77777777" w:rsidR="006B3DB2" w:rsidRPr="006B3DB2" w:rsidRDefault="006B3DB2" w:rsidP="00F6157A">
            <w:pPr>
              <w:widowControl w:val="0"/>
              <w:autoSpaceDE w:val="0"/>
              <w:autoSpaceDN w:val="0"/>
              <w:spacing w:line="240" w:lineRule="auto"/>
              <w:ind w:right="11"/>
              <w:jc w:val="center"/>
              <w:rPr>
                <w:rFonts w:cs="Arial"/>
                <w:color w:val="000000"/>
                <w:szCs w:val="18"/>
                <w:lang w:eastAsia="ru-RU" w:bidi="en-US"/>
              </w:rPr>
            </w:pPr>
            <w:r w:rsidRPr="006B3DB2">
              <w:rPr>
                <w:rFonts w:cs="Arial"/>
                <w:color w:val="000000"/>
                <w:szCs w:val="18"/>
                <w:lang w:val="uz-Cyrl-UZ" w:eastAsia="ru-RU" w:bidi="en-US"/>
              </w:rPr>
              <w:t>53,11</w:t>
            </w:r>
          </w:p>
        </w:tc>
        <w:tc>
          <w:tcPr>
            <w:tcW w:w="926" w:type="dxa"/>
            <w:tcBorders>
              <w:top w:val="single" w:sz="4" w:space="0" w:color="auto"/>
              <w:bottom w:val="single" w:sz="4" w:space="0" w:color="auto"/>
            </w:tcBorders>
            <w:vAlign w:val="center"/>
          </w:tcPr>
          <w:p w14:paraId="24A73489" w14:textId="77777777" w:rsidR="006B3DB2" w:rsidRPr="006B3DB2" w:rsidRDefault="006B3DB2" w:rsidP="00F6157A">
            <w:pPr>
              <w:widowControl w:val="0"/>
              <w:autoSpaceDE w:val="0"/>
              <w:autoSpaceDN w:val="0"/>
              <w:spacing w:line="240" w:lineRule="auto"/>
              <w:ind w:right="11"/>
              <w:jc w:val="center"/>
              <w:rPr>
                <w:rFonts w:cs="Arial"/>
                <w:color w:val="000000"/>
                <w:szCs w:val="18"/>
                <w:lang w:eastAsia="ru-RU" w:bidi="en-US"/>
              </w:rPr>
            </w:pPr>
            <w:r w:rsidRPr="006B3DB2">
              <w:rPr>
                <w:rFonts w:cs="Arial"/>
                <w:color w:val="000000"/>
                <w:szCs w:val="18"/>
                <w:lang w:val="uz-Cyrl-UZ" w:eastAsia="ru-RU" w:bidi="en-US"/>
              </w:rPr>
              <w:t>58,66</w:t>
            </w:r>
          </w:p>
        </w:tc>
      </w:tr>
      <w:tr w:rsidR="006B3DB2" w:rsidRPr="006B3DB2" w14:paraId="098CC64D" w14:textId="77777777" w:rsidTr="00DC3172">
        <w:tc>
          <w:tcPr>
            <w:tcW w:w="1638" w:type="dxa"/>
            <w:tcBorders>
              <w:top w:val="single" w:sz="4" w:space="0" w:color="auto"/>
              <w:bottom w:val="single" w:sz="4" w:space="0" w:color="auto"/>
            </w:tcBorders>
            <w:vAlign w:val="center"/>
          </w:tcPr>
          <w:p w14:paraId="6B17B43A" w14:textId="77777777" w:rsidR="006B3DB2" w:rsidRPr="006B3DB2" w:rsidRDefault="006B3DB2" w:rsidP="00F6157A">
            <w:pPr>
              <w:widowControl w:val="0"/>
              <w:autoSpaceDE w:val="0"/>
              <w:autoSpaceDN w:val="0"/>
              <w:spacing w:line="240" w:lineRule="auto"/>
              <w:ind w:right="11"/>
              <w:jc w:val="center"/>
              <w:rPr>
                <w:rFonts w:cs="Arial"/>
                <w:color w:val="000000"/>
                <w:szCs w:val="18"/>
                <w:lang w:val="uz-Cyrl-UZ" w:eastAsia="ru-RU" w:bidi="en-US"/>
              </w:rPr>
            </w:pPr>
            <w:r w:rsidRPr="006B3DB2">
              <w:rPr>
                <w:rFonts w:cs="Arial"/>
                <w:color w:val="000000"/>
                <w:szCs w:val="18"/>
                <w:lang w:val="uz-Cyrl-UZ" w:eastAsia="ru-RU" w:bidi="en-US"/>
              </w:rPr>
              <w:t>35</w:t>
            </w:r>
          </w:p>
        </w:tc>
        <w:tc>
          <w:tcPr>
            <w:tcW w:w="1320" w:type="dxa"/>
            <w:tcBorders>
              <w:top w:val="single" w:sz="4" w:space="0" w:color="auto"/>
              <w:bottom w:val="single" w:sz="4" w:space="0" w:color="auto"/>
            </w:tcBorders>
            <w:vAlign w:val="center"/>
          </w:tcPr>
          <w:p w14:paraId="076A05B1" w14:textId="77777777" w:rsidR="006B3DB2" w:rsidRPr="006B3DB2" w:rsidRDefault="006B3DB2" w:rsidP="00F6157A">
            <w:pPr>
              <w:widowControl w:val="0"/>
              <w:autoSpaceDE w:val="0"/>
              <w:autoSpaceDN w:val="0"/>
              <w:spacing w:line="240" w:lineRule="auto"/>
              <w:ind w:right="11"/>
              <w:jc w:val="center"/>
              <w:rPr>
                <w:rFonts w:cs="Arial"/>
                <w:color w:val="000000"/>
                <w:szCs w:val="18"/>
                <w:lang w:val="uz-Cyrl-UZ" w:eastAsia="ru-RU" w:bidi="en-US"/>
              </w:rPr>
            </w:pPr>
            <w:r w:rsidRPr="006B3DB2">
              <w:rPr>
                <w:rFonts w:cs="Arial"/>
                <w:color w:val="000000"/>
                <w:szCs w:val="18"/>
                <w:lang w:val="uz-Cyrl-UZ" w:eastAsia="ru-RU" w:bidi="en-US"/>
              </w:rPr>
              <w:t>65</w:t>
            </w:r>
          </w:p>
        </w:tc>
        <w:tc>
          <w:tcPr>
            <w:tcW w:w="974" w:type="dxa"/>
            <w:tcBorders>
              <w:top w:val="single" w:sz="4" w:space="0" w:color="auto"/>
              <w:bottom w:val="single" w:sz="4" w:space="0" w:color="auto"/>
            </w:tcBorders>
            <w:vAlign w:val="center"/>
          </w:tcPr>
          <w:p w14:paraId="09690B14" w14:textId="77777777" w:rsidR="006B3DB2" w:rsidRPr="006B3DB2" w:rsidRDefault="006B3DB2" w:rsidP="00F6157A">
            <w:pPr>
              <w:widowControl w:val="0"/>
              <w:autoSpaceDE w:val="0"/>
              <w:autoSpaceDN w:val="0"/>
              <w:spacing w:line="240" w:lineRule="auto"/>
              <w:ind w:right="11"/>
              <w:jc w:val="center"/>
              <w:rPr>
                <w:rFonts w:cs="Arial"/>
                <w:color w:val="000000"/>
                <w:szCs w:val="18"/>
                <w:lang w:eastAsia="ru-RU" w:bidi="en-US"/>
              </w:rPr>
            </w:pPr>
            <w:r w:rsidRPr="006B3DB2">
              <w:rPr>
                <w:rFonts w:cs="Arial"/>
                <w:color w:val="000000"/>
                <w:szCs w:val="18"/>
                <w:lang w:eastAsia="ru-RU" w:bidi="en-US"/>
              </w:rPr>
              <w:t>13,80</w:t>
            </w:r>
          </w:p>
        </w:tc>
        <w:tc>
          <w:tcPr>
            <w:tcW w:w="974" w:type="dxa"/>
            <w:tcBorders>
              <w:top w:val="single" w:sz="4" w:space="0" w:color="auto"/>
              <w:bottom w:val="single" w:sz="4" w:space="0" w:color="auto"/>
            </w:tcBorders>
            <w:vAlign w:val="center"/>
          </w:tcPr>
          <w:p w14:paraId="1DDAC573" w14:textId="77777777" w:rsidR="006B3DB2" w:rsidRPr="006B3DB2" w:rsidRDefault="006B3DB2" w:rsidP="00F6157A">
            <w:pPr>
              <w:widowControl w:val="0"/>
              <w:autoSpaceDE w:val="0"/>
              <w:autoSpaceDN w:val="0"/>
              <w:spacing w:line="240" w:lineRule="auto"/>
              <w:ind w:right="11"/>
              <w:jc w:val="center"/>
              <w:rPr>
                <w:rFonts w:cs="Arial"/>
                <w:color w:val="000000"/>
                <w:szCs w:val="18"/>
                <w:lang w:val="uz-Cyrl-UZ" w:eastAsia="ru-RU" w:bidi="en-US"/>
              </w:rPr>
            </w:pPr>
            <w:r w:rsidRPr="006B3DB2">
              <w:rPr>
                <w:rFonts w:cs="Arial"/>
                <w:color w:val="000000"/>
                <w:szCs w:val="18"/>
                <w:lang w:eastAsia="ru-RU" w:bidi="en-US"/>
              </w:rPr>
              <w:t>2</w:t>
            </w:r>
            <w:r w:rsidRPr="006B3DB2">
              <w:rPr>
                <w:rFonts w:cs="Arial"/>
                <w:color w:val="000000"/>
                <w:szCs w:val="18"/>
                <w:lang w:val="uz-Cyrl-UZ" w:eastAsia="ru-RU" w:bidi="en-US"/>
              </w:rPr>
              <w:t>8</w:t>
            </w:r>
            <w:r w:rsidRPr="006B3DB2">
              <w:rPr>
                <w:rFonts w:cs="Arial"/>
                <w:color w:val="000000"/>
                <w:szCs w:val="18"/>
                <w:lang w:eastAsia="ru-RU" w:bidi="en-US"/>
              </w:rPr>
              <w:t>,</w:t>
            </w:r>
            <w:r w:rsidRPr="006B3DB2">
              <w:rPr>
                <w:rFonts w:cs="Arial"/>
                <w:color w:val="000000"/>
                <w:szCs w:val="18"/>
                <w:lang w:val="uz-Cyrl-UZ" w:eastAsia="ru-RU" w:bidi="en-US"/>
              </w:rPr>
              <w:t>20</w:t>
            </w:r>
          </w:p>
        </w:tc>
        <w:tc>
          <w:tcPr>
            <w:tcW w:w="979" w:type="dxa"/>
            <w:tcBorders>
              <w:top w:val="single" w:sz="4" w:space="0" w:color="auto"/>
              <w:bottom w:val="single" w:sz="4" w:space="0" w:color="auto"/>
            </w:tcBorders>
            <w:vAlign w:val="center"/>
          </w:tcPr>
          <w:p w14:paraId="6CD595AE" w14:textId="77777777" w:rsidR="006B3DB2" w:rsidRPr="006B3DB2" w:rsidRDefault="006B3DB2" w:rsidP="00F6157A">
            <w:pPr>
              <w:widowControl w:val="0"/>
              <w:autoSpaceDE w:val="0"/>
              <w:autoSpaceDN w:val="0"/>
              <w:spacing w:line="240" w:lineRule="auto"/>
              <w:ind w:right="11"/>
              <w:jc w:val="center"/>
              <w:rPr>
                <w:rFonts w:cs="Arial"/>
                <w:color w:val="000000"/>
                <w:szCs w:val="18"/>
                <w:lang w:val="uz-Cyrl-UZ" w:eastAsia="ru-RU" w:bidi="en-US"/>
              </w:rPr>
            </w:pPr>
            <w:r w:rsidRPr="006B3DB2">
              <w:rPr>
                <w:rFonts w:cs="Arial"/>
                <w:color w:val="000000"/>
                <w:szCs w:val="18"/>
                <w:lang w:val="uz-Cyrl-UZ" w:eastAsia="ru-RU" w:bidi="en-US"/>
              </w:rPr>
              <w:t>41,86</w:t>
            </w:r>
          </w:p>
        </w:tc>
        <w:tc>
          <w:tcPr>
            <w:tcW w:w="979" w:type="dxa"/>
            <w:tcBorders>
              <w:top w:val="single" w:sz="4" w:space="0" w:color="auto"/>
              <w:bottom w:val="single" w:sz="4" w:space="0" w:color="auto"/>
            </w:tcBorders>
            <w:vAlign w:val="center"/>
          </w:tcPr>
          <w:p w14:paraId="58DC2A4C" w14:textId="77777777" w:rsidR="006B3DB2" w:rsidRPr="006B3DB2" w:rsidRDefault="006B3DB2" w:rsidP="00F6157A">
            <w:pPr>
              <w:widowControl w:val="0"/>
              <w:autoSpaceDE w:val="0"/>
              <w:autoSpaceDN w:val="0"/>
              <w:spacing w:line="240" w:lineRule="auto"/>
              <w:ind w:right="11"/>
              <w:jc w:val="center"/>
              <w:rPr>
                <w:rFonts w:cs="Arial"/>
                <w:color w:val="000000"/>
                <w:szCs w:val="18"/>
                <w:lang w:eastAsia="ru-RU" w:bidi="en-US"/>
              </w:rPr>
            </w:pPr>
            <w:r w:rsidRPr="006B3DB2">
              <w:rPr>
                <w:rFonts w:cs="Arial"/>
                <w:color w:val="000000"/>
                <w:szCs w:val="18"/>
                <w:lang w:val="uz-Cyrl-UZ" w:eastAsia="ru-RU" w:bidi="en-US"/>
              </w:rPr>
              <w:t>46,91</w:t>
            </w:r>
          </w:p>
        </w:tc>
        <w:tc>
          <w:tcPr>
            <w:tcW w:w="987" w:type="dxa"/>
            <w:tcBorders>
              <w:top w:val="single" w:sz="4" w:space="0" w:color="auto"/>
              <w:bottom w:val="single" w:sz="4" w:space="0" w:color="auto"/>
            </w:tcBorders>
            <w:vAlign w:val="center"/>
          </w:tcPr>
          <w:p w14:paraId="114F89A4" w14:textId="77777777" w:rsidR="006B3DB2" w:rsidRPr="006B3DB2" w:rsidRDefault="006B3DB2" w:rsidP="00F6157A">
            <w:pPr>
              <w:widowControl w:val="0"/>
              <w:autoSpaceDE w:val="0"/>
              <w:autoSpaceDN w:val="0"/>
              <w:spacing w:line="240" w:lineRule="auto"/>
              <w:ind w:right="11"/>
              <w:jc w:val="center"/>
              <w:rPr>
                <w:rFonts w:cs="Arial"/>
                <w:color w:val="000000"/>
                <w:szCs w:val="18"/>
                <w:lang w:eastAsia="ru-RU" w:bidi="en-US"/>
              </w:rPr>
            </w:pPr>
            <w:r w:rsidRPr="006B3DB2">
              <w:rPr>
                <w:rFonts w:cs="Arial"/>
                <w:color w:val="000000"/>
                <w:szCs w:val="18"/>
                <w:lang w:val="uz-Cyrl-UZ" w:eastAsia="ru-RU" w:bidi="en-US"/>
              </w:rPr>
              <w:t>53,08</w:t>
            </w:r>
          </w:p>
        </w:tc>
        <w:tc>
          <w:tcPr>
            <w:tcW w:w="926" w:type="dxa"/>
            <w:tcBorders>
              <w:top w:val="single" w:sz="4" w:space="0" w:color="auto"/>
              <w:bottom w:val="single" w:sz="4" w:space="0" w:color="auto"/>
            </w:tcBorders>
            <w:vAlign w:val="center"/>
          </w:tcPr>
          <w:p w14:paraId="33601EDD" w14:textId="77777777" w:rsidR="006B3DB2" w:rsidRPr="006B3DB2" w:rsidRDefault="006B3DB2" w:rsidP="00F6157A">
            <w:pPr>
              <w:widowControl w:val="0"/>
              <w:autoSpaceDE w:val="0"/>
              <w:autoSpaceDN w:val="0"/>
              <w:spacing w:line="240" w:lineRule="auto"/>
              <w:ind w:right="11"/>
              <w:jc w:val="center"/>
              <w:rPr>
                <w:rFonts w:cs="Arial"/>
                <w:color w:val="000000"/>
                <w:szCs w:val="18"/>
                <w:lang w:eastAsia="ru-RU" w:bidi="en-US"/>
              </w:rPr>
            </w:pPr>
            <w:r w:rsidRPr="006B3DB2">
              <w:rPr>
                <w:rFonts w:cs="Arial"/>
                <w:color w:val="000000"/>
                <w:szCs w:val="18"/>
                <w:lang w:val="uz-Cyrl-UZ" w:eastAsia="ru-RU" w:bidi="en-US"/>
              </w:rPr>
              <w:t>58,69</w:t>
            </w:r>
          </w:p>
        </w:tc>
      </w:tr>
      <w:tr w:rsidR="006B3DB2" w:rsidRPr="006B3DB2" w14:paraId="2F368B47" w14:textId="77777777" w:rsidTr="00DC3172">
        <w:tc>
          <w:tcPr>
            <w:tcW w:w="1638" w:type="dxa"/>
            <w:tcBorders>
              <w:top w:val="single" w:sz="4" w:space="0" w:color="auto"/>
              <w:bottom w:val="single" w:sz="4" w:space="0" w:color="auto"/>
            </w:tcBorders>
            <w:vAlign w:val="center"/>
          </w:tcPr>
          <w:p w14:paraId="78A02C6B" w14:textId="77777777" w:rsidR="006B3DB2" w:rsidRPr="006B3DB2" w:rsidRDefault="006B3DB2" w:rsidP="00F6157A">
            <w:pPr>
              <w:widowControl w:val="0"/>
              <w:autoSpaceDE w:val="0"/>
              <w:autoSpaceDN w:val="0"/>
              <w:spacing w:line="240" w:lineRule="auto"/>
              <w:ind w:right="11"/>
              <w:jc w:val="center"/>
              <w:rPr>
                <w:rFonts w:cs="Arial"/>
                <w:color w:val="000000"/>
                <w:szCs w:val="18"/>
                <w:lang w:val="uz-Cyrl-UZ" w:eastAsia="ru-RU" w:bidi="en-US"/>
              </w:rPr>
            </w:pPr>
            <w:r w:rsidRPr="006B3DB2">
              <w:rPr>
                <w:rFonts w:cs="Arial"/>
                <w:color w:val="000000"/>
                <w:szCs w:val="18"/>
                <w:lang w:val="uz-Cyrl-UZ" w:eastAsia="ru-RU" w:bidi="en-US"/>
              </w:rPr>
              <w:t>30</w:t>
            </w:r>
          </w:p>
        </w:tc>
        <w:tc>
          <w:tcPr>
            <w:tcW w:w="1320" w:type="dxa"/>
            <w:tcBorders>
              <w:top w:val="single" w:sz="4" w:space="0" w:color="auto"/>
              <w:bottom w:val="single" w:sz="4" w:space="0" w:color="auto"/>
            </w:tcBorders>
            <w:vAlign w:val="center"/>
          </w:tcPr>
          <w:p w14:paraId="33D50AC5" w14:textId="77777777" w:rsidR="006B3DB2" w:rsidRPr="006B3DB2" w:rsidRDefault="006B3DB2" w:rsidP="00F6157A">
            <w:pPr>
              <w:widowControl w:val="0"/>
              <w:autoSpaceDE w:val="0"/>
              <w:autoSpaceDN w:val="0"/>
              <w:spacing w:line="240" w:lineRule="auto"/>
              <w:ind w:right="11"/>
              <w:jc w:val="center"/>
              <w:rPr>
                <w:rFonts w:cs="Arial"/>
                <w:color w:val="000000"/>
                <w:szCs w:val="18"/>
                <w:lang w:val="uz-Cyrl-UZ" w:eastAsia="ru-RU" w:bidi="en-US"/>
              </w:rPr>
            </w:pPr>
            <w:r w:rsidRPr="006B3DB2">
              <w:rPr>
                <w:rFonts w:cs="Arial"/>
                <w:color w:val="000000"/>
                <w:szCs w:val="18"/>
                <w:lang w:val="uz-Cyrl-UZ" w:eastAsia="ru-RU" w:bidi="en-US"/>
              </w:rPr>
              <w:t>70</w:t>
            </w:r>
          </w:p>
        </w:tc>
        <w:tc>
          <w:tcPr>
            <w:tcW w:w="974" w:type="dxa"/>
            <w:tcBorders>
              <w:top w:val="single" w:sz="4" w:space="0" w:color="auto"/>
              <w:bottom w:val="single" w:sz="4" w:space="0" w:color="auto"/>
            </w:tcBorders>
            <w:vAlign w:val="center"/>
          </w:tcPr>
          <w:p w14:paraId="0F0AF1D3" w14:textId="77777777" w:rsidR="006B3DB2" w:rsidRPr="006B3DB2" w:rsidRDefault="006B3DB2" w:rsidP="00F6157A">
            <w:pPr>
              <w:widowControl w:val="0"/>
              <w:autoSpaceDE w:val="0"/>
              <w:autoSpaceDN w:val="0"/>
              <w:spacing w:line="240" w:lineRule="auto"/>
              <w:ind w:right="11"/>
              <w:jc w:val="center"/>
              <w:rPr>
                <w:rFonts w:cs="Arial"/>
                <w:color w:val="000000"/>
                <w:szCs w:val="18"/>
                <w:lang w:eastAsia="ru-RU" w:bidi="en-US"/>
              </w:rPr>
            </w:pPr>
            <w:r w:rsidRPr="006B3DB2">
              <w:rPr>
                <w:rFonts w:cs="Arial"/>
                <w:color w:val="000000"/>
                <w:szCs w:val="18"/>
                <w:lang w:eastAsia="ru-RU" w:bidi="en-US"/>
              </w:rPr>
              <w:t>13,46</w:t>
            </w:r>
          </w:p>
        </w:tc>
        <w:tc>
          <w:tcPr>
            <w:tcW w:w="974" w:type="dxa"/>
            <w:tcBorders>
              <w:top w:val="single" w:sz="4" w:space="0" w:color="auto"/>
              <w:bottom w:val="single" w:sz="4" w:space="0" w:color="auto"/>
            </w:tcBorders>
            <w:vAlign w:val="center"/>
          </w:tcPr>
          <w:p w14:paraId="31EBDF5B" w14:textId="77777777" w:rsidR="006B3DB2" w:rsidRPr="006B3DB2" w:rsidRDefault="006B3DB2" w:rsidP="00F6157A">
            <w:pPr>
              <w:widowControl w:val="0"/>
              <w:autoSpaceDE w:val="0"/>
              <w:autoSpaceDN w:val="0"/>
              <w:spacing w:line="240" w:lineRule="auto"/>
              <w:ind w:right="11"/>
              <w:jc w:val="center"/>
              <w:rPr>
                <w:rFonts w:cs="Arial"/>
                <w:color w:val="000000"/>
                <w:szCs w:val="18"/>
                <w:lang w:val="uz-Cyrl-UZ" w:eastAsia="ru-RU" w:bidi="en-US"/>
              </w:rPr>
            </w:pPr>
            <w:r w:rsidRPr="006B3DB2">
              <w:rPr>
                <w:rFonts w:cs="Arial"/>
                <w:color w:val="000000"/>
                <w:szCs w:val="18"/>
                <w:lang w:eastAsia="ru-RU" w:bidi="en-US"/>
              </w:rPr>
              <w:t>2</w:t>
            </w:r>
            <w:r w:rsidRPr="006B3DB2">
              <w:rPr>
                <w:rFonts w:cs="Arial"/>
                <w:color w:val="000000"/>
                <w:szCs w:val="18"/>
                <w:lang w:val="uz-Cyrl-UZ" w:eastAsia="ru-RU" w:bidi="en-US"/>
              </w:rPr>
              <w:t>8</w:t>
            </w:r>
            <w:r w:rsidRPr="006B3DB2">
              <w:rPr>
                <w:rFonts w:cs="Arial"/>
                <w:color w:val="000000"/>
                <w:szCs w:val="18"/>
                <w:lang w:eastAsia="ru-RU" w:bidi="en-US"/>
              </w:rPr>
              <w:t>,</w:t>
            </w:r>
            <w:r w:rsidRPr="006B3DB2">
              <w:rPr>
                <w:rFonts w:cs="Arial"/>
                <w:color w:val="000000"/>
                <w:szCs w:val="18"/>
                <w:lang w:val="uz-Cyrl-UZ" w:eastAsia="ru-RU" w:bidi="en-US"/>
              </w:rPr>
              <w:t>17</w:t>
            </w:r>
          </w:p>
        </w:tc>
        <w:tc>
          <w:tcPr>
            <w:tcW w:w="979" w:type="dxa"/>
            <w:tcBorders>
              <w:top w:val="single" w:sz="4" w:space="0" w:color="auto"/>
              <w:bottom w:val="single" w:sz="4" w:space="0" w:color="auto"/>
            </w:tcBorders>
            <w:vAlign w:val="center"/>
          </w:tcPr>
          <w:p w14:paraId="40E46646" w14:textId="77777777" w:rsidR="006B3DB2" w:rsidRPr="006B3DB2" w:rsidRDefault="006B3DB2" w:rsidP="00F6157A">
            <w:pPr>
              <w:widowControl w:val="0"/>
              <w:autoSpaceDE w:val="0"/>
              <w:autoSpaceDN w:val="0"/>
              <w:spacing w:line="240" w:lineRule="auto"/>
              <w:ind w:right="11"/>
              <w:jc w:val="center"/>
              <w:rPr>
                <w:rFonts w:cs="Arial"/>
                <w:color w:val="000000"/>
                <w:szCs w:val="18"/>
                <w:lang w:val="uz-Cyrl-UZ" w:eastAsia="ru-RU" w:bidi="en-US"/>
              </w:rPr>
            </w:pPr>
            <w:r w:rsidRPr="006B3DB2">
              <w:rPr>
                <w:rFonts w:cs="Arial"/>
                <w:color w:val="000000"/>
                <w:szCs w:val="18"/>
                <w:lang w:val="uz-Cyrl-UZ" w:eastAsia="ru-RU" w:bidi="en-US"/>
              </w:rPr>
              <w:t>40,92</w:t>
            </w:r>
          </w:p>
        </w:tc>
        <w:tc>
          <w:tcPr>
            <w:tcW w:w="979" w:type="dxa"/>
            <w:tcBorders>
              <w:top w:val="single" w:sz="4" w:space="0" w:color="auto"/>
              <w:bottom w:val="single" w:sz="4" w:space="0" w:color="auto"/>
            </w:tcBorders>
            <w:vAlign w:val="center"/>
          </w:tcPr>
          <w:p w14:paraId="15345875" w14:textId="77777777" w:rsidR="006B3DB2" w:rsidRPr="006B3DB2" w:rsidRDefault="006B3DB2" w:rsidP="00F6157A">
            <w:pPr>
              <w:widowControl w:val="0"/>
              <w:autoSpaceDE w:val="0"/>
              <w:autoSpaceDN w:val="0"/>
              <w:spacing w:line="240" w:lineRule="auto"/>
              <w:ind w:right="11"/>
              <w:jc w:val="center"/>
              <w:rPr>
                <w:rFonts w:cs="Arial"/>
                <w:color w:val="000000"/>
                <w:szCs w:val="18"/>
                <w:lang w:eastAsia="ru-RU" w:bidi="en-US"/>
              </w:rPr>
            </w:pPr>
            <w:r w:rsidRPr="006B3DB2">
              <w:rPr>
                <w:rFonts w:cs="Arial"/>
                <w:color w:val="000000"/>
                <w:szCs w:val="18"/>
                <w:lang w:val="uz-Cyrl-UZ" w:eastAsia="ru-RU" w:bidi="en-US"/>
              </w:rPr>
              <w:t>46,86</w:t>
            </w:r>
          </w:p>
        </w:tc>
        <w:tc>
          <w:tcPr>
            <w:tcW w:w="987" w:type="dxa"/>
            <w:tcBorders>
              <w:top w:val="single" w:sz="4" w:space="0" w:color="auto"/>
              <w:bottom w:val="single" w:sz="4" w:space="0" w:color="auto"/>
            </w:tcBorders>
            <w:vAlign w:val="center"/>
          </w:tcPr>
          <w:p w14:paraId="14324FDB" w14:textId="77777777" w:rsidR="006B3DB2" w:rsidRPr="006B3DB2" w:rsidRDefault="006B3DB2" w:rsidP="00F6157A">
            <w:pPr>
              <w:widowControl w:val="0"/>
              <w:autoSpaceDE w:val="0"/>
              <w:autoSpaceDN w:val="0"/>
              <w:spacing w:line="240" w:lineRule="auto"/>
              <w:ind w:right="11"/>
              <w:jc w:val="center"/>
              <w:rPr>
                <w:rFonts w:cs="Arial"/>
                <w:color w:val="000000"/>
                <w:szCs w:val="18"/>
                <w:lang w:eastAsia="ru-RU" w:bidi="en-US"/>
              </w:rPr>
            </w:pPr>
            <w:r w:rsidRPr="006B3DB2">
              <w:rPr>
                <w:rFonts w:cs="Arial"/>
                <w:color w:val="000000"/>
                <w:szCs w:val="18"/>
                <w:lang w:val="uz-Cyrl-UZ" w:eastAsia="ru-RU" w:bidi="en-US"/>
              </w:rPr>
              <w:t>53,01</w:t>
            </w:r>
          </w:p>
        </w:tc>
        <w:tc>
          <w:tcPr>
            <w:tcW w:w="926" w:type="dxa"/>
            <w:tcBorders>
              <w:top w:val="single" w:sz="4" w:space="0" w:color="auto"/>
              <w:bottom w:val="single" w:sz="4" w:space="0" w:color="auto"/>
            </w:tcBorders>
            <w:vAlign w:val="center"/>
          </w:tcPr>
          <w:p w14:paraId="692E45BE" w14:textId="77777777" w:rsidR="006B3DB2" w:rsidRPr="006B3DB2" w:rsidRDefault="006B3DB2" w:rsidP="00F6157A">
            <w:pPr>
              <w:widowControl w:val="0"/>
              <w:autoSpaceDE w:val="0"/>
              <w:autoSpaceDN w:val="0"/>
              <w:spacing w:line="240" w:lineRule="auto"/>
              <w:ind w:right="11"/>
              <w:jc w:val="center"/>
              <w:rPr>
                <w:rFonts w:cs="Arial"/>
                <w:color w:val="000000"/>
                <w:szCs w:val="18"/>
                <w:lang w:eastAsia="ru-RU" w:bidi="en-US"/>
              </w:rPr>
            </w:pPr>
            <w:r w:rsidRPr="006B3DB2">
              <w:rPr>
                <w:rFonts w:cs="Arial"/>
                <w:color w:val="000000"/>
                <w:szCs w:val="18"/>
                <w:lang w:val="uz-Cyrl-UZ" w:eastAsia="ru-RU" w:bidi="en-US"/>
              </w:rPr>
              <w:t>58,65</w:t>
            </w:r>
          </w:p>
        </w:tc>
      </w:tr>
      <w:tr w:rsidR="006B3DB2" w:rsidRPr="006B3DB2" w14:paraId="2AA1F777" w14:textId="77777777" w:rsidTr="00DC3172">
        <w:tc>
          <w:tcPr>
            <w:tcW w:w="1638" w:type="dxa"/>
            <w:tcBorders>
              <w:top w:val="single" w:sz="4" w:space="0" w:color="auto"/>
              <w:bottom w:val="single" w:sz="4" w:space="0" w:color="auto"/>
            </w:tcBorders>
            <w:vAlign w:val="center"/>
          </w:tcPr>
          <w:p w14:paraId="5A89E2EE"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25</w:t>
            </w:r>
          </w:p>
        </w:tc>
        <w:tc>
          <w:tcPr>
            <w:tcW w:w="1320" w:type="dxa"/>
            <w:tcBorders>
              <w:top w:val="single" w:sz="4" w:space="0" w:color="auto"/>
              <w:bottom w:val="single" w:sz="4" w:space="0" w:color="auto"/>
            </w:tcBorders>
            <w:vAlign w:val="center"/>
          </w:tcPr>
          <w:p w14:paraId="76D3B0E1"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75</w:t>
            </w:r>
          </w:p>
        </w:tc>
        <w:tc>
          <w:tcPr>
            <w:tcW w:w="974" w:type="dxa"/>
            <w:tcBorders>
              <w:top w:val="single" w:sz="4" w:space="0" w:color="auto"/>
              <w:bottom w:val="single" w:sz="4" w:space="0" w:color="auto"/>
            </w:tcBorders>
            <w:vAlign w:val="center"/>
          </w:tcPr>
          <w:p w14:paraId="3235A193"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13,41</w:t>
            </w:r>
          </w:p>
        </w:tc>
        <w:tc>
          <w:tcPr>
            <w:tcW w:w="974" w:type="dxa"/>
            <w:tcBorders>
              <w:top w:val="single" w:sz="4" w:space="0" w:color="auto"/>
              <w:bottom w:val="single" w:sz="4" w:space="0" w:color="auto"/>
            </w:tcBorders>
            <w:vAlign w:val="center"/>
          </w:tcPr>
          <w:p w14:paraId="4E84455D"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eastAsia="ru-RU" w:bidi="en-US"/>
              </w:rPr>
              <w:t>28,</w:t>
            </w:r>
            <w:r w:rsidRPr="006B3DB2">
              <w:rPr>
                <w:rFonts w:cs="Arial"/>
                <w:szCs w:val="18"/>
                <w:lang w:val="uz-Cyrl-UZ" w:eastAsia="ru-RU" w:bidi="en-US"/>
              </w:rPr>
              <w:t>13</w:t>
            </w:r>
          </w:p>
        </w:tc>
        <w:tc>
          <w:tcPr>
            <w:tcW w:w="979" w:type="dxa"/>
            <w:tcBorders>
              <w:top w:val="single" w:sz="4" w:space="0" w:color="auto"/>
              <w:bottom w:val="single" w:sz="4" w:space="0" w:color="auto"/>
            </w:tcBorders>
            <w:vAlign w:val="center"/>
          </w:tcPr>
          <w:p w14:paraId="4365ED22"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40,79</w:t>
            </w:r>
          </w:p>
        </w:tc>
        <w:tc>
          <w:tcPr>
            <w:tcW w:w="979" w:type="dxa"/>
            <w:tcBorders>
              <w:top w:val="single" w:sz="4" w:space="0" w:color="auto"/>
              <w:bottom w:val="single" w:sz="4" w:space="0" w:color="auto"/>
            </w:tcBorders>
            <w:vAlign w:val="center"/>
          </w:tcPr>
          <w:p w14:paraId="3846FDDB"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46,81</w:t>
            </w:r>
          </w:p>
        </w:tc>
        <w:tc>
          <w:tcPr>
            <w:tcW w:w="987" w:type="dxa"/>
            <w:tcBorders>
              <w:top w:val="single" w:sz="4" w:space="0" w:color="auto"/>
              <w:bottom w:val="single" w:sz="4" w:space="0" w:color="auto"/>
            </w:tcBorders>
            <w:vAlign w:val="center"/>
          </w:tcPr>
          <w:p w14:paraId="16857F7F"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52,95</w:t>
            </w:r>
          </w:p>
        </w:tc>
        <w:tc>
          <w:tcPr>
            <w:tcW w:w="926" w:type="dxa"/>
            <w:tcBorders>
              <w:top w:val="single" w:sz="4" w:space="0" w:color="auto"/>
              <w:bottom w:val="single" w:sz="4" w:space="0" w:color="auto"/>
            </w:tcBorders>
            <w:vAlign w:val="center"/>
          </w:tcPr>
          <w:p w14:paraId="1A78E2D0"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58,59</w:t>
            </w:r>
          </w:p>
        </w:tc>
      </w:tr>
      <w:tr w:rsidR="006B3DB2" w:rsidRPr="006B3DB2" w14:paraId="6EF91893" w14:textId="77777777" w:rsidTr="00DC3172">
        <w:tc>
          <w:tcPr>
            <w:tcW w:w="1638" w:type="dxa"/>
            <w:tcBorders>
              <w:top w:val="single" w:sz="4" w:space="0" w:color="auto"/>
              <w:bottom w:val="single" w:sz="4" w:space="0" w:color="auto"/>
            </w:tcBorders>
            <w:vAlign w:val="center"/>
          </w:tcPr>
          <w:p w14:paraId="229F6906"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20</w:t>
            </w:r>
          </w:p>
        </w:tc>
        <w:tc>
          <w:tcPr>
            <w:tcW w:w="1320" w:type="dxa"/>
            <w:tcBorders>
              <w:top w:val="single" w:sz="4" w:space="0" w:color="auto"/>
              <w:bottom w:val="single" w:sz="4" w:space="0" w:color="auto"/>
            </w:tcBorders>
            <w:vAlign w:val="center"/>
          </w:tcPr>
          <w:p w14:paraId="588CC805"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80</w:t>
            </w:r>
          </w:p>
        </w:tc>
        <w:tc>
          <w:tcPr>
            <w:tcW w:w="974" w:type="dxa"/>
            <w:tcBorders>
              <w:top w:val="single" w:sz="4" w:space="0" w:color="auto"/>
              <w:bottom w:val="single" w:sz="4" w:space="0" w:color="auto"/>
            </w:tcBorders>
            <w:vAlign w:val="center"/>
          </w:tcPr>
          <w:p w14:paraId="2BE2548A"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13,30</w:t>
            </w:r>
          </w:p>
        </w:tc>
        <w:tc>
          <w:tcPr>
            <w:tcW w:w="974" w:type="dxa"/>
            <w:tcBorders>
              <w:top w:val="single" w:sz="4" w:space="0" w:color="auto"/>
              <w:bottom w:val="single" w:sz="4" w:space="0" w:color="auto"/>
            </w:tcBorders>
            <w:vAlign w:val="center"/>
          </w:tcPr>
          <w:p w14:paraId="24D1FB1D"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eastAsia="ru-RU" w:bidi="en-US"/>
              </w:rPr>
              <w:t>28,</w:t>
            </w:r>
            <w:r w:rsidRPr="006B3DB2">
              <w:rPr>
                <w:rFonts w:cs="Arial"/>
                <w:szCs w:val="18"/>
                <w:lang w:val="uz-Cyrl-UZ" w:eastAsia="ru-RU" w:bidi="en-US"/>
              </w:rPr>
              <w:t>07</w:t>
            </w:r>
          </w:p>
        </w:tc>
        <w:tc>
          <w:tcPr>
            <w:tcW w:w="979" w:type="dxa"/>
            <w:tcBorders>
              <w:top w:val="single" w:sz="4" w:space="0" w:color="auto"/>
              <w:bottom w:val="single" w:sz="4" w:space="0" w:color="auto"/>
            </w:tcBorders>
            <w:vAlign w:val="center"/>
          </w:tcPr>
          <w:p w14:paraId="269B5E3B"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40,66</w:t>
            </w:r>
          </w:p>
        </w:tc>
        <w:tc>
          <w:tcPr>
            <w:tcW w:w="979" w:type="dxa"/>
            <w:tcBorders>
              <w:top w:val="single" w:sz="4" w:space="0" w:color="auto"/>
              <w:bottom w:val="single" w:sz="4" w:space="0" w:color="auto"/>
            </w:tcBorders>
            <w:vAlign w:val="center"/>
          </w:tcPr>
          <w:p w14:paraId="317AB6FB"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46,77</w:t>
            </w:r>
          </w:p>
        </w:tc>
        <w:tc>
          <w:tcPr>
            <w:tcW w:w="987" w:type="dxa"/>
            <w:tcBorders>
              <w:top w:val="single" w:sz="4" w:space="0" w:color="auto"/>
              <w:bottom w:val="single" w:sz="4" w:space="0" w:color="auto"/>
            </w:tcBorders>
            <w:vAlign w:val="center"/>
          </w:tcPr>
          <w:p w14:paraId="4BCA81D7"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52,87</w:t>
            </w:r>
          </w:p>
        </w:tc>
        <w:tc>
          <w:tcPr>
            <w:tcW w:w="926" w:type="dxa"/>
            <w:tcBorders>
              <w:top w:val="single" w:sz="4" w:space="0" w:color="auto"/>
              <w:bottom w:val="single" w:sz="4" w:space="0" w:color="auto"/>
            </w:tcBorders>
            <w:vAlign w:val="center"/>
          </w:tcPr>
          <w:p w14:paraId="32E3F9F6"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58,52</w:t>
            </w:r>
          </w:p>
        </w:tc>
      </w:tr>
      <w:tr w:rsidR="006B3DB2" w:rsidRPr="006B3DB2" w14:paraId="666287E3" w14:textId="77777777" w:rsidTr="00DC3172">
        <w:tc>
          <w:tcPr>
            <w:tcW w:w="1638" w:type="dxa"/>
            <w:tcBorders>
              <w:top w:val="single" w:sz="4" w:space="0" w:color="auto"/>
              <w:bottom w:val="single" w:sz="4" w:space="0" w:color="auto"/>
            </w:tcBorders>
            <w:vAlign w:val="center"/>
          </w:tcPr>
          <w:p w14:paraId="6530A0CF"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15</w:t>
            </w:r>
          </w:p>
        </w:tc>
        <w:tc>
          <w:tcPr>
            <w:tcW w:w="1320" w:type="dxa"/>
            <w:tcBorders>
              <w:top w:val="single" w:sz="4" w:space="0" w:color="auto"/>
              <w:bottom w:val="single" w:sz="4" w:space="0" w:color="auto"/>
            </w:tcBorders>
            <w:vAlign w:val="center"/>
          </w:tcPr>
          <w:p w14:paraId="15960423"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85</w:t>
            </w:r>
          </w:p>
        </w:tc>
        <w:tc>
          <w:tcPr>
            <w:tcW w:w="974" w:type="dxa"/>
            <w:tcBorders>
              <w:top w:val="single" w:sz="4" w:space="0" w:color="auto"/>
              <w:bottom w:val="single" w:sz="4" w:space="0" w:color="auto"/>
            </w:tcBorders>
            <w:vAlign w:val="center"/>
          </w:tcPr>
          <w:p w14:paraId="37296B83"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13,22</w:t>
            </w:r>
          </w:p>
        </w:tc>
        <w:tc>
          <w:tcPr>
            <w:tcW w:w="974" w:type="dxa"/>
            <w:tcBorders>
              <w:top w:val="single" w:sz="4" w:space="0" w:color="auto"/>
              <w:bottom w:val="single" w:sz="4" w:space="0" w:color="auto"/>
            </w:tcBorders>
            <w:vAlign w:val="center"/>
          </w:tcPr>
          <w:p w14:paraId="4B0E4E4A"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eastAsia="ru-RU" w:bidi="en-US"/>
              </w:rPr>
              <w:t>2</w:t>
            </w:r>
            <w:r w:rsidRPr="006B3DB2">
              <w:rPr>
                <w:rFonts w:cs="Arial"/>
                <w:szCs w:val="18"/>
                <w:lang w:val="uz-Cyrl-UZ" w:eastAsia="ru-RU" w:bidi="en-US"/>
              </w:rPr>
              <w:t>7</w:t>
            </w:r>
            <w:r w:rsidRPr="006B3DB2">
              <w:rPr>
                <w:rFonts w:cs="Arial"/>
                <w:szCs w:val="18"/>
                <w:lang w:eastAsia="ru-RU" w:bidi="en-US"/>
              </w:rPr>
              <w:t>,</w:t>
            </w:r>
            <w:r w:rsidRPr="006B3DB2">
              <w:rPr>
                <w:rFonts w:cs="Arial"/>
                <w:szCs w:val="18"/>
                <w:lang w:val="uz-Cyrl-UZ" w:eastAsia="ru-RU" w:bidi="en-US"/>
              </w:rPr>
              <w:t>98</w:t>
            </w:r>
          </w:p>
        </w:tc>
        <w:tc>
          <w:tcPr>
            <w:tcW w:w="979" w:type="dxa"/>
            <w:tcBorders>
              <w:top w:val="single" w:sz="4" w:space="0" w:color="auto"/>
              <w:bottom w:val="single" w:sz="4" w:space="0" w:color="auto"/>
            </w:tcBorders>
            <w:vAlign w:val="center"/>
          </w:tcPr>
          <w:p w14:paraId="7EDE5494"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40,50</w:t>
            </w:r>
          </w:p>
        </w:tc>
        <w:tc>
          <w:tcPr>
            <w:tcW w:w="979" w:type="dxa"/>
            <w:tcBorders>
              <w:top w:val="single" w:sz="4" w:space="0" w:color="auto"/>
              <w:bottom w:val="single" w:sz="4" w:space="0" w:color="auto"/>
            </w:tcBorders>
            <w:vAlign w:val="center"/>
          </w:tcPr>
          <w:p w14:paraId="325FC0F4"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46,70</w:t>
            </w:r>
          </w:p>
        </w:tc>
        <w:tc>
          <w:tcPr>
            <w:tcW w:w="987" w:type="dxa"/>
            <w:tcBorders>
              <w:top w:val="single" w:sz="4" w:space="0" w:color="auto"/>
              <w:bottom w:val="single" w:sz="4" w:space="0" w:color="auto"/>
            </w:tcBorders>
            <w:vAlign w:val="center"/>
          </w:tcPr>
          <w:p w14:paraId="1E7A2EFA"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52,76</w:t>
            </w:r>
          </w:p>
        </w:tc>
        <w:tc>
          <w:tcPr>
            <w:tcW w:w="926" w:type="dxa"/>
            <w:tcBorders>
              <w:top w:val="single" w:sz="4" w:space="0" w:color="auto"/>
              <w:bottom w:val="single" w:sz="4" w:space="0" w:color="auto"/>
            </w:tcBorders>
            <w:vAlign w:val="center"/>
          </w:tcPr>
          <w:p w14:paraId="5068FA98"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58,40</w:t>
            </w:r>
          </w:p>
        </w:tc>
      </w:tr>
      <w:tr w:rsidR="006B3DB2" w:rsidRPr="006B3DB2" w14:paraId="202B3752" w14:textId="77777777" w:rsidTr="00DC3172">
        <w:tc>
          <w:tcPr>
            <w:tcW w:w="1638" w:type="dxa"/>
            <w:tcBorders>
              <w:top w:val="single" w:sz="4" w:space="0" w:color="auto"/>
              <w:bottom w:val="single" w:sz="4" w:space="0" w:color="auto"/>
            </w:tcBorders>
            <w:vAlign w:val="center"/>
          </w:tcPr>
          <w:p w14:paraId="6D03F42B"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10</w:t>
            </w:r>
          </w:p>
        </w:tc>
        <w:tc>
          <w:tcPr>
            <w:tcW w:w="1320" w:type="dxa"/>
            <w:tcBorders>
              <w:top w:val="single" w:sz="4" w:space="0" w:color="auto"/>
              <w:bottom w:val="single" w:sz="4" w:space="0" w:color="auto"/>
            </w:tcBorders>
            <w:vAlign w:val="center"/>
          </w:tcPr>
          <w:p w14:paraId="4BBAF441"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90</w:t>
            </w:r>
          </w:p>
        </w:tc>
        <w:tc>
          <w:tcPr>
            <w:tcW w:w="974" w:type="dxa"/>
            <w:tcBorders>
              <w:top w:val="single" w:sz="4" w:space="0" w:color="auto"/>
              <w:bottom w:val="single" w:sz="4" w:space="0" w:color="auto"/>
            </w:tcBorders>
            <w:vAlign w:val="center"/>
          </w:tcPr>
          <w:p w14:paraId="5E394B56"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13,02</w:t>
            </w:r>
          </w:p>
        </w:tc>
        <w:tc>
          <w:tcPr>
            <w:tcW w:w="974" w:type="dxa"/>
            <w:tcBorders>
              <w:top w:val="single" w:sz="4" w:space="0" w:color="auto"/>
              <w:bottom w:val="single" w:sz="4" w:space="0" w:color="auto"/>
            </w:tcBorders>
            <w:vAlign w:val="center"/>
          </w:tcPr>
          <w:p w14:paraId="570C0765"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eastAsia="ru-RU" w:bidi="en-US"/>
              </w:rPr>
              <w:t>27,</w:t>
            </w:r>
            <w:r w:rsidRPr="006B3DB2">
              <w:rPr>
                <w:rFonts w:cs="Arial"/>
                <w:szCs w:val="18"/>
                <w:lang w:val="uz-Cyrl-UZ" w:eastAsia="ru-RU" w:bidi="en-US"/>
              </w:rPr>
              <w:t>90</w:t>
            </w:r>
          </w:p>
        </w:tc>
        <w:tc>
          <w:tcPr>
            <w:tcW w:w="979" w:type="dxa"/>
            <w:tcBorders>
              <w:top w:val="single" w:sz="4" w:space="0" w:color="auto"/>
              <w:bottom w:val="single" w:sz="4" w:space="0" w:color="auto"/>
            </w:tcBorders>
            <w:vAlign w:val="center"/>
          </w:tcPr>
          <w:p w14:paraId="03848FC7" w14:textId="77777777" w:rsidR="006B3DB2" w:rsidRPr="006B3DB2" w:rsidRDefault="006B3DB2" w:rsidP="00F6157A">
            <w:pPr>
              <w:widowControl w:val="0"/>
              <w:autoSpaceDE w:val="0"/>
              <w:autoSpaceDN w:val="0"/>
              <w:spacing w:line="240" w:lineRule="auto"/>
              <w:ind w:right="11"/>
              <w:jc w:val="center"/>
              <w:rPr>
                <w:rFonts w:cs="Arial"/>
                <w:szCs w:val="18"/>
                <w:lang w:val="uz-Cyrl-UZ" w:eastAsia="ru-RU" w:bidi="en-US"/>
              </w:rPr>
            </w:pPr>
            <w:r w:rsidRPr="006B3DB2">
              <w:rPr>
                <w:rFonts w:cs="Arial"/>
                <w:szCs w:val="18"/>
                <w:lang w:val="uz-Cyrl-UZ" w:eastAsia="ru-RU" w:bidi="en-US"/>
              </w:rPr>
              <w:t>40,35</w:t>
            </w:r>
          </w:p>
        </w:tc>
        <w:tc>
          <w:tcPr>
            <w:tcW w:w="979" w:type="dxa"/>
            <w:tcBorders>
              <w:top w:val="single" w:sz="4" w:space="0" w:color="auto"/>
              <w:bottom w:val="single" w:sz="4" w:space="0" w:color="auto"/>
            </w:tcBorders>
            <w:vAlign w:val="center"/>
          </w:tcPr>
          <w:p w14:paraId="0F8C6FDB"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46,63</w:t>
            </w:r>
          </w:p>
        </w:tc>
        <w:tc>
          <w:tcPr>
            <w:tcW w:w="987" w:type="dxa"/>
            <w:tcBorders>
              <w:top w:val="single" w:sz="4" w:space="0" w:color="auto"/>
              <w:bottom w:val="single" w:sz="4" w:space="0" w:color="auto"/>
            </w:tcBorders>
            <w:vAlign w:val="center"/>
          </w:tcPr>
          <w:p w14:paraId="19ABDEA1"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52,67</w:t>
            </w:r>
          </w:p>
        </w:tc>
        <w:tc>
          <w:tcPr>
            <w:tcW w:w="926" w:type="dxa"/>
            <w:tcBorders>
              <w:top w:val="single" w:sz="4" w:space="0" w:color="auto"/>
              <w:bottom w:val="single" w:sz="4" w:space="0" w:color="auto"/>
            </w:tcBorders>
            <w:vAlign w:val="center"/>
          </w:tcPr>
          <w:p w14:paraId="7188978F" w14:textId="77777777" w:rsidR="006B3DB2" w:rsidRPr="006B3DB2" w:rsidRDefault="006B3DB2" w:rsidP="00F6157A">
            <w:pPr>
              <w:widowControl w:val="0"/>
              <w:autoSpaceDE w:val="0"/>
              <w:autoSpaceDN w:val="0"/>
              <w:spacing w:line="240" w:lineRule="auto"/>
              <w:ind w:right="11"/>
              <w:jc w:val="center"/>
              <w:rPr>
                <w:rFonts w:cs="Arial"/>
                <w:szCs w:val="18"/>
                <w:lang w:eastAsia="ru-RU" w:bidi="en-US"/>
              </w:rPr>
            </w:pPr>
            <w:r w:rsidRPr="006B3DB2">
              <w:rPr>
                <w:rFonts w:cs="Arial"/>
                <w:szCs w:val="18"/>
                <w:lang w:eastAsia="ru-RU" w:bidi="en-US"/>
              </w:rPr>
              <w:t>58,32</w:t>
            </w:r>
          </w:p>
        </w:tc>
      </w:tr>
    </w:tbl>
    <w:p w14:paraId="30199C09" w14:textId="5296A55F" w:rsidR="006B3DB2" w:rsidRPr="006B3DB2" w:rsidRDefault="000A33EC" w:rsidP="000A33EC">
      <w:pPr>
        <w:widowControl w:val="0"/>
        <w:autoSpaceDE w:val="0"/>
        <w:autoSpaceDN w:val="0"/>
        <w:spacing w:before="240" w:line="240" w:lineRule="auto"/>
        <w:rPr>
          <w:rFonts w:cs="Arial"/>
          <w:szCs w:val="18"/>
          <w:lang w:bidi="en-US"/>
        </w:rPr>
      </w:pPr>
      <w:r w:rsidRPr="000A33EC">
        <w:rPr>
          <w:rFonts w:cs="Arial"/>
          <w:szCs w:val="18"/>
          <w:lang w:bidi="en-US"/>
        </w:rPr>
        <w:t>The results presented in Table 2 show that the incorporation of limestone waste significantly influences the compressive strength of concrete. An increase in strength is observed at replacement levels up to 60–65</w:t>
      </w:r>
      <w:r w:rsidR="009213BD">
        <w:rPr>
          <w:rFonts w:cs="Arial"/>
          <w:szCs w:val="18"/>
          <w:lang w:bidi="en-US"/>
        </w:rPr>
        <w:t xml:space="preserve"> </w:t>
      </w:r>
      <w:r w:rsidRPr="000A33EC">
        <w:rPr>
          <w:rFonts w:cs="Arial"/>
          <w:szCs w:val="18"/>
          <w:lang w:bidi="en-US"/>
        </w:rPr>
        <w:t>%, indicating improved particle packing and enhanced interaction between the aggregate and cement matrix.</w:t>
      </w:r>
      <w:r>
        <w:rPr>
          <w:rFonts w:cs="Arial"/>
          <w:szCs w:val="18"/>
          <w:lang w:bidi="en-US"/>
        </w:rPr>
        <w:t xml:space="preserve"> </w:t>
      </w:r>
      <w:r w:rsidR="006B3DB2" w:rsidRPr="006B3DB2">
        <w:rPr>
          <w:rFonts w:cs="Arial"/>
          <w:szCs w:val="18"/>
          <w:lang w:bidi="en-US"/>
        </w:rPr>
        <w:t>At the next ages (90, 180, and 360), the solidification period of concrete continued, and the samples of 80</w:t>
      </w:r>
      <w:r w:rsidR="009213BD">
        <w:rPr>
          <w:rFonts w:cs="Arial"/>
          <w:szCs w:val="18"/>
          <w:lang w:bidi="en-US"/>
        </w:rPr>
        <w:t xml:space="preserve"> </w:t>
      </w:r>
      <w:r w:rsidR="006B3DB2" w:rsidRPr="006B3DB2">
        <w:rPr>
          <w:rFonts w:cs="Arial"/>
          <w:szCs w:val="18"/>
          <w:lang w:bidi="en-US"/>
        </w:rPr>
        <w:t>% soda enterprise with small fractional limestone wastes showed strength limits of 46.91, 53.08, and 58.69 MPa. It was found that the strength limit of the soda enterprise, when 90</w:t>
      </w:r>
      <w:r w:rsidR="009213BD">
        <w:rPr>
          <w:rFonts w:cs="Arial"/>
          <w:szCs w:val="18"/>
          <w:lang w:bidi="en-US"/>
        </w:rPr>
        <w:t xml:space="preserve"> </w:t>
      </w:r>
      <w:r w:rsidR="006B3DB2" w:rsidRPr="006B3DB2">
        <w:rPr>
          <w:rFonts w:cs="Arial"/>
          <w:szCs w:val="18"/>
          <w:lang w:bidi="en-US"/>
        </w:rPr>
        <w:t>% and higher volume of small fractional limestone waste is introduced, is lower than the requirements of “GOST 10180-2012-Methods for determining the strength of concrete samples”.</w:t>
      </w:r>
    </w:p>
    <w:p w14:paraId="467A7872" w14:textId="77777777" w:rsidR="00643934" w:rsidRDefault="00643934" w:rsidP="00EA273A">
      <w:pPr>
        <w:pStyle w:val="CETBodytext"/>
        <w:rPr>
          <w:bCs/>
          <w:szCs w:val="18"/>
          <w:lang w:val="en-GB"/>
        </w:rPr>
      </w:pPr>
    </w:p>
    <w:p w14:paraId="640B2627" w14:textId="66C30581" w:rsidR="00E45E76" w:rsidRPr="00E45E76" w:rsidRDefault="00E45E76" w:rsidP="00E45E76">
      <w:pPr>
        <w:pStyle w:val="CETBodytext"/>
        <w:rPr>
          <w:b/>
          <w:sz w:val="20"/>
          <w:lang w:val="en-GB"/>
        </w:rPr>
      </w:pPr>
      <w:r w:rsidRPr="00E45E76">
        <w:rPr>
          <w:b/>
          <w:sz w:val="20"/>
          <w:lang w:val="en-GB"/>
        </w:rPr>
        <w:t>Discussion</w:t>
      </w:r>
    </w:p>
    <w:p w14:paraId="58FB9F6F" w14:textId="785311FD" w:rsidR="00E45E76" w:rsidRPr="00E45E76" w:rsidRDefault="00E45E76" w:rsidP="00E45E76">
      <w:pPr>
        <w:pStyle w:val="CETBodytext"/>
        <w:rPr>
          <w:bCs/>
          <w:szCs w:val="18"/>
          <w:lang w:val="en-GB"/>
        </w:rPr>
      </w:pPr>
      <w:r w:rsidRPr="00E45E76">
        <w:rPr>
          <w:bCs/>
          <w:szCs w:val="18"/>
          <w:lang w:val="en-GB"/>
        </w:rPr>
        <w:t>The experimental results obtained in this study confirm that fine-fraction limestone waste from soda production can be effectively utilized as a coarse aggregate in high-strength concrete. The observed improvement in compressive strength at optimal replacement levels (60–65</w:t>
      </w:r>
      <w:r w:rsidR="009213BD">
        <w:rPr>
          <w:bCs/>
          <w:szCs w:val="18"/>
          <w:lang w:val="en-GB"/>
        </w:rPr>
        <w:t xml:space="preserve"> </w:t>
      </w:r>
      <w:r w:rsidRPr="00E45E76">
        <w:rPr>
          <w:bCs/>
          <w:szCs w:val="18"/>
          <w:lang w:val="en-GB"/>
        </w:rPr>
        <w:t>%) indicates that the material contributes positively to the structural performance of concrete. This behavior can be attributed to the high calcium carbonate content and the favorable interaction between limestone particles and cement hydration products, which enhances the interfacial transition zone and overall microstructure of the composite.</w:t>
      </w:r>
    </w:p>
    <w:p w14:paraId="1743CA05" w14:textId="77777777" w:rsidR="00E45E76" w:rsidRPr="00E45E76" w:rsidRDefault="00E45E76" w:rsidP="00E45E76">
      <w:pPr>
        <w:pStyle w:val="CETBodytext"/>
        <w:rPr>
          <w:bCs/>
          <w:szCs w:val="18"/>
          <w:lang w:val="en-GB"/>
        </w:rPr>
      </w:pPr>
      <w:r w:rsidRPr="00E45E76">
        <w:rPr>
          <w:bCs/>
          <w:szCs w:val="18"/>
          <w:lang w:val="en-GB"/>
        </w:rPr>
        <w:t>These findings are consistent with previous studies reported by Bentz et al. (2016) and Li et al. (2024), which demonstrated that limestone-based materials improve the packing density and promote better bonding within cementitious systems. Similarly, the results align with the work of Lothenbach et al. (2011), who emphasized the role of supplementary materials in optimizing the hydration process and improving the durability of concrete.</w:t>
      </w:r>
    </w:p>
    <w:p w14:paraId="7684D79A" w14:textId="4280589D" w:rsidR="00E45E76" w:rsidRPr="00E45E76" w:rsidRDefault="00E45E76" w:rsidP="00E45E76">
      <w:pPr>
        <w:pStyle w:val="CETBodytext"/>
        <w:rPr>
          <w:bCs/>
          <w:szCs w:val="18"/>
          <w:lang w:val="en-GB"/>
        </w:rPr>
      </w:pPr>
      <w:r w:rsidRPr="00E45E76">
        <w:rPr>
          <w:bCs/>
          <w:szCs w:val="18"/>
          <w:lang w:val="en-GB"/>
        </w:rPr>
        <w:t>From a materials engineering perspective, the existence of an optimal replacement threshold is an important observation. While the incorporation of limestone waste up to 65</w:t>
      </w:r>
      <w:r w:rsidR="009213BD">
        <w:rPr>
          <w:bCs/>
          <w:szCs w:val="18"/>
          <w:lang w:val="en-GB"/>
        </w:rPr>
        <w:t xml:space="preserve"> </w:t>
      </w:r>
      <w:r w:rsidRPr="00E45E76">
        <w:rPr>
          <w:bCs/>
          <w:szCs w:val="18"/>
          <w:lang w:val="en-GB"/>
        </w:rPr>
        <w:t>% enhances strength, further increase beyond this level leads to a gradual decline in performance. This can be explained by the reduction in the proportion of stronger natural aggregates and potential changes in the internal structure of the composite, which negatively affect load-bearing capacity. A similar trend has been reported in studies on alternative aggregates and recycled materials (Siddique and Cachim, 2018).</w:t>
      </w:r>
    </w:p>
    <w:p w14:paraId="5AFCE442" w14:textId="77777777" w:rsidR="00E45E76" w:rsidRPr="00E45E76" w:rsidRDefault="00E45E76" w:rsidP="00E45E76">
      <w:pPr>
        <w:pStyle w:val="CETBodytext"/>
        <w:rPr>
          <w:bCs/>
          <w:szCs w:val="18"/>
          <w:lang w:val="en-GB"/>
        </w:rPr>
      </w:pPr>
      <w:r w:rsidRPr="00E45E76">
        <w:rPr>
          <w:bCs/>
          <w:szCs w:val="18"/>
          <w:lang w:val="en-GB"/>
        </w:rPr>
        <w:t xml:space="preserve">In addition to mechanical performance, the environmental implications of the proposed approach are significant. The reuse of soda industry waste directly contributes to reducing the volume of industrial waste accumulated in disposal sites, thereby mitigating land degradation and environmental pollution. This aligns with the principles of sustainable development and circular economy, as highlighted by Klemeš et al. (2016) and Habert et al. </w:t>
      </w:r>
      <w:r w:rsidRPr="00E45E76">
        <w:rPr>
          <w:bCs/>
          <w:szCs w:val="18"/>
          <w:lang w:val="en-GB"/>
        </w:rPr>
        <w:lastRenderedPageBreak/>
        <w:t>(2020), who emphasized the importance of resource efficiency and waste valorization in modern industrial systems.</w:t>
      </w:r>
    </w:p>
    <w:p w14:paraId="16930BBE" w14:textId="77777777" w:rsidR="00E45E76" w:rsidRPr="00E45E76" w:rsidRDefault="00E45E76" w:rsidP="00E45E76">
      <w:pPr>
        <w:pStyle w:val="CETBodytext"/>
        <w:rPr>
          <w:bCs/>
          <w:szCs w:val="18"/>
          <w:lang w:val="en-GB"/>
        </w:rPr>
      </w:pPr>
      <w:r w:rsidRPr="00E45E76">
        <w:rPr>
          <w:bCs/>
          <w:szCs w:val="18"/>
          <w:lang w:val="en-GB"/>
        </w:rPr>
        <w:t>Furthermore, replacing natural aggregates with industrial waste reduces the demand for raw material extraction, which is associated with high energy consumption and CO</w:t>
      </w:r>
      <w:r w:rsidRPr="00E45E76">
        <w:rPr>
          <w:bCs/>
          <w:szCs w:val="18"/>
          <w:vertAlign w:val="subscript"/>
          <w:lang w:val="en-GB"/>
        </w:rPr>
        <w:t>2</w:t>
      </w:r>
      <w:r w:rsidRPr="00E45E76">
        <w:rPr>
          <w:bCs/>
          <w:szCs w:val="18"/>
          <w:lang w:val="en-GB"/>
        </w:rPr>
        <w:t xml:space="preserve"> emissions (Andrew, 2018; Miller et al., 2016). Therefore, the proposed method not only improves material efficiency but also contributes to lowering the environmental footprint of concrete production.</w:t>
      </w:r>
    </w:p>
    <w:p w14:paraId="67BEF04A" w14:textId="1554A679" w:rsidR="006B3DB2" w:rsidRDefault="00E45E76" w:rsidP="00E45E76">
      <w:pPr>
        <w:pStyle w:val="CETBodytext"/>
        <w:rPr>
          <w:bCs/>
          <w:szCs w:val="18"/>
          <w:lang w:val="en-GB"/>
        </w:rPr>
      </w:pPr>
      <w:r w:rsidRPr="00E45E76">
        <w:rPr>
          <w:bCs/>
          <w:szCs w:val="18"/>
          <w:lang w:val="en-GB"/>
        </w:rPr>
        <w:t>Overall, the results of this study demonstrate that fine-fraction limestone waste can serve as an effective and environmentally sustainable alternative material in concrete production. The integration of such waste into construction practices represents a practical step toward achieving eco-friendly and resource-efficient building technologies. However, further research is required to evaluate long-term durability, environmental impact through life-cycle assessment, and large-scale industrial applicability.</w:t>
      </w:r>
    </w:p>
    <w:p w14:paraId="2BEC2DCC" w14:textId="77777777" w:rsidR="006B3DB2" w:rsidRDefault="006B3DB2" w:rsidP="00EA273A">
      <w:pPr>
        <w:pStyle w:val="CETBodytext"/>
        <w:rPr>
          <w:bCs/>
          <w:szCs w:val="18"/>
          <w:lang w:val="en-GB"/>
        </w:rPr>
      </w:pPr>
    </w:p>
    <w:p w14:paraId="2E48D648" w14:textId="61C2974B" w:rsidR="00E45E76" w:rsidRPr="00E45E76" w:rsidRDefault="00E45E76" w:rsidP="00E45E76">
      <w:pPr>
        <w:pStyle w:val="CETBodytext"/>
        <w:rPr>
          <w:b/>
          <w:szCs w:val="18"/>
          <w:lang w:val="en-GB"/>
        </w:rPr>
      </w:pPr>
      <w:r w:rsidRPr="00E45E76">
        <w:rPr>
          <w:b/>
          <w:szCs w:val="18"/>
          <w:lang w:val="en-GB"/>
        </w:rPr>
        <w:t>Conclusion</w:t>
      </w:r>
    </w:p>
    <w:p w14:paraId="7C2FFB3B" w14:textId="25E60701" w:rsidR="00DC3172" w:rsidRPr="00DC3172" w:rsidRDefault="00DC3172" w:rsidP="00DC3172">
      <w:pPr>
        <w:pStyle w:val="CETBodytext"/>
        <w:rPr>
          <w:bCs/>
          <w:szCs w:val="18"/>
          <w:lang w:val="en-GB"/>
        </w:rPr>
      </w:pPr>
      <w:r w:rsidRPr="00DC3172">
        <w:rPr>
          <w:bCs/>
          <w:szCs w:val="18"/>
          <w:lang w:val="en-GB"/>
        </w:rPr>
        <w:t>The results of this study confirm that fine-fraction limestone waste from soda production possesses a high-quality chemical composition (CaCO</w:t>
      </w:r>
      <w:r w:rsidRPr="00DC3172">
        <w:rPr>
          <w:rFonts w:ascii="Cambria Math" w:hAnsi="Cambria Math" w:cs="Cambria Math"/>
          <w:bCs/>
          <w:szCs w:val="18"/>
          <w:vertAlign w:val="subscript"/>
          <w:lang w:val="en-GB"/>
        </w:rPr>
        <w:t>3</w:t>
      </w:r>
      <w:r w:rsidRPr="00DC3172">
        <w:rPr>
          <w:bCs/>
          <w:szCs w:val="18"/>
          <w:lang w:val="en-GB"/>
        </w:rPr>
        <w:t xml:space="preserve"> </w:t>
      </w:r>
      <w:r w:rsidRPr="00DC3172">
        <w:rPr>
          <w:rFonts w:cs="Arial"/>
          <w:bCs/>
          <w:szCs w:val="18"/>
          <w:lang w:val="en-GB"/>
        </w:rPr>
        <w:t>≈</w:t>
      </w:r>
      <w:r w:rsidRPr="00DC3172">
        <w:rPr>
          <w:bCs/>
          <w:szCs w:val="18"/>
          <w:lang w:val="en-GB"/>
        </w:rPr>
        <w:t>95.5</w:t>
      </w:r>
      <w:r w:rsidR="009213BD">
        <w:rPr>
          <w:bCs/>
          <w:szCs w:val="18"/>
          <w:lang w:val="en-GB"/>
        </w:rPr>
        <w:t xml:space="preserve"> </w:t>
      </w:r>
      <w:r w:rsidRPr="00DC3172">
        <w:rPr>
          <w:bCs/>
          <w:szCs w:val="18"/>
          <w:lang w:val="en-GB"/>
        </w:rPr>
        <w:t>%) and suitable granulometric characteristics for use as a coarse aggregate in concrete. The experimental findings show that the incorporation of this waste at 60</w:t>
      </w:r>
      <w:r w:rsidRPr="00DC3172">
        <w:rPr>
          <w:rFonts w:cs="Arial"/>
          <w:bCs/>
          <w:szCs w:val="18"/>
          <w:lang w:val="en-GB"/>
        </w:rPr>
        <w:t>–</w:t>
      </w:r>
      <w:r w:rsidRPr="00DC3172">
        <w:rPr>
          <w:bCs/>
          <w:szCs w:val="18"/>
          <w:lang w:val="en-GB"/>
        </w:rPr>
        <w:t>65% improves compressive strength, while even at higher replacement levels of up to 90%, the concrete maintains strength values in accordance with GOST requirements.</w:t>
      </w:r>
    </w:p>
    <w:p w14:paraId="5FCED16E" w14:textId="77777777" w:rsidR="00DC3172" w:rsidRPr="00DC3172" w:rsidRDefault="00DC3172" w:rsidP="00DC3172">
      <w:pPr>
        <w:pStyle w:val="CETBodytext"/>
        <w:rPr>
          <w:bCs/>
          <w:szCs w:val="18"/>
          <w:lang w:val="en-GB"/>
        </w:rPr>
      </w:pPr>
      <w:r w:rsidRPr="00DC3172">
        <w:rPr>
          <w:bCs/>
          <w:szCs w:val="18"/>
          <w:lang w:val="en-GB"/>
        </w:rPr>
        <w:t>The obtained results demonstrate that the investigated waste material can be effectively utilized without compromising mechanical performance. From an environmental perspective, its application contributes to reducing industrial waste accumulation and conserving natural resources.</w:t>
      </w:r>
    </w:p>
    <w:p w14:paraId="0C26A8DF" w14:textId="2AC9C57F" w:rsidR="00E45E76" w:rsidRDefault="00DC3172" w:rsidP="00DC3172">
      <w:pPr>
        <w:pStyle w:val="CETBodytext"/>
        <w:rPr>
          <w:bCs/>
          <w:szCs w:val="18"/>
          <w:lang w:val="en-GB"/>
        </w:rPr>
      </w:pPr>
      <w:r w:rsidRPr="00DC3172">
        <w:rPr>
          <w:bCs/>
          <w:szCs w:val="18"/>
          <w:lang w:val="en-GB"/>
        </w:rPr>
        <w:t>Furthermore, the reuse of limestone waste enables the production of value-added construction materials and creates opportunities for the large-scale utilization of industrial waste, supporting the development of sustainable and resource-efficient construction technologies.</w:t>
      </w:r>
    </w:p>
    <w:p w14:paraId="7EDDC9F9" w14:textId="77777777" w:rsidR="009213BD" w:rsidRPr="009213BD" w:rsidRDefault="009213BD" w:rsidP="009213BD">
      <w:pPr>
        <w:pStyle w:val="CETReference"/>
        <w:spacing w:before="0" w:after="0"/>
        <w:rPr>
          <w:b w:val="0"/>
          <w:bCs/>
          <w:sz w:val="16"/>
          <w:szCs w:val="18"/>
        </w:rPr>
      </w:pPr>
    </w:p>
    <w:p w14:paraId="19C4FC68" w14:textId="50D462C4" w:rsidR="004628D2" w:rsidRDefault="00600535" w:rsidP="009213BD">
      <w:pPr>
        <w:pStyle w:val="CETReference"/>
        <w:spacing w:before="0" w:after="0"/>
      </w:pPr>
      <w:r w:rsidRPr="00B57B36">
        <w:t>References</w:t>
      </w:r>
    </w:p>
    <w:p w14:paraId="3B14D2EC" w14:textId="79060D31" w:rsidR="00643934" w:rsidRPr="00643934" w:rsidRDefault="00643934" w:rsidP="009213BD">
      <w:pPr>
        <w:pStyle w:val="CETReference"/>
        <w:spacing w:before="0" w:after="0"/>
        <w:jc w:val="both"/>
        <w:rPr>
          <w:b w:val="0"/>
          <w:bCs/>
        </w:rPr>
      </w:pPr>
      <w:r w:rsidRPr="00643934">
        <w:rPr>
          <w:b w:val="0"/>
          <w:bCs/>
        </w:rPr>
        <w:t>Andrew R.M., 2018, Global CO</w:t>
      </w:r>
      <w:r w:rsidRPr="00643934">
        <w:rPr>
          <w:b w:val="0"/>
          <w:bCs/>
          <w:vertAlign w:val="subscript"/>
        </w:rPr>
        <w:t>2</w:t>
      </w:r>
      <w:r w:rsidRPr="00643934">
        <w:rPr>
          <w:b w:val="0"/>
          <w:bCs/>
        </w:rPr>
        <w:t xml:space="preserve"> emissions from cement production, Earth System Science Data, 10, 195–217. </w:t>
      </w:r>
      <w:hyperlink r:id="rId15" w:history="1">
        <w:r w:rsidRPr="009F7C74">
          <w:rPr>
            <w:rStyle w:val="afffc"/>
            <w:b w:val="0"/>
            <w:bCs/>
          </w:rPr>
          <w:t>https://doi.org/10.5194/essd-10-195-2018</w:t>
        </w:r>
      </w:hyperlink>
      <w:r>
        <w:rPr>
          <w:b w:val="0"/>
          <w:bCs/>
        </w:rPr>
        <w:t xml:space="preserve"> </w:t>
      </w:r>
    </w:p>
    <w:p w14:paraId="087D7B08" w14:textId="588F667E" w:rsidR="00643934" w:rsidRPr="00643934" w:rsidRDefault="00643934" w:rsidP="009213BD">
      <w:pPr>
        <w:pStyle w:val="CETReference"/>
        <w:spacing w:before="0" w:after="0"/>
        <w:jc w:val="both"/>
        <w:rPr>
          <w:b w:val="0"/>
          <w:bCs/>
        </w:rPr>
      </w:pPr>
      <w:r w:rsidRPr="00643934">
        <w:rPr>
          <w:b w:val="0"/>
          <w:bCs/>
        </w:rPr>
        <w:t xml:space="preserve">Bentz D.P., Irassar E.F., Bucher B.E., Weiss W.J., 2016, Limestone fillers in cement and concrete: A multiscale approach, NIST Technical Note, 1896, 1–45. </w:t>
      </w:r>
      <w:hyperlink r:id="rId16" w:history="1">
        <w:r w:rsidRPr="009F7C74">
          <w:rPr>
            <w:rStyle w:val="afffc"/>
            <w:b w:val="0"/>
            <w:bCs/>
          </w:rPr>
          <w:t>https://doi.org/10.6028/NIST.TN.1896</w:t>
        </w:r>
      </w:hyperlink>
      <w:r>
        <w:rPr>
          <w:b w:val="0"/>
          <w:bCs/>
        </w:rPr>
        <w:t xml:space="preserve"> </w:t>
      </w:r>
    </w:p>
    <w:p w14:paraId="14780D11" w14:textId="46216A71" w:rsidR="00643934" w:rsidRPr="00643934" w:rsidRDefault="00643934" w:rsidP="009213BD">
      <w:pPr>
        <w:pStyle w:val="CETReference"/>
        <w:spacing w:before="0" w:after="0"/>
        <w:jc w:val="both"/>
        <w:rPr>
          <w:b w:val="0"/>
          <w:bCs/>
        </w:rPr>
      </w:pPr>
      <w:r w:rsidRPr="00643934">
        <w:rPr>
          <w:b w:val="0"/>
          <w:bCs/>
        </w:rPr>
        <w:t xml:space="preserve">Damtoft J.S., Lukasik J., Herfort D., Sorrentino D., Gartner E.M., 2008, Sustainable development and climate change initiatives, Cement and Concrete Research, 38(2), 115–127. </w:t>
      </w:r>
      <w:hyperlink r:id="rId17" w:history="1">
        <w:r w:rsidRPr="009F7C74">
          <w:rPr>
            <w:rStyle w:val="afffc"/>
            <w:b w:val="0"/>
            <w:bCs/>
          </w:rPr>
          <w:t>https://doi.org/10.1016/j.cemconres.2007.09.008</w:t>
        </w:r>
      </w:hyperlink>
      <w:r>
        <w:rPr>
          <w:b w:val="0"/>
          <w:bCs/>
        </w:rPr>
        <w:t xml:space="preserve"> </w:t>
      </w:r>
    </w:p>
    <w:p w14:paraId="1C0717C5" w14:textId="0C04CB9E" w:rsidR="00643934" w:rsidRPr="00643934" w:rsidRDefault="00643934" w:rsidP="009213BD">
      <w:pPr>
        <w:pStyle w:val="CETReference"/>
        <w:spacing w:before="0" w:after="0"/>
        <w:jc w:val="both"/>
        <w:rPr>
          <w:b w:val="0"/>
          <w:bCs/>
        </w:rPr>
      </w:pPr>
      <w:r w:rsidRPr="00643934">
        <w:rPr>
          <w:b w:val="0"/>
          <w:bCs/>
        </w:rPr>
        <w:t xml:space="preserve">Gartner E., Sui T., 2018, Alternative cement clinkers, Cement and Concrete Research, 114, 27–39. </w:t>
      </w:r>
      <w:hyperlink r:id="rId18" w:history="1">
        <w:r w:rsidRPr="009F7C74">
          <w:rPr>
            <w:rStyle w:val="afffc"/>
            <w:b w:val="0"/>
            <w:bCs/>
          </w:rPr>
          <w:t>https://doi.org/10.1016/j.cemconres.2017.02.002</w:t>
        </w:r>
      </w:hyperlink>
      <w:r>
        <w:rPr>
          <w:b w:val="0"/>
          <w:bCs/>
        </w:rPr>
        <w:t xml:space="preserve"> </w:t>
      </w:r>
    </w:p>
    <w:p w14:paraId="27BA1564" w14:textId="2638AC27" w:rsidR="00643934" w:rsidRPr="00643934" w:rsidRDefault="00643934" w:rsidP="009213BD">
      <w:pPr>
        <w:pStyle w:val="CETReference"/>
        <w:spacing w:before="0" w:after="0"/>
        <w:jc w:val="both"/>
        <w:rPr>
          <w:b w:val="0"/>
          <w:bCs/>
        </w:rPr>
      </w:pPr>
      <w:r w:rsidRPr="00643934">
        <w:rPr>
          <w:b w:val="0"/>
          <w:bCs/>
        </w:rPr>
        <w:t xml:space="preserve">Habert G., Miller S.A., John V.M., Provis J.L., Favier A., Horvath A., Scrivener K.L., 2020, Environmental impacts and decarbonization strategies in the cement and concrete industries, Nature Reviews Earth &amp; Environment, 1, 559–573. </w:t>
      </w:r>
      <w:hyperlink r:id="rId19" w:history="1">
        <w:r w:rsidRPr="009F7C74">
          <w:rPr>
            <w:rStyle w:val="afffc"/>
            <w:b w:val="0"/>
            <w:bCs/>
          </w:rPr>
          <w:t>https://doi.org/10.1038/s43017-020-0093-3</w:t>
        </w:r>
      </w:hyperlink>
      <w:r>
        <w:rPr>
          <w:b w:val="0"/>
          <w:bCs/>
        </w:rPr>
        <w:t xml:space="preserve"> </w:t>
      </w:r>
    </w:p>
    <w:p w14:paraId="25845FA4" w14:textId="6A43C4C7" w:rsidR="00EE281B" w:rsidRDefault="00EE281B" w:rsidP="009213BD">
      <w:pPr>
        <w:pStyle w:val="CETReference"/>
        <w:spacing w:before="0" w:after="0"/>
        <w:jc w:val="both"/>
        <w:rPr>
          <w:b w:val="0"/>
          <w:bCs/>
          <w:color w:val="EE0000"/>
        </w:rPr>
      </w:pPr>
      <w:r w:rsidRPr="00F5507B">
        <w:rPr>
          <w:b w:val="0"/>
          <w:bCs/>
        </w:rPr>
        <w:t xml:space="preserve">Chajec A., 2022, Towards the Cleaner Production of Cementitious Materials with the Synergistic Addition of Granite Powder Waste and Fly Ash, Chemical Engineering Transactions, 94, 289–294. </w:t>
      </w:r>
      <w:hyperlink r:id="rId20" w:history="1">
        <w:r w:rsidRPr="00BA3609">
          <w:rPr>
            <w:rStyle w:val="afffc"/>
            <w:b w:val="0"/>
            <w:bCs/>
          </w:rPr>
          <w:t>https://doi.org/10.3303/CET2294048</w:t>
        </w:r>
      </w:hyperlink>
    </w:p>
    <w:p w14:paraId="10CE332D" w14:textId="592D9262" w:rsidR="00643934" w:rsidRPr="00643934" w:rsidRDefault="00643934" w:rsidP="009213BD">
      <w:pPr>
        <w:pStyle w:val="CETReference"/>
        <w:spacing w:before="0" w:after="0"/>
        <w:jc w:val="both"/>
        <w:rPr>
          <w:b w:val="0"/>
          <w:bCs/>
        </w:rPr>
      </w:pPr>
      <w:r w:rsidRPr="00643934">
        <w:rPr>
          <w:b w:val="0"/>
          <w:bCs/>
        </w:rPr>
        <w:t xml:space="preserve">Li X., Li T., Wu M., 2024, Recent developments on the effects of micro- and nano-limestone materials on cement hydration, Materials, 17(9), 1–18. </w:t>
      </w:r>
      <w:hyperlink r:id="rId21" w:history="1">
        <w:r w:rsidRPr="009F7C74">
          <w:rPr>
            <w:rStyle w:val="afffc"/>
            <w:b w:val="0"/>
            <w:bCs/>
          </w:rPr>
          <w:t>https://doi.org/10.3390/ma17092000</w:t>
        </w:r>
      </w:hyperlink>
      <w:r>
        <w:rPr>
          <w:b w:val="0"/>
          <w:bCs/>
        </w:rPr>
        <w:t xml:space="preserve"> </w:t>
      </w:r>
    </w:p>
    <w:p w14:paraId="5191E5AA" w14:textId="2A344E2D" w:rsidR="00643934" w:rsidRPr="00643934" w:rsidRDefault="00643934" w:rsidP="009213BD">
      <w:pPr>
        <w:pStyle w:val="CETReference"/>
        <w:spacing w:before="0" w:after="0"/>
        <w:jc w:val="both"/>
        <w:rPr>
          <w:b w:val="0"/>
          <w:bCs/>
        </w:rPr>
      </w:pPr>
      <w:r w:rsidRPr="00643934">
        <w:rPr>
          <w:b w:val="0"/>
          <w:bCs/>
        </w:rPr>
        <w:t xml:space="preserve">Lothenbach B., Scrivener K., Hooton R.D., 2011, Supplementary cementitious materials, Cement and Concrete Research, 41(12), 1244–1256. </w:t>
      </w:r>
      <w:hyperlink r:id="rId22" w:history="1">
        <w:r w:rsidRPr="009F7C74">
          <w:rPr>
            <w:rStyle w:val="afffc"/>
            <w:b w:val="0"/>
            <w:bCs/>
          </w:rPr>
          <w:t>https://doi.org/10.1016/j.cemconres.2010.12.001</w:t>
        </w:r>
      </w:hyperlink>
      <w:r>
        <w:rPr>
          <w:b w:val="0"/>
          <w:bCs/>
        </w:rPr>
        <w:t xml:space="preserve"> </w:t>
      </w:r>
    </w:p>
    <w:p w14:paraId="7739116B" w14:textId="461D927E" w:rsidR="00F5507B" w:rsidRDefault="00F5507B" w:rsidP="009213BD">
      <w:pPr>
        <w:pStyle w:val="CETReference"/>
        <w:spacing w:before="0" w:after="0"/>
        <w:jc w:val="both"/>
        <w:rPr>
          <w:b w:val="0"/>
          <w:bCs/>
        </w:rPr>
      </w:pPr>
      <w:r w:rsidRPr="00F5507B">
        <w:rPr>
          <w:b w:val="0"/>
          <w:bCs/>
        </w:rPr>
        <w:t xml:space="preserve">Etxeberria M., Castillo S., 2023, How the Carbonation Treatment of Different Types of Recycled Aggregates Affects the Properties of Concrete, Sustainability, 15(4), 3169. </w:t>
      </w:r>
      <w:hyperlink r:id="rId23" w:history="1">
        <w:r w:rsidRPr="00BA3609">
          <w:rPr>
            <w:rStyle w:val="afffc"/>
            <w:b w:val="0"/>
            <w:bCs/>
          </w:rPr>
          <w:t>https://doi.org/10.3390/su15043169</w:t>
        </w:r>
      </w:hyperlink>
    </w:p>
    <w:p w14:paraId="1DFE4F46" w14:textId="7364A5C9" w:rsidR="00643934" w:rsidRPr="00643934" w:rsidRDefault="00643934" w:rsidP="009213BD">
      <w:pPr>
        <w:pStyle w:val="CETReference"/>
        <w:spacing w:before="0" w:after="0"/>
        <w:jc w:val="both"/>
        <w:rPr>
          <w:b w:val="0"/>
          <w:bCs/>
        </w:rPr>
      </w:pPr>
      <w:r w:rsidRPr="00643934">
        <w:rPr>
          <w:b w:val="0"/>
          <w:bCs/>
        </w:rPr>
        <w:t>Miller S.A., Horvath A., Monteiro P.J.M., 2016, Readily implementable techniques can cut annual CO</w:t>
      </w:r>
      <w:r w:rsidRPr="00643934">
        <w:rPr>
          <w:b w:val="0"/>
          <w:bCs/>
          <w:vertAlign w:val="subscript"/>
        </w:rPr>
        <w:t>2</w:t>
      </w:r>
      <w:r w:rsidRPr="00643934">
        <w:rPr>
          <w:b w:val="0"/>
          <w:bCs/>
        </w:rPr>
        <w:t xml:space="preserve"> emissions from the production of concrete by over 20%, Environmental Research Letters, 11(7), 074029. </w:t>
      </w:r>
      <w:hyperlink r:id="rId24" w:history="1">
        <w:r w:rsidRPr="009F7C74">
          <w:rPr>
            <w:rStyle w:val="afffc"/>
            <w:b w:val="0"/>
            <w:bCs/>
          </w:rPr>
          <w:t>https://doi.org/10.1088/1748-9326/11/7/074029</w:t>
        </w:r>
      </w:hyperlink>
      <w:r>
        <w:rPr>
          <w:b w:val="0"/>
          <w:bCs/>
        </w:rPr>
        <w:t xml:space="preserve"> </w:t>
      </w:r>
    </w:p>
    <w:p w14:paraId="2029CBD9" w14:textId="439837DB" w:rsidR="00F5507B" w:rsidRDefault="00F5507B" w:rsidP="009213BD">
      <w:pPr>
        <w:pStyle w:val="CETReference"/>
        <w:spacing w:before="0" w:after="0"/>
        <w:jc w:val="both"/>
        <w:rPr>
          <w:b w:val="0"/>
          <w:bCs/>
          <w:color w:val="EE0000"/>
        </w:rPr>
      </w:pPr>
      <w:r w:rsidRPr="00F5507B">
        <w:rPr>
          <w:b w:val="0"/>
          <w:bCs/>
        </w:rPr>
        <w:t xml:space="preserve">Shmlls M., Bozsaky D., Horváth T., 2023, The Analysis of Lifecycle and Multi-Criteria Decision-Making for Three-Generation High-Strength Recycled Aggregate Concrete, Chemical Engineering Transactions, 107, 229–234. </w:t>
      </w:r>
      <w:hyperlink r:id="rId25" w:history="1">
        <w:r w:rsidRPr="00BA3609">
          <w:rPr>
            <w:rStyle w:val="afffc"/>
            <w:b w:val="0"/>
            <w:bCs/>
          </w:rPr>
          <w:t>https://doi.org/10.3303/CET23107039</w:t>
        </w:r>
      </w:hyperlink>
    </w:p>
    <w:p w14:paraId="20992B1E" w14:textId="54F6EE88" w:rsidR="00643934" w:rsidRPr="00643934" w:rsidRDefault="00643934" w:rsidP="009213BD">
      <w:pPr>
        <w:pStyle w:val="CETReference"/>
        <w:spacing w:before="0" w:after="0"/>
        <w:jc w:val="both"/>
        <w:rPr>
          <w:b w:val="0"/>
          <w:bCs/>
        </w:rPr>
      </w:pPr>
      <w:r w:rsidRPr="00643934">
        <w:rPr>
          <w:b w:val="0"/>
          <w:bCs/>
        </w:rPr>
        <w:t>Scrivener K.L., John V.M., Gartner E.M., 2018, Eco-efficient cements: Potential, economically viable solutions for a low-CO</w:t>
      </w:r>
      <w:r w:rsidRPr="00643934">
        <w:rPr>
          <w:b w:val="0"/>
          <w:bCs/>
          <w:vertAlign w:val="subscript"/>
        </w:rPr>
        <w:t>2</w:t>
      </w:r>
      <w:r w:rsidRPr="00643934">
        <w:rPr>
          <w:b w:val="0"/>
          <w:bCs/>
        </w:rPr>
        <w:t xml:space="preserve"> cement-based materials industry, Cement and Concrete Research, 114, 2–26. </w:t>
      </w:r>
      <w:hyperlink r:id="rId26" w:history="1">
        <w:r w:rsidRPr="009F7C74">
          <w:rPr>
            <w:rStyle w:val="afffc"/>
            <w:b w:val="0"/>
            <w:bCs/>
          </w:rPr>
          <w:t>https://doi.org/10.1016/j.cemconres.2018.03.015</w:t>
        </w:r>
      </w:hyperlink>
      <w:r>
        <w:rPr>
          <w:b w:val="0"/>
          <w:bCs/>
        </w:rPr>
        <w:t xml:space="preserve"> </w:t>
      </w:r>
    </w:p>
    <w:p w14:paraId="5035B8A7" w14:textId="085238F8" w:rsidR="00F5507B" w:rsidRPr="00F5507B" w:rsidRDefault="00F5507B" w:rsidP="009213BD">
      <w:pPr>
        <w:pStyle w:val="CETReference"/>
        <w:spacing w:before="0" w:after="0"/>
        <w:jc w:val="both"/>
        <w:rPr>
          <w:b w:val="0"/>
          <w:bCs/>
        </w:rPr>
      </w:pPr>
      <w:r w:rsidRPr="00F5507B">
        <w:rPr>
          <w:b w:val="0"/>
          <w:bCs/>
        </w:rPr>
        <w:t xml:space="preserve">Su Y., Yao Y., Wang Y., Zhao X., Li L., Zhang J., 2023, Modification of Recycled Concrete Aggregate and Its Use in Concrete: An Overview of Research Progress, Materials, 16(22), 7144. </w:t>
      </w:r>
      <w:hyperlink r:id="rId27" w:history="1">
        <w:r w:rsidRPr="00F5507B">
          <w:rPr>
            <w:rStyle w:val="afffc"/>
            <w:b w:val="0"/>
            <w:bCs/>
            <w:color w:val="0070C0"/>
          </w:rPr>
          <w:t>https://doi.org/10.3390/ma16227144</w:t>
        </w:r>
      </w:hyperlink>
      <w:r w:rsidRPr="00F5507B">
        <w:rPr>
          <w:b w:val="0"/>
          <w:bCs/>
          <w:color w:val="0070C0"/>
        </w:rPr>
        <w:t xml:space="preserve"> </w:t>
      </w:r>
    </w:p>
    <w:p w14:paraId="3E51CA86" w14:textId="567E8EB6" w:rsidR="00477731" w:rsidRPr="00477731" w:rsidRDefault="00643934" w:rsidP="009213BD">
      <w:pPr>
        <w:pStyle w:val="CETReference"/>
        <w:spacing w:before="0" w:after="0"/>
        <w:jc w:val="both"/>
        <w:rPr>
          <w:b w:val="0"/>
          <w:bCs/>
        </w:rPr>
      </w:pPr>
      <w:r w:rsidRPr="00643934">
        <w:rPr>
          <w:b w:val="0"/>
          <w:bCs/>
        </w:rPr>
        <w:t xml:space="preserve">Siddique R., Cachim P., 2018, Waste and supplementary cementitious materials in concrete: Characterisation, properties and applications, Resources, Conservation and Recycling, 134, 80–100. </w:t>
      </w:r>
      <w:hyperlink r:id="rId28" w:history="1">
        <w:r w:rsidRPr="009F7C74">
          <w:rPr>
            <w:rStyle w:val="afffc"/>
            <w:b w:val="0"/>
            <w:bCs/>
          </w:rPr>
          <w:t>https://doi.org/10.1016/j.resconrec.2018.03.018</w:t>
        </w:r>
      </w:hyperlink>
      <w:r>
        <w:rPr>
          <w:b w:val="0"/>
          <w:bCs/>
        </w:rPr>
        <w:t xml:space="preserve"> </w:t>
      </w:r>
    </w:p>
    <w:sectPr w:rsidR="00477731" w:rsidRPr="00477731"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89A9F" w14:textId="77777777" w:rsidR="00327946" w:rsidRDefault="00327946" w:rsidP="004F5E36">
      <w:r>
        <w:separator/>
      </w:r>
    </w:p>
  </w:endnote>
  <w:endnote w:type="continuationSeparator" w:id="0">
    <w:p w14:paraId="022D9E46" w14:textId="77777777" w:rsidR="00327946" w:rsidRDefault="00327946"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26BB1" w14:textId="77777777" w:rsidR="00327946" w:rsidRDefault="00327946" w:rsidP="004F5E36">
      <w:r>
        <w:separator/>
      </w:r>
    </w:p>
  </w:footnote>
  <w:footnote w:type="continuationSeparator" w:id="0">
    <w:p w14:paraId="03BF6ED1" w14:textId="77777777" w:rsidR="00327946" w:rsidRDefault="00327946"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5F371DB"/>
    <w:multiLevelType w:val="hybridMultilevel"/>
    <w:tmpl w:val="7FD0E3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2"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9"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16882765">
    <w:abstractNumId w:val="11"/>
  </w:num>
  <w:num w:numId="2" w16cid:durableId="1954094313">
    <w:abstractNumId w:val="8"/>
  </w:num>
  <w:num w:numId="3" w16cid:durableId="2001083081">
    <w:abstractNumId w:val="3"/>
  </w:num>
  <w:num w:numId="4" w16cid:durableId="665287687">
    <w:abstractNumId w:val="2"/>
  </w:num>
  <w:num w:numId="5" w16cid:durableId="1763211618">
    <w:abstractNumId w:val="1"/>
  </w:num>
  <w:num w:numId="6" w16cid:durableId="733351894">
    <w:abstractNumId w:val="0"/>
  </w:num>
  <w:num w:numId="7" w16cid:durableId="1265187038">
    <w:abstractNumId w:val="9"/>
  </w:num>
  <w:num w:numId="8" w16cid:durableId="458382672">
    <w:abstractNumId w:val="7"/>
  </w:num>
  <w:num w:numId="9" w16cid:durableId="652636510">
    <w:abstractNumId w:val="6"/>
  </w:num>
  <w:num w:numId="10" w16cid:durableId="1972591888">
    <w:abstractNumId w:val="5"/>
  </w:num>
  <w:num w:numId="11" w16cid:durableId="1179278139">
    <w:abstractNumId w:val="4"/>
  </w:num>
  <w:num w:numId="12" w16cid:durableId="1575509198">
    <w:abstractNumId w:val="18"/>
  </w:num>
  <w:num w:numId="13" w16cid:durableId="695733619">
    <w:abstractNumId w:val="13"/>
  </w:num>
  <w:num w:numId="14" w16cid:durableId="145903400">
    <w:abstractNumId w:val="19"/>
  </w:num>
  <w:num w:numId="15" w16cid:durableId="19162326">
    <w:abstractNumId w:val="21"/>
  </w:num>
  <w:num w:numId="16" w16cid:durableId="1977102699">
    <w:abstractNumId w:val="20"/>
  </w:num>
  <w:num w:numId="17" w16cid:durableId="860774865">
    <w:abstractNumId w:val="12"/>
  </w:num>
  <w:num w:numId="18" w16cid:durableId="313221457">
    <w:abstractNumId w:val="13"/>
    <w:lvlOverride w:ilvl="0">
      <w:startOverride w:val="1"/>
    </w:lvlOverride>
  </w:num>
  <w:num w:numId="19" w16cid:durableId="534971577">
    <w:abstractNumId w:val="17"/>
  </w:num>
  <w:num w:numId="20" w16cid:durableId="1150947773">
    <w:abstractNumId w:val="16"/>
  </w:num>
  <w:num w:numId="21" w16cid:durableId="124660497">
    <w:abstractNumId w:val="15"/>
  </w:num>
  <w:num w:numId="22" w16cid:durableId="2099861471">
    <w:abstractNumId w:val="14"/>
  </w:num>
  <w:num w:numId="23" w16cid:durableId="15224019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3148D"/>
    <w:rsid w:val="00031EEC"/>
    <w:rsid w:val="00051566"/>
    <w:rsid w:val="000562A9"/>
    <w:rsid w:val="000577CE"/>
    <w:rsid w:val="00062A9A"/>
    <w:rsid w:val="00065058"/>
    <w:rsid w:val="00086C39"/>
    <w:rsid w:val="000A03B2"/>
    <w:rsid w:val="000A33EC"/>
    <w:rsid w:val="000D0268"/>
    <w:rsid w:val="000D34BE"/>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A4AF7"/>
    <w:rsid w:val="001B0349"/>
    <w:rsid w:val="001B1E93"/>
    <w:rsid w:val="001B65C1"/>
    <w:rsid w:val="001C260F"/>
    <w:rsid w:val="001C33F1"/>
    <w:rsid w:val="001C684B"/>
    <w:rsid w:val="001D0CFB"/>
    <w:rsid w:val="001D21AF"/>
    <w:rsid w:val="001D53FC"/>
    <w:rsid w:val="001F42A5"/>
    <w:rsid w:val="001F7B9D"/>
    <w:rsid w:val="00201C93"/>
    <w:rsid w:val="002224B4"/>
    <w:rsid w:val="002447EF"/>
    <w:rsid w:val="00251550"/>
    <w:rsid w:val="00263B05"/>
    <w:rsid w:val="0027221A"/>
    <w:rsid w:val="00275B61"/>
    <w:rsid w:val="00280FAF"/>
    <w:rsid w:val="00282656"/>
    <w:rsid w:val="00296B83"/>
    <w:rsid w:val="002B4015"/>
    <w:rsid w:val="002B78CE"/>
    <w:rsid w:val="002C2FB6"/>
    <w:rsid w:val="002E5FA7"/>
    <w:rsid w:val="002F3309"/>
    <w:rsid w:val="003008CE"/>
    <w:rsid w:val="003009B7"/>
    <w:rsid w:val="00300E56"/>
    <w:rsid w:val="0030152C"/>
    <w:rsid w:val="0030469C"/>
    <w:rsid w:val="00321CA6"/>
    <w:rsid w:val="00323763"/>
    <w:rsid w:val="00323C5F"/>
    <w:rsid w:val="00327946"/>
    <w:rsid w:val="00334C09"/>
    <w:rsid w:val="003723D4"/>
    <w:rsid w:val="00381905"/>
    <w:rsid w:val="00384CC8"/>
    <w:rsid w:val="003871FD"/>
    <w:rsid w:val="003A1E30"/>
    <w:rsid w:val="003A2829"/>
    <w:rsid w:val="003A7D1C"/>
    <w:rsid w:val="003B304B"/>
    <w:rsid w:val="003B3146"/>
    <w:rsid w:val="003D1E02"/>
    <w:rsid w:val="003F015E"/>
    <w:rsid w:val="00400414"/>
    <w:rsid w:val="0041446B"/>
    <w:rsid w:val="00426C0B"/>
    <w:rsid w:val="0044071E"/>
    <w:rsid w:val="0044329C"/>
    <w:rsid w:val="00453E24"/>
    <w:rsid w:val="00457456"/>
    <w:rsid w:val="004577FE"/>
    <w:rsid w:val="00457B9C"/>
    <w:rsid w:val="0046164A"/>
    <w:rsid w:val="004628D2"/>
    <w:rsid w:val="00462DCD"/>
    <w:rsid w:val="004648AD"/>
    <w:rsid w:val="004703A9"/>
    <w:rsid w:val="004760DE"/>
    <w:rsid w:val="004763D7"/>
    <w:rsid w:val="00477731"/>
    <w:rsid w:val="004A004E"/>
    <w:rsid w:val="004A24CF"/>
    <w:rsid w:val="004A5E57"/>
    <w:rsid w:val="004C194F"/>
    <w:rsid w:val="004C3D1D"/>
    <w:rsid w:val="004C3D84"/>
    <w:rsid w:val="004C7913"/>
    <w:rsid w:val="004E4DD6"/>
    <w:rsid w:val="004F5E36"/>
    <w:rsid w:val="00507B47"/>
    <w:rsid w:val="00507BEF"/>
    <w:rsid w:val="00507CC9"/>
    <w:rsid w:val="005119A5"/>
    <w:rsid w:val="005278B7"/>
    <w:rsid w:val="00532016"/>
    <w:rsid w:val="005346C8"/>
    <w:rsid w:val="00543E7D"/>
    <w:rsid w:val="00547A68"/>
    <w:rsid w:val="005531C9"/>
    <w:rsid w:val="005578E6"/>
    <w:rsid w:val="00570C43"/>
    <w:rsid w:val="005850B4"/>
    <w:rsid w:val="00592274"/>
    <w:rsid w:val="005B2110"/>
    <w:rsid w:val="005B61E6"/>
    <w:rsid w:val="005C77E1"/>
    <w:rsid w:val="005D668A"/>
    <w:rsid w:val="005D6A2F"/>
    <w:rsid w:val="005E0592"/>
    <w:rsid w:val="005E1A82"/>
    <w:rsid w:val="005E794C"/>
    <w:rsid w:val="005F0A28"/>
    <w:rsid w:val="005F0E5E"/>
    <w:rsid w:val="00600535"/>
    <w:rsid w:val="00610CD6"/>
    <w:rsid w:val="00620DEE"/>
    <w:rsid w:val="00621F92"/>
    <w:rsid w:val="0062280A"/>
    <w:rsid w:val="006231E1"/>
    <w:rsid w:val="00625639"/>
    <w:rsid w:val="00631B33"/>
    <w:rsid w:val="0064184D"/>
    <w:rsid w:val="006422CC"/>
    <w:rsid w:val="00643934"/>
    <w:rsid w:val="00651D18"/>
    <w:rsid w:val="00660E3E"/>
    <w:rsid w:val="00662E74"/>
    <w:rsid w:val="00664F9F"/>
    <w:rsid w:val="00680C23"/>
    <w:rsid w:val="00683E23"/>
    <w:rsid w:val="00693766"/>
    <w:rsid w:val="006A3281"/>
    <w:rsid w:val="006B3DB2"/>
    <w:rsid w:val="006B4888"/>
    <w:rsid w:val="006C2E45"/>
    <w:rsid w:val="006C359C"/>
    <w:rsid w:val="006C5579"/>
    <w:rsid w:val="006D6E8B"/>
    <w:rsid w:val="006D7209"/>
    <w:rsid w:val="006E737D"/>
    <w:rsid w:val="00707DD1"/>
    <w:rsid w:val="00713973"/>
    <w:rsid w:val="00720A24"/>
    <w:rsid w:val="00732386"/>
    <w:rsid w:val="0073514D"/>
    <w:rsid w:val="007447F3"/>
    <w:rsid w:val="0075499F"/>
    <w:rsid w:val="007617CC"/>
    <w:rsid w:val="00765DF0"/>
    <w:rsid w:val="007661C8"/>
    <w:rsid w:val="0077098D"/>
    <w:rsid w:val="00785BF9"/>
    <w:rsid w:val="007931FA"/>
    <w:rsid w:val="007A4861"/>
    <w:rsid w:val="007A7BBA"/>
    <w:rsid w:val="007B0C50"/>
    <w:rsid w:val="007B48F9"/>
    <w:rsid w:val="007C1A43"/>
    <w:rsid w:val="007D0951"/>
    <w:rsid w:val="007F27C8"/>
    <w:rsid w:val="0080013E"/>
    <w:rsid w:val="00813288"/>
    <w:rsid w:val="008168FC"/>
    <w:rsid w:val="00830996"/>
    <w:rsid w:val="008314D7"/>
    <w:rsid w:val="008345F1"/>
    <w:rsid w:val="00865B07"/>
    <w:rsid w:val="008667EA"/>
    <w:rsid w:val="0087637F"/>
    <w:rsid w:val="00880399"/>
    <w:rsid w:val="00892AD5"/>
    <w:rsid w:val="008A1512"/>
    <w:rsid w:val="008A2D86"/>
    <w:rsid w:val="008A5736"/>
    <w:rsid w:val="008D32B9"/>
    <w:rsid w:val="008D433B"/>
    <w:rsid w:val="008D4A16"/>
    <w:rsid w:val="008E209A"/>
    <w:rsid w:val="008E45BC"/>
    <w:rsid w:val="008E566E"/>
    <w:rsid w:val="0090161A"/>
    <w:rsid w:val="00901EB6"/>
    <w:rsid w:val="00903FDA"/>
    <w:rsid w:val="009041F8"/>
    <w:rsid w:val="00904C62"/>
    <w:rsid w:val="009213BD"/>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B041A"/>
    <w:rsid w:val="009C37C3"/>
    <w:rsid w:val="009C7C86"/>
    <w:rsid w:val="009D2FF7"/>
    <w:rsid w:val="009D34BA"/>
    <w:rsid w:val="009E7884"/>
    <w:rsid w:val="009E788A"/>
    <w:rsid w:val="009F0E08"/>
    <w:rsid w:val="00A079AE"/>
    <w:rsid w:val="00A1763D"/>
    <w:rsid w:val="00A17CEC"/>
    <w:rsid w:val="00A26CBB"/>
    <w:rsid w:val="00A27EF0"/>
    <w:rsid w:val="00A3158B"/>
    <w:rsid w:val="00A42361"/>
    <w:rsid w:val="00A50B20"/>
    <w:rsid w:val="00A51390"/>
    <w:rsid w:val="00A60D13"/>
    <w:rsid w:val="00A7223D"/>
    <w:rsid w:val="00A72745"/>
    <w:rsid w:val="00A76EFC"/>
    <w:rsid w:val="00A87D50"/>
    <w:rsid w:val="00A91010"/>
    <w:rsid w:val="00A97F29"/>
    <w:rsid w:val="00AA702E"/>
    <w:rsid w:val="00AA7D26"/>
    <w:rsid w:val="00AB0964"/>
    <w:rsid w:val="00AB5011"/>
    <w:rsid w:val="00AC7368"/>
    <w:rsid w:val="00AD0278"/>
    <w:rsid w:val="00AD16B9"/>
    <w:rsid w:val="00AE377D"/>
    <w:rsid w:val="00AF0EBA"/>
    <w:rsid w:val="00B02C8A"/>
    <w:rsid w:val="00B17FBD"/>
    <w:rsid w:val="00B315A6"/>
    <w:rsid w:val="00B31813"/>
    <w:rsid w:val="00B33365"/>
    <w:rsid w:val="00B57B36"/>
    <w:rsid w:val="00B57E6F"/>
    <w:rsid w:val="00B866B6"/>
    <w:rsid w:val="00B8686D"/>
    <w:rsid w:val="00B9052D"/>
    <w:rsid w:val="00B93F69"/>
    <w:rsid w:val="00BB1DDC"/>
    <w:rsid w:val="00BC30C9"/>
    <w:rsid w:val="00BD077D"/>
    <w:rsid w:val="00BE3E58"/>
    <w:rsid w:val="00C01616"/>
    <w:rsid w:val="00C0162B"/>
    <w:rsid w:val="00C068ED"/>
    <w:rsid w:val="00C208E9"/>
    <w:rsid w:val="00C22E0C"/>
    <w:rsid w:val="00C345B1"/>
    <w:rsid w:val="00C40142"/>
    <w:rsid w:val="00C52C3C"/>
    <w:rsid w:val="00C57182"/>
    <w:rsid w:val="00C57863"/>
    <w:rsid w:val="00C640AF"/>
    <w:rsid w:val="00C655FD"/>
    <w:rsid w:val="00C75407"/>
    <w:rsid w:val="00C841C6"/>
    <w:rsid w:val="00C870A8"/>
    <w:rsid w:val="00C94434"/>
    <w:rsid w:val="00CA0D75"/>
    <w:rsid w:val="00CA1C95"/>
    <w:rsid w:val="00CA3D76"/>
    <w:rsid w:val="00CA5A9C"/>
    <w:rsid w:val="00CB2614"/>
    <w:rsid w:val="00CC4C20"/>
    <w:rsid w:val="00CD3517"/>
    <w:rsid w:val="00CD5FE2"/>
    <w:rsid w:val="00CE7C68"/>
    <w:rsid w:val="00D02B4C"/>
    <w:rsid w:val="00D040C4"/>
    <w:rsid w:val="00D20AD1"/>
    <w:rsid w:val="00D2582C"/>
    <w:rsid w:val="00D46B7E"/>
    <w:rsid w:val="00D57C84"/>
    <w:rsid w:val="00D6057D"/>
    <w:rsid w:val="00D71640"/>
    <w:rsid w:val="00D836C5"/>
    <w:rsid w:val="00D84576"/>
    <w:rsid w:val="00DA1399"/>
    <w:rsid w:val="00DA24C6"/>
    <w:rsid w:val="00DA4D7B"/>
    <w:rsid w:val="00DC3172"/>
    <w:rsid w:val="00DD271C"/>
    <w:rsid w:val="00DE264A"/>
    <w:rsid w:val="00DF5072"/>
    <w:rsid w:val="00E02D18"/>
    <w:rsid w:val="00E041E7"/>
    <w:rsid w:val="00E23CA1"/>
    <w:rsid w:val="00E409A8"/>
    <w:rsid w:val="00E45E76"/>
    <w:rsid w:val="00E47D61"/>
    <w:rsid w:val="00E50C12"/>
    <w:rsid w:val="00E65B91"/>
    <w:rsid w:val="00E7209D"/>
    <w:rsid w:val="00E72EAD"/>
    <w:rsid w:val="00E77223"/>
    <w:rsid w:val="00E8528B"/>
    <w:rsid w:val="00E85B94"/>
    <w:rsid w:val="00E978D0"/>
    <w:rsid w:val="00EA273A"/>
    <w:rsid w:val="00EA4613"/>
    <w:rsid w:val="00EA7F91"/>
    <w:rsid w:val="00EB1523"/>
    <w:rsid w:val="00EC0E49"/>
    <w:rsid w:val="00EC101F"/>
    <w:rsid w:val="00EC1D9F"/>
    <w:rsid w:val="00EE0131"/>
    <w:rsid w:val="00EE17B0"/>
    <w:rsid w:val="00EE281B"/>
    <w:rsid w:val="00EF06D9"/>
    <w:rsid w:val="00EF0982"/>
    <w:rsid w:val="00F126A5"/>
    <w:rsid w:val="00F3049E"/>
    <w:rsid w:val="00F30C64"/>
    <w:rsid w:val="00F32BA2"/>
    <w:rsid w:val="00F32CDB"/>
    <w:rsid w:val="00F3348F"/>
    <w:rsid w:val="00F37280"/>
    <w:rsid w:val="00F41EE4"/>
    <w:rsid w:val="00F43826"/>
    <w:rsid w:val="00F5507B"/>
    <w:rsid w:val="00F565FE"/>
    <w:rsid w:val="00F63A70"/>
    <w:rsid w:val="00F63D8C"/>
    <w:rsid w:val="00F7534E"/>
    <w:rsid w:val="00F93EDF"/>
    <w:rsid w:val="00FA1802"/>
    <w:rsid w:val="00FA21D0"/>
    <w:rsid w:val="00FA5F5F"/>
    <w:rsid w:val="00FB730C"/>
    <w:rsid w:val="00FC2695"/>
    <w:rsid w:val="00FC3E03"/>
    <w:rsid w:val="00FC3FC1"/>
    <w:rsid w:val="00FF4C7C"/>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tabs>
        <w:tab w:val="num" w:pos="3240"/>
      </w:tabs>
      <w:spacing w:after="0" w:line="264" w:lineRule="auto"/>
      <w:ind w:left="3240" w:hanging="360"/>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aliases w:val="Абзац вправо-1,List Paragraph1"/>
    <w:basedOn w:val="a1"/>
    <w:link w:val="afffe"/>
    <w:uiPriority w:val="34"/>
    <w:qFormat/>
    <w:rsid w:val="00280FAF"/>
    <w:pPr>
      <w:ind w:left="720"/>
      <w:contextualSpacing/>
    </w:pPr>
  </w:style>
  <w:style w:type="character" w:customStyle="1" w:styleId="gmail-apple-converted-space">
    <w:name w:val="gmail-apple-converted-space"/>
    <w:basedOn w:val="a2"/>
    <w:rsid w:val="00005A19"/>
  </w:style>
  <w:style w:type="character" w:styleId="affff">
    <w:name w:val="Unresolved Mention"/>
    <w:basedOn w:val="a2"/>
    <w:uiPriority w:val="99"/>
    <w:semiHidden/>
    <w:unhideWhenUsed/>
    <w:rsid w:val="00426C0B"/>
    <w:rPr>
      <w:color w:val="605E5C"/>
      <w:shd w:val="clear" w:color="auto" w:fill="E1DFDD"/>
    </w:rPr>
  </w:style>
  <w:style w:type="character" w:customStyle="1" w:styleId="afffe">
    <w:name w:val="Абзац списка Знак"/>
    <w:aliases w:val="Абзац вправо-1 Знак,List Paragraph1 Знак"/>
    <w:link w:val="afffd"/>
    <w:uiPriority w:val="34"/>
    <w:locked/>
    <w:rsid w:val="005578E6"/>
    <w:rPr>
      <w:rFonts w:ascii="Arial" w:eastAsia="Times New Roman" w:hAnsi="Arial" w:cs="Times New Roman"/>
      <w:sz w:val="1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hyperlink" Target="https://doi.org/10.1016/j.cemconres.2017.02.002" TargetMode="External"/><Relationship Id="rId26" Type="http://schemas.openxmlformats.org/officeDocument/2006/relationships/hyperlink" Target="https://doi.org/10.1016/j.cemconres.2018.03.015" TargetMode="External"/><Relationship Id="rId3" Type="http://schemas.openxmlformats.org/officeDocument/2006/relationships/styles" Target="styles.xml"/><Relationship Id="rId21" Type="http://schemas.openxmlformats.org/officeDocument/2006/relationships/hyperlink" Target="https://doi.org/10.3390/ma17092000"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doi.org/10.1016/j.cemconres.2007.09.008" TargetMode="External"/><Relationship Id="rId25" Type="http://schemas.openxmlformats.org/officeDocument/2006/relationships/hyperlink" Target="https://doi.org/10.3303/CET23107039" TargetMode="External"/><Relationship Id="rId2" Type="http://schemas.openxmlformats.org/officeDocument/2006/relationships/numbering" Target="numbering.xml"/><Relationship Id="rId16" Type="http://schemas.openxmlformats.org/officeDocument/2006/relationships/hyperlink" Target="https://doi.org/10.6028/NIST.TN.1896" TargetMode="External"/><Relationship Id="rId20" Type="http://schemas.openxmlformats.org/officeDocument/2006/relationships/hyperlink" Target="https://doi.org/10.3303/CET229404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doi.org/10.1088/1748-9326/11/7/074029" TargetMode="External"/><Relationship Id="rId5" Type="http://schemas.openxmlformats.org/officeDocument/2006/relationships/webSettings" Target="webSettings.xml"/><Relationship Id="rId15" Type="http://schemas.openxmlformats.org/officeDocument/2006/relationships/hyperlink" Target="https://doi.org/10.5194/essd-10-195-2018" TargetMode="External"/><Relationship Id="rId23" Type="http://schemas.openxmlformats.org/officeDocument/2006/relationships/hyperlink" Target="https://doi.org/10.3390/su15043169" TargetMode="External"/><Relationship Id="rId28" Type="http://schemas.openxmlformats.org/officeDocument/2006/relationships/hyperlink" Target="https://doi.org/10.1016/j.resconrec.2018.03.018" TargetMode="External"/><Relationship Id="rId10" Type="http://schemas.openxmlformats.org/officeDocument/2006/relationships/hyperlink" Target="mailto:rajabovs179@gmail.com" TargetMode="External"/><Relationship Id="rId19" Type="http://schemas.openxmlformats.org/officeDocument/2006/relationships/hyperlink" Target="https://doi.org/10.1038/s43017-020-0093-3"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2.xml"/><Relationship Id="rId22" Type="http://schemas.openxmlformats.org/officeDocument/2006/relationships/hyperlink" Target="https://doi.org/10.1016/j.cemconres.2010.12.001" TargetMode="External"/><Relationship Id="rId27" Type="http://schemas.openxmlformats.org/officeDocument/2006/relationships/hyperlink" Target="https://doi.org/10.3390/ma16227144" TargetMode="Externa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Shoxrux\Desktop\&#1086;&#1203;&#1072;&#1082;&#1090;&#1086;&#1096;%20&#1179;&#1091;&#1084;&#1080;.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Shoxrux\Desktop\&#1086;&#1203;&#1072;&#1082;&#1090;&#1086;&#1096;%20&#1179;&#1091;&#1084;&#1080;.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9"/>
    </mc:Choice>
    <mc:Fallback>
      <c:style val="19"/>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manualLayout>
          <c:layoutTarget val="inner"/>
          <c:xMode val="edge"/>
          <c:yMode val="edge"/>
          <c:x val="9.8652558280726332E-2"/>
          <c:y val="4.8350585390309356E-2"/>
          <c:w val="0.90088404567053038"/>
          <c:h val="0.7127122592821965"/>
        </c:manualLayout>
      </c:layout>
      <c:bar3DChart>
        <c:barDir val="col"/>
        <c:grouping val="clustered"/>
        <c:varyColors val="0"/>
        <c:ser>
          <c:idx val="0"/>
          <c:order val="0"/>
          <c:invertIfNegative val="0"/>
          <c:dLbls>
            <c:spPr>
              <a:noFill/>
              <a:ln>
                <a:noFill/>
              </a:ln>
              <a:effectLst/>
            </c:spPr>
            <c:txPr>
              <a:bodyPr wrap="square" lIns="38100" tIns="19050" rIns="38100" bIns="19050" anchor="ctr">
                <a:spAutoFit/>
              </a:bodyPr>
              <a:lstStyle/>
              <a:p>
                <a:pPr>
                  <a:defRPr b="1">
                    <a:solidFill>
                      <a:srgbClr val="EE0000"/>
                    </a:solidFill>
                    <a:latin typeface="Arial" panose="020B0604020202020204" pitchFamily="34" charset="0"/>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Лист3!$E$6:$E$10</c:f>
              <c:strCache>
                <c:ptCount val="5"/>
                <c:pt idx="0">
                  <c:v>25</c:v>
                </c:pt>
                <c:pt idx="1">
                  <c:v>20</c:v>
                </c:pt>
                <c:pt idx="2">
                  <c:v>15</c:v>
                </c:pt>
                <c:pt idx="3">
                  <c:v>10</c:v>
                </c:pt>
                <c:pt idx="4">
                  <c:v>residual</c:v>
                </c:pt>
              </c:strCache>
            </c:strRef>
          </c:cat>
          <c:val>
            <c:numRef>
              <c:f>Лист3!$F$6:$F$10</c:f>
              <c:numCache>
                <c:formatCode>General</c:formatCode>
                <c:ptCount val="5"/>
                <c:pt idx="0">
                  <c:v>0</c:v>
                </c:pt>
                <c:pt idx="1">
                  <c:v>2.2999999999999998</c:v>
                </c:pt>
                <c:pt idx="2">
                  <c:v>44.5</c:v>
                </c:pt>
                <c:pt idx="3">
                  <c:v>47.6</c:v>
                </c:pt>
                <c:pt idx="4">
                  <c:v>5.6</c:v>
                </c:pt>
              </c:numCache>
            </c:numRef>
          </c:val>
          <c:extLst>
            <c:ext xmlns:c16="http://schemas.microsoft.com/office/drawing/2014/chart" uri="{C3380CC4-5D6E-409C-BE32-E72D297353CC}">
              <c16:uniqueId val="{00000000-2372-4613-9EA5-FD9D70965574}"/>
            </c:ext>
          </c:extLst>
        </c:ser>
        <c:dLbls>
          <c:showLegendKey val="0"/>
          <c:showVal val="0"/>
          <c:showCatName val="0"/>
          <c:showSerName val="0"/>
          <c:showPercent val="0"/>
          <c:showBubbleSize val="0"/>
        </c:dLbls>
        <c:gapWidth val="76"/>
        <c:gapDepth val="0"/>
        <c:shape val="box"/>
        <c:axId val="1593326592"/>
        <c:axId val="1626373776"/>
        <c:axId val="0"/>
      </c:bar3DChart>
      <c:catAx>
        <c:axId val="1593326592"/>
        <c:scaling>
          <c:orientation val="minMax"/>
        </c:scaling>
        <c:delete val="0"/>
        <c:axPos val="b"/>
        <c:title>
          <c:tx>
            <c:rich>
              <a:bodyPr/>
              <a:lstStyle/>
              <a:p>
                <a:pPr>
                  <a:defRPr sz="900">
                    <a:latin typeface="Arial" panose="020B0604020202020204" pitchFamily="34" charset="0"/>
                    <a:cs typeface="Arial" panose="020B0604020202020204" pitchFamily="34" charset="0"/>
                  </a:defRPr>
                </a:pPr>
                <a:r>
                  <a:rPr lang="en-US" sz="900">
                    <a:latin typeface="Arial" panose="020B0604020202020204" pitchFamily="34" charset="0"/>
                    <a:cs typeface="Arial" panose="020B0604020202020204" pitchFamily="34" charset="0"/>
                  </a:rPr>
                  <a:t>Size of sieve holes</a:t>
                </a:r>
                <a:r>
                  <a:rPr lang="uz-Cyrl-UZ" sz="900">
                    <a:latin typeface="Arial" panose="020B0604020202020204" pitchFamily="34" charset="0"/>
                    <a:cs typeface="Arial" panose="020B0604020202020204" pitchFamily="34" charset="0"/>
                  </a:rPr>
                  <a:t>. </a:t>
                </a:r>
                <a:r>
                  <a:rPr lang="en-US" sz="900">
                    <a:latin typeface="Arial" panose="020B0604020202020204" pitchFamily="34" charset="0"/>
                    <a:cs typeface="Arial" panose="020B0604020202020204" pitchFamily="34" charset="0"/>
                  </a:rPr>
                  <a:t>mm</a:t>
                </a:r>
                <a:endParaRPr lang="ru-RU" sz="900">
                  <a:latin typeface="Arial" panose="020B0604020202020204" pitchFamily="34" charset="0"/>
                  <a:cs typeface="Arial" panose="020B0604020202020204" pitchFamily="34" charset="0"/>
                </a:endParaRPr>
              </a:p>
            </c:rich>
          </c:tx>
          <c:layout>
            <c:manualLayout>
              <c:xMode val="edge"/>
              <c:yMode val="edge"/>
              <c:x val="0.34090771108371487"/>
              <c:y val="0.90199817486398748"/>
            </c:manualLayout>
          </c:layout>
          <c:overlay val="0"/>
        </c:title>
        <c:numFmt formatCode="General" sourceLinked="0"/>
        <c:majorTickMark val="none"/>
        <c:minorTickMark val="none"/>
        <c:tickLblPos val="nextTo"/>
        <c:txPr>
          <a:bodyPr/>
          <a:lstStyle/>
          <a:p>
            <a:pPr>
              <a:defRPr sz="900" b="1">
                <a:latin typeface="Arial" panose="020B0604020202020204" pitchFamily="34" charset="0"/>
                <a:cs typeface="Arial" panose="020B0604020202020204" pitchFamily="34" charset="0"/>
              </a:defRPr>
            </a:pPr>
            <a:endParaRPr lang="ru-RU"/>
          </a:p>
        </c:txPr>
        <c:crossAx val="1626373776"/>
        <c:crosses val="autoZero"/>
        <c:auto val="1"/>
        <c:lblAlgn val="ctr"/>
        <c:lblOffset val="100"/>
        <c:noMultiLvlLbl val="0"/>
      </c:catAx>
      <c:valAx>
        <c:axId val="1626373776"/>
        <c:scaling>
          <c:orientation val="minMax"/>
        </c:scaling>
        <c:delete val="0"/>
        <c:axPos val="l"/>
        <c:title>
          <c:tx>
            <c:rich>
              <a:bodyPr/>
              <a:lstStyle/>
              <a:p>
                <a:pPr>
                  <a:defRPr sz="1050">
                    <a:latin typeface="Times New Roman" panose="02020603050405020304" pitchFamily="18" charset="0"/>
                    <a:cs typeface="Times New Roman" panose="02020603050405020304" pitchFamily="18" charset="0"/>
                  </a:defRPr>
                </a:pPr>
                <a:r>
                  <a:rPr lang="en-US" sz="900">
                    <a:latin typeface="Arial" panose="020B0604020202020204" pitchFamily="34" charset="0"/>
                    <a:cs typeface="Arial" panose="020B0604020202020204" pitchFamily="34" charset="0"/>
                  </a:rPr>
                  <a:t>Sieve mass % </a:t>
                </a:r>
                <a:endParaRPr lang="ru-RU" sz="900">
                  <a:latin typeface="Arial" panose="020B0604020202020204" pitchFamily="34" charset="0"/>
                  <a:cs typeface="Arial" panose="020B0604020202020204" pitchFamily="34" charset="0"/>
                </a:endParaRPr>
              </a:p>
            </c:rich>
          </c:tx>
          <c:layout>
            <c:manualLayout>
              <c:xMode val="edge"/>
              <c:yMode val="edge"/>
              <c:x val="3.2834212009887434E-4"/>
              <c:y val="0.1690447963667463"/>
            </c:manualLayout>
          </c:layout>
          <c:overlay val="0"/>
        </c:title>
        <c:numFmt formatCode="General" sourceLinked="1"/>
        <c:majorTickMark val="out"/>
        <c:minorTickMark val="none"/>
        <c:tickLblPos val="nextTo"/>
        <c:txPr>
          <a:bodyPr/>
          <a:lstStyle/>
          <a:p>
            <a:pPr>
              <a:defRPr sz="900" b="1">
                <a:latin typeface="Arial" panose="020B0604020202020204" pitchFamily="34" charset="0"/>
                <a:cs typeface="Arial" panose="020B0604020202020204" pitchFamily="34" charset="0"/>
              </a:defRPr>
            </a:pPr>
            <a:endParaRPr lang="ru-RU"/>
          </a:p>
        </c:txPr>
        <c:crossAx val="1593326592"/>
        <c:crosses val="autoZero"/>
        <c:crossBetween val="between"/>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manualLayout>
          <c:layoutTarget val="inner"/>
          <c:xMode val="edge"/>
          <c:yMode val="edge"/>
          <c:x val="7.7948499680783129E-2"/>
          <c:y val="5.8071116906565023E-2"/>
          <c:w val="0.92205150031921679"/>
          <c:h val="0.68624757040505058"/>
        </c:manualLayout>
      </c:layout>
      <c:bar3DChart>
        <c:barDir val="col"/>
        <c:grouping val="clustered"/>
        <c:varyColors val="0"/>
        <c:ser>
          <c:idx val="0"/>
          <c:order val="0"/>
          <c:invertIfNegative val="0"/>
          <c:dLbls>
            <c:spPr>
              <a:noFill/>
              <a:ln>
                <a:noFill/>
              </a:ln>
              <a:effectLst/>
            </c:spPr>
            <c:txPr>
              <a:bodyPr wrap="square" lIns="38100" tIns="19050" rIns="38100" bIns="19050" anchor="ctr">
                <a:spAutoFit/>
              </a:bodyPr>
              <a:lstStyle/>
              <a:p>
                <a:pPr>
                  <a:defRPr sz="1000" b="1">
                    <a:solidFill>
                      <a:srgbClr val="EE0000"/>
                    </a:solidFill>
                    <a:latin typeface="Arial" panose="020B0604020202020204" pitchFamily="34" charset="0"/>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Лист4!$D$8:$D$12</c:f>
              <c:strCache>
                <c:ptCount val="5"/>
                <c:pt idx="0">
                  <c:v>12,5</c:v>
                </c:pt>
                <c:pt idx="1">
                  <c:v>10</c:v>
                </c:pt>
                <c:pt idx="2">
                  <c:v>7,5</c:v>
                </c:pt>
                <c:pt idx="3">
                  <c:v>5</c:v>
                </c:pt>
                <c:pt idx="4">
                  <c:v>resudual</c:v>
                </c:pt>
              </c:strCache>
            </c:strRef>
          </c:cat>
          <c:val>
            <c:numRef>
              <c:f>Лист4!$E$8:$E$12</c:f>
              <c:numCache>
                <c:formatCode>General</c:formatCode>
                <c:ptCount val="5"/>
                <c:pt idx="0">
                  <c:v>0</c:v>
                </c:pt>
                <c:pt idx="1">
                  <c:v>1.9</c:v>
                </c:pt>
                <c:pt idx="2">
                  <c:v>38.700000000000003</c:v>
                </c:pt>
                <c:pt idx="3">
                  <c:v>48.8</c:v>
                </c:pt>
                <c:pt idx="4">
                  <c:v>10.3</c:v>
                </c:pt>
              </c:numCache>
            </c:numRef>
          </c:val>
          <c:extLst>
            <c:ext xmlns:c16="http://schemas.microsoft.com/office/drawing/2014/chart" uri="{C3380CC4-5D6E-409C-BE32-E72D297353CC}">
              <c16:uniqueId val="{00000000-7845-4907-A6A2-A924A0EAA7FC}"/>
            </c:ext>
          </c:extLst>
        </c:ser>
        <c:dLbls>
          <c:showLegendKey val="0"/>
          <c:showVal val="0"/>
          <c:showCatName val="0"/>
          <c:showSerName val="0"/>
          <c:showPercent val="0"/>
          <c:showBubbleSize val="0"/>
        </c:dLbls>
        <c:gapWidth val="52"/>
        <c:gapDepth val="0"/>
        <c:shape val="box"/>
        <c:axId val="1708896416"/>
        <c:axId val="1698733184"/>
        <c:axId val="0"/>
      </c:bar3DChart>
      <c:catAx>
        <c:axId val="1708896416"/>
        <c:scaling>
          <c:orientation val="minMax"/>
        </c:scaling>
        <c:delete val="0"/>
        <c:axPos val="b"/>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Size of sieve holes</a:t>
                </a:r>
                <a:r>
                  <a:rPr lang="uz-Cyrl-UZ">
                    <a:latin typeface="Arial" panose="020B0604020202020204" pitchFamily="34" charset="0"/>
                    <a:cs typeface="Arial" panose="020B0604020202020204" pitchFamily="34" charset="0"/>
                  </a:rPr>
                  <a:t>. </a:t>
                </a:r>
                <a:r>
                  <a:rPr lang="en-US">
                    <a:latin typeface="Arial" panose="020B0604020202020204" pitchFamily="34" charset="0"/>
                    <a:cs typeface="Arial" panose="020B0604020202020204" pitchFamily="34" charset="0"/>
                  </a:rPr>
                  <a:t>mm</a:t>
                </a:r>
                <a:endParaRPr lang="ru-RU">
                  <a:latin typeface="Arial" panose="020B0604020202020204" pitchFamily="34" charset="0"/>
                  <a:cs typeface="Arial" panose="020B0604020202020204" pitchFamily="34" charset="0"/>
                </a:endParaRPr>
              </a:p>
            </c:rich>
          </c:tx>
          <c:layout>
            <c:manualLayout>
              <c:xMode val="edge"/>
              <c:yMode val="edge"/>
              <c:x val="0.32542397802240319"/>
              <c:y val="0.87201163548823912"/>
            </c:manualLayout>
          </c:layout>
          <c:overlay val="0"/>
        </c:title>
        <c:numFmt formatCode="General" sourceLinked="0"/>
        <c:majorTickMark val="none"/>
        <c:minorTickMark val="none"/>
        <c:tickLblPos val="nextTo"/>
        <c:txPr>
          <a:bodyPr/>
          <a:lstStyle/>
          <a:p>
            <a:pPr>
              <a:defRPr b="1">
                <a:latin typeface="Arial" panose="020B0604020202020204" pitchFamily="34" charset="0"/>
                <a:cs typeface="Arial" panose="020B0604020202020204" pitchFamily="34" charset="0"/>
              </a:defRPr>
            </a:pPr>
            <a:endParaRPr lang="ru-RU"/>
          </a:p>
        </c:txPr>
        <c:crossAx val="1698733184"/>
        <c:crosses val="autoZero"/>
        <c:auto val="1"/>
        <c:lblAlgn val="ctr"/>
        <c:lblOffset val="100"/>
        <c:noMultiLvlLbl val="0"/>
      </c:catAx>
      <c:valAx>
        <c:axId val="1698733184"/>
        <c:scaling>
          <c:orientation val="minMax"/>
        </c:scaling>
        <c:delete val="0"/>
        <c:axPos val="l"/>
        <c:title>
          <c:tx>
            <c:rich>
              <a:bodyPr/>
              <a:lstStyle/>
              <a:p>
                <a:pPr>
                  <a:defRPr>
                    <a:latin typeface="Arial" panose="020B0604020202020204" pitchFamily="34" charset="0"/>
                    <a:cs typeface="Arial" panose="020B0604020202020204" pitchFamily="34" charset="0"/>
                  </a:defRPr>
                </a:pPr>
                <a:r>
                  <a:rPr lang="en-US">
                    <a:latin typeface="Arial" panose="020B0604020202020204" pitchFamily="34" charset="0"/>
                    <a:cs typeface="Arial" panose="020B0604020202020204" pitchFamily="34" charset="0"/>
                  </a:rPr>
                  <a:t>Sieve mass % </a:t>
                </a:r>
                <a:endParaRPr lang="ru-RU">
                  <a:latin typeface="Arial" panose="020B0604020202020204" pitchFamily="34" charset="0"/>
                  <a:cs typeface="Arial" panose="020B0604020202020204" pitchFamily="34" charset="0"/>
                </a:endParaRPr>
              </a:p>
            </c:rich>
          </c:tx>
          <c:layout>
            <c:manualLayout>
              <c:xMode val="edge"/>
              <c:yMode val="edge"/>
              <c:x val="1.5369212869009908E-4"/>
              <c:y val="0.21677469263710458"/>
            </c:manualLayout>
          </c:layout>
          <c:overlay val="0"/>
        </c:title>
        <c:numFmt formatCode="General" sourceLinked="1"/>
        <c:majorTickMark val="out"/>
        <c:minorTickMark val="none"/>
        <c:tickLblPos val="nextTo"/>
        <c:txPr>
          <a:bodyPr/>
          <a:lstStyle/>
          <a:p>
            <a:pPr>
              <a:defRPr b="1">
                <a:latin typeface="Arial" panose="020B0604020202020204" pitchFamily="34" charset="0"/>
                <a:cs typeface="Arial" panose="020B0604020202020204" pitchFamily="34" charset="0"/>
              </a:defRPr>
            </a:pPr>
            <a:endParaRPr lang="ru-RU"/>
          </a:p>
        </c:txPr>
        <c:crossAx val="1708896416"/>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6</Pages>
  <Words>3509</Words>
  <Characters>20002</Characters>
  <Application>Microsoft Office Word</Application>
  <DocSecurity>0</DocSecurity>
  <Lines>166</Lines>
  <Paragraphs>46</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Пользователь</cp:lastModifiedBy>
  <cp:revision>10</cp:revision>
  <cp:lastPrinted>2015-05-12T18:31:00Z</cp:lastPrinted>
  <dcterms:created xsi:type="dcterms:W3CDTF">2026-02-10T10:00:00Z</dcterms:created>
  <dcterms:modified xsi:type="dcterms:W3CDTF">2026-05-26T05:09:00Z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