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8787"/>
        <w:tblBorders>
          <w:top w:val="single" w:color="auto" w:sz="4"/>
          <w:left w:val="single" w:color="auto" w:sz="4"/>
          <w:bottom w:val="single" w:color="auto" w:sz="4"/>
          <w:right w:val="single" w:color="auto" w:sz="4"/>
          <w:insideH w:val="single" w:color="auto" w:sz="4"/>
          <w:insideV w:val="single" w:color="auto" w:sz="4"/>
        </w:tblBorders>
      </w:tblPr>
      <w:tblGrid>
        <w:gridCol w:w="6200"/>
        <w:gridCol w:w="2587"/>
      </w:tblGrid>
      <w:tr>
        <w:tc>
          <w:tcPr>
            <w:tcW w:type="dxa" w:w="6200"/>
            <w:tcBorders>
              <w:top w:val="single" w:color="00A550" w:sz="4"/>
              <w:left w:val="single" w:color="00A550" w:sz="4"/>
              <w:bottom w:val="single" w:color="00A550" w:sz="4"/>
              <w:right w:val="none" w:color="FFFFFF" w:sz="0"/>
            </w:tcBorders>
            <w:shd w:fill="00A550" w:val="clear"/>
            <w:tcMar>
              <w:top w:type="dxa" w:w="80"/>
              <w:left w:type="dxa" w:w="120"/>
              <w:bottom w:type="dxa" w:w="80"/>
              <w:right w:type="dxa" w:w="120"/>
            </w:tcMar>
          </w:tcPr>
          <w:p>
            <w:pPr>
              <w:jc w:val="left"/>
            </w:pPr>
            <w:r>
              <w:rPr>
                <w:rFonts w:ascii="Arial" w:cs="Arial" w:eastAsia="Arial" w:hAnsi="Arial"/>
                <w:b/>
                <w:bCs/>
                <w:color w:val="FFFFFF"/>
                <w:sz w:val="20"/>
                <w:szCs w:val="20"/>
              </w:rPr>
              <w:t xml:space="preserve">CHEMICAL ENGINEERING TRANSACTIONS</w:t>
            </w:r>
          </w:p>
          <w:p>
            <w:pPr>
              <w:jc w:val="left"/>
            </w:pPr>
            <w:r>
              <w:rPr>
                <w:rFonts w:ascii="Arial" w:cs="Arial" w:eastAsia="Arial" w:hAnsi="Arial"/>
                <w:color w:val="FFFFFF"/>
                <w:sz w:val="18"/>
                <w:szCs w:val="18"/>
              </w:rPr>
              <w:t xml:space="preserve">VOL. xxx, 2026</w:t>
            </w:r>
          </w:p>
        </w:tc>
        <w:tc>
          <w:tcPr>
            <w:tcW w:type="dxa" w:w="2587"/>
            <w:tcBorders>
              <w:top w:val="single" w:color="00A550" w:sz="4"/>
              <w:left w:val="none" w:color="FFFFFF" w:sz="0"/>
              <w:bottom w:val="single" w:color="00A550" w:sz="4"/>
              <w:right w:val="single" w:color="00A550" w:sz="4"/>
            </w:tcBorders>
            <w:shd w:fill="FFFFFF" w:val="clear"/>
            <w:tcMar>
              <w:top w:type="dxa" w:w="80"/>
              <w:left w:type="dxa" w:w="120"/>
              <w:bottom w:type="dxa" w:w="80"/>
              <w:right w:type="dxa" w:w="120"/>
            </w:tcMar>
          </w:tcPr>
          <w:p>
            <w:pPr>
              <w:jc w:val="left"/>
            </w:pPr>
            <w:r>
              <w:rPr>
                <w:rFonts w:ascii="Arial" w:cs="Arial" w:eastAsia="Arial" w:hAnsi="Arial"/>
                <w:i/>
                <w:iCs/>
                <w:color w:val="1F2D3D"/>
                <w:sz w:val="16"/>
                <w:szCs w:val="16"/>
              </w:rPr>
              <w:t xml:space="preserve">A publication of</w:t>
            </w:r>
          </w:p>
          <w:p>
            <w:pPr>
              <w:jc w:val="left"/>
            </w:pPr>
            <w:r>
              <w:rPr>
                <w:rFonts w:ascii="Arial" w:cs="Arial" w:eastAsia="Arial" w:hAnsi="Arial"/>
                <w:color w:val="1F2D3D"/>
                <w:sz w:val="14"/>
                <w:szCs w:val="14"/>
              </w:rPr>
              <w:t xml:space="preserve">The Italian Association of Chemical Engineering</w:t>
            </w:r>
          </w:p>
          <w:p>
            <w:pPr>
              <w:jc w:val="left"/>
            </w:pPr>
            <w:r>
              <w:rPr>
                <w:rFonts w:ascii="Arial" w:cs="Arial" w:eastAsia="Arial" w:hAnsi="Arial"/>
                <w:color w:val="0070C0"/>
                <w:sz w:val="14"/>
                <w:szCs w:val="14"/>
              </w:rPr>
              <w:t xml:space="preserve">Online at www.cetjournal.it</w:t>
            </w:r>
          </w:p>
        </w:tc>
      </w:tr>
      <w:tr>
        <w:tc>
          <w:tcPr>
            <w:tcW w:type="dxa" w:w="8787"/>
            <w:gridSpan w:val="2"/>
            <w:tcBorders>
              <w:top w:val="none" w:color="FFFFFF" w:sz="0"/>
              <w:left w:val="single" w:color="00A550" w:sz="4"/>
              <w:bottom w:val="single" w:color="00A550" w:sz="4"/>
              <w:right w:val="single" w:color="00A550" w:sz="4"/>
            </w:tcBorders>
            <w:shd w:fill="F2F2F2" w:val="clear"/>
            <w:tcMar>
              <w:top w:type="dxa" w:w="60"/>
              <w:left w:type="dxa" w:w="120"/>
              <w:bottom w:type="dxa" w:w="60"/>
              <w:right w:type="dxa" w:w="120"/>
            </w:tcMar>
          </w:tcPr>
          <w:p>
            <w:pPr>
              <w:jc w:val="left"/>
            </w:pPr>
            <w:r>
              <w:rPr>
                <w:rFonts w:ascii="Arial" w:cs="Arial" w:eastAsia="Arial" w:hAnsi="Arial"/>
                <w:color w:val="1F2D3D"/>
                <w:sz w:val="15"/>
                <w:szCs w:val="15"/>
              </w:rPr>
              <w:t xml:space="preserve">Guest Editors: Flavio Manenti, Botir Usmonov, Alessandro Di Pretoro  Copyright © 2026, AIDIC Servizi S.r.l.  </w:t>
            </w:r>
            <w:r>
              <w:rPr>
                <w:rFonts w:ascii="Arial" w:cs="Arial" w:eastAsia="Arial" w:hAnsi="Arial"/>
                <w:b/>
                <w:bCs/>
                <w:color w:val="1F2D3D"/>
                <w:sz w:val="15"/>
                <w:szCs w:val="15"/>
              </w:rPr>
              <w:t xml:space="preserve">ISBN </w:t>
            </w:r>
            <w:r>
              <w:rPr>
                <w:rFonts w:ascii="Arial" w:cs="Arial" w:eastAsia="Arial" w:hAnsi="Arial"/>
                <w:color w:val="1F2D3D"/>
                <w:sz w:val="15"/>
                <w:szCs w:val="15"/>
              </w:rPr>
              <w:t xml:space="preserve">979-12-81206-xx-x;  </w:t>
            </w:r>
            <w:r>
              <w:rPr>
                <w:rFonts w:ascii="Arial" w:cs="Arial" w:eastAsia="Arial" w:hAnsi="Arial"/>
                <w:b/>
                <w:bCs/>
                <w:color w:val="1F2D3D"/>
                <w:sz w:val="15"/>
                <w:szCs w:val="15"/>
              </w:rPr>
              <w:t xml:space="preserve">ISSN </w:t>
            </w:r>
            <w:r>
              <w:rPr>
                <w:rFonts w:ascii="Arial" w:cs="Arial" w:eastAsia="Arial" w:hAnsi="Arial"/>
                <w:color w:val="1F2D3D"/>
                <w:sz w:val="15"/>
                <w:szCs w:val="15"/>
              </w:rPr>
              <w:t xml:space="preserve">2283-9216</w:t>
            </w:r>
          </w:p>
        </w:tc>
      </w:tr>
    </w:tbl>
    <w:p>
      <w:pPr>
        <w:spacing w:after="120" w:before="240"/>
      </w:pPr>
    </w:p>
    <w:p>
      <w:pPr>
        <w:spacing w:after="120" w:before="120"/>
        <w:jc w:val="center"/>
      </w:pPr>
      <w:r>
        <w:rPr>
          <w:rFonts w:ascii="Arial" w:cs="Arial" w:eastAsia="Arial" w:hAnsi="Arial"/>
          <w:b/>
          <w:bCs/>
          <w:color w:val="1F2D3D"/>
          <w:sz w:val="22"/>
          <w:szCs w:val="22"/>
        </w:rPr>
        <w:t xml:space="preserve">RECLAMATION-BASED TREATMENT OF INDUSTRIAL WASTEWATER USING A MAGNETIC DRUM SEPARATOR</w:t>
      </w:r>
    </w:p>
    <w:p>
      <w:pPr>
        <w:spacing w:after="40" w:before="80"/>
        <w:jc w:val="center"/>
      </w:pPr>
      <w:r>
        <w:rPr>
          <w:rFonts w:ascii="Arial" w:cs="Arial" w:eastAsia="Arial" w:hAnsi="Arial"/>
          <w:color w:val="1F2D3D"/>
          <w:sz w:val="18"/>
          <w:szCs w:val="18"/>
        </w:rPr>
        <w:t xml:space="preserve">Bekmuratova Muqaddam Mirhakim qizi</w:t>
      </w:r>
      <w:r>
        <w:rPr>
          <w:rFonts w:ascii="Arial" w:cs="Arial" w:eastAsia="Arial" w:hAnsi="Arial"/>
          <w:color w:val="1F2D3D"/>
          <w:sz w:val="14"/>
          <w:szCs w:val="14"/>
          <w:vertAlign w:val="superscript"/>
        </w:rPr>
        <w:t xml:space="preserve">a,*</w:t>
      </w:r>
      <w:r>
        <w:rPr>
          <w:rFonts w:ascii="Arial" w:cs="Arial" w:eastAsia="Arial" w:hAnsi="Arial"/>
          <w:color w:val="1F2D3D"/>
          <w:sz w:val="18"/>
          <w:szCs w:val="18"/>
        </w:rPr>
        <w:t xml:space="preserve">, Yusufbekov Nodirbek Rustambekovich</w:t>
      </w:r>
      <w:r>
        <w:rPr>
          <w:rFonts w:ascii="Arial" w:cs="Arial" w:eastAsia="Arial" w:hAnsi="Arial"/>
          <w:color w:val="1F2D3D"/>
          <w:sz w:val="14"/>
          <w:szCs w:val="14"/>
          <w:vertAlign w:val="superscript"/>
        </w:rPr>
        <w:t xml:space="preserve">b</w:t>
      </w:r>
    </w:p>
    <w:p>
      <w:pPr>
        <w:spacing w:after="20" w:before="40"/>
        <w:jc w:val="center"/>
      </w:pPr>
      <w:r>
        <w:rPr>
          <w:rFonts w:ascii="Arial" w:cs="Arial" w:eastAsia="Arial" w:hAnsi="Arial"/>
          <w:color w:val="1F2D3D"/>
          <w:sz w:val="14"/>
          <w:szCs w:val="14"/>
          <w:vertAlign w:val="superscript"/>
        </w:rPr>
        <w:t xml:space="preserve">a</w:t>
      </w:r>
      <w:r>
        <w:rPr>
          <w:rFonts w:ascii="Arial" w:cs="Arial" w:eastAsia="Arial" w:hAnsi="Arial"/>
          <w:i/>
          <w:iCs/>
          <w:color w:val="1F2D3D"/>
          <w:sz w:val="16"/>
          <w:szCs w:val="16"/>
        </w:rPr>
        <w:t xml:space="preserve">Department of “Automation of Production Processes”, Basic Doctoral Studies, Tashkent State Technical University named after Islam Karimov, Tashkent, Uzbekistan</w:t>
      </w:r>
    </w:p>
    <w:p>
      <w:pPr>
        <w:spacing w:after="20" w:before="20"/>
        <w:jc w:val="center"/>
      </w:pPr>
      <w:r>
        <w:rPr>
          <w:rFonts w:ascii="Arial" w:cs="Arial" w:eastAsia="Arial" w:hAnsi="Arial"/>
          <w:color w:val="1F2D3D"/>
          <w:sz w:val="14"/>
          <w:szCs w:val="14"/>
          <w:vertAlign w:val="superscript"/>
        </w:rPr>
        <w:t xml:space="preserve">b</w:t>
      </w:r>
      <w:r>
        <w:rPr>
          <w:rFonts w:ascii="Arial" w:cs="Arial" w:eastAsia="Arial" w:hAnsi="Arial"/>
          <w:i/>
          <w:iCs/>
          <w:color w:val="1F2D3D"/>
          <w:sz w:val="16"/>
          <w:szCs w:val="16"/>
        </w:rPr>
        <w:t xml:space="preserve">Academician of the Uzbekistan Academy of Sciences, Tashkent State Technical University named after Islam Karimov, Tashkent, Uzbekistan</w:t>
      </w:r>
    </w:p>
    <w:p>
      <w:pPr>
        <w:spacing w:after="120" w:before="20"/>
        <w:jc w:val="center"/>
      </w:pPr>
      <w:r>
        <w:rPr>
          <w:rFonts w:ascii="Arial" w:cs="Arial" w:eastAsia="Arial" w:hAnsi="Arial"/>
          <w:color w:val="0070C0"/>
          <w:sz w:val="16"/>
          <w:szCs w:val="16"/>
        </w:rPr>
        <w:t xml:space="preserve">muqaddamphd@gmail.com</w:t>
      </w:r>
    </w:p>
    <w:tbl>
      <w:tblPr>
        <w:tblW w:type="dxa" w:w="8787"/>
        <w:tblBorders>
          <w:top w:val="single" w:color="auto" w:sz="4"/>
          <w:left w:val="single" w:color="auto" w:sz="4"/>
          <w:bottom w:val="single" w:color="auto" w:sz="4"/>
          <w:right w:val="single" w:color="auto" w:sz="4"/>
          <w:insideH w:val="single" w:color="auto" w:sz="4"/>
          <w:insideV w:val="single" w:color="auto" w:sz="4"/>
        </w:tblBorders>
      </w:tblPr>
      <w:tblGrid>
        <w:gridCol w:w="8787"/>
      </w:tblGrid>
      <w:tr>
        <w:tc>
          <w:tcPr>
            <w:tcW w:type="dxa" w:w="8787"/>
            <w:tcBorders>
              <w:top w:val="single" w:color="00A550" w:sz="4"/>
              <w:left w:val="single" w:color="00A550" w:sz="4"/>
              <w:bottom w:val="single" w:color="00A550" w:sz="4"/>
              <w:right w:val="single" w:color="00A550" w:sz="4"/>
            </w:tcBorders>
            <w:shd w:fill="EAF5EC" w:val="clear"/>
            <w:tcMar>
              <w:top w:type="dxa" w:w="100"/>
              <w:left w:type="dxa" w:w="160"/>
              <w:bottom w:type="dxa" w:w="100"/>
              <w:right w:type="dxa" w:w="160"/>
            </w:tcMar>
          </w:tcPr>
          <w:p>
            <w:pPr>
              <w:spacing w:after="80"/>
              <w:jc w:val="both"/>
            </w:pPr>
            <w:r>
              <w:rPr>
                <w:rFonts w:ascii="Arial" w:cs="Arial" w:eastAsia="Arial" w:hAnsi="Arial"/>
                <w:sz w:val="17"/>
                <w:szCs w:val="17"/>
              </w:rPr>
              <w:t xml:space="preserve">This article provides a comprehensive analysis of the scientific and technical foundations, operating principles, and efficiency of a recuperation technology based on a magnetic drum for the treatment of industrial wastewater. Due to modern industrial development, wastewater contains heavy metals, ferromagnetic particles, fine dispersed suspensions, and various chemical pollutants. In many cases, conventional mechanical and chemical treatment methods are economically and technologically inefficient for achieving complete purification. From this perspective, magnetic separation technologies have gained significant scientific and practical importance in recent years. The article describes the structural features of a magnetic drum device, the mechanism of the magnetic field's interaction with particles, and the physical principles of the separation process. In addition, the possibilities of reprocessing the separated particles through a recuperation approach and their use as secondary raw materials are considered. Based on the scientific literature (Gao and Sun, 2019; Zeng and Zheng, 2018), the efficiency of magnetic separation systems is analyzed, showing that in some cases a purification degree of up to 90–97% can be achieved. Furthermore, the energy efficiency, environmental safety, and economic advantages of magnetic drum technology are evaluated. This study contributes to the development of innovative, environmentally sustainable, and resource-efficient approaches to industrial wastewater treatment.</w:t>
            </w:r>
          </w:p>
          <w:p>
            <w:r>
              <w:rPr>
                <w:rFonts w:ascii="Arial" w:cs="Arial" w:eastAsia="Arial" w:hAnsi="Arial"/>
                <w:b/>
                <w:bCs/>
                <w:color w:val="00A550"/>
                <w:sz w:val="17"/>
                <w:szCs w:val="17"/>
              </w:rPr>
              <w:t xml:space="preserve">Keywords: </w:t>
            </w:r>
            <w:r>
              <w:rPr>
                <w:rFonts w:ascii="Arial" w:cs="Arial" w:eastAsia="Arial" w:hAnsi="Arial"/>
                <w:i/>
                <w:iCs/>
                <w:sz w:val="17"/>
                <w:szCs w:val="17"/>
              </w:rPr>
              <w:t xml:space="preserve">magnetic separation, magnetic drum, wastewater treatment, high-gradient magnetic field, ferromagnetic particles, paramagnetic particles, recuperation, resource recovery, environmental technologies, hybrid treatment systems.</w:t>
            </w:r>
          </w:p>
        </w:tc>
      </w:tr>
    </w:tbl>
    <w:p>
      <w:pPr>
        <w:spacing w:after="0" w:before="160"/>
      </w:pPr>
    </w:p>
    <w:p>
      <w:pPr>
        <w:shd w:fill="00A550" w:val="clear"/>
        <w:spacing w:after="80" w:before="160"/>
        <w:ind w:left="80" w:right="80"/>
      </w:pPr>
      <w:r>
        <w:rPr>
          <w:rFonts w:ascii="Arial" w:cs="Arial" w:eastAsia="Arial" w:hAnsi="Arial"/>
          <w:b/>
          <w:bCs/>
          <w:color w:val="FFFFFF"/>
          <w:sz w:val="20"/>
          <w:szCs w:val="20"/>
        </w:rPr>
        <w:t xml:space="preserve">1. Introduction</w:t>
      </w:r>
    </w:p>
    <w:p>
      <w:pPr>
        <w:spacing w:after="60" w:before="60"/>
        <w:jc w:val="both"/>
      </w:pPr>
      <w:r>
        <w:rPr>
          <w:rFonts w:ascii="Arial" w:cs="Arial" w:eastAsia="Arial" w:hAnsi="Arial"/>
          <w:sz w:val="18"/>
          <w:szCs w:val="18"/>
        </w:rPr>
        <w:t xml:space="preserve">The pollution of industrial wastewater is currently one of the major global environmental challenges, and its scale is steadily increasing due to the acceleration of industrialization processes. Worldwide, wastewater generated by industrial enterprises has been found to contain heavy metals, organic compounds, petroleum products, fine dispersed particles, and other toxic components. According to statistical data, a significant portion of industrial wastewater in both developed and developing countries is discharged into natural water bodies without adequate treatment, leading to the degradation of water resources, disruption of ecosystem balance, and adverse effects on human health.</w:t>
      </w:r>
    </w:p>
    <w:p>
      <w:pPr>
        <w:spacing w:after="60" w:before="60"/>
        <w:jc w:val="both"/>
      </w:pPr>
      <w:r>
        <w:rPr>
          <w:rFonts w:ascii="Arial" w:cs="Arial" w:eastAsia="Arial" w:hAnsi="Arial"/>
          <w:sz w:val="18"/>
          <w:szCs w:val="18"/>
        </w:rPr>
        <w:t xml:space="preserve">Recent studies (Crini and Lichtfouse, 2019) indicate that despite their widespread application, conventional wastewater treatment technologies — mechanical (sedimentation, filtration), chemical (coagulation, flocculation), and biological methods — have several limitations in fully treating complex industrial wastewater. In particular, the efficient removal of fine dispersed particles (&lt;50 microns), colloidal systems, and pollutants with magnetic or semi-magnetic properties often presents significant challenges. Moreover, the use of chemical reagents leads to the formation of secondary waste and requires additional treatment stages.</w:t>
      </w:r>
    </w:p>
    <w:p>
      <w:pPr>
        <w:spacing w:after="60" w:before="60"/>
        <w:jc w:val="both"/>
      </w:pPr>
      <w:r>
        <w:rPr>
          <w:rFonts w:ascii="Arial" w:cs="Arial" w:eastAsia="Arial" w:hAnsi="Arial"/>
          <w:sz w:val="18"/>
          <w:szCs w:val="18"/>
        </w:rPr>
        <w:t xml:space="preserve">In this regard, over the past decade, innovative technologies based on physical principles, especially magnetic separation methods, have been widely studied as alternative solutions for wastewater treatment. Magnetic separation technologies enable the selective separation of particles under the influence of a magnetic field, offering advantages such as reagent-free operation, energy efficiency, and environmental safety. In particular, devices based on magnetic drums are capable of ensuring high efficiency in continuous operation mode and enable the reuse of separated materials through a recuperation approach.</w:t>
      </w:r>
    </w:p>
    <w:p>
      <w:pPr>
        <w:spacing w:after="60" w:before="60"/>
        <w:jc w:val="both"/>
      </w:pPr>
      <w:r>
        <w:rPr>
          <w:rFonts w:ascii="Arial" w:cs="Arial" w:eastAsia="Arial" w:hAnsi="Arial"/>
          <w:sz w:val="18"/>
          <w:szCs w:val="18"/>
        </w:rPr>
        <w:t xml:space="preserve">This article analyzes the scientific foundations, operating principles, and reported efficiency of a magnetic drum-based recuperative wastewater treatment technology and provides a comparative assessment with existing conventional methods. The analysis presented in this article is based on a critical review and synthesis of peer-reviewed literature on magnetic separation technology, rather than on original experimental or pilot-scale work; quantitative performance figures reported in Sections 5–9 are values reported by the cited sources and are presented here for comparative discussion. In doing so, the prospects for industrial application as well as the environmental and economic advantages reported for this technology are highlighted.</w:t>
      </w:r>
    </w:p>
    <w:p>
      <w:pPr>
        <w:shd w:fill="00A550" w:val="clear"/>
        <w:spacing w:after="80" w:before="160"/>
        <w:ind w:left="80" w:right="80"/>
      </w:pPr>
      <w:r>
        <w:rPr>
          <w:rFonts w:ascii="Arial" w:cs="Arial" w:eastAsia="Arial" w:hAnsi="Arial"/>
          <w:b/>
          <w:bCs/>
          <w:color w:val="FFFFFF"/>
          <w:sz w:val="20"/>
          <w:szCs w:val="20"/>
        </w:rPr>
        <w:t xml:space="preserve">2. Conventional Technologies</w:t>
      </w:r>
    </w:p>
    <w:p>
      <w:pPr>
        <w:spacing w:after="60" w:before="60"/>
        <w:jc w:val="both"/>
      </w:pPr>
      <w:r>
        <w:rPr>
          <w:rFonts w:ascii="Arial" w:cs="Arial" w:eastAsia="Arial" w:hAnsi="Arial"/>
          <w:sz w:val="18"/>
          <w:szCs w:val="18"/>
        </w:rPr>
        <w:t xml:space="preserve">In scientific studies on industrial wastewater treatment, conventional technologies have long held a primary position. These technologies include mechanical, physicochemical, and biological methods. Mechanical methods, such as filtration and sedimentation, are mainly designed to separate coarse and medium-sized dispersed particles, and their efficiency depends on particle size and density. However, these methods are not sufficiently effective for colloidal systems and fine dispersed particles.</w:t>
      </w:r>
    </w:p>
    <w:p>
      <w:pPr>
        <w:spacing w:after="60" w:before="60"/>
        <w:jc w:val="both"/>
      </w:pPr>
      <w:r>
        <w:rPr>
          <w:rFonts w:ascii="Arial" w:cs="Arial" w:eastAsia="Arial" w:hAnsi="Arial"/>
          <w:sz w:val="18"/>
          <w:szCs w:val="18"/>
        </w:rPr>
        <w:t xml:space="preserve">Membrane-based technologies (ultrafiltration, nanofiltration, and reverse osmosis) provide a high level of purification; however, their main drawbacks include membrane fouling, high operational costs, and significant energy consumption. In addition, these processes generate concentrate (retentate) streams, the treatment or disposal of which creates additional challenges (Crini and Lichtfouse, 2019).</w:t>
      </w:r>
    </w:p>
    <w:p>
      <w:pPr>
        <w:spacing w:after="60" w:before="60"/>
        <w:jc w:val="both"/>
      </w:pPr>
      <w:r>
        <w:rPr>
          <w:rFonts w:ascii="Arial" w:cs="Arial" w:eastAsia="Arial" w:hAnsi="Arial"/>
          <w:sz w:val="18"/>
          <w:szCs w:val="18"/>
        </w:rPr>
        <w:t xml:space="preserve">Chemical methods, particularly coagulation and flocculation processes, are based on combining fine particles in water into larger aggregates to facilitate their settling. Despite their widespread use in industry, these methods are limited by the consumption of chemical reagents, sludge formation, and the potential for secondary pollution. In some cases, the resulting sludge may fall into the category of hazardous waste and requires special disposal approaches.</w:t>
      </w:r>
    </w:p>
    <w:p>
      <w:pPr>
        <w:spacing w:after="60" w:before="60"/>
        <w:jc w:val="both"/>
      </w:pPr>
      <w:r>
        <w:rPr>
          <w:rFonts w:ascii="Arial" w:cs="Arial" w:eastAsia="Arial" w:hAnsi="Arial"/>
          <w:sz w:val="18"/>
          <w:szCs w:val="18"/>
        </w:rPr>
        <w:t xml:space="preserve">Biological treatment methods rely on microorganisms to degrade organic pollutants. These methods are especially effective for treating domestic and certain industrial wastewater. However, biological processes are sensitive to factors such as temperature, pH, and oxygen regime, and their application is limited in wastewater with high concentrations of toxic substances (Doble and Kumar, 2005).</w:t>
      </w:r>
    </w:p>
    <w:p>
      <w:pPr>
        <w:spacing w:after="60" w:before="60"/>
        <w:jc w:val="both"/>
      </w:pPr>
      <w:r>
        <w:rPr>
          <w:rFonts w:ascii="Arial" w:cs="Arial" w:eastAsia="Arial" w:hAnsi="Arial"/>
          <w:sz w:val="18"/>
          <w:szCs w:val="18"/>
        </w:rPr>
        <w:t xml:space="preserve">Overall, analysis of the literature (Crini and Lichtfouse, 2019; US EPA, 2020) shows that, despite their widespread use, conventional wastewater treatment technologies are characterized by high energy consumption, generation of secondary waste, and limitations in the complete removal of complex pollutants. Therefore, in recent years, particular attention has been paid to the development of alternative technologies based on physical principles that are energy-efficient and environmentally safe, including magnetic separation methods.</w:t>
      </w:r>
    </w:p>
    <w:p>
      <w:pPr>
        <w:shd w:fill="00A550" w:val="clear"/>
        <w:spacing w:after="80" w:before="160"/>
        <w:ind w:left="80" w:right="80"/>
      </w:pPr>
      <w:r>
        <w:rPr>
          <w:rFonts w:ascii="Arial" w:cs="Arial" w:eastAsia="Arial" w:hAnsi="Arial"/>
          <w:b/>
          <w:bCs/>
          <w:color w:val="FFFFFF"/>
          <w:sz w:val="20"/>
          <w:szCs w:val="20"/>
        </w:rPr>
        <w:t xml:space="preserve">3. Magnetic Separation Technology</w:t>
      </w:r>
    </w:p>
    <w:p>
      <w:pPr>
        <w:spacing w:after="60" w:before="60"/>
        <w:jc w:val="both"/>
      </w:pPr>
      <w:r>
        <w:rPr>
          <w:rFonts w:ascii="Arial" w:cs="Arial" w:eastAsia="Arial" w:hAnsi="Arial"/>
          <w:sz w:val="18"/>
          <w:szCs w:val="18"/>
        </w:rPr>
        <w:t xml:space="preserve">Magnetic separation technology is an innovative method based on the separation of materials according to their magnetic susceptibility under the influence of physical fields. In this method, ferromagnetic, paramagnetic, and in some cases diamagnetic particles are selectively separated using an external magnetic field. Magnetic separation was initially widely used in mineral processing and mining industries (Oberteuffer, 1974; Kelland, 2014); later, its application expanded to environmental protection and wastewater treatment.</w:t>
      </w:r>
    </w:p>
    <w:p>
      <w:pPr>
        <w:spacing w:after="60" w:before="60"/>
        <w:jc w:val="both"/>
      </w:pPr>
      <w:r>
        <w:rPr>
          <w:rFonts w:ascii="Arial" w:cs="Arial" w:eastAsia="Arial" w:hAnsi="Arial"/>
          <w:sz w:val="18"/>
          <w:szCs w:val="18"/>
        </w:rPr>
        <w:t xml:space="preserve">One of the main advantages of magnetic separation is its reagent-free operation and high selectivity. During the process, an external magnetic field is generated, and particles are attracted to this field depending on their magnetic susceptibility. This enables high efficiency with relatively low energy consumption compared to conventional chemical and mechanical methods.</w:t>
      </w:r>
    </w:p>
    <w:p>
      <w:pPr>
        <w:spacing w:after="60" w:before="60"/>
        <w:jc w:val="both"/>
      </w:pPr>
      <w:r>
        <w:rPr>
          <w:rFonts w:ascii="Arial" w:cs="Arial" w:eastAsia="Arial" w:hAnsi="Arial"/>
          <w:sz w:val="18"/>
          <w:szCs w:val="18"/>
        </w:rPr>
        <w:t xml:space="preserve">Analysis of scientific literature (Gao and Sun, 2019) shows that magnetic separation technologies, particularly High Gradient Magnetic Separation (HGMS), provide effective results in treating complex wastewater. Such systems, due to a high magnetic field gradient, are capable of capturing very fine particles and achieving separation efficiencies of 90% and above for phosphates, heavy metal ions, and other contaminants.</w:t>
      </w:r>
    </w:p>
    <w:p>
      <w:pPr>
        <w:spacing w:after="60" w:before="60"/>
        <w:jc w:val="both"/>
      </w:pPr>
      <w:r>
        <w:rPr>
          <w:rFonts w:ascii="Arial" w:cs="Arial" w:eastAsia="Arial" w:hAnsi="Arial"/>
          <w:sz w:val="18"/>
          <w:szCs w:val="18"/>
        </w:rPr>
        <w:t xml:space="preserve">In addition, magnetic separation technology demonstrates even higher efficiency when used in combination with adsorbents in water treatment. Processes involving the adsorption of pollutants using magnetic nanomaterials followed by their separation via a magnetic field have become a major subject of recent scientific research. Such approaches accelerate the purification process and reduce the need for additional chemical reagents (Crane and Scott, 2012).</w:t>
      </w:r>
    </w:p>
    <w:p>
      <w:pPr>
        <w:spacing w:after="60" w:before="60"/>
        <w:jc w:val="both"/>
      </w:pPr>
      <w:r>
        <w:rPr>
          <w:rFonts w:ascii="Arial" w:cs="Arial" w:eastAsia="Arial" w:hAnsi="Arial"/>
          <w:sz w:val="18"/>
          <w:szCs w:val="18"/>
        </w:rPr>
        <w:t xml:space="preserve">Another important feature of magnetic separation technology in industrial wastewater treatment is its ability to operate continuously. Magnetic drums or separators can function in a flow regime, making them an effective solution for processing large volumes of wastewater. At the same time, the possibility of reprocessing and recovering separated particles further enhances the economic and environmental advantages of this technology.</w:t>
      </w:r>
    </w:p>
    <w:p>
      <w:pPr>
        <w:shd w:fill="00A550" w:val="clear"/>
        <w:spacing w:after="80" w:before="160"/>
        <w:ind w:left="80" w:right="80"/>
      </w:pPr>
      <w:r>
        <w:rPr>
          <w:rFonts w:ascii="Arial" w:cs="Arial" w:eastAsia="Arial" w:hAnsi="Arial"/>
          <w:b/>
          <w:bCs/>
          <w:color w:val="FFFFFF"/>
          <w:sz w:val="20"/>
          <w:szCs w:val="20"/>
        </w:rPr>
        <w:t xml:space="preserve">4. Theory of Wastewater Treatment Using a Magnetic Drum</w:t>
      </w:r>
    </w:p>
    <w:p>
      <w:pPr>
        <w:spacing w:after="60" w:before="60"/>
        <w:jc w:val="both"/>
      </w:pPr>
      <w:r>
        <w:rPr>
          <w:rFonts w:ascii="Arial" w:cs="Arial" w:eastAsia="Arial" w:hAnsi="Arial"/>
          <w:sz w:val="18"/>
          <w:szCs w:val="18"/>
        </w:rPr>
        <w:t xml:space="preserve">Magnetic drum-based treatment systems rely on physical separation processes, and their operating principle is based on the interaction between the magnetic field and the magnetic susceptibility of particles. In this technology, magnetic particles present in wastewater are attracted to the surface of the drum under the influence of an external magnetic field and are mechanically separated.</w:t>
      </w:r>
    </w:p>
    <w:p>
      <w:pPr>
        <w:spacing w:after="60" w:before="60"/>
        <w:jc w:val="both"/>
      </w:pPr>
      <w:r>
        <w:rPr>
          <w:rFonts w:ascii="Arial" w:cs="Arial" w:eastAsia="Arial" w:hAnsi="Arial"/>
          <w:sz w:val="18"/>
          <w:szCs w:val="18"/>
        </w:rPr>
        <w:t xml:space="preserve">A magnetic drum is typically a rotating cylindrical device containing permanent magnets or an electromagnetic system inside. As the drum rotates, particles enter the magnetic field zone and are retained there by magnetic forces. As the drum continues rotating, these particles leave the magnetic field region and are removed mechanically (via a scraper or blade) and collected in a discharge hopper.</w:t>
      </w:r>
    </w:p>
    <w:p>
      <w:pPr>
        <w:spacing w:after="60" w:before="60"/>
        <w:jc w:val="both"/>
      </w:pPr>
      <w:r>
        <w:rPr>
          <w:rFonts w:ascii="Arial" w:cs="Arial" w:eastAsia="Arial" w:hAnsi="Arial"/>
          <w:sz w:val="18"/>
          <w:szCs w:val="18"/>
        </w:rPr>
        <w:t xml:space="preserve">The efficiency of the process is determined by several key physical parameters:</w:t>
      </w:r>
    </w:p>
    <w:p>
      <w:pPr>
        <w:spacing w:after="60" w:before="60"/>
        <w:jc w:val="both"/>
      </w:pPr>
      <w:r>
        <w:rPr>
          <w:rFonts w:ascii="Arial" w:cs="Arial" w:eastAsia="Arial" w:hAnsi="Arial"/>
          <w:sz w:val="18"/>
          <w:szCs w:val="18"/>
        </w:rPr>
        <w:t xml:space="preserve">The following simplified expression for the magnetic force is derived under the customary assumptions used in the magnetic separation literature (Svoboda, 2004): the particle is treated as a small sphere of uniform, isotropic magnetic susceptibility; the particle is sufficiently dilute in the suspension that particle–particle magnetic interactions are neglected; the flow is laminar and the particle Reynolds number is low, so inertial effects are negligible; and the particle moves quasi-statically, i.e. the force balance is evaluated at each instant without acceleration terms.</w:t>
      </w:r>
    </w:p>
    <w:p>
      <w:pPr>
        <w:pStyle w:val="ListParagraph"/>
        <w:numPr>
          <w:ilvl w:val="0"/>
          <w:numId w:val="2"/>
        </w:numPr>
        <w:spacing w:after="40" w:before="40"/>
        <w:jc w:val="both"/>
      </w:pPr>
      <w:r>
        <w:rPr>
          <w:rFonts w:ascii="Arial" w:cs="Arial" w:eastAsia="Arial" w:hAnsi="Arial"/>
          <w:sz w:val="18"/>
          <w:szCs w:val="18"/>
        </w:rPr>
        <w:t xml:space="preserve">magnetic induction (B),</w:t>
      </w:r>
    </w:p>
    <w:p>
      <w:pPr>
        <w:pStyle w:val="ListParagraph"/>
        <w:numPr>
          <w:ilvl w:val="0"/>
          <w:numId w:val="2"/>
        </w:numPr>
        <w:spacing w:after="40" w:before="40"/>
        <w:jc w:val="both"/>
      </w:pPr>
      <w:r>
        <w:rPr>
          <w:rFonts w:ascii="Arial" w:cs="Arial" w:eastAsia="Arial" w:hAnsi="Arial"/>
          <w:sz w:val="18"/>
          <w:szCs w:val="18"/>
        </w:rPr>
        <w:t xml:space="preserve">magnetic field gradient (∇B),</w:t>
      </w:r>
    </w:p>
    <w:p>
      <w:pPr>
        <w:pStyle w:val="ListParagraph"/>
        <w:numPr>
          <w:ilvl w:val="0"/>
          <w:numId w:val="2"/>
        </w:numPr>
        <w:spacing w:after="40" w:before="40"/>
        <w:jc w:val="both"/>
      </w:pPr>
      <w:r>
        <w:rPr>
          <w:rFonts w:ascii="Arial" w:cs="Arial" w:eastAsia="Arial" w:hAnsi="Arial"/>
          <w:sz w:val="18"/>
          <w:szCs w:val="18"/>
        </w:rPr>
        <w:t xml:space="preserve">magnetic susceptibility of particles (χ),</w:t>
      </w:r>
    </w:p>
    <w:p>
      <w:pPr>
        <w:pStyle w:val="ListParagraph"/>
        <w:numPr>
          <w:ilvl w:val="0"/>
          <w:numId w:val="2"/>
        </w:numPr>
        <w:spacing w:after="40" w:before="40"/>
        <w:jc w:val="both"/>
      </w:pPr>
      <w:r>
        <w:rPr>
          <w:rFonts w:ascii="Arial" w:cs="Arial" w:eastAsia="Arial" w:hAnsi="Arial"/>
          <w:sz w:val="18"/>
          <w:szCs w:val="18"/>
        </w:rPr>
        <w:t xml:space="preserve">particle size and density,</w:t>
      </w:r>
    </w:p>
    <w:p>
      <w:pPr>
        <w:pStyle w:val="ListParagraph"/>
        <w:numPr>
          <w:ilvl w:val="0"/>
          <w:numId w:val="2"/>
        </w:numPr>
        <w:spacing w:after="40" w:before="40"/>
        <w:jc w:val="both"/>
      </w:pPr>
      <w:r>
        <w:rPr>
          <w:rFonts w:ascii="Arial" w:cs="Arial" w:eastAsia="Arial" w:hAnsi="Arial"/>
          <w:sz w:val="18"/>
          <w:szCs w:val="18"/>
        </w:rPr>
        <w:t xml:space="preserve">flow velocity and hydrodynamic conditions.</w:t>
      </w:r>
    </w:p>
    <w:p>
      <w:pPr>
        <w:spacing w:after="60" w:before="60"/>
        <w:jc w:val="both"/>
      </w:pPr>
      <w:r>
        <w:rPr>
          <w:rFonts w:ascii="Arial" w:cs="Arial" w:eastAsia="Arial" w:hAnsi="Arial"/>
          <w:sz w:val="18"/>
          <w:szCs w:val="18"/>
        </w:rPr>
        <w:t xml:space="preserve">The magnetic force acting on a particle is described by the following expression (Svoboda, 2004):</w:t>
      </w:r>
    </w:p>
    <w:tbl>
      <w:tblPr>
        <w:tblW w:type="dxa" w:w="8787"/>
        <w:tblBorders>
          <w:top w:val="single" w:color="auto" w:sz="4"/>
          <w:left w:val="single" w:color="auto" w:sz="4"/>
          <w:bottom w:val="single" w:color="auto" w:sz="4"/>
          <w:right w:val="single" w:color="auto" w:sz="4"/>
          <w:insideH w:val="single" w:color="auto" w:sz="4"/>
          <w:insideV w:val="single" w:color="auto" w:sz="4"/>
        </w:tblBorders>
      </w:tblPr>
      <w:tblGrid>
        <w:gridCol w:w="7987"/>
        <w:gridCol w:w="800"/>
      </w:tblGrid>
      <w:tr>
        <w:tc>
          <w:tcPr>
            <w:tcW w:type="dxa" w:w="7987"/>
            <w:tcBorders>
              <w:top w:val="none" w:color="FFFFFF" w:sz="0"/>
              <w:left w:val="none" w:color="FFFFFF" w:sz="0"/>
              <w:bottom w:val="none" w:color="FFFFFF" w:sz="0"/>
              <w:right w:val="none" w:color="FFFFFF" w:sz="0"/>
            </w:tcBorders>
            <w:tcMar>
              <w:top w:type="dxa" w:w="60"/>
              <w:left w:type="dxa" w:w="0"/>
              <w:bottom w:type="dxa" w:w="60"/>
              <w:right w:type="dxa" w:w="0"/>
            </w:tcMar>
          </w:tcPr>
          <w:p>
            <w:pPr>
              <w:jc w:val="center"/>
            </w:pPr>
            <w:r>
              <w:rPr>
                <w:rFonts w:ascii="Arial" w:cs="Arial" w:eastAsia="Arial" w:hAnsi="Arial"/>
                <w:i/>
                <w:iCs/>
                <w:sz w:val="18"/>
                <w:szCs w:val="18"/>
              </w:rPr>
              <w:t xml:space="preserve">F = χ · V · (B · ∇B) / μ₀</w:t>
            </w:r>
          </w:p>
        </w:tc>
        <w:tc>
          <w:tcPr>
            <w:tcW w:type="dxa" w:w="800"/>
            <w:tcBorders>
              <w:top w:val="none" w:color="FFFFFF" w:sz="0"/>
              <w:left w:val="none" w:color="FFFFFF" w:sz="0"/>
              <w:bottom w:val="none" w:color="FFFFFF" w:sz="0"/>
              <w:right w:val="none" w:color="FFFFFF" w:sz="0"/>
            </w:tcBorders>
            <w:tcMar>
              <w:top w:type="dxa" w:w="60"/>
              <w:left w:type="dxa" w:w="0"/>
              <w:bottom w:type="dxa" w:w="60"/>
              <w:right w:type="dxa" w:w="0"/>
            </w:tcMar>
          </w:tcPr>
          <w:p>
            <w:pPr>
              <w:jc w:val="right"/>
            </w:pPr>
            <w:r>
              <w:rPr>
                <w:rFonts w:ascii="Arial" w:cs="Arial" w:eastAsia="Arial" w:hAnsi="Arial"/>
                <w:sz w:val="18"/>
                <w:szCs w:val="18"/>
              </w:rPr>
              <w:t xml:space="preserve">Eq(1)</w:t>
            </w:r>
          </w:p>
        </w:tc>
      </w:tr>
    </w:tbl>
    <w:p>
      <w:pPr>
        <w:spacing w:after="60" w:before="60"/>
        <w:jc w:val="both"/>
      </w:pPr>
      <w:r>
        <w:rPr>
          <w:rFonts w:ascii="Arial" w:cs="Arial" w:eastAsia="Arial" w:hAnsi="Arial"/>
          <w:sz w:val="18"/>
          <w:szCs w:val="18"/>
        </w:rPr>
        <w:t xml:space="preserve">Where: F — magnetic force, N; χ — magnetic susceptibility of the particle, dimensionless; V — particle volume, m³; B — magnetic induction, T; ∇B — magnetic field gradient, T/m; μ₀ — magnetic permeability of vacuum, H/m.</w:t>
      </w:r>
    </w:p>
    <w:p>
      <w:pPr>
        <w:spacing w:after="60" w:before="60"/>
        <w:jc w:val="both"/>
      </w:pPr>
      <w:r>
        <w:rPr>
          <w:rFonts w:ascii="Arial" w:cs="Arial" w:eastAsia="Arial" w:hAnsi="Arial"/>
          <w:sz w:val="18"/>
          <w:szCs w:val="18"/>
        </w:rPr>
        <w:t xml:space="preserve">For a spherical particle at low Reynolds number, the opposing hydrodynamic drag force is given by the Stokes drag expression (Svoboda, 2004):</w:t>
      </w:r>
    </w:p>
    <w:tbl>
      <w:tblPr>
        <w:tblW w:type="dxa" w:w="8787"/>
        <w:tblBorders>
          <w:top w:val="single" w:color="auto" w:sz="4"/>
          <w:left w:val="single" w:color="auto" w:sz="4"/>
          <w:bottom w:val="single" w:color="auto" w:sz="4"/>
          <w:right w:val="single" w:color="auto" w:sz="4"/>
          <w:insideH w:val="single" w:color="auto" w:sz="4"/>
          <w:insideV w:val="single" w:color="auto" w:sz="4"/>
        </w:tblBorders>
      </w:tblPr>
      <w:tblGrid>
        <w:gridCol w:w="7987"/>
        <w:gridCol w:w="800"/>
      </w:tblGrid>
      <w:tr>
        <w:tc>
          <w:tcPr>
            <w:tcW w:type="dxa" w:w="7987"/>
            <w:tcBorders>
              <w:top w:val="none" w:color="FFFFFF" w:sz="0"/>
              <w:left w:val="none" w:color="FFFFFF" w:sz="0"/>
              <w:bottom w:val="none" w:color="FFFFFF" w:sz="0"/>
              <w:right w:val="none" w:color="FFFFFF" w:sz="0"/>
            </w:tcBorders>
            <w:tcMar>
              <w:top w:type="dxa" w:w="60"/>
              <w:left w:type="dxa" w:w="0"/>
              <w:bottom w:type="dxa" w:w="60"/>
              <w:right w:type="dxa" w:w="0"/>
            </w:tcMar>
          </w:tcPr>
          <w:p>
            <w:pPr>
              <w:jc w:val="center"/>
            </w:pPr>
            <w:r>
              <w:rPr>
                <w:rFonts w:ascii="Arial" w:cs="Arial" w:eastAsia="Arial" w:hAnsi="Arial"/>
                <w:i/>
                <w:iCs/>
                <w:sz w:val="18"/>
                <w:szCs w:val="18"/>
              </w:rPr>
              <w:t xml:space="preserve">F_d = 6 · π · η · r · v</w:t>
            </w:r>
          </w:p>
        </w:tc>
        <w:tc>
          <w:tcPr>
            <w:tcW w:type="dxa" w:w="800"/>
            <w:tcBorders>
              <w:top w:val="none" w:color="FFFFFF" w:sz="0"/>
              <w:left w:val="none" w:color="FFFFFF" w:sz="0"/>
              <w:bottom w:val="none" w:color="FFFFFF" w:sz="0"/>
              <w:right w:val="none" w:color="FFFFFF" w:sz="0"/>
            </w:tcBorders>
            <w:tcMar>
              <w:top w:type="dxa" w:w="60"/>
              <w:left w:type="dxa" w:w="0"/>
              <w:bottom w:type="dxa" w:w="60"/>
              <w:right w:type="dxa" w:w="0"/>
            </w:tcMar>
          </w:tcPr>
          <w:p>
            <w:pPr>
              <w:jc w:val="right"/>
            </w:pPr>
            <w:r>
              <w:rPr>
                <w:rFonts w:ascii="Arial" w:cs="Arial" w:eastAsia="Arial" w:hAnsi="Arial"/>
                <w:sz w:val="18"/>
                <w:szCs w:val="18"/>
              </w:rPr>
              <w:t xml:space="preserve">Eq(2)</w:t>
            </w:r>
          </w:p>
        </w:tc>
      </w:tr>
    </w:tbl>
    <w:p>
      <w:pPr>
        <w:spacing w:after="60" w:before="60"/>
        <w:jc w:val="both"/>
      </w:pPr>
      <w:r>
        <w:rPr>
          <w:rFonts w:ascii="Arial" w:cs="Arial" w:eastAsia="Arial" w:hAnsi="Arial"/>
          <w:sz w:val="18"/>
          <w:szCs w:val="18"/>
        </w:rPr>
        <w:t xml:space="preserve">Where: F_d — hydrodynamic drag force, N; η — dynamic viscosity of the fluid, Pa·s; r — particle radius, m; v — relative velocity of the particle with respect to the fluid, m/s. A particle is captured on the drum surface when the magnetic force exceeds the drag force, i.e. when F ≥ F_d; this inequality defines the minimum magnetic field gradient required to capture a particle of given size and susceptibility at a given flow velocity.</w:t>
      </w:r>
    </w:p>
    <w:p>
      <w:pPr>
        <w:spacing w:after="60" w:before="60"/>
        <w:jc w:val="both"/>
      </w:pPr>
      <w:r>
        <w:rPr>
          <w:rFonts w:ascii="Arial" w:cs="Arial" w:eastAsia="Arial" w:hAnsi="Arial"/>
          <w:sz w:val="18"/>
          <w:szCs w:val="18"/>
        </w:rPr>
        <w:t xml:space="preserve">According to this expression, the magnetic force acting on a particle is directly dependent on the magnetic field intensity and its gradient. The higher the field gradient, the greater the particle capture efficiency. Therefore, generating a high-gradient magnetic field is crucial in the design of magnetic drum systems.</w:t>
      </w:r>
    </w:p>
    <w:p>
      <w:pPr>
        <w:spacing w:after="60" w:before="60"/>
        <w:jc w:val="both"/>
      </w:pPr>
      <w:r>
        <w:rPr>
          <w:rFonts w:ascii="Arial" w:cs="Arial" w:eastAsia="Arial" w:hAnsi="Arial"/>
          <w:sz w:val="18"/>
          <w:szCs w:val="18"/>
        </w:rPr>
        <w:t xml:space="preserve">Under real flow conditions, wastewater turbulence, particle–particle interactions, and non-uniformity of the magnetic field across the drum surface introduce deviations from this idealized force balance; consequently, the capture efficiencies reported in the literature (Section 5) are lower than the theoretical maximum predicted by Eq(1) and Eq(2) alone.</w:t>
      </w:r>
    </w:p>
    <w:p>
      <w:pPr>
        <w:shd w:fill="00A550" w:val="clear"/>
        <w:spacing w:after="80" w:before="160"/>
        <w:ind w:left="80" w:right="80"/>
      </w:pPr>
      <w:r>
        <w:rPr>
          <w:rFonts w:ascii="Arial" w:cs="Arial" w:eastAsia="Arial" w:hAnsi="Arial"/>
          <w:b/>
          <w:bCs/>
          <w:color w:val="FFFFFF"/>
          <w:sz w:val="20"/>
          <w:szCs w:val="20"/>
        </w:rPr>
        <w:t xml:space="preserve">5. Literature-Reported Performance Data</w:t>
      </w:r>
    </w:p>
    <w:p>
      <w:pPr>
        <w:pBdr>
          <w:bottom w:val="single" w:color="00A550" w:sz="4"/>
        </w:pBdr>
        <w:spacing w:after="60" w:before="120"/>
      </w:pPr>
      <w:r>
        <w:rPr>
          <w:rFonts w:ascii="Arial" w:cs="Arial" w:eastAsia="Arial" w:hAnsi="Arial"/>
          <w:b/>
          <w:bCs/>
          <w:color w:val="00A550"/>
          <w:sz w:val="19"/>
          <w:szCs w:val="19"/>
        </w:rPr>
        <w:t xml:space="preserve">5.1. Reported Separation Performance</w:t>
      </w:r>
    </w:p>
    <w:p>
      <w:pPr>
        <w:spacing w:after="60" w:before="60"/>
        <w:jc w:val="both"/>
      </w:pPr>
      <w:r>
        <w:rPr>
          <w:rFonts w:ascii="Arial" w:cs="Arial" w:eastAsia="Arial" w:hAnsi="Arial"/>
          <w:sz w:val="18"/>
          <w:szCs w:val="18"/>
        </w:rPr>
        <w:t xml:space="preserve">A number of experimental and pilot-scale studies have evaluated the performance of magnetic drum and high-gradient magnetic separators for industrial wastewater (Gao and Sun, 2019; Zeng and Zheng, 2018; Yavuz et al., 2009). These studies primarily report the influence of magnetic field strength, flow velocity, particle size, and drum rotation speed on separation efficiency; the values summarized below are drawn from these sources rather than from original experiments conducted for this article.</w:t>
      </w:r>
    </w:p>
    <w:p>
      <w:pPr>
        <w:spacing w:after="60" w:before="60"/>
        <w:jc w:val="both"/>
      </w:pPr>
      <w:r>
        <w:rPr>
          <w:rFonts w:ascii="Arial" w:cs="Arial" w:eastAsia="Arial" w:hAnsi="Arial"/>
          <w:sz w:val="18"/>
          <w:szCs w:val="18"/>
        </w:rPr>
        <w:t xml:space="preserve">Zeng and Zheng (2018) report that magnetic drum separators can operate with high efficiency in process water from metallurgical and mining industries, with particle separation efficiency reaching 95–99% when magnetic induction and hydrodynamic conditions are optimized. The same source notes that the balance between drum rotation speed and flow velocity plays a crucial role, as excessively high flow velocity reduces the contact time of particles with the magnetic field, while low velocity decreases processing throughput.</w:t>
      </w:r>
    </w:p>
    <w:p>
      <w:pPr>
        <w:spacing w:after="60" w:before="60"/>
        <w:jc w:val="both"/>
      </w:pPr>
      <w:r>
        <w:rPr>
          <w:rFonts w:ascii="Arial" w:cs="Arial" w:eastAsia="Arial" w:hAnsi="Arial"/>
          <w:sz w:val="18"/>
          <w:szCs w:val="18"/>
        </w:rPr>
        <w:t xml:space="preserve">In addition, Gao and Sun (2019) demonstrate the selectivity of magnetic separation systems toward different particle fractions: large particles with high magnetic susceptibility are readily captured in the magnetic field, whereas fine dispersed particles require high-gradient magnetic field conditions for effective separation. Therefore, high-gradient magnetic separation (HGMS) systems are reported to be particularly important for separating micron- and submicron-sized particles (Gao and Sun, 2019).</w:t>
      </w:r>
    </w:p>
    <w:p>
      <w:pPr>
        <w:spacing w:after="60" w:before="60"/>
        <w:jc w:val="both"/>
      </w:pPr>
      <w:r>
        <w:rPr>
          <w:rFonts w:ascii="Arial" w:cs="Arial" w:eastAsia="Arial" w:hAnsi="Arial"/>
          <w:sz w:val="18"/>
          <w:szCs w:val="18"/>
        </w:rPr>
        <w:t xml:space="preserve">Comparative reviews report that, when magnetic separation technologies are used, energy consumption is significantly lower compared to conventional membrane-based and chemical methods (MDPI, 2021). The same source notes that chemical reagent consumption is reduced, resulting in lower operational costs and reduced environmental impact, and that in some pilot projects magnetic systems have been reported to remove up to 60–80% of organic pollutants within a short time; these figures are pilot-scale values reported in the cited literature and have not been independently verified in this review.</w:t>
      </w:r>
    </w:p>
    <w:p>
      <w:pPr>
        <w:pBdr>
          <w:bottom w:val="single" w:color="00A550" w:sz="4"/>
        </w:pBdr>
        <w:spacing w:after="60" w:before="120"/>
      </w:pPr>
      <w:r>
        <w:rPr>
          <w:rFonts w:ascii="Arial" w:cs="Arial" w:eastAsia="Arial" w:hAnsi="Arial"/>
          <w:b/>
          <w:bCs/>
          <w:color w:val="00A550"/>
          <w:sz w:val="19"/>
          <w:szCs w:val="19"/>
        </w:rPr>
        <w:t xml:space="preserve">5.2. Reported Operational Benefits</w:t>
      </w:r>
    </w:p>
    <w:p>
      <w:pPr>
        <w:spacing w:after="60" w:before="60"/>
        <w:jc w:val="both"/>
      </w:pPr>
      <w:r>
        <w:rPr>
          <w:rFonts w:ascii="Arial" w:cs="Arial" w:eastAsia="Arial" w:hAnsi="Arial"/>
          <w:sz w:val="18"/>
          <w:szCs w:val="18"/>
        </w:rPr>
        <w:t xml:space="preserve">One of the key practical advantages of magnetic separation technology reported in the literature (MDPI, 2021) is its reagent-free operation, since the primary energy demand is associated only with generating the magnetic field and rotating the drum. This is reported to lead to the following benefits:</w:t>
      </w:r>
    </w:p>
    <w:p>
      <w:pPr>
        <w:pStyle w:val="ListParagraph"/>
        <w:numPr>
          <w:ilvl w:val="0"/>
          <w:numId w:val="2"/>
        </w:numPr>
        <w:spacing w:after="40" w:before="40"/>
        <w:jc w:val="both"/>
      </w:pPr>
      <w:r>
        <w:rPr>
          <w:rFonts w:ascii="Arial" w:cs="Arial" w:eastAsia="Arial" w:hAnsi="Arial"/>
          <w:sz w:val="18"/>
          <w:szCs w:val="18"/>
        </w:rPr>
        <w:t xml:space="preserve">reduction in secondary waste (sludge) volume;</w:t>
      </w:r>
    </w:p>
    <w:p>
      <w:pPr>
        <w:pStyle w:val="ListParagraph"/>
        <w:numPr>
          <w:ilvl w:val="0"/>
          <w:numId w:val="2"/>
        </w:numPr>
        <w:spacing w:after="40" w:before="40"/>
        <w:jc w:val="both"/>
      </w:pPr>
      <w:r>
        <w:rPr>
          <w:rFonts w:ascii="Arial" w:cs="Arial" w:eastAsia="Arial" w:hAnsi="Arial"/>
          <w:sz w:val="18"/>
          <w:szCs w:val="18"/>
        </w:rPr>
        <w:t xml:space="preserve">no introduction of additional chemical substances into the water;</w:t>
      </w:r>
    </w:p>
    <w:p>
      <w:pPr>
        <w:pStyle w:val="ListParagraph"/>
        <w:numPr>
          <w:ilvl w:val="0"/>
          <w:numId w:val="2"/>
        </w:numPr>
        <w:spacing w:after="40" w:before="40"/>
        <w:jc w:val="both"/>
      </w:pPr>
      <w:r>
        <w:rPr>
          <w:rFonts w:ascii="Arial" w:cs="Arial" w:eastAsia="Arial" w:hAnsi="Arial"/>
          <w:sz w:val="18"/>
          <w:szCs w:val="18"/>
        </w:rPr>
        <w:t xml:space="preserve">lower environmental risk and operational costs.</w:t>
      </w:r>
    </w:p>
    <w:p>
      <w:pPr>
        <w:pBdr>
          <w:bottom w:val="single" w:color="00A550" w:sz="4"/>
        </w:pBdr>
        <w:spacing w:after="60" w:before="120"/>
      </w:pPr>
      <w:r>
        <w:rPr>
          <w:rFonts w:ascii="Arial" w:cs="Arial" w:eastAsia="Arial" w:hAnsi="Arial"/>
          <w:b/>
          <w:bCs/>
          <w:color w:val="00A550"/>
          <w:sz w:val="19"/>
          <w:szCs w:val="19"/>
        </w:rPr>
        <w:t xml:space="preserve">5.3. Comparative Indicators</w:t>
      </w:r>
    </w:p>
    <w:p>
      <w:pPr>
        <w:spacing w:after="60" w:before="120"/>
      </w:pPr>
      <w:r>
        <w:rPr>
          <w:rFonts w:ascii="Arial" w:cs="Arial" w:eastAsia="Arial" w:hAnsi="Arial"/>
          <w:b/>
          <w:bCs/>
          <w:i/>
          <w:iCs/>
          <w:sz w:val="16"/>
          <w:szCs w:val="16"/>
        </w:rPr>
        <w:t xml:space="preserve">Table 1: Comparative analysis of wastewater treatment technologies (ranges compiled from Crini and Lichtfouse, 2019; Doble and Kumar, 2005; Gao and Sun, 2019; Zeng and Zheng, 2018; MDPI, 2021)</w:t>
      </w:r>
    </w:p>
    <w:tbl>
      <w:tblPr>
        <w:tblW w:type="dxa" w:w="8787"/>
        <w:tblBorders>
          <w:top w:val="single" w:color="auto" w:sz="4"/>
          <w:left w:val="single" w:color="auto" w:sz="4"/>
          <w:bottom w:val="single" w:color="auto" w:sz="4"/>
          <w:right w:val="single" w:color="auto" w:sz="4"/>
          <w:insideH w:val="single" w:color="auto" w:sz="4"/>
          <w:insideV w:val="single" w:color="auto" w:sz="4"/>
        </w:tblBorders>
      </w:tblPr>
      <w:tblGrid>
        <w:gridCol w:w="2200"/>
        <w:gridCol w:w="1647"/>
        <w:gridCol w:w="1647"/>
        <w:gridCol w:w="1647"/>
        <w:gridCol w:w="1646"/>
      </w:tblGrid>
      <w:tr>
        <w:tc>
          <w:tcPr>
            <w:tcW w:type="dxa" w:w="2200"/>
            <w:tcBorders>
              <w:top w:val="single" w:color="00A550" w:sz="4"/>
              <w:left w:val="none" w:color="FFFFFF" w:sz="0"/>
              <w:bottom w:val="single" w:color="00A550" w:sz="4"/>
              <w:right w:val="none" w:color="FFFFFF" w:sz="0"/>
            </w:tcBorders>
            <w:shd w:fill="00A550" w:val="clear"/>
            <w:tcMar>
              <w:top w:type="dxa" w:w="60"/>
              <w:left w:type="dxa" w:w="80"/>
              <w:bottom w:type="dxa" w:w="60"/>
              <w:right w:type="dxa" w:w="80"/>
            </w:tcMar>
          </w:tcPr>
          <w:p>
            <w:pPr>
              <w:jc w:val="center"/>
            </w:pPr>
            <w:r>
              <w:rPr>
                <w:rFonts w:ascii="Arial" w:cs="Arial" w:eastAsia="Arial" w:hAnsi="Arial"/>
                <w:b/>
                <w:bCs/>
                <w:color w:val="FFFFFF"/>
                <w:sz w:val="16"/>
                <w:szCs w:val="16"/>
              </w:rPr>
              <w:t xml:space="preserve">Indicator</w:t>
            </w:r>
          </w:p>
        </w:tc>
        <w:tc>
          <w:tcPr>
            <w:tcW w:type="dxa" w:w="1647"/>
            <w:tcBorders>
              <w:top w:val="single" w:color="00A550" w:sz="4"/>
              <w:left w:val="none" w:color="FFFFFF" w:sz="0"/>
              <w:bottom w:val="single" w:color="00A550" w:sz="4"/>
              <w:right w:val="none" w:color="FFFFFF" w:sz="0"/>
            </w:tcBorders>
            <w:shd w:fill="00A550" w:val="clear"/>
            <w:tcMar>
              <w:top w:type="dxa" w:w="60"/>
              <w:left w:type="dxa" w:w="80"/>
              <w:bottom w:type="dxa" w:w="60"/>
              <w:right w:type="dxa" w:w="80"/>
            </w:tcMar>
          </w:tcPr>
          <w:p>
            <w:pPr>
              <w:jc w:val="center"/>
            </w:pPr>
            <w:r>
              <w:rPr>
                <w:rFonts w:ascii="Arial" w:cs="Arial" w:eastAsia="Arial" w:hAnsi="Arial"/>
                <w:b/>
                <w:bCs/>
                <w:color w:val="FFFFFF"/>
                <w:sz w:val="16"/>
                <w:szCs w:val="16"/>
              </w:rPr>
              <w:t xml:space="preserve">Magnetic Separation</w:t>
            </w:r>
          </w:p>
        </w:tc>
        <w:tc>
          <w:tcPr>
            <w:tcW w:type="dxa" w:w="1647"/>
            <w:tcBorders>
              <w:top w:val="single" w:color="00A550" w:sz="4"/>
              <w:left w:val="none" w:color="FFFFFF" w:sz="0"/>
              <w:bottom w:val="single" w:color="00A550" w:sz="4"/>
              <w:right w:val="none" w:color="FFFFFF" w:sz="0"/>
            </w:tcBorders>
            <w:shd w:fill="00A550" w:val="clear"/>
            <w:tcMar>
              <w:top w:type="dxa" w:w="60"/>
              <w:left w:type="dxa" w:w="80"/>
              <w:bottom w:type="dxa" w:w="60"/>
              <w:right w:type="dxa" w:w="80"/>
            </w:tcMar>
          </w:tcPr>
          <w:p>
            <w:pPr>
              <w:jc w:val="center"/>
            </w:pPr>
            <w:r>
              <w:rPr>
                <w:rFonts w:ascii="Arial" w:cs="Arial" w:eastAsia="Arial" w:hAnsi="Arial"/>
                <w:b/>
                <w:bCs/>
                <w:color w:val="FFFFFF"/>
                <w:sz w:val="16"/>
                <w:szCs w:val="16"/>
              </w:rPr>
              <w:t xml:space="preserve">Mechanical Methods</w:t>
            </w:r>
          </w:p>
        </w:tc>
        <w:tc>
          <w:tcPr>
            <w:tcW w:type="dxa" w:w="1647"/>
            <w:tcBorders>
              <w:top w:val="single" w:color="00A550" w:sz="4"/>
              <w:left w:val="none" w:color="FFFFFF" w:sz="0"/>
              <w:bottom w:val="single" w:color="00A550" w:sz="4"/>
              <w:right w:val="none" w:color="FFFFFF" w:sz="0"/>
            </w:tcBorders>
            <w:shd w:fill="00A550" w:val="clear"/>
            <w:tcMar>
              <w:top w:type="dxa" w:w="60"/>
              <w:left w:type="dxa" w:w="80"/>
              <w:bottom w:type="dxa" w:w="60"/>
              <w:right w:type="dxa" w:w="80"/>
            </w:tcMar>
          </w:tcPr>
          <w:p>
            <w:pPr>
              <w:jc w:val="center"/>
            </w:pPr>
            <w:r>
              <w:rPr>
                <w:rFonts w:ascii="Arial" w:cs="Arial" w:eastAsia="Arial" w:hAnsi="Arial"/>
                <w:b/>
                <w:bCs/>
                <w:color w:val="FFFFFF"/>
                <w:sz w:val="16"/>
                <w:szCs w:val="16"/>
              </w:rPr>
              <w:t xml:space="preserve">Chemical Methods</w:t>
            </w:r>
          </w:p>
        </w:tc>
        <w:tc>
          <w:tcPr>
            <w:tcW w:type="dxa" w:w="1646"/>
            <w:tcBorders>
              <w:top w:val="single" w:color="00A550" w:sz="4"/>
              <w:left w:val="none" w:color="FFFFFF" w:sz="0"/>
              <w:bottom w:val="single" w:color="00A550" w:sz="4"/>
              <w:right w:val="none" w:color="FFFFFF" w:sz="0"/>
            </w:tcBorders>
            <w:shd w:fill="00A550" w:val="clear"/>
            <w:tcMar>
              <w:top w:type="dxa" w:w="60"/>
              <w:left w:type="dxa" w:w="80"/>
              <w:bottom w:type="dxa" w:w="60"/>
              <w:right w:type="dxa" w:w="80"/>
            </w:tcMar>
          </w:tcPr>
          <w:p>
            <w:pPr>
              <w:jc w:val="center"/>
            </w:pPr>
            <w:r>
              <w:rPr>
                <w:rFonts w:ascii="Arial" w:cs="Arial" w:eastAsia="Arial" w:hAnsi="Arial"/>
                <w:b/>
                <w:bCs/>
                <w:color w:val="FFFFFF"/>
                <w:sz w:val="16"/>
                <w:szCs w:val="16"/>
              </w:rPr>
              <w:t xml:space="preserve">Membrane Methods</w:t>
            </w:r>
          </w:p>
        </w:tc>
      </w:tr>
      <w:tr>
        <w:tc>
          <w:tcPr>
            <w:tcW w:type="dxa" w:w="2200"/>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left"/>
            </w:pPr>
            <w:r>
              <w:rPr>
                <w:rFonts w:ascii="Arial" w:cs="Arial" w:eastAsia="Arial" w:hAnsi="Arial"/>
                <w:color w:val="1F2D3D"/>
                <w:sz w:val="16"/>
                <w:szCs w:val="16"/>
              </w:rPr>
              <w:t xml:space="preserve">Separation efficiency</w:t>
            </w:r>
          </w:p>
        </w:tc>
        <w:tc>
          <w:tcPr>
            <w:tcW w:type="dxa" w:w="1647"/>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High (90–99%)</w:t>
            </w:r>
          </w:p>
        </w:tc>
        <w:tc>
          <w:tcPr>
            <w:tcW w:type="dxa" w:w="1647"/>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Moderate (60–85%)</w:t>
            </w:r>
          </w:p>
        </w:tc>
        <w:tc>
          <w:tcPr>
            <w:tcW w:type="dxa" w:w="1647"/>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High (70–95%)</w:t>
            </w:r>
          </w:p>
        </w:tc>
        <w:tc>
          <w:tcPr>
            <w:tcW w:type="dxa" w:w="1646"/>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Very high (95–99%)</w:t>
            </w:r>
          </w:p>
        </w:tc>
      </w:tr>
      <w:tr>
        <w:tc>
          <w:tcPr>
            <w:tcW w:type="dxa" w:w="2200"/>
            <w:tcBorders>
              <w:top w:val="single" w:color="00A550" w:sz="4"/>
              <w:left w:val="none" w:color="FFFFFF" w:sz="0"/>
              <w:bottom w:val="single" w:color="00A550" w:sz="4"/>
              <w:right w:val="none" w:color="FFFFFF" w:sz="0"/>
            </w:tcBorders>
            <w:shd w:fill="F2F2F2" w:val="clear"/>
            <w:tcMar>
              <w:top w:type="dxa" w:w="60"/>
              <w:left w:type="dxa" w:w="80"/>
              <w:bottom w:type="dxa" w:w="60"/>
              <w:right w:type="dxa" w:w="80"/>
            </w:tcMar>
          </w:tcPr>
          <w:p>
            <w:pPr>
              <w:jc w:val="left"/>
            </w:pPr>
            <w:r>
              <w:rPr>
                <w:rFonts w:ascii="Arial" w:cs="Arial" w:eastAsia="Arial" w:hAnsi="Arial"/>
                <w:color w:val="1F2D3D"/>
                <w:sz w:val="16"/>
                <w:szCs w:val="16"/>
              </w:rPr>
              <w:t xml:space="preserve">Energy consumption</w:t>
            </w:r>
          </w:p>
        </w:tc>
        <w:tc>
          <w:tcPr>
            <w:tcW w:type="dxa" w:w="1647"/>
            <w:tcBorders>
              <w:top w:val="single" w:color="00A550" w:sz="4"/>
              <w:left w:val="none" w:color="FFFFFF" w:sz="0"/>
              <w:bottom w:val="single" w:color="00A550" w:sz="4"/>
              <w:right w:val="none" w:color="FFFFFF" w:sz="0"/>
            </w:tcBorders>
            <w:shd w:fill="F2F2F2" w:val="clear"/>
            <w:tcMar>
              <w:top w:type="dxa" w:w="60"/>
              <w:left w:type="dxa" w:w="80"/>
              <w:bottom w:type="dxa" w:w="60"/>
              <w:right w:type="dxa" w:w="80"/>
            </w:tcMar>
          </w:tcPr>
          <w:p>
            <w:pPr>
              <w:jc w:val="center"/>
            </w:pPr>
            <w:r>
              <w:rPr>
                <w:rFonts w:ascii="Arial" w:cs="Arial" w:eastAsia="Arial" w:hAnsi="Arial"/>
                <w:color w:val="1F2D3D"/>
                <w:sz w:val="16"/>
                <w:szCs w:val="16"/>
              </w:rPr>
              <w:t xml:space="preserve">Low</w:t>
            </w:r>
          </w:p>
        </w:tc>
        <w:tc>
          <w:tcPr>
            <w:tcW w:type="dxa" w:w="1647"/>
            <w:tcBorders>
              <w:top w:val="single" w:color="00A550" w:sz="4"/>
              <w:left w:val="none" w:color="FFFFFF" w:sz="0"/>
              <w:bottom w:val="single" w:color="00A550" w:sz="4"/>
              <w:right w:val="none" w:color="FFFFFF" w:sz="0"/>
            </w:tcBorders>
            <w:shd w:fill="F2F2F2" w:val="clear"/>
            <w:tcMar>
              <w:top w:type="dxa" w:w="60"/>
              <w:left w:type="dxa" w:w="80"/>
              <w:bottom w:type="dxa" w:w="60"/>
              <w:right w:type="dxa" w:w="80"/>
            </w:tcMar>
          </w:tcPr>
          <w:p>
            <w:pPr>
              <w:jc w:val="center"/>
            </w:pPr>
            <w:r>
              <w:rPr>
                <w:rFonts w:ascii="Arial" w:cs="Arial" w:eastAsia="Arial" w:hAnsi="Arial"/>
                <w:color w:val="1F2D3D"/>
                <w:sz w:val="16"/>
                <w:szCs w:val="16"/>
              </w:rPr>
              <w:t xml:space="preserve">Moderate</w:t>
            </w:r>
          </w:p>
        </w:tc>
        <w:tc>
          <w:tcPr>
            <w:tcW w:type="dxa" w:w="1647"/>
            <w:tcBorders>
              <w:top w:val="single" w:color="00A550" w:sz="4"/>
              <w:left w:val="none" w:color="FFFFFF" w:sz="0"/>
              <w:bottom w:val="single" w:color="00A550" w:sz="4"/>
              <w:right w:val="none" w:color="FFFFFF" w:sz="0"/>
            </w:tcBorders>
            <w:shd w:fill="F2F2F2" w:val="clear"/>
            <w:tcMar>
              <w:top w:type="dxa" w:w="60"/>
              <w:left w:type="dxa" w:w="80"/>
              <w:bottom w:type="dxa" w:w="60"/>
              <w:right w:type="dxa" w:w="80"/>
            </w:tcMar>
          </w:tcPr>
          <w:p>
            <w:pPr>
              <w:jc w:val="center"/>
            </w:pPr>
            <w:r>
              <w:rPr>
                <w:rFonts w:ascii="Arial" w:cs="Arial" w:eastAsia="Arial" w:hAnsi="Arial"/>
                <w:color w:val="1F2D3D"/>
                <w:sz w:val="16"/>
                <w:szCs w:val="16"/>
              </w:rPr>
              <w:t xml:space="preserve">Moderate–high</w:t>
            </w:r>
          </w:p>
        </w:tc>
        <w:tc>
          <w:tcPr>
            <w:tcW w:type="dxa" w:w="1646"/>
            <w:tcBorders>
              <w:top w:val="single" w:color="00A550" w:sz="4"/>
              <w:left w:val="none" w:color="FFFFFF" w:sz="0"/>
              <w:bottom w:val="single" w:color="00A550" w:sz="4"/>
              <w:right w:val="none" w:color="FFFFFF" w:sz="0"/>
            </w:tcBorders>
            <w:shd w:fill="F2F2F2" w:val="clear"/>
            <w:tcMar>
              <w:top w:type="dxa" w:w="60"/>
              <w:left w:type="dxa" w:w="80"/>
              <w:bottom w:type="dxa" w:w="60"/>
              <w:right w:type="dxa" w:w="80"/>
            </w:tcMar>
          </w:tcPr>
          <w:p>
            <w:pPr>
              <w:jc w:val="center"/>
            </w:pPr>
            <w:r>
              <w:rPr>
                <w:rFonts w:ascii="Arial" w:cs="Arial" w:eastAsia="Arial" w:hAnsi="Arial"/>
                <w:color w:val="1F2D3D"/>
                <w:sz w:val="16"/>
                <w:szCs w:val="16"/>
              </w:rPr>
              <w:t xml:space="preserve">High</w:t>
            </w:r>
          </w:p>
        </w:tc>
      </w:tr>
      <w:tr>
        <w:tc>
          <w:tcPr>
            <w:tcW w:type="dxa" w:w="2200"/>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left"/>
            </w:pPr>
            <w:r>
              <w:rPr>
                <w:rFonts w:ascii="Arial" w:cs="Arial" w:eastAsia="Arial" w:hAnsi="Arial"/>
                <w:color w:val="1F2D3D"/>
                <w:sz w:val="16"/>
                <w:szCs w:val="16"/>
              </w:rPr>
              <w:t xml:space="preserve">Chemical reagents</w:t>
            </w:r>
          </w:p>
        </w:tc>
        <w:tc>
          <w:tcPr>
            <w:tcW w:type="dxa" w:w="1647"/>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Not required</w:t>
            </w:r>
          </w:p>
        </w:tc>
        <w:tc>
          <w:tcPr>
            <w:tcW w:type="dxa" w:w="1647"/>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Not required</w:t>
            </w:r>
          </w:p>
        </w:tc>
        <w:tc>
          <w:tcPr>
            <w:tcW w:type="dxa" w:w="1647"/>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Required</w:t>
            </w:r>
          </w:p>
        </w:tc>
        <w:tc>
          <w:tcPr>
            <w:tcW w:type="dxa" w:w="1646"/>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Sometimes required</w:t>
            </w:r>
          </w:p>
        </w:tc>
      </w:tr>
      <w:tr>
        <w:tc>
          <w:tcPr>
            <w:tcW w:type="dxa" w:w="2200"/>
            <w:tcBorders>
              <w:top w:val="single" w:color="00A550" w:sz="4"/>
              <w:left w:val="none" w:color="FFFFFF" w:sz="0"/>
              <w:bottom w:val="single" w:color="00A550" w:sz="4"/>
              <w:right w:val="none" w:color="FFFFFF" w:sz="0"/>
            </w:tcBorders>
            <w:shd w:fill="F2F2F2" w:val="clear"/>
            <w:tcMar>
              <w:top w:type="dxa" w:w="60"/>
              <w:left w:type="dxa" w:w="80"/>
              <w:bottom w:type="dxa" w:w="60"/>
              <w:right w:type="dxa" w:w="80"/>
            </w:tcMar>
          </w:tcPr>
          <w:p>
            <w:pPr>
              <w:jc w:val="left"/>
            </w:pPr>
            <w:r>
              <w:rPr>
                <w:rFonts w:ascii="Arial" w:cs="Arial" w:eastAsia="Arial" w:hAnsi="Arial"/>
                <w:color w:val="1F2D3D"/>
                <w:sz w:val="16"/>
                <w:szCs w:val="16"/>
              </w:rPr>
              <w:t xml:space="preserve">Secondary waste</w:t>
            </w:r>
          </w:p>
        </w:tc>
        <w:tc>
          <w:tcPr>
            <w:tcW w:type="dxa" w:w="1647"/>
            <w:tcBorders>
              <w:top w:val="single" w:color="00A550" w:sz="4"/>
              <w:left w:val="none" w:color="FFFFFF" w:sz="0"/>
              <w:bottom w:val="single" w:color="00A550" w:sz="4"/>
              <w:right w:val="none" w:color="FFFFFF" w:sz="0"/>
            </w:tcBorders>
            <w:shd w:fill="F2F2F2" w:val="clear"/>
            <w:tcMar>
              <w:top w:type="dxa" w:w="60"/>
              <w:left w:type="dxa" w:w="80"/>
              <w:bottom w:type="dxa" w:w="60"/>
              <w:right w:type="dxa" w:w="80"/>
            </w:tcMar>
          </w:tcPr>
          <w:p>
            <w:pPr>
              <w:jc w:val="center"/>
            </w:pPr>
            <w:r>
              <w:rPr>
                <w:rFonts w:ascii="Arial" w:cs="Arial" w:eastAsia="Arial" w:hAnsi="Arial"/>
                <w:color w:val="1F2D3D"/>
                <w:sz w:val="16"/>
                <w:szCs w:val="16"/>
              </w:rPr>
              <w:t xml:space="preserve">Very low</w:t>
            </w:r>
          </w:p>
        </w:tc>
        <w:tc>
          <w:tcPr>
            <w:tcW w:type="dxa" w:w="1647"/>
            <w:tcBorders>
              <w:top w:val="single" w:color="00A550" w:sz="4"/>
              <w:left w:val="none" w:color="FFFFFF" w:sz="0"/>
              <w:bottom w:val="single" w:color="00A550" w:sz="4"/>
              <w:right w:val="none" w:color="FFFFFF" w:sz="0"/>
            </w:tcBorders>
            <w:shd w:fill="F2F2F2" w:val="clear"/>
            <w:tcMar>
              <w:top w:type="dxa" w:w="60"/>
              <w:left w:type="dxa" w:w="80"/>
              <w:bottom w:type="dxa" w:w="60"/>
              <w:right w:type="dxa" w:w="80"/>
            </w:tcMar>
          </w:tcPr>
          <w:p>
            <w:pPr>
              <w:jc w:val="center"/>
            </w:pPr>
            <w:r>
              <w:rPr>
                <w:rFonts w:ascii="Arial" w:cs="Arial" w:eastAsia="Arial" w:hAnsi="Arial"/>
                <w:color w:val="1F2D3D"/>
                <w:sz w:val="16"/>
                <w:szCs w:val="16"/>
              </w:rPr>
              <w:t xml:space="preserve">Low</w:t>
            </w:r>
          </w:p>
        </w:tc>
        <w:tc>
          <w:tcPr>
            <w:tcW w:type="dxa" w:w="1647"/>
            <w:tcBorders>
              <w:top w:val="single" w:color="00A550" w:sz="4"/>
              <w:left w:val="none" w:color="FFFFFF" w:sz="0"/>
              <w:bottom w:val="single" w:color="00A550" w:sz="4"/>
              <w:right w:val="none" w:color="FFFFFF" w:sz="0"/>
            </w:tcBorders>
            <w:shd w:fill="F2F2F2" w:val="clear"/>
            <w:tcMar>
              <w:top w:type="dxa" w:w="60"/>
              <w:left w:type="dxa" w:w="80"/>
              <w:bottom w:type="dxa" w:w="60"/>
              <w:right w:type="dxa" w:w="80"/>
            </w:tcMar>
          </w:tcPr>
          <w:p>
            <w:pPr>
              <w:jc w:val="center"/>
            </w:pPr>
            <w:r>
              <w:rPr>
                <w:rFonts w:ascii="Arial" w:cs="Arial" w:eastAsia="Arial" w:hAnsi="Arial"/>
                <w:color w:val="1F2D3D"/>
                <w:sz w:val="16"/>
                <w:szCs w:val="16"/>
              </w:rPr>
              <w:t xml:space="preserve">High</w:t>
            </w:r>
          </w:p>
        </w:tc>
        <w:tc>
          <w:tcPr>
            <w:tcW w:type="dxa" w:w="1646"/>
            <w:tcBorders>
              <w:top w:val="single" w:color="00A550" w:sz="4"/>
              <w:left w:val="none" w:color="FFFFFF" w:sz="0"/>
              <w:bottom w:val="single" w:color="00A550" w:sz="4"/>
              <w:right w:val="none" w:color="FFFFFF" w:sz="0"/>
            </w:tcBorders>
            <w:shd w:fill="F2F2F2" w:val="clear"/>
            <w:tcMar>
              <w:top w:type="dxa" w:w="60"/>
              <w:left w:type="dxa" w:w="80"/>
              <w:bottom w:type="dxa" w:w="60"/>
              <w:right w:type="dxa" w:w="80"/>
            </w:tcMar>
          </w:tcPr>
          <w:p>
            <w:pPr>
              <w:jc w:val="center"/>
            </w:pPr>
            <w:r>
              <w:rPr>
                <w:rFonts w:ascii="Arial" w:cs="Arial" w:eastAsia="Arial" w:hAnsi="Arial"/>
                <w:color w:val="1F2D3D"/>
                <w:sz w:val="16"/>
                <w:szCs w:val="16"/>
              </w:rPr>
              <w:t xml:space="preserve">Moderate</w:t>
            </w:r>
          </w:p>
        </w:tc>
      </w:tr>
      <w:tr>
        <w:tc>
          <w:tcPr>
            <w:tcW w:type="dxa" w:w="2200"/>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left"/>
            </w:pPr>
            <w:r>
              <w:rPr>
                <w:rFonts w:ascii="Arial" w:cs="Arial" w:eastAsia="Arial" w:hAnsi="Arial"/>
                <w:color w:val="1F2D3D"/>
                <w:sz w:val="16"/>
                <w:szCs w:val="16"/>
              </w:rPr>
              <w:t xml:space="preserve">Operational costs</w:t>
            </w:r>
          </w:p>
        </w:tc>
        <w:tc>
          <w:tcPr>
            <w:tcW w:type="dxa" w:w="1647"/>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Low</w:t>
            </w:r>
          </w:p>
        </w:tc>
        <w:tc>
          <w:tcPr>
            <w:tcW w:type="dxa" w:w="1647"/>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Moderate</w:t>
            </w:r>
          </w:p>
        </w:tc>
        <w:tc>
          <w:tcPr>
            <w:tcW w:type="dxa" w:w="1647"/>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Moderate–high</w:t>
            </w:r>
          </w:p>
        </w:tc>
        <w:tc>
          <w:tcPr>
            <w:tcW w:type="dxa" w:w="1646"/>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High</w:t>
            </w:r>
          </w:p>
        </w:tc>
      </w:tr>
      <w:tr>
        <w:tc>
          <w:tcPr>
            <w:tcW w:type="dxa" w:w="2200"/>
            <w:tcBorders>
              <w:top w:val="single" w:color="00A550" w:sz="4"/>
              <w:left w:val="none" w:color="FFFFFF" w:sz="0"/>
              <w:bottom w:val="single" w:color="00A550" w:sz="4"/>
              <w:right w:val="none" w:color="FFFFFF" w:sz="0"/>
            </w:tcBorders>
            <w:shd w:fill="F2F2F2" w:val="clear"/>
            <w:tcMar>
              <w:top w:type="dxa" w:w="60"/>
              <w:left w:type="dxa" w:w="80"/>
              <w:bottom w:type="dxa" w:w="60"/>
              <w:right w:type="dxa" w:w="80"/>
            </w:tcMar>
          </w:tcPr>
          <w:p>
            <w:pPr>
              <w:jc w:val="left"/>
            </w:pPr>
            <w:r>
              <w:rPr>
                <w:rFonts w:ascii="Arial" w:cs="Arial" w:eastAsia="Arial" w:hAnsi="Arial"/>
                <w:color w:val="1F2D3D"/>
                <w:sz w:val="16"/>
                <w:szCs w:val="16"/>
              </w:rPr>
              <w:t xml:space="preserve">Technological complexity</w:t>
            </w:r>
          </w:p>
        </w:tc>
        <w:tc>
          <w:tcPr>
            <w:tcW w:type="dxa" w:w="1647"/>
            <w:tcBorders>
              <w:top w:val="single" w:color="00A550" w:sz="4"/>
              <w:left w:val="none" w:color="FFFFFF" w:sz="0"/>
              <w:bottom w:val="single" w:color="00A550" w:sz="4"/>
              <w:right w:val="none" w:color="FFFFFF" w:sz="0"/>
            </w:tcBorders>
            <w:shd w:fill="F2F2F2" w:val="clear"/>
            <w:tcMar>
              <w:top w:type="dxa" w:w="60"/>
              <w:left w:type="dxa" w:w="80"/>
              <w:bottom w:type="dxa" w:w="60"/>
              <w:right w:type="dxa" w:w="80"/>
            </w:tcMar>
          </w:tcPr>
          <w:p>
            <w:pPr>
              <w:jc w:val="center"/>
            </w:pPr>
            <w:r>
              <w:rPr>
                <w:rFonts w:ascii="Arial" w:cs="Arial" w:eastAsia="Arial" w:hAnsi="Arial"/>
                <w:color w:val="1F2D3D"/>
                <w:sz w:val="16"/>
                <w:szCs w:val="16"/>
              </w:rPr>
              <w:t xml:space="preserve">Moderate</w:t>
            </w:r>
          </w:p>
        </w:tc>
        <w:tc>
          <w:tcPr>
            <w:tcW w:type="dxa" w:w="1647"/>
            <w:tcBorders>
              <w:top w:val="single" w:color="00A550" w:sz="4"/>
              <w:left w:val="none" w:color="FFFFFF" w:sz="0"/>
              <w:bottom w:val="single" w:color="00A550" w:sz="4"/>
              <w:right w:val="none" w:color="FFFFFF" w:sz="0"/>
            </w:tcBorders>
            <w:shd w:fill="F2F2F2" w:val="clear"/>
            <w:tcMar>
              <w:top w:type="dxa" w:w="60"/>
              <w:left w:type="dxa" w:w="80"/>
              <w:bottom w:type="dxa" w:w="60"/>
              <w:right w:type="dxa" w:w="80"/>
            </w:tcMar>
          </w:tcPr>
          <w:p>
            <w:pPr>
              <w:jc w:val="center"/>
            </w:pPr>
            <w:r>
              <w:rPr>
                <w:rFonts w:ascii="Arial" w:cs="Arial" w:eastAsia="Arial" w:hAnsi="Arial"/>
                <w:color w:val="1F2D3D"/>
                <w:sz w:val="16"/>
                <w:szCs w:val="16"/>
              </w:rPr>
              <w:t xml:space="preserve">Low</w:t>
            </w:r>
          </w:p>
        </w:tc>
        <w:tc>
          <w:tcPr>
            <w:tcW w:type="dxa" w:w="1647"/>
            <w:tcBorders>
              <w:top w:val="single" w:color="00A550" w:sz="4"/>
              <w:left w:val="none" w:color="FFFFFF" w:sz="0"/>
              <w:bottom w:val="single" w:color="00A550" w:sz="4"/>
              <w:right w:val="none" w:color="FFFFFF" w:sz="0"/>
            </w:tcBorders>
            <w:shd w:fill="F2F2F2" w:val="clear"/>
            <w:tcMar>
              <w:top w:type="dxa" w:w="60"/>
              <w:left w:type="dxa" w:w="80"/>
              <w:bottom w:type="dxa" w:w="60"/>
              <w:right w:type="dxa" w:w="80"/>
            </w:tcMar>
          </w:tcPr>
          <w:p>
            <w:pPr>
              <w:jc w:val="center"/>
            </w:pPr>
            <w:r>
              <w:rPr>
                <w:rFonts w:ascii="Arial" w:cs="Arial" w:eastAsia="Arial" w:hAnsi="Arial"/>
                <w:color w:val="1F2D3D"/>
                <w:sz w:val="16"/>
                <w:szCs w:val="16"/>
              </w:rPr>
              <w:t xml:space="preserve">Moderate</w:t>
            </w:r>
          </w:p>
        </w:tc>
        <w:tc>
          <w:tcPr>
            <w:tcW w:type="dxa" w:w="1646"/>
            <w:tcBorders>
              <w:top w:val="single" w:color="00A550" w:sz="4"/>
              <w:left w:val="none" w:color="FFFFFF" w:sz="0"/>
              <w:bottom w:val="single" w:color="00A550" w:sz="4"/>
              <w:right w:val="none" w:color="FFFFFF" w:sz="0"/>
            </w:tcBorders>
            <w:shd w:fill="F2F2F2" w:val="clear"/>
            <w:tcMar>
              <w:top w:type="dxa" w:w="60"/>
              <w:left w:type="dxa" w:w="80"/>
              <w:bottom w:type="dxa" w:w="60"/>
              <w:right w:type="dxa" w:w="80"/>
            </w:tcMar>
          </w:tcPr>
          <w:p>
            <w:pPr>
              <w:jc w:val="center"/>
            </w:pPr>
            <w:r>
              <w:rPr>
                <w:rFonts w:ascii="Arial" w:cs="Arial" w:eastAsia="Arial" w:hAnsi="Arial"/>
                <w:color w:val="1F2D3D"/>
                <w:sz w:val="16"/>
                <w:szCs w:val="16"/>
              </w:rPr>
              <w:t xml:space="preserve">High</w:t>
            </w:r>
          </w:p>
        </w:tc>
      </w:tr>
      <w:tr>
        <w:tc>
          <w:tcPr>
            <w:tcW w:type="dxa" w:w="2200"/>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left"/>
            </w:pPr>
            <w:r>
              <w:rPr>
                <w:rFonts w:ascii="Arial" w:cs="Arial" w:eastAsia="Arial" w:hAnsi="Arial"/>
                <w:color w:val="1F2D3D"/>
                <w:sz w:val="16"/>
                <w:szCs w:val="16"/>
              </w:rPr>
              <w:t xml:space="preserve">Environmental impact</w:t>
            </w:r>
          </w:p>
        </w:tc>
        <w:tc>
          <w:tcPr>
            <w:tcW w:type="dxa" w:w="1647"/>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Minimal</w:t>
            </w:r>
          </w:p>
        </w:tc>
        <w:tc>
          <w:tcPr>
            <w:tcW w:type="dxa" w:w="1647"/>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Low</w:t>
            </w:r>
          </w:p>
        </w:tc>
        <w:tc>
          <w:tcPr>
            <w:tcW w:type="dxa" w:w="1647"/>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Moderate–high</w:t>
            </w:r>
          </w:p>
        </w:tc>
        <w:tc>
          <w:tcPr>
            <w:tcW w:type="dxa" w:w="1646"/>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Moderate</w:t>
            </w:r>
          </w:p>
        </w:tc>
      </w:tr>
    </w:tbl>
    <w:p>
      <w:pPr>
        <w:spacing w:after="0" w:before="60"/>
      </w:pPr>
    </w:p>
    <w:p>
      <w:pPr>
        <w:pBdr>
          <w:bottom w:val="single" w:color="00A550" w:sz="4"/>
        </w:pBdr>
        <w:spacing w:after="60" w:before="120"/>
      </w:pPr>
      <w:r>
        <w:rPr>
          <w:rFonts w:ascii="Arial" w:cs="Arial" w:eastAsia="Arial" w:hAnsi="Arial"/>
          <w:b/>
          <w:bCs/>
          <w:color w:val="00A550"/>
          <w:sz w:val="19"/>
          <w:szCs w:val="19"/>
        </w:rPr>
        <w:t xml:space="preserve">5.4. Analytical Discussion</w:t>
      </w:r>
    </w:p>
    <w:p>
      <w:pPr>
        <w:spacing w:after="60" w:before="60"/>
        <w:jc w:val="both"/>
      </w:pPr>
      <w:r>
        <w:rPr>
          <w:rFonts w:ascii="Arial" w:cs="Arial" w:eastAsia="Arial" w:hAnsi="Arial"/>
          <w:sz w:val="18"/>
          <w:szCs w:val="18"/>
        </w:rPr>
        <w:t xml:space="preserve">According to the literature-reported ranges summarized in Table 1, magnetic separation technology outperforms conventional methods in several important aspects. First of all, it has a high separation efficiency, which in some cases reaches a level comparable to membrane technologies, while maintaining significantly lower energy consumption. This makes it an energy-efficient solution.</w:t>
      </w:r>
    </w:p>
    <w:p>
      <w:pPr>
        <w:spacing w:after="60" w:before="60"/>
        <w:jc w:val="both"/>
      </w:pPr>
      <w:r>
        <w:rPr>
          <w:rFonts w:ascii="Arial" w:cs="Arial" w:eastAsia="Arial" w:hAnsi="Arial"/>
          <w:sz w:val="18"/>
          <w:szCs w:val="18"/>
        </w:rPr>
        <w:t xml:space="preserve">Compared to chemical methods, the main advantage of magnetic separation is the absence of reagent use. This not only reduces operational costs but also significantly minimizes secondary pollution and sludge formation. Although membrane technologies offer high separation efficiency, their main drawbacks include high energy consumption, membrane fouling, and the need for regular maintenance (Crini and Lichtfouse, 2019). In magnetic systems, such issues are relatively rare, which is reported to enhance their operational stability (Kelland, 2014).</w:t>
      </w:r>
    </w:p>
    <w:p>
      <w:pPr>
        <w:spacing w:after="60" w:before="120"/>
      </w:pPr>
      <w:r>
        <w:rPr>
          <w:rFonts w:ascii="Arial" w:cs="Arial" w:eastAsia="Arial" w:hAnsi="Arial"/>
          <w:b/>
          <w:bCs/>
          <w:i/>
          <w:iCs/>
          <w:sz w:val="16"/>
          <w:szCs w:val="16"/>
        </w:rPr>
        <w:t xml:space="preserve">Table 2: Illustrative comparison of typical ranges reported for conventional vs. magnetic drum methods (compiled from the sources cited in Table 1)</w:t>
      </w:r>
    </w:p>
    <w:tbl>
      <w:tblPr>
        <w:tblW w:type="dxa" w:w="8787"/>
        <w:tblBorders>
          <w:top w:val="single" w:color="auto" w:sz="4"/>
          <w:left w:val="single" w:color="auto" w:sz="4"/>
          <w:bottom w:val="single" w:color="auto" w:sz="4"/>
          <w:right w:val="single" w:color="auto" w:sz="4"/>
          <w:insideH w:val="single" w:color="auto" w:sz="4"/>
          <w:insideV w:val="single" w:color="auto" w:sz="4"/>
        </w:tblBorders>
      </w:tblPr>
      <w:tblGrid>
        <w:gridCol w:w="2200"/>
        <w:gridCol w:w="3294"/>
        <w:gridCol w:w="3293"/>
      </w:tblGrid>
      <w:tr>
        <w:tc>
          <w:tcPr>
            <w:tcW w:type="dxa" w:w="2200"/>
            <w:tcBorders>
              <w:top w:val="single" w:color="00A550" w:sz="4"/>
              <w:left w:val="none" w:color="FFFFFF" w:sz="0"/>
              <w:bottom w:val="single" w:color="00A550" w:sz="4"/>
              <w:right w:val="none" w:color="FFFFFF" w:sz="0"/>
            </w:tcBorders>
            <w:shd w:fill="00A550" w:val="clear"/>
            <w:tcMar>
              <w:top w:type="dxa" w:w="60"/>
              <w:left w:type="dxa" w:w="80"/>
              <w:bottom w:type="dxa" w:w="60"/>
              <w:right w:type="dxa" w:w="80"/>
            </w:tcMar>
          </w:tcPr>
          <w:p>
            <w:pPr>
              <w:jc w:val="center"/>
            </w:pPr>
            <w:r>
              <w:rPr>
                <w:rFonts w:ascii="Arial" w:cs="Arial" w:eastAsia="Arial" w:hAnsi="Arial"/>
                <w:b/>
                <w:bCs/>
                <w:color w:val="FFFFFF"/>
                <w:sz w:val="16"/>
                <w:szCs w:val="16"/>
              </w:rPr>
              <w:t xml:space="preserve">Criterion</w:t>
            </w:r>
          </w:p>
        </w:tc>
        <w:tc>
          <w:tcPr>
            <w:tcW w:type="dxa" w:w="3294"/>
            <w:tcBorders>
              <w:top w:val="single" w:color="00A550" w:sz="4"/>
              <w:left w:val="none" w:color="FFFFFF" w:sz="0"/>
              <w:bottom w:val="single" w:color="00A550" w:sz="4"/>
              <w:right w:val="none" w:color="FFFFFF" w:sz="0"/>
            </w:tcBorders>
            <w:shd w:fill="00A550" w:val="clear"/>
            <w:tcMar>
              <w:top w:type="dxa" w:w="60"/>
              <w:left w:type="dxa" w:w="80"/>
              <w:bottom w:type="dxa" w:w="60"/>
              <w:right w:type="dxa" w:w="80"/>
            </w:tcMar>
          </w:tcPr>
          <w:p>
            <w:pPr>
              <w:jc w:val="center"/>
            </w:pPr>
            <w:r>
              <w:rPr>
                <w:rFonts w:ascii="Arial" w:cs="Arial" w:eastAsia="Arial" w:hAnsi="Arial"/>
                <w:b/>
                <w:bCs/>
                <w:color w:val="FFFFFF"/>
                <w:sz w:val="16"/>
                <w:szCs w:val="16"/>
              </w:rPr>
              <w:t xml:space="preserve">Conventional Methods</w:t>
            </w:r>
          </w:p>
        </w:tc>
        <w:tc>
          <w:tcPr>
            <w:tcW w:type="dxa" w:w="3293"/>
            <w:tcBorders>
              <w:top w:val="single" w:color="00A550" w:sz="4"/>
              <w:left w:val="none" w:color="FFFFFF" w:sz="0"/>
              <w:bottom w:val="single" w:color="00A550" w:sz="4"/>
              <w:right w:val="none" w:color="FFFFFF" w:sz="0"/>
            </w:tcBorders>
            <w:shd w:fill="00A550" w:val="clear"/>
            <w:tcMar>
              <w:top w:type="dxa" w:w="60"/>
              <w:left w:type="dxa" w:w="80"/>
              <w:bottom w:type="dxa" w:w="60"/>
              <w:right w:type="dxa" w:w="80"/>
            </w:tcMar>
          </w:tcPr>
          <w:p>
            <w:pPr>
              <w:jc w:val="center"/>
            </w:pPr>
            <w:r>
              <w:rPr>
                <w:rFonts w:ascii="Arial" w:cs="Arial" w:eastAsia="Arial" w:hAnsi="Arial"/>
                <w:b/>
                <w:bCs/>
                <w:color w:val="FFFFFF"/>
                <w:sz w:val="16"/>
                <w:szCs w:val="16"/>
              </w:rPr>
              <w:t xml:space="preserve">Magnetic Drum</w:t>
            </w:r>
          </w:p>
        </w:tc>
      </w:tr>
      <w:tr>
        <w:tc>
          <w:tcPr>
            <w:tcW w:type="dxa" w:w="2200"/>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left"/>
            </w:pPr>
            <w:r>
              <w:rPr>
                <w:rFonts w:ascii="Arial" w:cs="Arial" w:eastAsia="Arial" w:hAnsi="Arial"/>
                <w:color w:val="1F2D3D"/>
                <w:sz w:val="16"/>
                <w:szCs w:val="16"/>
              </w:rPr>
              <w:t xml:space="preserve">Efficiency (%)</w:t>
            </w:r>
          </w:p>
        </w:tc>
        <w:tc>
          <w:tcPr>
            <w:tcW w:type="dxa" w:w="3294"/>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50–60</w:t>
            </w:r>
          </w:p>
        </w:tc>
        <w:tc>
          <w:tcPr>
            <w:tcW w:type="dxa" w:w="3293"/>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90–95</w:t>
            </w:r>
          </w:p>
        </w:tc>
      </w:tr>
      <w:tr>
        <w:tc>
          <w:tcPr>
            <w:tcW w:type="dxa" w:w="2200"/>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left"/>
            </w:pPr>
            <w:r>
              <w:rPr>
                <w:rFonts w:ascii="Arial" w:cs="Arial" w:eastAsia="Arial" w:hAnsi="Arial"/>
                <w:color w:val="1F2D3D"/>
                <w:sz w:val="16"/>
                <w:szCs w:val="16"/>
              </w:rPr>
              <w:t xml:space="preserve">Chemical reagents</w:t>
            </w:r>
          </w:p>
        </w:tc>
        <w:tc>
          <w:tcPr>
            <w:tcW w:type="dxa" w:w="3294"/>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High consumption</w:t>
            </w:r>
          </w:p>
        </w:tc>
        <w:tc>
          <w:tcPr>
            <w:tcW w:type="dxa" w:w="3293"/>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Low or none</w:t>
            </w:r>
          </w:p>
        </w:tc>
      </w:tr>
      <w:tr>
        <w:tc>
          <w:tcPr>
            <w:tcW w:type="dxa" w:w="2200"/>
            <w:tcBorders>
              <w:top w:val="single" w:color="00A550" w:sz="4"/>
              <w:left w:val="none" w:color="FFFFFF" w:sz="0"/>
              <w:bottom w:val="single" w:color="00A550" w:sz="4"/>
              <w:right w:val="none" w:color="FFFFFF" w:sz="0"/>
            </w:tcBorders>
            <w:shd w:fill="F2F2F2" w:val="clear"/>
            <w:tcMar>
              <w:top w:type="dxa" w:w="60"/>
              <w:left w:type="dxa" w:w="80"/>
              <w:bottom w:type="dxa" w:w="60"/>
              <w:right w:type="dxa" w:w="80"/>
            </w:tcMar>
          </w:tcPr>
          <w:p>
            <w:pPr>
              <w:jc w:val="left"/>
            </w:pPr>
            <w:r>
              <w:rPr>
                <w:rFonts w:ascii="Arial" w:cs="Arial" w:eastAsia="Arial" w:hAnsi="Arial"/>
                <w:color w:val="1F2D3D"/>
                <w:sz w:val="16"/>
                <w:szCs w:val="16"/>
              </w:rPr>
              <w:t xml:space="preserve">Energy consumption</w:t>
            </w:r>
          </w:p>
        </w:tc>
        <w:tc>
          <w:tcPr>
            <w:tcW w:type="dxa" w:w="3294"/>
            <w:tcBorders>
              <w:top w:val="single" w:color="00A550" w:sz="4"/>
              <w:left w:val="none" w:color="FFFFFF" w:sz="0"/>
              <w:bottom w:val="single" w:color="00A550" w:sz="4"/>
              <w:right w:val="none" w:color="FFFFFF" w:sz="0"/>
            </w:tcBorders>
            <w:shd w:fill="F2F2F2" w:val="clear"/>
            <w:tcMar>
              <w:top w:type="dxa" w:w="60"/>
              <w:left w:type="dxa" w:w="80"/>
              <w:bottom w:type="dxa" w:w="60"/>
              <w:right w:type="dxa" w:w="80"/>
            </w:tcMar>
          </w:tcPr>
          <w:p>
            <w:pPr>
              <w:jc w:val="center"/>
            </w:pPr>
            <w:r>
              <w:rPr>
                <w:rFonts w:ascii="Arial" w:cs="Arial" w:eastAsia="Arial" w:hAnsi="Arial"/>
                <w:color w:val="1F2D3D"/>
                <w:sz w:val="16"/>
                <w:szCs w:val="16"/>
              </w:rPr>
              <w:t xml:space="preserve">High</w:t>
            </w:r>
          </w:p>
        </w:tc>
        <w:tc>
          <w:tcPr>
            <w:tcW w:type="dxa" w:w="3293"/>
            <w:tcBorders>
              <w:top w:val="single" w:color="00A550" w:sz="4"/>
              <w:left w:val="none" w:color="FFFFFF" w:sz="0"/>
              <w:bottom w:val="single" w:color="00A550" w:sz="4"/>
              <w:right w:val="none" w:color="FFFFFF" w:sz="0"/>
            </w:tcBorders>
            <w:shd w:fill="F2F2F2" w:val="clear"/>
            <w:tcMar>
              <w:top w:type="dxa" w:w="60"/>
              <w:left w:type="dxa" w:w="80"/>
              <w:bottom w:type="dxa" w:w="60"/>
              <w:right w:type="dxa" w:w="80"/>
            </w:tcMar>
          </w:tcPr>
          <w:p>
            <w:pPr>
              <w:jc w:val="center"/>
            </w:pPr>
            <w:r>
              <w:rPr>
                <w:rFonts w:ascii="Arial" w:cs="Arial" w:eastAsia="Arial" w:hAnsi="Arial"/>
                <w:color w:val="1F2D3D"/>
                <w:sz w:val="16"/>
                <w:szCs w:val="16"/>
              </w:rPr>
              <w:t xml:space="preserve">Substantially lower</w:t>
            </w:r>
          </w:p>
        </w:tc>
      </w:tr>
      <w:tr>
        <w:tc>
          <w:tcPr>
            <w:tcW w:type="dxa" w:w="2200"/>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left"/>
            </w:pPr>
            <w:r>
              <w:rPr>
                <w:rFonts w:ascii="Arial" w:cs="Arial" w:eastAsia="Arial" w:hAnsi="Arial"/>
                <w:color w:val="1F2D3D"/>
                <w:sz w:val="16"/>
                <w:szCs w:val="16"/>
              </w:rPr>
              <w:t xml:space="preserve">Waste generation</w:t>
            </w:r>
          </w:p>
        </w:tc>
        <w:tc>
          <w:tcPr>
            <w:tcW w:type="dxa" w:w="3294"/>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High, requires disposal</w:t>
            </w:r>
          </w:p>
        </w:tc>
        <w:tc>
          <w:tcPr>
            <w:tcW w:type="dxa" w:w="3293"/>
            <w:tcBorders>
              <w:top w:val="single" w:color="00A550" w:sz="4"/>
              <w:left w:val="none" w:color="FFFFFF" w:sz="0"/>
              <w:bottom w:val="single" w:color="00A550" w:sz="4"/>
              <w:right w:val="none" w:color="FFFFFF" w:sz="0"/>
            </w:tcBorders>
            <w:shd w:fill="FFFFFF" w:val="clear"/>
            <w:tcMar>
              <w:top w:type="dxa" w:w="60"/>
              <w:left w:type="dxa" w:w="80"/>
              <w:bottom w:type="dxa" w:w="60"/>
              <w:right w:type="dxa" w:w="80"/>
            </w:tcMar>
          </w:tcPr>
          <w:p>
            <w:pPr>
              <w:jc w:val="center"/>
            </w:pPr>
            <w:r>
              <w:rPr>
                <w:rFonts w:ascii="Arial" w:cs="Arial" w:eastAsia="Arial" w:hAnsi="Arial"/>
                <w:color w:val="1F2D3D"/>
                <w:sz w:val="16"/>
                <w:szCs w:val="16"/>
              </w:rPr>
              <w:t xml:space="preserve">Low, recyclable</w:t>
            </w:r>
          </w:p>
        </w:tc>
      </w:tr>
    </w:tbl>
    <w:p>
      <w:pPr>
        <w:spacing w:after="0" w:before="80"/>
      </w:pPr>
    </w:p>
    <w:p>
      <w:pPr>
        <w:shd w:fill="00A550" w:val="clear"/>
        <w:spacing w:after="80" w:before="160"/>
        <w:ind w:left="80" w:right="80"/>
      </w:pPr>
      <w:r>
        <w:rPr>
          <w:rFonts w:ascii="Arial" w:cs="Arial" w:eastAsia="Arial" w:hAnsi="Arial"/>
          <w:b/>
          <w:bCs/>
          <w:color w:val="FFFFFF"/>
          <w:sz w:val="20"/>
          <w:szCs w:val="20"/>
        </w:rPr>
        <w:t xml:space="preserve">6. Recuperation Approach</w:t>
      </w:r>
    </w:p>
    <w:p>
      <w:pPr>
        <w:spacing w:after="60" w:before="60"/>
        <w:jc w:val="both"/>
      </w:pPr>
      <w:r>
        <w:rPr>
          <w:rFonts w:ascii="Arial" w:cs="Arial" w:eastAsia="Arial" w:hAnsi="Arial"/>
          <w:sz w:val="18"/>
          <w:szCs w:val="18"/>
        </w:rPr>
        <w:t xml:space="preserve">In magnetic separation technologies, the recuperation approach is aimed at recovering the separated particles as valuable resources rather than disposing of them as waste. This approach is based on the concept of resource recovery and meets modern environmental and economic efficiency requirements.</w:t>
      </w:r>
    </w:p>
    <w:p>
      <w:pPr>
        <w:spacing w:after="60" w:before="60"/>
        <w:jc w:val="both"/>
      </w:pPr>
      <w:r>
        <w:rPr>
          <w:rFonts w:ascii="Arial" w:cs="Arial" w:eastAsia="Arial" w:hAnsi="Arial"/>
          <w:sz w:val="18"/>
          <w:szCs w:val="18"/>
        </w:rPr>
        <w:t xml:space="preserve">Particles separated from wastewater using magnetic drums or high-gradient magnetic separators typically include metallic particles, magnetite, iron oxides, and other magnetic or paramagnetic components (Yavuz et al., 2009; Yadav et al., 2021). After collection, these particles undergo several processing stages:</w:t>
      </w:r>
    </w:p>
    <w:p>
      <w:pPr>
        <w:pStyle w:val="ListParagraph"/>
        <w:numPr>
          <w:ilvl w:val="0"/>
          <w:numId w:val="2"/>
        </w:numPr>
        <w:spacing w:after="40" w:before="40"/>
        <w:jc w:val="both"/>
      </w:pPr>
      <w:r>
        <w:rPr>
          <w:rFonts w:ascii="Arial" w:cs="Arial" w:eastAsia="Arial" w:hAnsi="Arial"/>
          <w:sz w:val="18"/>
          <w:szCs w:val="18"/>
        </w:rPr>
        <w:t xml:space="preserve">drying — to reduce moisture content and prepare for transport;</w:t>
      </w:r>
    </w:p>
    <w:p>
      <w:pPr>
        <w:pStyle w:val="ListParagraph"/>
        <w:numPr>
          <w:ilvl w:val="0"/>
          <w:numId w:val="2"/>
        </w:numPr>
        <w:spacing w:after="40" w:before="40"/>
        <w:jc w:val="both"/>
      </w:pPr>
      <w:r>
        <w:rPr>
          <w:rFonts w:ascii="Arial" w:cs="Arial" w:eastAsia="Arial" w:hAnsi="Arial"/>
          <w:sz w:val="18"/>
          <w:szCs w:val="18"/>
        </w:rPr>
        <w:t xml:space="preserve">sorting — fractionation based on particle size and composition;</w:t>
      </w:r>
    </w:p>
    <w:p>
      <w:pPr>
        <w:pStyle w:val="ListParagraph"/>
        <w:numPr>
          <w:ilvl w:val="0"/>
          <w:numId w:val="2"/>
        </w:numPr>
        <w:spacing w:after="40" w:before="40"/>
        <w:jc w:val="both"/>
      </w:pPr>
      <w:r>
        <w:rPr>
          <w:rFonts w:ascii="Arial" w:cs="Arial" w:eastAsia="Arial" w:hAnsi="Arial"/>
          <w:sz w:val="18"/>
          <w:szCs w:val="18"/>
        </w:rPr>
        <w:t xml:space="preserve">purification — removal of additional impurities;</w:t>
      </w:r>
    </w:p>
    <w:p>
      <w:pPr>
        <w:pStyle w:val="ListParagraph"/>
        <w:numPr>
          <w:ilvl w:val="0"/>
          <w:numId w:val="2"/>
        </w:numPr>
        <w:spacing w:after="40" w:before="40"/>
        <w:jc w:val="both"/>
      </w:pPr>
      <w:r>
        <w:rPr>
          <w:rFonts w:ascii="Arial" w:cs="Arial" w:eastAsia="Arial" w:hAnsi="Arial"/>
          <w:sz w:val="18"/>
          <w:szCs w:val="18"/>
        </w:rPr>
        <w:t xml:space="preserve">recycling — reintroduction into industrial processes or use as raw materials.</w:t>
      </w:r>
    </w:p>
    <w:p>
      <w:pPr>
        <w:spacing w:after="60" w:before="60"/>
        <w:jc w:val="both"/>
      </w:pPr>
      <w:r>
        <w:rPr>
          <w:rFonts w:ascii="Arial" w:cs="Arial" w:eastAsia="Arial" w:hAnsi="Arial"/>
          <w:sz w:val="18"/>
          <w:szCs w:val="18"/>
        </w:rPr>
        <w:t xml:space="preserve">One of the main advantages of the recuperation approach is that it significantly reduces waste volume and transforms waste into secondary resources. As a result, costs associated with waste disposal decrease, and environmental impact is reduced. Economic value is generated through the reuse of recovered materials — for example, metallic particles can be reused as raw materials in metallurgical processes, while magnetite-based particles can be used as adsorbents or catalysts, enabling a closed-loop system in the production chain.</w:t>
      </w:r>
    </w:p>
    <w:p>
      <w:pPr>
        <w:spacing w:after="60" w:before="60"/>
        <w:jc w:val="both"/>
      </w:pPr>
      <w:r>
        <w:rPr>
          <w:rFonts w:ascii="Arial" w:cs="Arial" w:eastAsia="Arial" w:hAnsi="Arial"/>
          <w:sz w:val="18"/>
          <w:szCs w:val="18"/>
        </w:rPr>
        <w:t xml:space="preserve">Scientific studies (Yadav et al., 2021) indicate that recuperation processes integrated with magnetic separation systems not only enhance wastewater treatment efficiency but also promote rational use of resources. Therefore, this approach aligns with the principles of the green economy and sustainable development.</w:t>
      </w:r>
    </w:p>
    <w:p>
      <w:pPr>
        <w:shd w:fill="00A550" w:val="clear"/>
        <w:spacing w:after="80" w:before="160"/>
        <w:ind w:left="80" w:right="80"/>
      </w:pPr>
      <w:r>
        <w:rPr>
          <w:rFonts w:ascii="Arial" w:cs="Arial" w:eastAsia="Arial" w:hAnsi="Arial"/>
          <w:b/>
          <w:bCs/>
          <w:color w:val="FFFFFF"/>
          <w:sz w:val="20"/>
          <w:szCs w:val="20"/>
        </w:rPr>
        <w:t xml:space="preserve">7. Problems and Limitations</w:t>
      </w:r>
    </w:p>
    <w:p>
      <w:pPr>
        <w:spacing w:after="60" w:before="60"/>
        <w:jc w:val="both"/>
      </w:pPr>
      <w:r>
        <w:rPr>
          <w:rFonts w:ascii="Arial" w:cs="Arial" w:eastAsia="Arial" w:hAnsi="Arial"/>
          <w:sz w:val="18"/>
          <w:szCs w:val="18"/>
        </w:rPr>
        <w:t xml:space="preserve">Despite their high efficiency and environmental advantages, magnetic separation technologies have several practical challenges and limitations. One of the main limitations is that not all contaminants present in wastewater possess magnetic properties. Magnetic separation is mainly effective for ferromagnetic, ferrimagnetic, and in some cases paramagnetic particles (Zeng and Zheng, 2018). Therefore, direct separation of non-magnetic organic compounds or dissolved substances is limited, which necessitates additional treatment stages.</w:t>
      </w:r>
    </w:p>
    <w:p>
      <w:pPr>
        <w:spacing w:after="60" w:before="60"/>
        <w:jc w:val="both"/>
      </w:pPr>
      <w:r>
        <w:rPr>
          <w:rFonts w:ascii="Arial" w:cs="Arial" w:eastAsia="Arial" w:hAnsi="Arial"/>
          <w:sz w:val="18"/>
          <w:szCs w:val="18"/>
        </w:rPr>
        <w:t xml:space="preserve">Another important challenge is the difficulty in separating fine dispersed particles. Micron and submicron-sized particles may pass through the magnetic field region due to hydrodynamic flow. Capturing such particles effectively requires high-gradient magnetic fields and specialized design solutions, which increases system complexity (Gao and Sun, 2019).</w:t>
      </w:r>
    </w:p>
    <w:p>
      <w:pPr>
        <w:spacing w:after="60" w:before="60"/>
        <w:jc w:val="both"/>
      </w:pPr>
      <w:r>
        <w:rPr>
          <w:rFonts w:ascii="Arial" w:cs="Arial" w:eastAsia="Arial" w:hAnsi="Arial"/>
          <w:sz w:val="18"/>
          <w:szCs w:val="18"/>
        </w:rPr>
        <w:t xml:space="preserve">Magnetic field design is also a key factor determining system efficiency. If magnetic induction, field gradient, and the arrangement of magnetic elements are not properly designed, particle capture efficiency can significantly decrease. Moreover, in electromagnetic systems, technical issues such as energy consumption and heat generation may arise.</w:t>
      </w:r>
    </w:p>
    <w:p>
      <w:pPr>
        <w:spacing w:after="60" w:before="60"/>
        <w:jc w:val="both"/>
      </w:pPr>
      <w:r>
        <w:rPr>
          <w:rFonts w:ascii="Arial" w:cs="Arial" w:eastAsia="Arial" w:hAnsi="Arial"/>
          <w:sz w:val="18"/>
          <w:szCs w:val="18"/>
        </w:rPr>
        <w:t xml:space="preserve">In general, the main problems and limitations of magnetic separation technologies include:</w:t>
      </w:r>
    </w:p>
    <w:p>
      <w:pPr>
        <w:pStyle w:val="ListParagraph"/>
        <w:numPr>
          <w:ilvl w:val="0"/>
          <w:numId w:val="2"/>
        </w:numPr>
        <w:spacing w:after="40" w:before="40"/>
        <w:jc w:val="both"/>
      </w:pPr>
      <w:r>
        <w:rPr>
          <w:rFonts w:ascii="Arial" w:cs="Arial" w:eastAsia="Arial" w:hAnsi="Arial"/>
          <w:sz w:val="18"/>
          <w:szCs w:val="18"/>
        </w:rPr>
        <w:t xml:space="preserve">limitations in removing non-magnetic contaminants;</w:t>
      </w:r>
    </w:p>
    <w:p>
      <w:pPr>
        <w:pStyle w:val="ListParagraph"/>
        <w:numPr>
          <w:ilvl w:val="0"/>
          <w:numId w:val="2"/>
        </w:numPr>
        <w:spacing w:after="40" w:before="40"/>
        <w:jc w:val="both"/>
      </w:pPr>
      <w:r>
        <w:rPr>
          <w:rFonts w:ascii="Arial" w:cs="Arial" w:eastAsia="Arial" w:hAnsi="Arial"/>
          <w:sz w:val="18"/>
          <w:szCs w:val="18"/>
        </w:rPr>
        <w:t xml:space="preserve">difficulty in capturing fine particles;</w:t>
      </w:r>
    </w:p>
    <w:p>
      <w:pPr>
        <w:pStyle w:val="ListParagraph"/>
        <w:numPr>
          <w:ilvl w:val="0"/>
          <w:numId w:val="2"/>
        </w:numPr>
        <w:spacing w:after="40" w:before="40"/>
        <w:jc w:val="both"/>
      </w:pPr>
      <w:r>
        <w:rPr>
          <w:rFonts w:ascii="Arial" w:cs="Arial" w:eastAsia="Arial" w:hAnsi="Arial"/>
          <w:sz w:val="18"/>
          <w:szCs w:val="18"/>
        </w:rPr>
        <w:t xml:space="preserve">reduced efficiency at high flow velocities;</w:t>
      </w:r>
    </w:p>
    <w:p>
      <w:pPr>
        <w:pStyle w:val="ListParagraph"/>
        <w:numPr>
          <w:ilvl w:val="0"/>
          <w:numId w:val="2"/>
        </w:numPr>
        <w:spacing w:after="40" w:before="40"/>
        <w:jc w:val="both"/>
      </w:pPr>
      <w:r>
        <w:rPr>
          <w:rFonts w:ascii="Arial" w:cs="Arial" w:eastAsia="Arial" w:hAnsi="Arial"/>
          <w:sz w:val="18"/>
          <w:szCs w:val="18"/>
        </w:rPr>
        <w:t xml:space="preserve">complexity of magnetic field design;</w:t>
      </w:r>
    </w:p>
    <w:p>
      <w:pPr>
        <w:pStyle w:val="ListParagraph"/>
        <w:numPr>
          <w:ilvl w:val="0"/>
          <w:numId w:val="2"/>
        </w:numPr>
        <w:spacing w:after="40" w:before="40"/>
        <w:jc w:val="both"/>
      </w:pPr>
      <w:r>
        <w:rPr>
          <w:rFonts w:ascii="Arial" w:cs="Arial" w:eastAsia="Arial" w:hAnsi="Arial"/>
          <w:sz w:val="18"/>
          <w:szCs w:val="18"/>
        </w:rPr>
        <w:t xml:space="preserve">high initial investment and technical complexity.</w:t>
      </w:r>
    </w:p>
    <w:p>
      <w:pPr>
        <w:spacing w:after="60" w:before="60"/>
        <w:jc w:val="both"/>
      </w:pPr>
      <w:r>
        <w:rPr>
          <w:rFonts w:ascii="Arial" w:cs="Arial" w:eastAsia="Arial" w:hAnsi="Arial"/>
          <w:sz w:val="18"/>
          <w:szCs w:val="18"/>
        </w:rPr>
        <w:t xml:space="preserve">Therefore, future research should focus on optimizing magnetic field configurations, developing hybrid treatment systems, and exploring new magnetic materials to overcome these limitations.</w:t>
      </w:r>
    </w:p>
    <w:p>
      <w:pPr>
        <w:shd w:fill="00A550" w:val="clear"/>
        <w:spacing w:after="80" w:before="160"/>
        <w:ind w:left="80" w:right="80"/>
      </w:pPr>
      <w:r>
        <w:rPr>
          <w:rFonts w:ascii="Arial" w:cs="Arial" w:eastAsia="Arial" w:hAnsi="Arial"/>
          <w:b/>
          <w:bCs/>
          <w:color w:val="FFFFFF"/>
          <w:sz w:val="20"/>
          <w:szCs w:val="20"/>
        </w:rPr>
        <w:t xml:space="preserve">8. Future Prospects</w:t>
      </w:r>
    </w:p>
    <w:p>
      <w:pPr>
        <w:spacing w:after="60" w:before="60"/>
        <w:jc w:val="both"/>
      </w:pPr>
      <w:r>
        <w:rPr>
          <w:rFonts w:ascii="Arial" w:cs="Arial" w:eastAsia="Arial" w:hAnsi="Arial"/>
          <w:sz w:val="18"/>
          <w:szCs w:val="18"/>
        </w:rPr>
        <w:t xml:space="preserve">Although magnetic separation technologies have been rapidly developing in recent years, further advancements are expected in the future. In particular, integrating magnetic separation systems with other treatment technologies to create hybrid systems is considered a promising direction. Such systems combine mechanical, chemical, and physical processes, enabling efficient removal of a wide range of contaminants.</w:t>
      </w:r>
    </w:p>
    <w:p>
      <w:pPr>
        <w:spacing w:after="60" w:before="60"/>
        <w:jc w:val="both"/>
      </w:pPr>
      <w:r>
        <w:rPr>
          <w:rFonts w:ascii="Arial" w:cs="Arial" w:eastAsia="Arial" w:hAnsi="Arial"/>
          <w:sz w:val="18"/>
          <w:szCs w:val="18"/>
        </w:rPr>
        <w:t xml:space="preserve">One of the key future directions is the use of nanomagnetic materials and nano-adsorbents (Crane and Scott, 2012; MDPI, 2021). Nanostructured magnetic particles have a high specific surface area, allowing them to effectively adsorb pollutants and subsequently be easily separated using a magnetic field. This approach is especially promising for removing heavy metals, organic compounds, and micro-pollutants.</w:t>
      </w:r>
    </w:p>
    <w:p>
      <w:pPr>
        <w:spacing w:after="60" w:before="60"/>
        <w:jc w:val="both"/>
      </w:pPr>
      <w:r>
        <w:rPr>
          <w:rFonts w:ascii="Arial" w:cs="Arial" w:eastAsia="Arial" w:hAnsi="Arial"/>
          <w:sz w:val="18"/>
          <w:szCs w:val="18"/>
        </w:rPr>
        <w:t xml:space="preserve">The optimization of magnetic separation processes using digital technologies and artificial intelligence (AI) is another important future direction. With the help of sensors and monitoring systems, parameters such as magnetic field strength, flow rate, and particle concentration can be monitored in real time, allowing the system to automatically adjust to optimal operating conditions.</w:t>
      </w:r>
    </w:p>
    <w:p>
      <w:pPr>
        <w:spacing w:after="60" w:before="60"/>
        <w:jc w:val="both"/>
      </w:pPr>
      <w:r>
        <w:rPr>
          <w:rFonts w:ascii="Arial" w:cs="Arial" w:eastAsia="Arial" w:hAnsi="Arial"/>
          <w:sz w:val="18"/>
          <w:szCs w:val="18"/>
        </w:rPr>
        <w:t xml:space="preserve">Overall, the future development of magnetic separation technologies will focus on:</w:t>
      </w:r>
    </w:p>
    <w:p>
      <w:pPr>
        <w:pStyle w:val="ListParagraph"/>
        <w:numPr>
          <w:ilvl w:val="0"/>
          <w:numId w:val="2"/>
        </w:numPr>
        <w:spacing w:after="40" w:before="40"/>
        <w:jc w:val="both"/>
      </w:pPr>
      <w:r>
        <w:rPr>
          <w:rFonts w:ascii="Arial" w:cs="Arial" w:eastAsia="Arial" w:hAnsi="Arial"/>
          <w:sz w:val="18"/>
          <w:szCs w:val="18"/>
        </w:rPr>
        <w:t xml:space="preserve">developing hybrid treatment systems;</w:t>
      </w:r>
    </w:p>
    <w:p>
      <w:pPr>
        <w:pStyle w:val="ListParagraph"/>
        <w:numPr>
          <w:ilvl w:val="0"/>
          <w:numId w:val="2"/>
        </w:numPr>
        <w:spacing w:after="40" w:before="40"/>
        <w:jc w:val="both"/>
      </w:pPr>
      <w:r>
        <w:rPr>
          <w:rFonts w:ascii="Arial" w:cs="Arial" w:eastAsia="Arial" w:hAnsi="Arial"/>
          <w:sz w:val="18"/>
          <w:szCs w:val="18"/>
        </w:rPr>
        <w:t xml:space="preserve">using nanomagnetic materials and nano-adsorbents;</w:t>
      </w:r>
    </w:p>
    <w:p>
      <w:pPr>
        <w:pStyle w:val="ListParagraph"/>
        <w:numPr>
          <w:ilvl w:val="0"/>
          <w:numId w:val="2"/>
        </w:numPr>
        <w:spacing w:after="40" w:before="40"/>
        <w:jc w:val="both"/>
      </w:pPr>
      <w:r>
        <w:rPr>
          <w:rFonts w:ascii="Arial" w:cs="Arial" w:eastAsia="Arial" w:hAnsi="Arial"/>
          <w:sz w:val="18"/>
          <w:szCs w:val="18"/>
        </w:rPr>
        <w:t xml:space="preserve">improving high-gradient magnetic systems;</w:t>
      </w:r>
    </w:p>
    <w:p>
      <w:pPr>
        <w:pStyle w:val="ListParagraph"/>
        <w:numPr>
          <w:ilvl w:val="0"/>
          <w:numId w:val="2"/>
        </w:numPr>
        <w:spacing w:after="40" w:before="40"/>
        <w:jc w:val="both"/>
      </w:pPr>
      <w:r>
        <w:rPr>
          <w:rFonts w:ascii="Arial" w:cs="Arial" w:eastAsia="Arial" w:hAnsi="Arial"/>
          <w:sz w:val="18"/>
          <w:szCs w:val="18"/>
        </w:rPr>
        <w:t xml:space="preserve">implementing artificial intelligence and automation;</w:t>
      </w:r>
    </w:p>
    <w:p>
      <w:pPr>
        <w:pStyle w:val="ListParagraph"/>
        <w:numPr>
          <w:ilvl w:val="0"/>
          <w:numId w:val="2"/>
        </w:numPr>
        <w:spacing w:after="40" w:before="40"/>
        <w:jc w:val="both"/>
      </w:pPr>
      <w:r>
        <w:rPr>
          <w:rFonts w:ascii="Arial" w:cs="Arial" w:eastAsia="Arial" w:hAnsi="Arial"/>
          <w:sz w:val="18"/>
          <w:szCs w:val="18"/>
        </w:rPr>
        <w:t xml:space="preserve">advancing resource recovery and closed-loop systems.</w:t>
      </w:r>
    </w:p>
    <w:p>
      <w:pPr>
        <w:spacing w:after="60" w:before="60"/>
        <w:jc w:val="both"/>
      </w:pPr>
      <w:r>
        <w:rPr>
          <w:rFonts w:ascii="Arial" w:cs="Arial" w:eastAsia="Arial" w:hAnsi="Arial"/>
          <w:sz w:val="18"/>
          <w:szCs w:val="18"/>
        </w:rPr>
        <w:t xml:space="preserve">These directions will play an important role in further improving the efficiency of magnetic separation technologies, enabling their large-scale industrial application, and ensuring environmental sustainability.</w:t>
      </w:r>
    </w:p>
    <w:p>
      <w:pPr>
        <w:shd w:fill="00A550" w:val="clear"/>
        <w:spacing w:after="80" w:before="160"/>
        <w:ind w:left="80" w:right="80"/>
      </w:pPr>
      <w:r>
        <w:rPr>
          <w:rFonts w:ascii="Arial" w:cs="Arial" w:eastAsia="Arial" w:hAnsi="Arial"/>
          <w:b/>
          <w:bCs/>
          <w:color w:val="FFFFFF"/>
          <w:sz w:val="20"/>
          <w:szCs w:val="20"/>
        </w:rPr>
        <w:t xml:space="preserve">9. Conclusions</w:t>
      </w:r>
    </w:p>
    <w:p>
      <w:pPr>
        <w:spacing w:after="60" w:before="60"/>
        <w:jc w:val="both"/>
      </w:pPr>
      <w:r>
        <w:rPr>
          <w:rFonts w:ascii="Arial" w:cs="Arial" w:eastAsia="Arial" w:hAnsi="Arial"/>
          <w:sz w:val="18"/>
          <w:szCs w:val="18"/>
        </w:rPr>
        <w:t xml:space="preserve">This literature-based analysis has shown that magnetic drum-based recuperative technology represents a highly effective and environmentally sustainable approach for industrial wastewater treatment. Data reported in the reviewed experimental and pilot-scale literature indicate that magnetic separation systems can achieve separation efficiencies of 90–99% for ferromagnetic and paramagnetic particles, with energy consumption reported to be substantially lower than conventional membrane and chemical methods (Gao and Sun, 2019; Zeng and Zheng, 2018; MDPI, 2021).</w:t>
      </w:r>
    </w:p>
    <w:p>
      <w:pPr>
        <w:spacing w:after="60" w:before="60"/>
        <w:jc w:val="both"/>
      </w:pPr>
      <w:r>
        <w:rPr>
          <w:rFonts w:ascii="Arial" w:cs="Arial" w:eastAsia="Arial" w:hAnsi="Arial"/>
          <w:sz w:val="18"/>
          <w:szCs w:val="18"/>
        </w:rPr>
        <w:t xml:space="preserve">The recuperation approach enables the recovery and reuse of separated materials as secondary raw materials, contributing to closed-loop industrial systems and reducing overall waste disposal burdens. The literature-based comparative analysis presented in this review indicates that magnetic separation outperforms conventional mechanical, chemical, and biological methods in terms of energy efficiency, reagent-free operation, and minimal secondary waste generation.</w:t>
      </w:r>
    </w:p>
    <w:p>
      <w:pPr>
        <w:spacing w:after="60" w:before="60"/>
        <w:jc w:val="both"/>
      </w:pPr>
      <w:r>
        <w:rPr>
          <w:rFonts w:ascii="Arial" w:cs="Arial" w:eastAsia="Arial" w:hAnsi="Arial"/>
          <w:sz w:val="18"/>
          <w:szCs w:val="18"/>
        </w:rPr>
        <w:t xml:space="preserve">Despite existing limitations — particularly for non-magnetic contaminants and fine dispersed particles — the integration of nanomagnetic materials, high-gradient magnetic systems, and AI-based process control offers clear pathways for further improvement. The technology aligns with the principles of green economy and sustainable industrial development, making magnetic drum separators a compelling solution for modern wastewater treatment challenges.</w:t>
      </w:r>
    </w:p>
    <w:p>
      <w:pPr>
        <w:shd w:fill="00A550" w:val="clear"/>
        <w:spacing w:after="80" w:before="160"/>
        <w:ind w:left="80" w:right="80"/>
      </w:pPr>
      <w:r>
        <w:rPr>
          <w:rFonts w:ascii="Arial" w:cs="Arial" w:eastAsia="Arial" w:hAnsi="Arial"/>
          <w:b/>
          <w:bCs/>
          <w:color w:val="FFFFFF"/>
          <w:sz w:val="20"/>
          <w:szCs w:val="20"/>
        </w:rPr>
        <w:t xml:space="preserve">Nomenclature</w:t>
      </w:r>
    </w:p>
    <w:p>
      <w:pPr>
        <w:spacing w:after="60" w:before="60"/>
        <w:jc w:val="both"/>
      </w:pPr>
      <w:r>
        <w:rPr>
          <w:rFonts w:ascii="Arial" w:cs="Arial" w:eastAsia="Arial" w:hAnsi="Arial"/>
          <w:sz w:val="18"/>
          <w:szCs w:val="18"/>
        </w:rPr>
        <w:t xml:space="preserve">B — magnetic induction, T</w:t>
      </w:r>
    </w:p>
    <w:p>
      <w:pPr>
        <w:spacing w:after="60" w:before="60"/>
        <w:jc w:val="both"/>
      </w:pPr>
      <w:r>
        <w:rPr>
          <w:rFonts w:ascii="Arial" w:cs="Arial" w:eastAsia="Arial" w:hAnsi="Arial"/>
          <w:sz w:val="18"/>
          <w:szCs w:val="18"/>
        </w:rPr>
        <w:t xml:space="preserve">∇B — magnetic field gradient, T/m</w:t>
      </w:r>
    </w:p>
    <w:p>
      <w:pPr>
        <w:spacing w:after="60" w:before="60"/>
        <w:jc w:val="both"/>
      </w:pPr>
      <w:r>
        <w:rPr>
          <w:rFonts w:ascii="Arial" w:cs="Arial" w:eastAsia="Arial" w:hAnsi="Arial"/>
          <w:sz w:val="18"/>
          <w:szCs w:val="18"/>
        </w:rPr>
        <w:t xml:space="preserve">χ — magnetic susceptibility of particle, —</w:t>
      </w:r>
    </w:p>
    <w:p>
      <w:pPr>
        <w:spacing w:after="60" w:before="60"/>
        <w:jc w:val="both"/>
      </w:pPr>
      <w:r>
        <w:rPr>
          <w:rFonts w:ascii="Arial" w:cs="Arial" w:eastAsia="Arial" w:hAnsi="Arial"/>
          <w:sz w:val="18"/>
          <w:szCs w:val="18"/>
        </w:rPr>
        <w:t xml:space="preserve">F — magnetic force, N</w:t>
      </w:r>
    </w:p>
    <w:p>
      <w:pPr>
        <w:spacing w:after="60" w:before="60"/>
        <w:jc w:val="both"/>
      </w:pPr>
      <w:r>
        <w:rPr>
          <w:rFonts w:ascii="Arial" w:cs="Arial" w:eastAsia="Arial" w:hAnsi="Arial"/>
          <w:sz w:val="18"/>
          <w:szCs w:val="18"/>
        </w:rPr>
        <w:t xml:space="preserve">V — particle volume, m³</w:t>
      </w:r>
    </w:p>
    <w:p>
      <w:pPr>
        <w:spacing w:after="60" w:before="60"/>
        <w:jc w:val="both"/>
      </w:pPr>
      <w:r>
        <w:rPr>
          <w:rFonts w:ascii="Arial" w:cs="Arial" w:eastAsia="Arial" w:hAnsi="Arial"/>
          <w:sz w:val="18"/>
          <w:szCs w:val="18"/>
        </w:rPr>
        <w:t xml:space="preserve">μ₀ — magnetic permeability of vacuum, H/m</w:t>
      </w:r>
    </w:p>
    <w:p>
      <w:pPr>
        <w:spacing w:after="60" w:before="60"/>
        <w:jc w:val="both"/>
      </w:pPr>
      <w:r>
        <w:rPr>
          <w:rFonts w:ascii="Arial" w:cs="Arial" w:eastAsia="Arial" w:hAnsi="Arial"/>
          <w:sz w:val="18"/>
          <w:szCs w:val="18"/>
        </w:rPr>
        <w:t xml:space="preserve">HGMS — High Gradient Magnetic Separation</w:t>
      </w:r>
    </w:p>
    <w:p>
      <w:pPr>
        <w:shd w:fill="00A550" w:val="clear"/>
        <w:spacing w:after="80" w:before="160"/>
        <w:ind w:left="80" w:right="80"/>
      </w:pPr>
      <w:r>
        <w:rPr>
          <w:rFonts w:ascii="Arial" w:cs="Arial" w:eastAsia="Arial" w:hAnsi="Arial"/>
          <w:b/>
          <w:bCs/>
          <w:color w:val="FFFFFF"/>
          <w:sz w:val="20"/>
          <w:szCs w:val="20"/>
        </w:rPr>
        <w:t xml:space="preserve">Acknowledgments</w:t>
      </w:r>
    </w:p>
    <w:p>
      <w:pPr>
        <w:spacing w:after="60" w:before="60"/>
        <w:jc w:val="both"/>
      </w:pPr>
      <w:r>
        <w:rPr>
          <w:rFonts w:ascii="Arial" w:cs="Arial" w:eastAsia="Arial" w:hAnsi="Arial"/>
          <w:sz w:val="18"/>
          <w:szCs w:val="18"/>
        </w:rPr>
        <w:t xml:space="preserve">The authors acknowledge the support of the Chemical Engineering Transactions editorial team and AIDIC. This work was conducted as part of research on innovative industrial wastewater treatment technologies.</w:t>
      </w:r>
    </w:p>
    <w:p>
      <w:pPr>
        <w:shd w:fill="00A550" w:val="clear"/>
        <w:spacing w:after="80" w:before="160"/>
        <w:ind w:left="80" w:right="80"/>
      </w:pPr>
      <w:r>
        <w:rPr>
          <w:rFonts w:ascii="Arial" w:cs="Arial" w:eastAsia="Arial" w:hAnsi="Arial"/>
          <w:b/>
          <w:bCs/>
          <w:color w:val="FFFFFF"/>
          <w:sz w:val="20"/>
          <w:szCs w:val="20"/>
        </w:rPr>
        <w:t xml:space="preserve">References</w:t>
      </w:r>
    </w:p>
    <w:p>
      <w:pPr>
        <w:spacing w:after="40" w:before="40"/>
        <w:ind w:left="360" w:hanging="360"/>
        <w:jc w:val="both"/>
      </w:pPr>
      <w:r>
        <w:rPr>
          <w:rFonts w:ascii="Arial" w:cs="Arial" w:eastAsia="Arial" w:hAnsi="Arial"/>
          <w:sz w:val="17"/>
          <w:szCs w:val="17"/>
        </w:rPr>
        <w:t xml:space="preserve">Crane R.A., Scott T.B., 2012, Nanoscale magnetic materials for environmental remediation. Journal of Hazardous Materials, 211–212, 1–12.</w:t>
      </w:r>
    </w:p>
    <w:p>
      <w:pPr>
        <w:spacing w:after="40" w:before="40"/>
        <w:ind w:left="360" w:hanging="360"/>
        <w:jc w:val="both"/>
      </w:pPr>
      <w:r>
        <w:rPr>
          <w:rFonts w:ascii="Arial" w:cs="Arial" w:eastAsia="Arial" w:hAnsi="Arial"/>
          <w:sz w:val="17"/>
          <w:szCs w:val="17"/>
        </w:rPr>
        <w:t xml:space="preserve">Crini G., Lichtfouse E., 2019, Advantages and disadvantages of techniques used for wastewater treatment. Environmental Chemistry Letters, 17, 145–155.</w:t>
      </w:r>
    </w:p>
    <w:p>
      <w:pPr>
        <w:spacing w:after="40" w:before="40"/>
        <w:ind w:left="360" w:hanging="360"/>
        <w:jc w:val="both"/>
      </w:pPr>
      <w:r>
        <w:rPr>
          <w:rFonts w:ascii="Arial" w:cs="Arial" w:eastAsia="Arial" w:hAnsi="Arial"/>
          <w:sz w:val="17"/>
          <w:szCs w:val="17"/>
        </w:rPr>
        <w:t xml:space="preserve">Doble M., Kumar A., 2005, Biotreatment of Industrial Effluents. Elsevier, Amsterdam, Netherlands.</w:t>
      </w:r>
    </w:p>
    <w:p>
      <w:pPr>
        <w:spacing w:after="40" w:before="40"/>
        <w:ind w:left="360" w:hanging="360"/>
        <w:jc w:val="both"/>
      </w:pPr>
      <w:r>
        <w:rPr>
          <w:rFonts w:ascii="Arial" w:cs="Arial" w:eastAsia="Arial" w:hAnsi="Arial"/>
          <w:sz w:val="17"/>
          <w:szCs w:val="17"/>
        </w:rPr>
        <w:t xml:space="preserve">Gao J., Sun J., 2019, High gradient magnetic separation for wastewater treatment. Separation and Purification Technology, 210, 1–10.</w:t>
      </w:r>
    </w:p>
    <w:p>
      <w:pPr>
        <w:spacing w:after="40" w:before="40"/>
        <w:ind w:left="360" w:hanging="360"/>
        <w:jc w:val="both"/>
      </w:pPr>
      <w:r>
        <w:rPr>
          <w:rFonts w:ascii="Arial" w:cs="Arial" w:eastAsia="Arial" w:hAnsi="Arial"/>
          <w:sz w:val="17"/>
          <w:szCs w:val="17"/>
        </w:rPr>
        <w:t xml:space="preserve">Kelland M.A., 2014, Magnetic methods in mineral processing. Minerals Engineering, 62, 1–10.</w:t>
      </w:r>
    </w:p>
    <w:p>
      <w:pPr>
        <w:spacing w:after="40" w:before="40"/>
        <w:ind w:left="360" w:hanging="360"/>
        <w:jc w:val="both"/>
      </w:pPr>
      <w:r>
        <w:rPr>
          <w:rFonts w:ascii="Arial" w:cs="Arial" w:eastAsia="Arial" w:hAnsi="Arial"/>
          <w:sz w:val="17"/>
          <w:szCs w:val="17"/>
        </w:rPr>
        <w:t xml:space="preserve">MDPI, 2021, Magnetic separation technologies in environmental applications. Sustainability, 13(4), 1–25.</w:t>
      </w:r>
    </w:p>
    <w:p>
      <w:pPr>
        <w:spacing w:after="40" w:before="40"/>
        <w:ind w:left="360" w:hanging="360"/>
        <w:jc w:val="both"/>
      </w:pPr>
      <w:r>
        <w:rPr>
          <w:rFonts w:ascii="Arial" w:cs="Arial" w:eastAsia="Arial" w:hAnsi="Arial"/>
          <w:sz w:val="17"/>
          <w:szCs w:val="17"/>
        </w:rPr>
        <w:t xml:space="preserve">Oberteuffer J.A., 1974, Magnetic separation: A review of principles, devices, and applications. IEEE Transactions on Magnetics, 10(2), 223–232.</w:t>
      </w:r>
    </w:p>
    <w:p>
      <w:pPr>
        <w:spacing w:after="40" w:before="40"/>
        <w:ind w:left="360" w:hanging="360"/>
        <w:jc w:val="both"/>
      </w:pPr>
      <w:r>
        <w:rPr>
          <w:rFonts w:ascii="Arial" w:cs="Arial" w:eastAsia="Arial" w:hAnsi="Arial"/>
          <w:sz w:val="17"/>
          <w:szCs w:val="17"/>
        </w:rPr>
        <w:t xml:space="preserve">Svoboda J., 2004, Magnetic Techniques for the Treatment of Materials. Springer, Dordrecht, Netherlands.</w:t>
      </w:r>
    </w:p>
    <w:p>
      <w:pPr>
        <w:spacing w:after="40" w:before="40"/>
        <w:ind w:left="360" w:hanging="360"/>
        <w:jc w:val="both"/>
      </w:pPr>
      <w:r>
        <w:rPr>
          <w:rFonts w:ascii="Arial" w:cs="Arial" w:eastAsia="Arial" w:hAnsi="Arial"/>
          <w:sz w:val="17"/>
          <w:szCs w:val="17"/>
        </w:rPr>
        <w:t xml:space="preserve">US EPA, 2020, Wastewater Treatment Technologies Overview. United States Environmental Protection Agency Report, Washington DC, USA.</w:t>
      </w:r>
    </w:p>
    <w:p>
      <w:pPr>
        <w:spacing w:after="40" w:before="40"/>
        <w:ind w:left="360" w:hanging="360"/>
        <w:jc w:val="both"/>
      </w:pPr>
      <w:r>
        <w:rPr>
          <w:rFonts w:ascii="Arial" w:cs="Arial" w:eastAsia="Arial" w:hAnsi="Arial"/>
          <w:sz w:val="17"/>
          <w:szCs w:val="17"/>
        </w:rPr>
        <w:t xml:space="preserve">Yadav G., Mishra A., Ghosh P., Sindhu R., Vinayak V., Pugazhendhi A., 2021, Technical, economic and environmental feasibility of resource recovery technologies from wastewater. Science of the Total Environment, 796, 149022.</w:t>
      </w:r>
    </w:p>
    <w:p>
      <w:pPr>
        <w:spacing w:after="40" w:before="40"/>
        <w:ind w:left="360" w:hanging="360"/>
        <w:jc w:val="both"/>
      </w:pPr>
      <w:r>
        <w:rPr>
          <w:rFonts w:ascii="Arial" w:cs="Arial" w:eastAsia="Arial" w:hAnsi="Arial"/>
          <w:sz w:val="17"/>
          <w:szCs w:val="17"/>
        </w:rPr>
        <w:t xml:space="preserve">Yavuz C.T., Prakash A., Mayo J.T., Colvin V.L., 2009, Magnetic separations: From steel plants to biotechnology. Chemical Engineering Science, 64(12), 2543–2548.</w:t>
      </w:r>
    </w:p>
    <w:p>
      <w:pPr>
        <w:spacing w:after="40" w:before="40"/>
        <w:ind w:left="360" w:hanging="360"/>
        <w:jc w:val="both"/>
      </w:pPr>
      <w:r>
        <w:rPr>
          <w:rFonts w:ascii="Arial" w:cs="Arial" w:eastAsia="Arial" w:hAnsi="Arial"/>
          <w:sz w:val="17"/>
          <w:szCs w:val="17"/>
        </w:rPr>
        <w:t xml:space="preserve">Zeng H., Zheng L., 2018, Magnetic separation in wastewater treatment: A review. Journal of Environmental Chemical Engineering, 6(5), 6018–6030.</w:t>
      </w:r>
    </w:p>
    <w:sectPr>
      <w:pgSz w:w="11906" w:h="16838" w:orient="portrait"/>
      <w:pgMar w:top="1701" w:right="1418" w:bottom="1701"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2026-04-29T07:23:46.356Z</dcterms:created>
  <dcterms:modified xsi:type="dcterms:W3CDTF">2026-04-29T07:23:46.357Z</dcterms:modified>
</cp:coreProperties>
</file>

<file path=docProps/custom.xml><?xml version="1.0" encoding="utf-8"?>
<Properties xmlns="http://schemas.openxmlformats.org/officeDocument/2006/custom-properties" xmlns:vt="http://schemas.openxmlformats.org/officeDocument/2006/docPropsVTypes"/>
</file>