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bottom w:val="single" w:sz="4" w:space="0" w:color="auto"/>
        </w:tblBorders>
        <w:tblLook w:val="01E0" w:firstRow="1" w:lastRow="1" w:firstColumn="1" w:lastColumn="1" w:noHBand="0" w:noVBand="0"/>
      </w:tblPr>
      <w:tblGrid>
        <w:gridCol w:w="6940"/>
        <w:gridCol w:w="1842"/>
      </w:tblGrid>
      <w:tr w:rsidR="000014EE" w:rsidRPr="00B57B36" w14:paraId="4067533F" w14:textId="77777777" w:rsidTr="00847D9B">
        <w:trPr>
          <w:trHeight w:val="852"/>
          <w:jc w:val="center"/>
        </w:trPr>
        <w:tc>
          <w:tcPr>
            <w:tcW w:w="6946" w:type="dxa"/>
            <w:vMerge w:val="restart"/>
            <w:tcBorders>
              <w:right w:val="single" w:sz="4" w:space="0" w:color="auto"/>
            </w:tcBorders>
          </w:tcPr>
          <w:p w14:paraId="065DEE38" w14:textId="77777777" w:rsidR="000014EE" w:rsidRPr="00B57B36" w:rsidRDefault="000014EE" w:rsidP="00847D9B">
            <w:pPr>
              <w:tabs>
                <w:tab w:val="left" w:pos="-108"/>
              </w:tabs>
              <w:ind w:left="-108"/>
              <w:jc w:val="left"/>
              <w:rPr>
                <w:rFonts w:cs="Arial"/>
                <w:b/>
                <w:bCs/>
                <w:i/>
                <w:iCs/>
                <w:color w:val="000066"/>
                <w:sz w:val="12"/>
                <w:szCs w:val="12"/>
                <w:lang w:eastAsia="it-IT"/>
              </w:rPr>
            </w:pPr>
            <w:bookmarkStart w:id="0" w:name="_Hlk145068772"/>
            <w:r w:rsidRPr="00B57B36">
              <w:rPr>
                <w:rFonts w:ascii="AdvP6960" w:hAnsi="AdvP6960" w:cs="AdvP6960"/>
                <w:noProof/>
                <w:color w:val="241F20"/>
                <w:szCs w:val="18"/>
                <w:lang w:val="it-IT" w:eastAsia="it-IT"/>
              </w:rPr>
              <w:drawing>
                <wp:inline distT="0" distB="0" distL="0" distR="0" wp14:anchorId="51CE27F8" wp14:editId="6CE04389">
                  <wp:extent cx="640080" cy="373380"/>
                  <wp:effectExtent l="0" t="0" r="7620" b="7620"/>
                  <wp:docPr id="5" name="Immagine 5" descr="ce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etlog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40080" cy="373380"/>
                          </a:xfrm>
                          <a:prstGeom prst="rect">
                            <a:avLst/>
                          </a:prstGeom>
                          <a:noFill/>
                          <a:ln>
                            <a:noFill/>
                          </a:ln>
                        </pic:spPr>
                      </pic:pic>
                    </a:graphicData>
                  </a:graphic>
                </wp:inline>
              </w:drawing>
            </w:r>
            <w:r w:rsidRPr="00B57B36">
              <w:rPr>
                <w:rFonts w:ascii="AdvP6960" w:hAnsi="AdvP6960" w:cs="AdvP6960"/>
                <w:color w:val="241F20"/>
                <w:szCs w:val="18"/>
                <w:lang w:eastAsia="it-IT"/>
              </w:rPr>
              <w:t xml:space="preserve"> </w:t>
            </w:r>
            <w:r w:rsidRPr="00B57B36">
              <w:rPr>
                <w:rFonts w:cs="Arial"/>
                <w:b/>
                <w:bCs/>
                <w:i/>
                <w:iCs/>
                <w:color w:val="000066"/>
                <w:sz w:val="24"/>
                <w:szCs w:val="24"/>
                <w:lang w:eastAsia="it-IT"/>
              </w:rPr>
              <w:t>CHEMICAL ENGINEERING</w:t>
            </w:r>
            <w:r w:rsidRPr="00B57B36">
              <w:rPr>
                <w:rFonts w:cs="Arial"/>
                <w:b/>
                <w:bCs/>
                <w:i/>
                <w:iCs/>
                <w:color w:val="0033FF"/>
                <w:sz w:val="24"/>
                <w:szCs w:val="24"/>
                <w:lang w:eastAsia="it-IT"/>
              </w:rPr>
              <w:t xml:space="preserve"> </w:t>
            </w:r>
            <w:r w:rsidRPr="00B57B36">
              <w:rPr>
                <w:rFonts w:cs="Arial"/>
                <w:b/>
                <w:bCs/>
                <w:i/>
                <w:iCs/>
                <w:color w:val="666666"/>
                <w:sz w:val="24"/>
                <w:szCs w:val="24"/>
                <w:lang w:eastAsia="it-IT"/>
              </w:rPr>
              <w:t>TRANSACTIONS</w:t>
            </w:r>
            <w:r w:rsidRPr="00B57B36">
              <w:rPr>
                <w:color w:val="333333"/>
                <w:sz w:val="24"/>
                <w:szCs w:val="24"/>
                <w:lang w:eastAsia="it-IT"/>
              </w:rPr>
              <w:t xml:space="preserve"> </w:t>
            </w:r>
            <w:r w:rsidRPr="00B57B36">
              <w:rPr>
                <w:rFonts w:cs="Arial"/>
                <w:b/>
                <w:bCs/>
                <w:i/>
                <w:iCs/>
                <w:color w:val="000066"/>
                <w:sz w:val="27"/>
                <w:szCs w:val="27"/>
                <w:lang w:eastAsia="it-IT"/>
              </w:rPr>
              <w:br/>
            </w:r>
          </w:p>
          <w:p w14:paraId="5C889A8E" w14:textId="77777777" w:rsidR="000014EE" w:rsidRPr="00B57B36" w:rsidRDefault="000014EE" w:rsidP="00847D9B">
            <w:pPr>
              <w:tabs>
                <w:tab w:val="left" w:pos="-108"/>
              </w:tabs>
              <w:ind w:left="-108"/>
              <w:rPr>
                <w:rFonts w:cs="Arial"/>
                <w:b/>
                <w:bCs/>
                <w:i/>
                <w:iCs/>
                <w:color w:val="000066"/>
                <w:sz w:val="22"/>
                <w:szCs w:val="22"/>
                <w:lang w:eastAsia="it-IT"/>
              </w:rPr>
            </w:pPr>
            <w:r w:rsidRPr="00B57B36">
              <w:rPr>
                <w:rFonts w:cs="Arial"/>
                <w:b/>
                <w:bCs/>
                <w:i/>
                <w:iCs/>
                <w:color w:val="000066"/>
                <w:sz w:val="22"/>
                <w:szCs w:val="22"/>
                <w:lang w:eastAsia="it-IT"/>
              </w:rPr>
              <w:t>VOL.</w:t>
            </w:r>
            <w:r>
              <w:rPr>
                <w:rFonts w:cs="Arial"/>
                <w:b/>
                <w:bCs/>
                <w:i/>
                <w:iCs/>
                <w:color w:val="000066"/>
                <w:sz w:val="22"/>
                <w:szCs w:val="22"/>
                <w:lang w:eastAsia="it-IT"/>
              </w:rPr>
              <w:t xml:space="preserve"> xxx, 2026</w:t>
            </w:r>
          </w:p>
        </w:tc>
        <w:tc>
          <w:tcPr>
            <w:tcW w:w="1843" w:type="dxa"/>
            <w:tcBorders>
              <w:left w:val="single" w:sz="4" w:space="0" w:color="auto"/>
              <w:bottom w:val="nil"/>
              <w:right w:val="single" w:sz="4" w:space="0" w:color="auto"/>
            </w:tcBorders>
          </w:tcPr>
          <w:p w14:paraId="7F9E2CF9" w14:textId="77777777" w:rsidR="000014EE" w:rsidRPr="00B57B36" w:rsidRDefault="000014EE" w:rsidP="00847D9B">
            <w:pPr>
              <w:spacing w:line="140" w:lineRule="atLeast"/>
              <w:jc w:val="right"/>
              <w:rPr>
                <w:rFonts w:cs="Arial"/>
                <w:sz w:val="14"/>
                <w:szCs w:val="14"/>
              </w:rPr>
            </w:pPr>
            <w:r w:rsidRPr="00B57B36">
              <w:rPr>
                <w:rFonts w:cs="Arial"/>
                <w:sz w:val="14"/>
                <w:szCs w:val="14"/>
              </w:rPr>
              <w:t>A publication of</w:t>
            </w:r>
          </w:p>
          <w:p w14:paraId="7230422B" w14:textId="77777777" w:rsidR="000014EE" w:rsidRPr="00B57B36" w:rsidRDefault="000014EE" w:rsidP="00847D9B">
            <w:pPr>
              <w:jc w:val="right"/>
            </w:pPr>
            <w:r w:rsidRPr="00B57B36">
              <w:rPr>
                <w:noProof/>
                <w:lang w:val="it-IT" w:eastAsia="it-IT"/>
              </w:rPr>
              <w:drawing>
                <wp:inline distT="0" distB="0" distL="0" distR="0" wp14:anchorId="728BD4EE" wp14:editId="79749988">
                  <wp:extent cx="670560" cy="358140"/>
                  <wp:effectExtent l="0" t="0" r="0" b="3810"/>
                  <wp:docPr id="6" name="Immagine 6" descr="aidiclogo_gra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idiclogo_grand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70560" cy="358140"/>
                          </a:xfrm>
                          <a:prstGeom prst="rect">
                            <a:avLst/>
                          </a:prstGeom>
                          <a:noFill/>
                          <a:ln>
                            <a:noFill/>
                          </a:ln>
                        </pic:spPr>
                      </pic:pic>
                    </a:graphicData>
                  </a:graphic>
                </wp:inline>
              </w:drawing>
            </w:r>
          </w:p>
        </w:tc>
      </w:tr>
      <w:tr w:rsidR="000014EE" w:rsidRPr="00B57B36" w14:paraId="104ED967" w14:textId="77777777" w:rsidTr="00847D9B">
        <w:trPr>
          <w:trHeight w:val="567"/>
          <w:jc w:val="center"/>
        </w:trPr>
        <w:tc>
          <w:tcPr>
            <w:tcW w:w="6946" w:type="dxa"/>
            <w:vMerge/>
            <w:tcBorders>
              <w:right w:val="single" w:sz="4" w:space="0" w:color="auto"/>
            </w:tcBorders>
          </w:tcPr>
          <w:p w14:paraId="56F179D1" w14:textId="77777777" w:rsidR="000014EE" w:rsidRPr="00B57B36" w:rsidRDefault="000014EE" w:rsidP="00847D9B">
            <w:pPr>
              <w:tabs>
                <w:tab w:val="left" w:pos="-108"/>
              </w:tabs>
            </w:pPr>
          </w:p>
        </w:tc>
        <w:tc>
          <w:tcPr>
            <w:tcW w:w="1843" w:type="dxa"/>
            <w:tcBorders>
              <w:left w:val="single" w:sz="4" w:space="0" w:color="auto"/>
              <w:bottom w:val="nil"/>
              <w:right w:val="single" w:sz="4" w:space="0" w:color="auto"/>
            </w:tcBorders>
          </w:tcPr>
          <w:p w14:paraId="08DB3047" w14:textId="77777777" w:rsidR="000014EE" w:rsidRPr="00B57B36" w:rsidRDefault="000014EE" w:rsidP="00847D9B">
            <w:pPr>
              <w:spacing w:line="140" w:lineRule="atLeast"/>
              <w:jc w:val="right"/>
              <w:rPr>
                <w:rFonts w:cs="Arial"/>
                <w:sz w:val="14"/>
                <w:szCs w:val="14"/>
              </w:rPr>
            </w:pPr>
            <w:r w:rsidRPr="00B57B36">
              <w:rPr>
                <w:rFonts w:cs="Arial"/>
                <w:sz w:val="14"/>
                <w:szCs w:val="14"/>
              </w:rPr>
              <w:t>The Italian Association</w:t>
            </w:r>
          </w:p>
          <w:p w14:paraId="5BD7D61A" w14:textId="77777777" w:rsidR="000014EE" w:rsidRPr="00B57B36" w:rsidRDefault="000014EE" w:rsidP="00847D9B">
            <w:pPr>
              <w:spacing w:line="140" w:lineRule="atLeast"/>
              <w:jc w:val="right"/>
              <w:rPr>
                <w:rFonts w:cs="Arial"/>
                <w:sz w:val="14"/>
                <w:szCs w:val="14"/>
              </w:rPr>
            </w:pPr>
            <w:r w:rsidRPr="00B57B36">
              <w:rPr>
                <w:rFonts w:cs="Arial"/>
                <w:sz w:val="14"/>
                <w:szCs w:val="14"/>
              </w:rPr>
              <w:t>of Chemical Engineering</w:t>
            </w:r>
          </w:p>
          <w:p w14:paraId="023D9A23" w14:textId="77777777" w:rsidR="000014EE" w:rsidRPr="000D0268" w:rsidRDefault="000014EE" w:rsidP="00847D9B">
            <w:pPr>
              <w:spacing w:line="140" w:lineRule="atLeast"/>
              <w:jc w:val="right"/>
              <w:rPr>
                <w:rFonts w:cs="Arial"/>
                <w:sz w:val="13"/>
                <w:szCs w:val="13"/>
              </w:rPr>
            </w:pPr>
            <w:r w:rsidRPr="000D0268">
              <w:rPr>
                <w:rFonts w:cs="Arial"/>
                <w:sz w:val="13"/>
                <w:szCs w:val="13"/>
              </w:rPr>
              <w:t>Online at www.cetjournal.it</w:t>
            </w:r>
          </w:p>
        </w:tc>
      </w:tr>
      <w:tr w:rsidR="000014EE" w:rsidRPr="00B57B36" w14:paraId="52E653A8" w14:textId="77777777" w:rsidTr="00847D9B">
        <w:trPr>
          <w:trHeight w:val="68"/>
          <w:jc w:val="center"/>
        </w:trPr>
        <w:tc>
          <w:tcPr>
            <w:tcW w:w="8789" w:type="dxa"/>
            <w:gridSpan w:val="2"/>
          </w:tcPr>
          <w:p w14:paraId="7AE04503" w14:textId="77777777" w:rsidR="003C246D" w:rsidRPr="00CB2614" w:rsidRDefault="003C246D" w:rsidP="003C246D">
            <w:pPr>
              <w:ind w:left="-107"/>
              <w:outlineLvl w:val="2"/>
              <w:rPr>
                <w:rFonts w:ascii="Tahoma" w:hAnsi="Tahoma" w:cs="Tahoma"/>
                <w:color w:val="000000"/>
                <w:sz w:val="14"/>
                <w:szCs w:val="14"/>
                <w:shd w:val="clear" w:color="auto" w:fill="FFFFFF"/>
                <w:lang w:val="it-IT"/>
              </w:rPr>
            </w:pPr>
            <w:r w:rsidRPr="00CB2614">
              <w:rPr>
                <w:rFonts w:ascii="Tahoma" w:hAnsi="Tahoma" w:cs="Tahoma"/>
                <w:iCs/>
                <w:color w:val="333333"/>
                <w:sz w:val="14"/>
                <w:szCs w:val="14"/>
                <w:lang w:val="it-IT" w:eastAsia="it-IT"/>
              </w:rPr>
              <w:t>Guest Editors:</w:t>
            </w:r>
            <w:r w:rsidRPr="00CB2614">
              <w:rPr>
                <w:rFonts w:ascii="Tahoma" w:hAnsi="Tahoma" w:cs="Tahoma"/>
                <w:color w:val="000000"/>
                <w:sz w:val="14"/>
                <w:szCs w:val="14"/>
                <w:shd w:val="clear" w:color="auto" w:fill="FFFFFF"/>
                <w:lang w:val="it-IT"/>
              </w:rPr>
              <w:t xml:space="preserve"> Flavio Manenti, Botir Usmonov, Alessandro Di Pretoro</w:t>
            </w:r>
          </w:p>
          <w:p w14:paraId="10316B19" w14:textId="08C477B5" w:rsidR="000014EE" w:rsidRPr="00B57B36" w:rsidRDefault="003C246D" w:rsidP="003C246D">
            <w:pPr>
              <w:tabs>
                <w:tab w:val="left" w:pos="-108"/>
              </w:tabs>
              <w:spacing w:line="140" w:lineRule="atLeast"/>
              <w:ind w:left="-107"/>
              <w:jc w:val="left"/>
            </w:pPr>
            <w:r>
              <w:rPr>
                <w:rFonts w:ascii="Tahoma" w:hAnsi="Tahoma" w:cs="Tahoma"/>
                <w:iCs/>
                <w:color w:val="333333"/>
                <w:sz w:val="14"/>
                <w:szCs w:val="14"/>
                <w:lang w:eastAsia="it-IT"/>
              </w:rPr>
              <w:t>Copyright © 2026</w:t>
            </w:r>
            <w:r w:rsidRPr="00B57B36">
              <w:rPr>
                <w:rFonts w:ascii="Tahoma" w:hAnsi="Tahoma" w:cs="Tahoma"/>
                <w:iCs/>
                <w:color w:val="333333"/>
                <w:sz w:val="14"/>
                <w:szCs w:val="14"/>
                <w:lang w:eastAsia="it-IT"/>
              </w:rPr>
              <w:t xml:space="preserve">, AIDIC Servizi </w:t>
            </w:r>
            <w:proofErr w:type="spellStart"/>
            <w:r w:rsidRPr="00B57B36">
              <w:rPr>
                <w:rFonts w:ascii="Tahoma" w:hAnsi="Tahoma" w:cs="Tahoma"/>
                <w:iCs/>
                <w:color w:val="333333"/>
                <w:sz w:val="14"/>
                <w:szCs w:val="14"/>
                <w:lang w:eastAsia="it-IT"/>
              </w:rPr>
              <w:t>S.r.l</w:t>
            </w:r>
            <w:proofErr w:type="spellEnd"/>
            <w:r w:rsidRPr="00B57B36">
              <w:rPr>
                <w:rFonts w:ascii="Tahoma" w:hAnsi="Tahoma" w:cs="Tahoma"/>
                <w:iCs/>
                <w:color w:val="333333"/>
                <w:sz w:val="14"/>
                <w:szCs w:val="14"/>
                <w:lang w:eastAsia="it-IT"/>
              </w:rPr>
              <w:t>.</w:t>
            </w:r>
            <w:r w:rsidRPr="00B57B36">
              <w:rPr>
                <w:rFonts w:ascii="Tahoma" w:hAnsi="Tahoma" w:cs="Tahoma"/>
                <w:iCs/>
                <w:color w:val="333333"/>
                <w:sz w:val="14"/>
                <w:szCs w:val="14"/>
                <w:lang w:eastAsia="it-IT"/>
              </w:rPr>
              <w:br/>
            </w:r>
            <w:r w:rsidRPr="00B57B36">
              <w:rPr>
                <w:rFonts w:ascii="Tahoma" w:hAnsi="Tahoma" w:cs="Tahoma"/>
                <w:b/>
                <w:iCs/>
                <w:color w:val="000000"/>
                <w:sz w:val="14"/>
                <w:szCs w:val="14"/>
                <w:lang w:eastAsia="it-IT"/>
              </w:rPr>
              <w:t>ISBN</w:t>
            </w:r>
            <w:r w:rsidRPr="00B57B36">
              <w:rPr>
                <w:rFonts w:ascii="Tahoma" w:hAnsi="Tahoma" w:cs="Tahoma"/>
                <w:iCs/>
                <w:color w:val="000000"/>
                <w:sz w:val="14"/>
                <w:szCs w:val="14"/>
                <w:lang w:eastAsia="it-IT"/>
              </w:rPr>
              <w:t xml:space="preserve"> </w:t>
            </w:r>
            <w:r w:rsidRPr="000562A9">
              <w:rPr>
                <w:rFonts w:ascii="Tahoma" w:hAnsi="Tahoma" w:cs="Tahoma"/>
                <w:sz w:val="14"/>
                <w:szCs w:val="14"/>
              </w:rPr>
              <w:t>97</w:t>
            </w:r>
            <w:r>
              <w:rPr>
                <w:rFonts w:ascii="Tahoma" w:hAnsi="Tahoma" w:cs="Tahoma"/>
                <w:sz w:val="14"/>
                <w:szCs w:val="14"/>
              </w:rPr>
              <w:t>9</w:t>
            </w:r>
            <w:r w:rsidRPr="000562A9">
              <w:rPr>
                <w:rFonts w:ascii="Tahoma" w:hAnsi="Tahoma" w:cs="Tahoma"/>
                <w:sz w:val="14"/>
                <w:szCs w:val="14"/>
              </w:rPr>
              <w:t>-</w:t>
            </w:r>
            <w:r>
              <w:rPr>
                <w:rFonts w:ascii="Tahoma" w:hAnsi="Tahoma" w:cs="Tahoma"/>
                <w:sz w:val="14"/>
                <w:szCs w:val="14"/>
              </w:rPr>
              <w:t>12</w:t>
            </w:r>
            <w:r w:rsidRPr="000562A9">
              <w:rPr>
                <w:rFonts w:ascii="Tahoma" w:hAnsi="Tahoma" w:cs="Tahoma"/>
                <w:sz w:val="14"/>
                <w:szCs w:val="14"/>
              </w:rPr>
              <w:t>-</w:t>
            </w:r>
            <w:r>
              <w:rPr>
                <w:rFonts w:ascii="Tahoma" w:hAnsi="Tahoma" w:cs="Tahoma"/>
                <w:sz w:val="14"/>
                <w:szCs w:val="14"/>
              </w:rPr>
              <w:t>81206-xx-x</w:t>
            </w:r>
            <w:r w:rsidRPr="00EF06D9">
              <w:rPr>
                <w:rFonts w:ascii="Tahoma" w:hAnsi="Tahoma" w:cs="Tahoma"/>
                <w:iCs/>
                <w:color w:val="333333"/>
                <w:sz w:val="14"/>
                <w:szCs w:val="14"/>
                <w:lang w:eastAsia="it-IT"/>
              </w:rPr>
              <w:t>;</w:t>
            </w:r>
            <w:r w:rsidRPr="00B57B36">
              <w:rPr>
                <w:rFonts w:ascii="Tahoma" w:hAnsi="Tahoma" w:cs="Tahoma"/>
                <w:iCs/>
                <w:color w:val="333333"/>
                <w:sz w:val="14"/>
                <w:szCs w:val="14"/>
                <w:lang w:eastAsia="it-IT"/>
              </w:rPr>
              <w:t xml:space="preserve"> </w:t>
            </w:r>
            <w:r w:rsidRPr="00B57B36">
              <w:rPr>
                <w:rFonts w:ascii="Tahoma" w:hAnsi="Tahoma" w:cs="Tahoma"/>
                <w:b/>
                <w:iCs/>
                <w:color w:val="333333"/>
                <w:sz w:val="14"/>
                <w:szCs w:val="14"/>
                <w:lang w:eastAsia="it-IT"/>
              </w:rPr>
              <w:t>ISSN</w:t>
            </w:r>
            <w:r w:rsidRPr="00B57B36">
              <w:rPr>
                <w:rFonts w:ascii="Tahoma" w:hAnsi="Tahoma" w:cs="Tahoma"/>
                <w:iCs/>
                <w:color w:val="333333"/>
                <w:sz w:val="14"/>
                <w:szCs w:val="14"/>
                <w:lang w:eastAsia="it-IT"/>
              </w:rPr>
              <w:t xml:space="preserve"> 2283-9216</w:t>
            </w:r>
          </w:p>
        </w:tc>
      </w:tr>
    </w:tbl>
    <w:bookmarkEnd w:id="0"/>
    <w:p w14:paraId="692428FF" w14:textId="5E8B2B37" w:rsidR="000014EE" w:rsidRPr="00261B3E" w:rsidRDefault="004C22DF" w:rsidP="0055572A">
      <w:pPr>
        <w:pStyle w:val="CETTitle"/>
        <w:rPr>
          <w:lang w:val="en-US"/>
        </w:rPr>
      </w:pPr>
      <w:r w:rsidRPr="004C22DF">
        <w:t xml:space="preserve">Assessment of bioanode resilience in a microbial electrolysis cell following </w:t>
      </w:r>
      <w:r w:rsidR="00E06211">
        <w:t xml:space="preserve">a </w:t>
      </w:r>
      <w:r w:rsidRPr="004C22DF">
        <w:t>severe inhibition</w:t>
      </w:r>
      <w:r w:rsidR="00E06211">
        <w:t xml:space="preserve"> event</w:t>
      </w:r>
    </w:p>
    <w:p w14:paraId="52FCA766" w14:textId="135E2DD8" w:rsidR="007D6B3E" w:rsidRPr="00184625" w:rsidRDefault="007D6B3E" w:rsidP="0055572A">
      <w:pPr>
        <w:pStyle w:val="CETAuthors"/>
        <w:rPr>
          <w:lang w:val="it-IT"/>
        </w:rPr>
      </w:pPr>
      <w:r w:rsidRPr="00184625">
        <w:rPr>
          <w:lang w:val="it-IT"/>
        </w:rPr>
        <w:t>Angela Marchetti</w:t>
      </w:r>
      <w:r w:rsidRPr="00184625">
        <w:rPr>
          <w:vertAlign w:val="superscript"/>
          <w:lang w:val="it-IT"/>
        </w:rPr>
        <w:t>a</w:t>
      </w:r>
      <w:r w:rsidR="003C246D">
        <w:rPr>
          <w:vertAlign w:val="superscript"/>
          <w:lang w:val="it-IT"/>
        </w:rPr>
        <w:t>,</w:t>
      </w:r>
      <w:r w:rsidR="002702F4">
        <w:rPr>
          <w:vertAlign w:val="superscript"/>
          <w:lang w:val="it-IT"/>
        </w:rPr>
        <w:t>*</w:t>
      </w:r>
      <w:r>
        <w:rPr>
          <w:lang w:val="it-IT"/>
        </w:rPr>
        <w:t xml:space="preserve">, </w:t>
      </w:r>
      <w:r w:rsidR="0067580B">
        <w:rPr>
          <w:lang w:val="it-IT"/>
        </w:rPr>
        <w:t>Matteo Serafini</w:t>
      </w:r>
      <w:r w:rsidR="0067580B" w:rsidRPr="00184625">
        <w:rPr>
          <w:vertAlign w:val="superscript"/>
          <w:lang w:val="it-IT"/>
        </w:rPr>
        <w:t>a</w:t>
      </w:r>
      <w:r w:rsidR="0067580B">
        <w:rPr>
          <w:lang w:val="it-IT"/>
        </w:rPr>
        <w:t>, Martina Trinchillo</w:t>
      </w:r>
      <w:r w:rsidR="0067580B" w:rsidRPr="00184625">
        <w:rPr>
          <w:vertAlign w:val="superscript"/>
          <w:lang w:val="it-IT"/>
        </w:rPr>
        <w:t>a</w:t>
      </w:r>
      <w:r w:rsidR="0067580B">
        <w:rPr>
          <w:lang w:val="it-IT"/>
        </w:rPr>
        <w:t xml:space="preserve">, </w:t>
      </w:r>
      <w:r>
        <w:rPr>
          <w:lang w:val="it-IT"/>
        </w:rPr>
        <w:t>Marco Zeppilli</w:t>
      </w:r>
      <w:r w:rsidRPr="00184625">
        <w:rPr>
          <w:vertAlign w:val="superscript"/>
          <w:lang w:val="it-IT"/>
        </w:rPr>
        <w:t>a</w:t>
      </w:r>
    </w:p>
    <w:p w14:paraId="41AEC3A1" w14:textId="77777777" w:rsidR="007D6B3E" w:rsidRPr="00B57B36" w:rsidRDefault="007D6B3E" w:rsidP="0055572A">
      <w:pPr>
        <w:pStyle w:val="CETAddress"/>
      </w:pPr>
      <w:r w:rsidRPr="00B57B36">
        <w:rPr>
          <w:vertAlign w:val="superscript"/>
        </w:rPr>
        <w:t>a</w:t>
      </w:r>
      <w:r>
        <w:t>Department of Chemistry University of Rome Sapienza, Piazzale Aldo Moro 5 00185 Rome</w:t>
      </w:r>
      <w:r w:rsidRPr="00B57B36">
        <w:t xml:space="preserve"> </w:t>
      </w:r>
    </w:p>
    <w:p w14:paraId="09429BA8" w14:textId="7AC5511A" w:rsidR="007D6B3E" w:rsidRPr="00B57B36" w:rsidRDefault="007D6B3E" w:rsidP="0055572A">
      <w:pPr>
        <w:pStyle w:val="CETemail"/>
      </w:pPr>
      <w:r>
        <w:t>*</w:t>
      </w:r>
      <w:r w:rsidR="0067580B">
        <w:t>angela</w:t>
      </w:r>
      <w:r>
        <w:t>.</w:t>
      </w:r>
      <w:r w:rsidR="0067580B">
        <w:t>marchetti</w:t>
      </w:r>
      <w:r w:rsidRPr="00B57B36">
        <w:t>@</w:t>
      </w:r>
      <w:r>
        <w:t>uniroma1.it</w:t>
      </w:r>
    </w:p>
    <w:p w14:paraId="01DCAA98" w14:textId="2F04E02B" w:rsidR="0002584E" w:rsidRPr="001E0035" w:rsidRDefault="001E0035" w:rsidP="0055572A">
      <w:pPr>
        <w:pStyle w:val="CETBodytext"/>
        <w:rPr>
          <w:lang w:val="en-GB"/>
        </w:rPr>
      </w:pPr>
      <w:r w:rsidRPr="001E0035">
        <w:rPr>
          <w:lang w:val="en-GB"/>
        </w:rPr>
        <w:t xml:space="preserve">Microbial electrolysis cells (MECs) are promising systems for coupling organic waste conversion with biohydrogen production, although their long-term application can be limited by the sensitivity of electroactive biofilms to inhibitory disturbances. This study investigated the resilience and recovery of a long-term operated bioanode in a three-chamber MEC following a severe inhibition event caused by the direct feeding of an untreated wastewater from the food-processing industry. After the inhibitory event, the MEC was returned to the synthetic substrate previously used for its operation, and the recovery of the same bioanode, continuously operated without replacement or reinoculation, was assessed through a rapid screening approach. Following recovery, steady-state operation resulted in average </w:t>
      </w:r>
      <w:r>
        <w:rPr>
          <w:lang w:val="en-GB"/>
        </w:rPr>
        <w:t>anodic and cathodic c</w:t>
      </w:r>
      <w:r w:rsidRPr="001E0035">
        <w:rPr>
          <w:lang w:val="en-GB"/>
        </w:rPr>
        <w:t>oulombic</w:t>
      </w:r>
      <w:r>
        <w:rPr>
          <w:lang w:val="en-GB"/>
        </w:rPr>
        <w:t xml:space="preserve"> </w:t>
      </w:r>
      <w:r w:rsidRPr="001E0035">
        <w:rPr>
          <w:lang w:val="en-GB"/>
        </w:rPr>
        <w:t xml:space="preserve">efficiencies of 83.9 ± 2.5% and 84.2 ± 3.7%, respectively, with </w:t>
      </w:r>
      <w:r w:rsidRPr="00C2411E">
        <w:rPr>
          <w:lang w:val="en-GB"/>
        </w:rPr>
        <w:t>a</w:t>
      </w:r>
      <w:r w:rsidR="007943B7" w:rsidRPr="00C2411E">
        <w:rPr>
          <w:lang w:val="en-GB"/>
        </w:rPr>
        <w:t xml:space="preserve"> chemical oxygen demand</w:t>
      </w:r>
      <w:r w:rsidRPr="00C2411E">
        <w:rPr>
          <w:lang w:val="en-GB"/>
        </w:rPr>
        <w:t xml:space="preserve"> </w:t>
      </w:r>
      <w:r w:rsidR="007943B7">
        <w:rPr>
          <w:lang w:val="en-GB"/>
        </w:rPr>
        <w:t>(</w:t>
      </w:r>
      <w:r w:rsidRPr="001E0035">
        <w:rPr>
          <w:lang w:val="en-GB"/>
        </w:rPr>
        <w:t>COD</w:t>
      </w:r>
      <w:r w:rsidR="007943B7">
        <w:rPr>
          <w:lang w:val="en-GB"/>
        </w:rPr>
        <w:t>)</w:t>
      </w:r>
      <w:r w:rsidRPr="001E0035">
        <w:rPr>
          <w:lang w:val="en-GB"/>
        </w:rPr>
        <w:t xml:space="preserve"> removal efficiency of 24.6 ± 1.3% and an energy efficiency of 103.2 ± 5.4%. Cyclic voltammetry further confirmed the bioelectrochemical activity of the recovered bioanode. Overall, the results demonstrate the ability of an established bioanode to recover and maintain substantial electrochemical activity following a severe inhibitory perturbation, highlighting bioanode resilience as a relevant factor for the long-term operation of MEC</w:t>
      </w:r>
      <w:r w:rsidR="007220DF">
        <w:rPr>
          <w:lang w:val="en-GB"/>
        </w:rPr>
        <w:t xml:space="preserve"> systems</w:t>
      </w:r>
      <w:r w:rsidRPr="001E0035">
        <w:rPr>
          <w:lang w:val="en-GB"/>
        </w:rPr>
        <w:t>.</w:t>
      </w:r>
    </w:p>
    <w:p w14:paraId="58706CCF" w14:textId="6B60E210" w:rsidR="000014EE" w:rsidRDefault="000014EE" w:rsidP="0055572A">
      <w:pPr>
        <w:pStyle w:val="CETHeading1"/>
        <w:tabs>
          <w:tab w:val="num" w:pos="360"/>
        </w:tabs>
        <w:rPr>
          <w:lang w:val="en-GB"/>
        </w:rPr>
      </w:pPr>
      <w:r w:rsidRPr="00B57B36">
        <w:rPr>
          <w:lang w:val="en-GB"/>
        </w:rPr>
        <w:t>Introduction</w:t>
      </w:r>
    </w:p>
    <w:p w14:paraId="0C15D28E" w14:textId="6840BC66" w:rsidR="008E1F00" w:rsidRPr="008E1F00" w:rsidRDefault="008E1F00" w:rsidP="0055572A">
      <w:pPr>
        <w:pStyle w:val="CETBodytext"/>
        <w:rPr>
          <w:lang w:val="en-GB"/>
        </w:rPr>
      </w:pPr>
      <w:r w:rsidRPr="008E1F00">
        <w:rPr>
          <w:lang w:val="en-GB"/>
        </w:rPr>
        <w:t xml:space="preserve">The transition towards low-carbon energy systems and circular resource management is driving the development of technologies capable of simultaneously treating waste streams and recovering valuable energy carriers. In this context, microbial electrolysis cells (MECs) have emerged as promising bioelectrochemical systems for the conversion of organic substrates into </w:t>
      </w:r>
      <w:r>
        <w:rPr>
          <w:lang w:val="en-GB"/>
        </w:rPr>
        <w:t xml:space="preserve">energy sources, </w:t>
      </w:r>
      <w:r w:rsidRPr="008E1F00">
        <w:rPr>
          <w:lang w:val="en-GB"/>
        </w:rPr>
        <w:t>while contributing to wastewater treatment and resource recovery</w:t>
      </w:r>
      <w:r w:rsidR="00C022C6">
        <w:rPr>
          <w:lang w:val="en-GB"/>
        </w:rPr>
        <w:t xml:space="preserve"> </w:t>
      </w:r>
      <w:sdt>
        <w:sdtPr>
          <w:rPr>
            <w:rFonts w:cs="Arial"/>
            <w:color w:val="000000"/>
            <w:lang w:val="en-GB"/>
          </w:rPr>
          <w:tag w:val="MENDELEY_CITATION_v3_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"/>
          <w:id w:val="-1533719115"/>
          <w:placeholder>
            <w:docPart w:val="DefaultPlaceholder_-1854013440"/>
          </w:placeholder>
        </w:sdtPr>
        <w:sdtContent>
          <w:r w:rsidR="00C2411E" w:rsidRPr="00C2411E">
            <w:rPr>
              <w:rFonts w:cs="Arial"/>
              <w:color w:val="000000"/>
              <w:lang w:val="en-GB"/>
            </w:rPr>
            <w:t>(Pal et al., 2025)</w:t>
          </w:r>
        </w:sdtContent>
      </w:sdt>
      <w:r w:rsidRPr="008E1F00">
        <w:rPr>
          <w:lang w:val="en-GB"/>
        </w:rPr>
        <w:t xml:space="preserve">. In </w:t>
      </w:r>
      <w:r>
        <w:rPr>
          <w:lang w:val="en-GB"/>
        </w:rPr>
        <w:t>the hydrogen production context</w:t>
      </w:r>
      <w:r w:rsidRPr="008E1F00">
        <w:rPr>
          <w:lang w:val="en-GB"/>
        </w:rPr>
        <w:t>, electroactive microorganisms growing as a biofilm on the anode</w:t>
      </w:r>
      <w:r>
        <w:rPr>
          <w:lang w:val="en-GB"/>
        </w:rPr>
        <w:t>,</w:t>
      </w:r>
      <w:r w:rsidRPr="008E1F00">
        <w:rPr>
          <w:lang w:val="en-GB"/>
        </w:rPr>
        <w:t xml:space="preserve"> oxidiz</w:t>
      </w:r>
      <w:r>
        <w:rPr>
          <w:lang w:val="en-GB"/>
        </w:rPr>
        <w:t>ing</w:t>
      </w:r>
      <w:r w:rsidRPr="008E1F00">
        <w:rPr>
          <w:lang w:val="en-GB"/>
        </w:rPr>
        <w:t xml:space="preserve"> organic matter and </w:t>
      </w:r>
      <w:r w:rsidR="00C022C6" w:rsidRPr="008E1F00">
        <w:rPr>
          <w:lang w:val="en-GB"/>
        </w:rPr>
        <w:t>transfer</w:t>
      </w:r>
      <w:r w:rsidR="00C022C6">
        <w:rPr>
          <w:lang w:val="en-GB"/>
        </w:rPr>
        <w:t>ring</w:t>
      </w:r>
      <w:r w:rsidRPr="008E1F00">
        <w:rPr>
          <w:lang w:val="en-GB"/>
        </w:rPr>
        <w:t xml:space="preserve"> the resulting electrons to the electrode, while the associated protons and electrons are subsequently converted into hydrogen at the cathode upon application of a small external voltage</w:t>
      </w:r>
      <w:r w:rsidR="00C022C6">
        <w:rPr>
          <w:lang w:val="en-GB"/>
        </w:rPr>
        <w:t xml:space="preserve"> </w:t>
      </w:r>
      <w:sdt>
        <w:sdtPr>
          <w:rPr>
            <w:rFonts w:cs="Arial"/>
            <w:color w:val="000000"/>
            <w:lang w:val="en-GB"/>
          </w:rPr>
          <w:tag w:val="MENDELEY_CITATION_v3_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"/>
          <w:id w:val="500400222"/>
          <w:placeholder>
            <w:docPart w:val="DefaultPlaceholder_-1854013440"/>
          </w:placeholder>
        </w:sdtPr>
        <w:sdtContent>
          <w:r w:rsidR="00C2411E" w:rsidRPr="00C2411E">
            <w:rPr>
              <w:rFonts w:cs="Arial"/>
              <w:color w:val="000000"/>
              <w:lang w:val="en-GB"/>
            </w:rPr>
            <w:t>(Mohamed Ashiq et al., 2025)</w:t>
          </w:r>
        </w:sdtContent>
      </w:sdt>
      <w:r w:rsidRPr="008E1F00">
        <w:rPr>
          <w:lang w:val="en-GB"/>
        </w:rPr>
        <w:t>. This configuration can reduce the electrical energy requirement compared with conventional water electrolysis, as part of the energy required for hydrogen evolution is provided by the oxidation of organic substrates</w:t>
      </w:r>
      <w:r w:rsidR="004831FD">
        <w:rPr>
          <w:lang w:val="en-GB"/>
        </w:rPr>
        <w:t xml:space="preserve"> </w:t>
      </w:r>
      <w:sdt>
        <w:sdtPr>
          <w:rPr>
            <w:rFonts w:cs="Arial"/>
            <w:color w:val="000000"/>
            <w:lang w:val="en-GB"/>
          </w:rPr>
          <w:tag w:val="MENDELEY_CITATION_v3_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"/>
          <w:id w:val="-1872288713"/>
          <w:placeholder>
            <w:docPart w:val="DefaultPlaceholder_-1854013440"/>
          </w:placeholder>
        </w:sdtPr>
        <w:sdtContent>
          <w:r w:rsidR="00C2411E" w:rsidRPr="00C2411E">
            <w:rPr>
              <w:rFonts w:cs="Arial"/>
              <w:color w:val="000000"/>
              <w:lang w:val="en-GB"/>
            </w:rPr>
            <w:t>(Ganguly et al., 2025)</w:t>
          </w:r>
        </w:sdtContent>
      </w:sdt>
      <w:r w:rsidRPr="008E1F00">
        <w:rPr>
          <w:lang w:val="en-GB"/>
        </w:rPr>
        <w:t>. MECs have therefore been investigated using a wide range of substrates, including municipal and industrial wastewaters, agricultural residues, fermented waste streams and synthetic solutions</w:t>
      </w:r>
      <w:r w:rsidR="00C022C6">
        <w:rPr>
          <w:lang w:val="en-GB"/>
        </w:rPr>
        <w:t xml:space="preserve"> </w:t>
      </w:r>
      <w:sdt>
        <w:sdtPr>
          <w:rPr>
            <w:rFonts w:cs="Arial"/>
            <w:color w:val="000000"/>
            <w:lang w:val="en-GB"/>
          </w:rPr>
          <w:tag w:val="MENDELEY_CITATION_v3_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"/>
          <w:id w:val="-816108116"/>
          <w:placeholder>
            <w:docPart w:val="DefaultPlaceholder_-1854013440"/>
          </w:placeholder>
        </w:sdtPr>
        <w:sdtContent>
          <w:r w:rsidR="00C2411E" w:rsidRPr="00C2411E">
            <w:rPr>
              <w:rFonts w:cs="Arial"/>
              <w:color w:val="000000"/>
              <w:lang w:val="en-GB"/>
            </w:rPr>
            <w:t xml:space="preserve">(Alcaraz-Gonzalez et al., 2023; Marchetti, </w:t>
          </w:r>
          <w:proofErr w:type="spellStart"/>
          <w:r w:rsidR="00C2411E" w:rsidRPr="00C2411E">
            <w:rPr>
              <w:rFonts w:cs="Arial"/>
              <w:color w:val="000000"/>
              <w:lang w:val="en-GB"/>
            </w:rPr>
            <w:t>Sassetto</w:t>
          </w:r>
          <w:proofErr w:type="spellEnd"/>
          <w:r w:rsidR="00C2411E" w:rsidRPr="00C2411E">
            <w:rPr>
              <w:rFonts w:cs="Arial"/>
              <w:color w:val="000000"/>
              <w:lang w:val="en-GB"/>
            </w:rPr>
            <w:t>, et al., 2026)</w:t>
          </w:r>
        </w:sdtContent>
      </w:sdt>
      <w:r w:rsidR="00EE22B1">
        <w:rPr>
          <w:lang w:val="en-GB"/>
        </w:rPr>
        <w:t>.</w:t>
      </w:r>
      <w:r w:rsidRPr="008E1F00">
        <w:rPr>
          <w:lang w:val="en-GB"/>
        </w:rPr>
        <w:t xml:space="preserve"> However, despite their potential, the long-term operation of MECs remains challenging, particularly when complex real wastewaters are employed. Bioanode performance is governed by the electroactive</w:t>
      </w:r>
      <w:r w:rsidR="00CF51D5">
        <w:rPr>
          <w:lang w:val="en-GB"/>
        </w:rPr>
        <w:t xml:space="preserve"> components, </w:t>
      </w:r>
      <w:r w:rsidR="00CF51D5" w:rsidRPr="008E1F00">
        <w:rPr>
          <w:lang w:val="en-GB"/>
        </w:rPr>
        <w:t xml:space="preserve">the activity </w:t>
      </w:r>
      <w:r w:rsidR="00CF51D5">
        <w:rPr>
          <w:lang w:val="en-GB"/>
        </w:rPr>
        <w:t xml:space="preserve">of </w:t>
      </w:r>
      <w:r w:rsidRPr="008E1F00">
        <w:rPr>
          <w:lang w:val="en-GB"/>
        </w:rPr>
        <w:t>microbial community and can be affected by changes in substrate composition, hydraulic condition</w:t>
      </w:r>
      <w:r w:rsidR="00CF51D5">
        <w:rPr>
          <w:lang w:val="en-GB"/>
        </w:rPr>
        <w:t xml:space="preserve">s, </w:t>
      </w:r>
      <w:r w:rsidRPr="008E1F00">
        <w:rPr>
          <w:lang w:val="en-GB"/>
        </w:rPr>
        <w:t>presence of potentially inhibitory compounds</w:t>
      </w:r>
      <w:r w:rsidR="00CF51D5">
        <w:rPr>
          <w:lang w:val="en-GB"/>
        </w:rPr>
        <w:t xml:space="preserve"> and membrane fouling</w:t>
      </w:r>
      <w:r w:rsidR="00EE22B1">
        <w:rPr>
          <w:lang w:val="en-GB"/>
        </w:rPr>
        <w:t xml:space="preserve"> </w:t>
      </w:r>
      <w:sdt>
        <w:sdtPr>
          <w:rPr>
            <w:rFonts w:cs="Arial"/>
            <w:color w:val="000000"/>
            <w:lang w:val="en-GB"/>
          </w:rPr>
          <w:tag w:val="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"/>
          <w:id w:val="330490408"/>
          <w:placeholder>
            <w:docPart w:val="DefaultPlaceholder_-1854013440"/>
          </w:placeholder>
        </w:sdtPr>
        <w:sdtContent>
          <w:r w:rsidR="00C2411E" w:rsidRPr="00C2411E">
            <w:rPr>
              <w:rFonts w:cs="Arial"/>
              <w:color w:val="000000"/>
              <w:lang w:val="en-GB"/>
            </w:rPr>
            <w:t>(Colantoni et al., 2025; Stoller et al., 2019)</w:t>
          </w:r>
        </w:sdtContent>
      </w:sdt>
      <w:r w:rsidRPr="008E1F00">
        <w:rPr>
          <w:lang w:val="en-GB"/>
        </w:rPr>
        <w:t>. Consequently, the ability of an established bioanode to withstand and recover from adverse perturbations represents an important aspect of MEC robustness and long-term applicability but has received comparatively limited attention</w:t>
      </w:r>
      <w:r w:rsidR="004831FD">
        <w:rPr>
          <w:lang w:val="en-GB"/>
        </w:rPr>
        <w:t xml:space="preserve"> </w:t>
      </w:r>
      <w:sdt>
        <w:sdtPr>
          <w:rPr>
            <w:rFonts w:cs="Arial"/>
            <w:color w:val="000000"/>
            <w:lang w:val="en-GB"/>
          </w:rPr>
          <w:tag w:val="MENDELEY_CITATION_v3_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"/>
          <w:id w:val="-1735309358"/>
          <w:placeholder>
            <w:docPart w:val="DefaultPlaceholder_-1854013440"/>
          </w:placeholder>
        </w:sdtPr>
        <w:sdtContent>
          <w:r w:rsidR="00C2411E" w:rsidRPr="00C2411E">
            <w:rPr>
              <w:rFonts w:cs="Arial"/>
              <w:color w:val="000000"/>
              <w:lang w:val="en-GB"/>
            </w:rPr>
            <w:t>(Zainal et al., 2024)</w:t>
          </w:r>
        </w:sdtContent>
      </w:sdt>
      <w:r w:rsidRPr="008E1F00">
        <w:rPr>
          <w:lang w:val="en-GB"/>
        </w:rPr>
        <w:t>. In this regard, the resilience of a bioanode can be assessed by monitoring its ability to recover electrochemical and substrate-conversion performance after a severe inhibitory event without replacing or re-inoculating the established biofilm. In th</w:t>
      </w:r>
      <w:r w:rsidR="00CF51D5">
        <w:rPr>
          <w:lang w:val="en-GB"/>
        </w:rPr>
        <w:t>is view here</w:t>
      </w:r>
      <w:r w:rsidRPr="008E1F00">
        <w:rPr>
          <w:lang w:val="en-GB"/>
        </w:rPr>
        <w:t xml:space="preserve"> the resilience of a long-term operated bioanode was investigated following a severe inhibition event</w:t>
      </w:r>
      <w:r w:rsidR="00B10723">
        <w:rPr>
          <w:lang w:val="en-GB"/>
        </w:rPr>
        <w:t>, occurred</w:t>
      </w:r>
      <w:r w:rsidR="00B10723" w:rsidRPr="00B10723">
        <w:rPr>
          <w:lang w:val="en-GB"/>
        </w:rPr>
        <w:t xml:space="preserve"> at the end of 2025 and lasted for a month</w:t>
      </w:r>
      <w:r w:rsidR="00B10723">
        <w:rPr>
          <w:lang w:val="en-GB"/>
        </w:rPr>
        <w:t xml:space="preserve">, </w:t>
      </w:r>
      <w:r w:rsidRPr="008E1F00">
        <w:rPr>
          <w:lang w:val="en-GB"/>
        </w:rPr>
        <w:t xml:space="preserve">caused by the direct feeding of an untreated wastewater </w:t>
      </w:r>
      <w:r w:rsidRPr="008E1F00">
        <w:rPr>
          <w:lang w:val="en-GB"/>
        </w:rPr>
        <w:lastRenderedPageBreak/>
        <w:t xml:space="preserve">from the food-processing industry. Due to confidentiality requirements, the specific characteristics and origin of the industrial wastewater cannot be disclosed; however, the wastewater was characterized by a </w:t>
      </w:r>
      <w:r w:rsidR="007943B7" w:rsidRPr="00C2411E">
        <w:rPr>
          <w:lang w:val="en-GB"/>
        </w:rPr>
        <w:t>pH of 7.3, with a concentration of 0.5 gCOD/L</w:t>
      </w:r>
      <w:r w:rsidR="007943B7">
        <w:rPr>
          <w:color w:val="EE0000"/>
          <w:lang w:val="en-GB"/>
        </w:rPr>
        <w:t xml:space="preserve"> </w:t>
      </w:r>
      <w:r w:rsidR="007943B7" w:rsidRPr="007943B7">
        <w:rPr>
          <w:lang w:val="en-GB"/>
        </w:rPr>
        <w:t xml:space="preserve">and a </w:t>
      </w:r>
      <w:r w:rsidRPr="008E1F00">
        <w:rPr>
          <w:lang w:val="en-GB"/>
        </w:rPr>
        <w:t>high content of stabilizing compounds, including iron- and aluminium-based coagulants, which may have contributed to the observed deterioration of bioanode activity. Following this event, the MEC was returned to the synthetic substrate previously employed for its operation</w:t>
      </w:r>
      <w:r w:rsidR="0043416E">
        <w:rPr>
          <w:lang w:val="en-GB"/>
        </w:rPr>
        <w:t xml:space="preserve">. </w:t>
      </w:r>
      <w:r w:rsidR="0043416E" w:rsidRPr="00C2411E">
        <w:rPr>
          <w:lang w:val="en-GB"/>
        </w:rPr>
        <w:t>A key aspect of the experimental approach is that the pre- and post-inhibition performance refers to the same long-term operated bioanode since 2024 and neither replaced nor re-inoculated, rather than to independently developed biofilms. This design enables the recovery response to be assessed while minimizing variability associated with differences in biofilm establishment and inoculation history.</w:t>
      </w:r>
      <w:r w:rsidRPr="0043416E">
        <w:rPr>
          <w:color w:val="EE0000"/>
          <w:lang w:val="en-GB"/>
        </w:rPr>
        <w:t xml:space="preserve"> </w:t>
      </w:r>
      <w:r w:rsidRPr="008E1F00">
        <w:rPr>
          <w:lang w:val="en-GB"/>
        </w:rPr>
        <w:t xml:space="preserve">To assess the extent of bioanode resilience, the current generation and COD removal obtained during the recovery phase under different </w:t>
      </w:r>
      <w:r w:rsidRPr="00B10723">
        <w:rPr>
          <w:lang w:val="en-GB"/>
        </w:rPr>
        <w:t xml:space="preserve">dilution </w:t>
      </w:r>
      <w:r w:rsidR="00B10723" w:rsidRPr="00B10723">
        <w:rPr>
          <w:lang w:val="en-GB"/>
        </w:rPr>
        <w:t>rate (</w:t>
      </w:r>
      <w:proofErr w:type="spellStart"/>
      <w:r w:rsidR="00B10723" w:rsidRPr="00B10723">
        <w:rPr>
          <w:lang w:val="en-GB"/>
        </w:rPr>
        <w:t>D</w:t>
      </w:r>
      <w:r w:rsidR="00B10723" w:rsidRPr="00B10723">
        <w:rPr>
          <w:vertAlign w:val="subscript"/>
          <w:lang w:val="en-GB"/>
        </w:rPr>
        <w:t>rate</w:t>
      </w:r>
      <w:proofErr w:type="spellEnd"/>
      <w:r w:rsidR="00B10723" w:rsidRPr="00B10723">
        <w:rPr>
          <w:lang w:val="en-GB"/>
        </w:rPr>
        <w:t>)</w:t>
      </w:r>
      <w:r w:rsidRPr="00B10723">
        <w:rPr>
          <w:lang w:val="en-GB"/>
        </w:rPr>
        <w:t xml:space="preserve"> and organic loading rates</w:t>
      </w:r>
      <w:r w:rsidR="00B10723">
        <w:rPr>
          <w:lang w:val="en-GB"/>
        </w:rPr>
        <w:t xml:space="preserve"> (OLRs)</w:t>
      </w:r>
      <w:r w:rsidRPr="008E1F00">
        <w:rPr>
          <w:lang w:val="en-GB"/>
        </w:rPr>
        <w:t xml:space="preserve"> were compared with the reference performance previously obtained with the same synthetic substrate and reported by </w:t>
      </w:r>
      <w:sdt>
        <w:sdtPr>
          <w:rPr>
            <w:rFonts w:cs="Arial"/>
            <w:color w:val="000000"/>
            <w:lang w:val="en-GB"/>
          </w:rPr>
          <w:tag w:val="MENDELEY_CITATION_v3_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"/>
          <w:id w:val="-627693314"/>
          <w:placeholder>
            <w:docPart w:val="DefaultPlaceholder_-1854013440"/>
          </w:placeholder>
        </w:sdtPr>
        <w:sdtContent>
          <w:r w:rsidR="00C2411E" w:rsidRPr="00C2411E">
            <w:rPr>
              <w:rFonts w:cs="Arial"/>
              <w:color w:val="000000"/>
              <w:lang w:val="en-GB"/>
            </w:rPr>
            <w:t>(Marchetti, Valentino, et al., 2026)</w:t>
          </w:r>
        </w:sdtContent>
      </w:sdt>
      <w:r w:rsidRPr="008E1F00">
        <w:rPr>
          <w:lang w:val="en-GB"/>
        </w:rPr>
        <w:t xml:space="preserve">. The recovery was further assessed under stable operating conditions and through </w:t>
      </w:r>
      <w:r w:rsidRPr="00B10723">
        <w:rPr>
          <w:lang w:val="en-GB"/>
        </w:rPr>
        <w:t>cyclic voltammetr</w:t>
      </w:r>
      <w:r w:rsidR="00B10723" w:rsidRPr="00B10723">
        <w:rPr>
          <w:lang w:val="en-GB"/>
        </w:rPr>
        <w:t>ies</w:t>
      </w:r>
      <w:r w:rsidR="00B10723">
        <w:rPr>
          <w:lang w:val="en-GB"/>
        </w:rPr>
        <w:t xml:space="preserve"> (CVs)</w:t>
      </w:r>
      <w:r w:rsidRPr="008E1F00">
        <w:rPr>
          <w:lang w:val="en-GB"/>
        </w:rPr>
        <w:t>, providing complementary information on the electrochemical response of the bioanode after the inhibitory event. This approach provides insights into the capacity of a long-term operated MEC bioanode to withstand a severe substrate-related perturbation and recover its activity without bioanode replacement or reinoculation</w:t>
      </w:r>
      <w:r w:rsidR="004831FD">
        <w:rPr>
          <w:lang w:val="en-GB"/>
        </w:rPr>
        <w:t xml:space="preserve"> </w:t>
      </w:r>
      <w:sdt>
        <w:sdtPr>
          <w:rPr>
            <w:rFonts w:cs="Arial"/>
            <w:color w:val="000000"/>
            <w:lang w:val="en-GB"/>
          </w:rPr>
          <w:tag w:val="MENDELEY_CITATION_v3_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"/>
          <w:id w:val="-572121364"/>
          <w:placeholder>
            <w:docPart w:val="DefaultPlaceholder_-1854013440"/>
          </w:placeholder>
        </w:sdtPr>
        <w:sdtContent>
          <w:r w:rsidR="00C2411E" w:rsidRPr="00C2411E">
            <w:rPr>
              <w:rFonts w:cs="Arial"/>
              <w:color w:val="000000"/>
              <w:lang w:val="en-GB"/>
            </w:rPr>
            <w:t>(Marsili et al., 2008)</w:t>
          </w:r>
        </w:sdtContent>
      </w:sdt>
      <w:r w:rsidRPr="008E1F00">
        <w:rPr>
          <w:lang w:val="en-GB"/>
        </w:rPr>
        <w:t>.</w:t>
      </w:r>
    </w:p>
    <w:p w14:paraId="4CA24040" w14:textId="77777777" w:rsidR="000014EE" w:rsidRDefault="000014EE" w:rsidP="0055572A">
      <w:pPr>
        <w:pStyle w:val="CETHeading1"/>
      </w:pPr>
      <w:r>
        <w:t>Material and methods</w:t>
      </w:r>
    </w:p>
    <w:p w14:paraId="0787C6D2" w14:textId="77777777" w:rsidR="000014EE" w:rsidRPr="00F44C2E" w:rsidRDefault="000014EE" w:rsidP="0055572A">
      <w:pPr>
        <w:pStyle w:val="CETheadingx"/>
        <w:rPr>
          <w:lang w:val="en-GB"/>
        </w:rPr>
      </w:pPr>
      <w:r>
        <w:t xml:space="preserve">Microbial electrolysis cell configuration </w:t>
      </w:r>
    </w:p>
    <w:p w14:paraId="6C1BEA00" w14:textId="7F95B354" w:rsidR="00A35FE9" w:rsidRDefault="003D346A" w:rsidP="0055572A">
      <w:pPr>
        <w:pStyle w:val="CETBodytext"/>
        <w:rPr>
          <w:lang w:val="en-GB"/>
        </w:rPr>
      </w:pPr>
      <w:r w:rsidRPr="003D346A">
        <w:rPr>
          <w:lang w:val="en-GB"/>
        </w:rPr>
        <w:t xml:space="preserve">A laboratory-scale three-chamber MEC was used, consisting of three identical Plexiglas chambers (0.86 L each; 17 × 17 × 3 cm). A CMI International cation exchange membrane (CEM; Membrane International, USA) separated the bioanode from the two cathodic chambers. Each cathode consisted of a 316 stainless-steel sheet (176.46 cm²), while the bioanode was filled with granular graphite (&lt;4 mm; </w:t>
      </w:r>
      <w:proofErr w:type="spellStart"/>
      <w:r w:rsidRPr="003D346A">
        <w:rPr>
          <w:lang w:val="en-GB"/>
        </w:rPr>
        <w:t>Faima</w:t>
      </w:r>
      <w:proofErr w:type="spellEnd"/>
      <w:r w:rsidRPr="003D346A">
        <w:rPr>
          <w:lang w:val="en-GB"/>
        </w:rPr>
        <w:t xml:space="preserve"> </w:t>
      </w:r>
      <w:proofErr w:type="spellStart"/>
      <w:r w:rsidRPr="003D346A">
        <w:rPr>
          <w:lang w:val="en-GB"/>
        </w:rPr>
        <w:t>Srl</w:t>
      </w:r>
      <w:proofErr w:type="spellEnd"/>
      <w:r w:rsidRPr="003D346A">
        <w:rPr>
          <w:lang w:val="en-GB"/>
        </w:rPr>
        <w:t xml:space="preserve">, Milan), which served both as the electrode material and as a support for biofilm development. The bioanode was inoculated with activated sludge containing a mixed microbial culture (MMC) collected from a full-scale wastewater treatment plant and previously washed with the mineral medium described by </w:t>
      </w:r>
      <w:sdt>
        <w:sdtPr>
          <w:rPr>
            <w:rFonts w:cs="Arial"/>
            <w:color w:val="000000"/>
            <w:lang w:val="en-GB"/>
          </w:rPr>
          <w:tag w:val="MENDELEY_CITATION_v3_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"/>
          <w:id w:val="204839798"/>
          <w:placeholder>
            <w:docPart w:val="DefaultPlaceholder_-1854013440"/>
          </w:placeholder>
        </w:sdtPr>
        <w:sdtContent>
          <w:r w:rsidR="00C2411E" w:rsidRPr="00C2411E">
            <w:rPr>
              <w:rFonts w:cs="Arial"/>
              <w:color w:val="000000"/>
              <w:lang w:val="en-GB"/>
            </w:rPr>
            <w:t>(</w:t>
          </w:r>
          <w:proofErr w:type="spellStart"/>
          <w:r w:rsidR="00C2411E" w:rsidRPr="00C2411E">
            <w:rPr>
              <w:rFonts w:cs="Arial"/>
              <w:color w:val="000000"/>
              <w:lang w:val="en-GB"/>
            </w:rPr>
            <w:t>Dell’Armi</w:t>
          </w:r>
          <w:proofErr w:type="spellEnd"/>
          <w:r w:rsidR="00C2411E" w:rsidRPr="00C2411E">
            <w:rPr>
              <w:rFonts w:cs="Arial"/>
              <w:color w:val="000000"/>
              <w:lang w:val="en-GB"/>
            </w:rPr>
            <w:t xml:space="preserve"> et al., 2025)</w:t>
          </w:r>
        </w:sdtContent>
      </w:sdt>
      <w:r w:rsidRPr="003D346A">
        <w:rPr>
          <w:lang w:val="en-GB"/>
        </w:rPr>
        <w:t>.</w:t>
      </w:r>
      <w:r>
        <w:rPr>
          <w:lang w:val="en-GB"/>
        </w:rPr>
        <w:t xml:space="preserve"> </w:t>
      </w:r>
      <w:r w:rsidRPr="003D346A">
        <w:rPr>
          <w:lang w:val="en-GB"/>
        </w:rPr>
        <w:t xml:space="preserve">The solution was stored in a </w:t>
      </w:r>
      <w:proofErr w:type="spellStart"/>
      <w:r w:rsidRPr="003D346A">
        <w:rPr>
          <w:lang w:val="en-GB"/>
        </w:rPr>
        <w:t>Tedlar</w:t>
      </w:r>
      <w:proofErr w:type="spellEnd"/>
      <w:r w:rsidRPr="003D346A">
        <w:rPr>
          <w:lang w:val="en-GB"/>
        </w:rPr>
        <w:t xml:space="preserve"> bag and continuously supplied to the anodic chamber using a peristaltic pump, while the anodic effluent was collected in a second </w:t>
      </w:r>
      <w:proofErr w:type="spellStart"/>
      <w:r w:rsidRPr="003D346A">
        <w:rPr>
          <w:lang w:val="en-GB"/>
        </w:rPr>
        <w:t>Tedlar</w:t>
      </w:r>
      <w:proofErr w:type="spellEnd"/>
      <w:r w:rsidRPr="003D346A">
        <w:rPr>
          <w:lang w:val="en-GB"/>
        </w:rPr>
        <w:t xml:space="preserve"> bag. The cathodic chambers were operated in batch mode using 0.5 M NaCl, with daily catholyte replacement to compensate for electro-osmotic water transfer through the CEM. A 0.30-L glass chamber equipped with sampling ports was connected to each MEC chamber for liquid and gas sampling. The MEC was maintained at 25 ± 1 °C throughout the </w:t>
      </w:r>
      <w:r w:rsidR="004831FD" w:rsidRPr="003D346A">
        <w:rPr>
          <w:lang w:val="en-GB"/>
        </w:rPr>
        <w:t>experiments. The</w:t>
      </w:r>
      <w:r w:rsidRPr="003D346A">
        <w:rPr>
          <w:lang w:val="en-GB"/>
        </w:rPr>
        <w:t xml:space="preserve"> potential of the individual electrodes was monitored using Ag/AgCl reference electrodes immersed in saturated KCl (E = +0.199 V vs. SHE). The graphite bioanode was electrically connected through three graphite rods and titanium wires to a potentiostat (</w:t>
      </w:r>
      <w:r>
        <w:rPr>
          <w:lang w:val="en-GB"/>
        </w:rPr>
        <w:t>Amel</w:t>
      </w:r>
      <w:r w:rsidRPr="003D346A">
        <w:rPr>
          <w:lang w:val="en-GB"/>
        </w:rPr>
        <w:t xml:space="preserve"> </w:t>
      </w:r>
      <w:proofErr w:type="spellStart"/>
      <w:r>
        <w:rPr>
          <w:lang w:val="en-GB"/>
        </w:rPr>
        <w:t>S.r.l</w:t>
      </w:r>
      <w:proofErr w:type="spellEnd"/>
      <w:r>
        <w:rPr>
          <w:lang w:val="en-GB"/>
        </w:rPr>
        <w:t>.,</w:t>
      </w:r>
      <w:r w:rsidRPr="003D346A">
        <w:rPr>
          <w:lang w:val="en-GB"/>
        </w:rPr>
        <w:t xml:space="preserve"> </w:t>
      </w:r>
      <w:r>
        <w:rPr>
          <w:lang w:val="en-GB"/>
        </w:rPr>
        <w:t>Italy</w:t>
      </w:r>
      <w:r w:rsidRPr="003D346A">
        <w:rPr>
          <w:lang w:val="en-GB"/>
        </w:rPr>
        <w:t>) and maintained at +0.2 V vs. SHE.</w:t>
      </w:r>
    </w:p>
    <w:p w14:paraId="33DE5FE3" w14:textId="73D3BC9B" w:rsidR="00F654D7" w:rsidRPr="00564110" w:rsidRDefault="00F654D7" w:rsidP="0055572A">
      <w:pPr>
        <w:pStyle w:val="CETheadingx"/>
      </w:pPr>
      <w:r w:rsidRPr="00F654D7">
        <w:rPr>
          <w:lang w:val="en-GB"/>
        </w:rPr>
        <w:t>Experimental approach</w:t>
      </w:r>
      <w:r w:rsidRPr="00564110">
        <w:t xml:space="preserve"> </w:t>
      </w:r>
    </w:p>
    <w:p w14:paraId="157274B5" w14:textId="55FD7D48" w:rsidR="0067580B" w:rsidRPr="0067580B" w:rsidRDefault="00F654D7" w:rsidP="0055572A">
      <w:pPr>
        <w:pStyle w:val="CETBodytext"/>
      </w:pPr>
      <w:r w:rsidRPr="00F654D7">
        <w:rPr>
          <w:lang w:val="en-GB"/>
        </w:rPr>
        <w:t>Following the inhibitory event, the MEC was returned to the synthetic feeding conditions previously adopted</w:t>
      </w:r>
      <w:r w:rsidR="006E7549">
        <w:rPr>
          <w:lang w:val="en-GB"/>
        </w:rPr>
        <w:t xml:space="preserve">. </w:t>
      </w:r>
      <w:r w:rsidR="006E7549" w:rsidRPr="003D346A">
        <w:rPr>
          <w:lang w:val="en-GB"/>
        </w:rPr>
        <w:t>The synthetic feeding solution contained 1.25 g COD/L, consisting of glucose (0.68 g/L), sodium acetate (0.20 g/L), peptone (0.22 g/L) and yeast extract (0.15 g/L), supplemented with the same mineral medium used for inoculum preparation</w:t>
      </w:r>
      <w:r w:rsidR="006F0F91">
        <w:rPr>
          <w:lang w:val="en-GB"/>
        </w:rPr>
        <w:t xml:space="preserve"> and characterized by a total conductivity of 6.0 mS/cm</w:t>
      </w:r>
      <w:r w:rsidR="00B10723">
        <w:rPr>
          <w:lang w:val="en-GB"/>
        </w:rPr>
        <w:t xml:space="preserve"> and physiological pH</w:t>
      </w:r>
      <w:r w:rsidR="006E7549" w:rsidRPr="003D346A">
        <w:rPr>
          <w:lang w:val="en-GB"/>
        </w:rPr>
        <w:t xml:space="preserve">. </w:t>
      </w:r>
      <w:r w:rsidR="006E7549">
        <w:rPr>
          <w:lang w:val="en-GB"/>
        </w:rPr>
        <w:t>T</w:t>
      </w:r>
      <w:r w:rsidRPr="00F654D7">
        <w:rPr>
          <w:lang w:val="en-GB"/>
        </w:rPr>
        <w:t xml:space="preserve">he recovery of the same bioanode was monitored by applying the rapid screening approach described by </w:t>
      </w:r>
      <w:sdt>
        <w:sdtPr>
          <w:rPr>
            <w:rFonts w:cs="Arial"/>
            <w:color w:val="000000"/>
            <w:lang w:val="en-GB"/>
          </w:rPr>
          <w:tag w:val="MENDELEY_CITATION_v3_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"/>
          <w:id w:val="1862014587"/>
          <w:placeholder>
            <w:docPart w:val="DefaultPlaceholder_-1854013440"/>
          </w:placeholder>
        </w:sdtPr>
        <w:sdtContent>
          <w:r w:rsidR="00C2411E" w:rsidRPr="00C2411E">
            <w:rPr>
              <w:rFonts w:cs="Arial"/>
              <w:color w:val="000000"/>
              <w:lang w:val="en-GB"/>
            </w:rPr>
            <w:t>(Marchetti, Valentino, et al., 2026)</w:t>
          </w:r>
        </w:sdtContent>
      </w:sdt>
      <w:r w:rsidR="00EE22B1">
        <w:rPr>
          <w:lang w:val="en-GB"/>
        </w:rPr>
        <w:t xml:space="preserve">, </w:t>
      </w:r>
      <w:r w:rsidRPr="006E7549">
        <w:rPr>
          <w:lang w:val="en-GB"/>
        </w:rPr>
        <w:t xml:space="preserve">by progressively varying the hydraulic conditions and evaluating current generation and COD removal. Following, the bioanode performance under stable operating conditions was monitored by </w:t>
      </w:r>
      <w:r w:rsidR="006E7549" w:rsidRPr="006E7549">
        <w:rPr>
          <w:lang w:val="en-GB"/>
        </w:rPr>
        <w:t>working with</w:t>
      </w:r>
      <w:r w:rsidRPr="006E7549">
        <w:rPr>
          <w:lang w:val="en-GB"/>
        </w:rPr>
        <w:t xml:space="preserve"> a </w:t>
      </w:r>
      <w:proofErr w:type="spellStart"/>
      <w:r w:rsidRPr="006E7549">
        <w:rPr>
          <w:lang w:val="en-GB"/>
        </w:rPr>
        <w:t>D</w:t>
      </w:r>
      <w:r w:rsidRPr="006E7549">
        <w:rPr>
          <w:vertAlign w:val="subscript"/>
          <w:lang w:val="en-GB"/>
        </w:rPr>
        <w:t>rate</w:t>
      </w:r>
      <w:proofErr w:type="spellEnd"/>
      <w:r w:rsidRPr="006E7549">
        <w:rPr>
          <w:lang w:val="en-GB"/>
        </w:rPr>
        <w:t xml:space="preserve"> of 1.7 d</w:t>
      </w:r>
      <w:r w:rsidRPr="006E7549">
        <w:rPr>
          <w:vertAlign w:val="superscript"/>
          <w:lang w:val="en-GB"/>
        </w:rPr>
        <w:t>-1</w:t>
      </w:r>
      <w:r w:rsidRPr="006E7549">
        <w:rPr>
          <w:lang w:val="en-GB"/>
        </w:rPr>
        <w:t>, corresponding to an OLR of 2 gCOD/(</w:t>
      </w:r>
      <w:proofErr w:type="spellStart"/>
      <w:r w:rsidRPr="006E7549">
        <w:rPr>
          <w:lang w:val="en-GB"/>
        </w:rPr>
        <w:t>L·d</w:t>
      </w:r>
      <w:proofErr w:type="spellEnd"/>
      <w:r w:rsidRPr="006E7549">
        <w:rPr>
          <w:lang w:val="en-GB"/>
        </w:rPr>
        <w:t>).</w:t>
      </w:r>
      <w:r w:rsidRPr="003D346A">
        <w:rPr>
          <w:lang w:val="en-GB"/>
        </w:rPr>
        <w:t xml:space="preserve"> </w:t>
      </w:r>
      <w:r w:rsidR="006E7549">
        <w:rPr>
          <w:lang w:val="en-GB"/>
        </w:rPr>
        <w:t>Importantly, t</w:t>
      </w:r>
      <w:r w:rsidRPr="00F654D7">
        <w:rPr>
          <w:lang w:val="en-GB"/>
        </w:rPr>
        <w:t>he same bioanode, continuously operated since 2024, was maintained throughout the study without replacement or reinoculation. The recovered bioanode was finally characterized by cyclic voltammetry to assess its electrochemical response.</w:t>
      </w:r>
    </w:p>
    <w:p w14:paraId="1E6BDC1D" w14:textId="77777777" w:rsidR="00D30B80" w:rsidRPr="00564110" w:rsidRDefault="00D30B80" w:rsidP="0055572A">
      <w:pPr>
        <w:pStyle w:val="CETheadingx"/>
      </w:pPr>
      <w:r w:rsidRPr="00564110">
        <w:t xml:space="preserve">Analytical procedures and bioelectrochemical characterization </w:t>
      </w:r>
    </w:p>
    <w:p w14:paraId="2F76FE88" w14:textId="5C3EFD8C" w:rsidR="00891080" w:rsidRPr="00891080" w:rsidRDefault="00D30B80" w:rsidP="0055572A">
      <w:pPr>
        <w:pStyle w:val="CETBodytext"/>
        <w:rPr>
          <w:lang w:val="en-GB"/>
        </w:rPr>
      </w:pPr>
      <w:r w:rsidRPr="00A35965">
        <w:t xml:space="preserve">The volumetric flow rate of the outlet gas was measured using a Ritter® </w:t>
      </w:r>
      <w:proofErr w:type="spellStart"/>
      <w:r w:rsidRPr="00A35965">
        <w:t>milligas</w:t>
      </w:r>
      <w:proofErr w:type="spellEnd"/>
      <w:r w:rsidRPr="00A35965">
        <w:t xml:space="preserve"> counter. Gas composition (O</w:t>
      </w:r>
      <w:r w:rsidRPr="00A35965">
        <w:rPr>
          <w:rFonts w:ascii="Cambria Math" w:hAnsi="Cambria Math" w:cs="Cambria Math"/>
        </w:rPr>
        <w:t>₂</w:t>
      </w:r>
      <w:r w:rsidRPr="00A35965">
        <w:t>, H</w:t>
      </w:r>
      <w:r w:rsidRPr="00A35965">
        <w:rPr>
          <w:rFonts w:ascii="Cambria Math" w:hAnsi="Cambria Math" w:cs="Cambria Math"/>
        </w:rPr>
        <w:t>₂</w:t>
      </w:r>
      <w:r w:rsidRPr="00A35965">
        <w:t>, CO</w:t>
      </w:r>
      <w:r w:rsidRPr="00A35965">
        <w:rPr>
          <w:rFonts w:ascii="Cambria Math" w:hAnsi="Cambria Math" w:cs="Cambria Math"/>
        </w:rPr>
        <w:t>₂</w:t>
      </w:r>
      <w:r w:rsidRPr="00A35965">
        <w:t>, and CH</w:t>
      </w:r>
      <w:r w:rsidRPr="00A35965">
        <w:rPr>
          <w:rFonts w:ascii="Cambria Math" w:hAnsi="Cambria Math" w:cs="Cambria Math"/>
        </w:rPr>
        <w:t>₄</w:t>
      </w:r>
      <w:r w:rsidRPr="00A35965">
        <w:t xml:space="preserve">) was analyzed by extracting a 50 </w:t>
      </w:r>
      <w:proofErr w:type="spellStart"/>
      <w:r w:rsidRPr="00A35965">
        <w:rPr>
          <w:rFonts w:cs="Arial"/>
        </w:rPr>
        <w:t>μ</w:t>
      </w:r>
      <w:r w:rsidRPr="00A35965">
        <w:t>L</w:t>
      </w:r>
      <w:proofErr w:type="spellEnd"/>
      <w:r w:rsidRPr="00A35965">
        <w:t xml:space="preserve"> sample with a gas-tight syringe and injecting it into a Dani Master GC gas chromatograph (Milan, Italy) equipped with a thermal conductivity detector (TCD). The total</w:t>
      </w:r>
      <w:r w:rsidR="00C56686">
        <w:t xml:space="preserve"> and soluble </w:t>
      </w:r>
      <w:r>
        <w:t>COD</w:t>
      </w:r>
      <w:r w:rsidRPr="00A35965">
        <w:t xml:space="preserve"> were assessed by digesting unfiltered and filtered (0.2 µm) samples, respectively, at 150°C for 2 hours using commercial </w:t>
      </w:r>
      <w:proofErr w:type="spellStart"/>
      <w:r w:rsidRPr="00A35965">
        <w:t>Spectroquant</w:t>
      </w:r>
      <w:proofErr w:type="spellEnd"/>
      <w:r w:rsidRPr="00A35965">
        <w:t xml:space="preserve"> test kits (</w:t>
      </w:r>
      <w:proofErr w:type="spellStart"/>
      <w:r w:rsidRPr="00A35965">
        <w:t>Macherey</w:t>
      </w:r>
      <w:proofErr w:type="spellEnd"/>
      <w:r w:rsidRPr="00A35965">
        <w:t>-Nagel, Duren, Germany)</w:t>
      </w:r>
      <w:r>
        <w:t xml:space="preserve"> </w:t>
      </w:r>
      <w:r w:rsidRPr="00A35965">
        <w:t xml:space="preserve">and measuring absorbance at 605 nm with a </w:t>
      </w:r>
      <w:proofErr w:type="spellStart"/>
      <w:r w:rsidRPr="00A35965">
        <w:t>Nanocolor</w:t>
      </w:r>
      <w:proofErr w:type="spellEnd"/>
      <w:r w:rsidRPr="00A35965">
        <w:t xml:space="preserve"> Vario4 UV–</w:t>
      </w:r>
      <w:proofErr w:type="gramStart"/>
      <w:r w:rsidRPr="00A35965">
        <w:t>Vis</w:t>
      </w:r>
      <w:proofErr w:type="gramEnd"/>
      <w:r w:rsidRPr="00A35965">
        <w:t xml:space="preserve"> spectrophotometer (</w:t>
      </w:r>
      <w:proofErr w:type="spellStart"/>
      <w:r w:rsidRPr="00A35965">
        <w:t>Macherey</w:t>
      </w:r>
      <w:proofErr w:type="spellEnd"/>
      <w:r w:rsidRPr="00A35965">
        <w:t xml:space="preserve">-Nagel, Duren, </w:t>
      </w:r>
      <w:r>
        <w:t>G</w:t>
      </w:r>
      <w:r w:rsidRPr="00A35965">
        <w:t>ermany)</w:t>
      </w:r>
      <w:r w:rsidR="007A7E44">
        <w:t xml:space="preserve"> </w:t>
      </w:r>
      <w:sdt>
        <w:sdtPr>
          <w:rPr>
            <w:rFonts w:cs="Arial"/>
            <w:color w:val="000000"/>
          </w:rPr>
          <w:tag w:val="MENDELEY_CITATION_v3_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"/>
          <w:id w:val="-967274475"/>
          <w:placeholder>
            <w:docPart w:val="136EAECFCB0C4569BA0F3E76978B7C69"/>
          </w:placeholder>
        </w:sdtPr>
        <w:sdtContent>
          <w:r w:rsidR="00C2411E" w:rsidRPr="00C2411E">
            <w:rPr>
              <w:rFonts w:cs="Arial"/>
              <w:color w:val="000000"/>
            </w:rPr>
            <w:t>(APHA, 1995)</w:t>
          </w:r>
        </w:sdtContent>
      </w:sdt>
      <w:r w:rsidRPr="00A35965">
        <w:t>. Conductivity and pH were determined using an SI Analytics HandyLab680 meter</w:t>
      </w:r>
      <w:r w:rsidR="004831FD">
        <w:t xml:space="preserve"> </w:t>
      </w:r>
      <w:r w:rsidRPr="00A35965">
        <w:t xml:space="preserve">(Fisher </w:t>
      </w:r>
      <w:proofErr w:type="spellStart"/>
      <w:proofErr w:type="gramStart"/>
      <w:r w:rsidRPr="00A35965">
        <w:t>Scientific,Wien</w:t>
      </w:r>
      <w:proofErr w:type="spellEnd"/>
      <w:proofErr w:type="gramEnd"/>
      <w:r w:rsidRPr="00A35965">
        <w:t>, Austria)</w:t>
      </w:r>
      <w:r w:rsidR="004C22DF">
        <w:t>.</w:t>
      </w:r>
      <w:r w:rsidR="00891080">
        <w:t xml:space="preserve"> </w:t>
      </w:r>
      <w:r w:rsidR="005804E0" w:rsidRPr="005804E0">
        <w:rPr>
          <w:lang w:val="en-GB"/>
        </w:rPr>
        <w:t xml:space="preserve">Finally, the electrochemical response of the recovered anodic biofilm was characterized by cyclic voltammetry under potentiodynamic control. CVs were recorded at four scan rates (5, 20, 40 and 60 mV/min) over a potential range from +0.40 to −0.40 V vs SHE. Three consecutive cycles were </w:t>
      </w:r>
      <w:r w:rsidR="005804E0" w:rsidRPr="005804E0">
        <w:rPr>
          <w:lang w:val="en-GB"/>
        </w:rPr>
        <w:lastRenderedPageBreak/>
        <w:t xml:space="preserve">performed for each scan rate, </w:t>
      </w:r>
      <w:r w:rsidR="00EE22B1">
        <w:rPr>
          <w:lang w:val="en-GB"/>
        </w:rPr>
        <w:t>but</w:t>
      </w:r>
      <w:r w:rsidR="005804E0" w:rsidRPr="005804E0">
        <w:rPr>
          <w:lang w:val="en-GB"/>
        </w:rPr>
        <w:t xml:space="preserve"> only the third cycle is reported.</w:t>
      </w:r>
      <w:r w:rsidR="00DB05B9">
        <w:rPr>
          <w:lang w:val="en-GB"/>
        </w:rPr>
        <w:t xml:space="preserve"> A</w:t>
      </w:r>
      <w:r w:rsidR="00DB05B9" w:rsidRPr="00DB05B9">
        <w:rPr>
          <w:lang w:val="en-GB"/>
        </w:rPr>
        <w:t>ll these tests were carried out</w:t>
      </w:r>
      <w:r w:rsidR="00DB05B9">
        <w:rPr>
          <w:lang w:val="en-GB"/>
        </w:rPr>
        <w:t xml:space="preserve"> </w:t>
      </w:r>
      <w:r w:rsidR="00DB05B9" w:rsidRPr="00DB05B9">
        <w:rPr>
          <w:lang w:val="en-GB"/>
        </w:rPr>
        <w:t>under turnover conditions</w:t>
      </w:r>
      <w:r w:rsidR="00DB05B9">
        <w:rPr>
          <w:lang w:val="en-GB"/>
        </w:rPr>
        <w:t>, i.e.,</w:t>
      </w:r>
      <w:r w:rsidR="00DB05B9" w:rsidRPr="00DB05B9">
        <w:rPr>
          <w:lang w:val="en-GB"/>
        </w:rPr>
        <w:t xml:space="preserve"> in the presence of </w:t>
      </w:r>
      <w:r w:rsidR="00DB05B9">
        <w:rPr>
          <w:lang w:val="en-GB"/>
        </w:rPr>
        <w:t xml:space="preserve">the synthetic </w:t>
      </w:r>
      <w:r w:rsidR="00DB05B9" w:rsidRPr="00DB05B9">
        <w:rPr>
          <w:lang w:val="en-GB"/>
        </w:rPr>
        <w:t>substrate</w:t>
      </w:r>
      <w:r w:rsidR="00DB05B9">
        <w:rPr>
          <w:lang w:val="en-GB"/>
        </w:rPr>
        <w:t xml:space="preserve"> </w:t>
      </w:r>
      <w:r w:rsidR="00DB05B9" w:rsidRPr="00DB05B9">
        <w:rPr>
          <w:lang w:val="en-GB"/>
        </w:rPr>
        <w:t>in the anodic compartment of the MEC</w:t>
      </w:r>
      <w:r w:rsidR="00DB05B9">
        <w:rPr>
          <w:lang w:val="en-GB"/>
        </w:rPr>
        <w:t xml:space="preserve">, </w:t>
      </w:r>
      <w:r w:rsidR="00EE22B1">
        <w:rPr>
          <w:lang w:val="en-GB"/>
        </w:rPr>
        <w:t>under</w:t>
      </w:r>
      <w:r w:rsidR="00DB05B9">
        <w:rPr>
          <w:lang w:val="en-GB"/>
        </w:rPr>
        <w:t xml:space="preserve"> the same operative conditions</w:t>
      </w:r>
      <w:r w:rsidR="00EE22B1">
        <w:rPr>
          <w:lang w:val="en-GB"/>
        </w:rPr>
        <w:t xml:space="preserve"> as those used during the </w:t>
      </w:r>
      <w:r w:rsidR="00EE22B1" w:rsidRPr="00B10723">
        <w:rPr>
          <w:lang w:val="en-GB"/>
        </w:rPr>
        <w:t>steady-state</w:t>
      </w:r>
      <w:r w:rsidR="00EE22B1">
        <w:rPr>
          <w:lang w:val="en-GB"/>
        </w:rPr>
        <w:t xml:space="preserve"> period</w:t>
      </w:r>
      <w:r w:rsidR="00DB05B9">
        <w:rPr>
          <w:lang w:val="en-GB"/>
        </w:rPr>
        <w:t>.</w:t>
      </w:r>
    </w:p>
    <w:p w14:paraId="5BFD6A60" w14:textId="1C934DE7" w:rsidR="000014EE" w:rsidRDefault="00A35965" w:rsidP="0055572A">
      <w:pPr>
        <w:pStyle w:val="CETheadingx"/>
      </w:pPr>
      <w:r>
        <w:t>Calculation</w:t>
      </w:r>
    </w:p>
    <w:p w14:paraId="6F7C64AA" w14:textId="6030E0CB" w:rsidR="00A35965" w:rsidRPr="00A35965" w:rsidRDefault="0020232E" w:rsidP="0055572A">
      <w:pPr>
        <w:pStyle w:val="CETBodytext"/>
      </w:pPr>
      <w:r w:rsidRPr="00A35965">
        <w:t>To</w:t>
      </w:r>
      <w:r w:rsidR="00A35965" w:rsidRPr="00A35965">
        <w:t xml:space="preserve"> calculate the removed COD (mg/Ld), the following equation was employed, where COD</w:t>
      </w:r>
      <w:r w:rsidR="00A35965" w:rsidRPr="00A35965">
        <w:rPr>
          <w:vertAlign w:val="subscript"/>
        </w:rPr>
        <w:t>in</w:t>
      </w:r>
      <w:r w:rsidR="00A35965" w:rsidRPr="00A35965">
        <w:t xml:space="preserve"> and COD</w:t>
      </w:r>
      <w:r w:rsidR="00A35965" w:rsidRPr="00A35965">
        <w:rPr>
          <w:vertAlign w:val="subscript"/>
        </w:rPr>
        <w:t>out</w:t>
      </w:r>
      <w:r w:rsidR="00A35965" w:rsidRPr="00A35965">
        <w:t xml:space="preserve"> (mg/L) represent the influent and effluent COD concentrations, Qin and Qout (L/d) denote the influent and the effluent flow rates, respectively. The result was then normalized by the </w:t>
      </w:r>
      <w:proofErr w:type="spellStart"/>
      <w:r w:rsidR="00A35965" w:rsidRPr="00A35965">
        <w:t>bioanodic</w:t>
      </w:r>
      <w:proofErr w:type="spellEnd"/>
      <w:r w:rsidR="00A35965" w:rsidRPr="00A35965">
        <w:t xml:space="preserve"> chamber volume</w:t>
      </w:r>
      <w:r w:rsidR="00AD422A">
        <w:t xml:space="preserve"> V</w:t>
      </w:r>
      <w:r w:rsidR="00C65666">
        <w:t>:</w:t>
      </w:r>
    </w:p>
    <w:p w14:paraId="7D1459C3" w14:textId="10C482A8" w:rsidR="00FA1D93" w:rsidRDefault="00000000" w:rsidP="0055572A">
      <w:pPr>
        <w:pStyle w:val="CETBodytext"/>
        <w:rPr>
          <w:i/>
          <w:iCs/>
        </w:rPr>
      </w:pPr>
      <m:oMath>
        <m:sSub>
          <m:sSubPr>
            <m:ctrlPr>
              <w:rPr>
                <w:rFonts w:ascii="Cambria Math" w:hAnsi="Cambria Math"/>
                <w:i/>
                <w:iCs/>
              </w:rPr>
            </m:ctrlPr>
          </m:sSubPr>
          <m:e>
            <m:r>
              <w:rPr>
                <w:rFonts w:ascii="Cambria Math" w:hAnsi="Cambria Math"/>
              </w:rPr>
              <m:t>COD</m:t>
            </m:r>
          </m:e>
          <m:sub>
            <m:r>
              <w:rPr>
                <w:rFonts w:ascii="Cambria Math" w:hAnsi="Cambria Math"/>
              </w:rPr>
              <m:t>removed</m:t>
            </m:r>
          </m:sub>
        </m:sSub>
        <m:d>
          <m:dPr>
            <m:ctrlPr>
              <w:rPr>
                <w:rFonts w:ascii="Cambria Math" w:hAnsi="Cambria Math"/>
                <w:i/>
              </w:rPr>
            </m:ctrlPr>
          </m:dPr>
          <m:e>
            <m:f>
              <m:fPr>
                <m:ctrlPr>
                  <w:rPr>
                    <w:rFonts w:ascii="Cambria Math" w:hAnsi="Cambria Math"/>
                    <w:i/>
                  </w:rPr>
                </m:ctrlPr>
              </m:fPr>
              <m:num>
                <m:r>
                  <w:rPr>
                    <w:rFonts w:ascii="Cambria Math" w:hAnsi="Cambria Math"/>
                  </w:rPr>
                  <m:t>mg</m:t>
                </m:r>
              </m:num>
              <m:den>
                <m:r>
                  <w:rPr>
                    <w:rFonts w:ascii="Cambria Math" w:hAnsi="Cambria Math"/>
                  </w:rPr>
                  <m:t>L d</m:t>
                </m:r>
              </m:den>
            </m:f>
          </m:e>
        </m:d>
        <m:r>
          <w:rPr>
            <w:rFonts w:ascii="Cambria Math" w:hAnsi="Cambria Math"/>
          </w:rPr>
          <m:t>=</m:t>
        </m:r>
        <m:f>
          <m:fPr>
            <m:ctrlPr>
              <w:rPr>
                <w:rFonts w:ascii="Cambria Math" w:hAnsi="Cambria Math"/>
                <w:i/>
                <w:iCs/>
              </w:rPr>
            </m:ctrlPr>
          </m:fPr>
          <m:num>
            <m:r>
              <w:rPr>
                <w:rFonts w:ascii="Cambria Math" w:hAnsi="Cambria Math"/>
              </w:rPr>
              <m:t>Qin * CODin- Qout*CODout</m:t>
            </m:r>
          </m:num>
          <m:den>
            <m:r>
              <w:rPr>
                <w:rFonts w:ascii="Cambria Math" w:hAnsi="Cambria Math"/>
              </w:rPr>
              <m:t>V</m:t>
            </m:r>
          </m:den>
        </m:f>
        <m:r>
          <w:rPr>
            <w:rFonts w:ascii="Cambria Math" w:hAnsi="Cambria Math"/>
          </w:rPr>
          <m:t xml:space="preserve">                          </m:t>
        </m:r>
        <m:r>
          <m:rPr>
            <m:sty m:val="p"/>
          </m:rPr>
          <w:rPr>
            <w:rFonts w:ascii="Cambria Math" w:hAnsi="Cambria Math"/>
          </w:rPr>
          <m:t>(1)</m:t>
        </m:r>
      </m:oMath>
      <w:r w:rsidR="00A35965" w:rsidRPr="00FA1D93">
        <w:rPr>
          <w:i/>
          <w:iCs/>
        </w:rPr>
        <w:t xml:space="preserve"> </w:t>
      </w:r>
    </w:p>
    <w:p w14:paraId="1F4EDD00" w14:textId="77777777" w:rsidR="00D30B80" w:rsidRPr="00FA1D93" w:rsidRDefault="00D30B80" w:rsidP="0055572A">
      <w:pPr>
        <w:pStyle w:val="CETBodytext"/>
        <w:rPr>
          <w:i/>
          <w:iCs/>
        </w:rPr>
      </w:pPr>
    </w:p>
    <w:p w14:paraId="1051EF79" w14:textId="38F3C587" w:rsidR="00FA1D93" w:rsidRPr="00FA1D93" w:rsidRDefault="00FA1D93" w:rsidP="0055572A">
      <w:pPr>
        <w:pStyle w:val="CETBodytext"/>
      </w:pPr>
      <w:r w:rsidRPr="00FA1D93">
        <w:t xml:space="preserve">From this value it is possible to quantify the </w:t>
      </w:r>
      <w:r w:rsidR="00B5430F">
        <w:t xml:space="preserve">efficiency of </w:t>
      </w:r>
      <w:r w:rsidRPr="00FA1D93">
        <w:t>COD</w:t>
      </w:r>
      <w:r w:rsidR="00B5430F">
        <w:t xml:space="preserve"> converted</w:t>
      </w:r>
      <w:r w:rsidRPr="00FA1D93">
        <w:t xml:space="preserve"> as follows: </w:t>
      </w:r>
    </w:p>
    <w:p w14:paraId="676E1A94" w14:textId="649228A5" w:rsidR="00FA1D93" w:rsidRPr="00D30B80" w:rsidRDefault="00B5430F" w:rsidP="0055572A">
      <w:pPr>
        <w:pStyle w:val="CETBodytext"/>
      </w:pPr>
      <m:oMathPara>
        <m:oMathParaPr>
          <m:jc m:val="left"/>
        </m:oMathParaPr>
        <m:oMath>
          <m:r>
            <w:rPr>
              <w:rFonts w:ascii="Cambria Math" w:hAnsi="Cambria Math"/>
            </w:rPr>
            <m:t>ηCOD</m:t>
          </m:r>
          <m:d>
            <m:dPr>
              <m:ctrlPr>
                <w:rPr>
                  <w:rFonts w:ascii="Cambria Math" w:hAnsi="Cambria Math"/>
                  <w:i/>
                </w:rPr>
              </m:ctrlPr>
            </m:dPr>
            <m:e>
              <m:r>
                <w:rPr>
                  <w:rFonts w:ascii="Cambria Math" w:hAnsi="Cambria Math"/>
                </w:rPr>
                <m:t>%</m:t>
              </m:r>
            </m:e>
          </m:d>
          <m:r>
            <w:rPr>
              <w:rFonts w:ascii="Cambria Math" w:hAnsi="Cambria Math"/>
            </w:rPr>
            <m:t>=</m:t>
          </m:r>
          <m:f>
            <m:fPr>
              <m:ctrlPr>
                <w:rPr>
                  <w:rFonts w:ascii="Cambria Math" w:hAnsi="Cambria Math"/>
                  <w:i/>
                  <w:iCs/>
                </w:rPr>
              </m:ctrlPr>
            </m:fPr>
            <m:num>
              <m:r>
                <w:rPr>
                  <w:rFonts w:ascii="Cambria Math" w:hAnsi="Cambria Math"/>
                </w:rPr>
                <m:t>CO</m:t>
              </m:r>
              <m:sSub>
                <m:sSubPr>
                  <m:ctrlPr>
                    <w:rPr>
                      <w:rFonts w:ascii="Cambria Math" w:hAnsi="Cambria Math"/>
                      <w:i/>
                    </w:rPr>
                  </m:ctrlPr>
                </m:sSubPr>
                <m:e>
                  <m:r>
                    <w:rPr>
                      <w:rFonts w:ascii="Cambria Math" w:hAnsi="Cambria Math"/>
                    </w:rPr>
                    <m:t>D</m:t>
                  </m:r>
                </m:e>
                <m:sub>
                  <m:r>
                    <w:rPr>
                      <w:rFonts w:ascii="Cambria Math" w:hAnsi="Cambria Math"/>
                    </w:rPr>
                    <m:t>removed</m:t>
                  </m:r>
                </m:sub>
              </m:sSub>
              <m:r>
                <w:rPr>
                  <w:rFonts w:ascii="Cambria Math" w:hAnsi="Cambria Math"/>
                </w:rPr>
                <m:t>*100</m:t>
              </m:r>
            </m:num>
            <m:den>
              <m:r>
                <w:rPr>
                  <w:rFonts w:ascii="Cambria Math" w:hAnsi="Cambria Math"/>
                </w:rPr>
                <m:t>CODin</m:t>
              </m:r>
            </m:den>
          </m:f>
          <m:r>
            <w:rPr>
              <w:rFonts w:ascii="Cambria Math" w:hAnsi="Cambria Math"/>
            </w:rPr>
            <m:t xml:space="preserve">                                                 </m:t>
          </m:r>
          <m:r>
            <m:rPr>
              <m:sty m:val="p"/>
            </m:rPr>
            <w:rPr>
              <w:rFonts w:ascii="Cambria Math" w:hAnsi="Cambria Math"/>
            </w:rPr>
            <m:t>(2)</m:t>
          </m:r>
        </m:oMath>
      </m:oMathPara>
    </w:p>
    <w:p w14:paraId="051A46B3" w14:textId="77777777" w:rsidR="00D30B80" w:rsidRPr="00FA1D93" w:rsidRDefault="00D30B80" w:rsidP="0055572A">
      <w:pPr>
        <w:pStyle w:val="CETBodytext"/>
      </w:pPr>
    </w:p>
    <w:p w14:paraId="28162E53" w14:textId="5D43A359" w:rsidR="00A35965" w:rsidRPr="00A35965" w:rsidRDefault="00A35965" w:rsidP="0055572A">
      <w:pPr>
        <w:pStyle w:val="CETBodytext"/>
      </w:pPr>
      <w:r w:rsidRPr="0002584E">
        <w:t xml:space="preserve">The </w:t>
      </w:r>
      <w:r w:rsidR="00AA02D3" w:rsidRPr="0002584E">
        <w:t xml:space="preserve">bioanode </w:t>
      </w:r>
      <w:r w:rsidRPr="0002584E">
        <w:t>coulombic efficiency,</w:t>
      </w:r>
      <w:r w:rsidR="0002584E">
        <w:t xml:space="preserve"> </w:t>
      </w:r>
      <w:r w:rsidR="0002584E" w:rsidRPr="0002584E">
        <w:rPr>
          <w:lang w:val="en-GB"/>
        </w:rPr>
        <w:t xml:space="preserve">in which </w:t>
      </w:r>
      <w:proofErr w:type="spellStart"/>
      <w:r w:rsidR="0002584E" w:rsidRPr="0002584E">
        <w:rPr>
          <w:lang w:val="en-GB"/>
        </w:rPr>
        <w:t>meqi</w:t>
      </w:r>
      <w:proofErr w:type="spellEnd"/>
      <w:r w:rsidR="0002584E" w:rsidRPr="0002584E">
        <w:rPr>
          <w:lang w:val="en-GB"/>
        </w:rPr>
        <w:t xml:space="preserve"> represents the cumulative charge that has passed in the circuit and </w:t>
      </w:r>
      <w:proofErr w:type="spellStart"/>
      <w:r w:rsidR="0002584E" w:rsidRPr="0002584E">
        <w:rPr>
          <w:lang w:val="en-GB"/>
        </w:rPr>
        <w:t>meqCOD</w:t>
      </w:r>
      <w:proofErr w:type="spellEnd"/>
      <w:r w:rsidR="0002584E" w:rsidRPr="0002584E">
        <w:rPr>
          <w:lang w:val="en-GB"/>
        </w:rPr>
        <w:t xml:space="preserve"> represents the cumulative charge generated by the oxidation of the removed COD, was determined according to the equation</w:t>
      </w:r>
      <w:r w:rsidRPr="00A35965">
        <w:t>:</w:t>
      </w:r>
    </w:p>
    <w:p w14:paraId="75FBE623" w14:textId="562E3A33" w:rsidR="00A35965" w:rsidRDefault="00A35965" w:rsidP="0055572A">
      <w:pPr>
        <w:pStyle w:val="CETBodytext"/>
      </w:pPr>
      <m:oMath>
        <m:r>
          <w:rPr>
            <w:rFonts w:ascii="Cambria Math" w:hAnsi="Cambria Math"/>
          </w:rPr>
          <m:t>CE</m:t>
        </m:r>
        <m:d>
          <m:dPr>
            <m:ctrlPr>
              <w:rPr>
                <w:rFonts w:ascii="Cambria Math" w:hAnsi="Cambria Math"/>
                <w:i/>
              </w:rPr>
            </m:ctrlPr>
          </m:dPr>
          <m:e>
            <m:r>
              <w:rPr>
                <w:rFonts w:ascii="Cambria Math" w:hAnsi="Cambria Math"/>
              </w:rPr>
              <m:t>%</m:t>
            </m:r>
          </m:e>
        </m:d>
        <m:r>
          <w:rPr>
            <w:rFonts w:ascii="Cambria Math" w:hAnsi="Cambria Math"/>
          </w:rPr>
          <m:t>= 100 *</m:t>
        </m:r>
        <m:f>
          <m:fPr>
            <m:ctrlPr>
              <w:rPr>
                <w:rFonts w:ascii="Cambria Math" w:hAnsi="Cambria Math"/>
                <w:i/>
                <w:iCs/>
              </w:rPr>
            </m:ctrlPr>
          </m:fPr>
          <m:num>
            <m:r>
              <w:rPr>
                <w:rFonts w:ascii="Cambria Math" w:hAnsi="Cambria Math"/>
              </w:rPr>
              <m:t>meqi</m:t>
            </m:r>
            <m:ctrlPr>
              <w:rPr>
                <w:rFonts w:ascii="Cambria Math" w:hAnsi="Cambria Math"/>
                <w:i/>
              </w:rPr>
            </m:ctrlPr>
          </m:num>
          <m:den>
            <m:r>
              <w:rPr>
                <w:rFonts w:ascii="Cambria Math" w:hAnsi="Cambria Math"/>
              </w:rPr>
              <m:t xml:space="preserve">meqCOD  </m:t>
            </m:r>
          </m:den>
        </m:f>
        <m:r>
          <w:rPr>
            <w:rFonts w:ascii="Cambria Math" w:hAnsi="Cambria Math"/>
          </w:rPr>
          <m:t xml:space="preserve">                                                              (3) </m:t>
        </m:r>
      </m:oMath>
      <w:r w:rsidRPr="00A35965">
        <w:t xml:space="preserve"> </w:t>
      </w:r>
    </w:p>
    <w:p w14:paraId="51AF56BA" w14:textId="77777777" w:rsidR="00D30B80" w:rsidRPr="00A35965" w:rsidRDefault="00D30B80" w:rsidP="0055572A">
      <w:pPr>
        <w:pStyle w:val="CETBodytext"/>
      </w:pPr>
    </w:p>
    <w:p w14:paraId="7D9E42F5" w14:textId="77777777" w:rsidR="0002584E" w:rsidRDefault="00A35965" w:rsidP="0055572A">
      <w:pPr>
        <w:pStyle w:val="CETBodytext"/>
      </w:pPr>
      <w:r w:rsidRPr="0002584E">
        <w:t>The cathodic coulombic efficiency</w:t>
      </w:r>
      <w:r w:rsidR="00AA02D3" w:rsidRPr="0002584E">
        <w:t xml:space="preserve">, </w:t>
      </w:r>
      <w:r w:rsidR="0002584E" w:rsidRPr="0002584E">
        <w:t>was determined as the ratio of the cumulative H</w:t>
      </w:r>
      <w:r w:rsidR="0002584E" w:rsidRPr="008E744A">
        <w:rPr>
          <w:vertAlign w:val="subscript"/>
        </w:rPr>
        <w:t>2</w:t>
      </w:r>
      <w:r w:rsidR="0002584E" w:rsidRPr="0002584E">
        <w:t xml:space="preserve"> produced, expressed in </w:t>
      </w:r>
      <w:proofErr w:type="spellStart"/>
      <w:r w:rsidR="0002584E" w:rsidRPr="0002584E">
        <w:t>meq</w:t>
      </w:r>
      <w:proofErr w:type="spellEnd"/>
      <w:r w:rsidR="0002584E" w:rsidRPr="0002584E">
        <w:t xml:space="preserve">, and the </w:t>
      </w:r>
      <w:proofErr w:type="spellStart"/>
      <w:r w:rsidR="0002584E" w:rsidRPr="0002584E">
        <w:t>meqi</w:t>
      </w:r>
      <w:proofErr w:type="spellEnd"/>
      <w:r w:rsidR="0002584E" w:rsidRPr="0002584E">
        <w:t xml:space="preserve">: </w:t>
      </w:r>
    </w:p>
    <w:p w14:paraId="5C4C5D19" w14:textId="467BA4D2" w:rsidR="00A35965" w:rsidRDefault="00A35965" w:rsidP="0055572A">
      <w:pPr>
        <w:pStyle w:val="CETBodytext"/>
      </w:pPr>
      <m:oMath>
        <m:r>
          <w:rPr>
            <w:rFonts w:ascii="Cambria Math" w:hAnsi="Cambria Math"/>
            <w:lang w:val="it-IT"/>
          </w:rPr>
          <m:t>CCE</m:t>
        </m:r>
        <m:d>
          <m:dPr>
            <m:ctrlPr>
              <w:rPr>
                <w:rFonts w:ascii="Cambria Math" w:hAnsi="Cambria Math"/>
                <w:i/>
                <w:lang w:val="it-IT"/>
              </w:rPr>
            </m:ctrlPr>
          </m:dPr>
          <m:e>
            <m:r>
              <w:rPr>
                <w:rFonts w:ascii="Cambria Math" w:hAnsi="Cambria Math"/>
              </w:rPr>
              <m:t>%</m:t>
            </m:r>
          </m:e>
        </m:d>
        <m:r>
          <w:rPr>
            <w:rFonts w:ascii="Cambria Math" w:hAnsi="Cambria Math"/>
          </w:rPr>
          <m:t>= 100 *</m:t>
        </m:r>
        <m:f>
          <m:fPr>
            <m:ctrlPr>
              <w:rPr>
                <w:rFonts w:ascii="Cambria Math" w:hAnsi="Cambria Math"/>
                <w:i/>
                <w:lang w:val="it-IT"/>
              </w:rPr>
            </m:ctrlPr>
          </m:fPr>
          <m:num>
            <m:r>
              <w:rPr>
                <w:rFonts w:ascii="Cambria Math" w:hAnsi="Cambria Math"/>
                <w:lang w:val="it-IT"/>
              </w:rPr>
              <m:t>meq</m:t>
            </m:r>
            <m:sSub>
              <m:sSubPr>
                <m:ctrlPr>
                  <w:rPr>
                    <w:rFonts w:ascii="Cambria Math" w:hAnsi="Cambria Math"/>
                    <w:i/>
                    <w:iCs/>
                    <w:lang w:val="it-IT"/>
                  </w:rPr>
                </m:ctrlPr>
              </m:sSubPr>
              <m:e>
                <m:r>
                  <w:rPr>
                    <w:rFonts w:ascii="Cambria Math" w:hAnsi="Cambria Math"/>
                    <w:lang w:val="it-IT"/>
                  </w:rPr>
                  <m:t>H</m:t>
                </m:r>
              </m:e>
              <m:sub>
                <m:r>
                  <w:rPr>
                    <w:rFonts w:ascii="Cambria Math" w:hAnsi="Cambria Math"/>
                  </w:rPr>
                  <m:t>2</m:t>
                </m:r>
              </m:sub>
            </m:sSub>
          </m:num>
          <m:den>
            <m:r>
              <w:rPr>
                <w:rFonts w:ascii="Cambria Math" w:hAnsi="Cambria Math"/>
                <w:lang w:val="it-IT"/>
              </w:rPr>
              <m:t>meqi</m:t>
            </m:r>
          </m:den>
        </m:f>
        <m:r>
          <w:rPr>
            <w:rFonts w:ascii="Cambria Math" w:hAnsi="Cambria Math"/>
          </w:rPr>
          <m:t xml:space="preserve">                                                               (4)</m:t>
        </m:r>
      </m:oMath>
      <w:r w:rsidRPr="00A35965">
        <w:t xml:space="preserve"> </w:t>
      </w:r>
    </w:p>
    <w:p w14:paraId="77A34B0D" w14:textId="77777777" w:rsidR="00D30B80" w:rsidRPr="00A35965" w:rsidRDefault="00D30B80" w:rsidP="0055572A">
      <w:pPr>
        <w:pStyle w:val="CETBodytext"/>
      </w:pPr>
    </w:p>
    <w:p w14:paraId="789C7579" w14:textId="08CFEB03" w:rsidR="00A35965" w:rsidRPr="00A35965" w:rsidRDefault="00A35965" w:rsidP="0055572A">
      <w:pPr>
        <w:pStyle w:val="CETBodytext"/>
      </w:pPr>
      <w:r w:rsidRPr="00A35965">
        <w:t>The overall energy efficiency</w:t>
      </w:r>
      <w:r w:rsidR="00A35FE9">
        <w:t xml:space="preserve"> </w:t>
      </w:r>
      <w:r w:rsidRPr="00A35965">
        <w:t>was evaluated using the equation:</w:t>
      </w:r>
    </w:p>
    <w:p w14:paraId="2553AAA7" w14:textId="6B940D32" w:rsidR="00A35965" w:rsidRDefault="00A35965" w:rsidP="0055572A">
      <w:pPr>
        <w:pStyle w:val="CETBodytext"/>
      </w:pPr>
      <m:oMath>
        <m:r>
          <w:rPr>
            <w:rFonts w:ascii="Cambria Math" w:hAnsi="Cambria Math"/>
            <w:lang w:val="it-IT"/>
          </w:rPr>
          <m:t>η</m:t>
        </m:r>
        <m:r>
          <w:rPr>
            <w:rFonts w:ascii="Cambria Math" w:hAnsi="Cambria Math"/>
          </w:rPr>
          <m:t>E (%)=</m:t>
        </m:r>
        <m:f>
          <m:fPr>
            <m:ctrlPr>
              <w:rPr>
                <w:rFonts w:ascii="Cambria Math" w:hAnsi="Cambria Math"/>
                <w:i/>
                <w:iCs/>
              </w:rPr>
            </m:ctrlPr>
          </m:fPr>
          <m:num>
            <m:r>
              <w:rPr>
                <w:rFonts w:ascii="Cambria Math" w:hAnsi="Cambria Math"/>
              </w:rPr>
              <m:t>|</m:t>
            </m:r>
            <m:sSup>
              <m:sSupPr>
                <m:ctrlPr>
                  <w:rPr>
                    <w:rFonts w:ascii="Cambria Math" w:hAnsi="Cambria Math"/>
                    <w:i/>
                    <w:iCs/>
                  </w:rPr>
                </m:ctrlPr>
              </m:sSupPr>
              <m:e>
                <m:r>
                  <w:rPr>
                    <w:rFonts w:ascii="Cambria Math" w:hAnsi="Cambria Math"/>
                    <w:lang w:val="it-IT"/>
                  </w:rPr>
                  <m:t>Δ</m:t>
                </m:r>
                <m:r>
                  <w:rPr>
                    <w:rFonts w:ascii="Cambria Math" w:hAnsi="Cambria Math"/>
                  </w:rPr>
                  <m:t>G</m:t>
                </m:r>
              </m:e>
              <m:sup>
                <m:r>
                  <w:rPr>
                    <w:rFonts w:ascii="Cambria Math" w:hAnsi="Cambria Math"/>
                  </w:rPr>
                  <m:t>0</m:t>
                </m:r>
              </m:sup>
            </m:sSup>
            <m:sSub>
              <m:sSubPr>
                <m:ctrlPr>
                  <w:rPr>
                    <w:rFonts w:ascii="Cambria Math" w:hAnsi="Cambria Math"/>
                    <w:i/>
                    <w:iCs/>
                  </w:rPr>
                </m:ctrlPr>
              </m:sSubPr>
              <m:e>
                <m:r>
                  <w:rPr>
                    <w:rFonts w:ascii="Cambria Math" w:hAnsi="Cambria Math"/>
                  </w:rPr>
                  <m:t>H</m:t>
                </m:r>
              </m:e>
              <m:sub>
                <m:r>
                  <w:rPr>
                    <w:rFonts w:ascii="Cambria Math" w:hAnsi="Cambria Math"/>
                  </w:rPr>
                  <m:t>2</m:t>
                </m:r>
              </m:sub>
            </m:sSub>
            <m:r>
              <w:rPr>
                <w:rFonts w:ascii="Cambria Math" w:hAnsi="Cambria Math"/>
              </w:rPr>
              <m:t>| CCE</m:t>
            </m:r>
          </m:num>
          <m:den>
            <m:r>
              <w:rPr>
                <w:rFonts w:ascii="Cambria Math" w:hAnsi="Cambria Math"/>
              </w:rPr>
              <m:t>2|</m:t>
            </m:r>
            <m:r>
              <w:rPr>
                <w:rFonts w:ascii="Cambria Math" w:hAnsi="Cambria Math"/>
                <w:lang w:val="it-IT"/>
              </w:rPr>
              <m:t>Δ</m:t>
            </m:r>
            <m:r>
              <w:rPr>
                <w:rFonts w:ascii="Cambria Math" w:hAnsi="Cambria Math"/>
              </w:rPr>
              <m:t>V|F</m:t>
            </m:r>
          </m:den>
        </m:f>
        <m:r>
          <w:rPr>
            <w:rFonts w:ascii="Cambria Math" w:hAnsi="Cambria Math"/>
          </w:rPr>
          <m:t xml:space="preserve">                                                                       (5) </m:t>
        </m:r>
      </m:oMath>
      <w:r w:rsidRPr="00A35965">
        <w:t xml:space="preserve"> </w:t>
      </w:r>
    </w:p>
    <w:p w14:paraId="284C9E4A" w14:textId="77777777" w:rsidR="00A35FE9" w:rsidRDefault="00A35FE9" w:rsidP="0055572A">
      <w:pPr>
        <w:pStyle w:val="CETBodytext"/>
      </w:pPr>
    </w:p>
    <w:p w14:paraId="2254A879" w14:textId="5DC1F589" w:rsidR="00A35FE9" w:rsidRDefault="00A35FE9" w:rsidP="0055572A">
      <w:pPr>
        <w:pStyle w:val="CETBodytext"/>
      </w:pPr>
      <w:r>
        <w:t>I</w:t>
      </w:r>
      <w:r w:rsidRPr="0002584E">
        <w:t>n which ΔG</w:t>
      </w:r>
      <w:r w:rsidRPr="008E744A">
        <w:rPr>
          <w:vertAlign w:val="superscript"/>
        </w:rPr>
        <w:t>0</w:t>
      </w:r>
      <w:r w:rsidRPr="0002584E">
        <w:t>H</w:t>
      </w:r>
      <w:r w:rsidRPr="008E744A">
        <w:rPr>
          <w:vertAlign w:val="subscript"/>
        </w:rPr>
        <w:t>2</w:t>
      </w:r>
      <w:r w:rsidRPr="0002584E">
        <w:t xml:space="preserve"> is the Gibbs free energy for the combustion of hydrogen (kJ/mol), 2 are the mole of electrons necessary to produce a mole of hydrogen (eq/ molH</w:t>
      </w:r>
      <w:r w:rsidRPr="008E744A">
        <w:rPr>
          <w:vertAlign w:val="subscript"/>
        </w:rPr>
        <w:t>2</w:t>
      </w:r>
      <w:r w:rsidRPr="0002584E">
        <w:t>), ΔV (V) is the average potential difference between cathode</w:t>
      </w:r>
      <w:r w:rsidR="007943B7">
        <w:t xml:space="preserve"> (-) and </w:t>
      </w:r>
      <w:r w:rsidR="007943B7" w:rsidRPr="0002584E">
        <w:t>anode</w:t>
      </w:r>
      <w:r w:rsidR="007943B7">
        <w:t xml:space="preserve"> (+)</w:t>
      </w:r>
      <w:r w:rsidRPr="0002584E">
        <w:t>, and F is Faraday’s constant (96,485 C/eq)</w:t>
      </w:r>
      <w:r w:rsidR="00F45A46">
        <w:t>.</w:t>
      </w:r>
    </w:p>
    <w:p w14:paraId="0F93E168" w14:textId="77777777" w:rsidR="000014EE" w:rsidRDefault="000014EE" w:rsidP="0055572A">
      <w:pPr>
        <w:pStyle w:val="CETHeading1"/>
        <w:tabs>
          <w:tab w:val="right" w:pos="7100"/>
        </w:tabs>
        <w:jc w:val="both"/>
        <w:rPr>
          <w:lang w:val="en-GB"/>
        </w:rPr>
      </w:pPr>
      <w:r>
        <w:rPr>
          <w:lang w:val="en-GB"/>
        </w:rPr>
        <w:t>Results and discussion</w:t>
      </w:r>
    </w:p>
    <w:p w14:paraId="373B1325" w14:textId="6CBCACD6" w:rsidR="000014EE" w:rsidRDefault="00311D32" w:rsidP="0055572A">
      <w:pPr>
        <w:pStyle w:val="CETheadingx"/>
      </w:pPr>
      <w:r w:rsidRPr="00311D32">
        <w:rPr>
          <w:lang w:val="en-GB"/>
        </w:rPr>
        <w:t>Assessment of bioanode resilience through pre- and post-inhibition performance</w:t>
      </w:r>
    </w:p>
    <w:p w14:paraId="78A03F9D" w14:textId="084D49D1" w:rsidR="00510318" w:rsidRPr="00311D32" w:rsidRDefault="00B10723" w:rsidP="00510318">
      <w:pPr>
        <w:pStyle w:val="CETBodytext"/>
        <w:rPr>
          <w:lang w:val="en-GB"/>
        </w:rPr>
      </w:pPr>
      <w:r>
        <w:rPr>
          <w:lang w:val="en-GB"/>
        </w:rPr>
        <w:t>F</w:t>
      </w:r>
      <w:r w:rsidR="00311D32" w:rsidRPr="00311D32">
        <w:rPr>
          <w:lang w:val="en-GB"/>
        </w:rPr>
        <w:t>ollowing the inhibitory event</w:t>
      </w:r>
      <w:r>
        <w:rPr>
          <w:lang w:val="en-GB"/>
        </w:rPr>
        <w:t xml:space="preserve">, </w:t>
      </w:r>
      <w:r w:rsidRPr="00B10723">
        <w:rPr>
          <w:lang w:val="en-GB"/>
        </w:rPr>
        <w:t>the resilience</w:t>
      </w:r>
      <w:r w:rsidRPr="00311D32">
        <w:rPr>
          <w:lang w:val="en-GB"/>
        </w:rPr>
        <w:t xml:space="preserve"> of the bioanode</w:t>
      </w:r>
      <w:r w:rsidR="00311D32" w:rsidRPr="00311D32">
        <w:rPr>
          <w:lang w:val="en-GB"/>
        </w:rPr>
        <w:t xml:space="preserve"> was initially assessed by comparing the MEC performance obtained during the recovery </w:t>
      </w:r>
      <w:r w:rsidR="00643CBB" w:rsidRPr="00311D32">
        <w:rPr>
          <w:lang w:val="en-GB"/>
        </w:rPr>
        <w:t>operation</w:t>
      </w:r>
      <w:r w:rsidR="00311D32" w:rsidRPr="00311D32">
        <w:rPr>
          <w:lang w:val="en-GB"/>
        </w:rPr>
        <w:t xml:space="preserve"> in 2026 with the corresponding results previously achieved under the same synthetic feeding conditions in 2025 </w:t>
      </w:r>
      <w:sdt>
        <w:sdtPr>
          <w:rPr>
            <w:rFonts w:cs="Arial"/>
            <w:color w:val="000000"/>
            <w:lang w:val="en-GB"/>
          </w:rPr>
          <w:tag w:val="MENDELEY_CITATION_v3_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"/>
          <w:id w:val="1161427220"/>
          <w:placeholder>
            <w:docPart w:val="3372C03E3DB94F4EBBC5CC900FFAE10A"/>
          </w:placeholder>
        </w:sdtPr>
        <w:sdtContent>
          <w:r w:rsidR="00C2411E" w:rsidRPr="00C2411E">
            <w:rPr>
              <w:rFonts w:cs="Arial"/>
              <w:color w:val="000000"/>
              <w:lang w:val="en-GB"/>
            </w:rPr>
            <w:t>(Marchetti, Valentino, et al., 2026)</w:t>
          </w:r>
        </w:sdtContent>
      </w:sdt>
      <w:r w:rsidR="00311D32" w:rsidRPr="00311D32">
        <w:rPr>
          <w:lang w:val="en-GB"/>
        </w:rPr>
        <w:t xml:space="preserve">. </w:t>
      </w:r>
      <w:r w:rsidR="00311D32" w:rsidRPr="00311D32">
        <w:rPr>
          <w:b/>
          <w:bCs/>
          <w:lang w:val="en-GB"/>
        </w:rPr>
        <w:t>Figure 1</w:t>
      </w:r>
      <w:r w:rsidR="00311D32" w:rsidRPr="00311D32">
        <w:rPr>
          <w:lang w:val="en-GB"/>
        </w:rPr>
        <w:t xml:space="preserve"> reports the </w:t>
      </w:r>
      <w:proofErr w:type="spellStart"/>
      <w:r w:rsidR="00311D32">
        <w:rPr>
          <w:rFonts w:ascii="Aptos Narrow" w:hAnsi="Aptos Narrow"/>
          <w:lang w:val="en-GB"/>
        </w:rPr>
        <w:t>η</w:t>
      </w:r>
      <w:r w:rsidR="00311D32" w:rsidRPr="00311D32">
        <w:rPr>
          <w:lang w:val="en-GB"/>
        </w:rPr>
        <w:t>COD</w:t>
      </w:r>
      <w:proofErr w:type="spellEnd"/>
      <w:r w:rsidR="00311D32" w:rsidRPr="00311D32">
        <w:rPr>
          <w:lang w:val="en-GB"/>
        </w:rPr>
        <w:t xml:space="preserve"> </w:t>
      </w:r>
      <w:r w:rsidR="00EE57CA">
        <w:rPr>
          <w:lang w:val="en-GB"/>
        </w:rPr>
        <w:t>(</w:t>
      </w:r>
      <w:r w:rsidR="00EE57CA" w:rsidRPr="00EE57CA">
        <w:rPr>
          <w:i/>
          <w:iCs/>
          <w:lang w:val="en-GB"/>
        </w:rPr>
        <w:t>Figure 1.A</w:t>
      </w:r>
      <w:r w:rsidR="00EE57CA">
        <w:rPr>
          <w:lang w:val="en-GB"/>
        </w:rPr>
        <w:t xml:space="preserve">) </w:t>
      </w:r>
      <w:r w:rsidR="00311D32" w:rsidRPr="00311D32">
        <w:rPr>
          <w:lang w:val="en-GB"/>
        </w:rPr>
        <w:t xml:space="preserve">and </w:t>
      </w:r>
      <w:r w:rsidR="00643CBB">
        <w:rPr>
          <w:lang w:val="en-GB"/>
        </w:rPr>
        <w:t xml:space="preserve">produced </w:t>
      </w:r>
      <w:r w:rsidR="00311D32" w:rsidRPr="00311D32">
        <w:rPr>
          <w:lang w:val="en-GB"/>
        </w:rPr>
        <w:t xml:space="preserve">current </w:t>
      </w:r>
      <w:r w:rsidR="00EE57CA">
        <w:rPr>
          <w:lang w:val="en-GB"/>
        </w:rPr>
        <w:t>(</w:t>
      </w:r>
      <w:r w:rsidR="00EE57CA" w:rsidRPr="00EE57CA">
        <w:rPr>
          <w:i/>
          <w:iCs/>
          <w:lang w:val="en-GB"/>
        </w:rPr>
        <w:t xml:space="preserve">Figure </w:t>
      </w:r>
      <w:r w:rsidR="00A52EFC">
        <w:rPr>
          <w:i/>
          <w:iCs/>
          <w:lang w:val="en-GB"/>
        </w:rPr>
        <w:t>1</w:t>
      </w:r>
      <w:r w:rsidR="00EE57CA" w:rsidRPr="00EE57CA">
        <w:rPr>
          <w:i/>
          <w:iCs/>
          <w:lang w:val="en-GB"/>
        </w:rPr>
        <w:t>.</w:t>
      </w:r>
      <w:r w:rsidR="00A52EFC">
        <w:rPr>
          <w:i/>
          <w:iCs/>
          <w:lang w:val="en-GB"/>
        </w:rPr>
        <w:t>B</w:t>
      </w:r>
      <w:r w:rsidR="00EE57CA">
        <w:rPr>
          <w:lang w:val="en-GB"/>
        </w:rPr>
        <w:t xml:space="preserve">) </w:t>
      </w:r>
      <w:r w:rsidR="00311D32" w:rsidRPr="00311D32">
        <w:rPr>
          <w:lang w:val="en-GB"/>
        </w:rPr>
        <w:t xml:space="preserve">obtained at increasing </w:t>
      </w:r>
      <w:proofErr w:type="spellStart"/>
      <w:r w:rsidR="00311D32" w:rsidRPr="00311D32">
        <w:rPr>
          <w:lang w:val="en-GB"/>
        </w:rPr>
        <w:t>D</w:t>
      </w:r>
      <w:r w:rsidR="00EE57CA" w:rsidRPr="00EE57CA">
        <w:rPr>
          <w:vertAlign w:val="subscript"/>
          <w:lang w:val="en-GB"/>
        </w:rPr>
        <w:t>rate</w:t>
      </w:r>
      <w:proofErr w:type="spellEnd"/>
      <w:r w:rsidR="00643CBB">
        <w:rPr>
          <w:lang w:val="en-GB"/>
        </w:rPr>
        <w:t>. T</w:t>
      </w:r>
      <w:r w:rsidR="00EE57CA" w:rsidRPr="00311D32">
        <w:rPr>
          <w:lang w:val="en-GB"/>
        </w:rPr>
        <w:t xml:space="preserve">he corresponding operating conditions and performance indicators are summarized in Table </w:t>
      </w:r>
      <w:r w:rsidR="00EE57CA">
        <w:rPr>
          <w:lang w:val="en-GB"/>
        </w:rPr>
        <w:t>1</w:t>
      </w:r>
      <w:r w:rsidR="00EE57CA" w:rsidRPr="00311D32">
        <w:rPr>
          <w:lang w:val="en-GB"/>
        </w:rPr>
        <w:t>.</w:t>
      </w:r>
      <w:r w:rsidR="00EE57CA">
        <w:rPr>
          <w:lang w:val="en-GB"/>
        </w:rPr>
        <w:t xml:space="preserve"> </w:t>
      </w:r>
      <w:r w:rsidR="00EE57CA" w:rsidRPr="00311D32">
        <w:rPr>
          <w:lang w:val="en-GB"/>
        </w:rPr>
        <w:t xml:space="preserve">The largest difference in current generation was observed at the lowest </w:t>
      </w:r>
      <w:proofErr w:type="spellStart"/>
      <w:r w:rsidR="00643CBB">
        <w:rPr>
          <w:lang w:val="en-GB"/>
        </w:rPr>
        <w:t>D</w:t>
      </w:r>
      <w:r w:rsidR="00EE57CA" w:rsidRPr="00643CBB">
        <w:rPr>
          <w:vertAlign w:val="subscript"/>
          <w:lang w:val="en-GB"/>
        </w:rPr>
        <w:t>rate</w:t>
      </w:r>
      <w:proofErr w:type="spellEnd"/>
      <w:r w:rsidR="00EE57CA" w:rsidRPr="00311D32">
        <w:rPr>
          <w:lang w:val="en-GB"/>
        </w:rPr>
        <w:t xml:space="preserve"> (Case A), with 50 mA obtained in 202</w:t>
      </w:r>
      <w:r w:rsidR="008F07A5">
        <w:rPr>
          <w:lang w:val="en-GB"/>
        </w:rPr>
        <w:t>5</w:t>
      </w:r>
      <w:r w:rsidR="00EE57CA" w:rsidRPr="00311D32">
        <w:rPr>
          <w:lang w:val="en-GB"/>
        </w:rPr>
        <w:t xml:space="preserve"> compared with 27 mA in 202</w:t>
      </w:r>
      <w:r w:rsidR="008F07A5">
        <w:rPr>
          <w:lang w:val="en-GB"/>
        </w:rPr>
        <w:t>6</w:t>
      </w:r>
      <w:r w:rsidR="00EE57CA" w:rsidRPr="00311D32">
        <w:rPr>
          <w:lang w:val="en-GB"/>
        </w:rPr>
        <w:t xml:space="preserve">, corresponding to a </w:t>
      </w:r>
      <w:r w:rsidR="002D6B30">
        <w:rPr>
          <w:lang w:val="en-GB"/>
        </w:rPr>
        <w:t xml:space="preserve">decrement of </w:t>
      </w:r>
      <w:r w:rsidR="00EE57CA" w:rsidRPr="00311D32">
        <w:rPr>
          <w:lang w:val="en-GB"/>
        </w:rPr>
        <w:t xml:space="preserve">46%. As the </w:t>
      </w:r>
      <w:proofErr w:type="spellStart"/>
      <w:r w:rsidR="002D6B30">
        <w:rPr>
          <w:lang w:val="en-GB"/>
        </w:rPr>
        <w:t>D</w:t>
      </w:r>
      <w:r w:rsidR="002D6B30" w:rsidRPr="002D6B30">
        <w:rPr>
          <w:vertAlign w:val="subscript"/>
          <w:lang w:val="en-GB"/>
        </w:rPr>
        <w:t>rate</w:t>
      </w:r>
      <w:proofErr w:type="spellEnd"/>
      <w:r w:rsidR="002D6B30">
        <w:rPr>
          <w:lang w:val="en-GB"/>
        </w:rPr>
        <w:t xml:space="preserve"> </w:t>
      </w:r>
      <w:r w:rsidR="00EE57CA" w:rsidRPr="00311D32">
        <w:rPr>
          <w:lang w:val="en-GB"/>
        </w:rPr>
        <w:t xml:space="preserve">increased, this difference progressively decreased, reaching </w:t>
      </w:r>
      <w:r w:rsidR="002D6B30">
        <w:rPr>
          <w:lang w:val="en-GB"/>
        </w:rPr>
        <w:t xml:space="preserve">a decrement of </w:t>
      </w:r>
      <w:r w:rsidR="00EE57CA" w:rsidRPr="00311D32">
        <w:rPr>
          <w:lang w:val="en-GB"/>
        </w:rPr>
        <w:t>14.7% at the highest tested condition (Case F)</w:t>
      </w:r>
      <w:r w:rsidR="00643CBB">
        <w:rPr>
          <w:lang w:val="en-GB"/>
        </w:rPr>
        <w:t xml:space="preserve">. </w:t>
      </w:r>
      <w:r w:rsidR="00EE57CA" w:rsidRPr="00311D32">
        <w:rPr>
          <w:lang w:val="en-GB"/>
        </w:rPr>
        <w:t xml:space="preserve">A similar convergence was observed for </w:t>
      </w:r>
      <w:proofErr w:type="spellStart"/>
      <w:r w:rsidR="00643CBB">
        <w:rPr>
          <w:rFonts w:ascii="Aptos Narrow" w:hAnsi="Aptos Narrow"/>
          <w:lang w:val="en-GB"/>
        </w:rPr>
        <w:t>η</w:t>
      </w:r>
      <w:r w:rsidR="00EE57CA" w:rsidRPr="00311D32">
        <w:rPr>
          <w:lang w:val="en-GB"/>
        </w:rPr>
        <w:t>COD</w:t>
      </w:r>
      <w:proofErr w:type="spellEnd"/>
      <w:r w:rsidR="00EE57CA" w:rsidRPr="00311D32">
        <w:rPr>
          <w:lang w:val="en-GB"/>
        </w:rPr>
        <w:t>, although the trend was not strictly monotonic</w:t>
      </w:r>
      <w:r w:rsidR="00AD422A">
        <w:rPr>
          <w:lang w:val="en-GB"/>
        </w:rPr>
        <w:t>, with t</w:t>
      </w:r>
      <w:r w:rsidR="00EE57CA" w:rsidRPr="00311D32">
        <w:rPr>
          <w:lang w:val="en-GB"/>
        </w:rPr>
        <w:t xml:space="preserve">he largest </w:t>
      </w:r>
      <w:r w:rsidR="00AD422A">
        <w:rPr>
          <w:lang w:val="en-GB"/>
        </w:rPr>
        <w:t xml:space="preserve">decrement of </w:t>
      </w:r>
      <w:r w:rsidR="00AD422A" w:rsidRPr="00311D32">
        <w:rPr>
          <w:lang w:val="en-GB"/>
        </w:rPr>
        <w:t>34.</w:t>
      </w:r>
      <w:r w:rsidR="00AD422A">
        <w:rPr>
          <w:lang w:val="en-GB"/>
        </w:rPr>
        <w:t>4</w:t>
      </w:r>
      <w:r w:rsidR="00AD422A" w:rsidRPr="00311D32">
        <w:rPr>
          <w:lang w:val="en-GB"/>
        </w:rPr>
        <w:t xml:space="preserve">% </w:t>
      </w:r>
      <w:r w:rsidR="00EE57CA" w:rsidRPr="00311D32">
        <w:rPr>
          <w:lang w:val="en-GB"/>
        </w:rPr>
        <w:t>observed</w:t>
      </w:r>
      <w:r w:rsidR="00AD422A">
        <w:rPr>
          <w:lang w:val="en-GB"/>
        </w:rPr>
        <w:t xml:space="preserve"> for </w:t>
      </w:r>
      <w:r w:rsidR="00EE57CA" w:rsidRPr="00311D32">
        <w:rPr>
          <w:lang w:val="en-GB"/>
        </w:rPr>
        <w:t>Case B.</w:t>
      </w:r>
      <w:r w:rsidR="00AD422A">
        <w:rPr>
          <w:lang w:val="en-GB"/>
        </w:rPr>
        <w:t xml:space="preserve"> </w:t>
      </w:r>
      <w:r w:rsidR="00EE57CA" w:rsidRPr="00311D32">
        <w:rPr>
          <w:lang w:val="en-GB"/>
        </w:rPr>
        <w:t xml:space="preserve">The difference progressively decreased up to Case </w:t>
      </w:r>
      <w:r w:rsidR="002D6B30">
        <w:rPr>
          <w:lang w:val="en-GB"/>
        </w:rPr>
        <w:t>F</w:t>
      </w:r>
      <w:r w:rsidR="00EE57CA" w:rsidRPr="00311D32">
        <w:rPr>
          <w:lang w:val="en-GB"/>
        </w:rPr>
        <w:t xml:space="preserve">, </w:t>
      </w:r>
      <w:r w:rsidR="002D6B30">
        <w:rPr>
          <w:lang w:val="en-GB"/>
        </w:rPr>
        <w:t>obtaining</w:t>
      </w:r>
      <w:r w:rsidR="00EE57CA" w:rsidRPr="00311D32">
        <w:rPr>
          <w:lang w:val="en-GB"/>
        </w:rPr>
        <w:t xml:space="preserve"> 1</w:t>
      </w:r>
      <w:r w:rsidR="002D6B30">
        <w:rPr>
          <w:lang w:val="en-GB"/>
        </w:rPr>
        <w:t>1.7</w:t>
      </w:r>
      <w:r w:rsidR="00EE57CA" w:rsidRPr="00311D32">
        <w:rPr>
          <w:lang w:val="en-GB"/>
        </w:rPr>
        <w:t xml:space="preserve">% and </w:t>
      </w:r>
      <w:r w:rsidR="002D6B30">
        <w:rPr>
          <w:lang w:val="en-GB"/>
        </w:rPr>
        <w:t>9</w:t>
      </w:r>
      <w:r w:rsidR="00EE57CA" w:rsidRPr="00311D32">
        <w:rPr>
          <w:lang w:val="en-GB"/>
        </w:rPr>
        <w:t>%, respectively, corresponding to a</w:t>
      </w:r>
      <w:r w:rsidR="002D6B30">
        <w:rPr>
          <w:lang w:val="en-GB"/>
        </w:rPr>
        <w:t xml:space="preserve"> decrement of </w:t>
      </w:r>
      <w:r w:rsidR="00EE57CA" w:rsidRPr="00311D32">
        <w:rPr>
          <w:lang w:val="en-GB"/>
        </w:rPr>
        <w:t>23</w:t>
      </w:r>
      <w:r w:rsidR="002D6B30">
        <w:rPr>
          <w:lang w:val="en-GB"/>
        </w:rPr>
        <w:t xml:space="preserve"> </w:t>
      </w:r>
      <w:r w:rsidR="00EE57CA" w:rsidRPr="00311D32">
        <w:rPr>
          <w:lang w:val="en-GB"/>
        </w:rPr>
        <w:t>%</w:t>
      </w:r>
      <w:r w:rsidR="002D6B30">
        <w:rPr>
          <w:lang w:val="en-GB"/>
        </w:rPr>
        <w:t>.</w:t>
      </w:r>
      <w:r>
        <w:rPr>
          <w:lang w:val="en-GB"/>
        </w:rPr>
        <w:t xml:space="preserve"> </w:t>
      </w:r>
      <w:r w:rsidR="00510318" w:rsidRPr="00311D32">
        <w:rPr>
          <w:lang w:val="en-GB"/>
        </w:rPr>
        <w:t>Overall, the bioanode recovered a substantial fraction of its previous performance</w:t>
      </w:r>
      <w:r w:rsidR="00A1630F">
        <w:rPr>
          <w:lang w:val="en-GB"/>
        </w:rPr>
        <w:t xml:space="preserve">, </w:t>
      </w:r>
      <w:r w:rsidR="00510318" w:rsidRPr="00311D32">
        <w:rPr>
          <w:lang w:val="en-GB"/>
        </w:rPr>
        <w:t xml:space="preserve">although the post-inhibition values remained consistently lower than those measured in 2025. </w:t>
      </w:r>
    </w:p>
    <w:p w14:paraId="6FC9552E" w14:textId="77777777" w:rsidR="002D6B30" w:rsidRPr="00EE57CA" w:rsidRDefault="002D6B30" w:rsidP="0055572A">
      <w:pPr>
        <w:pStyle w:val="CETBodytext"/>
        <w:rPr>
          <w:lang w:val="en-GB"/>
        </w:rPr>
      </w:pPr>
    </w:p>
    <w:p w14:paraId="5B79C70D" w14:textId="6E649A38" w:rsidR="00EE57CA" w:rsidRPr="00616730" w:rsidRDefault="00EE57CA" w:rsidP="0055572A">
      <w:pPr>
        <w:pStyle w:val="CETBodytext"/>
        <w:rPr>
          <w:i/>
          <w:iCs/>
          <w:lang w:val="en-GB"/>
        </w:rPr>
      </w:pPr>
      <w:r w:rsidRPr="00616730">
        <w:rPr>
          <w:i/>
          <w:iCs/>
          <w:lang w:val="en-GB"/>
        </w:rPr>
        <w:t xml:space="preserve">Table 1: </w:t>
      </w:r>
      <w:r w:rsidR="00820F22" w:rsidRPr="00616730">
        <w:rPr>
          <w:i/>
          <w:iCs/>
          <w:lang w:val="en-GB"/>
        </w:rPr>
        <w:t xml:space="preserve">Operating conditions and MEC performance before and after bioanode inhibition. 2025 data adapted from </w:t>
      </w:r>
      <w:sdt>
        <w:sdtPr>
          <w:rPr>
            <w:rFonts w:cs="Arial"/>
            <w:color w:val="000000"/>
            <w:lang w:val="en-GB"/>
          </w:rPr>
          <w:tag w:val="MENDELEY_CITATION_v3_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"/>
          <w:id w:val="-1743781288"/>
          <w:placeholder>
            <w:docPart w:val="23CA7D05BE74417F850F4B3793F76745"/>
          </w:placeholder>
        </w:sdtPr>
        <w:sdtContent>
          <w:r w:rsidR="00C2411E" w:rsidRPr="00C2411E">
            <w:rPr>
              <w:rFonts w:cs="Arial"/>
              <w:color w:val="000000"/>
              <w:lang w:val="en-GB"/>
            </w:rPr>
            <w:t>(Marchetti, Valentino, et al., 2026)</w:t>
          </w:r>
        </w:sdtContent>
      </w:sdt>
      <w:r w:rsidR="00820F22" w:rsidRPr="00616730">
        <w:rPr>
          <w:i/>
          <w:iCs/>
          <w:lang w:val="en-GB"/>
        </w:rPr>
        <w:t xml:space="preserve">; values are rounded to the nearest </w:t>
      </w:r>
      <w:r w:rsidR="00643CBB" w:rsidRPr="00616730">
        <w:rPr>
          <w:i/>
          <w:iCs/>
          <w:lang w:val="en-GB"/>
        </w:rPr>
        <w:t>whole number</w:t>
      </w:r>
      <w:r w:rsidR="00820F22" w:rsidRPr="00616730">
        <w:rPr>
          <w:i/>
          <w:iCs/>
          <w:lang w:val="en-GB"/>
        </w:rPr>
        <w:t>.</w:t>
      </w:r>
    </w:p>
    <w:tbl>
      <w:tblPr>
        <w:tblW w:w="8421" w:type="dxa"/>
        <w:jc w:val="center"/>
        <w:tblLayout w:type="fixed"/>
        <w:tblCellMar>
          <w:left w:w="70" w:type="dxa"/>
          <w:right w:w="70" w:type="dxa"/>
        </w:tblCellMar>
        <w:tblLook w:val="04A0" w:firstRow="1" w:lastRow="0" w:firstColumn="1" w:lastColumn="0" w:noHBand="0" w:noVBand="1"/>
      </w:tblPr>
      <w:tblGrid>
        <w:gridCol w:w="1064"/>
        <w:gridCol w:w="1316"/>
        <w:gridCol w:w="1192"/>
        <w:gridCol w:w="1064"/>
        <w:gridCol w:w="1786"/>
        <w:gridCol w:w="1999"/>
      </w:tblGrid>
      <w:tr w:rsidR="00EE57CA" w:rsidRPr="002C0A4F" w14:paraId="30F1AB62" w14:textId="77777777" w:rsidTr="00DB05B9">
        <w:trPr>
          <w:trHeight w:val="442"/>
          <w:jc w:val="center"/>
        </w:trPr>
        <w:tc>
          <w:tcPr>
            <w:tcW w:w="1064" w:type="dxa"/>
            <w:tcBorders>
              <w:top w:val="single" w:sz="12" w:space="0" w:color="008000"/>
              <w:left w:val="nil"/>
              <w:bottom w:val="single" w:sz="8" w:space="0" w:color="008000"/>
              <w:right w:val="nil"/>
            </w:tcBorders>
            <w:shd w:val="clear" w:color="000000" w:fill="FFFFFF"/>
            <w:vAlign w:val="center"/>
            <w:hideMark/>
          </w:tcPr>
          <w:p w14:paraId="69D62951" w14:textId="77777777" w:rsidR="00EE57CA" w:rsidRPr="004F6369" w:rsidRDefault="00EE57CA" w:rsidP="0055572A">
            <w:pPr>
              <w:tabs>
                <w:tab w:val="clear" w:pos="7100"/>
              </w:tabs>
              <w:spacing w:line="240" w:lineRule="auto"/>
              <w:jc w:val="center"/>
              <w:rPr>
                <w:rFonts w:cs="Arial"/>
                <w:color w:val="000000"/>
                <w:szCs w:val="18"/>
                <w:lang w:val="it-IT" w:eastAsia="it-IT"/>
              </w:rPr>
            </w:pPr>
            <w:r>
              <w:rPr>
                <w:rFonts w:cs="Arial"/>
                <w:szCs w:val="18"/>
                <w:lang w:eastAsia="it-IT"/>
              </w:rPr>
              <w:t>Case</w:t>
            </w:r>
          </w:p>
        </w:tc>
        <w:tc>
          <w:tcPr>
            <w:tcW w:w="1316" w:type="dxa"/>
            <w:tcBorders>
              <w:top w:val="single" w:sz="12" w:space="0" w:color="008000"/>
              <w:left w:val="nil"/>
              <w:bottom w:val="single" w:sz="8" w:space="0" w:color="008000"/>
              <w:right w:val="nil"/>
            </w:tcBorders>
            <w:shd w:val="clear" w:color="000000" w:fill="FFFFFF"/>
            <w:vAlign w:val="center"/>
            <w:hideMark/>
          </w:tcPr>
          <w:p w14:paraId="57FC0255" w14:textId="77777777" w:rsidR="00EE57CA" w:rsidRDefault="00EE57CA" w:rsidP="0055572A">
            <w:pPr>
              <w:tabs>
                <w:tab w:val="clear" w:pos="7100"/>
              </w:tabs>
              <w:spacing w:line="240" w:lineRule="auto"/>
              <w:jc w:val="center"/>
              <w:rPr>
                <w:rFonts w:cs="Arial"/>
                <w:szCs w:val="18"/>
                <w:lang w:eastAsia="it-IT"/>
              </w:rPr>
            </w:pPr>
            <w:r>
              <w:rPr>
                <w:rFonts w:cs="Arial"/>
                <w:szCs w:val="18"/>
                <w:lang w:eastAsia="it-IT"/>
              </w:rPr>
              <w:t xml:space="preserve">Q </w:t>
            </w:r>
          </w:p>
          <w:p w14:paraId="79F26505" w14:textId="77777777" w:rsidR="00EE57CA" w:rsidRPr="004F6369" w:rsidRDefault="00EE57CA" w:rsidP="0055572A">
            <w:pPr>
              <w:tabs>
                <w:tab w:val="clear" w:pos="7100"/>
              </w:tabs>
              <w:spacing w:line="240" w:lineRule="auto"/>
              <w:jc w:val="center"/>
              <w:rPr>
                <w:rFonts w:cs="Arial"/>
                <w:color w:val="000000"/>
                <w:szCs w:val="18"/>
                <w:lang w:val="it-IT" w:eastAsia="it-IT"/>
              </w:rPr>
            </w:pPr>
            <w:r>
              <w:rPr>
                <w:rFonts w:cs="Arial"/>
                <w:szCs w:val="18"/>
                <w:lang w:eastAsia="it-IT"/>
              </w:rPr>
              <w:t>(L/d)</w:t>
            </w:r>
          </w:p>
        </w:tc>
        <w:tc>
          <w:tcPr>
            <w:tcW w:w="1192" w:type="dxa"/>
            <w:tcBorders>
              <w:top w:val="single" w:sz="12" w:space="0" w:color="008000"/>
              <w:left w:val="nil"/>
              <w:bottom w:val="single" w:sz="8" w:space="0" w:color="008000"/>
              <w:right w:val="nil"/>
            </w:tcBorders>
            <w:shd w:val="clear" w:color="000000" w:fill="FFFFFF"/>
            <w:vAlign w:val="center"/>
            <w:hideMark/>
          </w:tcPr>
          <w:p w14:paraId="631A7177" w14:textId="77777777" w:rsidR="00EE57CA" w:rsidRDefault="00EE57CA" w:rsidP="0055572A">
            <w:pPr>
              <w:tabs>
                <w:tab w:val="clear" w:pos="7100"/>
              </w:tabs>
              <w:spacing w:line="240" w:lineRule="auto"/>
              <w:jc w:val="center"/>
              <w:rPr>
                <w:rFonts w:cs="Arial"/>
                <w:szCs w:val="18"/>
                <w:vertAlign w:val="subscript"/>
                <w:lang w:eastAsia="it-IT"/>
              </w:rPr>
            </w:pPr>
            <w:proofErr w:type="spellStart"/>
            <w:r>
              <w:rPr>
                <w:rFonts w:cs="Arial"/>
                <w:szCs w:val="18"/>
                <w:lang w:eastAsia="it-IT"/>
              </w:rPr>
              <w:t>D</w:t>
            </w:r>
            <w:r w:rsidRPr="0067580B">
              <w:rPr>
                <w:rFonts w:cs="Arial"/>
                <w:szCs w:val="18"/>
                <w:vertAlign w:val="subscript"/>
                <w:lang w:eastAsia="it-IT"/>
              </w:rPr>
              <w:t>rate</w:t>
            </w:r>
            <w:proofErr w:type="spellEnd"/>
          </w:p>
          <w:p w14:paraId="087FDDCA" w14:textId="7FD8DB68" w:rsidR="00EE57CA" w:rsidRPr="0067580B" w:rsidRDefault="00EE57CA" w:rsidP="0055572A">
            <w:pPr>
              <w:tabs>
                <w:tab w:val="clear" w:pos="7100"/>
              </w:tabs>
              <w:spacing w:line="240" w:lineRule="auto"/>
              <w:jc w:val="center"/>
              <w:rPr>
                <w:rFonts w:cs="Arial"/>
                <w:color w:val="000000"/>
                <w:szCs w:val="18"/>
                <w:lang w:val="it-IT" w:eastAsia="it-IT"/>
              </w:rPr>
            </w:pPr>
            <w:r>
              <w:rPr>
                <w:rFonts w:cs="Arial"/>
                <w:szCs w:val="18"/>
                <w:lang w:eastAsia="it-IT"/>
              </w:rPr>
              <w:t>(d</w:t>
            </w:r>
            <w:r w:rsidR="00147997" w:rsidRPr="00147997">
              <w:rPr>
                <w:rFonts w:cs="Arial"/>
                <w:szCs w:val="18"/>
                <w:vertAlign w:val="superscript"/>
                <w:lang w:eastAsia="it-IT"/>
              </w:rPr>
              <w:t>-1</w:t>
            </w:r>
            <w:r>
              <w:rPr>
                <w:rFonts w:cs="Arial"/>
                <w:szCs w:val="18"/>
                <w:lang w:eastAsia="it-IT"/>
              </w:rPr>
              <w:t>)</w:t>
            </w:r>
          </w:p>
        </w:tc>
        <w:tc>
          <w:tcPr>
            <w:tcW w:w="1064" w:type="dxa"/>
            <w:tcBorders>
              <w:top w:val="single" w:sz="12" w:space="0" w:color="008000"/>
              <w:left w:val="nil"/>
              <w:bottom w:val="single" w:sz="8" w:space="0" w:color="008000"/>
              <w:right w:val="nil"/>
            </w:tcBorders>
            <w:shd w:val="clear" w:color="000000" w:fill="FFFFFF"/>
            <w:vAlign w:val="center"/>
            <w:hideMark/>
          </w:tcPr>
          <w:p w14:paraId="2C6C5604" w14:textId="17658ED6" w:rsidR="00EE57CA" w:rsidRPr="004F6369" w:rsidRDefault="00EE57CA" w:rsidP="0055572A">
            <w:pPr>
              <w:tabs>
                <w:tab w:val="clear" w:pos="7100"/>
              </w:tabs>
              <w:spacing w:line="240" w:lineRule="auto"/>
              <w:jc w:val="center"/>
              <w:rPr>
                <w:rFonts w:cs="Arial"/>
                <w:color w:val="000000"/>
                <w:szCs w:val="18"/>
                <w:lang w:val="it-IT" w:eastAsia="it-IT"/>
              </w:rPr>
            </w:pPr>
            <w:r>
              <w:rPr>
                <w:rFonts w:cs="Arial"/>
                <w:color w:val="000000"/>
                <w:szCs w:val="18"/>
                <w:lang w:eastAsia="it-IT"/>
              </w:rPr>
              <w:t>OLR</w:t>
            </w:r>
            <w:r w:rsidRPr="004F6369">
              <w:rPr>
                <w:rFonts w:cs="Arial"/>
                <w:color w:val="000000"/>
                <w:szCs w:val="18"/>
                <w:lang w:eastAsia="it-IT"/>
              </w:rPr>
              <w:br/>
              <w:t>(</w:t>
            </w:r>
            <w:r>
              <w:rPr>
                <w:rFonts w:cs="Arial"/>
                <w:color w:val="000000"/>
                <w:szCs w:val="18"/>
                <w:lang w:eastAsia="it-IT"/>
              </w:rPr>
              <w:t>gCOD/</w:t>
            </w:r>
            <w:proofErr w:type="spellStart"/>
            <w:r>
              <w:rPr>
                <w:rFonts w:cs="Arial"/>
                <w:color w:val="000000"/>
                <w:szCs w:val="18"/>
                <w:lang w:eastAsia="it-IT"/>
              </w:rPr>
              <w:t>Ld</w:t>
            </w:r>
            <w:proofErr w:type="spellEnd"/>
            <w:r w:rsidRPr="004F6369">
              <w:rPr>
                <w:rFonts w:cs="Arial"/>
                <w:color w:val="000000"/>
                <w:szCs w:val="18"/>
                <w:lang w:eastAsia="it-IT"/>
              </w:rPr>
              <w:t>)</w:t>
            </w:r>
          </w:p>
        </w:tc>
        <w:tc>
          <w:tcPr>
            <w:tcW w:w="1786" w:type="dxa"/>
            <w:tcBorders>
              <w:top w:val="single" w:sz="12" w:space="0" w:color="008000"/>
              <w:left w:val="nil"/>
              <w:bottom w:val="single" w:sz="8" w:space="0" w:color="008000"/>
              <w:right w:val="nil"/>
            </w:tcBorders>
            <w:shd w:val="clear" w:color="000000" w:fill="FFFFFF"/>
          </w:tcPr>
          <w:p w14:paraId="532CA3CE" w14:textId="77777777" w:rsidR="00EE57CA" w:rsidRDefault="00EE57CA" w:rsidP="0055572A">
            <w:pPr>
              <w:tabs>
                <w:tab w:val="clear" w:pos="7100"/>
              </w:tabs>
              <w:spacing w:line="240" w:lineRule="auto"/>
              <w:jc w:val="center"/>
              <w:rPr>
                <w:rFonts w:cs="Arial"/>
                <w:color w:val="000000"/>
                <w:szCs w:val="18"/>
                <w:lang w:eastAsia="it-IT"/>
              </w:rPr>
            </w:pPr>
            <w:proofErr w:type="spellStart"/>
            <w:r>
              <w:rPr>
                <w:rFonts w:ascii="Aptos Narrow" w:hAnsi="Aptos Narrow" w:cs="Arial"/>
                <w:color w:val="000000"/>
                <w:szCs w:val="18"/>
                <w:lang w:eastAsia="it-IT"/>
              </w:rPr>
              <w:t>η</w:t>
            </w:r>
            <w:r>
              <w:rPr>
                <w:rFonts w:cs="Arial"/>
                <w:color w:val="000000"/>
                <w:szCs w:val="18"/>
                <w:lang w:eastAsia="it-IT"/>
              </w:rPr>
              <w:t>COD</w:t>
            </w:r>
            <w:proofErr w:type="spellEnd"/>
            <w:r>
              <w:rPr>
                <w:rFonts w:cs="Arial"/>
                <w:color w:val="000000"/>
                <w:szCs w:val="18"/>
                <w:lang w:eastAsia="it-IT"/>
              </w:rPr>
              <w:t xml:space="preserve"> 2025 vs 2026 </w:t>
            </w:r>
          </w:p>
          <w:p w14:paraId="7294F332" w14:textId="77777777" w:rsidR="00EE57CA" w:rsidRDefault="00EE57CA" w:rsidP="0055572A">
            <w:pPr>
              <w:tabs>
                <w:tab w:val="clear" w:pos="7100"/>
              </w:tabs>
              <w:spacing w:line="240" w:lineRule="auto"/>
              <w:jc w:val="center"/>
              <w:rPr>
                <w:rFonts w:cs="Arial"/>
                <w:color w:val="000000"/>
                <w:szCs w:val="18"/>
                <w:lang w:eastAsia="it-IT"/>
              </w:rPr>
            </w:pPr>
            <w:r>
              <w:rPr>
                <w:rFonts w:cs="Arial"/>
                <w:color w:val="000000"/>
                <w:szCs w:val="18"/>
                <w:lang w:eastAsia="it-IT"/>
              </w:rPr>
              <w:t>(%)</w:t>
            </w:r>
          </w:p>
        </w:tc>
        <w:tc>
          <w:tcPr>
            <w:tcW w:w="1999" w:type="dxa"/>
            <w:tcBorders>
              <w:top w:val="single" w:sz="12" w:space="0" w:color="008000"/>
              <w:left w:val="nil"/>
              <w:bottom w:val="single" w:sz="8" w:space="0" w:color="008000"/>
              <w:right w:val="nil"/>
            </w:tcBorders>
            <w:shd w:val="clear" w:color="000000" w:fill="FFFFFF"/>
          </w:tcPr>
          <w:p w14:paraId="5742AB71" w14:textId="77777777" w:rsidR="00EE57CA" w:rsidRDefault="00EE57CA" w:rsidP="0055572A">
            <w:pPr>
              <w:tabs>
                <w:tab w:val="clear" w:pos="7100"/>
              </w:tabs>
              <w:spacing w:line="240" w:lineRule="auto"/>
              <w:jc w:val="center"/>
              <w:rPr>
                <w:rFonts w:cs="Arial"/>
                <w:color w:val="000000"/>
                <w:szCs w:val="18"/>
                <w:lang w:eastAsia="it-IT"/>
              </w:rPr>
            </w:pPr>
            <w:r w:rsidRPr="002C0A4F">
              <w:rPr>
                <w:rFonts w:cs="Arial"/>
                <w:color w:val="000000"/>
                <w:szCs w:val="18"/>
                <w:lang w:eastAsia="it-IT"/>
              </w:rPr>
              <w:t>Current 2025 vs 2026</w:t>
            </w:r>
            <w:r>
              <w:rPr>
                <w:rFonts w:cs="Arial"/>
                <w:color w:val="000000"/>
                <w:szCs w:val="18"/>
                <w:lang w:eastAsia="it-IT"/>
              </w:rPr>
              <w:t xml:space="preserve"> </w:t>
            </w:r>
          </w:p>
          <w:p w14:paraId="33B7E5A5" w14:textId="77777777" w:rsidR="00EE57CA" w:rsidRPr="002C0A4F" w:rsidRDefault="00EE57CA" w:rsidP="0055572A">
            <w:pPr>
              <w:tabs>
                <w:tab w:val="clear" w:pos="7100"/>
              </w:tabs>
              <w:spacing w:line="240" w:lineRule="auto"/>
              <w:jc w:val="center"/>
              <w:rPr>
                <w:rFonts w:cs="Arial"/>
                <w:color w:val="000000"/>
                <w:szCs w:val="18"/>
                <w:lang w:eastAsia="it-IT"/>
              </w:rPr>
            </w:pPr>
            <w:r>
              <w:rPr>
                <w:rFonts w:cs="Arial"/>
                <w:color w:val="000000"/>
                <w:szCs w:val="18"/>
                <w:lang w:eastAsia="it-IT"/>
              </w:rPr>
              <w:t>(mA)</w:t>
            </w:r>
          </w:p>
        </w:tc>
      </w:tr>
      <w:tr w:rsidR="00EE57CA" w:rsidRPr="004F6369" w14:paraId="03095D16" w14:textId="77777777" w:rsidTr="00DB05B9">
        <w:trPr>
          <w:trHeight w:val="176"/>
          <w:jc w:val="center"/>
        </w:trPr>
        <w:tc>
          <w:tcPr>
            <w:tcW w:w="1064" w:type="dxa"/>
            <w:tcBorders>
              <w:top w:val="single" w:sz="12" w:space="0" w:color="008000"/>
              <w:left w:val="nil"/>
              <w:bottom w:val="single" w:sz="8" w:space="0" w:color="00B050"/>
              <w:right w:val="nil"/>
            </w:tcBorders>
            <w:shd w:val="clear" w:color="000000" w:fill="FFFFFF"/>
            <w:vAlign w:val="center"/>
            <w:hideMark/>
          </w:tcPr>
          <w:p w14:paraId="42488A2B" w14:textId="77777777" w:rsidR="00EE57CA" w:rsidRPr="004F6369" w:rsidRDefault="00EE57CA" w:rsidP="0055572A">
            <w:pPr>
              <w:tabs>
                <w:tab w:val="clear" w:pos="7100"/>
              </w:tabs>
              <w:spacing w:line="240" w:lineRule="auto"/>
              <w:jc w:val="center"/>
              <w:rPr>
                <w:rFonts w:cs="Arial"/>
                <w:color w:val="000000"/>
                <w:szCs w:val="18"/>
                <w:lang w:val="it-IT" w:eastAsia="it-IT"/>
              </w:rPr>
            </w:pPr>
            <w:r>
              <w:rPr>
                <w:rFonts w:cs="Arial"/>
                <w:color w:val="000000"/>
                <w:szCs w:val="18"/>
                <w:lang w:val="it-IT" w:eastAsia="it-IT"/>
              </w:rPr>
              <w:t>A</w:t>
            </w:r>
          </w:p>
        </w:tc>
        <w:tc>
          <w:tcPr>
            <w:tcW w:w="1316" w:type="dxa"/>
            <w:tcBorders>
              <w:top w:val="single" w:sz="12" w:space="0" w:color="008000"/>
              <w:left w:val="nil"/>
              <w:bottom w:val="single" w:sz="8" w:space="0" w:color="00B050"/>
              <w:right w:val="nil"/>
            </w:tcBorders>
            <w:shd w:val="clear" w:color="000000" w:fill="FFFFFF"/>
            <w:vAlign w:val="center"/>
          </w:tcPr>
          <w:p w14:paraId="73E97CF8" w14:textId="77777777" w:rsidR="00EE57CA" w:rsidRPr="004F6369" w:rsidRDefault="00EE57CA" w:rsidP="0055572A">
            <w:pPr>
              <w:tabs>
                <w:tab w:val="clear" w:pos="7100"/>
              </w:tabs>
              <w:spacing w:line="240" w:lineRule="auto"/>
              <w:jc w:val="center"/>
              <w:rPr>
                <w:rFonts w:cs="Arial"/>
                <w:color w:val="000000"/>
                <w:szCs w:val="18"/>
                <w:lang w:val="it-IT" w:eastAsia="it-IT"/>
              </w:rPr>
            </w:pPr>
            <w:r>
              <w:rPr>
                <w:rFonts w:cs="Arial"/>
                <w:color w:val="000000"/>
                <w:szCs w:val="18"/>
                <w:lang w:val="it-IT" w:eastAsia="it-IT"/>
              </w:rPr>
              <w:t>0.72</w:t>
            </w:r>
          </w:p>
        </w:tc>
        <w:tc>
          <w:tcPr>
            <w:tcW w:w="1192" w:type="dxa"/>
            <w:tcBorders>
              <w:top w:val="single" w:sz="12" w:space="0" w:color="008000"/>
              <w:left w:val="nil"/>
              <w:bottom w:val="single" w:sz="8" w:space="0" w:color="00B050"/>
              <w:right w:val="nil"/>
            </w:tcBorders>
            <w:shd w:val="clear" w:color="000000" w:fill="FFFFFF"/>
            <w:vAlign w:val="center"/>
          </w:tcPr>
          <w:p w14:paraId="5F6C1EC4" w14:textId="77777777" w:rsidR="00EE57CA" w:rsidRPr="004F6369" w:rsidRDefault="00EE57CA" w:rsidP="0055572A">
            <w:pPr>
              <w:tabs>
                <w:tab w:val="clear" w:pos="7100"/>
              </w:tabs>
              <w:spacing w:line="240" w:lineRule="auto"/>
              <w:jc w:val="center"/>
              <w:rPr>
                <w:rFonts w:cs="Arial"/>
                <w:color w:val="000000"/>
                <w:szCs w:val="18"/>
                <w:lang w:val="it-IT" w:eastAsia="it-IT"/>
              </w:rPr>
            </w:pPr>
            <w:r>
              <w:rPr>
                <w:rFonts w:cs="Arial"/>
                <w:color w:val="000000"/>
                <w:szCs w:val="18"/>
                <w:lang w:val="it-IT" w:eastAsia="it-IT"/>
              </w:rPr>
              <w:t>0.8</w:t>
            </w:r>
          </w:p>
        </w:tc>
        <w:tc>
          <w:tcPr>
            <w:tcW w:w="1064" w:type="dxa"/>
            <w:tcBorders>
              <w:top w:val="single" w:sz="12" w:space="0" w:color="008000"/>
              <w:left w:val="nil"/>
              <w:bottom w:val="single" w:sz="8" w:space="0" w:color="00B050"/>
              <w:right w:val="nil"/>
            </w:tcBorders>
            <w:shd w:val="clear" w:color="000000" w:fill="FFFFFF"/>
            <w:vAlign w:val="center"/>
          </w:tcPr>
          <w:p w14:paraId="51E53BF7" w14:textId="77777777" w:rsidR="00EE57CA" w:rsidRPr="004F6369" w:rsidRDefault="00EE57CA" w:rsidP="0055572A">
            <w:pPr>
              <w:tabs>
                <w:tab w:val="clear" w:pos="7100"/>
              </w:tabs>
              <w:spacing w:line="240" w:lineRule="auto"/>
              <w:jc w:val="center"/>
              <w:rPr>
                <w:rFonts w:cs="Arial"/>
                <w:color w:val="000000"/>
                <w:szCs w:val="18"/>
                <w:lang w:val="it-IT" w:eastAsia="it-IT"/>
              </w:rPr>
            </w:pPr>
            <w:r>
              <w:rPr>
                <w:rFonts w:cs="Arial"/>
                <w:color w:val="000000"/>
                <w:szCs w:val="18"/>
                <w:lang w:val="it-IT" w:eastAsia="it-IT"/>
              </w:rPr>
              <w:t>1</w:t>
            </w:r>
          </w:p>
        </w:tc>
        <w:tc>
          <w:tcPr>
            <w:tcW w:w="1786" w:type="dxa"/>
            <w:tcBorders>
              <w:top w:val="single" w:sz="12" w:space="0" w:color="008000"/>
              <w:left w:val="nil"/>
              <w:bottom w:val="single" w:sz="8" w:space="0" w:color="00B050"/>
              <w:right w:val="nil"/>
            </w:tcBorders>
            <w:shd w:val="clear" w:color="000000" w:fill="FFFFFF"/>
          </w:tcPr>
          <w:p w14:paraId="623A48BF" w14:textId="77777777" w:rsidR="00EE57CA" w:rsidRDefault="00EE57CA" w:rsidP="0055572A">
            <w:pPr>
              <w:tabs>
                <w:tab w:val="clear" w:pos="7100"/>
              </w:tabs>
              <w:spacing w:line="240" w:lineRule="auto"/>
              <w:jc w:val="center"/>
              <w:rPr>
                <w:rFonts w:cs="Arial"/>
                <w:color w:val="000000"/>
                <w:szCs w:val="18"/>
                <w:lang w:val="it-IT" w:eastAsia="it-IT"/>
              </w:rPr>
            </w:pPr>
            <w:r>
              <w:rPr>
                <w:rFonts w:cs="Arial"/>
                <w:color w:val="000000"/>
                <w:szCs w:val="18"/>
                <w:lang w:val="it-IT" w:eastAsia="it-IT"/>
              </w:rPr>
              <w:t>64 vs 50</w:t>
            </w:r>
          </w:p>
        </w:tc>
        <w:tc>
          <w:tcPr>
            <w:tcW w:w="1999" w:type="dxa"/>
            <w:tcBorders>
              <w:top w:val="single" w:sz="12" w:space="0" w:color="008000"/>
              <w:left w:val="nil"/>
              <w:bottom w:val="single" w:sz="8" w:space="0" w:color="00B050"/>
              <w:right w:val="nil"/>
            </w:tcBorders>
            <w:shd w:val="clear" w:color="000000" w:fill="FFFFFF"/>
          </w:tcPr>
          <w:p w14:paraId="7105B54E" w14:textId="77777777" w:rsidR="00EE57CA" w:rsidRDefault="00EE57CA" w:rsidP="0055572A">
            <w:pPr>
              <w:tabs>
                <w:tab w:val="clear" w:pos="7100"/>
              </w:tabs>
              <w:spacing w:line="240" w:lineRule="auto"/>
              <w:jc w:val="center"/>
              <w:rPr>
                <w:rFonts w:cs="Arial"/>
                <w:color w:val="000000"/>
                <w:szCs w:val="18"/>
                <w:lang w:val="it-IT" w:eastAsia="it-IT"/>
              </w:rPr>
            </w:pPr>
            <w:r>
              <w:rPr>
                <w:rFonts w:cs="Arial"/>
                <w:color w:val="000000"/>
                <w:szCs w:val="18"/>
                <w:lang w:val="it-IT" w:eastAsia="it-IT"/>
              </w:rPr>
              <w:t>50 vs 27</w:t>
            </w:r>
          </w:p>
        </w:tc>
      </w:tr>
      <w:tr w:rsidR="00EE57CA" w:rsidRPr="004F6369" w14:paraId="4014724F" w14:textId="77777777" w:rsidTr="00DB05B9">
        <w:trPr>
          <w:trHeight w:val="176"/>
          <w:jc w:val="center"/>
        </w:trPr>
        <w:tc>
          <w:tcPr>
            <w:tcW w:w="1064" w:type="dxa"/>
            <w:tcBorders>
              <w:top w:val="single" w:sz="8" w:space="0" w:color="00B050"/>
              <w:left w:val="nil"/>
              <w:bottom w:val="single" w:sz="8" w:space="0" w:color="00B050"/>
              <w:right w:val="nil"/>
            </w:tcBorders>
            <w:shd w:val="clear" w:color="000000" w:fill="FFFFFF"/>
            <w:vAlign w:val="center"/>
          </w:tcPr>
          <w:p w14:paraId="1944D043" w14:textId="77777777" w:rsidR="00EE57CA" w:rsidRDefault="00EE57CA" w:rsidP="0055572A">
            <w:pPr>
              <w:tabs>
                <w:tab w:val="clear" w:pos="7100"/>
              </w:tabs>
              <w:spacing w:line="240" w:lineRule="auto"/>
              <w:jc w:val="center"/>
              <w:rPr>
                <w:rFonts w:cs="Arial"/>
                <w:color w:val="000000"/>
                <w:szCs w:val="18"/>
                <w:lang w:val="it-IT" w:eastAsia="it-IT"/>
              </w:rPr>
            </w:pPr>
            <w:r>
              <w:rPr>
                <w:rFonts w:cs="Arial"/>
                <w:color w:val="000000"/>
                <w:szCs w:val="18"/>
                <w:lang w:val="it-IT" w:eastAsia="it-IT"/>
              </w:rPr>
              <w:t>B</w:t>
            </w:r>
          </w:p>
        </w:tc>
        <w:tc>
          <w:tcPr>
            <w:tcW w:w="1316" w:type="dxa"/>
            <w:tcBorders>
              <w:top w:val="single" w:sz="8" w:space="0" w:color="00B050"/>
              <w:left w:val="nil"/>
              <w:bottom w:val="single" w:sz="8" w:space="0" w:color="00B050"/>
              <w:right w:val="nil"/>
            </w:tcBorders>
            <w:shd w:val="clear" w:color="000000" w:fill="FFFFFF"/>
            <w:vAlign w:val="center"/>
          </w:tcPr>
          <w:p w14:paraId="7FF667D1" w14:textId="77777777" w:rsidR="00EE57CA" w:rsidRPr="004F6369" w:rsidRDefault="00EE57CA" w:rsidP="0055572A">
            <w:pPr>
              <w:tabs>
                <w:tab w:val="clear" w:pos="7100"/>
              </w:tabs>
              <w:spacing w:line="240" w:lineRule="auto"/>
              <w:jc w:val="center"/>
              <w:rPr>
                <w:rFonts w:cs="Arial"/>
                <w:color w:val="000000"/>
                <w:szCs w:val="18"/>
                <w:lang w:val="it-IT" w:eastAsia="it-IT"/>
              </w:rPr>
            </w:pPr>
            <w:r>
              <w:rPr>
                <w:rFonts w:cs="Arial"/>
                <w:color w:val="000000"/>
                <w:szCs w:val="18"/>
                <w:lang w:val="it-IT" w:eastAsia="it-IT"/>
              </w:rPr>
              <w:t>1.45</w:t>
            </w:r>
          </w:p>
        </w:tc>
        <w:tc>
          <w:tcPr>
            <w:tcW w:w="1192" w:type="dxa"/>
            <w:tcBorders>
              <w:top w:val="single" w:sz="8" w:space="0" w:color="00B050"/>
              <w:left w:val="nil"/>
              <w:bottom w:val="single" w:sz="8" w:space="0" w:color="00B050"/>
              <w:right w:val="nil"/>
            </w:tcBorders>
            <w:shd w:val="clear" w:color="000000" w:fill="FFFFFF"/>
            <w:vAlign w:val="center"/>
          </w:tcPr>
          <w:p w14:paraId="2AF9A6BA" w14:textId="77777777" w:rsidR="00EE57CA" w:rsidRPr="004F6369" w:rsidRDefault="00EE57CA" w:rsidP="0055572A">
            <w:pPr>
              <w:tabs>
                <w:tab w:val="clear" w:pos="7100"/>
              </w:tabs>
              <w:spacing w:line="240" w:lineRule="auto"/>
              <w:jc w:val="center"/>
              <w:rPr>
                <w:rFonts w:cs="Arial"/>
                <w:color w:val="000000"/>
                <w:szCs w:val="18"/>
                <w:lang w:val="it-IT" w:eastAsia="it-IT"/>
              </w:rPr>
            </w:pPr>
            <w:r>
              <w:rPr>
                <w:rFonts w:cs="Arial"/>
                <w:color w:val="000000"/>
                <w:szCs w:val="18"/>
                <w:lang w:val="it-IT" w:eastAsia="it-IT"/>
              </w:rPr>
              <w:t>1.7</w:t>
            </w:r>
          </w:p>
        </w:tc>
        <w:tc>
          <w:tcPr>
            <w:tcW w:w="1064" w:type="dxa"/>
            <w:tcBorders>
              <w:top w:val="single" w:sz="8" w:space="0" w:color="00B050"/>
              <w:left w:val="nil"/>
              <w:bottom w:val="single" w:sz="8" w:space="0" w:color="00B050"/>
              <w:right w:val="nil"/>
            </w:tcBorders>
            <w:shd w:val="clear" w:color="000000" w:fill="FFFFFF"/>
            <w:vAlign w:val="center"/>
          </w:tcPr>
          <w:p w14:paraId="467DF354" w14:textId="77777777" w:rsidR="00EE57CA" w:rsidRPr="004F6369" w:rsidRDefault="00EE57CA" w:rsidP="0055572A">
            <w:pPr>
              <w:tabs>
                <w:tab w:val="clear" w:pos="7100"/>
              </w:tabs>
              <w:spacing w:line="240" w:lineRule="auto"/>
              <w:jc w:val="center"/>
              <w:rPr>
                <w:rFonts w:cs="Arial"/>
                <w:color w:val="000000"/>
                <w:szCs w:val="18"/>
                <w:lang w:val="it-IT" w:eastAsia="it-IT"/>
              </w:rPr>
            </w:pPr>
            <w:r>
              <w:rPr>
                <w:rFonts w:cs="Arial"/>
                <w:color w:val="000000"/>
                <w:szCs w:val="18"/>
                <w:lang w:val="it-IT" w:eastAsia="it-IT"/>
              </w:rPr>
              <w:t>2</w:t>
            </w:r>
          </w:p>
        </w:tc>
        <w:tc>
          <w:tcPr>
            <w:tcW w:w="1786" w:type="dxa"/>
            <w:tcBorders>
              <w:top w:val="single" w:sz="8" w:space="0" w:color="00B050"/>
              <w:left w:val="nil"/>
              <w:bottom w:val="single" w:sz="8" w:space="0" w:color="00B050"/>
              <w:right w:val="nil"/>
            </w:tcBorders>
            <w:shd w:val="clear" w:color="000000" w:fill="FFFFFF"/>
          </w:tcPr>
          <w:p w14:paraId="68ECBB79" w14:textId="77777777" w:rsidR="00EE57CA" w:rsidRDefault="00EE57CA" w:rsidP="0055572A">
            <w:pPr>
              <w:tabs>
                <w:tab w:val="clear" w:pos="7100"/>
              </w:tabs>
              <w:spacing w:line="240" w:lineRule="auto"/>
              <w:jc w:val="center"/>
              <w:rPr>
                <w:rFonts w:cs="Arial"/>
                <w:color w:val="000000"/>
                <w:szCs w:val="18"/>
                <w:lang w:val="it-IT" w:eastAsia="it-IT"/>
              </w:rPr>
            </w:pPr>
            <w:r>
              <w:rPr>
                <w:rFonts w:cs="Arial"/>
                <w:color w:val="000000"/>
                <w:szCs w:val="18"/>
                <w:lang w:val="it-IT" w:eastAsia="it-IT"/>
              </w:rPr>
              <w:t>38 vs 25</w:t>
            </w:r>
          </w:p>
        </w:tc>
        <w:tc>
          <w:tcPr>
            <w:tcW w:w="1999" w:type="dxa"/>
            <w:tcBorders>
              <w:top w:val="single" w:sz="8" w:space="0" w:color="00B050"/>
              <w:left w:val="nil"/>
              <w:bottom w:val="single" w:sz="8" w:space="0" w:color="00B050"/>
              <w:right w:val="nil"/>
            </w:tcBorders>
            <w:shd w:val="clear" w:color="000000" w:fill="FFFFFF"/>
          </w:tcPr>
          <w:p w14:paraId="5CE1089E" w14:textId="77777777" w:rsidR="00EE57CA" w:rsidRDefault="00EE57CA" w:rsidP="0055572A">
            <w:pPr>
              <w:tabs>
                <w:tab w:val="clear" w:pos="7100"/>
              </w:tabs>
              <w:spacing w:line="240" w:lineRule="auto"/>
              <w:jc w:val="center"/>
              <w:rPr>
                <w:rFonts w:cs="Arial"/>
                <w:color w:val="000000"/>
                <w:szCs w:val="18"/>
                <w:lang w:val="it-IT" w:eastAsia="it-IT"/>
              </w:rPr>
            </w:pPr>
            <w:r>
              <w:rPr>
                <w:rFonts w:cs="Arial"/>
                <w:color w:val="000000"/>
                <w:szCs w:val="18"/>
                <w:lang w:val="it-IT" w:eastAsia="it-IT"/>
              </w:rPr>
              <w:t>77 vs 45</w:t>
            </w:r>
          </w:p>
        </w:tc>
      </w:tr>
      <w:tr w:rsidR="00EE57CA" w:rsidRPr="004F6369" w14:paraId="603860DD" w14:textId="77777777" w:rsidTr="00DB05B9">
        <w:trPr>
          <w:trHeight w:val="176"/>
          <w:jc w:val="center"/>
        </w:trPr>
        <w:tc>
          <w:tcPr>
            <w:tcW w:w="1064" w:type="dxa"/>
            <w:tcBorders>
              <w:top w:val="single" w:sz="8" w:space="0" w:color="00B050"/>
              <w:left w:val="nil"/>
              <w:bottom w:val="single" w:sz="8" w:space="0" w:color="00B050"/>
              <w:right w:val="nil"/>
            </w:tcBorders>
            <w:shd w:val="clear" w:color="000000" w:fill="FFFFFF"/>
            <w:vAlign w:val="center"/>
          </w:tcPr>
          <w:p w14:paraId="6B722387" w14:textId="77777777" w:rsidR="00EE57CA" w:rsidRDefault="00EE57CA" w:rsidP="0055572A">
            <w:pPr>
              <w:tabs>
                <w:tab w:val="clear" w:pos="7100"/>
              </w:tabs>
              <w:spacing w:line="240" w:lineRule="auto"/>
              <w:jc w:val="center"/>
              <w:rPr>
                <w:rFonts w:cs="Arial"/>
                <w:color w:val="000000"/>
                <w:szCs w:val="18"/>
                <w:lang w:val="it-IT" w:eastAsia="it-IT"/>
              </w:rPr>
            </w:pPr>
            <w:r>
              <w:rPr>
                <w:rFonts w:cs="Arial"/>
                <w:color w:val="000000"/>
                <w:szCs w:val="18"/>
                <w:lang w:val="it-IT" w:eastAsia="it-IT"/>
              </w:rPr>
              <w:t>C</w:t>
            </w:r>
          </w:p>
        </w:tc>
        <w:tc>
          <w:tcPr>
            <w:tcW w:w="1316" w:type="dxa"/>
            <w:tcBorders>
              <w:top w:val="single" w:sz="8" w:space="0" w:color="00B050"/>
              <w:left w:val="nil"/>
              <w:bottom w:val="single" w:sz="8" w:space="0" w:color="00B050"/>
              <w:right w:val="nil"/>
            </w:tcBorders>
            <w:shd w:val="clear" w:color="000000" w:fill="FFFFFF"/>
            <w:vAlign w:val="center"/>
          </w:tcPr>
          <w:p w14:paraId="14C9E24A" w14:textId="77777777" w:rsidR="00EE57CA" w:rsidRPr="004F6369" w:rsidRDefault="00EE57CA" w:rsidP="0055572A">
            <w:pPr>
              <w:tabs>
                <w:tab w:val="clear" w:pos="7100"/>
              </w:tabs>
              <w:spacing w:line="240" w:lineRule="auto"/>
              <w:jc w:val="center"/>
              <w:rPr>
                <w:rFonts w:cs="Arial"/>
                <w:color w:val="000000"/>
                <w:szCs w:val="18"/>
                <w:lang w:val="it-IT" w:eastAsia="it-IT"/>
              </w:rPr>
            </w:pPr>
            <w:r>
              <w:rPr>
                <w:rFonts w:cs="Arial"/>
                <w:color w:val="000000"/>
                <w:szCs w:val="18"/>
                <w:lang w:val="it-IT" w:eastAsia="it-IT"/>
              </w:rPr>
              <w:t>2.9</w:t>
            </w:r>
          </w:p>
        </w:tc>
        <w:tc>
          <w:tcPr>
            <w:tcW w:w="1192" w:type="dxa"/>
            <w:tcBorders>
              <w:top w:val="single" w:sz="8" w:space="0" w:color="00B050"/>
              <w:left w:val="nil"/>
              <w:bottom w:val="single" w:sz="8" w:space="0" w:color="00B050"/>
              <w:right w:val="nil"/>
            </w:tcBorders>
            <w:shd w:val="clear" w:color="000000" w:fill="FFFFFF"/>
            <w:vAlign w:val="center"/>
          </w:tcPr>
          <w:p w14:paraId="1FFAE842" w14:textId="77777777" w:rsidR="00EE57CA" w:rsidRPr="004F6369" w:rsidRDefault="00EE57CA" w:rsidP="0055572A">
            <w:pPr>
              <w:tabs>
                <w:tab w:val="clear" w:pos="7100"/>
              </w:tabs>
              <w:spacing w:line="240" w:lineRule="auto"/>
              <w:jc w:val="center"/>
              <w:rPr>
                <w:rFonts w:cs="Arial"/>
                <w:color w:val="000000"/>
                <w:szCs w:val="18"/>
                <w:lang w:val="it-IT" w:eastAsia="it-IT"/>
              </w:rPr>
            </w:pPr>
            <w:r>
              <w:rPr>
                <w:rFonts w:cs="Arial"/>
                <w:color w:val="000000"/>
                <w:szCs w:val="18"/>
                <w:lang w:val="it-IT" w:eastAsia="it-IT"/>
              </w:rPr>
              <w:t>3.4</w:t>
            </w:r>
          </w:p>
        </w:tc>
        <w:tc>
          <w:tcPr>
            <w:tcW w:w="1064" w:type="dxa"/>
            <w:tcBorders>
              <w:top w:val="single" w:sz="8" w:space="0" w:color="00B050"/>
              <w:left w:val="nil"/>
              <w:bottom w:val="single" w:sz="8" w:space="0" w:color="00B050"/>
              <w:right w:val="nil"/>
            </w:tcBorders>
            <w:shd w:val="clear" w:color="000000" w:fill="FFFFFF"/>
            <w:vAlign w:val="center"/>
          </w:tcPr>
          <w:p w14:paraId="77ACE85E" w14:textId="77777777" w:rsidR="00EE57CA" w:rsidRPr="004F6369" w:rsidRDefault="00EE57CA" w:rsidP="0055572A">
            <w:pPr>
              <w:tabs>
                <w:tab w:val="clear" w:pos="7100"/>
              </w:tabs>
              <w:spacing w:line="240" w:lineRule="auto"/>
              <w:jc w:val="center"/>
              <w:rPr>
                <w:rFonts w:cs="Arial"/>
                <w:color w:val="000000"/>
                <w:szCs w:val="18"/>
                <w:lang w:val="it-IT" w:eastAsia="it-IT"/>
              </w:rPr>
            </w:pPr>
            <w:r>
              <w:rPr>
                <w:rFonts w:cs="Arial"/>
                <w:color w:val="000000"/>
                <w:szCs w:val="18"/>
                <w:lang w:val="it-IT" w:eastAsia="it-IT"/>
              </w:rPr>
              <w:t>4</w:t>
            </w:r>
          </w:p>
        </w:tc>
        <w:tc>
          <w:tcPr>
            <w:tcW w:w="1786" w:type="dxa"/>
            <w:tcBorders>
              <w:top w:val="single" w:sz="8" w:space="0" w:color="00B050"/>
              <w:left w:val="nil"/>
              <w:bottom w:val="single" w:sz="8" w:space="0" w:color="00B050"/>
              <w:right w:val="nil"/>
            </w:tcBorders>
            <w:shd w:val="clear" w:color="000000" w:fill="FFFFFF"/>
          </w:tcPr>
          <w:p w14:paraId="3F5B476C" w14:textId="77777777" w:rsidR="00EE57CA" w:rsidRDefault="00EE57CA" w:rsidP="0055572A">
            <w:pPr>
              <w:tabs>
                <w:tab w:val="clear" w:pos="7100"/>
              </w:tabs>
              <w:spacing w:line="240" w:lineRule="auto"/>
              <w:jc w:val="center"/>
              <w:rPr>
                <w:rFonts w:cs="Arial"/>
                <w:color w:val="000000"/>
                <w:szCs w:val="18"/>
                <w:lang w:val="it-IT" w:eastAsia="it-IT"/>
              </w:rPr>
            </w:pPr>
            <w:r>
              <w:rPr>
                <w:rFonts w:cs="Arial"/>
                <w:color w:val="000000"/>
                <w:szCs w:val="18"/>
                <w:lang w:val="it-IT" w:eastAsia="it-IT"/>
              </w:rPr>
              <w:t>32 vs 23</w:t>
            </w:r>
          </w:p>
        </w:tc>
        <w:tc>
          <w:tcPr>
            <w:tcW w:w="1999" w:type="dxa"/>
            <w:tcBorders>
              <w:top w:val="single" w:sz="8" w:space="0" w:color="00B050"/>
              <w:left w:val="nil"/>
              <w:bottom w:val="single" w:sz="8" w:space="0" w:color="00B050"/>
              <w:right w:val="nil"/>
            </w:tcBorders>
            <w:shd w:val="clear" w:color="000000" w:fill="FFFFFF"/>
          </w:tcPr>
          <w:p w14:paraId="2BCFDC04" w14:textId="77777777" w:rsidR="00EE57CA" w:rsidRDefault="00EE57CA" w:rsidP="0055572A">
            <w:pPr>
              <w:tabs>
                <w:tab w:val="clear" w:pos="7100"/>
              </w:tabs>
              <w:spacing w:line="240" w:lineRule="auto"/>
              <w:jc w:val="center"/>
              <w:rPr>
                <w:rFonts w:cs="Arial"/>
                <w:color w:val="000000"/>
                <w:szCs w:val="18"/>
                <w:lang w:val="it-IT" w:eastAsia="it-IT"/>
              </w:rPr>
            </w:pPr>
            <w:r>
              <w:rPr>
                <w:rFonts w:cs="Arial"/>
                <w:color w:val="000000"/>
                <w:szCs w:val="18"/>
                <w:lang w:val="it-IT" w:eastAsia="it-IT"/>
              </w:rPr>
              <w:t>114 vs 75</w:t>
            </w:r>
          </w:p>
        </w:tc>
      </w:tr>
      <w:tr w:rsidR="00EE57CA" w:rsidRPr="004F6369" w14:paraId="0205E1A2" w14:textId="77777777" w:rsidTr="00DB05B9">
        <w:trPr>
          <w:trHeight w:val="176"/>
          <w:jc w:val="center"/>
        </w:trPr>
        <w:tc>
          <w:tcPr>
            <w:tcW w:w="1064" w:type="dxa"/>
            <w:tcBorders>
              <w:top w:val="single" w:sz="8" w:space="0" w:color="00B050"/>
              <w:left w:val="nil"/>
              <w:bottom w:val="single" w:sz="8" w:space="0" w:color="00B050"/>
              <w:right w:val="nil"/>
            </w:tcBorders>
            <w:shd w:val="clear" w:color="000000" w:fill="FFFFFF"/>
            <w:vAlign w:val="center"/>
          </w:tcPr>
          <w:p w14:paraId="6DE8EF33" w14:textId="77777777" w:rsidR="00EE57CA" w:rsidRDefault="00EE57CA" w:rsidP="0055572A">
            <w:pPr>
              <w:tabs>
                <w:tab w:val="clear" w:pos="7100"/>
              </w:tabs>
              <w:spacing w:line="240" w:lineRule="auto"/>
              <w:jc w:val="center"/>
              <w:rPr>
                <w:rFonts w:cs="Arial"/>
                <w:color w:val="000000"/>
                <w:szCs w:val="18"/>
                <w:lang w:val="it-IT" w:eastAsia="it-IT"/>
              </w:rPr>
            </w:pPr>
            <w:r>
              <w:rPr>
                <w:rFonts w:cs="Arial"/>
                <w:color w:val="000000"/>
                <w:szCs w:val="18"/>
                <w:lang w:val="it-IT" w:eastAsia="it-IT"/>
              </w:rPr>
              <w:t>D</w:t>
            </w:r>
          </w:p>
        </w:tc>
        <w:tc>
          <w:tcPr>
            <w:tcW w:w="1316" w:type="dxa"/>
            <w:tcBorders>
              <w:top w:val="single" w:sz="8" w:space="0" w:color="00B050"/>
              <w:left w:val="nil"/>
              <w:bottom w:val="single" w:sz="8" w:space="0" w:color="00B050"/>
              <w:right w:val="nil"/>
            </w:tcBorders>
            <w:shd w:val="clear" w:color="000000" w:fill="FFFFFF"/>
            <w:vAlign w:val="center"/>
          </w:tcPr>
          <w:p w14:paraId="1C2D6D78" w14:textId="77777777" w:rsidR="00EE57CA" w:rsidRPr="004F6369" w:rsidRDefault="00EE57CA" w:rsidP="0055572A">
            <w:pPr>
              <w:tabs>
                <w:tab w:val="clear" w:pos="7100"/>
              </w:tabs>
              <w:spacing w:line="240" w:lineRule="auto"/>
              <w:jc w:val="center"/>
              <w:rPr>
                <w:rFonts w:cs="Arial"/>
                <w:color w:val="000000"/>
                <w:szCs w:val="18"/>
                <w:lang w:val="it-IT" w:eastAsia="it-IT"/>
              </w:rPr>
            </w:pPr>
            <w:r>
              <w:rPr>
                <w:rFonts w:cs="Arial"/>
                <w:color w:val="000000"/>
                <w:szCs w:val="18"/>
                <w:lang w:val="it-IT" w:eastAsia="it-IT"/>
              </w:rPr>
              <w:t>5.8</w:t>
            </w:r>
          </w:p>
        </w:tc>
        <w:tc>
          <w:tcPr>
            <w:tcW w:w="1192" w:type="dxa"/>
            <w:tcBorders>
              <w:top w:val="single" w:sz="8" w:space="0" w:color="00B050"/>
              <w:left w:val="nil"/>
              <w:bottom w:val="single" w:sz="8" w:space="0" w:color="00B050"/>
              <w:right w:val="nil"/>
            </w:tcBorders>
            <w:shd w:val="clear" w:color="000000" w:fill="FFFFFF"/>
            <w:vAlign w:val="center"/>
          </w:tcPr>
          <w:p w14:paraId="15CD447A" w14:textId="77777777" w:rsidR="00EE57CA" w:rsidRPr="004F6369" w:rsidRDefault="00EE57CA" w:rsidP="0055572A">
            <w:pPr>
              <w:tabs>
                <w:tab w:val="clear" w:pos="7100"/>
              </w:tabs>
              <w:spacing w:line="240" w:lineRule="auto"/>
              <w:jc w:val="center"/>
              <w:rPr>
                <w:rFonts w:cs="Arial"/>
                <w:color w:val="000000"/>
                <w:szCs w:val="18"/>
                <w:lang w:val="it-IT" w:eastAsia="it-IT"/>
              </w:rPr>
            </w:pPr>
            <w:r>
              <w:rPr>
                <w:rFonts w:cs="Arial"/>
                <w:color w:val="000000"/>
                <w:szCs w:val="18"/>
                <w:lang w:val="it-IT" w:eastAsia="it-IT"/>
              </w:rPr>
              <w:t>6.9</w:t>
            </w:r>
          </w:p>
        </w:tc>
        <w:tc>
          <w:tcPr>
            <w:tcW w:w="1064" w:type="dxa"/>
            <w:tcBorders>
              <w:top w:val="single" w:sz="8" w:space="0" w:color="00B050"/>
              <w:left w:val="nil"/>
              <w:bottom w:val="single" w:sz="8" w:space="0" w:color="00B050"/>
              <w:right w:val="nil"/>
            </w:tcBorders>
            <w:shd w:val="clear" w:color="000000" w:fill="FFFFFF"/>
            <w:vAlign w:val="center"/>
          </w:tcPr>
          <w:p w14:paraId="7EC8B26A" w14:textId="77777777" w:rsidR="00EE57CA" w:rsidRPr="004F6369" w:rsidRDefault="00EE57CA" w:rsidP="0055572A">
            <w:pPr>
              <w:tabs>
                <w:tab w:val="clear" w:pos="7100"/>
              </w:tabs>
              <w:spacing w:line="240" w:lineRule="auto"/>
              <w:jc w:val="center"/>
              <w:rPr>
                <w:rFonts w:cs="Arial"/>
                <w:color w:val="000000"/>
                <w:szCs w:val="18"/>
                <w:lang w:val="it-IT" w:eastAsia="it-IT"/>
              </w:rPr>
            </w:pPr>
            <w:r>
              <w:rPr>
                <w:rFonts w:cs="Arial"/>
                <w:color w:val="000000"/>
                <w:szCs w:val="18"/>
                <w:lang w:val="it-IT" w:eastAsia="it-IT"/>
              </w:rPr>
              <w:t>8</w:t>
            </w:r>
          </w:p>
        </w:tc>
        <w:tc>
          <w:tcPr>
            <w:tcW w:w="1786" w:type="dxa"/>
            <w:tcBorders>
              <w:top w:val="single" w:sz="8" w:space="0" w:color="00B050"/>
              <w:left w:val="nil"/>
              <w:bottom w:val="single" w:sz="8" w:space="0" w:color="00B050"/>
              <w:right w:val="nil"/>
            </w:tcBorders>
            <w:shd w:val="clear" w:color="000000" w:fill="FFFFFF"/>
          </w:tcPr>
          <w:p w14:paraId="74719240" w14:textId="77777777" w:rsidR="00EE57CA" w:rsidRDefault="00EE57CA" w:rsidP="0055572A">
            <w:pPr>
              <w:tabs>
                <w:tab w:val="clear" w:pos="7100"/>
              </w:tabs>
              <w:spacing w:line="240" w:lineRule="auto"/>
              <w:jc w:val="center"/>
              <w:rPr>
                <w:rFonts w:cs="Arial"/>
                <w:color w:val="000000"/>
                <w:szCs w:val="18"/>
                <w:lang w:val="it-IT" w:eastAsia="it-IT"/>
              </w:rPr>
            </w:pPr>
            <w:r>
              <w:rPr>
                <w:rFonts w:cs="Arial"/>
                <w:color w:val="000000"/>
                <w:szCs w:val="18"/>
                <w:lang w:val="it-IT" w:eastAsia="it-IT"/>
              </w:rPr>
              <w:t>28 vs 21</w:t>
            </w:r>
          </w:p>
        </w:tc>
        <w:tc>
          <w:tcPr>
            <w:tcW w:w="1999" w:type="dxa"/>
            <w:tcBorders>
              <w:top w:val="single" w:sz="8" w:space="0" w:color="00B050"/>
              <w:left w:val="nil"/>
              <w:bottom w:val="single" w:sz="8" w:space="0" w:color="00B050"/>
              <w:right w:val="nil"/>
            </w:tcBorders>
            <w:shd w:val="clear" w:color="000000" w:fill="FFFFFF"/>
          </w:tcPr>
          <w:p w14:paraId="4404AA4B" w14:textId="77777777" w:rsidR="00EE57CA" w:rsidRDefault="00EE57CA" w:rsidP="0055572A">
            <w:pPr>
              <w:tabs>
                <w:tab w:val="clear" w:pos="7100"/>
              </w:tabs>
              <w:spacing w:line="240" w:lineRule="auto"/>
              <w:jc w:val="center"/>
              <w:rPr>
                <w:rFonts w:cs="Arial"/>
                <w:color w:val="000000"/>
                <w:szCs w:val="18"/>
                <w:lang w:val="it-IT" w:eastAsia="it-IT"/>
              </w:rPr>
            </w:pPr>
            <w:r>
              <w:rPr>
                <w:rFonts w:cs="Arial"/>
                <w:color w:val="000000"/>
                <w:szCs w:val="18"/>
                <w:lang w:val="it-IT" w:eastAsia="it-IT"/>
              </w:rPr>
              <w:t>142 vs 100</w:t>
            </w:r>
          </w:p>
        </w:tc>
      </w:tr>
      <w:tr w:rsidR="00EE57CA" w:rsidRPr="004F6369" w14:paraId="43460DBA" w14:textId="77777777" w:rsidTr="00DB05B9">
        <w:trPr>
          <w:trHeight w:val="176"/>
          <w:jc w:val="center"/>
        </w:trPr>
        <w:tc>
          <w:tcPr>
            <w:tcW w:w="1064" w:type="dxa"/>
            <w:tcBorders>
              <w:top w:val="single" w:sz="8" w:space="0" w:color="00B050"/>
              <w:left w:val="nil"/>
              <w:bottom w:val="single" w:sz="8" w:space="0" w:color="00B050"/>
              <w:right w:val="nil"/>
            </w:tcBorders>
            <w:shd w:val="clear" w:color="000000" w:fill="FFFFFF"/>
            <w:vAlign w:val="center"/>
          </w:tcPr>
          <w:p w14:paraId="36ADA3EC" w14:textId="77777777" w:rsidR="00EE57CA" w:rsidRDefault="00EE57CA" w:rsidP="0055572A">
            <w:pPr>
              <w:tabs>
                <w:tab w:val="clear" w:pos="7100"/>
              </w:tabs>
              <w:spacing w:line="240" w:lineRule="auto"/>
              <w:jc w:val="center"/>
              <w:rPr>
                <w:rFonts w:cs="Arial"/>
                <w:color w:val="000000"/>
                <w:szCs w:val="18"/>
                <w:lang w:val="it-IT" w:eastAsia="it-IT"/>
              </w:rPr>
            </w:pPr>
            <w:r>
              <w:rPr>
                <w:rFonts w:cs="Arial"/>
                <w:color w:val="000000"/>
                <w:szCs w:val="18"/>
                <w:lang w:val="it-IT" w:eastAsia="it-IT"/>
              </w:rPr>
              <w:t>E</w:t>
            </w:r>
          </w:p>
        </w:tc>
        <w:tc>
          <w:tcPr>
            <w:tcW w:w="1316" w:type="dxa"/>
            <w:tcBorders>
              <w:top w:val="single" w:sz="8" w:space="0" w:color="00B050"/>
              <w:left w:val="nil"/>
              <w:bottom w:val="single" w:sz="8" w:space="0" w:color="00B050"/>
              <w:right w:val="nil"/>
            </w:tcBorders>
            <w:shd w:val="clear" w:color="000000" w:fill="FFFFFF"/>
            <w:vAlign w:val="center"/>
          </w:tcPr>
          <w:p w14:paraId="3E7664B0" w14:textId="77777777" w:rsidR="00EE57CA" w:rsidRPr="004F6369" w:rsidRDefault="00EE57CA" w:rsidP="0055572A">
            <w:pPr>
              <w:tabs>
                <w:tab w:val="clear" w:pos="7100"/>
              </w:tabs>
              <w:spacing w:line="240" w:lineRule="auto"/>
              <w:jc w:val="center"/>
              <w:rPr>
                <w:rFonts w:cs="Arial"/>
                <w:color w:val="000000"/>
                <w:szCs w:val="18"/>
                <w:lang w:val="it-IT" w:eastAsia="it-IT"/>
              </w:rPr>
            </w:pPr>
            <w:r>
              <w:rPr>
                <w:rFonts w:cs="Arial"/>
                <w:color w:val="000000"/>
                <w:szCs w:val="18"/>
                <w:lang w:val="it-IT" w:eastAsia="it-IT"/>
              </w:rPr>
              <w:t>11.6</w:t>
            </w:r>
          </w:p>
        </w:tc>
        <w:tc>
          <w:tcPr>
            <w:tcW w:w="1192" w:type="dxa"/>
            <w:tcBorders>
              <w:top w:val="single" w:sz="8" w:space="0" w:color="00B050"/>
              <w:left w:val="nil"/>
              <w:bottom w:val="single" w:sz="8" w:space="0" w:color="00B050"/>
              <w:right w:val="nil"/>
            </w:tcBorders>
            <w:shd w:val="clear" w:color="000000" w:fill="FFFFFF"/>
            <w:vAlign w:val="center"/>
          </w:tcPr>
          <w:p w14:paraId="5F017726" w14:textId="77777777" w:rsidR="00EE57CA" w:rsidRPr="004F6369" w:rsidRDefault="00EE57CA" w:rsidP="0055572A">
            <w:pPr>
              <w:tabs>
                <w:tab w:val="clear" w:pos="7100"/>
              </w:tabs>
              <w:spacing w:line="240" w:lineRule="auto"/>
              <w:jc w:val="center"/>
              <w:rPr>
                <w:rFonts w:cs="Arial"/>
                <w:color w:val="000000"/>
                <w:szCs w:val="18"/>
                <w:lang w:val="it-IT" w:eastAsia="it-IT"/>
              </w:rPr>
            </w:pPr>
            <w:r>
              <w:rPr>
                <w:rFonts w:cs="Arial"/>
                <w:color w:val="000000"/>
                <w:szCs w:val="18"/>
                <w:lang w:val="it-IT" w:eastAsia="it-IT"/>
              </w:rPr>
              <w:t>13.7</w:t>
            </w:r>
          </w:p>
        </w:tc>
        <w:tc>
          <w:tcPr>
            <w:tcW w:w="1064" w:type="dxa"/>
            <w:tcBorders>
              <w:top w:val="single" w:sz="8" w:space="0" w:color="00B050"/>
              <w:left w:val="nil"/>
              <w:bottom w:val="single" w:sz="8" w:space="0" w:color="00B050"/>
              <w:right w:val="nil"/>
            </w:tcBorders>
            <w:shd w:val="clear" w:color="000000" w:fill="FFFFFF"/>
            <w:vAlign w:val="center"/>
          </w:tcPr>
          <w:p w14:paraId="5644C405" w14:textId="77777777" w:rsidR="00EE57CA" w:rsidRPr="004F6369" w:rsidRDefault="00EE57CA" w:rsidP="0055572A">
            <w:pPr>
              <w:tabs>
                <w:tab w:val="clear" w:pos="7100"/>
              </w:tabs>
              <w:spacing w:line="240" w:lineRule="auto"/>
              <w:jc w:val="center"/>
              <w:rPr>
                <w:rFonts w:cs="Arial"/>
                <w:color w:val="000000"/>
                <w:szCs w:val="18"/>
                <w:lang w:val="it-IT" w:eastAsia="it-IT"/>
              </w:rPr>
            </w:pPr>
            <w:r>
              <w:rPr>
                <w:rFonts w:cs="Arial"/>
                <w:color w:val="000000"/>
                <w:szCs w:val="18"/>
                <w:lang w:val="it-IT" w:eastAsia="it-IT"/>
              </w:rPr>
              <w:t>16</w:t>
            </w:r>
          </w:p>
        </w:tc>
        <w:tc>
          <w:tcPr>
            <w:tcW w:w="1786" w:type="dxa"/>
            <w:tcBorders>
              <w:top w:val="single" w:sz="8" w:space="0" w:color="00B050"/>
              <w:left w:val="nil"/>
              <w:bottom w:val="single" w:sz="8" w:space="0" w:color="00B050"/>
              <w:right w:val="nil"/>
            </w:tcBorders>
            <w:shd w:val="clear" w:color="000000" w:fill="FFFFFF"/>
          </w:tcPr>
          <w:p w14:paraId="2720DE24" w14:textId="77777777" w:rsidR="00EE57CA" w:rsidRDefault="00EE57CA" w:rsidP="0055572A">
            <w:pPr>
              <w:tabs>
                <w:tab w:val="clear" w:pos="7100"/>
              </w:tabs>
              <w:spacing w:line="240" w:lineRule="auto"/>
              <w:jc w:val="center"/>
              <w:rPr>
                <w:rFonts w:cs="Arial"/>
                <w:color w:val="000000"/>
                <w:szCs w:val="18"/>
                <w:lang w:val="it-IT" w:eastAsia="it-IT"/>
              </w:rPr>
            </w:pPr>
            <w:r>
              <w:rPr>
                <w:rFonts w:cs="Arial"/>
                <w:color w:val="000000"/>
                <w:szCs w:val="18"/>
                <w:lang w:val="it-IT" w:eastAsia="it-IT"/>
              </w:rPr>
              <w:t>13 vs 10</w:t>
            </w:r>
          </w:p>
        </w:tc>
        <w:tc>
          <w:tcPr>
            <w:tcW w:w="1999" w:type="dxa"/>
            <w:tcBorders>
              <w:top w:val="single" w:sz="8" w:space="0" w:color="00B050"/>
              <w:left w:val="nil"/>
              <w:bottom w:val="single" w:sz="8" w:space="0" w:color="00B050"/>
              <w:right w:val="nil"/>
            </w:tcBorders>
            <w:shd w:val="clear" w:color="000000" w:fill="FFFFFF"/>
          </w:tcPr>
          <w:p w14:paraId="32F6DB41" w14:textId="77777777" w:rsidR="00EE57CA" w:rsidRDefault="00EE57CA" w:rsidP="0055572A">
            <w:pPr>
              <w:tabs>
                <w:tab w:val="clear" w:pos="7100"/>
              </w:tabs>
              <w:spacing w:line="240" w:lineRule="auto"/>
              <w:jc w:val="center"/>
              <w:rPr>
                <w:rFonts w:cs="Arial"/>
                <w:color w:val="000000"/>
                <w:szCs w:val="18"/>
                <w:lang w:val="it-IT" w:eastAsia="it-IT"/>
              </w:rPr>
            </w:pPr>
            <w:r>
              <w:rPr>
                <w:rFonts w:cs="Arial"/>
                <w:color w:val="000000"/>
                <w:szCs w:val="18"/>
                <w:lang w:val="it-IT" w:eastAsia="it-IT"/>
              </w:rPr>
              <w:t>162 vs 120</w:t>
            </w:r>
          </w:p>
        </w:tc>
      </w:tr>
      <w:tr w:rsidR="00EE57CA" w:rsidRPr="004F6369" w14:paraId="16FB0FAB" w14:textId="77777777" w:rsidTr="00DB05B9">
        <w:trPr>
          <w:trHeight w:val="260"/>
          <w:jc w:val="center"/>
        </w:trPr>
        <w:tc>
          <w:tcPr>
            <w:tcW w:w="1064" w:type="dxa"/>
            <w:tcBorders>
              <w:top w:val="single" w:sz="8" w:space="0" w:color="00B050"/>
              <w:left w:val="nil"/>
              <w:bottom w:val="single" w:sz="12" w:space="0" w:color="008000"/>
              <w:right w:val="nil"/>
            </w:tcBorders>
            <w:shd w:val="clear" w:color="000000" w:fill="FFFFFF"/>
            <w:vAlign w:val="center"/>
            <w:hideMark/>
          </w:tcPr>
          <w:p w14:paraId="71896C7D" w14:textId="77777777" w:rsidR="00EE57CA" w:rsidRPr="004F6369" w:rsidRDefault="00EE57CA" w:rsidP="0055572A">
            <w:pPr>
              <w:tabs>
                <w:tab w:val="clear" w:pos="7100"/>
              </w:tabs>
              <w:spacing w:line="240" w:lineRule="auto"/>
              <w:jc w:val="center"/>
              <w:rPr>
                <w:rFonts w:cs="Arial"/>
                <w:color w:val="000000"/>
                <w:szCs w:val="18"/>
                <w:lang w:val="it-IT" w:eastAsia="it-IT"/>
              </w:rPr>
            </w:pPr>
            <w:r>
              <w:rPr>
                <w:rFonts w:cs="Arial"/>
                <w:color w:val="000000"/>
                <w:szCs w:val="18"/>
                <w:lang w:eastAsia="it-IT"/>
              </w:rPr>
              <w:t>F</w:t>
            </w:r>
          </w:p>
        </w:tc>
        <w:tc>
          <w:tcPr>
            <w:tcW w:w="1316" w:type="dxa"/>
            <w:tcBorders>
              <w:top w:val="single" w:sz="8" w:space="0" w:color="00B050"/>
              <w:left w:val="nil"/>
              <w:bottom w:val="single" w:sz="12" w:space="0" w:color="008000"/>
              <w:right w:val="nil"/>
            </w:tcBorders>
            <w:shd w:val="clear" w:color="000000" w:fill="FFFFFF"/>
            <w:vAlign w:val="center"/>
          </w:tcPr>
          <w:p w14:paraId="4013E209" w14:textId="77777777" w:rsidR="00EE57CA" w:rsidRPr="004F6369" w:rsidRDefault="00EE57CA" w:rsidP="0055572A">
            <w:pPr>
              <w:tabs>
                <w:tab w:val="clear" w:pos="7100"/>
              </w:tabs>
              <w:spacing w:line="240" w:lineRule="auto"/>
              <w:jc w:val="center"/>
              <w:rPr>
                <w:rFonts w:cs="Arial"/>
                <w:color w:val="000000"/>
                <w:szCs w:val="18"/>
                <w:lang w:val="it-IT" w:eastAsia="it-IT"/>
              </w:rPr>
            </w:pPr>
            <w:r>
              <w:rPr>
                <w:rFonts w:cs="Arial"/>
                <w:color w:val="000000"/>
                <w:szCs w:val="18"/>
                <w:lang w:val="it-IT" w:eastAsia="it-IT"/>
              </w:rPr>
              <w:t>23.2</w:t>
            </w:r>
          </w:p>
        </w:tc>
        <w:tc>
          <w:tcPr>
            <w:tcW w:w="1192" w:type="dxa"/>
            <w:tcBorders>
              <w:top w:val="single" w:sz="8" w:space="0" w:color="00B050"/>
              <w:left w:val="nil"/>
              <w:bottom w:val="single" w:sz="12" w:space="0" w:color="008000"/>
              <w:right w:val="nil"/>
            </w:tcBorders>
            <w:shd w:val="clear" w:color="000000" w:fill="FFFFFF"/>
            <w:vAlign w:val="center"/>
          </w:tcPr>
          <w:p w14:paraId="55D33907" w14:textId="77777777" w:rsidR="00EE57CA" w:rsidRPr="004F6369" w:rsidRDefault="00EE57CA" w:rsidP="0055572A">
            <w:pPr>
              <w:tabs>
                <w:tab w:val="clear" w:pos="7100"/>
              </w:tabs>
              <w:spacing w:line="240" w:lineRule="auto"/>
              <w:jc w:val="center"/>
              <w:rPr>
                <w:rFonts w:cs="Arial"/>
                <w:color w:val="000000"/>
                <w:szCs w:val="18"/>
                <w:lang w:val="it-IT" w:eastAsia="it-IT"/>
              </w:rPr>
            </w:pPr>
            <w:r>
              <w:rPr>
                <w:rFonts w:cs="Arial"/>
                <w:color w:val="000000"/>
                <w:szCs w:val="18"/>
                <w:lang w:val="it-IT" w:eastAsia="it-IT"/>
              </w:rPr>
              <w:t>27.4</w:t>
            </w:r>
          </w:p>
        </w:tc>
        <w:tc>
          <w:tcPr>
            <w:tcW w:w="1064" w:type="dxa"/>
            <w:tcBorders>
              <w:top w:val="single" w:sz="8" w:space="0" w:color="00B050"/>
              <w:left w:val="nil"/>
              <w:bottom w:val="single" w:sz="12" w:space="0" w:color="008000"/>
              <w:right w:val="nil"/>
            </w:tcBorders>
            <w:shd w:val="clear" w:color="000000" w:fill="FFFFFF"/>
            <w:vAlign w:val="center"/>
          </w:tcPr>
          <w:p w14:paraId="233F9F81" w14:textId="77777777" w:rsidR="00EE57CA" w:rsidRPr="004F6369" w:rsidRDefault="00EE57CA" w:rsidP="0055572A">
            <w:pPr>
              <w:tabs>
                <w:tab w:val="clear" w:pos="7100"/>
              </w:tabs>
              <w:spacing w:line="240" w:lineRule="auto"/>
              <w:jc w:val="center"/>
              <w:rPr>
                <w:rFonts w:cs="Arial"/>
                <w:color w:val="000000"/>
                <w:szCs w:val="18"/>
                <w:lang w:val="it-IT" w:eastAsia="it-IT"/>
              </w:rPr>
            </w:pPr>
            <w:r>
              <w:rPr>
                <w:rFonts w:cs="Arial"/>
                <w:color w:val="000000"/>
                <w:szCs w:val="18"/>
                <w:lang w:val="it-IT" w:eastAsia="it-IT"/>
              </w:rPr>
              <w:t>33</w:t>
            </w:r>
          </w:p>
        </w:tc>
        <w:tc>
          <w:tcPr>
            <w:tcW w:w="1786" w:type="dxa"/>
            <w:tcBorders>
              <w:top w:val="single" w:sz="8" w:space="0" w:color="00B050"/>
              <w:left w:val="nil"/>
              <w:bottom w:val="single" w:sz="12" w:space="0" w:color="008000"/>
              <w:right w:val="nil"/>
            </w:tcBorders>
            <w:shd w:val="clear" w:color="000000" w:fill="FFFFFF"/>
          </w:tcPr>
          <w:p w14:paraId="5AD6E929" w14:textId="77777777" w:rsidR="00EE57CA" w:rsidRDefault="00EE57CA" w:rsidP="0055572A">
            <w:pPr>
              <w:tabs>
                <w:tab w:val="clear" w:pos="7100"/>
              </w:tabs>
              <w:spacing w:line="240" w:lineRule="auto"/>
              <w:jc w:val="center"/>
              <w:rPr>
                <w:rFonts w:cs="Arial"/>
                <w:color w:val="000000"/>
                <w:szCs w:val="18"/>
                <w:lang w:val="it-IT" w:eastAsia="it-IT"/>
              </w:rPr>
            </w:pPr>
            <w:r>
              <w:rPr>
                <w:rFonts w:cs="Arial"/>
                <w:color w:val="000000"/>
                <w:szCs w:val="18"/>
                <w:lang w:val="it-IT" w:eastAsia="it-IT"/>
              </w:rPr>
              <w:t>12 vs 9</w:t>
            </w:r>
          </w:p>
        </w:tc>
        <w:tc>
          <w:tcPr>
            <w:tcW w:w="1999" w:type="dxa"/>
            <w:tcBorders>
              <w:top w:val="single" w:sz="8" w:space="0" w:color="00B050"/>
              <w:left w:val="nil"/>
              <w:bottom w:val="single" w:sz="12" w:space="0" w:color="008000"/>
              <w:right w:val="nil"/>
            </w:tcBorders>
            <w:shd w:val="clear" w:color="000000" w:fill="FFFFFF"/>
          </w:tcPr>
          <w:p w14:paraId="01BBA6CF" w14:textId="77777777" w:rsidR="00EE57CA" w:rsidRDefault="00EE57CA" w:rsidP="0055572A">
            <w:pPr>
              <w:tabs>
                <w:tab w:val="clear" w:pos="7100"/>
              </w:tabs>
              <w:spacing w:line="240" w:lineRule="auto"/>
              <w:jc w:val="center"/>
              <w:rPr>
                <w:rFonts w:cs="Arial"/>
                <w:color w:val="000000"/>
                <w:szCs w:val="18"/>
                <w:lang w:val="it-IT" w:eastAsia="it-IT"/>
              </w:rPr>
            </w:pPr>
            <w:r>
              <w:rPr>
                <w:rFonts w:cs="Arial"/>
                <w:color w:val="000000"/>
                <w:szCs w:val="18"/>
                <w:lang w:val="it-IT" w:eastAsia="it-IT"/>
              </w:rPr>
              <w:t>170 vs 145</w:t>
            </w:r>
          </w:p>
        </w:tc>
      </w:tr>
    </w:tbl>
    <w:p w14:paraId="578741E2" w14:textId="08D80573" w:rsidR="00186164" w:rsidRDefault="00311D32" w:rsidP="0055572A">
      <w:pPr>
        <w:pStyle w:val="CETBodytext"/>
        <w:rPr>
          <w:lang w:val="en-GB"/>
        </w:rPr>
      </w:pPr>
      <w:r w:rsidRPr="00311D32">
        <w:rPr>
          <w:lang w:val="en-GB"/>
        </w:rPr>
        <w:lastRenderedPageBreak/>
        <w:t xml:space="preserve">The progressive reduction in the difference between pre- and post-inhibition current generation with increasing D is consistent with the hydraulic </w:t>
      </w:r>
      <w:proofErr w:type="spellStart"/>
      <w:r w:rsidRPr="00311D32">
        <w:rPr>
          <w:lang w:val="en-GB"/>
        </w:rPr>
        <w:t>behavior</w:t>
      </w:r>
      <w:proofErr w:type="spellEnd"/>
      <w:r w:rsidRPr="00311D32">
        <w:rPr>
          <w:lang w:val="en-GB"/>
        </w:rPr>
        <w:t xml:space="preserve"> previously observed for this MEC. As reported by Marchetti et al. (2026), at low dilution rates, substrate transport towards the biofilm can represent a limiting factor, whereas increasing the flow rate enhances convective transport and progressively reduces mass-transfer limitations. At higher </w:t>
      </w:r>
      <w:proofErr w:type="spellStart"/>
      <w:r w:rsidR="00EE57CA">
        <w:rPr>
          <w:lang w:val="en-GB"/>
        </w:rPr>
        <w:t>D</w:t>
      </w:r>
      <w:r w:rsidR="00EE57CA" w:rsidRPr="00EE57CA">
        <w:rPr>
          <w:vertAlign w:val="subscript"/>
          <w:lang w:val="en-GB"/>
        </w:rPr>
        <w:t>rate</w:t>
      </w:r>
      <w:proofErr w:type="spellEnd"/>
      <w:r w:rsidRPr="00311D32">
        <w:rPr>
          <w:lang w:val="en-GB"/>
        </w:rPr>
        <w:t xml:space="preserve">, the system approaches a regime in which further increases in substrate transport provide progressively smaller improvements in current generation, suggesting a greater contribution of the intrinsic biological and electrochemical characteristics of the bioanode. The closer agreement between the 2025 and 2026 current values at the highest </w:t>
      </w:r>
      <w:r w:rsidR="00147997">
        <w:rPr>
          <w:lang w:val="en-GB"/>
        </w:rPr>
        <w:t>dilution</w:t>
      </w:r>
      <w:r w:rsidRPr="00311D32">
        <w:rPr>
          <w:lang w:val="en-GB"/>
        </w:rPr>
        <w:t xml:space="preserve"> rates therefore indicates that, despite the severe inhibitory event, the recovered bioanode retained a substantially similar electrochemical response under conditions where hydraulic limitations were reduced. The </w:t>
      </w:r>
      <w:proofErr w:type="spellStart"/>
      <w:r w:rsidR="00EE57CA">
        <w:rPr>
          <w:rFonts w:ascii="Aptos Narrow" w:hAnsi="Aptos Narrow"/>
          <w:lang w:val="en-GB"/>
        </w:rPr>
        <w:t>η</w:t>
      </w:r>
      <w:r w:rsidRPr="00311D32">
        <w:rPr>
          <w:lang w:val="en-GB"/>
        </w:rPr>
        <w:t>COD</w:t>
      </w:r>
      <w:proofErr w:type="spellEnd"/>
      <w:r w:rsidRPr="00311D32">
        <w:rPr>
          <w:lang w:val="en-GB"/>
        </w:rPr>
        <w:t xml:space="preserve"> followed the expected decrease with increasing </w:t>
      </w:r>
      <w:proofErr w:type="spellStart"/>
      <w:r w:rsidR="00EE57CA">
        <w:rPr>
          <w:lang w:val="en-GB"/>
        </w:rPr>
        <w:t>D</w:t>
      </w:r>
      <w:r w:rsidRPr="00EE57CA">
        <w:rPr>
          <w:vertAlign w:val="subscript"/>
          <w:lang w:val="en-GB"/>
        </w:rPr>
        <w:t>rate</w:t>
      </w:r>
      <w:proofErr w:type="spellEnd"/>
      <w:r w:rsidRPr="00311D32">
        <w:rPr>
          <w:lang w:val="en-GB"/>
        </w:rPr>
        <w:t xml:space="preserve">, reflecting the shorter substrate–biofilm contact time at higher flow rates, while the non-monotonic difference between the two campaigns suggests that COD conversion </w:t>
      </w:r>
      <w:r w:rsidR="00EE57CA" w:rsidRPr="00EE57CA">
        <w:rPr>
          <w:lang w:val="en-GB"/>
        </w:rPr>
        <w:t>was</w:t>
      </w:r>
      <w:r w:rsidR="00EE57CA">
        <w:rPr>
          <w:lang w:val="en-GB"/>
        </w:rPr>
        <w:t xml:space="preserve"> probably</w:t>
      </w:r>
      <w:r w:rsidR="00EE57CA" w:rsidRPr="00EE57CA">
        <w:rPr>
          <w:lang w:val="en-GB"/>
        </w:rPr>
        <w:t xml:space="preserve"> affected differently from current generation during bioanode recovery.</w:t>
      </w:r>
      <w:r w:rsidR="00EE57CA">
        <w:rPr>
          <w:lang w:val="en-GB"/>
        </w:rPr>
        <w:t xml:space="preserve"> </w:t>
      </w:r>
      <w:r w:rsidRPr="00311D32">
        <w:rPr>
          <w:lang w:val="en-GB"/>
        </w:rPr>
        <w:t xml:space="preserve">Overall, the comparison demonstrates that the bioanode was able to regain a considerable level of its previous activity after the inhibitory event, without replacement or reinoculation. The progressive convergence of current generation between the two campaigns, particularly at high dilution rates, provides evidence of the resilience of the established </w:t>
      </w:r>
      <w:proofErr w:type="spellStart"/>
      <w:r w:rsidRPr="00311D32">
        <w:rPr>
          <w:lang w:val="en-GB"/>
        </w:rPr>
        <w:t>bioelectroactive</w:t>
      </w:r>
      <w:proofErr w:type="spellEnd"/>
      <w:r w:rsidRPr="00311D32">
        <w:rPr>
          <w:lang w:val="en-GB"/>
        </w:rPr>
        <w:t xml:space="preserve"> community and supports its capacity to recover following a severe operational perturbation.</w:t>
      </w:r>
    </w:p>
    <w:p w14:paraId="545C0740" w14:textId="77777777" w:rsidR="00EE57CA" w:rsidRDefault="00EE57CA" w:rsidP="0055572A">
      <w:pPr>
        <w:pStyle w:val="CETBodytext"/>
        <w:rPr>
          <w:lang w:val="en-GB"/>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4"/>
        <w:gridCol w:w="4393"/>
      </w:tblGrid>
      <w:tr w:rsidR="00186164" w14:paraId="4857B623" w14:textId="77777777" w:rsidTr="00415751">
        <w:tc>
          <w:tcPr>
            <w:tcW w:w="4814" w:type="dxa"/>
          </w:tcPr>
          <w:p w14:paraId="328EB569" w14:textId="7AB0D330" w:rsidR="00186164" w:rsidRDefault="002D6B30" w:rsidP="0055572A">
            <w:pPr>
              <w:pStyle w:val="CETBodytext"/>
              <w:jc w:val="center"/>
              <w:rPr>
                <w:lang w:val="en-GB"/>
              </w:rPr>
            </w:pPr>
            <w:r w:rsidRPr="002D6B30">
              <w:rPr>
                <w:noProof/>
                <w:lang w:val="en-GB"/>
              </w:rPr>
              <w:drawing>
                <wp:inline distT="0" distB="0" distL="0" distR="0" wp14:anchorId="04328454" wp14:editId="0925FCE1">
                  <wp:extent cx="2587383" cy="1656000"/>
                  <wp:effectExtent l="19050" t="19050" r="22860" b="20955"/>
                  <wp:docPr id="1875112947"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87383" cy="1656000"/>
                          </a:xfrm>
                          <a:prstGeom prst="rect">
                            <a:avLst/>
                          </a:prstGeom>
                          <a:noFill/>
                          <a:ln>
                            <a:solidFill>
                              <a:schemeClr val="tx1"/>
                            </a:solidFill>
                          </a:ln>
                        </pic:spPr>
                      </pic:pic>
                    </a:graphicData>
                  </a:graphic>
                </wp:inline>
              </w:drawing>
            </w:r>
          </w:p>
        </w:tc>
        <w:tc>
          <w:tcPr>
            <w:tcW w:w="4814" w:type="dxa"/>
          </w:tcPr>
          <w:p w14:paraId="27D242C1" w14:textId="5001C102" w:rsidR="00186164" w:rsidRDefault="008E744A" w:rsidP="0055572A">
            <w:pPr>
              <w:pStyle w:val="CETBodytext"/>
              <w:jc w:val="center"/>
              <w:rPr>
                <w:lang w:val="en-GB"/>
              </w:rPr>
            </w:pPr>
            <w:r w:rsidRPr="008E744A">
              <w:rPr>
                <w:noProof/>
                <w:lang w:val="en-GB"/>
              </w:rPr>
              <w:drawing>
                <wp:inline distT="0" distB="0" distL="0" distR="0" wp14:anchorId="518D87E6" wp14:editId="1CFCCD98">
                  <wp:extent cx="2587920" cy="1656000"/>
                  <wp:effectExtent l="19050" t="19050" r="22225" b="20955"/>
                  <wp:docPr id="1948228541"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87920" cy="1656000"/>
                          </a:xfrm>
                          <a:prstGeom prst="rect">
                            <a:avLst/>
                          </a:prstGeom>
                          <a:noFill/>
                          <a:ln>
                            <a:solidFill>
                              <a:schemeClr val="tx1"/>
                            </a:solidFill>
                          </a:ln>
                        </pic:spPr>
                      </pic:pic>
                    </a:graphicData>
                  </a:graphic>
                </wp:inline>
              </w:drawing>
            </w:r>
          </w:p>
        </w:tc>
      </w:tr>
    </w:tbl>
    <w:p w14:paraId="497B4257" w14:textId="2A666476" w:rsidR="00B10723" w:rsidRPr="00616730" w:rsidRDefault="00186164" w:rsidP="00820F22">
      <w:pPr>
        <w:pStyle w:val="CETBodytext"/>
        <w:rPr>
          <w:rFonts w:cs="Arial"/>
          <w:i/>
          <w:iCs/>
          <w:highlight w:val="yellow"/>
          <w:lang w:val="en-GB"/>
        </w:rPr>
      </w:pPr>
      <w:r w:rsidRPr="00616730">
        <w:rPr>
          <w:rStyle w:val="CETCaptionCarattere"/>
          <w:rFonts w:cs="Arial"/>
        </w:rPr>
        <w:t xml:space="preserve">Figure 1: </w:t>
      </w:r>
      <w:r w:rsidR="008E744A" w:rsidRPr="00616730">
        <w:rPr>
          <w:rFonts w:cs="Arial"/>
          <w:i/>
          <w:iCs/>
        </w:rPr>
        <w:t xml:space="preserve">Trends of the </w:t>
      </w:r>
      <w:proofErr w:type="spellStart"/>
      <w:r w:rsidR="008E744A" w:rsidRPr="00616730">
        <w:rPr>
          <w:rFonts w:cs="Arial"/>
          <w:i/>
          <w:iCs/>
        </w:rPr>
        <w:t>ηCOD</w:t>
      </w:r>
      <w:proofErr w:type="spellEnd"/>
      <w:r w:rsidR="008E744A" w:rsidRPr="00616730">
        <w:rPr>
          <w:rFonts w:cs="Arial"/>
          <w:i/>
          <w:iCs/>
        </w:rPr>
        <w:t xml:space="preserve"> (A) and of produced current (B) obtained in MEC reactor as a function of </w:t>
      </w:r>
      <w:proofErr w:type="spellStart"/>
      <w:r w:rsidR="008E744A" w:rsidRPr="00616730">
        <w:rPr>
          <w:rFonts w:cs="Arial"/>
          <w:i/>
          <w:iCs/>
        </w:rPr>
        <w:t>D</w:t>
      </w:r>
      <w:r w:rsidR="008E744A" w:rsidRPr="00147997">
        <w:rPr>
          <w:rFonts w:cs="Arial"/>
          <w:i/>
          <w:iCs/>
          <w:vertAlign w:val="subscript"/>
        </w:rPr>
        <w:t>rate</w:t>
      </w:r>
      <w:proofErr w:type="spellEnd"/>
      <w:r w:rsidR="008E744A" w:rsidRPr="00616730">
        <w:rPr>
          <w:rFonts w:cs="Arial"/>
          <w:i/>
          <w:iCs/>
        </w:rPr>
        <w:t xml:space="preserve"> for all operating conditions before (2025) and after (2026) bioanode inhibition.</w:t>
      </w:r>
      <w:r w:rsidR="00DB05B9" w:rsidRPr="00616730">
        <w:rPr>
          <w:rFonts w:cs="Arial"/>
          <w:i/>
          <w:iCs/>
        </w:rPr>
        <w:t xml:space="preserve"> </w:t>
      </w:r>
      <w:r w:rsidR="00B10723" w:rsidRPr="00616730">
        <w:rPr>
          <w:rFonts w:cs="Arial"/>
          <w:i/>
          <w:iCs/>
          <w:lang w:val="en-GB"/>
        </w:rPr>
        <w:t>2025</w:t>
      </w:r>
      <w:r w:rsidR="00643CBB" w:rsidRPr="00616730">
        <w:rPr>
          <w:rFonts w:cs="Arial"/>
          <w:i/>
          <w:iCs/>
          <w:lang w:val="en-GB"/>
        </w:rPr>
        <w:t xml:space="preserve"> data are reproduced from</w:t>
      </w:r>
      <w:r w:rsidR="00B10723" w:rsidRPr="00616730">
        <w:rPr>
          <w:rFonts w:cs="Arial"/>
          <w:i/>
          <w:iCs/>
          <w:lang w:val="en-GB"/>
        </w:rPr>
        <w:t xml:space="preserve"> </w:t>
      </w:r>
      <w:sdt>
        <w:sdtPr>
          <w:rPr>
            <w:rFonts w:cs="Arial"/>
            <w:i/>
            <w:iCs/>
            <w:color w:val="000000"/>
            <w:lang w:val="it-IT"/>
          </w:rPr>
          <w:tag w:val="MENDELEY_CITATION_v3_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"/>
          <w:id w:val="-1954850310"/>
          <w:placeholder>
            <w:docPart w:val="DefaultPlaceholder_-1854013440"/>
          </w:placeholder>
        </w:sdtPr>
        <w:sdtContent>
          <w:r w:rsidR="00C2411E" w:rsidRPr="00C2411E">
            <w:rPr>
              <w:rFonts w:cs="Arial"/>
              <w:i/>
              <w:iCs/>
              <w:color w:val="000000"/>
              <w:lang w:val="en-GB"/>
            </w:rPr>
            <w:t>(Marchetti, Valentino, et al., 2026)</w:t>
          </w:r>
        </w:sdtContent>
      </w:sdt>
      <w:r w:rsidR="009558C9" w:rsidRPr="00616730">
        <w:rPr>
          <w:rFonts w:cs="Arial"/>
          <w:i/>
          <w:iCs/>
          <w:color w:val="000000"/>
          <w:lang w:val="en-GB"/>
        </w:rPr>
        <w:t>.</w:t>
      </w:r>
    </w:p>
    <w:p w14:paraId="0BA1239B" w14:textId="77777777" w:rsidR="00EE57CA" w:rsidRPr="00616730" w:rsidRDefault="00EE57CA" w:rsidP="0055572A">
      <w:pPr>
        <w:pStyle w:val="CETBodytext"/>
        <w:rPr>
          <w:i/>
          <w:iCs/>
          <w:sz w:val="20"/>
          <w:szCs w:val="22"/>
        </w:rPr>
      </w:pPr>
    </w:p>
    <w:p w14:paraId="6D7095E7" w14:textId="0BE3067F" w:rsidR="000014EE" w:rsidRDefault="00891080" w:rsidP="0055572A">
      <w:pPr>
        <w:pStyle w:val="CETheadingx"/>
      </w:pPr>
      <w:r>
        <w:t>Steady</w:t>
      </w:r>
      <w:r w:rsidR="00B10723">
        <w:t>-</w:t>
      </w:r>
      <w:r>
        <w:t>state performance evaluation</w:t>
      </w:r>
      <w:r w:rsidR="000014EE">
        <w:t xml:space="preserve"> </w:t>
      </w:r>
    </w:p>
    <w:p w14:paraId="2C2ED80B" w14:textId="5958A021" w:rsidR="006F0F91" w:rsidRPr="006F0F91" w:rsidRDefault="006F0F91" w:rsidP="0055572A">
      <w:pPr>
        <w:pStyle w:val="CETBodytext"/>
        <w:rPr>
          <w:iCs/>
          <w:lang w:val="en-GB"/>
        </w:rPr>
      </w:pPr>
      <w:r w:rsidRPr="006F0F91">
        <w:rPr>
          <w:iCs/>
          <w:lang w:val="en-GB"/>
        </w:rPr>
        <w:t xml:space="preserve">Following the recovery phase, the MEC was operated under steady-state conditions to assess whether the restored bioanode activity could be maintained over time. As shown in </w:t>
      </w:r>
      <w:r w:rsidRPr="00820F22">
        <w:rPr>
          <w:b/>
          <w:bCs/>
          <w:iCs/>
          <w:lang w:val="en-GB"/>
        </w:rPr>
        <w:t>Figure 2.A,</w:t>
      </w:r>
      <w:r w:rsidRPr="006F0F91">
        <w:rPr>
          <w:iCs/>
          <w:lang w:val="en-GB"/>
        </w:rPr>
        <w:t xml:space="preserve"> the current remained relatively stable throughout the investigated period, fluctuating between approximately 35 and 50 mA, with no progressive decrease in performance. Hydrogen production also remained sustained, ranging from approximately </w:t>
      </w:r>
      <w:r>
        <w:rPr>
          <w:iCs/>
          <w:lang w:val="en-GB"/>
        </w:rPr>
        <w:t>10</w:t>
      </w:r>
      <w:r w:rsidRPr="006F0F91">
        <w:rPr>
          <w:iCs/>
          <w:lang w:val="en-GB"/>
        </w:rPr>
        <w:t xml:space="preserve"> to 2</w:t>
      </w:r>
      <w:r>
        <w:rPr>
          <w:iCs/>
          <w:lang w:val="en-GB"/>
        </w:rPr>
        <w:t>1</w:t>
      </w:r>
      <w:r w:rsidRPr="006F0F91">
        <w:rPr>
          <w:iCs/>
          <w:lang w:val="en-GB"/>
        </w:rPr>
        <w:t xml:space="preserve"> mmol/d,</w:t>
      </w:r>
      <w:r>
        <w:rPr>
          <w:iCs/>
          <w:lang w:val="en-GB"/>
        </w:rPr>
        <w:t xml:space="preserve"> </w:t>
      </w:r>
      <w:r w:rsidRPr="006F0F91">
        <w:rPr>
          <w:iCs/>
          <w:lang w:val="en-GB"/>
        </w:rPr>
        <w:t>although some fluctuations were observed between individual measurements</w:t>
      </w:r>
      <w:r>
        <w:rPr>
          <w:iCs/>
          <w:lang w:val="en-GB"/>
        </w:rPr>
        <w:t>, with a maximum of 27 mmol/d</w:t>
      </w:r>
      <w:r w:rsidRPr="006F0F91">
        <w:rPr>
          <w:iCs/>
          <w:lang w:val="en-GB"/>
        </w:rPr>
        <w:t xml:space="preserve">. The simultaneous maintenance of current generation and hydrogen production indicates that the recovered bioanode was able to sustain stable electron transfer to the cathode and support continuous biohydrogen production under steady-state </w:t>
      </w:r>
      <w:proofErr w:type="spellStart"/>
      <w:proofErr w:type="gramStart"/>
      <w:r w:rsidRPr="006F0F91">
        <w:rPr>
          <w:iCs/>
          <w:lang w:val="en-GB"/>
        </w:rPr>
        <w:t>operation.The</w:t>
      </w:r>
      <w:proofErr w:type="spellEnd"/>
      <w:proofErr w:type="gramEnd"/>
      <w:r w:rsidRPr="006F0F91">
        <w:rPr>
          <w:iCs/>
          <w:lang w:val="en-GB"/>
        </w:rPr>
        <w:t xml:space="preserve"> main performance parameters calculated over the steady-state period are summarized in </w:t>
      </w:r>
      <w:r w:rsidRPr="00820F22">
        <w:rPr>
          <w:b/>
          <w:bCs/>
          <w:iCs/>
          <w:lang w:val="en-GB"/>
        </w:rPr>
        <w:t>Figure 2.B</w:t>
      </w:r>
      <w:r w:rsidRPr="006F0F91">
        <w:rPr>
          <w:iCs/>
          <w:lang w:val="en-GB"/>
        </w:rPr>
        <w:t xml:space="preserve">. The MEC achieved an average CE of 83.9 ± 2.5%, while the CCE reached 84.2 ± 3.7%. The </w:t>
      </w:r>
      <w:r w:rsidRPr="00C2411E">
        <w:rPr>
          <w:iCs/>
          <w:lang w:val="en-GB"/>
        </w:rPr>
        <w:t xml:space="preserve">average </w:t>
      </w:r>
      <w:proofErr w:type="spellStart"/>
      <w:r w:rsidRPr="00C2411E">
        <w:rPr>
          <w:rFonts w:ascii="Aptos Narrow" w:hAnsi="Aptos Narrow"/>
          <w:iCs/>
          <w:lang w:val="en-GB"/>
        </w:rPr>
        <w:t>η</w:t>
      </w:r>
      <w:r w:rsidR="00710D44" w:rsidRPr="00C2411E">
        <w:rPr>
          <w:iCs/>
          <w:lang w:val="en-GB"/>
        </w:rPr>
        <w:t>E</w:t>
      </w:r>
      <w:proofErr w:type="spellEnd"/>
      <w:r w:rsidR="00824329" w:rsidRPr="00C2411E">
        <w:rPr>
          <w:iCs/>
          <w:lang w:val="en-GB"/>
        </w:rPr>
        <w:t xml:space="preserve"> </w:t>
      </w:r>
      <w:r w:rsidR="00824329" w:rsidRPr="00824329">
        <w:rPr>
          <w:iCs/>
          <w:lang w:val="en-GB"/>
        </w:rPr>
        <w:t xml:space="preserve">of 103.2 ± 5.4% was obtained, reflecting the contribution of the chemical energy contained in the organic substrate to hydrogen production. The high </w:t>
      </w:r>
      <w:proofErr w:type="spellStart"/>
      <w:r w:rsidR="00824329" w:rsidRPr="00824329">
        <w:rPr>
          <w:iCs/>
          <w:lang w:val="en-GB"/>
        </w:rPr>
        <w:t>ηE</w:t>
      </w:r>
      <w:proofErr w:type="spellEnd"/>
      <w:r w:rsidR="00824329" w:rsidRPr="00824329">
        <w:rPr>
          <w:iCs/>
          <w:lang w:val="en-GB"/>
        </w:rPr>
        <w:t xml:space="preserve"> was also favoured by the good conductivity of the synthetic feed, which resulted in a relatively low average potential difference between the anodic and cathodic compartments (ΔV = −1.22 ± 0.10 V), thereby limiting ohmic losses. In addition, an effective conversion of the electrons generated through substrate oxidation at the bioanode into hydrogen at the cathode</w:t>
      </w:r>
      <w:r w:rsidR="00645078">
        <w:rPr>
          <w:iCs/>
          <w:lang w:val="en-GB"/>
        </w:rPr>
        <w:t xml:space="preserve"> occurred</w:t>
      </w:r>
      <w:r w:rsidR="00824329" w:rsidRPr="00824329">
        <w:rPr>
          <w:iCs/>
          <w:lang w:val="en-GB"/>
        </w:rPr>
        <w:t>.</w:t>
      </w:r>
      <w:r w:rsidR="00645078">
        <w:rPr>
          <w:iCs/>
          <w:lang w:val="en-GB"/>
        </w:rPr>
        <w:t xml:space="preserve"> </w:t>
      </w:r>
      <w:r w:rsidR="00645078" w:rsidRPr="00C2411E">
        <w:rPr>
          <w:iCs/>
          <w:lang w:val="en-GB"/>
        </w:rPr>
        <w:t>However, the value slightly exceeding 100% should be interpreted considering the experimental variability associated with the analytical and operational parameters used in the calculation.</w:t>
      </w:r>
      <w:r w:rsidR="00824329" w:rsidRPr="00C2411E">
        <w:rPr>
          <w:iCs/>
          <w:lang w:val="en-GB"/>
        </w:rPr>
        <w:t xml:space="preserve"> </w:t>
      </w:r>
      <w:r w:rsidRPr="006F0F91">
        <w:rPr>
          <w:iCs/>
          <w:lang w:val="en-GB"/>
        </w:rPr>
        <w:t xml:space="preserve">Overall, the stable current generation, sustained hydrogen production and relatively low variability of the calculated performance parameters confirm the establishment of stable operating conditions after the inhibitory event, indicating that the recovered bioanode </w:t>
      </w:r>
      <w:r w:rsidR="00824329" w:rsidRPr="006F0F91">
        <w:rPr>
          <w:iCs/>
          <w:lang w:val="en-GB"/>
        </w:rPr>
        <w:t>could maintain</w:t>
      </w:r>
      <w:r w:rsidRPr="006F0F91">
        <w:rPr>
          <w:iCs/>
          <w:lang w:val="en-GB"/>
        </w:rPr>
        <w:t xml:space="preserve"> its electrochemical activity under steady-state operation.</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394"/>
      </w:tblGrid>
      <w:tr w:rsidR="008268DD" w14:paraId="042FAA8C" w14:textId="77777777" w:rsidTr="00645078">
        <w:tc>
          <w:tcPr>
            <w:tcW w:w="4393" w:type="dxa"/>
          </w:tcPr>
          <w:p w14:paraId="068068A5" w14:textId="227A11DC" w:rsidR="008268DD" w:rsidRDefault="008F07A5" w:rsidP="0055572A">
            <w:pPr>
              <w:pStyle w:val="CETCaption"/>
              <w:spacing w:before="0" w:after="0"/>
              <w:jc w:val="center"/>
              <w:rPr>
                <w:rStyle w:val="CETCaptionCarattere"/>
                <w:i/>
                <w:iCs/>
              </w:rPr>
            </w:pPr>
            <w:r w:rsidRPr="008F07A5">
              <w:rPr>
                <w:rStyle w:val="CETCaptionCarattere"/>
                <w:i/>
                <w:iCs/>
                <w:noProof/>
              </w:rPr>
              <w:lastRenderedPageBreak/>
              <w:drawing>
                <wp:inline distT="0" distB="0" distL="0" distR="0" wp14:anchorId="7A2933A7" wp14:editId="2F419FA3">
                  <wp:extent cx="2585715" cy="1656000"/>
                  <wp:effectExtent l="19050" t="19050" r="24765" b="20955"/>
                  <wp:docPr id="40776849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85715" cy="1656000"/>
                          </a:xfrm>
                          <a:prstGeom prst="rect">
                            <a:avLst/>
                          </a:prstGeom>
                          <a:noFill/>
                          <a:ln>
                            <a:solidFill>
                              <a:schemeClr val="tx1"/>
                            </a:solidFill>
                          </a:ln>
                        </pic:spPr>
                      </pic:pic>
                    </a:graphicData>
                  </a:graphic>
                </wp:inline>
              </w:drawing>
            </w:r>
          </w:p>
        </w:tc>
        <w:tc>
          <w:tcPr>
            <w:tcW w:w="4394" w:type="dxa"/>
          </w:tcPr>
          <w:p w14:paraId="073B2CBB" w14:textId="6E5ECD2A" w:rsidR="008268DD" w:rsidRDefault="006F0F91" w:rsidP="0055572A">
            <w:pPr>
              <w:pStyle w:val="CETCaption"/>
              <w:spacing w:before="0" w:after="0"/>
              <w:jc w:val="center"/>
              <w:rPr>
                <w:rStyle w:val="CETCaptionCarattere"/>
                <w:i/>
                <w:iCs/>
              </w:rPr>
            </w:pPr>
            <w:r w:rsidRPr="006F0F91">
              <w:rPr>
                <w:rStyle w:val="CETCaptionCarattere"/>
                <w:i/>
                <w:iCs/>
                <w:noProof/>
              </w:rPr>
              <w:drawing>
                <wp:inline distT="0" distB="0" distL="0" distR="0" wp14:anchorId="3B45E5E2" wp14:editId="55561779">
                  <wp:extent cx="2587098" cy="1656000"/>
                  <wp:effectExtent l="19050" t="19050" r="22860" b="20955"/>
                  <wp:docPr id="68133875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87098" cy="1656000"/>
                          </a:xfrm>
                          <a:prstGeom prst="rect">
                            <a:avLst/>
                          </a:prstGeom>
                          <a:noFill/>
                          <a:ln>
                            <a:solidFill>
                              <a:schemeClr val="tx1"/>
                            </a:solidFill>
                          </a:ln>
                        </pic:spPr>
                      </pic:pic>
                    </a:graphicData>
                  </a:graphic>
                </wp:inline>
              </w:drawing>
            </w:r>
          </w:p>
        </w:tc>
      </w:tr>
    </w:tbl>
    <w:p w14:paraId="1D72A0BF" w14:textId="5B6588D3" w:rsidR="007C33B0" w:rsidRPr="00616730" w:rsidRDefault="007C33B0" w:rsidP="0055572A">
      <w:pPr>
        <w:pStyle w:val="CETCaption"/>
        <w:spacing w:before="0"/>
      </w:pPr>
      <w:r w:rsidRPr="00616730">
        <w:rPr>
          <w:rStyle w:val="CETCaptionCarattere"/>
          <w:i/>
          <w:iCs/>
        </w:rPr>
        <w:t xml:space="preserve">Figure 2: </w:t>
      </w:r>
      <w:r w:rsidR="00B67441" w:rsidRPr="00616730">
        <w:rPr>
          <w:iCs/>
          <w:lang w:val="en-US"/>
        </w:rPr>
        <w:t xml:space="preserve">Trends of the produced current and of hydrogen </w:t>
      </w:r>
      <w:r w:rsidR="008268DD" w:rsidRPr="00616730">
        <w:rPr>
          <w:iCs/>
        </w:rPr>
        <w:t>(A</w:t>
      </w:r>
      <w:r w:rsidR="00811EFF" w:rsidRPr="00616730">
        <w:rPr>
          <w:iCs/>
        </w:rPr>
        <w:t>)</w:t>
      </w:r>
      <w:r w:rsidRPr="00616730">
        <w:t xml:space="preserve"> </w:t>
      </w:r>
      <w:r w:rsidR="00B67441" w:rsidRPr="00616730">
        <w:t xml:space="preserve">and </w:t>
      </w:r>
      <w:r w:rsidR="00B67441" w:rsidRPr="00616730">
        <w:rPr>
          <w:lang w:val="en-US"/>
        </w:rPr>
        <w:t>a</w:t>
      </w:r>
      <w:r w:rsidR="008E744A" w:rsidRPr="00616730">
        <w:rPr>
          <w:lang w:val="en-US"/>
        </w:rPr>
        <w:t>verage</w:t>
      </w:r>
      <w:r w:rsidR="00B67441" w:rsidRPr="00616730">
        <w:rPr>
          <w:lang w:val="en-US"/>
        </w:rPr>
        <w:t xml:space="preserve"> </w:t>
      </w:r>
      <w:r w:rsidR="00B67441" w:rsidRPr="00C2411E">
        <w:rPr>
          <w:lang w:val="en-US"/>
        </w:rPr>
        <w:t>value</w:t>
      </w:r>
      <w:r w:rsidR="00333B2C" w:rsidRPr="00C2411E">
        <w:t xml:space="preserve"> (± standard error calculated from </w:t>
      </w:r>
      <w:r w:rsidR="00B67441" w:rsidRPr="00C2411E">
        <w:rPr>
          <w:lang w:val="en-US"/>
        </w:rPr>
        <w:t>n= 8)</w:t>
      </w:r>
      <w:r w:rsidR="008E744A" w:rsidRPr="00DC0806">
        <w:rPr>
          <w:color w:val="EE0000"/>
          <w:lang w:val="en-US"/>
        </w:rPr>
        <w:t xml:space="preserve"> </w:t>
      </w:r>
      <w:r w:rsidR="008E744A" w:rsidRPr="00616730">
        <w:rPr>
          <w:lang w:val="en-US"/>
        </w:rPr>
        <w:t>of the main characterizing parameters of the MEC system</w:t>
      </w:r>
      <w:r w:rsidR="00B67441" w:rsidRPr="00616730">
        <w:rPr>
          <w:lang w:val="en-US"/>
        </w:rPr>
        <w:t xml:space="preserve"> </w:t>
      </w:r>
      <w:r w:rsidR="00B67441" w:rsidRPr="00616730">
        <w:t xml:space="preserve">(B) obtained during the </w:t>
      </w:r>
      <w:r w:rsidR="00B67441" w:rsidRPr="00616730">
        <w:rPr>
          <w:rStyle w:val="CETCaptionCarattere"/>
          <w:i/>
          <w:iCs/>
        </w:rPr>
        <w:t xml:space="preserve">steady state period. </w:t>
      </w:r>
    </w:p>
    <w:p w14:paraId="2B2087CE" w14:textId="4452A61D" w:rsidR="000014EE" w:rsidRDefault="00891080" w:rsidP="0055572A">
      <w:pPr>
        <w:pStyle w:val="CETheadingx"/>
      </w:pPr>
      <w:r>
        <w:t>Electrochemical characterization through CVs method</w:t>
      </w:r>
    </w:p>
    <w:p w14:paraId="3CDEE77C" w14:textId="651B3CED" w:rsidR="004A2938" w:rsidRPr="004A2938" w:rsidRDefault="005804E0" w:rsidP="004A2938">
      <w:pPr>
        <w:pStyle w:val="CETBodytext"/>
      </w:pPr>
      <w:r w:rsidRPr="00224DBD">
        <w:rPr>
          <w:lang w:val="en-GB"/>
        </w:rPr>
        <w:t>Cyclic voltammetry was finally performed to characterize the electrochemical response of the recovered bioanode at different scan rates (</w:t>
      </w:r>
      <w:r w:rsidRPr="00224DBD">
        <w:rPr>
          <w:b/>
          <w:bCs/>
          <w:lang w:val="en-GB"/>
        </w:rPr>
        <w:t>Figure 3</w:t>
      </w:r>
      <w:r w:rsidRPr="00224DBD">
        <w:rPr>
          <w:lang w:val="en-GB"/>
        </w:rPr>
        <w:t xml:space="preserve">). The voltammograms showed a clear dependence of the recorded current on the scan rate, with progressively higher current responses observed when increasing the scan rate from 5 to 60 mV/min. </w:t>
      </w:r>
      <w:r w:rsidR="004A2938" w:rsidRPr="004A2938">
        <w:t>Under turnover conditions</w:t>
      </w:r>
      <w:r w:rsidR="004A2938">
        <w:t xml:space="preserve"> (</w:t>
      </w:r>
      <w:r w:rsidR="004A2938" w:rsidRPr="004A2938">
        <w:rPr>
          <w:i/>
          <w:iCs/>
        </w:rPr>
        <w:t>Figure 3.A</w:t>
      </w:r>
      <w:r w:rsidR="004A2938">
        <w:t>)</w:t>
      </w:r>
      <w:r w:rsidR="004A2938" w:rsidRPr="004A2938">
        <w:t>, the current response increased with increasing scan rate, from 5 to 60 mV/min, with the highest scan rate reaching approximately 230 mA at +0.2 V vs SHE. At 5 mV/min, the current response was substantially lower, reaching approximately 100 mA at +0.15 V vs SHE.</w:t>
      </w:r>
      <w:r w:rsidR="004A2938">
        <w:t xml:space="preserve"> </w:t>
      </w:r>
      <w:r w:rsidR="004A2938" w:rsidRPr="004A2938">
        <w:t xml:space="preserve">This behavior is consistent with an increasing contribution of capacitive current at higher scan rates, while also reflecting the </w:t>
      </w:r>
      <w:proofErr w:type="spellStart"/>
      <w:r w:rsidR="004A2938" w:rsidRPr="004A2938">
        <w:t>bioelectrocatalytic</w:t>
      </w:r>
      <w:proofErr w:type="spellEnd"/>
      <w:r w:rsidR="004A2938" w:rsidRPr="004A2938">
        <w:t xml:space="preserve"> activity of the anodic biofilm. </w:t>
      </w:r>
    </w:p>
    <w:p w14:paraId="4E6366B3" w14:textId="4EB2B9E7" w:rsidR="004A2938" w:rsidRPr="004A2938" w:rsidRDefault="004A2938" w:rsidP="004A2938">
      <w:pPr>
        <w:pStyle w:val="CETBodytext"/>
      </w:pPr>
      <w:r w:rsidRPr="004A2938">
        <w:t>For comparison, CVs were also recorded under non-turnover conditions, in the absence of organic substrate (</w:t>
      </w:r>
      <w:r w:rsidRPr="004A2938">
        <w:rPr>
          <w:i/>
          <w:iCs/>
        </w:rPr>
        <w:t>Figure 3.B</w:t>
      </w:r>
      <w:r w:rsidRPr="004A2938">
        <w:t xml:space="preserve">). The non-turnover profiles showed markedly lower and flatter current, with no plateau-like response, indicating that the pronounced </w:t>
      </w:r>
      <w:r>
        <w:t>output</w:t>
      </w:r>
      <w:r w:rsidRPr="004A2938">
        <w:t xml:space="preserve"> observed under turnover conditions was mainly associated with substrate-dependent </w:t>
      </w:r>
      <w:proofErr w:type="spellStart"/>
      <w:r w:rsidRPr="004A2938">
        <w:t>bioelectrocatalytic</w:t>
      </w:r>
      <w:proofErr w:type="spellEnd"/>
      <w:r w:rsidRPr="004A2938">
        <w:t xml:space="preserve"> activity rather than solely with capacitive and background currents. Overall, the CV results provide complementary evidence of the electrochemical activity of the recovered bioanode following the inhibitory event.</w:t>
      </w:r>
    </w:p>
    <w:p w14:paraId="4563FC58" w14:textId="5667B505" w:rsidR="00DE2950" w:rsidRDefault="00DE2950" w:rsidP="004A2938">
      <w:pPr>
        <w:pStyle w:val="CETBodytext"/>
        <w:rPr>
          <w:lang w:val="en-GB"/>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8"/>
        <w:gridCol w:w="4389"/>
      </w:tblGrid>
      <w:tr w:rsidR="00DE2950" w14:paraId="0572DB07" w14:textId="77777777" w:rsidTr="00C2411E">
        <w:tc>
          <w:tcPr>
            <w:tcW w:w="4388" w:type="dxa"/>
          </w:tcPr>
          <w:p w14:paraId="6271C476" w14:textId="68D99288" w:rsidR="00DE2950" w:rsidRDefault="00C2411E" w:rsidP="0055572A">
            <w:pPr>
              <w:pStyle w:val="CETBodytext"/>
              <w:rPr>
                <w:lang w:val="en-GB"/>
              </w:rPr>
            </w:pPr>
            <w:r w:rsidRPr="00C2411E">
              <w:rPr>
                <w:noProof/>
                <w:lang w:val="en-GB"/>
              </w:rPr>
              <w:drawing>
                <wp:inline distT="0" distB="0" distL="0" distR="0" wp14:anchorId="39FF8331" wp14:editId="1E163B23">
                  <wp:extent cx="2485699" cy="1656000"/>
                  <wp:effectExtent l="19050" t="19050" r="10160" b="20955"/>
                  <wp:docPr id="61352209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85699" cy="1656000"/>
                          </a:xfrm>
                          <a:prstGeom prst="rect">
                            <a:avLst/>
                          </a:prstGeom>
                          <a:noFill/>
                          <a:ln>
                            <a:solidFill>
                              <a:schemeClr val="tx1"/>
                            </a:solidFill>
                          </a:ln>
                        </pic:spPr>
                      </pic:pic>
                    </a:graphicData>
                  </a:graphic>
                </wp:inline>
              </w:drawing>
            </w:r>
          </w:p>
        </w:tc>
        <w:tc>
          <w:tcPr>
            <w:tcW w:w="4389" w:type="dxa"/>
          </w:tcPr>
          <w:p w14:paraId="418AD0A3" w14:textId="53513005" w:rsidR="00DE2950" w:rsidRDefault="00C2411E" w:rsidP="0055572A">
            <w:pPr>
              <w:pStyle w:val="CETBodytext"/>
              <w:rPr>
                <w:lang w:val="en-GB"/>
              </w:rPr>
            </w:pPr>
            <w:r w:rsidRPr="00C2411E">
              <w:rPr>
                <w:noProof/>
                <w:lang w:val="en-GB"/>
              </w:rPr>
              <w:drawing>
                <wp:inline distT="0" distB="0" distL="0" distR="0" wp14:anchorId="01067247" wp14:editId="3CC6E7AC">
                  <wp:extent cx="2485699" cy="1656000"/>
                  <wp:effectExtent l="19050" t="19050" r="10160" b="20955"/>
                  <wp:docPr id="943087667"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85699" cy="1656000"/>
                          </a:xfrm>
                          <a:prstGeom prst="rect">
                            <a:avLst/>
                          </a:prstGeom>
                          <a:noFill/>
                          <a:ln>
                            <a:solidFill>
                              <a:schemeClr val="tx1"/>
                            </a:solidFill>
                          </a:ln>
                        </pic:spPr>
                      </pic:pic>
                    </a:graphicData>
                  </a:graphic>
                </wp:inline>
              </w:drawing>
            </w:r>
          </w:p>
        </w:tc>
      </w:tr>
    </w:tbl>
    <w:p w14:paraId="71C55C70" w14:textId="0C27DE08" w:rsidR="00811EFF" w:rsidRPr="00616730" w:rsidRDefault="00321BE0" w:rsidP="0055572A">
      <w:pPr>
        <w:pStyle w:val="CETBodytext"/>
        <w:rPr>
          <w:i/>
          <w:iCs/>
          <w:lang w:val="en-GB"/>
        </w:rPr>
      </w:pPr>
      <w:r w:rsidRPr="00616730">
        <w:rPr>
          <w:i/>
          <w:iCs/>
          <w:lang w:val="en-GB"/>
        </w:rPr>
        <w:t xml:space="preserve">Figure 3:  </w:t>
      </w:r>
      <w:r w:rsidR="008E744A" w:rsidRPr="00616730">
        <w:rPr>
          <w:i/>
          <w:iCs/>
          <w:lang w:val="en-GB"/>
        </w:rPr>
        <w:t xml:space="preserve">Cyclic </w:t>
      </w:r>
      <w:proofErr w:type="spellStart"/>
      <w:r w:rsidR="008E744A" w:rsidRPr="00616730">
        <w:rPr>
          <w:i/>
          <w:iCs/>
          <w:lang w:val="en-GB"/>
        </w:rPr>
        <w:t>voltammetries</w:t>
      </w:r>
      <w:proofErr w:type="spellEnd"/>
      <w:r w:rsidR="005804E0" w:rsidRPr="00616730">
        <w:rPr>
          <w:i/>
          <w:iCs/>
          <w:lang w:val="en-GB"/>
        </w:rPr>
        <w:t xml:space="preserve"> of the electroactive bioanode, </w:t>
      </w:r>
      <w:r w:rsidR="008E744A" w:rsidRPr="00616730">
        <w:rPr>
          <w:i/>
          <w:iCs/>
          <w:lang w:val="en-GB"/>
        </w:rPr>
        <w:t xml:space="preserve">under turnover </w:t>
      </w:r>
      <w:r w:rsidR="00EE7724">
        <w:rPr>
          <w:i/>
          <w:iCs/>
          <w:lang w:val="en-GB"/>
        </w:rPr>
        <w:t>(A) and non</w:t>
      </w:r>
      <w:r w:rsidR="006F2C44">
        <w:rPr>
          <w:i/>
          <w:iCs/>
          <w:lang w:val="en-GB"/>
        </w:rPr>
        <w:t>-</w:t>
      </w:r>
      <w:r w:rsidR="00EE7724">
        <w:rPr>
          <w:i/>
          <w:iCs/>
          <w:lang w:val="en-GB"/>
        </w:rPr>
        <w:t xml:space="preserve">turnover </w:t>
      </w:r>
      <w:r w:rsidR="00EE7724" w:rsidRPr="00616730">
        <w:rPr>
          <w:i/>
          <w:iCs/>
          <w:lang w:val="en-GB"/>
        </w:rPr>
        <w:t>condition</w:t>
      </w:r>
      <w:r w:rsidR="00EE7724">
        <w:rPr>
          <w:i/>
          <w:iCs/>
          <w:lang w:val="en-GB"/>
        </w:rPr>
        <w:t>s (B)</w:t>
      </w:r>
      <w:r w:rsidR="008E744A" w:rsidRPr="00616730">
        <w:rPr>
          <w:i/>
          <w:iCs/>
          <w:lang w:val="en-GB"/>
        </w:rPr>
        <w:t xml:space="preserve"> at different scan rates</w:t>
      </w:r>
      <w:r w:rsidR="005804E0" w:rsidRPr="00616730">
        <w:rPr>
          <w:i/>
          <w:iCs/>
          <w:lang w:val="en-GB"/>
        </w:rPr>
        <w:t>.</w:t>
      </w:r>
    </w:p>
    <w:p w14:paraId="0FE6DD06" w14:textId="77777777" w:rsidR="000014EE" w:rsidRPr="00B57B36" w:rsidRDefault="000014EE" w:rsidP="0055572A">
      <w:pPr>
        <w:pStyle w:val="CETHeading1"/>
        <w:rPr>
          <w:lang w:val="en-GB"/>
        </w:rPr>
      </w:pPr>
      <w:r w:rsidRPr="00B57B36">
        <w:rPr>
          <w:lang w:val="en-GB"/>
        </w:rPr>
        <w:t>Conclusions</w:t>
      </w:r>
    </w:p>
    <w:p w14:paraId="1101D2E6" w14:textId="018C63B0" w:rsidR="006C70E4" w:rsidRPr="00824329" w:rsidRDefault="00824329" w:rsidP="0055572A">
      <w:pPr>
        <w:pStyle w:val="CETAcknowledgementstitle"/>
        <w:jc w:val="both"/>
        <w:rPr>
          <w:b w:val="0"/>
          <w:bCs/>
        </w:rPr>
      </w:pPr>
      <w:r w:rsidRPr="00824329">
        <w:rPr>
          <w:b w:val="0"/>
          <w:bCs/>
        </w:rPr>
        <w:t>The present study assessed the resilience of a long-term operated bioanode in a three-chamber MEC following a severe inhibitory event caused by the direct feeding of an untreated food-processing wastewater. After returning to the previously adopted synthetic substrate, the same bioanode, continuously operated and without replacement or reinoculation, progressively recovered its electrochemical activity. Comparison with the pre-inhibition performance showed that the difference in current generation decreased with increasing dilution rate, reaching only 14.7% at the highest tested condition, while COD removal</w:t>
      </w:r>
      <w:r w:rsidR="001E0035">
        <w:rPr>
          <w:b w:val="0"/>
          <w:bCs/>
        </w:rPr>
        <w:t xml:space="preserve"> efficiency </w:t>
      </w:r>
      <w:r w:rsidRPr="00824329">
        <w:rPr>
          <w:b w:val="0"/>
          <w:bCs/>
        </w:rPr>
        <w:t>showed a lower but still substantial recovery. The subsequent steady-state operation confirmed the stability of the recovered bioanode, with average CE and CCE values of 83.9 ± 2.5% and 84.2 ± 3.7%, respectively, and sustained hydrogen production. The electrochemical characterization by cyclic voltammetry further confirmed the electrocatalytic activity of the recovered bioanode</w:t>
      </w:r>
      <w:r w:rsidRPr="00C2411E">
        <w:rPr>
          <w:b w:val="0"/>
          <w:bCs/>
        </w:rPr>
        <w:t xml:space="preserve">. </w:t>
      </w:r>
      <w:r w:rsidR="0043416E" w:rsidRPr="00C2411E">
        <w:rPr>
          <w:b w:val="0"/>
          <w:bCs/>
        </w:rPr>
        <w:t xml:space="preserve">Overall, the study provides experimental evidence that the resilience of an </w:t>
      </w:r>
      <w:r w:rsidR="0043416E" w:rsidRPr="00C2411E">
        <w:rPr>
          <w:b w:val="0"/>
          <w:bCs/>
        </w:rPr>
        <w:lastRenderedPageBreak/>
        <w:t xml:space="preserve">established bioanode can be assessed by combining pre- and post-perturbation performance under comparable operating conditions with subsequent steady-state and electrochemical characterization. This approach contributes to understanding bioanode robustness, an aspect that is particularly relevant for the long-term implementation of MECs treating variable or potentially inhibitory waste-derived substrates. </w:t>
      </w:r>
      <w:r w:rsidR="00510318">
        <w:rPr>
          <w:b w:val="0"/>
          <w:bCs/>
        </w:rPr>
        <w:t>Nevertheless, t</w:t>
      </w:r>
      <w:r w:rsidR="00510318" w:rsidRPr="00510318">
        <w:rPr>
          <w:b w:val="0"/>
          <w:bCs/>
        </w:rPr>
        <w:t>hese findings also highlight the importance of implementing suitable pretreatment strategies to improve the quality of real waste-derived substrates</w:t>
      </w:r>
      <w:r w:rsidR="00510318">
        <w:rPr>
          <w:b w:val="0"/>
          <w:bCs/>
        </w:rPr>
        <w:t xml:space="preserve">, thus </w:t>
      </w:r>
      <w:r w:rsidR="00510318" w:rsidRPr="00510318">
        <w:rPr>
          <w:b w:val="0"/>
          <w:bCs/>
        </w:rPr>
        <w:t>minimiz</w:t>
      </w:r>
      <w:r w:rsidR="00510318">
        <w:rPr>
          <w:b w:val="0"/>
          <w:bCs/>
        </w:rPr>
        <w:t>ing</w:t>
      </w:r>
      <w:r w:rsidR="00510318" w:rsidRPr="00510318">
        <w:rPr>
          <w:b w:val="0"/>
          <w:bCs/>
        </w:rPr>
        <w:t xml:space="preserve"> the introduction of potentially inhibitory compounds before their feeding to MEC systems.</w:t>
      </w:r>
    </w:p>
    <w:p w14:paraId="1C43DE89" w14:textId="6AFE02B6" w:rsidR="000014EE" w:rsidRDefault="000014EE" w:rsidP="0055572A">
      <w:pPr>
        <w:pStyle w:val="CETBodytext"/>
        <w:rPr>
          <w:lang w:val="en-GB"/>
        </w:rPr>
      </w:pPr>
    </w:p>
    <w:p w14:paraId="57A62B2E" w14:textId="6C80CBED" w:rsidR="000014EE" w:rsidRPr="007A7E44" w:rsidRDefault="000014EE" w:rsidP="0055572A">
      <w:pPr>
        <w:pStyle w:val="CETBodytext"/>
        <w:rPr>
          <w:b/>
          <w:lang w:val="en-GB"/>
        </w:rPr>
      </w:pPr>
      <w:r w:rsidRPr="007A7E44">
        <w:rPr>
          <w:b/>
          <w:lang w:val="en-GB"/>
        </w:rPr>
        <w:t>Fundin</w:t>
      </w:r>
      <w:r w:rsidR="005E71EC" w:rsidRPr="007A7E44">
        <w:rPr>
          <w:b/>
          <w:lang w:val="en-GB"/>
        </w:rPr>
        <w:t>g</w:t>
      </w:r>
    </w:p>
    <w:p w14:paraId="685D949A" w14:textId="77777777" w:rsidR="005E71EC" w:rsidRPr="007A7E44" w:rsidRDefault="005E71EC" w:rsidP="0055572A">
      <w:pPr>
        <w:pStyle w:val="CETBodytext"/>
        <w:rPr>
          <w:lang w:val="en-GB"/>
        </w:rPr>
      </w:pPr>
    </w:p>
    <w:p w14:paraId="6F4402B1" w14:textId="1D54CEF3" w:rsidR="000014EE" w:rsidRDefault="007A7E44" w:rsidP="0055572A">
      <w:pPr>
        <w:pStyle w:val="CETBodytext"/>
        <w:rPr>
          <w:lang w:val="en-GB"/>
        </w:rPr>
      </w:pPr>
      <w:r w:rsidRPr="007A7E44">
        <w:rPr>
          <w:lang w:val="en-GB"/>
        </w:rPr>
        <w:t xml:space="preserve">This research was conducted within the framework of the </w:t>
      </w:r>
      <w:proofErr w:type="spellStart"/>
      <w:r w:rsidRPr="007A7E44">
        <w:rPr>
          <w:lang w:val="en-GB"/>
        </w:rPr>
        <w:t>Ricerca</w:t>
      </w:r>
      <w:proofErr w:type="spellEnd"/>
      <w:r w:rsidRPr="007A7E44">
        <w:rPr>
          <w:lang w:val="en-GB"/>
        </w:rPr>
        <w:t xml:space="preserve"> di Ateneo – </w:t>
      </w:r>
      <w:proofErr w:type="spellStart"/>
      <w:r w:rsidRPr="007A7E44">
        <w:rPr>
          <w:lang w:val="en-GB"/>
        </w:rPr>
        <w:t>Avvio</w:t>
      </w:r>
      <w:proofErr w:type="spellEnd"/>
      <w:r w:rsidRPr="007A7E44">
        <w:rPr>
          <w:lang w:val="en-GB"/>
        </w:rPr>
        <w:t xml:space="preserve"> alla </w:t>
      </w:r>
      <w:proofErr w:type="spellStart"/>
      <w:r w:rsidRPr="007A7E44">
        <w:rPr>
          <w:lang w:val="en-GB"/>
        </w:rPr>
        <w:t>Ricerca</w:t>
      </w:r>
      <w:proofErr w:type="spellEnd"/>
      <w:r w:rsidRPr="007A7E44">
        <w:rPr>
          <w:lang w:val="en-GB"/>
        </w:rPr>
        <w:t xml:space="preserve"> 2025 project “Electrolysis Integration with </w:t>
      </w:r>
      <w:proofErr w:type="spellStart"/>
      <w:r w:rsidRPr="007A7E44">
        <w:rPr>
          <w:lang w:val="en-GB"/>
        </w:rPr>
        <w:t>REal</w:t>
      </w:r>
      <w:proofErr w:type="spellEnd"/>
      <w:r w:rsidRPr="007A7E44">
        <w:rPr>
          <w:lang w:val="en-GB"/>
        </w:rPr>
        <w:t xml:space="preserve">-substrates and Nanoparticles for waste-to-Energy </w:t>
      </w:r>
      <w:proofErr w:type="spellStart"/>
      <w:r w:rsidRPr="007A7E44">
        <w:rPr>
          <w:lang w:val="en-GB"/>
        </w:rPr>
        <w:t>valorization</w:t>
      </w:r>
      <w:proofErr w:type="spellEnd"/>
      <w:r w:rsidRPr="007A7E44">
        <w:rPr>
          <w:lang w:val="en-GB"/>
        </w:rPr>
        <w:t xml:space="preserve"> – boosting </w:t>
      </w:r>
      <w:proofErr w:type="spellStart"/>
      <w:r w:rsidRPr="007A7E44">
        <w:rPr>
          <w:lang w:val="en-GB"/>
        </w:rPr>
        <w:t>bioHydrogen</w:t>
      </w:r>
      <w:proofErr w:type="spellEnd"/>
      <w:r w:rsidRPr="007A7E44">
        <w:rPr>
          <w:lang w:val="en-GB"/>
        </w:rPr>
        <w:t xml:space="preserve"> production (EIRENE-H2)”, funded by Sapienza University of Rome (CUP: B83C25004300005; UGOV: 128896).</w:t>
      </w:r>
    </w:p>
    <w:p w14:paraId="4A83B86F" w14:textId="77777777" w:rsidR="007A7E44" w:rsidRPr="00CE4073" w:rsidRDefault="007A7E44" w:rsidP="0055572A">
      <w:pPr>
        <w:pStyle w:val="CETBodytext"/>
      </w:pPr>
    </w:p>
    <w:p w14:paraId="7088E9B6" w14:textId="77777777" w:rsidR="000014EE" w:rsidRPr="00C56686" w:rsidRDefault="000014EE" w:rsidP="0055572A">
      <w:pPr>
        <w:pStyle w:val="CETBodytext"/>
        <w:rPr>
          <w:b/>
          <w:lang w:val="en-GB"/>
        </w:rPr>
      </w:pPr>
      <w:r w:rsidRPr="00C56686">
        <w:rPr>
          <w:b/>
          <w:lang w:val="en-GB"/>
        </w:rPr>
        <w:t>References</w:t>
      </w:r>
    </w:p>
    <w:p w14:paraId="7EDCDE5E" w14:textId="77777777" w:rsidR="00EE22B1" w:rsidRDefault="00EE22B1" w:rsidP="003F33F1">
      <w:pPr>
        <w:autoSpaceDE w:val="0"/>
        <w:autoSpaceDN w:val="0"/>
        <w:rPr>
          <w:rFonts w:cs="Arial"/>
          <w:color w:val="000000"/>
        </w:rPr>
      </w:pPr>
    </w:p>
    <w:p w14:paraId="04972CC8" w14:textId="1FDADCC0" w:rsidR="00CB7766" w:rsidRDefault="00CB7766" w:rsidP="003F33F1">
      <w:pPr>
        <w:autoSpaceDE w:val="0"/>
        <w:autoSpaceDN w:val="0"/>
        <w:ind w:left="367" w:hanging="480"/>
        <w:rPr>
          <w:rFonts w:cs="Arial"/>
          <w:color w:val="000000"/>
        </w:rPr>
      </w:pPr>
      <w:r w:rsidRPr="00B116E2">
        <w:rPr>
          <w:rFonts w:cs="Arial"/>
          <w:color w:val="000000"/>
        </w:rPr>
        <w:t xml:space="preserve">Alcaraz-Gonzalez V., Flores-Estrella R. A., Nolasco M., Cano V. and González-Alvarez V., 2023, Microbial Electrolysis Cells for Biohydrogen Generation and Wastewater Treatment—A Short Review and Current Trends. 73–85. </w:t>
      </w:r>
      <w:hyperlink r:id="rId14" w:history="1">
        <w:r w:rsidR="007A7E44" w:rsidRPr="007A7E44">
          <w:rPr>
            <w:color w:val="000000"/>
          </w:rPr>
          <w:t>https://doi.org/10.1007/978-3-031-36298-9_6</w:t>
        </w:r>
      </w:hyperlink>
    </w:p>
    <w:p w14:paraId="376F8DDE" w14:textId="26E7AF15" w:rsidR="007A7E44" w:rsidRPr="00012C41" w:rsidRDefault="007A7E44" w:rsidP="007A7E44">
      <w:pPr>
        <w:autoSpaceDE w:val="0"/>
        <w:autoSpaceDN w:val="0"/>
        <w:ind w:left="367" w:hanging="480"/>
        <w:rPr>
          <w:color w:val="000000"/>
        </w:rPr>
      </w:pPr>
      <w:r w:rsidRPr="00B116E2">
        <w:rPr>
          <w:rFonts w:cs="Arial"/>
          <w:color w:val="000000"/>
        </w:rPr>
        <w:t xml:space="preserve">APHA. (1995). Part 5. American Journal of Public Health, 85(8_Pt_2), P.164-P.203. </w:t>
      </w:r>
      <w:hyperlink r:id="rId15" w:history="1">
        <w:r w:rsidR="00EE7724" w:rsidRPr="00012C41">
          <w:rPr>
            <w:color w:val="000000"/>
          </w:rPr>
          <w:t>https://doi.org/10.2105/AJPH.85.8_Pt_2.P.164</w:t>
        </w:r>
      </w:hyperlink>
    </w:p>
    <w:p w14:paraId="0CD4F107" w14:textId="180C7B1F" w:rsidR="00EE7724" w:rsidRPr="00B116E2" w:rsidRDefault="00EE7724" w:rsidP="007A7E44">
      <w:pPr>
        <w:autoSpaceDE w:val="0"/>
        <w:autoSpaceDN w:val="0"/>
        <w:ind w:left="367" w:hanging="480"/>
        <w:rPr>
          <w:rFonts w:cs="Arial"/>
          <w:color w:val="000000"/>
        </w:rPr>
      </w:pPr>
      <w:r w:rsidRPr="00EE7724">
        <w:rPr>
          <w:rFonts w:cs="Arial"/>
          <w:color w:val="000000"/>
        </w:rPr>
        <w:t xml:space="preserve">Colantoni S., Marchetti A., </w:t>
      </w:r>
      <w:proofErr w:type="spellStart"/>
      <w:r w:rsidRPr="00EE7724">
        <w:rPr>
          <w:rFonts w:cs="Arial"/>
          <w:color w:val="000000"/>
        </w:rPr>
        <w:t>Zeppilli</w:t>
      </w:r>
      <w:proofErr w:type="spellEnd"/>
      <w:r w:rsidRPr="00EE7724">
        <w:rPr>
          <w:rFonts w:cs="Arial"/>
          <w:color w:val="000000"/>
        </w:rPr>
        <w:t xml:space="preserve"> M. and Cristiani L., 2025</w:t>
      </w:r>
      <w:r>
        <w:rPr>
          <w:rFonts w:cs="Arial"/>
          <w:color w:val="000000"/>
        </w:rPr>
        <w:t>,</w:t>
      </w:r>
      <w:r w:rsidRPr="00EE7724">
        <w:rPr>
          <w:rFonts w:cs="Arial"/>
          <w:color w:val="000000"/>
        </w:rPr>
        <w:t xml:space="preserve"> Towards the industrial application of microbial electrolysis cells for hydrogen production: a critical review on cell’s components</w:t>
      </w:r>
      <w:r>
        <w:rPr>
          <w:rFonts w:cs="Arial"/>
          <w:color w:val="000000"/>
        </w:rPr>
        <w:t>,</w:t>
      </w:r>
      <w:r w:rsidRPr="00EE7724">
        <w:rPr>
          <w:rFonts w:cs="Arial"/>
          <w:color w:val="000000"/>
        </w:rPr>
        <w:t xml:space="preserve"> Environmental Chemistry and Safety, 1(3), 9600019. https://doi.org/10.26599/ECS.2025.9600019</w:t>
      </w:r>
    </w:p>
    <w:p w14:paraId="480E78B9" w14:textId="3A1DC07E" w:rsidR="00CB7766" w:rsidRPr="004831FD" w:rsidRDefault="00CB7766" w:rsidP="003F33F1">
      <w:pPr>
        <w:autoSpaceDE w:val="0"/>
        <w:autoSpaceDN w:val="0"/>
        <w:ind w:left="367" w:hanging="480"/>
        <w:rPr>
          <w:rFonts w:cs="Arial"/>
          <w:color w:val="000000"/>
        </w:rPr>
      </w:pPr>
      <w:proofErr w:type="spellStart"/>
      <w:r w:rsidRPr="00CB7766">
        <w:rPr>
          <w:rFonts w:cs="Arial"/>
          <w:color w:val="000000"/>
        </w:rPr>
        <w:t>Dell’Armi</w:t>
      </w:r>
      <w:proofErr w:type="spellEnd"/>
      <w:r w:rsidRPr="00CB7766">
        <w:rPr>
          <w:rFonts w:cs="Arial"/>
          <w:color w:val="000000"/>
        </w:rPr>
        <w:t xml:space="preserve"> E., Ciampi P., Marchetti A., Bartsch E., Alesi M., Alesi E. J., Rehner G., Matturro B., Feigl V., Molnar M., Rossetti S., </w:t>
      </w:r>
      <w:proofErr w:type="spellStart"/>
      <w:r w:rsidRPr="00CB7766">
        <w:rPr>
          <w:rFonts w:cs="Arial"/>
          <w:color w:val="000000"/>
        </w:rPr>
        <w:t>Petrangeli</w:t>
      </w:r>
      <w:proofErr w:type="spellEnd"/>
      <w:r w:rsidRPr="00CB7766">
        <w:rPr>
          <w:rFonts w:cs="Arial"/>
          <w:color w:val="000000"/>
        </w:rPr>
        <w:t xml:space="preserve"> Papini M. and Zeppilli M., 2025</w:t>
      </w:r>
      <w:r>
        <w:rPr>
          <w:rFonts w:cs="Arial"/>
          <w:color w:val="000000"/>
        </w:rPr>
        <w:t>,</w:t>
      </w:r>
      <w:r w:rsidRPr="00CB7766">
        <w:rPr>
          <w:rFonts w:cs="Arial"/>
          <w:color w:val="000000"/>
        </w:rPr>
        <w:t xml:space="preserve"> </w:t>
      </w:r>
      <w:r w:rsidRPr="004831FD">
        <w:rPr>
          <w:rFonts w:cs="Arial"/>
          <w:color w:val="000000"/>
        </w:rPr>
        <w:t>Field test of a scaled-up bioelectrochemical sequential reductive/oxidative process for chlorinated aliphatic hydrocarbons (CAHs) remediation from contaminated groundwater</w:t>
      </w:r>
      <w:r w:rsidRPr="00CB7766">
        <w:rPr>
          <w:rFonts w:cs="Arial"/>
          <w:color w:val="000000"/>
        </w:rPr>
        <w:t>, Chemical Engineering Journal, 524</w:t>
      </w:r>
      <w:r w:rsidRPr="004831FD">
        <w:rPr>
          <w:rFonts w:cs="Arial"/>
          <w:color w:val="000000"/>
        </w:rPr>
        <w:t>, 169825. https://doi.org/10.1016/J.CEJ.2025.169825</w:t>
      </w:r>
    </w:p>
    <w:p w14:paraId="522941E2" w14:textId="78CC96A0" w:rsidR="00CB7766" w:rsidRPr="004831FD" w:rsidRDefault="00CB7766" w:rsidP="003F33F1">
      <w:pPr>
        <w:autoSpaceDE w:val="0"/>
        <w:autoSpaceDN w:val="0"/>
        <w:ind w:left="367" w:hanging="480"/>
        <w:rPr>
          <w:rFonts w:cs="Arial"/>
          <w:color w:val="000000"/>
        </w:rPr>
      </w:pPr>
      <w:r w:rsidRPr="00CB7766">
        <w:rPr>
          <w:rFonts w:cs="Arial"/>
          <w:color w:val="000000"/>
        </w:rPr>
        <w:t xml:space="preserve">Ganguly A., Sun P., Liu X., Delgado H. E., Sun L. and </w:t>
      </w:r>
      <w:proofErr w:type="spellStart"/>
      <w:r w:rsidRPr="00CB7766">
        <w:rPr>
          <w:rFonts w:cs="Arial"/>
          <w:color w:val="000000"/>
        </w:rPr>
        <w:t>Elgowainy</w:t>
      </w:r>
      <w:proofErr w:type="spellEnd"/>
      <w:r w:rsidRPr="00CB7766">
        <w:rPr>
          <w:rFonts w:cs="Arial"/>
          <w:color w:val="000000"/>
        </w:rPr>
        <w:t xml:space="preserve"> A.</w:t>
      </w:r>
      <w:r>
        <w:rPr>
          <w:rFonts w:cs="Arial"/>
          <w:color w:val="000000"/>
        </w:rPr>
        <w:t xml:space="preserve">, </w:t>
      </w:r>
      <w:r w:rsidRPr="00CB7766">
        <w:rPr>
          <w:rFonts w:cs="Arial"/>
          <w:color w:val="000000"/>
        </w:rPr>
        <w:t>2025</w:t>
      </w:r>
      <w:r>
        <w:rPr>
          <w:rFonts w:cs="Arial"/>
          <w:color w:val="000000"/>
        </w:rPr>
        <w:t>,</w:t>
      </w:r>
      <w:r w:rsidRPr="00CB7766">
        <w:rPr>
          <w:rFonts w:cs="Arial"/>
          <w:color w:val="000000"/>
        </w:rPr>
        <w:t xml:space="preserve"> </w:t>
      </w:r>
      <w:r w:rsidRPr="004831FD">
        <w:rPr>
          <w:rFonts w:cs="Arial"/>
          <w:color w:val="000000"/>
        </w:rPr>
        <w:t>Techno-economic and life cycle analysis of bio-hydrogen production using bio-based waste streams through the integration of dark fermentation and microbial electrolysis</w:t>
      </w:r>
      <w:r>
        <w:rPr>
          <w:rFonts w:cs="Arial"/>
          <w:color w:val="000000"/>
        </w:rPr>
        <w:t>,</w:t>
      </w:r>
      <w:r w:rsidRPr="004831FD">
        <w:rPr>
          <w:rFonts w:cs="Arial"/>
          <w:color w:val="000000"/>
        </w:rPr>
        <w:t xml:space="preserve"> </w:t>
      </w:r>
      <w:r w:rsidRPr="00CB7766">
        <w:rPr>
          <w:rFonts w:cs="Arial"/>
          <w:color w:val="000000"/>
        </w:rPr>
        <w:t>Green Chemistry, 27(</w:t>
      </w:r>
      <w:r w:rsidRPr="004831FD">
        <w:rPr>
          <w:rFonts w:cs="Arial"/>
          <w:color w:val="000000"/>
        </w:rPr>
        <w:t>21), 6213–6231. https://doi.org/10.1039/D4GC05020G</w:t>
      </w:r>
    </w:p>
    <w:p w14:paraId="6787F1A6" w14:textId="7D577C93" w:rsidR="00CB7766" w:rsidRPr="00CB7766" w:rsidRDefault="00CB7766" w:rsidP="003F33F1">
      <w:pPr>
        <w:autoSpaceDE w:val="0"/>
        <w:autoSpaceDN w:val="0"/>
        <w:ind w:left="367" w:hanging="480"/>
        <w:rPr>
          <w:rFonts w:cs="Arial"/>
          <w:color w:val="000000"/>
        </w:rPr>
      </w:pPr>
      <w:r w:rsidRPr="00CB7766">
        <w:rPr>
          <w:rFonts w:cs="Arial"/>
          <w:color w:val="000000"/>
        </w:rPr>
        <w:t xml:space="preserve">Marchetti A., </w:t>
      </w:r>
      <w:proofErr w:type="spellStart"/>
      <w:r w:rsidRPr="00CB7766">
        <w:rPr>
          <w:rFonts w:cs="Arial"/>
          <w:color w:val="000000"/>
        </w:rPr>
        <w:t>Sassetto</w:t>
      </w:r>
      <w:proofErr w:type="spellEnd"/>
      <w:r w:rsidRPr="00CB7766">
        <w:rPr>
          <w:rFonts w:cs="Arial"/>
          <w:color w:val="000000"/>
        </w:rPr>
        <w:t xml:space="preserve"> G., Cabras D., Hosseini S., Milia S. and Zeppilli M., 2026, </w:t>
      </w:r>
      <w:r w:rsidRPr="004831FD">
        <w:rPr>
          <w:rFonts w:cs="Arial"/>
          <w:color w:val="000000"/>
        </w:rPr>
        <w:t xml:space="preserve">From Wastewater to </w:t>
      </w:r>
      <w:proofErr w:type="gramStart"/>
      <w:r w:rsidRPr="004831FD">
        <w:rPr>
          <w:rFonts w:cs="Arial"/>
          <w:color w:val="000000"/>
        </w:rPr>
        <w:t>Bio-Hydrogen</w:t>
      </w:r>
      <w:proofErr w:type="gramEnd"/>
      <w:r w:rsidRPr="004831FD">
        <w:rPr>
          <w:rFonts w:cs="Arial"/>
          <w:color w:val="000000"/>
        </w:rPr>
        <w:t>: Advancing Microbial Electrolysis Cells Through Challenges, Innovations, and Process Integration</w:t>
      </w:r>
      <w:r>
        <w:rPr>
          <w:rFonts w:cs="Arial"/>
          <w:color w:val="000000"/>
        </w:rPr>
        <w:t xml:space="preserve">, </w:t>
      </w:r>
      <w:r w:rsidRPr="00CB7766">
        <w:rPr>
          <w:rFonts w:cs="Arial"/>
          <w:color w:val="000000"/>
        </w:rPr>
        <w:t>Hydrogen, 7(2), 85. https://doi.org/10.3390/hydrogen7020085</w:t>
      </w:r>
    </w:p>
    <w:p w14:paraId="2D383DA9" w14:textId="6682EB17" w:rsidR="00CB7766" w:rsidRPr="004831FD" w:rsidRDefault="00CB7766" w:rsidP="003F33F1">
      <w:pPr>
        <w:autoSpaceDE w:val="0"/>
        <w:autoSpaceDN w:val="0"/>
        <w:ind w:left="367" w:hanging="480"/>
        <w:rPr>
          <w:rFonts w:cs="Arial"/>
          <w:color w:val="000000"/>
        </w:rPr>
      </w:pPr>
      <w:r w:rsidRPr="00CB7766">
        <w:rPr>
          <w:rFonts w:cs="Arial"/>
          <w:color w:val="000000"/>
        </w:rPr>
        <w:t>Marchetti A., Valentino F., Gottardo M. and Zeppilli M., 2026</w:t>
      </w:r>
      <w:r>
        <w:rPr>
          <w:rFonts w:cs="Arial"/>
          <w:color w:val="000000"/>
        </w:rPr>
        <w:t>,</w:t>
      </w:r>
      <w:r w:rsidRPr="00CB7766">
        <w:rPr>
          <w:rFonts w:cs="Arial"/>
          <w:color w:val="000000"/>
        </w:rPr>
        <w:t xml:space="preserve"> </w:t>
      </w:r>
      <w:r w:rsidRPr="004831FD">
        <w:rPr>
          <w:rFonts w:cs="Arial"/>
          <w:color w:val="000000"/>
        </w:rPr>
        <w:t>Rapid screening approach to evaluate MEC performance for biohydrogen production using synthetic and real organic waste-derived substrates</w:t>
      </w:r>
      <w:r>
        <w:rPr>
          <w:rFonts w:cs="Arial"/>
          <w:color w:val="000000"/>
        </w:rPr>
        <w:t xml:space="preserve">, </w:t>
      </w:r>
      <w:r w:rsidRPr="00CB7766">
        <w:rPr>
          <w:rFonts w:cs="Arial"/>
          <w:color w:val="000000"/>
        </w:rPr>
        <w:t>Sustainable Energy Technologies and Assessments, 93</w:t>
      </w:r>
      <w:r w:rsidRPr="004831FD">
        <w:rPr>
          <w:rFonts w:cs="Arial"/>
          <w:color w:val="000000"/>
        </w:rPr>
        <w:t>, 105351. https://doi.org/10.1016/J.SETA.2026.105351</w:t>
      </w:r>
    </w:p>
    <w:p w14:paraId="3089C4C5" w14:textId="34BBD088" w:rsidR="00EE22B1" w:rsidRDefault="003F33F1" w:rsidP="003F33F1">
      <w:pPr>
        <w:autoSpaceDE w:val="0"/>
        <w:autoSpaceDN w:val="0"/>
        <w:ind w:left="367" w:hanging="480"/>
        <w:rPr>
          <w:rFonts w:cs="Arial"/>
          <w:color w:val="000000"/>
        </w:rPr>
      </w:pPr>
      <w:r w:rsidRPr="003F33F1">
        <w:rPr>
          <w:rFonts w:cs="Arial"/>
          <w:color w:val="000000"/>
        </w:rPr>
        <w:t xml:space="preserve">Marsili E., Rollefson J. B., Baron D. B., </w:t>
      </w:r>
      <w:proofErr w:type="spellStart"/>
      <w:r w:rsidRPr="003F33F1">
        <w:rPr>
          <w:rFonts w:cs="Arial"/>
          <w:color w:val="000000"/>
        </w:rPr>
        <w:t>Hozalski</w:t>
      </w:r>
      <w:proofErr w:type="spellEnd"/>
      <w:r w:rsidRPr="003F33F1">
        <w:rPr>
          <w:rFonts w:cs="Arial"/>
          <w:color w:val="000000"/>
        </w:rPr>
        <w:t xml:space="preserve"> R. M. and </w:t>
      </w:r>
      <w:r w:rsidRPr="004831FD">
        <w:rPr>
          <w:rFonts w:cs="Arial"/>
          <w:color w:val="000000"/>
        </w:rPr>
        <w:t>Bond D. R.</w:t>
      </w:r>
      <w:r>
        <w:rPr>
          <w:rFonts w:cs="Arial"/>
          <w:color w:val="000000"/>
        </w:rPr>
        <w:t xml:space="preserve">, </w:t>
      </w:r>
      <w:r w:rsidRPr="004831FD">
        <w:rPr>
          <w:rFonts w:cs="Arial"/>
          <w:color w:val="000000"/>
        </w:rPr>
        <w:t>2008</w:t>
      </w:r>
      <w:r>
        <w:rPr>
          <w:rFonts w:cs="Arial"/>
          <w:color w:val="000000"/>
        </w:rPr>
        <w:t>,</w:t>
      </w:r>
      <w:r w:rsidRPr="004831FD">
        <w:rPr>
          <w:rFonts w:cs="Arial"/>
          <w:color w:val="000000"/>
        </w:rPr>
        <w:t xml:space="preserve"> Microbial biofilm voltammetry: Direct electrochemical characterization of catalytic electrode-attached biofilms</w:t>
      </w:r>
      <w:r>
        <w:rPr>
          <w:rFonts w:cs="Arial"/>
          <w:color w:val="000000"/>
        </w:rPr>
        <w:t xml:space="preserve">, </w:t>
      </w:r>
      <w:r w:rsidRPr="003F33F1">
        <w:rPr>
          <w:rFonts w:cs="Arial"/>
          <w:color w:val="000000"/>
        </w:rPr>
        <w:t>Applied and Environmental Microbiology, 74</w:t>
      </w:r>
      <w:r w:rsidRPr="004831FD">
        <w:rPr>
          <w:rFonts w:cs="Arial"/>
          <w:color w:val="000000"/>
        </w:rPr>
        <w:t>(23), 7329–7337. https://doi.org/10.1128/AEM.00177-08</w:t>
      </w:r>
    </w:p>
    <w:p w14:paraId="23CB3789" w14:textId="109D4942" w:rsidR="002207F3" w:rsidRDefault="002207F3" w:rsidP="003F33F1">
      <w:pPr>
        <w:autoSpaceDE w:val="0"/>
        <w:autoSpaceDN w:val="0"/>
        <w:ind w:left="367" w:hanging="480"/>
        <w:rPr>
          <w:rFonts w:cs="Arial"/>
          <w:color w:val="000000"/>
        </w:rPr>
      </w:pPr>
      <w:r w:rsidRPr="004831FD">
        <w:rPr>
          <w:rFonts w:cs="Arial"/>
          <w:color w:val="000000"/>
        </w:rPr>
        <w:t xml:space="preserve">Mohamed Ashiq N., Juma Al Rahma Aldarmaki A. A., Saif </w:t>
      </w:r>
      <w:proofErr w:type="spellStart"/>
      <w:r w:rsidRPr="004831FD">
        <w:rPr>
          <w:rFonts w:cs="Arial"/>
          <w:color w:val="000000"/>
        </w:rPr>
        <w:t>Alketbi</w:t>
      </w:r>
      <w:proofErr w:type="spellEnd"/>
      <w:r w:rsidRPr="004831FD">
        <w:rPr>
          <w:rFonts w:cs="Arial"/>
          <w:color w:val="000000"/>
        </w:rPr>
        <w:t xml:space="preserve"> M. S., Abdullah Alshehhi H. A., Obaid Alkaabi A. S., Mubarak Saeed Alshamsi N. S.</w:t>
      </w:r>
      <w:r w:rsidR="003F33F1">
        <w:rPr>
          <w:rFonts w:cs="Arial"/>
          <w:color w:val="000000"/>
        </w:rPr>
        <w:t xml:space="preserve"> and</w:t>
      </w:r>
      <w:r w:rsidRPr="004831FD">
        <w:rPr>
          <w:rFonts w:cs="Arial"/>
          <w:color w:val="000000"/>
        </w:rPr>
        <w:t xml:space="preserve"> Aly Hassan</w:t>
      </w:r>
      <w:r w:rsidR="003F33F1">
        <w:rPr>
          <w:rFonts w:cs="Arial"/>
          <w:color w:val="000000"/>
        </w:rPr>
        <w:t xml:space="preserve"> </w:t>
      </w:r>
      <w:r w:rsidRPr="004831FD">
        <w:rPr>
          <w:rFonts w:cs="Arial"/>
          <w:color w:val="000000"/>
        </w:rPr>
        <w:t>A.</w:t>
      </w:r>
      <w:r w:rsidR="003F33F1">
        <w:rPr>
          <w:rFonts w:cs="Arial"/>
          <w:color w:val="000000"/>
        </w:rPr>
        <w:t>,</w:t>
      </w:r>
      <w:r w:rsidRPr="004831FD">
        <w:rPr>
          <w:rFonts w:cs="Arial"/>
          <w:color w:val="000000"/>
        </w:rPr>
        <w:t xml:space="preserve"> 2025</w:t>
      </w:r>
      <w:r w:rsidR="003F33F1">
        <w:rPr>
          <w:rFonts w:cs="Arial"/>
          <w:color w:val="000000"/>
        </w:rPr>
        <w:t>,</w:t>
      </w:r>
      <w:r w:rsidRPr="004831FD">
        <w:rPr>
          <w:rFonts w:cs="Arial"/>
          <w:color w:val="000000"/>
        </w:rPr>
        <w:t xml:space="preserve"> Challenges in Operating a Microbial Electrolysis Cell (MEC): Translating Biofilm Activity to Electron Flow and Hydrogen</w:t>
      </w:r>
      <w:r w:rsidR="003F33F1">
        <w:rPr>
          <w:rFonts w:cs="Arial"/>
          <w:color w:val="000000"/>
        </w:rPr>
        <w:t>,</w:t>
      </w:r>
      <w:r w:rsidRPr="004831FD">
        <w:rPr>
          <w:rFonts w:cs="Arial"/>
          <w:color w:val="000000"/>
        </w:rPr>
        <w:t xml:space="preserve"> </w:t>
      </w:r>
      <w:r w:rsidRPr="003F33F1">
        <w:rPr>
          <w:rFonts w:cs="Arial"/>
          <w:color w:val="000000"/>
        </w:rPr>
        <w:t>Sustainability</w:t>
      </w:r>
      <w:r w:rsidRPr="004831FD">
        <w:rPr>
          <w:rFonts w:cs="Arial"/>
          <w:color w:val="000000"/>
        </w:rPr>
        <w:t xml:space="preserve">, </w:t>
      </w:r>
      <w:r w:rsidRPr="003F33F1">
        <w:rPr>
          <w:rFonts w:cs="Arial"/>
          <w:color w:val="000000"/>
        </w:rPr>
        <w:t>17</w:t>
      </w:r>
      <w:r w:rsidRPr="004831FD">
        <w:rPr>
          <w:rFonts w:cs="Arial"/>
          <w:color w:val="000000"/>
        </w:rPr>
        <w:t xml:space="preserve">(24), 11216. </w:t>
      </w:r>
      <w:hyperlink r:id="rId16" w:history="1">
        <w:r w:rsidR="003F33F1" w:rsidRPr="003F33F1">
          <w:rPr>
            <w:color w:val="000000"/>
          </w:rPr>
          <w:t>https://doi.org/10.3390/su172411216</w:t>
        </w:r>
      </w:hyperlink>
    </w:p>
    <w:p w14:paraId="7D102092" w14:textId="32AB45F6" w:rsidR="003F33F1" w:rsidRPr="00012C41" w:rsidRDefault="003F33F1" w:rsidP="003F33F1">
      <w:pPr>
        <w:autoSpaceDE w:val="0"/>
        <w:autoSpaceDN w:val="0"/>
        <w:ind w:left="367" w:hanging="480"/>
        <w:rPr>
          <w:rFonts w:cs="Arial"/>
          <w:color w:val="000000"/>
        </w:rPr>
      </w:pPr>
      <w:r w:rsidRPr="004831FD">
        <w:rPr>
          <w:rFonts w:cs="Arial"/>
          <w:color w:val="000000"/>
        </w:rPr>
        <w:t>Pal R., Pal D. B.</w:t>
      </w:r>
      <w:r>
        <w:rPr>
          <w:rFonts w:cs="Arial"/>
          <w:color w:val="000000"/>
        </w:rPr>
        <w:t xml:space="preserve"> and</w:t>
      </w:r>
      <w:r w:rsidRPr="004831FD">
        <w:rPr>
          <w:rFonts w:cs="Arial"/>
          <w:color w:val="000000"/>
        </w:rPr>
        <w:t xml:space="preserve"> </w:t>
      </w:r>
      <w:proofErr w:type="spellStart"/>
      <w:r w:rsidRPr="004831FD">
        <w:rPr>
          <w:rFonts w:cs="Arial"/>
          <w:color w:val="000000"/>
        </w:rPr>
        <w:t>Rathoure</w:t>
      </w:r>
      <w:proofErr w:type="spellEnd"/>
      <w:r w:rsidRPr="004831FD">
        <w:rPr>
          <w:rFonts w:cs="Arial"/>
          <w:color w:val="000000"/>
        </w:rPr>
        <w:t xml:space="preserve"> A. K.</w:t>
      </w:r>
      <w:r>
        <w:rPr>
          <w:rFonts w:cs="Arial"/>
          <w:color w:val="000000"/>
        </w:rPr>
        <w:t xml:space="preserve">, </w:t>
      </w:r>
      <w:r w:rsidRPr="004831FD">
        <w:rPr>
          <w:rFonts w:cs="Arial"/>
          <w:color w:val="000000"/>
        </w:rPr>
        <w:t>2025</w:t>
      </w:r>
      <w:r>
        <w:rPr>
          <w:rFonts w:cs="Arial"/>
          <w:color w:val="000000"/>
        </w:rPr>
        <w:t>,</w:t>
      </w:r>
      <w:r w:rsidRPr="004831FD">
        <w:rPr>
          <w:rFonts w:cs="Arial"/>
          <w:color w:val="000000"/>
        </w:rPr>
        <w:t xml:space="preserve"> </w:t>
      </w:r>
      <w:r w:rsidRPr="004831FD">
        <w:rPr>
          <w:rFonts w:cs="Arial"/>
          <w:i/>
          <w:iCs/>
          <w:color w:val="000000"/>
        </w:rPr>
        <w:t>Bio-Hydrogen Production from Biomass Feedstocks: Innovations and Sustainable Pathways</w:t>
      </w:r>
      <w:r>
        <w:rPr>
          <w:rFonts w:cs="Arial"/>
          <w:color w:val="000000"/>
        </w:rPr>
        <w:t xml:space="preserve">, </w:t>
      </w:r>
      <w:r w:rsidRPr="003F33F1">
        <w:rPr>
          <w:rFonts w:cs="Arial"/>
          <w:i/>
          <w:iCs/>
          <w:color w:val="000000"/>
        </w:rPr>
        <w:t>Clean Energy Technologies: Status and Perspective of Next-Generation Fuels</w:t>
      </w:r>
      <w:r>
        <w:rPr>
          <w:rFonts w:cs="Arial"/>
          <w:color w:val="000000"/>
        </w:rPr>
        <w:t>,</w:t>
      </w:r>
      <w:r w:rsidRPr="004831FD">
        <w:rPr>
          <w:rFonts w:cs="Arial"/>
          <w:color w:val="000000"/>
        </w:rPr>
        <w:t xml:space="preserve">105–129. </w:t>
      </w:r>
      <w:hyperlink r:id="rId17" w:history="1">
        <w:r w:rsidR="00EE7724" w:rsidRPr="00EE7724">
          <w:rPr>
            <w:color w:val="000000"/>
          </w:rPr>
          <w:t>https://doi.org/10.1007/978-981-96-7925-6_6</w:t>
        </w:r>
      </w:hyperlink>
    </w:p>
    <w:p w14:paraId="736A8EBD" w14:textId="667094DC" w:rsidR="00EE7724" w:rsidRPr="004831FD" w:rsidRDefault="00EE7724" w:rsidP="003F33F1">
      <w:pPr>
        <w:autoSpaceDE w:val="0"/>
        <w:autoSpaceDN w:val="0"/>
        <w:ind w:left="367" w:hanging="480"/>
        <w:rPr>
          <w:rFonts w:cs="Arial"/>
          <w:color w:val="000000"/>
        </w:rPr>
      </w:pPr>
      <w:r w:rsidRPr="00EE7724">
        <w:rPr>
          <w:rFonts w:cs="Arial"/>
          <w:color w:val="000000"/>
        </w:rPr>
        <w:t xml:space="preserve">Stoller M., Marchetti A. and </w:t>
      </w:r>
      <w:proofErr w:type="spellStart"/>
      <w:r w:rsidRPr="00EE7724">
        <w:rPr>
          <w:rFonts w:cs="Arial"/>
          <w:color w:val="000000"/>
        </w:rPr>
        <w:t>Ochando</w:t>
      </w:r>
      <w:proofErr w:type="spellEnd"/>
      <w:r w:rsidRPr="00EE7724">
        <w:rPr>
          <w:rFonts w:cs="Arial"/>
          <w:color w:val="000000"/>
        </w:rPr>
        <w:t xml:space="preserve"> Pulido J. M., 2019</w:t>
      </w:r>
      <w:r>
        <w:rPr>
          <w:rFonts w:cs="Arial"/>
          <w:color w:val="000000"/>
        </w:rPr>
        <w:t>,</w:t>
      </w:r>
      <w:r w:rsidRPr="00EE7724">
        <w:rPr>
          <w:rFonts w:cs="Arial"/>
          <w:color w:val="000000"/>
        </w:rPr>
        <w:t xml:space="preserve"> </w:t>
      </w:r>
      <w:r w:rsidRPr="00CF51D5">
        <w:rPr>
          <w:rFonts w:cs="Arial"/>
          <w:color w:val="000000"/>
        </w:rPr>
        <w:t>On the effect of specific boundary flux parameters on membrane process design</w:t>
      </w:r>
      <w:r>
        <w:rPr>
          <w:rFonts w:cs="Arial"/>
          <w:color w:val="000000"/>
        </w:rPr>
        <w:t>,</w:t>
      </w:r>
      <w:r w:rsidRPr="00CF51D5">
        <w:rPr>
          <w:rFonts w:cs="Arial"/>
          <w:color w:val="000000"/>
        </w:rPr>
        <w:t xml:space="preserve"> </w:t>
      </w:r>
      <w:r w:rsidRPr="00CF51D5">
        <w:rPr>
          <w:rFonts w:cs="Arial"/>
          <w:i/>
          <w:iCs/>
          <w:color w:val="000000"/>
        </w:rPr>
        <w:t>Chemical Engineering Transactions</w:t>
      </w:r>
      <w:r w:rsidRPr="00CF51D5">
        <w:rPr>
          <w:rFonts w:cs="Arial"/>
          <w:color w:val="000000"/>
        </w:rPr>
        <w:t xml:space="preserve">, </w:t>
      </w:r>
      <w:r w:rsidRPr="00EE7724">
        <w:rPr>
          <w:rFonts w:cs="Arial"/>
          <w:color w:val="000000"/>
        </w:rPr>
        <w:t>74</w:t>
      </w:r>
      <w:r w:rsidRPr="00CF51D5">
        <w:rPr>
          <w:rFonts w:cs="Arial"/>
          <w:color w:val="000000"/>
        </w:rPr>
        <w:t>. https://doi.org/10.3303/CET1974115</w:t>
      </w:r>
    </w:p>
    <w:p w14:paraId="28AE790B" w14:textId="4076EBDF" w:rsidR="00CF51D5" w:rsidRDefault="00CB7766" w:rsidP="00EE7724">
      <w:pPr>
        <w:autoSpaceDE w:val="0"/>
        <w:autoSpaceDN w:val="0"/>
        <w:ind w:left="367" w:hanging="480"/>
        <w:rPr>
          <w:rFonts w:cs="Arial"/>
          <w:color w:val="000000"/>
        </w:rPr>
      </w:pPr>
      <w:r w:rsidRPr="00B116E2">
        <w:rPr>
          <w:rFonts w:cs="Arial"/>
          <w:color w:val="000000"/>
        </w:rPr>
        <w:t>Zainal B. S., Ker P. J., Mohamed H., Ong H. C., Fattah I. M. R., Rahman S. M. A., Nghiem L. D. and Mahlia T. M. I., 2024, Recent advancement and assessment of green hydrogen production technologies. Renewable and Sustainable Energy Reviews, 189, 113941. https://doi.org/10.1016/J.RSER.2023.113941</w:t>
      </w:r>
    </w:p>
    <w:sectPr w:rsidR="00CF51D5" w:rsidSect="006270CF">
      <w:pgSz w:w="11906" w:h="16838"/>
      <w:pgMar w:top="1701" w:right="1418" w:bottom="170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dvP6960">
    <w:altName w:val="Cambria"/>
    <w:panose1 w:val="00000000000000000000"/>
    <w:charset w:val="4D"/>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ptos Narrow">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58AF15E"/>
    <w:lvl w:ilvl="0">
      <w:start w:val="1"/>
      <w:numFmt w:val="decimal"/>
      <w:pStyle w:val="Numeroelenco5"/>
      <w:lvlText w:val="%1."/>
      <w:lvlJc w:val="left"/>
      <w:pPr>
        <w:tabs>
          <w:tab w:val="num" w:pos="1492"/>
        </w:tabs>
        <w:ind w:left="1492" w:hanging="360"/>
      </w:pPr>
    </w:lvl>
  </w:abstractNum>
  <w:abstractNum w:abstractNumId="1" w15:restartNumberingAfterBreak="0">
    <w:nsid w:val="FFFFFF7D"/>
    <w:multiLevelType w:val="singleLevel"/>
    <w:tmpl w:val="65EC884E"/>
    <w:lvl w:ilvl="0">
      <w:start w:val="1"/>
      <w:numFmt w:val="decimal"/>
      <w:pStyle w:val="Numeroelenco4"/>
      <w:lvlText w:val="%1."/>
      <w:lvlJc w:val="left"/>
      <w:pPr>
        <w:tabs>
          <w:tab w:val="num" w:pos="1209"/>
        </w:tabs>
        <w:ind w:left="1209" w:hanging="360"/>
      </w:pPr>
    </w:lvl>
  </w:abstractNum>
  <w:abstractNum w:abstractNumId="2" w15:restartNumberingAfterBreak="0">
    <w:nsid w:val="FFFFFF7E"/>
    <w:multiLevelType w:val="singleLevel"/>
    <w:tmpl w:val="408CBE96"/>
    <w:lvl w:ilvl="0">
      <w:start w:val="1"/>
      <w:numFmt w:val="decimal"/>
      <w:pStyle w:val="Numeroelenco3"/>
      <w:lvlText w:val="%1."/>
      <w:lvlJc w:val="left"/>
      <w:pPr>
        <w:tabs>
          <w:tab w:val="num" w:pos="926"/>
        </w:tabs>
        <w:ind w:left="926" w:hanging="360"/>
      </w:pPr>
    </w:lvl>
  </w:abstractNum>
  <w:abstractNum w:abstractNumId="3" w15:restartNumberingAfterBreak="0">
    <w:nsid w:val="FFFFFF7F"/>
    <w:multiLevelType w:val="singleLevel"/>
    <w:tmpl w:val="CFC0B388"/>
    <w:lvl w:ilvl="0">
      <w:start w:val="1"/>
      <w:numFmt w:val="decimal"/>
      <w:pStyle w:val="Numeroelenco2"/>
      <w:lvlText w:val="%1."/>
      <w:lvlJc w:val="left"/>
      <w:pPr>
        <w:tabs>
          <w:tab w:val="num" w:pos="643"/>
        </w:tabs>
        <w:ind w:left="643" w:hanging="360"/>
      </w:pPr>
    </w:lvl>
  </w:abstractNum>
  <w:abstractNum w:abstractNumId="4" w15:restartNumberingAfterBreak="0">
    <w:nsid w:val="FFFFFF80"/>
    <w:multiLevelType w:val="singleLevel"/>
    <w:tmpl w:val="CA34EB48"/>
    <w:lvl w:ilvl="0">
      <w:start w:val="1"/>
      <w:numFmt w:val="bullet"/>
      <w:pStyle w:val="Puntoelenco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85C6BD6"/>
    <w:lvl w:ilvl="0">
      <w:start w:val="1"/>
      <w:numFmt w:val="bullet"/>
      <w:pStyle w:val="Puntoelenco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7A9968"/>
    <w:lvl w:ilvl="0">
      <w:start w:val="1"/>
      <w:numFmt w:val="bullet"/>
      <w:pStyle w:val="Puntoelenco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ED27934"/>
    <w:lvl w:ilvl="0">
      <w:start w:val="1"/>
      <w:numFmt w:val="bullet"/>
      <w:pStyle w:val="Puntoelenco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5F4206A"/>
    <w:lvl w:ilvl="0">
      <w:start w:val="1"/>
      <w:numFmt w:val="decimal"/>
      <w:pStyle w:val="Numeroelenco"/>
      <w:lvlText w:val="%1."/>
      <w:lvlJc w:val="left"/>
      <w:pPr>
        <w:tabs>
          <w:tab w:val="num" w:pos="360"/>
        </w:tabs>
        <w:ind w:left="360" w:hanging="360"/>
      </w:pPr>
    </w:lvl>
  </w:abstractNum>
  <w:abstractNum w:abstractNumId="9" w15:restartNumberingAfterBreak="0">
    <w:nsid w:val="FFFFFF89"/>
    <w:multiLevelType w:val="singleLevel"/>
    <w:tmpl w:val="206ACE1A"/>
    <w:lvl w:ilvl="0">
      <w:start w:val="1"/>
      <w:numFmt w:val="bullet"/>
      <w:pStyle w:val="Puntoelenco"/>
      <w:lvlText w:val=""/>
      <w:lvlJc w:val="left"/>
      <w:pPr>
        <w:tabs>
          <w:tab w:val="num" w:pos="360"/>
        </w:tabs>
        <w:ind w:left="360" w:hanging="360"/>
      </w:pPr>
      <w:rPr>
        <w:rFonts w:ascii="Symbol" w:hAnsi="Symbol" w:hint="default"/>
      </w:rPr>
    </w:lvl>
  </w:abstractNum>
  <w:abstractNum w:abstractNumId="10" w15:restartNumberingAfterBreak="0">
    <w:nsid w:val="2438217E"/>
    <w:multiLevelType w:val="multilevel"/>
    <w:tmpl w:val="F17228D6"/>
    <w:lvl w:ilvl="0">
      <w:start w:val="1"/>
      <w:numFmt w:val="decimal"/>
      <w:suff w:val="space"/>
      <w:lvlText w:val="Chapter %1"/>
      <w:lvlJc w:val="left"/>
      <w:pPr>
        <w:ind w:left="0" w:firstLine="0"/>
      </w:pPr>
      <w:rPr>
        <w:rFonts w:hint="default"/>
      </w:rPr>
    </w:lvl>
    <w:lvl w:ilvl="1">
      <w:start w:val="1"/>
      <w:numFmt w:val="decimal"/>
      <w:pStyle w:val="CETHeading1"/>
      <w:suff w:val="space"/>
      <w:lvlText w:val="%2."/>
      <w:lvlJc w:val="left"/>
      <w:pPr>
        <w:ind w:left="0" w:firstLine="0"/>
      </w:pPr>
      <w:rPr>
        <w:rFonts w:hint="default"/>
      </w:rPr>
    </w:lvl>
    <w:lvl w:ilvl="2">
      <w:start w:val="1"/>
      <w:numFmt w:val="decimal"/>
      <w:pStyle w:val="CETheadingx"/>
      <w:suff w:val="space"/>
      <w:lvlText w:val="%2.%3"/>
      <w:lvlJc w:val="left"/>
      <w:pPr>
        <w:ind w:left="0" w:firstLine="0"/>
      </w:pPr>
      <w:rPr>
        <w:rFonts w:hint="default"/>
      </w:rPr>
    </w:lvl>
    <w:lvl w:ilvl="3">
      <w:start w:val="1"/>
      <w:numFmt w:val="decimal"/>
      <w:pStyle w:val="Tabellasemplice1"/>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1" w15:restartNumberingAfterBreak="0">
    <w:nsid w:val="330B7370"/>
    <w:multiLevelType w:val="hybridMultilevel"/>
    <w:tmpl w:val="12E2AD3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351E0394"/>
    <w:multiLevelType w:val="hybridMultilevel"/>
    <w:tmpl w:val="806658E2"/>
    <w:lvl w:ilvl="0" w:tplc="14B0F7A8">
      <w:start w:val="1"/>
      <w:numFmt w:val="bullet"/>
      <w:pStyle w:val="CETnumberingbullets"/>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9C329B9"/>
    <w:multiLevelType w:val="hybridMultilevel"/>
    <w:tmpl w:val="A2E6C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B100E8"/>
    <w:multiLevelType w:val="hybridMultilevel"/>
    <w:tmpl w:val="6F34C070"/>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5" w15:restartNumberingAfterBreak="0">
    <w:nsid w:val="50A87BA7"/>
    <w:multiLevelType w:val="hybridMultilevel"/>
    <w:tmpl w:val="1F6A8AD4"/>
    <w:lvl w:ilvl="0" w:tplc="14B0F7A8">
      <w:start w:val="1"/>
      <w:numFmt w:val="bullet"/>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52217387"/>
    <w:multiLevelType w:val="hybridMultilevel"/>
    <w:tmpl w:val="C2AE185A"/>
    <w:lvl w:ilvl="0" w:tplc="14090011">
      <w:start w:val="1"/>
      <w:numFmt w:val="decimal"/>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6205803"/>
    <w:multiLevelType w:val="multilevel"/>
    <w:tmpl w:val="444C89D0"/>
    <w:lvl w:ilvl="0">
      <w:start w:val="1"/>
      <w:numFmt w:val="decimal"/>
      <w:suff w:val="space"/>
      <w:lvlText w:val="Chapter %1"/>
      <w:lvlJc w:val="left"/>
      <w:pPr>
        <w:ind w:left="0" w:firstLine="0"/>
      </w:pPr>
      <w:rPr>
        <w:rFonts w:hint="default"/>
      </w:rPr>
    </w:lvl>
    <w:lvl w:ilvl="1">
      <w:start w:val="1"/>
      <w:numFmt w:val="decimal"/>
      <w:suff w:val="space"/>
      <w:lvlText w:val="%2."/>
      <w:lvlJc w:val="left"/>
      <w:pPr>
        <w:ind w:left="0" w:firstLine="0"/>
      </w:pPr>
      <w:rPr>
        <w:rFonts w:hint="default"/>
      </w:rPr>
    </w:lvl>
    <w:lvl w:ilvl="2">
      <w:start w:val="1"/>
      <w:numFmt w:val="decimal"/>
      <w:suff w:val="space"/>
      <w:lvlText w:val="%2.%3."/>
      <w:lvlJc w:val="left"/>
      <w:pPr>
        <w:ind w:left="0" w:firstLine="0"/>
      </w:pPr>
      <w:rPr>
        <w:rFonts w:hint="default"/>
      </w:rPr>
    </w:lvl>
    <w:lvl w:ilvl="3">
      <w:start w:val="1"/>
      <w:numFmt w:val="decimal"/>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8" w15:restartNumberingAfterBreak="0">
    <w:nsid w:val="5AD311D0"/>
    <w:multiLevelType w:val="hybridMultilevel"/>
    <w:tmpl w:val="F198FF08"/>
    <w:lvl w:ilvl="0" w:tplc="62EA088C">
      <w:start w:val="1"/>
      <w:numFmt w:val="decimal"/>
      <w:pStyle w:val="CETnumbering1"/>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662015B5"/>
    <w:multiLevelType w:val="hybridMultilevel"/>
    <w:tmpl w:val="CCDE094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6865266D"/>
    <w:multiLevelType w:val="hybridMultilevel"/>
    <w:tmpl w:val="F5BE3C4A"/>
    <w:lvl w:ilvl="0" w:tplc="9FC4D28C">
      <w:start w:val="1"/>
      <w:numFmt w:val="lowerLetter"/>
      <w:pStyle w:val="CETnumberinga"/>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42289028">
    <w:abstractNumId w:val="10"/>
  </w:num>
  <w:num w:numId="2" w16cid:durableId="1674332172">
    <w:abstractNumId w:val="8"/>
  </w:num>
  <w:num w:numId="3" w16cid:durableId="761530900">
    <w:abstractNumId w:val="3"/>
  </w:num>
  <w:num w:numId="4" w16cid:durableId="1457599994">
    <w:abstractNumId w:val="2"/>
  </w:num>
  <w:num w:numId="5" w16cid:durableId="2144231336">
    <w:abstractNumId w:val="1"/>
  </w:num>
  <w:num w:numId="6" w16cid:durableId="2054188077">
    <w:abstractNumId w:val="0"/>
  </w:num>
  <w:num w:numId="7" w16cid:durableId="1274359869">
    <w:abstractNumId w:val="9"/>
  </w:num>
  <w:num w:numId="8" w16cid:durableId="1585842697">
    <w:abstractNumId w:val="7"/>
  </w:num>
  <w:num w:numId="9" w16cid:durableId="457722310">
    <w:abstractNumId w:val="6"/>
  </w:num>
  <w:num w:numId="10" w16cid:durableId="94792440">
    <w:abstractNumId w:val="5"/>
  </w:num>
  <w:num w:numId="11" w16cid:durableId="1831747616">
    <w:abstractNumId w:val="4"/>
  </w:num>
  <w:num w:numId="12" w16cid:durableId="1421369194">
    <w:abstractNumId w:val="17"/>
  </w:num>
  <w:num w:numId="13" w16cid:durableId="818962082">
    <w:abstractNumId w:val="12"/>
  </w:num>
  <w:num w:numId="14" w16cid:durableId="996301374">
    <w:abstractNumId w:val="18"/>
  </w:num>
  <w:num w:numId="15" w16cid:durableId="880937936">
    <w:abstractNumId w:val="20"/>
  </w:num>
  <w:num w:numId="16" w16cid:durableId="1571116087">
    <w:abstractNumId w:val="19"/>
  </w:num>
  <w:num w:numId="17" w16cid:durableId="2107842673">
    <w:abstractNumId w:val="11"/>
  </w:num>
  <w:num w:numId="18" w16cid:durableId="313221457">
    <w:abstractNumId w:val="12"/>
    <w:lvlOverride w:ilvl="0">
      <w:startOverride w:val="1"/>
    </w:lvlOverride>
  </w:num>
  <w:num w:numId="19" w16cid:durableId="646475406">
    <w:abstractNumId w:val="16"/>
  </w:num>
  <w:num w:numId="20" w16cid:durableId="358317842">
    <w:abstractNumId w:val="15"/>
  </w:num>
  <w:num w:numId="21" w16cid:durableId="580603098">
    <w:abstractNumId w:val="14"/>
  </w:num>
  <w:num w:numId="22" w16cid:durableId="214218314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s>
  <w:rsids>
    <w:rsidRoot w:val="000014EE"/>
    <w:rsid w:val="000014EE"/>
    <w:rsid w:val="00012C41"/>
    <w:rsid w:val="0002584E"/>
    <w:rsid w:val="000424C7"/>
    <w:rsid w:val="00050C85"/>
    <w:rsid w:val="000B188F"/>
    <w:rsid w:val="000B4C4D"/>
    <w:rsid w:val="000D06CF"/>
    <w:rsid w:val="000E25AF"/>
    <w:rsid w:val="000E32BC"/>
    <w:rsid w:val="000F1DFE"/>
    <w:rsid w:val="000F1E2B"/>
    <w:rsid w:val="001342BC"/>
    <w:rsid w:val="001426B0"/>
    <w:rsid w:val="0014552B"/>
    <w:rsid w:val="00147997"/>
    <w:rsid w:val="00150711"/>
    <w:rsid w:val="00173945"/>
    <w:rsid w:val="00186164"/>
    <w:rsid w:val="00187E5C"/>
    <w:rsid w:val="001A4273"/>
    <w:rsid w:val="001A7F71"/>
    <w:rsid w:val="001E0035"/>
    <w:rsid w:val="001F36AF"/>
    <w:rsid w:val="0020232E"/>
    <w:rsid w:val="002026CD"/>
    <w:rsid w:val="00214904"/>
    <w:rsid w:val="002207F3"/>
    <w:rsid w:val="002234E7"/>
    <w:rsid w:val="00224DBD"/>
    <w:rsid w:val="002702F4"/>
    <w:rsid w:val="002705D0"/>
    <w:rsid w:val="002753B1"/>
    <w:rsid w:val="00291778"/>
    <w:rsid w:val="002A7BA4"/>
    <w:rsid w:val="002C0A4F"/>
    <w:rsid w:val="002C0CB2"/>
    <w:rsid w:val="002D067C"/>
    <w:rsid w:val="002D5E6D"/>
    <w:rsid w:val="002D6B30"/>
    <w:rsid w:val="002F4DF0"/>
    <w:rsid w:val="00311D32"/>
    <w:rsid w:val="003175D5"/>
    <w:rsid w:val="00321BE0"/>
    <w:rsid w:val="00327018"/>
    <w:rsid w:val="00333B2C"/>
    <w:rsid w:val="00342A8A"/>
    <w:rsid w:val="00365C10"/>
    <w:rsid w:val="00397405"/>
    <w:rsid w:val="003A09C0"/>
    <w:rsid w:val="003A266B"/>
    <w:rsid w:val="003C246D"/>
    <w:rsid w:val="003C57CD"/>
    <w:rsid w:val="003D346A"/>
    <w:rsid w:val="003D5886"/>
    <w:rsid w:val="003E159A"/>
    <w:rsid w:val="003E1A47"/>
    <w:rsid w:val="003E7C27"/>
    <w:rsid w:val="003F33F1"/>
    <w:rsid w:val="00415751"/>
    <w:rsid w:val="0043416E"/>
    <w:rsid w:val="0045269F"/>
    <w:rsid w:val="00470ED6"/>
    <w:rsid w:val="004831FD"/>
    <w:rsid w:val="004A2938"/>
    <w:rsid w:val="004C22DF"/>
    <w:rsid w:val="004F6369"/>
    <w:rsid w:val="005054A4"/>
    <w:rsid w:val="00510318"/>
    <w:rsid w:val="00512940"/>
    <w:rsid w:val="00535AF3"/>
    <w:rsid w:val="00536683"/>
    <w:rsid w:val="0055572A"/>
    <w:rsid w:val="00564110"/>
    <w:rsid w:val="005804E0"/>
    <w:rsid w:val="00586A5B"/>
    <w:rsid w:val="005D5FC7"/>
    <w:rsid w:val="005E71EC"/>
    <w:rsid w:val="006057C3"/>
    <w:rsid w:val="00613C58"/>
    <w:rsid w:val="00616730"/>
    <w:rsid w:val="00623BF7"/>
    <w:rsid w:val="00626451"/>
    <w:rsid w:val="006270CF"/>
    <w:rsid w:val="00634BC1"/>
    <w:rsid w:val="00643CBB"/>
    <w:rsid w:val="00643F65"/>
    <w:rsid w:val="00645078"/>
    <w:rsid w:val="0067580B"/>
    <w:rsid w:val="006A1129"/>
    <w:rsid w:val="006C70E4"/>
    <w:rsid w:val="006D1AD2"/>
    <w:rsid w:val="006E7549"/>
    <w:rsid w:val="006F0F91"/>
    <w:rsid w:val="006F2C44"/>
    <w:rsid w:val="00705D48"/>
    <w:rsid w:val="00710D44"/>
    <w:rsid w:val="00716B73"/>
    <w:rsid w:val="007220DF"/>
    <w:rsid w:val="00742015"/>
    <w:rsid w:val="00756696"/>
    <w:rsid w:val="00770408"/>
    <w:rsid w:val="0078206A"/>
    <w:rsid w:val="00791576"/>
    <w:rsid w:val="007943B7"/>
    <w:rsid w:val="007A36C6"/>
    <w:rsid w:val="007A4F9C"/>
    <w:rsid w:val="007A7E44"/>
    <w:rsid w:val="007C33B0"/>
    <w:rsid w:val="007D1217"/>
    <w:rsid w:val="007D6B3E"/>
    <w:rsid w:val="007E215D"/>
    <w:rsid w:val="007E75B5"/>
    <w:rsid w:val="008016BB"/>
    <w:rsid w:val="00811EFF"/>
    <w:rsid w:val="00820F22"/>
    <w:rsid w:val="00824329"/>
    <w:rsid w:val="008268DD"/>
    <w:rsid w:val="00847D9B"/>
    <w:rsid w:val="00850199"/>
    <w:rsid w:val="00891080"/>
    <w:rsid w:val="008B5AE1"/>
    <w:rsid w:val="008D17C1"/>
    <w:rsid w:val="008E1F00"/>
    <w:rsid w:val="008E4366"/>
    <w:rsid w:val="008E744A"/>
    <w:rsid w:val="008F07A5"/>
    <w:rsid w:val="00914316"/>
    <w:rsid w:val="00953C24"/>
    <w:rsid w:val="009558C9"/>
    <w:rsid w:val="00992977"/>
    <w:rsid w:val="009B1AF2"/>
    <w:rsid w:val="009C5154"/>
    <w:rsid w:val="009C674D"/>
    <w:rsid w:val="009D4375"/>
    <w:rsid w:val="009D59D1"/>
    <w:rsid w:val="009E04AA"/>
    <w:rsid w:val="00A154B8"/>
    <w:rsid w:val="00A1630F"/>
    <w:rsid w:val="00A35965"/>
    <w:rsid w:val="00A35FE9"/>
    <w:rsid w:val="00A44259"/>
    <w:rsid w:val="00A46AB8"/>
    <w:rsid w:val="00A52EFC"/>
    <w:rsid w:val="00A93D6B"/>
    <w:rsid w:val="00AA02D3"/>
    <w:rsid w:val="00AC31A0"/>
    <w:rsid w:val="00AD422A"/>
    <w:rsid w:val="00B04AC2"/>
    <w:rsid w:val="00B10723"/>
    <w:rsid w:val="00B116E2"/>
    <w:rsid w:val="00B32EFC"/>
    <w:rsid w:val="00B5430F"/>
    <w:rsid w:val="00B67441"/>
    <w:rsid w:val="00B74993"/>
    <w:rsid w:val="00B77B6D"/>
    <w:rsid w:val="00B95F5F"/>
    <w:rsid w:val="00BC2D8E"/>
    <w:rsid w:val="00BC40DF"/>
    <w:rsid w:val="00C01047"/>
    <w:rsid w:val="00C022C6"/>
    <w:rsid w:val="00C12E98"/>
    <w:rsid w:val="00C169DC"/>
    <w:rsid w:val="00C17D59"/>
    <w:rsid w:val="00C17E00"/>
    <w:rsid w:val="00C2411E"/>
    <w:rsid w:val="00C25B00"/>
    <w:rsid w:val="00C56686"/>
    <w:rsid w:val="00C65666"/>
    <w:rsid w:val="00CB7766"/>
    <w:rsid w:val="00CE2E97"/>
    <w:rsid w:val="00CF445F"/>
    <w:rsid w:val="00CF51D5"/>
    <w:rsid w:val="00D02BDA"/>
    <w:rsid w:val="00D14C8A"/>
    <w:rsid w:val="00D30B80"/>
    <w:rsid w:val="00D52BB7"/>
    <w:rsid w:val="00D62189"/>
    <w:rsid w:val="00DA52A5"/>
    <w:rsid w:val="00DB05B9"/>
    <w:rsid w:val="00DB57F0"/>
    <w:rsid w:val="00DC0806"/>
    <w:rsid w:val="00DD0546"/>
    <w:rsid w:val="00DE2950"/>
    <w:rsid w:val="00E06211"/>
    <w:rsid w:val="00E06A09"/>
    <w:rsid w:val="00E14FF5"/>
    <w:rsid w:val="00E17D99"/>
    <w:rsid w:val="00E373AB"/>
    <w:rsid w:val="00E47C53"/>
    <w:rsid w:val="00E60D58"/>
    <w:rsid w:val="00E81533"/>
    <w:rsid w:val="00E9758F"/>
    <w:rsid w:val="00EA2184"/>
    <w:rsid w:val="00EE22B1"/>
    <w:rsid w:val="00EE4AB1"/>
    <w:rsid w:val="00EE57CA"/>
    <w:rsid w:val="00EE7724"/>
    <w:rsid w:val="00EF16FD"/>
    <w:rsid w:val="00F02026"/>
    <w:rsid w:val="00F12AB8"/>
    <w:rsid w:val="00F20D81"/>
    <w:rsid w:val="00F45A46"/>
    <w:rsid w:val="00F6109B"/>
    <w:rsid w:val="00F654D7"/>
    <w:rsid w:val="00F65B57"/>
    <w:rsid w:val="00FA1D93"/>
    <w:rsid w:val="00FB236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5CE755"/>
  <w15:chartTrackingRefBased/>
  <w15:docId w15:val="{2019DD06-3311-4B31-8E1E-27029C5B2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aliases w:val="CET Top_page"/>
    <w:rsid w:val="000014EE"/>
    <w:pPr>
      <w:tabs>
        <w:tab w:val="right" w:pos="7100"/>
      </w:tabs>
      <w:spacing w:after="0" w:line="264" w:lineRule="auto"/>
      <w:jc w:val="both"/>
    </w:pPr>
    <w:rPr>
      <w:rFonts w:ascii="Arial" w:eastAsia="Times New Roman" w:hAnsi="Arial" w:cs="Times New Roman"/>
      <w:sz w:val="18"/>
      <w:szCs w:val="20"/>
      <w:lang w:val="en-GB"/>
    </w:rPr>
  </w:style>
  <w:style w:type="paragraph" w:styleId="Titolo1">
    <w:name w:val="heading 1"/>
    <w:basedOn w:val="CETHeading1"/>
    <w:next w:val="Normale"/>
    <w:link w:val="Titolo1Carattere"/>
    <w:uiPriority w:val="9"/>
    <w:rsid w:val="000014EE"/>
    <w:pPr>
      <w:tabs>
        <w:tab w:val="right" w:pos="7100"/>
      </w:tabs>
      <w:jc w:val="both"/>
      <w:outlineLvl w:val="0"/>
    </w:pPr>
    <w:rPr>
      <w:lang w:val="en-GB"/>
    </w:rPr>
  </w:style>
  <w:style w:type="paragraph" w:styleId="Titolo2">
    <w:name w:val="heading 2"/>
    <w:basedOn w:val="Normale"/>
    <w:next w:val="Normale"/>
    <w:link w:val="Titolo2Carattere"/>
    <w:uiPriority w:val="9"/>
    <w:semiHidden/>
    <w:unhideWhenUsed/>
    <w:qFormat/>
    <w:rsid w:val="000014EE"/>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Titolo3">
    <w:name w:val="heading 3"/>
    <w:basedOn w:val="Normale"/>
    <w:next w:val="Normale"/>
    <w:link w:val="Titolo3Carattere"/>
    <w:uiPriority w:val="9"/>
    <w:semiHidden/>
    <w:unhideWhenUsed/>
    <w:qFormat/>
    <w:rsid w:val="000014EE"/>
    <w:pPr>
      <w:keepNext/>
      <w:keepLines/>
      <w:spacing w:before="200"/>
      <w:outlineLvl w:val="2"/>
    </w:pPr>
    <w:rPr>
      <w:rFonts w:asciiTheme="majorHAnsi" w:eastAsiaTheme="majorEastAsia" w:hAnsiTheme="majorHAnsi" w:cstheme="majorBidi"/>
      <w:b/>
      <w:bCs/>
      <w:color w:val="4472C4" w:themeColor="accent1"/>
    </w:rPr>
  </w:style>
  <w:style w:type="paragraph" w:styleId="Titolo4">
    <w:name w:val="heading 4"/>
    <w:basedOn w:val="Normale"/>
    <w:next w:val="Normale"/>
    <w:link w:val="Titolo4Carattere"/>
    <w:uiPriority w:val="9"/>
    <w:semiHidden/>
    <w:unhideWhenUsed/>
    <w:qFormat/>
    <w:rsid w:val="000014EE"/>
    <w:pPr>
      <w:keepNext/>
      <w:keepLines/>
      <w:spacing w:before="200"/>
      <w:outlineLvl w:val="3"/>
    </w:pPr>
    <w:rPr>
      <w:rFonts w:asciiTheme="majorHAnsi" w:eastAsiaTheme="majorEastAsia" w:hAnsiTheme="majorHAnsi" w:cstheme="majorBidi"/>
      <w:b/>
      <w:bCs/>
      <w:i/>
      <w:iCs/>
      <w:color w:val="4472C4" w:themeColor="accent1"/>
    </w:rPr>
  </w:style>
  <w:style w:type="paragraph" w:styleId="Titolo5">
    <w:name w:val="heading 5"/>
    <w:basedOn w:val="Normale"/>
    <w:next w:val="Normale"/>
    <w:link w:val="Titolo5Carattere"/>
    <w:uiPriority w:val="9"/>
    <w:semiHidden/>
    <w:unhideWhenUsed/>
    <w:qFormat/>
    <w:rsid w:val="000014EE"/>
    <w:pPr>
      <w:keepNext/>
      <w:keepLines/>
      <w:spacing w:before="200"/>
      <w:outlineLvl w:val="4"/>
    </w:pPr>
    <w:rPr>
      <w:rFonts w:asciiTheme="majorHAnsi" w:eastAsiaTheme="majorEastAsia" w:hAnsiTheme="majorHAnsi" w:cstheme="majorBidi"/>
      <w:color w:val="1F3763" w:themeColor="accent1" w:themeShade="7F"/>
    </w:rPr>
  </w:style>
  <w:style w:type="paragraph" w:styleId="Titolo6">
    <w:name w:val="heading 6"/>
    <w:basedOn w:val="Normale"/>
    <w:next w:val="Normale"/>
    <w:link w:val="Titolo6Carattere"/>
    <w:uiPriority w:val="9"/>
    <w:semiHidden/>
    <w:unhideWhenUsed/>
    <w:qFormat/>
    <w:rsid w:val="000014EE"/>
    <w:pPr>
      <w:keepNext/>
      <w:keepLines/>
      <w:spacing w:before="200"/>
      <w:outlineLvl w:val="5"/>
    </w:pPr>
    <w:rPr>
      <w:rFonts w:asciiTheme="majorHAnsi" w:eastAsiaTheme="majorEastAsia" w:hAnsiTheme="majorHAnsi" w:cstheme="majorBidi"/>
      <w:i/>
      <w:iCs/>
      <w:color w:val="1F3763" w:themeColor="accent1" w:themeShade="7F"/>
    </w:rPr>
  </w:style>
  <w:style w:type="paragraph" w:styleId="Titolo7">
    <w:name w:val="heading 7"/>
    <w:basedOn w:val="Normale"/>
    <w:next w:val="Normale"/>
    <w:link w:val="Titolo7Carattere"/>
    <w:uiPriority w:val="9"/>
    <w:semiHidden/>
    <w:unhideWhenUsed/>
    <w:qFormat/>
    <w:rsid w:val="000014EE"/>
    <w:pPr>
      <w:keepNext/>
      <w:keepLines/>
      <w:spacing w:before="20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0014EE"/>
    <w:pPr>
      <w:keepNext/>
      <w:keepLines/>
      <w:spacing w:before="200"/>
      <w:outlineLvl w:val="7"/>
    </w:pPr>
    <w:rPr>
      <w:rFonts w:asciiTheme="majorHAnsi" w:eastAsiaTheme="majorEastAsia" w:hAnsiTheme="majorHAnsi" w:cstheme="majorBidi"/>
      <w:color w:val="404040" w:themeColor="text1" w:themeTint="BF"/>
    </w:rPr>
  </w:style>
  <w:style w:type="paragraph" w:styleId="Titolo9">
    <w:name w:val="heading 9"/>
    <w:basedOn w:val="Normale"/>
    <w:next w:val="Normale"/>
    <w:link w:val="Titolo9Carattere"/>
    <w:uiPriority w:val="9"/>
    <w:semiHidden/>
    <w:unhideWhenUsed/>
    <w:qFormat/>
    <w:rsid w:val="000014EE"/>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0014EE"/>
    <w:rPr>
      <w:rFonts w:ascii="Arial" w:eastAsia="Times New Roman" w:hAnsi="Arial" w:cs="Times New Roman"/>
      <w:b/>
      <w:sz w:val="20"/>
      <w:szCs w:val="20"/>
      <w:lang w:val="en-GB"/>
    </w:rPr>
  </w:style>
  <w:style w:type="character" w:customStyle="1" w:styleId="Titolo2Carattere">
    <w:name w:val="Titolo 2 Carattere"/>
    <w:basedOn w:val="Carpredefinitoparagrafo"/>
    <w:link w:val="Titolo2"/>
    <w:uiPriority w:val="9"/>
    <w:semiHidden/>
    <w:rsid w:val="000014EE"/>
    <w:rPr>
      <w:rFonts w:asciiTheme="majorHAnsi" w:eastAsiaTheme="majorEastAsia" w:hAnsiTheme="majorHAnsi" w:cstheme="majorBidi"/>
      <w:b/>
      <w:bCs/>
      <w:color w:val="4472C4" w:themeColor="accent1"/>
      <w:sz w:val="26"/>
      <w:szCs w:val="26"/>
      <w:lang w:val="en-GB"/>
    </w:rPr>
  </w:style>
  <w:style w:type="character" w:customStyle="1" w:styleId="Titolo3Carattere">
    <w:name w:val="Titolo 3 Carattere"/>
    <w:basedOn w:val="Carpredefinitoparagrafo"/>
    <w:link w:val="Titolo3"/>
    <w:uiPriority w:val="9"/>
    <w:semiHidden/>
    <w:rsid w:val="000014EE"/>
    <w:rPr>
      <w:rFonts w:asciiTheme="majorHAnsi" w:eastAsiaTheme="majorEastAsia" w:hAnsiTheme="majorHAnsi" w:cstheme="majorBidi"/>
      <w:b/>
      <w:bCs/>
      <w:color w:val="4472C4" w:themeColor="accent1"/>
      <w:sz w:val="18"/>
      <w:szCs w:val="20"/>
      <w:lang w:val="en-GB"/>
    </w:rPr>
  </w:style>
  <w:style w:type="character" w:customStyle="1" w:styleId="Titolo4Carattere">
    <w:name w:val="Titolo 4 Carattere"/>
    <w:basedOn w:val="Carpredefinitoparagrafo"/>
    <w:link w:val="Titolo4"/>
    <w:uiPriority w:val="9"/>
    <w:semiHidden/>
    <w:rsid w:val="000014EE"/>
    <w:rPr>
      <w:rFonts w:asciiTheme="majorHAnsi" w:eastAsiaTheme="majorEastAsia" w:hAnsiTheme="majorHAnsi" w:cstheme="majorBidi"/>
      <w:b/>
      <w:bCs/>
      <w:i/>
      <w:iCs/>
      <w:color w:val="4472C4" w:themeColor="accent1"/>
      <w:sz w:val="18"/>
      <w:szCs w:val="20"/>
      <w:lang w:val="en-GB"/>
    </w:rPr>
  </w:style>
  <w:style w:type="character" w:customStyle="1" w:styleId="Titolo5Carattere">
    <w:name w:val="Titolo 5 Carattere"/>
    <w:basedOn w:val="Carpredefinitoparagrafo"/>
    <w:link w:val="Titolo5"/>
    <w:uiPriority w:val="9"/>
    <w:semiHidden/>
    <w:rsid w:val="000014EE"/>
    <w:rPr>
      <w:rFonts w:asciiTheme="majorHAnsi" w:eastAsiaTheme="majorEastAsia" w:hAnsiTheme="majorHAnsi" w:cstheme="majorBidi"/>
      <w:color w:val="1F3763" w:themeColor="accent1" w:themeShade="7F"/>
      <w:sz w:val="18"/>
      <w:szCs w:val="20"/>
      <w:lang w:val="en-GB"/>
    </w:rPr>
  </w:style>
  <w:style w:type="character" w:customStyle="1" w:styleId="Titolo6Carattere">
    <w:name w:val="Titolo 6 Carattere"/>
    <w:basedOn w:val="Carpredefinitoparagrafo"/>
    <w:link w:val="Titolo6"/>
    <w:uiPriority w:val="9"/>
    <w:semiHidden/>
    <w:rsid w:val="000014EE"/>
    <w:rPr>
      <w:rFonts w:asciiTheme="majorHAnsi" w:eastAsiaTheme="majorEastAsia" w:hAnsiTheme="majorHAnsi" w:cstheme="majorBidi"/>
      <w:i/>
      <w:iCs/>
      <w:color w:val="1F3763" w:themeColor="accent1" w:themeShade="7F"/>
      <w:sz w:val="18"/>
      <w:szCs w:val="20"/>
      <w:lang w:val="en-GB"/>
    </w:rPr>
  </w:style>
  <w:style w:type="character" w:customStyle="1" w:styleId="Titolo7Carattere">
    <w:name w:val="Titolo 7 Carattere"/>
    <w:basedOn w:val="Carpredefinitoparagrafo"/>
    <w:link w:val="Titolo7"/>
    <w:uiPriority w:val="9"/>
    <w:semiHidden/>
    <w:rsid w:val="000014EE"/>
    <w:rPr>
      <w:rFonts w:asciiTheme="majorHAnsi" w:eastAsiaTheme="majorEastAsia" w:hAnsiTheme="majorHAnsi" w:cstheme="majorBidi"/>
      <w:i/>
      <w:iCs/>
      <w:color w:val="404040" w:themeColor="text1" w:themeTint="BF"/>
      <w:sz w:val="18"/>
      <w:szCs w:val="20"/>
      <w:lang w:val="en-GB"/>
    </w:rPr>
  </w:style>
  <w:style w:type="character" w:customStyle="1" w:styleId="Titolo8Carattere">
    <w:name w:val="Titolo 8 Carattere"/>
    <w:basedOn w:val="Carpredefinitoparagrafo"/>
    <w:link w:val="Titolo8"/>
    <w:uiPriority w:val="9"/>
    <w:semiHidden/>
    <w:rsid w:val="000014EE"/>
    <w:rPr>
      <w:rFonts w:asciiTheme="majorHAnsi" w:eastAsiaTheme="majorEastAsia" w:hAnsiTheme="majorHAnsi" w:cstheme="majorBidi"/>
      <w:color w:val="404040" w:themeColor="text1" w:themeTint="BF"/>
      <w:sz w:val="18"/>
      <w:szCs w:val="20"/>
      <w:lang w:val="en-GB"/>
    </w:rPr>
  </w:style>
  <w:style w:type="character" w:customStyle="1" w:styleId="Titolo9Carattere">
    <w:name w:val="Titolo 9 Carattere"/>
    <w:basedOn w:val="Carpredefinitoparagrafo"/>
    <w:link w:val="Titolo9"/>
    <w:uiPriority w:val="9"/>
    <w:semiHidden/>
    <w:rsid w:val="000014EE"/>
    <w:rPr>
      <w:rFonts w:asciiTheme="majorHAnsi" w:eastAsiaTheme="majorEastAsia" w:hAnsiTheme="majorHAnsi" w:cstheme="majorBidi"/>
      <w:i/>
      <w:iCs/>
      <w:color w:val="404040" w:themeColor="text1" w:themeTint="BF"/>
      <w:sz w:val="18"/>
      <w:szCs w:val="20"/>
      <w:lang w:val="en-GB"/>
    </w:rPr>
  </w:style>
  <w:style w:type="paragraph" w:customStyle="1" w:styleId="CETAuthors">
    <w:name w:val="CET Authors"/>
    <w:basedOn w:val="CETBodytext"/>
    <w:link w:val="CETAuthorsCarattere"/>
    <w:qFormat/>
    <w:rsid w:val="000014EE"/>
    <w:pPr>
      <w:keepNext/>
      <w:suppressAutoHyphens/>
      <w:spacing w:after="120"/>
    </w:pPr>
    <w:rPr>
      <w:noProof/>
      <w:sz w:val="24"/>
      <w:lang w:val="en-GB"/>
    </w:rPr>
  </w:style>
  <w:style w:type="paragraph" w:customStyle="1" w:styleId="CETTitle">
    <w:name w:val="CET Title"/>
    <w:next w:val="CETAuthors"/>
    <w:link w:val="CETTitleCarattere"/>
    <w:rsid w:val="000014EE"/>
    <w:pPr>
      <w:suppressAutoHyphens/>
      <w:spacing w:before="480" w:after="120" w:line="264" w:lineRule="auto"/>
      <w:jc w:val="center"/>
      <w:outlineLvl w:val="0"/>
    </w:pPr>
    <w:rPr>
      <w:rFonts w:ascii="Arial" w:eastAsia="Times New Roman" w:hAnsi="Arial" w:cs="Times New Roman"/>
      <w:sz w:val="32"/>
      <w:szCs w:val="20"/>
      <w:lang w:val="en-GB"/>
    </w:rPr>
  </w:style>
  <w:style w:type="character" w:customStyle="1" w:styleId="CETAuthorsCarattere">
    <w:name w:val="CET Authors Carattere"/>
    <w:link w:val="CETAuthors"/>
    <w:rsid w:val="000014EE"/>
    <w:rPr>
      <w:rFonts w:ascii="Arial" w:eastAsia="Times New Roman" w:hAnsi="Arial" w:cs="Times New Roman"/>
      <w:noProof/>
      <w:sz w:val="24"/>
      <w:szCs w:val="20"/>
      <w:lang w:val="en-GB"/>
    </w:rPr>
  </w:style>
  <w:style w:type="character" w:customStyle="1" w:styleId="CETTitleCarattere">
    <w:name w:val="CET Title Carattere"/>
    <w:link w:val="CETTitle"/>
    <w:rsid w:val="000014EE"/>
    <w:rPr>
      <w:rFonts w:ascii="Arial" w:eastAsia="Times New Roman" w:hAnsi="Arial" w:cs="Times New Roman"/>
      <w:sz w:val="32"/>
      <w:szCs w:val="20"/>
      <w:lang w:val="en-GB"/>
    </w:rPr>
  </w:style>
  <w:style w:type="paragraph" w:customStyle="1" w:styleId="CETHeading1">
    <w:name w:val="CET Heading1"/>
    <w:next w:val="CETBodytext"/>
    <w:qFormat/>
    <w:rsid w:val="000014EE"/>
    <w:pPr>
      <w:keepNext/>
      <w:numPr>
        <w:ilvl w:val="1"/>
        <w:numId w:val="1"/>
      </w:numPr>
      <w:suppressAutoHyphens/>
      <w:spacing w:before="240" w:after="120" w:line="240" w:lineRule="auto"/>
    </w:pPr>
    <w:rPr>
      <w:rFonts w:ascii="Arial" w:eastAsia="Times New Roman" w:hAnsi="Arial" w:cs="Times New Roman"/>
      <w:b/>
      <w:sz w:val="20"/>
      <w:szCs w:val="20"/>
      <w:lang w:val="en-US"/>
    </w:rPr>
  </w:style>
  <w:style w:type="paragraph" w:customStyle="1" w:styleId="CETBodytext">
    <w:name w:val="CET Body text"/>
    <w:link w:val="CETBodytextCarattere"/>
    <w:qFormat/>
    <w:rsid w:val="000014EE"/>
    <w:pPr>
      <w:tabs>
        <w:tab w:val="right" w:pos="7100"/>
      </w:tabs>
      <w:spacing w:after="0" w:line="264" w:lineRule="auto"/>
      <w:jc w:val="both"/>
    </w:pPr>
    <w:rPr>
      <w:rFonts w:ascii="Arial" w:eastAsia="Times New Roman" w:hAnsi="Arial" w:cs="Times New Roman"/>
      <w:sz w:val="18"/>
      <w:szCs w:val="20"/>
      <w:lang w:val="en-US"/>
    </w:rPr>
  </w:style>
  <w:style w:type="paragraph" w:customStyle="1" w:styleId="CETheadingx">
    <w:name w:val="CET headingx"/>
    <w:next w:val="CETBodytext"/>
    <w:link w:val="CETheadingxCarattere"/>
    <w:autoRedefine/>
    <w:qFormat/>
    <w:rsid w:val="000014EE"/>
    <w:pPr>
      <w:keepNext/>
      <w:numPr>
        <w:ilvl w:val="2"/>
        <w:numId w:val="1"/>
      </w:numPr>
      <w:suppressAutoHyphens/>
      <w:spacing w:before="120" w:after="120" w:line="240" w:lineRule="auto"/>
    </w:pPr>
    <w:rPr>
      <w:rFonts w:ascii="Arial" w:eastAsia="Times New Roman" w:hAnsi="Arial" w:cs="Times New Roman"/>
      <w:b/>
      <w:sz w:val="18"/>
      <w:szCs w:val="20"/>
      <w:lang w:val="en-US"/>
    </w:rPr>
  </w:style>
  <w:style w:type="paragraph" w:customStyle="1" w:styleId="CETAddress">
    <w:name w:val="CET Address"/>
    <w:link w:val="CETAddressCarattere"/>
    <w:qFormat/>
    <w:rsid w:val="000014EE"/>
    <w:pPr>
      <w:keepNext/>
      <w:suppressAutoHyphens/>
      <w:spacing w:after="0" w:line="276" w:lineRule="auto"/>
      <w:contextualSpacing/>
    </w:pPr>
    <w:rPr>
      <w:rFonts w:ascii="Arial" w:eastAsia="Times New Roman" w:hAnsi="Arial" w:cs="Times New Roman"/>
      <w:noProof/>
      <w:sz w:val="16"/>
      <w:szCs w:val="20"/>
      <w:lang w:val="en-GB"/>
    </w:rPr>
  </w:style>
  <w:style w:type="table" w:styleId="Tabellasemplice1">
    <w:name w:val="Table Simple 1"/>
    <w:basedOn w:val="Tabellanormale"/>
    <w:semiHidden/>
    <w:rsid w:val="000014EE"/>
    <w:pPr>
      <w:numPr>
        <w:ilvl w:val="3"/>
        <w:numId w:val="1"/>
      </w:numPr>
      <w:spacing w:after="0" w:line="264" w:lineRule="auto"/>
      <w:jc w:val="both"/>
    </w:pPr>
    <w:rPr>
      <w:rFonts w:ascii="Times New Roman" w:eastAsia="Times New Roman" w:hAnsi="Times New Roman" w:cs="Times New Roman"/>
      <w:sz w:val="20"/>
      <w:szCs w:val="20"/>
      <w:lang w:eastAsia="it-IT"/>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CETBodytextCarattere">
    <w:name w:val="CET Body text Carattere"/>
    <w:link w:val="CETBodytext"/>
    <w:rsid w:val="000014EE"/>
    <w:rPr>
      <w:rFonts w:ascii="Arial" w:eastAsia="Times New Roman" w:hAnsi="Arial" w:cs="Times New Roman"/>
      <w:sz w:val="18"/>
      <w:szCs w:val="20"/>
      <w:lang w:val="en-US"/>
    </w:rPr>
  </w:style>
  <w:style w:type="paragraph" w:customStyle="1" w:styleId="CETReference">
    <w:name w:val="CET Reference"/>
    <w:qFormat/>
    <w:rsid w:val="000014EE"/>
    <w:pPr>
      <w:spacing w:before="200" w:after="120" w:line="240" w:lineRule="auto"/>
    </w:pPr>
    <w:rPr>
      <w:rFonts w:ascii="Arial" w:eastAsia="Times New Roman" w:hAnsi="Arial" w:cs="Times New Roman"/>
      <w:b/>
      <w:sz w:val="18"/>
      <w:szCs w:val="20"/>
      <w:lang w:val="en-GB"/>
    </w:rPr>
  </w:style>
  <w:style w:type="paragraph" w:customStyle="1" w:styleId="CETCaption">
    <w:name w:val="CET Caption"/>
    <w:link w:val="CETCaptionCarattere"/>
    <w:qFormat/>
    <w:rsid w:val="000014EE"/>
    <w:pPr>
      <w:spacing w:before="240" w:after="240" w:line="264" w:lineRule="auto"/>
      <w:jc w:val="both"/>
    </w:pPr>
    <w:rPr>
      <w:rFonts w:ascii="Arial" w:eastAsia="Times New Roman" w:hAnsi="Arial" w:cs="Times New Roman"/>
      <w:i/>
      <w:sz w:val="18"/>
      <w:szCs w:val="20"/>
      <w:lang w:val="en-GB"/>
    </w:rPr>
  </w:style>
  <w:style w:type="character" w:customStyle="1" w:styleId="CETheadingxCarattere">
    <w:name w:val="CET headingx Carattere"/>
    <w:link w:val="CETheadingx"/>
    <w:rsid w:val="000014EE"/>
    <w:rPr>
      <w:rFonts w:ascii="Arial" w:eastAsia="Times New Roman" w:hAnsi="Arial" w:cs="Times New Roman"/>
      <w:b/>
      <w:sz w:val="18"/>
      <w:szCs w:val="20"/>
      <w:lang w:val="en-US"/>
    </w:rPr>
  </w:style>
  <w:style w:type="character" w:customStyle="1" w:styleId="CETCaptionCarattere">
    <w:name w:val="CET Caption Carattere"/>
    <w:link w:val="CETCaption"/>
    <w:rsid w:val="000014EE"/>
    <w:rPr>
      <w:rFonts w:ascii="Arial" w:eastAsia="Times New Roman" w:hAnsi="Arial" w:cs="Times New Roman"/>
      <w:i/>
      <w:sz w:val="18"/>
      <w:szCs w:val="20"/>
      <w:lang w:val="en-GB"/>
    </w:rPr>
  </w:style>
  <w:style w:type="paragraph" w:customStyle="1" w:styleId="CETBodytextItalic">
    <w:name w:val="CET Body text (Italic)"/>
    <w:basedOn w:val="CETBodytext"/>
    <w:qFormat/>
    <w:rsid w:val="000014EE"/>
    <w:rPr>
      <w:i/>
      <w:lang w:val="en-GB"/>
    </w:rPr>
  </w:style>
  <w:style w:type="character" w:styleId="Rimandocommento">
    <w:name w:val="annotation reference"/>
    <w:basedOn w:val="Carpredefinitoparagrafo"/>
    <w:uiPriority w:val="99"/>
    <w:semiHidden/>
    <w:unhideWhenUsed/>
    <w:rsid w:val="000014EE"/>
    <w:rPr>
      <w:sz w:val="16"/>
      <w:szCs w:val="16"/>
    </w:rPr>
  </w:style>
  <w:style w:type="paragraph" w:styleId="Testofumetto">
    <w:name w:val="Balloon Text"/>
    <w:basedOn w:val="Normale"/>
    <w:link w:val="TestofumettoCarattere"/>
    <w:uiPriority w:val="99"/>
    <w:semiHidden/>
    <w:unhideWhenUsed/>
    <w:rsid w:val="000014EE"/>
    <w:pPr>
      <w:spacing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014EE"/>
    <w:rPr>
      <w:rFonts w:ascii="Tahoma" w:eastAsia="Times New Roman" w:hAnsi="Tahoma" w:cs="Tahoma"/>
      <w:sz w:val="16"/>
      <w:szCs w:val="16"/>
      <w:lang w:val="en-GB"/>
    </w:rPr>
  </w:style>
  <w:style w:type="paragraph" w:styleId="Bibliografia">
    <w:name w:val="Bibliography"/>
    <w:basedOn w:val="CETReferencetext"/>
    <w:uiPriority w:val="37"/>
    <w:unhideWhenUsed/>
    <w:rsid w:val="000014EE"/>
    <w:pPr>
      <w:spacing w:line="240" w:lineRule="auto"/>
      <w:ind w:left="720" w:hanging="720"/>
    </w:pPr>
  </w:style>
  <w:style w:type="paragraph" w:styleId="Corpodeltesto2">
    <w:name w:val="Body Text 2"/>
    <w:basedOn w:val="Normale"/>
    <w:link w:val="Corpodeltesto2Carattere"/>
    <w:uiPriority w:val="99"/>
    <w:semiHidden/>
    <w:unhideWhenUsed/>
    <w:rsid w:val="000014EE"/>
    <w:pPr>
      <w:spacing w:after="120" w:line="480" w:lineRule="auto"/>
    </w:pPr>
  </w:style>
  <w:style w:type="character" w:customStyle="1" w:styleId="Corpodeltesto2Carattere">
    <w:name w:val="Corpo del testo 2 Carattere"/>
    <w:basedOn w:val="Carpredefinitoparagrafo"/>
    <w:link w:val="Corpodeltesto2"/>
    <w:uiPriority w:val="99"/>
    <w:semiHidden/>
    <w:rsid w:val="000014EE"/>
    <w:rPr>
      <w:rFonts w:ascii="Arial" w:eastAsia="Times New Roman" w:hAnsi="Arial" w:cs="Times New Roman"/>
      <w:sz w:val="18"/>
      <w:szCs w:val="20"/>
      <w:lang w:val="en-GB"/>
    </w:rPr>
  </w:style>
  <w:style w:type="paragraph" w:styleId="Corpodeltesto3">
    <w:name w:val="Body Text 3"/>
    <w:basedOn w:val="Normale"/>
    <w:link w:val="Corpodeltesto3Carattere"/>
    <w:uiPriority w:val="99"/>
    <w:semiHidden/>
    <w:unhideWhenUsed/>
    <w:rsid w:val="000014EE"/>
    <w:pPr>
      <w:spacing w:after="120"/>
    </w:pPr>
    <w:rPr>
      <w:sz w:val="16"/>
      <w:szCs w:val="16"/>
    </w:rPr>
  </w:style>
  <w:style w:type="character" w:customStyle="1" w:styleId="Corpodeltesto3Carattere">
    <w:name w:val="Corpo del testo 3 Carattere"/>
    <w:basedOn w:val="Carpredefinitoparagrafo"/>
    <w:link w:val="Corpodeltesto3"/>
    <w:uiPriority w:val="99"/>
    <w:semiHidden/>
    <w:rsid w:val="000014EE"/>
    <w:rPr>
      <w:rFonts w:ascii="Arial" w:eastAsia="Times New Roman" w:hAnsi="Arial" w:cs="Times New Roman"/>
      <w:sz w:val="16"/>
      <w:szCs w:val="16"/>
      <w:lang w:val="en-GB"/>
    </w:rPr>
  </w:style>
  <w:style w:type="paragraph" w:styleId="Corpotesto">
    <w:name w:val="Body Text"/>
    <w:basedOn w:val="Normale"/>
    <w:link w:val="CorpotestoCarattere"/>
    <w:uiPriority w:val="99"/>
    <w:semiHidden/>
    <w:unhideWhenUsed/>
    <w:rsid w:val="000014EE"/>
    <w:pPr>
      <w:spacing w:after="120"/>
    </w:pPr>
  </w:style>
  <w:style w:type="character" w:customStyle="1" w:styleId="CorpotestoCarattere">
    <w:name w:val="Corpo testo Carattere"/>
    <w:basedOn w:val="Carpredefinitoparagrafo"/>
    <w:link w:val="Corpotesto"/>
    <w:uiPriority w:val="99"/>
    <w:semiHidden/>
    <w:rsid w:val="000014EE"/>
    <w:rPr>
      <w:rFonts w:ascii="Arial" w:eastAsia="Times New Roman" w:hAnsi="Arial" w:cs="Times New Roman"/>
      <w:sz w:val="18"/>
      <w:szCs w:val="20"/>
      <w:lang w:val="en-GB"/>
    </w:rPr>
  </w:style>
  <w:style w:type="paragraph" w:styleId="Data">
    <w:name w:val="Date"/>
    <w:basedOn w:val="Normale"/>
    <w:next w:val="Normale"/>
    <w:link w:val="DataCarattere"/>
    <w:uiPriority w:val="99"/>
    <w:semiHidden/>
    <w:unhideWhenUsed/>
    <w:rsid w:val="000014EE"/>
  </w:style>
  <w:style w:type="character" w:customStyle="1" w:styleId="DataCarattere">
    <w:name w:val="Data Carattere"/>
    <w:basedOn w:val="Carpredefinitoparagrafo"/>
    <w:link w:val="Data"/>
    <w:uiPriority w:val="99"/>
    <w:semiHidden/>
    <w:rsid w:val="000014EE"/>
    <w:rPr>
      <w:rFonts w:ascii="Arial" w:eastAsia="Times New Roman" w:hAnsi="Arial" w:cs="Times New Roman"/>
      <w:sz w:val="18"/>
      <w:szCs w:val="20"/>
      <w:lang w:val="en-GB"/>
    </w:rPr>
  </w:style>
  <w:style w:type="paragraph" w:styleId="Didascalia">
    <w:name w:val="caption"/>
    <w:basedOn w:val="Normale"/>
    <w:next w:val="Normale"/>
    <w:uiPriority w:val="35"/>
    <w:semiHidden/>
    <w:unhideWhenUsed/>
    <w:qFormat/>
    <w:rsid w:val="000014EE"/>
    <w:pPr>
      <w:spacing w:line="240" w:lineRule="auto"/>
    </w:pPr>
    <w:rPr>
      <w:b/>
      <w:bCs/>
      <w:color w:val="4472C4" w:themeColor="accent1"/>
      <w:szCs w:val="18"/>
    </w:rPr>
  </w:style>
  <w:style w:type="paragraph" w:styleId="Elenco">
    <w:name w:val="List"/>
    <w:basedOn w:val="Normale"/>
    <w:uiPriority w:val="99"/>
    <w:semiHidden/>
    <w:unhideWhenUsed/>
    <w:rsid w:val="000014EE"/>
    <w:pPr>
      <w:ind w:left="283" w:hanging="283"/>
      <w:contextualSpacing/>
    </w:pPr>
  </w:style>
  <w:style w:type="paragraph" w:styleId="Elenco2">
    <w:name w:val="List 2"/>
    <w:basedOn w:val="Normale"/>
    <w:uiPriority w:val="99"/>
    <w:semiHidden/>
    <w:unhideWhenUsed/>
    <w:rsid w:val="000014EE"/>
    <w:pPr>
      <w:ind w:left="566" w:hanging="283"/>
      <w:contextualSpacing/>
    </w:pPr>
  </w:style>
  <w:style w:type="paragraph" w:styleId="Elenco3">
    <w:name w:val="List 3"/>
    <w:basedOn w:val="Normale"/>
    <w:uiPriority w:val="99"/>
    <w:semiHidden/>
    <w:unhideWhenUsed/>
    <w:rsid w:val="000014EE"/>
    <w:pPr>
      <w:ind w:left="849" w:hanging="283"/>
      <w:contextualSpacing/>
    </w:pPr>
  </w:style>
  <w:style w:type="paragraph" w:styleId="Elenco4">
    <w:name w:val="List 4"/>
    <w:basedOn w:val="Normale"/>
    <w:uiPriority w:val="99"/>
    <w:semiHidden/>
    <w:unhideWhenUsed/>
    <w:rsid w:val="000014EE"/>
    <w:pPr>
      <w:ind w:left="1132" w:hanging="283"/>
      <w:contextualSpacing/>
    </w:pPr>
  </w:style>
  <w:style w:type="paragraph" w:styleId="Elenco5">
    <w:name w:val="List 5"/>
    <w:basedOn w:val="Normale"/>
    <w:uiPriority w:val="99"/>
    <w:semiHidden/>
    <w:unhideWhenUsed/>
    <w:rsid w:val="000014EE"/>
    <w:pPr>
      <w:ind w:left="1415" w:hanging="283"/>
      <w:contextualSpacing/>
    </w:pPr>
  </w:style>
  <w:style w:type="paragraph" w:styleId="Elencocontinua">
    <w:name w:val="List Continue"/>
    <w:basedOn w:val="Normale"/>
    <w:uiPriority w:val="99"/>
    <w:semiHidden/>
    <w:unhideWhenUsed/>
    <w:rsid w:val="000014EE"/>
    <w:pPr>
      <w:spacing w:after="120"/>
      <w:ind w:left="283"/>
      <w:contextualSpacing/>
    </w:pPr>
  </w:style>
  <w:style w:type="paragraph" w:styleId="Elencocontinua2">
    <w:name w:val="List Continue 2"/>
    <w:basedOn w:val="Normale"/>
    <w:uiPriority w:val="99"/>
    <w:semiHidden/>
    <w:unhideWhenUsed/>
    <w:rsid w:val="000014EE"/>
    <w:pPr>
      <w:spacing w:after="120"/>
      <w:ind w:left="566"/>
      <w:contextualSpacing/>
    </w:pPr>
  </w:style>
  <w:style w:type="paragraph" w:styleId="Elencocontinua3">
    <w:name w:val="List Continue 3"/>
    <w:basedOn w:val="Normale"/>
    <w:uiPriority w:val="99"/>
    <w:semiHidden/>
    <w:unhideWhenUsed/>
    <w:rsid w:val="000014EE"/>
    <w:pPr>
      <w:spacing w:after="120"/>
      <w:ind w:left="849"/>
      <w:contextualSpacing/>
    </w:pPr>
  </w:style>
  <w:style w:type="paragraph" w:styleId="Elencocontinua4">
    <w:name w:val="List Continue 4"/>
    <w:basedOn w:val="Normale"/>
    <w:uiPriority w:val="99"/>
    <w:semiHidden/>
    <w:unhideWhenUsed/>
    <w:rsid w:val="000014EE"/>
    <w:pPr>
      <w:spacing w:after="120"/>
      <w:ind w:left="1132"/>
      <w:contextualSpacing/>
    </w:pPr>
  </w:style>
  <w:style w:type="paragraph" w:styleId="Elencocontinua5">
    <w:name w:val="List Continue 5"/>
    <w:basedOn w:val="Normale"/>
    <w:uiPriority w:val="99"/>
    <w:semiHidden/>
    <w:unhideWhenUsed/>
    <w:rsid w:val="000014EE"/>
    <w:pPr>
      <w:spacing w:after="120"/>
      <w:ind w:left="1415"/>
      <w:contextualSpacing/>
    </w:pPr>
  </w:style>
  <w:style w:type="paragraph" w:styleId="Firma">
    <w:name w:val="Signature"/>
    <w:basedOn w:val="Normale"/>
    <w:link w:val="FirmaCarattere"/>
    <w:uiPriority w:val="99"/>
    <w:semiHidden/>
    <w:unhideWhenUsed/>
    <w:rsid w:val="000014EE"/>
    <w:pPr>
      <w:spacing w:line="240" w:lineRule="auto"/>
      <w:ind w:left="4252"/>
    </w:pPr>
  </w:style>
  <w:style w:type="character" w:customStyle="1" w:styleId="FirmaCarattere">
    <w:name w:val="Firma Carattere"/>
    <w:basedOn w:val="Carpredefinitoparagrafo"/>
    <w:link w:val="Firma"/>
    <w:uiPriority w:val="99"/>
    <w:semiHidden/>
    <w:rsid w:val="000014EE"/>
    <w:rPr>
      <w:rFonts w:ascii="Arial" w:eastAsia="Times New Roman" w:hAnsi="Arial" w:cs="Times New Roman"/>
      <w:sz w:val="18"/>
      <w:szCs w:val="20"/>
      <w:lang w:val="en-GB"/>
    </w:rPr>
  </w:style>
  <w:style w:type="paragraph" w:styleId="Firmadipostaelettronica">
    <w:name w:val="E-mail Signature"/>
    <w:basedOn w:val="Normale"/>
    <w:link w:val="FirmadipostaelettronicaCarattere"/>
    <w:uiPriority w:val="99"/>
    <w:semiHidden/>
    <w:unhideWhenUsed/>
    <w:rsid w:val="000014EE"/>
    <w:pPr>
      <w:spacing w:line="240" w:lineRule="auto"/>
    </w:pPr>
  </w:style>
  <w:style w:type="character" w:customStyle="1" w:styleId="FirmadipostaelettronicaCarattere">
    <w:name w:val="Firma di posta elettronica Carattere"/>
    <w:basedOn w:val="Carpredefinitoparagrafo"/>
    <w:link w:val="Firmadipostaelettronica"/>
    <w:uiPriority w:val="99"/>
    <w:semiHidden/>
    <w:rsid w:val="000014EE"/>
    <w:rPr>
      <w:rFonts w:ascii="Arial" w:eastAsia="Times New Roman" w:hAnsi="Arial" w:cs="Times New Roman"/>
      <w:sz w:val="18"/>
      <w:szCs w:val="20"/>
      <w:lang w:val="en-GB"/>
    </w:rPr>
  </w:style>
  <w:style w:type="paragraph" w:styleId="Formuladiapertura">
    <w:name w:val="Salutation"/>
    <w:basedOn w:val="Normale"/>
    <w:next w:val="Normale"/>
    <w:link w:val="FormuladiaperturaCarattere"/>
    <w:uiPriority w:val="99"/>
    <w:semiHidden/>
    <w:unhideWhenUsed/>
    <w:rsid w:val="000014EE"/>
  </w:style>
  <w:style w:type="character" w:customStyle="1" w:styleId="FormuladiaperturaCarattere">
    <w:name w:val="Formula di apertura Carattere"/>
    <w:basedOn w:val="Carpredefinitoparagrafo"/>
    <w:link w:val="Formuladiapertura"/>
    <w:uiPriority w:val="99"/>
    <w:semiHidden/>
    <w:rsid w:val="000014EE"/>
    <w:rPr>
      <w:rFonts w:ascii="Arial" w:eastAsia="Times New Roman" w:hAnsi="Arial" w:cs="Times New Roman"/>
      <w:sz w:val="18"/>
      <w:szCs w:val="20"/>
      <w:lang w:val="en-GB"/>
    </w:rPr>
  </w:style>
  <w:style w:type="paragraph" w:styleId="Formuladichiusura">
    <w:name w:val="Closing"/>
    <w:basedOn w:val="Normale"/>
    <w:link w:val="FormuladichiusuraCarattere"/>
    <w:uiPriority w:val="99"/>
    <w:semiHidden/>
    <w:unhideWhenUsed/>
    <w:rsid w:val="000014EE"/>
    <w:pPr>
      <w:spacing w:line="240" w:lineRule="auto"/>
      <w:ind w:left="4252"/>
    </w:pPr>
  </w:style>
  <w:style w:type="character" w:customStyle="1" w:styleId="FormuladichiusuraCarattere">
    <w:name w:val="Formula di chiusura Carattere"/>
    <w:basedOn w:val="Carpredefinitoparagrafo"/>
    <w:link w:val="Formuladichiusura"/>
    <w:uiPriority w:val="99"/>
    <w:semiHidden/>
    <w:rsid w:val="000014EE"/>
    <w:rPr>
      <w:rFonts w:ascii="Arial" w:eastAsia="Times New Roman" w:hAnsi="Arial" w:cs="Times New Roman"/>
      <w:sz w:val="18"/>
      <w:szCs w:val="20"/>
      <w:lang w:val="en-GB"/>
    </w:rPr>
  </w:style>
  <w:style w:type="paragraph" w:styleId="Indice1">
    <w:name w:val="index 1"/>
    <w:basedOn w:val="Normale"/>
    <w:next w:val="Normale"/>
    <w:autoRedefine/>
    <w:uiPriority w:val="99"/>
    <w:semiHidden/>
    <w:unhideWhenUsed/>
    <w:rsid w:val="000014EE"/>
    <w:pPr>
      <w:spacing w:line="240" w:lineRule="auto"/>
      <w:ind w:left="220" w:hanging="220"/>
    </w:pPr>
  </w:style>
  <w:style w:type="paragraph" w:styleId="Indice2">
    <w:name w:val="index 2"/>
    <w:basedOn w:val="Normale"/>
    <w:next w:val="Normale"/>
    <w:autoRedefine/>
    <w:uiPriority w:val="99"/>
    <w:semiHidden/>
    <w:unhideWhenUsed/>
    <w:rsid w:val="000014EE"/>
    <w:pPr>
      <w:spacing w:line="240" w:lineRule="auto"/>
      <w:ind w:left="440" w:hanging="220"/>
    </w:pPr>
  </w:style>
  <w:style w:type="paragraph" w:styleId="Indice3">
    <w:name w:val="index 3"/>
    <w:basedOn w:val="Normale"/>
    <w:next w:val="Normale"/>
    <w:autoRedefine/>
    <w:uiPriority w:val="99"/>
    <w:semiHidden/>
    <w:unhideWhenUsed/>
    <w:rsid w:val="000014EE"/>
    <w:pPr>
      <w:spacing w:line="240" w:lineRule="auto"/>
      <w:ind w:left="660" w:hanging="220"/>
    </w:pPr>
  </w:style>
  <w:style w:type="paragraph" w:styleId="Indice4">
    <w:name w:val="index 4"/>
    <w:basedOn w:val="Normale"/>
    <w:next w:val="Normale"/>
    <w:autoRedefine/>
    <w:uiPriority w:val="99"/>
    <w:semiHidden/>
    <w:unhideWhenUsed/>
    <w:rsid w:val="000014EE"/>
    <w:pPr>
      <w:spacing w:line="240" w:lineRule="auto"/>
      <w:ind w:left="880" w:hanging="220"/>
    </w:pPr>
  </w:style>
  <w:style w:type="paragraph" w:styleId="Indice5">
    <w:name w:val="index 5"/>
    <w:basedOn w:val="Normale"/>
    <w:next w:val="Normale"/>
    <w:autoRedefine/>
    <w:uiPriority w:val="99"/>
    <w:semiHidden/>
    <w:unhideWhenUsed/>
    <w:rsid w:val="000014EE"/>
    <w:pPr>
      <w:spacing w:line="240" w:lineRule="auto"/>
      <w:ind w:left="1100" w:hanging="220"/>
    </w:pPr>
  </w:style>
  <w:style w:type="paragraph" w:styleId="Indice6">
    <w:name w:val="index 6"/>
    <w:basedOn w:val="Normale"/>
    <w:next w:val="Normale"/>
    <w:autoRedefine/>
    <w:uiPriority w:val="99"/>
    <w:semiHidden/>
    <w:unhideWhenUsed/>
    <w:rsid w:val="000014EE"/>
    <w:pPr>
      <w:spacing w:line="240" w:lineRule="auto"/>
      <w:ind w:left="1320" w:hanging="220"/>
    </w:pPr>
  </w:style>
  <w:style w:type="paragraph" w:styleId="Indice7">
    <w:name w:val="index 7"/>
    <w:basedOn w:val="Normale"/>
    <w:next w:val="Normale"/>
    <w:autoRedefine/>
    <w:uiPriority w:val="99"/>
    <w:semiHidden/>
    <w:unhideWhenUsed/>
    <w:rsid w:val="000014EE"/>
    <w:pPr>
      <w:spacing w:line="240" w:lineRule="auto"/>
      <w:ind w:left="1540" w:hanging="220"/>
    </w:pPr>
  </w:style>
  <w:style w:type="paragraph" w:styleId="Indice8">
    <w:name w:val="index 8"/>
    <w:basedOn w:val="Normale"/>
    <w:next w:val="Normale"/>
    <w:autoRedefine/>
    <w:uiPriority w:val="99"/>
    <w:semiHidden/>
    <w:unhideWhenUsed/>
    <w:rsid w:val="000014EE"/>
    <w:pPr>
      <w:spacing w:line="240" w:lineRule="auto"/>
      <w:ind w:left="1760" w:hanging="220"/>
    </w:pPr>
  </w:style>
  <w:style w:type="paragraph" w:styleId="Indice9">
    <w:name w:val="index 9"/>
    <w:basedOn w:val="Normale"/>
    <w:next w:val="Normale"/>
    <w:autoRedefine/>
    <w:uiPriority w:val="99"/>
    <w:semiHidden/>
    <w:unhideWhenUsed/>
    <w:rsid w:val="000014EE"/>
    <w:pPr>
      <w:spacing w:line="240" w:lineRule="auto"/>
      <w:ind w:left="1980" w:hanging="220"/>
    </w:pPr>
  </w:style>
  <w:style w:type="paragraph" w:styleId="Indicedellefigure">
    <w:name w:val="table of figures"/>
    <w:basedOn w:val="Normale"/>
    <w:next w:val="Normale"/>
    <w:uiPriority w:val="99"/>
    <w:semiHidden/>
    <w:unhideWhenUsed/>
    <w:rsid w:val="000014EE"/>
  </w:style>
  <w:style w:type="paragraph" w:styleId="Indicefonti">
    <w:name w:val="table of authorities"/>
    <w:basedOn w:val="Normale"/>
    <w:next w:val="Normale"/>
    <w:uiPriority w:val="99"/>
    <w:semiHidden/>
    <w:unhideWhenUsed/>
    <w:rsid w:val="000014EE"/>
    <w:pPr>
      <w:ind w:left="220" w:hanging="220"/>
    </w:pPr>
  </w:style>
  <w:style w:type="paragraph" w:styleId="Indirizzodestinatario">
    <w:name w:val="envelope address"/>
    <w:basedOn w:val="Normale"/>
    <w:uiPriority w:val="99"/>
    <w:semiHidden/>
    <w:unhideWhenUsed/>
    <w:rsid w:val="000014EE"/>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IndirizzoHTML">
    <w:name w:val="HTML Address"/>
    <w:basedOn w:val="Normale"/>
    <w:link w:val="IndirizzoHTMLCarattere"/>
    <w:uiPriority w:val="99"/>
    <w:semiHidden/>
    <w:unhideWhenUsed/>
    <w:rsid w:val="000014EE"/>
    <w:pPr>
      <w:spacing w:line="240" w:lineRule="auto"/>
    </w:pPr>
    <w:rPr>
      <w:i/>
      <w:iCs/>
    </w:rPr>
  </w:style>
  <w:style w:type="character" w:customStyle="1" w:styleId="IndirizzoHTMLCarattere">
    <w:name w:val="Indirizzo HTML Carattere"/>
    <w:basedOn w:val="Carpredefinitoparagrafo"/>
    <w:link w:val="IndirizzoHTML"/>
    <w:uiPriority w:val="99"/>
    <w:semiHidden/>
    <w:rsid w:val="000014EE"/>
    <w:rPr>
      <w:rFonts w:ascii="Arial" w:eastAsia="Times New Roman" w:hAnsi="Arial" w:cs="Times New Roman"/>
      <w:i/>
      <w:iCs/>
      <w:sz w:val="18"/>
      <w:szCs w:val="20"/>
      <w:lang w:val="en-GB"/>
    </w:rPr>
  </w:style>
  <w:style w:type="paragraph" w:styleId="Indirizzomittente">
    <w:name w:val="envelope return"/>
    <w:basedOn w:val="Normale"/>
    <w:uiPriority w:val="99"/>
    <w:semiHidden/>
    <w:unhideWhenUsed/>
    <w:rsid w:val="000014EE"/>
    <w:pPr>
      <w:spacing w:line="240" w:lineRule="auto"/>
    </w:pPr>
    <w:rPr>
      <w:rFonts w:asciiTheme="majorHAnsi" w:eastAsiaTheme="majorEastAsia" w:hAnsiTheme="majorHAnsi" w:cstheme="majorBidi"/>
    </w:rPr>
  </w:style>
  <w:style w:type="paragraph" w:styleId="Intestazionemessaggio">
    <w:name w:val="Message Header"/>
    <w:basedOn w:val="Normale"/>
    <w:link w:val="IntestazionemessaggioCarattere"/>
    <w:uiPriority w:val="99"/>
    <w:semiHidden/>
    <w:unhideWhenUsed/>
    <w:rsid w:val="000014EE"/>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IntestazionemessaggioCarattere">
    <w:name w:val="Intestazione messaggio Carattere"/>
    <w:basedOn w:val="Carpredefinitoparagrafo"/>
    <w:link w:val="Intestazionemessaggio"/>
    <w:uiPriority w:val="99"/>
    <w:semiHidden/>
    <w:rsid w:val="000014EE"/>
    <w:rPr>
      <w:rFonts w:asciiTheme="majorHAnsi" w:eastAsiaTheme="majorEastAsia" w:hAnsiTheme="majorHAnsi" w:cstheme="majorBidi"/>
      <w:sz w:val="24"/>
      <w:szCs w:val="24"/>
      <w:shd w:val="pct20" w:color="auto" w:fill="auto"/>
      <w:lang w:val="en-GB"/>
    </w:rPr>
  </w:style>
  <w:style w:type="paragraph" w:styleId="Intestazionenota">
    <w:name w:val="Note Heading"/>
    <w:basedOn w:val="Normale"/>
    <w:next w:val="Normale"/>
    <w:link w:val="IntestazionenotaCarattere"/>
    <w:uiPriority w:val="99"/>
    <w:semiHidden/>
    <w:unhideWhenUsed/>
    <w:rsid w:val="000014EE"/>
    <w:pPr>
      <w:spacing w:line="240" w:lineRule="auto"/>
    </w:pPr>
  </w:style>
  <w:style w:type="character" w:customStyle="1" w:styleId="IntestazionenotaCarattere">
    <w:name w:val="Intestazione nota Carattere"/>
    <w:basedOn w:val="Carpredefinitoparagrafo"/>
    <w:link w:val="Intestazionenota"/>
    <w:uiPriority w:val="99"/>
    <w:semiHidden/>
    <w:rsid w:val="000014EE"/>
    <w:rPr>
      <w:rFonts w:ascii="Arial" w:eastAsia="Times New Roman" w:hAnsi="Arial" w:cs="Times New Roman"/>
      <w:sz w:val="18"/>
      <w:szCs w:val="20"/>
      <w:lang w:val="en-GB"/>
    </w:rPr>
  </w:style>
  <w:style w:type="paragraph" w:styleId="Mappadocumento">
    <w:name w:val="Document Map"/>
    <w:basedOn w:val="Normale"/>
    <w:link w:val="MappadocumentoCarattere"/>
    <w:uiPriority w:val="99"/>
    <w:semiHidden/>
    <w:unhideWhenUsed/>
    <w:rsid w:val="000014EE"/>
    <w:pPr>
      <w:spacing w:line="240" w:lineRule="auto"/>
    </w:pPr>
    <w:rPr>
      <w:rFonts w:ascii="Tahoma" w:hAnsi="Tahoma" w:cs="Tahoma"/>
      <w:sz w:val="16"/>
      <w:szCs w:val="16"/>
    </w:rPr>
  </w:style>
  <w:style w:type="character" w:customStyle="1" w:styleId="MappadocumentoCarattere">
    <w:name w:val="Mappa documento Carattere"/>
    <w:basedOn w:val="Carpredefinitoparagrafo"/>
    <w:link w:val="Mappadocumento"/>
    <w:uiPriority w:val="99"/>
    <w:semiHidden/>
    <w:rsid w:val="000014EE"/>
    <w:rPr>
      <w:rFonts w:ascii="Tahoma" w:eastAsia="Times New Roman" w:hAnsi="Tahoma" w:cs="Tahoma"/>
      <w:sz w:val="16"/>
      <w:szCs w:val="16"/>
      <w:lang w:val="en-GB"/>
    </w:rPr>
  </w:style>
  <w:style w:type="paragraph" w:styleId="NormaleWeb">
    <w:name w:val="Normal (Web)"/>
    <w:basedOn w:val="Normale"/>
    <w:uiPriority w:val="99"/>
    <w:semiHidden/>
    <w:unhideWhenUsed/>
    <w:rsid w:val="000014EE"/>
    <w:rPr>
      <w:sz w:val="24"/>
      <w:szCs w:val="24"/>
    </w:rPr>
  </w:style>
  <w:style w:type="paragraph" w:styleId="Numeroelenco">
    <w:name w:val="List Number"/>
    <w:basedOn w:val="Normale"/>
    <w:uiPriority w:val="99"/>
    <w:semiHidden/>
    <w:unhideWhenUsed/>
    <w:rsid w:val="000014EE"/>
    <w:pPr>
      <w:numPr>
        <w:numId w:val="2"/>
      </w:numPr>
      <w:contextualSpacing/>
    </w:pPr>
  </w:style>
  <w:style w:type="paragraph" w:styleId="Numeroelenco2">
    <w:name w:val="List Number 2"/>
    <w:basedOn w:val="Normale"/>
    <w:uiPriority w:val="99"/>
    <w:semiHidden/>
    <w:unhideWhenUsed/>
    <w:rsid w:val="000014EE"/>
    <w:pPr>
      <w:numPr>
        <w:numId w:val="3"/>
      </w:numPr>
      <w:contextualSpacing/>
    </w:pPr>
  </w:style>
  <w:style w:type="paragraph" w:styleId="Numeroelenco3">
    <w:name w:val="List Number 3"/>
    <w:basedOn w:val="Normale"/>
    <w:uiPriority w:val="99"/>
    <w:semiHidden/>
    <w:unhideWhenUsed/>
    <w:rsid w:val="000014EE"/>
    <w:pPr>
      <w:numPr>
        <w:numId w:val="4"/>
      </w:numPr>
      <w:contextualSpacing/>
    </w:pPr>
  </w:style>
  <w:style w:type="paragraph" w:styleId="Numeroelenco4">
    <w:name w:val="List Number 4"/>
    <w:basedOn w:val="Normale"/>
    <w:uiPriority w:val="99"/>
    <w:semiHidden/>
    <w:unhideWhenUsed/>
    <w:rsid w:val="000014EE"/>
    <w:pPr>
      <w:numPr>
        <w:numId w:val="5"/>
      </w:numPr>
      <w:contextualSpacing/>
    </w:pPr>
  </w:style>
  <w:style w:type="paragraph" w:styleId="Numeroelenco5">
    <w:name w:val="List Number 5"/>
    <w:basedOn w:val="Normale"/>
    <w:uiPriority w:val="99"/>
    <w:semiHidden/>
    <w:unhideWhenUsed/>
    <w:rsid w:val="000014EE"/>
    <w:pPr>
      <w:numPr>
        <w:numId w:val="6"/>
      </w:numPr>
      <w:contextualSpacing/>
    </w:pPr>
  </w:style>
  <w:style w:type="paragraph" w:styleId="PreformattatoHTML">
    <w:name w:val="HTML Preformatted"/>
    <w:basedOn w:val="Normale"/>
    <w:link w:val="PreformattatoHTMLCarattere"/>
    <w:uiPriority w:val="99"/>
    <w:semiHidden/>
    <w:unhideWhenUsed/>
    <w:rsid w:val="000014EE"/>
    <w:pPr>
      <w:spacing w:line="240" w:lineRule="auto"/>
    </w:pPr>
    <w:rPr>
      <w:rFonts w:ascii="Consolas" w:hAnsi="Consolas" w:cs="Consolas"/>
    </w:rPr>
  </w:style>
  <w:style w:type="character" w:customStyle="1" w:styleId="PreformattatoHTMLCarattere">
    <w:name w:val="Preformattato HTML Carattere"/>
    <w:basedOn w:val="Carpredefinitoparagrafo"/>
    <w:link w:val="PreformattatoHTML"/>
    <w:uiPriority w:val="99"/>
    <w:semiHidden/>
    <w:rsid w:val="000014EE"/>
    <w:rPr>
      <w:rFonts w:ascii="Consolas" w:eastAsia="Times New Roman" w:hAnsi="Consolas" w:cs="Consolas"/>
      <w:sz w:val="18"/>
      <w:szCs w:val="20"/>
      <w:lang w:val="en-GB"/>
    </w:rPr>
  </w:style>
  <w:style w:type="paragraph" w:styleId="Primorientrocorpodeltesto">
    <w:name w:val="Body Text First Indent"/>
    <w:basedOn w:val="Corpotesto"/>
    <w:link w:val="PrimorientrocorpodeltestoCarattere"/>
    <w:uiPriority w:val="99"/>
    <w:semiHidden/>
    <w:unhideWhenUsed/>
    <w:rsid w:val="000014EE"/>
    <w:pPr>
      <w:spacing w:after="200"/>
      <w:ind w:firstLine="360"/>
    </w:pPr>
  </w:style>
  <w:style w:type="character" w:customStyle="1" w:styleId="PrimorientrocorpodeltestoCarattere">
    <w:name w:val="Primo rientro corpo del testo Carattere"/>
    <w:basedOn w:val="CorpotestoCarattere"/>
    <w:link w:val="Primorientrocorpodeltesto"/>
    <w:uiPriority w:val="99"/>
    <w:semiHidden/>
    <w:rsid w:val="000014EE"/>
    <w:rPr>
      <w:rFonts w:ascii="Arial" w:eastAsia="Times New Roman" w:hAnsi="Arial" w:cs="Times New Roman"/>
      <w:sz w:val="18"/>
      <w:szCs w:val="20"/>
      <w:lang w:val="en-GB"/>
    </w:rPr>
  </w:style>
  <w:style w:type="paragraph" w:styleId="Rientrocorpodeltesto">
    <w:name w:val="Body Text Indent"/>
    <w:basedOn w:val="Normale"/>
    <w:link w:val="RientrocorpodeltestoCarattere"/>
    <w:uiPriority w:val="99"/>
    <w:semiHidden/>
    <w:unhideWhenUsed/>
    <w:rsid w:val="000014EE"/>
    <w:pPr>
      <w:spacing w:after="120"/>
      <w:ind w:left="283"/>
    </w:pPr>
  </w:style>
  <w:style w:type="character" w:customStyle="1" w:styleId="RientrocorpodeltestoCarattere">
    <w:name w:val="Rientro corpo del testo Carattere"/>
    <w:basedOn w:val="Carpredefinitoparagrafo"/>
    <w:link w:val="Rientrocorpodeltesto"/>
    <w:uiPriority w:val="99"/>
    <w:semiHidden/>
    <w:rsid w:val="000014EE"/>
    <w:rPr>
      <w:rFonts w:ascii="Arial" w:eastAsia="Times New Roman" w:hAnsi="Arial" w:cs="Times New Roman"/>
      <w:sz w:val="18"/>
      <w:szCs w:val="20"/>
      <w:lang w:val="en-GB"/>
    </w:rPr>
  </w:style>
  <w:style w:type="paragraph" w:styleId="Primorientrocorpodeltesto2">
    <w:name w:val="Body Text First Indent 2"/>
    <w:basedOn w:val="Rientrocorpodeltesto"/>
    <w:link w:val="Primorientrocorpodeltesto2Carattere"/>
    <w:uiPriority w:val="99"/>
    <w:semiHidden/>
    <w:unhideWhenUsed/>
    <w:rsid w:val="000014EE"/>
    <w:pPr>
      <w:spacing w:after="200"/>
      <w:ind w:left="360" w:firstLine="360"/>
    </w:pPr>
  </w:style>
  <w:style w:type="character" w:customStyle="1" w:styleId="Primorientrocorpodeltesto2Carattere">
    <w:name w:val="Primo rientro corpo del testo 2 Carattere"/>
    <w:basedOn w:val="RientrocorpodeltestoCarattere"/>
    <w:link w:val="Primorientrocorpodeltesto2"/>
    <w:uiPriority w:val="99"/>
    <w:semiHidden/>
    <w:rsid w:val="000014EE"/>
    <w:rPr>
      <w:rFonts w:ascii="Arial" w:eastAsia="Times New Roman" w:hAnsi="Arial" w:cs="Times New Roman"/>
      <w:sz w:val="18"/>
      <w:szCs w:val="20"/>
      <w:lang w:val="en-GB"/>
    </w:rPr>
  </w:style>
  <w:style w:type="paragraph" w:styleId="Puntoelenco">
    <w:name w:val="List Bullet"/>
    <w:basedOn w:val="Normale"/>
    <w:uiPriority w:val="99"/>
    <w:semiHidden/>
    <w:unhideWhenUsed/>
    <w:rsid w:val="000014EE"/>
    <w:pPr>
      <w:numPr>
        <w:numId w:val="7"/>
      </w:numPr>
      <w:contextualSpacing/>
    </w:pPr>
  </w:style>
  <w:style w:type="paragraph" w:styleId="Puntoelenco2">
    <w:name w:val="List Bullet 2"/>
    <w:basedOn w:val="Normale"/>
    <w:uiPriority w:val="99"/>
    <w:semiHidden/>
    <w:unhideWhenUsed/>
    <w:rsid w:val="000014EE"/>
    <w:pPr>
      <w:numPr>
        <w:numId w:val="8"/>
      </w:numPr>
      <w:contextualSpacing/>
    </w:pPr>
  </w:style>
  <w:style w:type="paragraph" w:styleId="Puntoelenco3">
    <w:name w:val="List Bullet 3"/>
    <w:basedOn w:val="Normale"/>
    <w:uiPriority w:val="99"/>
    <w:semiHidden/>
    <w:unhideWhenUsed/>
    <w:rsid w:val="000014EE"/>
    <w:pPr>
      <w:numPr>
        <w:numId w:val="9"/>
      </w:numPr>
      <w:contextualSpacing/>
    </w:pPr>
  </w:style>
  <w:style w:type="paragraph" w:styleId="Puntoelenco4">
    <w:name w:val="List Bullet 4"/>
    <w:basedOn w:val="Normale"/>
    <w:uiPriority w:val="99"/>
    <w:semiHidden/>
    <w:unhideWhenUsed/>
    <w:rsid w:val="000014EE"/>
    <w:pPr>
      <w:numPr>
        <w:numId w:val="10"/>
      </w:numPr>
      <w:contextualSpacing/>
    </w:pPr>
  </w:style>
  <w:style w:type="paragraph" w:styleId="Puntoelenco5">
    <w:name w:val="List Bullet 5"/>
    <w:basedOn w:val="Normale"/>
    <w:uiPriority w:val="99"/>
    <w:semiHidden/>
    <w:unhideWhenUsed/>
    <w:rsid w:val="000014EE"/>
    <w:pPr>
      <w:numPr>
        <w:numId w:val="11"/>
      </w:numPr>
      <w:contextualSpacing/>
    </w:pPr>
  </w:style>
  <w:style w:type="paragraph" w:styleId="Rientrocorpodeltesto2">
    <w:name w:val="Body Text Indent 2"/>
    <w:basedOn w:val="Normale"/>
    <w:link w:val="Rientrocorpodeltesto2Carattere"/>
    <w:uiPriority w:val="99"/>
    <w:semiHidden/>
    <w:unhideWhenUsed/>
    <w:rsid w:val="000014EE"/>
    <w:pPr>
      <w:spacing w:after="120" w:line="480" w:lineRule="auto"/>
      <w:ind w:left="283"/>
    </w:pPr>
  </w:style>
  <w:style w:type="character" w:customStyle="1" w:styleId="Rientrocorpodeltesto2Carattere">
    <w:name w:val="Rientro corpo del testo 2 Carattere"/>
    <w:basedOn w:val="Carpredefinitoparagrafo"/>
    <w:link w:val="Rientrocorpodeltesto2"/>
    <w:uiPriority w:val="99"/>
    <w:semiHidden/>
    <w:rsid w:val="000014EE"/>
    <w:rPr>
      <w:rFonts w:ascii="Arial" w:eastAsia="Times New Roman" w:hAnsi="Arial" w:cs="Times New Roman"/>
      <w:sz w:val="18"/>
      <w:szCs w:val="20"/>
      <w:lang w:val="en-GB"/>
    </w:rPr>
  </w:style>
  <w:style w:type="paragraph" w:styleId="Rientrocorpodeltesto3">
    <w:name w:val="Body Text Indent 3"/>
    <w:basedOn w:val="Normale"/>
    <w:link w:val="Rientrocorpodeltesto3Carattere"/>
    <w:uiPriority w:val="99"/>
    <w:semiHidden/>
    <w:unhideWhenUsed/>
    <w:rsid w:val="000014EE"/>
    <w:pPr>
      <w:spacing w:after="120"/>
      <w:ind w:left="283"/>
    </w:pPr>
    <w:rPr>
      <w:sz w:val="16"/>
      <w:szCs w:val="16"/>
    </w:rPr>
  </w:style>
  <w:style w:type="character" w:customStyle="1" w:styleId="Rientrocorpodeltesto3Carattere">
    <w:name w:val="Rientro corpo del testo 3 Carattere"/>
    <w:basedOn w:val="Carpredefinitoparagrafo"/>
    <w:link w:val="Rientrocorpodeltesto3"/>
    <w:uiPriority w:val="99"/>
    <w:semiHidden/>
    <w:rsid w:val="000014EE"/>
    <w:rPr>
      <w:rFonts w:ascii="Arial" w:eastAsia="Times New Roman" w:hAnsi="Arial" w:cs="Times New Roman"/>
      <w:sz w:val="16"/>
      <w:szCs w:val="16"/>
      <w:lang w:val="en-GB"/>
    </w:rPr>
  </w:style>
  <w:style w:type="paragraph" w:styleId="Rientronormale">
    <w:name w:val="Normal Indent"/>
    <w:basedOn w:val="Normale"/>
    <w:uiPriority w:val="99"/>
    <w:semiHidden/>
    <w:unhideWhenUsed/>
    <w:rsid w:val="000014EE"/>
    <w:pPr>
      <w:ind w:left="720"/>
    </w:pPr>
  </w:style>
  <w:style w:type="paragraph" w:styleId="Testocommento">
    <w:name w:val="annotation text"/>
    <w:basedOn w:val="Normale"/>
    <w:link w:val="TestocommentoCarattere"/>
    <w:uiPriority w:val="99"/>
    <w:unhideWhenUsed/>
    <w:rsid w:val="000014EE"/>
    <w:pPr>
      <w:spacing w:line="240" w:lineRule="auto"/>
    </w:pPr>
  </w:style>
  <w:style w:type="character" w:customStyle="1" w:styleId="TestocommentoCarattere">
    <w:name w:val="Testo commento Carattere"/>
    <w:basedOn w:val="Carpredefinitoparagrafo"/>
    <w:link w:val="Testocommento"/>
    <w:uiPriority w:val="99"/>
    <w:rsid w:val="000014EE"/>
    <w:rPr>
      <w:rFonts w:ascii="Arial" w:eastAsia="Times New Roman" w:hAnsi="Arial" w:cs="Times New Roman"/>
      <w:sz w:val="18"/>
      <w:szCs w:val="20"/>
      <w:lang w:val="en-GB"/>
    </w:rPr>
  </w:style>
  <w:style w:type="paragraph" w:styleId="Soggettocommento">
    <w:name w:val="annotation subject"/>
    <w:basedOn w:val="Testocommento"/>
    <w:next w:val="Testocommento"/>
    <w:link w:val="SoggettocommentoCarattere"/>
    <w:uiPriority w:val="99"/>
    <w:semiHidden/>
    <w:unhideWhenUsed/>
    <w:rsid w:val="000014EE"/>
    <w:rPr>
      <w:b/>
      <w:bCs/>
    </w:rPr>
  </w:style>
  <w:style w:type="character" w:customStyle="1" w:styleId="SoggettocommentoCarattere">
    <w:name w:val="Soggetto commento Carattere"/>
    <w:basedOn w:val="TestocommentoCarattere"/>
    <w:link w:val="Soggettocommento"/>
    <w:uiPriority w:val="99"/>
    <w:semiHidden/>
    <w:rsid w:val="000014EE"/>
    <w:rPr>
      <w:rFonts w:ascii="Arial" w:eastAsia="Times New Roman" w:hAnsi="Arial" w:cs="Times New Roman"/>
      <w:b/>
      <w:bCs/>
      <w:sz w:val="18"/>
      <w:szCs w:val="20"/>
      <w:lang w:val="en-GB"/>
    </w:rPr>
  </w:style>
  <w:style w:type="paragraph" w:styleId="Sommario1">
    <w:name w:val="toc 1"/>
    <w:basedOn w:val="Normale"/>
    <w:next w:val="Normale"/>
    <w:autoRedefine/>
    <w:uiPriority w:val="39"/>
    <w:semiHidden/>
    <w:unhideWhenUsed/>
    <w:rsid w:val="000014EE"/>
    <w:pPr>
      <w:spacing w:after="100"/>
    </w:pPr>
  </w:style>
  <w:style w:type="paragraph" w:styleId="Sommario2">
    <w:name w:val="toc 2"/>
    <w:basedOn w:val="Normale"/>
    <w:next w:val="Normale"/>
    <w:autoRedefine/>
    <w:uiPriority w:val="39"/>
    <w:semiHidden/>
    <w:unhideWhenUsed/>
    <w:rsid w:val="000014EE"/>
    <w:pPr>
      <w:spacing w:after="100"/>
      <w:ind w:left="220"/>
    </w:pPr>
  </w:style>
  <w:style w:type="paragraph" w:styleId="Sommario3">
    <w:name w:val="toc 3"/>
    <w:basedOn w:val="Normale"/>
    <w:next w:val="Normale"/>
    <w:autoRedefine/>
    <w:uiPriority w:val="39"/>
    <w:semiHidden/>
    <w:unhideWhenUsed/>
    <w:rsid w:val="000014EE"/>
    <w:pPr>
      <w:spacing w:after="100"/>
      <w:ind w:left="440"/>
    </w:pPr>
  </w:style>
  <w:style w:type="paragraph" w:styleId="Sommario4">
    <w:name w:val="toc 4"/>
    <w:basedOn w:val="Normale"/>
    <w:next w:val="Normale"/>
    <w:autoRedefine/>
    <w:uiPriority w:val="39"/>
    <w:semiHidden/>
    <w:unhideWhenUsed/>
    <w:rsid w:val="000014EE"/>
    <w:pPr>
      <w:spacing w:after="100"/>
      <w:ind w:left="660"/>
    </w:pPr>
  </w:style>
  <w:style w:type="paragraph" w:styleId="Sommario5">
    <w:name w:val="toc 5"/>
    <w:basedOn w:val="Normale"/>
    <w:next w:val="Normale"/>
    <w:autoRedefine/>
    <w:uiPriority w:val="39"/>
    <w:semiHidden/>
    <w:unhideWhenUsed/>
    <w:rsid w:val="000014EE"/>
    <w:pPr>
      <w:spacing w:after="100"/>
      <w:ind w:left="880"/>
    </w:pPr>
  </w:style>
  <w:style w:type="paragraph" w:styleId="Sommario6">
    <w:name w:val="toc 6"/>
    <w:basedOn w:val="Normale"/>
    <w:next w:val="Normale"/>
    <w:autoRedefine/>
    <w:uiPriority w:val="39"/>
    <w:semiHidden/>
    <w:unhideWhenUsed/>
    <w:rsid w:val="000014EE"/>
    <w:pPr>
      <w:spacing w:after="100"/>
      <w:ind w:left="1100"/>
    </w:pPr>
  </w:style>
  <w:style w:type="paragraph" w:styleId="Sommario7">
    <w:name w:val="toc 7"/>
    <w:basedOn w:val="Normale"/>
    <w:next w:val="Normale"/>
    <w:autoRedefine/>
    <w:uiPriority w:val="39"/>
    <w:semiHidden/>
    <w:unhideWhenUsed/>
    <w:rsid w:val="000014EE"/>
    <w:pPr>
      <w:spacing w:after="100"/>
      <w:ind w:left="1320"/>
    </w:pPr>
  </w:style>
  <w:style w:type="paragraph" w:styleId="Sommario8">
    <w:name w:val="toc 8"/>
    <w:basedOn w:val="Normale"/>
    <w:next w:val="Normale"/>
    <w:autoRedefine/>
    <w:uiPriority w:val="39"/>
    <w:semiHidden/>
    <w:unhideWhenUsed/>
    <w:rsid w:val="000014EE"/>
    <w:pPr>
      <w:spacing w:after="100"/>
      <w:ind w:left="1540"/>
    </w:pPr>
  </w:style>
  <w:style w:type="paragraph" w:styleId="Sommario9">
    <w:name w:val="toc 9"/>
    <w:basedOn w:val="Normale"/>
    <w:next w:val="Normale"/>
    <w:autoRedefine/>
    <w:uiPriority w:val="39"/>
    <w:semiHidden/>
    <w:unhideWhenUsed/>
    <w:rsid w:val="000014EE"/>
    <w:pPr>
      <w:spacing w:after="100"/>
      <w:ind w:left="1760"/>
    </w:pPr>
  </w:style>
  <w:style w:type="paragraph" w:styleId="Testodelblocco">
    <w:name w:val="Block Text"/>
    <w:basedOn w:val="Normale"/>
    <w:uiPriority w:val="99"/>
    <w:semiHidden/>
    <w:unhideWhenUsed/>
    <w:rsid w:val="000014EE"/>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eastAsiaTheme="minorEastAsia"/>
      <w:i/>
      <w:iCs/>
      <w:color w:val="4472C4" w:themeColor="accent1"/>
    </w:rPr>
  </w:style>
  <w:style w:type="paragraph" w:styleId="Testomacro">
    <w:name w:val="macro"/>
    <w:link w:val="TestomacroCarattere"/>
    <w:uiPriority w:val="99"/>
    <w:semiHidden/>
    <w:unhideWhenUsed/>
    <w:rsid w:val="000014EE"/>
    <w:pPr>
      <w:tabs>
        <w:tab w:val="left" w:pos="480"/>
        <w:tab w:val="left" w:pos="960"/>
        <w:tab w:val="left" w:pos="1440"/>
        <w:tab w:val="left" w:pos="1920"/>
        <w:tab w:val="left" w:pos="2400"/>
        <w:tab w:val="left" w:pos="2880"/>
        <w:tab w:val="left" w:pos="3360"/>
        <w:tab w:val="left" w:pos="3840"/>
        <w:tab w:val="left" w:pos="4320"/>
      </w:tabs>
      <w:spacing w:after="0" w:line="276" w:lineRule="auto"/>
    </w:pPr>
    <w:rPr>
      <w:rFonts w:ascii="Consolas" w:hAnsi="Consolas" w:cs="Consolas"/>
      <w:sz w:val="20"/>
      <w:szCs w:val="20"/>
    </w:rPr>
  </w:style>
  <w:style w:type="character" w:customStyle="1" w:styleId="TestomacroCarattere">
    <w:name w:val="Testo macro Carattere"/>
    <w:basedOn w:val="Carpredefinitoparagrafo"/>
    <w:link w:val="Testomacro"/>
    <w:uiPriority w:val="99"/>
    <w:semiHidden/>
    <w:rsid w:val="000014EE"/>
    <w:rPr>
      <w:rFonts w:ascii="Consolas" w:hAnsi="Consolas" w:cs="Consolas"/>
      <w:sz w:val="20"/>
      <w:szCs w:val="20"/>
    </w:rPr>
  </w:style>
  <w:style w:type="paragraph" w:styleId="Testonormale">
    <w:name w:val="Plain Text"/>
    <w:basedOn w:val="Normale"/>
    <w:link w:val="TestonormaleCarattere"/>
    <w:uiPriority w:val="99"/>
    <w:semiHidden/>
    <w:unhideWhenUsed/>
    <w:rsid w:val="000014EE"/>
    <w:pPr>
      <w:spacing w:line="240" w:lineRule="auto"/>
    </w:pPr>
    <w:rPr>
      <w:rFonts w:ascii="Consolas" w:hAnsi="Consolas" w:cs="Consolas"/>
      <w:sz w:val="21"/>
      <w:szCs w:val="21"/>
    </w:rPr>
  </w:style>
  <w:style w:type="character" w:customStyle="1" w:styleId="TestonormaleCarattere">
    <w:name w:val="Testo normale Carattere"/>
    <w:basedOn w:val="Carpredefinitoparagrafo"/>
    <w:link w:val="Testonormale"/>
    <w:uiPriority w:val="99"/>
    <w:semiHidden/>
    <w:rsid w:val="000014EE"/>
    <w:rPr>
      <w:rFonts w:ascii="Consolas" w:eastAsia="Times New Roman" w:hAnsi="Consolas" w:cs="Consolas"/>
      <w:sz w:val="21"/>
      <w:szCs w:val="21"/>
      <w:lang w:val="en-GB"/>
    </w:rPr>
  </w:style>
  <w:style w:type="paragraph" w:styleId="Testonotaapidipagina">
    <w:name w:val="footnote text"/>
    <w:basedOn w:val="Normale"/>
    <w:link w:val="TestonotaapidipaginaCarattere"/>
    <w:uiPriority w:val="99"/>
    <w:semiHidden/>
    <w:unhideWhenUsed/>
    <w:rsid w:val="000014EE"/>
    <w:pPr>
      <w:spacing w:line="240" w:lineRule="auto"/>
    </w:pPr>
  </w:style>
  <w:style w:type="character" w:customStyle="1" w:styleId="TestonotaapidipaginaCarattere">
    <w:name w:val="Testo nota a piè di pagina Carattere"/>
    <w:basedOn w:val="Carpredefinitoparagrafo"/>
    <w:link w:val="Testonotaapidipagina"/>
    <w:uiPriority w:val="99"/>
    <w:semiHidden/>
    <w:rsid w:val="000014EE"/>
    <w:rPr>
      <w:rFonts w:ascii="Arial" w:eastAsia="Times New Roman" w:hAnsi="Arial" w:cs="Times New Roman"/>
      <w:sz w:val="18"/>
      <w:szCs w:val="20"/>
      <w:lang w:val="en-GB"/>
    </w:rPr>
  </w:style>
  <w:style w:type="paragraph" w:styleId="Testonotadichiusura">
    <w:name w:val="endnote text"/>
    <w:basedOn w:val="Normale"/>
    <w:link w:val="TestonotadichiusuraCarattere"/>
    <w:uiPriority w:val="99"/>
    <w:semiHidden/>
    <w:unhideWhenUsed/>
    <w:rsid w:val="000014EE"/>
    <w:pPr>
      <w:spacing w:line="240" w:lineRule="auto"/>
    </w:pPr>
  </w:style>
  <w:style w:type="character" w:customStyle="1" w:styleId="TestonotadichiusuraCarattere">
    <w:name w:val="Testo nota di chiusura Carattere"/>
    <w:basedOn w:val="Carpredefinitoparagrafo"/>
    <w:link w:val="Testonotadichiusura"/>
    <w:uiPriority w:val="99"/>
    <w:semiHidden/>
    <w:rsid w:val="000014EE"/>
    <w:rPr>
      <w:rFonts w:ascii="Arial" w:eastAsia="Times New Roman" w:hAnsi="Arial" w:cs="Times New Roman"/>
      <w:sz w:val="18"/>
      <w:szCs w:val="20"/>
      <w:lang w:val="en-GB"/>
    </w:rPr>
  </w:style>
  <w:style w:type="paragraph" w:styleId="Titoloindice">
    <w:name w:val="index heading"/>
    <w:basedOn w:val="Normale"/>
    <w:next w:val="Indice1"/>
    <w:uiPriority w:val="99"/>
    <w:semiHidden/>
    <w:unhideWhenUsed/>
    <w:rsid w:val="000014EE"/>
    <w:rPr>
      <w:rFonts w:asciiTheme="majorHAnsi" w:eastAsiaTheme="majorEastAsia" w:hAnsiTheme="majorHAnsi" w:cstheme="majorBidi"/>
      <w:b/>
      <w:bCs/>
    </w:rPr>
  </w:style>
  <w:style w:type="paragraph" w:styleId="Titoloindicefonti">
    <w:name w:val="toa heading"/>
    <w:basedOn w:val="Normale"/>
    <w:next w:val="Normale"/>
    <w:uiPriority w:val="99"/>
    <w:semiHidden/>
    <w:unhideWhenUsed/>
    <w:rsid w:val="000014EE"/>
    <w:pPr>
      <w:spacing w:before="120"/>
    </w:pPr>
    <w:rPr>
      <w:rFonts w:asciiTheme="majorHAnsi" w:eastAsiaTheme="majorEastAsia" w:hAnsiTheme="majorHAnsi" w:cstheme="majorBidi"/>
      <w:b/>
      <w:bCs/>
      <w:sz w:val="24"/>
      <w:szCs w:val="24"/>
    </w:rPr>
  </w:style>
  <w:style w:type="paragraph" w:styleId="Titolosommario">
    <w:name w:val="TOC Heading"/>
    <w:basedOn w:val="Titolo1"/>
    <w:next w:val="Normale"/>
    <w:uiPriority w:val="39"/>
    <w:semiHidden/>
    <w:unhideWhenUsed/>
    <w:qFormat/>
    <w:rsid w:val="000014EE"/>
    <w:pPr>
      <w:outlineLvl w:val="9"/>
    </w:pPr>
  </w:style>
  <w:style w:type="paragraph" w:customStyle="1" w:styleId="CETemail">
    <w:name w:val="CET email"/>
    <w:next w:val="CETBodytext"/>
    <w:rsid w:val="000014EE"/>
    <w:pPr>
      <w:spacing w:after="240" w:line="276" w:lineRule="auto"/>
    </w:pPr>
    <w:rPr>
      <w:rFonts w:ascii="Arial" w:eastAsia="Times New Roman" w:hAnsi="Arial" w:cs="Times New Roman"/>
      <w:noProof/>
      <w:sz w:val="16"/>
      <w:szCs w:val="20"/>
      <w:lang w:val="en-GB"/>
    </w:rPr>
  </w:style>
  <w:style w:type="character" w:customStyle="1" w:styleId="CETAddressCarattere">
    <w:name w:val="CET Address Carattere"/>
    <w:basedOn w:val="Carpredefinitoparagrafo"/>
    <w:link w:val="CETAddress"/>
    <w:rsid w:val="000014EE"/>
    <w:rPr>
      <w:rFonts w:ascii="Arial" w:eastAsia="Times New Roman" w:hAnsi="Arial" w:cs="Times New Roman"/>
      <w:noProof/>
      <w:sz w:val="16"/>
      <w:szCs w:val="20"/>
      <w:lang w:val="en-GB"/>
    </w:rPr>
  </w:style>
  <w:style w:type="paragraph" w:customStyle="1" w:styleId="CETBodytextBold">
    <w:name w:val="CET Body text (Bold)"/>
    <w:basedOn w:val="CETBodytext"/>
    <w:rsid w:val="000014EE"/>
    <w:rPr>
      <w:b/>
    </w:rPr>
  </w:style>
  <w:style w:type="paragraph" w:customStyle="1" w:styleId="CETnumberingbullets">
    <w:name w:val="CET numbering (bullets)"/>
    <w:rsid w:val="000014EE"/>
    <w:pPr>
      <w:numPr>
        <w:numId w:val="13"/>
      </w:numPr>
      <w:spacing w:after="0" w:line="264" w:lineRule="auto"/>
    </w:pPr>
    <w:rPr>
      <w:rFonts w:ascii="Arial" w:eastAsia="Times New Roman" w:hAnsi="Arial" w:cs="Times New Roman"/>
      <w:sz w:val="18"/>
      <w:szCs w:val="20"/>
      <w:lang w:val="en-GB"/>
    </w:rPr>
  </w:style>
  <w:style w:type="paragraph" w:customStyle="1" w:styleId="CETnumbering1">
    <w:name w:val="CET numbering (1"/>
    <w:aliases w:val="2..)"/>
    <w:rsid w:val="000014EE"/>
    <w:pPr>
      <w:numPr>
        <w:numId w:val="14"/>
      </w:numPr>
      <w:spacing w:after="0" w:line="264" w:lineRule="auto"/>
      <w:ind w:left="340" w:hanging="227"/>
    </w:pPr>
    <w:rPr>
      <w:rFonts w:ascii="Arial" w:eastAsia="Times New Roman" w:hAnsi="Arial" w:cs="Times New Roman"/>
      <w:sz w:val="18"/>
      <w:szCs w:val="20"/>
      <w:lang w:val="en-US"/>
    </w:rPr>
  </w:style>
  <w:style w:type="paragraph" w:customStyle="1" w:styleId="CETnumberinga">
    <w:name w:val="CET numbering (a"/>
    <w:aliases w:val="b,..)"/>
    <w:rsid w:val="000014EE"/>
    <w:pPr>
      <w:numPr>
        <w:numId w:val="15"/>
      </w:numPr>
      <w:spacing w:after="0" w:line="264" w:lineRule="auto"/>
    </w:pPr>
    <w:rPr>
      <w:rFonts w:ascii="Arial" w:eastAsia="Times New Roman" w:hAnsi="Arial" w:cs="Times New Roman"/>
      <w:sz w:val="18"/>
      <w:szCs w:val="20"/>
      <w:lang w:val="en-GB"/>
    </w:rPr>
  </w:style>
  <w:style w:type="paragraph" w:styleId="Intestazione">
    <w:name w:val="header"/>
    <w:basedOn w:val="Normale"/>
    <w:link w:val="IntestazioneCarattere"/>
    <w:uiPriority w:val="99"/>
    <w:unhideWhenUsed/>
    <w:rsid w:val="000014EE"/>
    <w:pPr>
      <w:tabs>
        <w:tab w:val="clear" w:pos="7100"/>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0014EE"/>
    <w:rPr>
      <w:rFonts w:ascii="Arial" w:eastAsia="Times New Roman" w:hAnsi="Arial" w:cs="Times New Roman"/>
      <w:sz w:val="18"/>
      <w:szCs w:val="20"/>
      <w:lang w:val="en-GB"/>
    </w:rPr>
  </w:style>
  <w:style w:type="paragraph" w:styleId="Pidipagina">
    <w:name w:val="footer"/>
    <w:basedOn w:val="Normale"/>
    <w:link w:val="PidipaginaCarattere"/>
    <w:uiPriority w:val="99"/>
    <w:unhideWhenUsed/>
    <w:rsid w:val="000014EE"/>
    <w:pPr>
      <w:tabs>
        <w:tab w:val="clear" w:pos="7100"/>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0014EE"/>
    <w:rPr>
      <w:rFonts w:ascii="Arial" w:eastAsia="Times New Roman" w:hAnsi="Arial" w:cs="Times New Roman"/>
      <w:sz w:val="18"/>
      <w:szCs w:val="20"/>
      <w:lang w:val="en-GB"/>
    </w:rPr>
  </w:style>
  <w:style w:type="table" w:styleId="Grigliatabella">
    <w:name w:val="Table Grid"/>
    <w:basedOn w:val="Tabellanormale"/>
    <w:uiPriority w:val="59"/>
    <w:rsid w:val="000014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0014EE"/>
    <w:rPr>
      <w:color w:val="0563C1" w:themeColor="hyperlink"/>
      <w:u w:val="single"/>
    </w:rPr>
  </w:style>
  <w:style w:type="character" w:customStyle="1" w:styleId="eudoraheader">
    <w:name w:val="eudoraheader"/>
    <w:basedOn w:val="Carpredefinitoparagrafo"/>
    <w:rsid w:val="000014EE"/>
  </w:style>
  <w:style w:type="paragraph" w:customStyle="1" w:styleId="CETListbullets">
    <w:name w:val="CET List bullets"/>
    <w:qFormat/>
    <w:rsid w:val="000014EE"/>
    <w:pPr>
      <w:spacing w:after="0" w:line="264" w:lineRule="auto"/>
      <w:ind w:left="340" w:hanging="227"/>
      <w:jc w:val="both"/>
    </w:pPr>
    <w:rPr>
      <w:rFonts w:ascii="Arial" w:eastAsia="Times New Roman" w:hAnsi="Arial" w:cs="Times New Roman"/>
      <w:sz w:val="18"/>
      <w:szCs w:val="20"/>
      <w:lang w:val="en-GB"/>
    </w:rPr>
  </w:style>
  <w:style w:type="paragraph" w:customStyle="1" w:styleId="CETReferencetext">
    <w:name w:val="CET Reference text"/>
    <w:qFormat/>
    <w:rsid w:val="000014EE"/>
    <w:pPr>
      <w:spacing w:after="0" w:line="264" w:lineRule="auto"/>
      <w:ind w:left="284" w:hanging="284"/>
      <w:jc w:val="both"/>
    </w:pPr>
    <w:rPr>
      <w:rFonts w:ascii="Arial" w:eastAsia="Times New Roman" w:hAnsi="Arial" w:cs="Times New Roman"/>
      <w:sz w:val="18"/>
      <w:szCs w:val="20"/>
      <w:lang w:val="en-GB"/>
    </w:rPr>
  </w:style>
  <w:style w:type="paragraph" w:customStyle="1" w:styleId="CETTabletitle">
    <w:name w:val="CET Table title"/>
    <w:qFormat/>
    <w:rsid w:val="000014EE"/>
    <w:pPr>
      <w:keepNext/>
      <w:spacing w:before="240" w:after="80" w:line="240" w:lineRule="exact"/>
    </w:pPr>
    <w:rPr>
      <w:rFonts w:ascii="Arial" w:eastAsia="Times New Roman" w:hAnsi="Arial" w:cs="Times New Roman"/>
      <w:i/>
      <w:sz w:val="18"/>
      <w:szCs w:val="20"/>
      <w:lang w:val="en-GB"/>
    </w:rPr>
  </w:style>
  <w:style w:type="paragraph" w:customStyle="1" w:styleId="CETAcknowledgementstitle">
    <w:name w:val="CET Acknowledgements title"/>
    <w:next w:val="CETBodytext"/>
    <w:qFormat/>
    <w:rsid w:val="000014EE"/>
    <w:pPr>
      <w:spacing w:before="200" w:after="120" w:line="276" w:lineRule="auto"/>
    </w:pPr>
    <w:rPr>
      <w:rFonts w:ascii="Arial" w:eastAsia="Times New Roman" w:hAnsi="Arial" w:cs="Times New Roman"/>
      <w:b/>
      <w:sz w:val="18"/>
      <w:szCs w:val="20"/>
      <w:lang w:val="en-GB"/>
    </w:rPr>
  </w:style>
  <w:style w:type="paragraph" w:customStyle="1" w:styleId="CETEquation">
    <w:name w:val="CET Equation"/>
    <w:basedOn w:val="CETBodytext"/>
    <w:next w:val="CETBodytext"/>
    <w:qFormat/>
    <w:rsid w:val="000014EE"/>
    <w:pPr>
      <w:spacing w:before="120" w:after="120"/>
      <w:jc w:val="left"/>
    </w:pPr>
    <w:rPr>
      <w:lang w:val="en-GB"/>
    </w:rPr>
  </w:style>
  <w:style w:type="paragraph" w:customStyle="1" w:styleId="CETHeadingxx">
    <w:name w:val="CET Headingxx"/>
    <w:basedOn w:val="CETheadingx"/>
    <w:link w:val="CETHeadingxxChar"/>
    <w:qFormat/>
    <w:rsid w:val="000014EE"/>
    <w:pPr>
      <w:numPr>
        <w:ilvl w:val="0"/>
        <w:numId w:val="0"/>
      </w:numPr>
    </w:pPr>
  </w:style>
  <w:style w:type="character" w:customStyle="1" w:styleId="CETHeadingxxChar">
    <w:name w:val="CET Headingxx Char"/>
    <w:basedOn w:val="CETheadingxCarattere"/>
    <w:link w:val="CETHeadingxx"/>
    <w:rsid w:val="000014EE"/>
    <w:rPr>
      <w:rFonts w:ascii="Arial" w:eastAsia="Times New Roman" w:hAnsi="Arial" w:cs="Times New Roman"/>
      <w:b/>
      <w:sz w:val="18"/>
      <w:szCs w:val="20"/>
      <w:lang w:val="en-US"/>
    </w:rPr>
  </w:style>
  <w:style w:type="paragraph" w:styleId="Paragrafoelenco">
    <w:name w:val="List Paragraph"/>
    <w:basedOn w:val="Normale"/>
    <w:uiPriority w:val="34"/>
    <w:rsid w:val="000014EE"/>
    <w:pPr>
      <w:ind w:left="720"/>
      <w:contextualSpacing/>
    </w:pPr>
  </w:style>
  <w:style w:type="character" w:customStyle="1" w:styleId="gmail-apple-converted-space">
    <w:name w:val="gmail-apple-converted-space"/>
    <w:basedOn w:val="Carpredefinitoparagrafo"/>
    <w:rsid w:val="000014EE"/>
  </w:style>
  <w:style w:type="paragraph" w:customStyle="1" w:styleId="EndNoteBibliographyTitle">
    <w:name w:val="EndNote Bibliography Title"/>
    <w:basedOn w:val="Normale"/>
    <w:link w:val="EndNoteBibliographyTitleChar"/>
    <w:rsid w:val="000014EE"/>
    <w:pPr>
      <w:jc w:val="center"/>
    </w:pPr>
    <w:rPr>
      <w:rFonts w:cs="Arial"/>
      <w:noProof/>
      <w:lang w:val="en-US"/>
    </w:rPr>
  </w:style>
  <w:style w:type="character" w:customStyle="1" w:styleId="EndNoteBibliographyTitleChar">
    <w:name w:val="EndNote Bibliography Title Char"/>
    <w:basedOn w:val="CETBodytextCarattere"/>
    <w:link w:val="EndNoteBibliographyTitle"/>
    <w:rsid w:val="000014EE"/>
    <w:rPr>
      <w:rFonts w:ascii="Arial" w:eastAsia="Times New Roman" w:hAnsi="Arial" w:cs="Arial"/>
      <w:noProof/>
      <w:sz w:val="18"/>
      <w:szCs w:val="20"/>
      <w:lang w:val="en-US"/>
    </w:rPr>
  </w:style>
  <w:style w:type="paragraph" w:customStyle="1" w:styleId="EndNoteBibliography">
    <w:name w:val="EndNote Bibliography"/>
    <w:basedOn w:val="Normale"/>
    <w:link w:val="EndNoteBibliographyChar"/>
    <w:rsid w:val="000014EE"/>
    <w:pPr>
      <w:spacing w:line="240" w:lineRule="auto"/>
    </w:pPr>
    <w:rPr>
      <w:rFonts w:cs="Arial"/>
      <w:noProof/>
      <w:lang w:val="en-US"/>
    </w:rPr>
  </w:style>
  <w:style w:type="character" w:customStyle="1" w:styleId="EndNoteBibliographyChar">
    <w:name w:val="EndNote Bibliography Char"/>
    <w:basedOn w:val="CETBodytextCarattere"/>
    <w:link w:val="EndNoteBibliography"/>
    <w:rsid w:val="000014EE"/>
    <w:rPr>
      <w:rFonts w:ascii="Arial" w:eastAsia="Times New Roman" w:hAnsi="Arial" w:cs="Arial"/>
      <w:noProof/>
      <w:sz w:val="18"/>
      <w:szCs w:val="20"/>
      <w:lang w:val="en-US"/>
    </w:rPr>
  </w:style>
  <w:style w:type="character" w:styleId="Testosegnaposto">
    <w:name w:val="Placeholder Text"/>
    <w:basedOn w:val="Carpredefinitoparagrafo"/>
    <w:uiPriority w:val="99"/>
    <w:semiHidden/>
    <w:rsid w:val="00F6109B"/>
    <w:rPr>
      <w:color w:val="666666"/>
    </w:rPr>
  </w:style>
  <w:style w:type="character" w:styleId="Menzionenonrisolta">
    <w:name w:val="Unresolved Mention"/>
    <w:basedOn w:val="Carpredefinitoparagrafo"/>
    <w:uiPriority w:val="99"/>
    <w:semiHidden/>
    <w:unhideWhenUsed/>
    <w:rsid w:val="003F33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71273">
      <w:marLeft w:val="480"/>
      <w:marRight w:val="0"/>
      <w:marTop w:val="0"/>
      <w:marBottom w:val="0"/>
      <w:divBdr>
        <w:top w:val="none" w:sz="0" w:space="0" w:color="auto"/>
        <w:left w:val="none" w:sz="0" w:space="0" w:color="auto"/>
        <w:bottom w:val="none" w:sz="0" w:space="0" w:color="auto"/>
        <w:right w:val="none" w:sz="0" w:space="0" w:color="auto"/>
      </w:divBdr>
    </w:div>
    <w:div w:id="26373514">
      <w:marLeft w:val="480"/>
      <w:marRight w:val="0"/>
      <w:marTop w:val="0"/>
      <w:marBottom w:val="0"/>
      <w:divBdr>
        <w:top w:val="none" w:sz="0" w:space="0" w:color="auto"/>
        <w:left w:val="none" w:sz="0" w:space="0" w:color="auto"/>
        <w:bottom w:val="none" w:sz="0" w:space="0" w:color="auto"/>
        <w:right w:val="none" w:sz="0" w:space="0" w:color="auto"/>
      </w:divBdr>
    </w:div>
    <w:div w:id="35662158">
      <w:marLeft w:val="480"/>
      <w:marRight w:val="0"/>
      <w:marTop w:val="0"/>
      <w:marBottom w:val="0"/>
      <w:divBdr>
        <w:top w:val="none" w:sz="0" w:space="0" w:color="auto"/>
        <w:left w:val="none" w:sz="0" w:space="0" w:color="auto"/>
        <w:bottom w:val="none" w:sz="0" w:space="0" w:color="auto"/>
        <w:right w:val="none" w:sz="0" w:space="0" w:color="auto"/>
      </w:divBdr>
    </w:div>
    <w:div w:id="36661899">
      <w:marLeft w:val="480"/>
      <w:marRight w:val="0"/>
      <w:marTop w:val="0"/>
      <w:marBottom w:val="0"/>
      <w:divBdr>
        <w:top w:val="none" w:sz="0" w:space="0" w:color="auto"/>
        <w:left w:val="none" w:sz="0" w:space="0" w:color="auto"/>
        <w:bottom w:val="none" w:sz="0" w:space="0" w:color="auto"/>
        <w:right w:val="none" w:sz="0" w:space="0" w:color="auto"/>
      </w:divBdr>
    </w:div>
    <w:div w:id="45836386">
      <w:marLeft w:val="480"/>
      <w:marRight w:val="0"/>
      <w:marTop w:val="0"/>
      <w:marBottom w:val="0"/>
      <w:divBdr>
        <w:top w:val="none" w:sz="0" w:space="0" w:color="auto"/>
        <w:left w:val="none" w:sz="0" w:space="0" w:color="auto"/>
        <w:bottom w:val="none" w:sz="0" w:space="0" w:color="auto"/>
        <w:right w:val="none" w:sz="0" w:space="0" w:color="auto"/>
      </w:divBdr>
    </w:div>
    <w:div w:id="62148571">
      <w:marLeft w:val="480"/>
      <w:marRight w:val="0"/>
      <w:marTop w:val="0"/>
      <w:marBottom w:val="0"/>
      <w:divBdr>
        <w:top w:val="none" w:sz="0" w:space="0" w:color="auto"/>
        <w:left w:val="none" w:sz="0" w:space="0" w:color="auto"/>
        <w:bottom w:val="none" w:sz="0" w:space="0" w:color="auto"/>
        <w:right w:val="none" w:sz="0" w:space="0" w:color="auto"/>
      </w:divBdr>
    </w:div>
    <w:div w:id="62988871">
      <w:marLeft w:val="480"/>
      <w:marRight w:val="0"/>
      <w:marTop w:val="0"/>
      <w:marBottom w:val="0"/>
      <w:divBdr>
        <w:top w:val="none" w:sz="0" w:space="0" w:color="auto"/>
        <w:left w:val="none" w:sz="0" w:space="0" w:color="auto"/>
        <w:bottom w:val="none" w:sz="0" w:space="0" w:color="auto"/>
        <w:right w:val="none" w:sz="0" w:space="0" w:color="auto"/>
      </w:divBdr>
    </w:div>
    <w:div w:id="68887764">
      <w:marLeft w:val="480"/>
      <w:marRight w:val="0"/>
      <w:marTop w:val="0"/>
      <w:marBottom w:val="0"/>
      <w:divBdr>
        <w:top w:val="none" w:sz="0" w:space="0" w:color="auto"/>
        <w:left w:val="none" w:sz="0" w:space="0" w:color="auto"/>
        <w:bottom w:val="none" w:sz="0" w:space="0" w:color="auto"/>
        <w:right w:val="none" w:sz="0" w:space="0" w:color="auto"/>
      </w:divBdr>
    </w:div>
    <w:div w:id="74087982">
      <w:marLeft w:val="480"/>
      <w:marRight w:val="0"/>
      <w:marTop w:val="0"/>
      <w:marBottom w:val="0"/>
      <w:divBdr>
        <w:top w:val="none" w:sz="0" w:space="0" w:color="auto"/>
        <w:left w:val="none" w:sz="0" w:space="0" w:color="auto"/>
        <w:bottom w:val="none" w:sz="0" w:space="0" w:color="auto"/>
        <w:right w:val="none" w:sz="0" w:space="0" w:color="auto"/>
      </w:divBdr>
    </w:div>
    <w:div w:id="86117217">
      <w:marLeft w:val="480"/>
      <w:marRight w:val="0"/>
      <w:marTop w:val="0"/>
      <w:marBottom w:val="0"/>
      <w:divBdr>
        <w:top w:val="none" w:sz="0" w:space="0" w:color="auto"/>
        <w:left w:val="none" w:sz="0" w:space="0" w:color="auto"/>
        <w:bottom w:val="none" w:sz="0" w:space="0" w:color="auto"/>
        <w:right w:val="none" w:sz="0" w:space="0" w:color="auto"/>
      </w:divBdr>
    </w:div>
    <w:div w:id="112989983">
      <w:marLeft w:val="480"/>
      <w:marRight w:val="0"/>
      <w:marTop w:val="0"/>
      <w:marBottom w:val="0"/>
      <w:divBdr>
        <w:top w:val="none" w:sz="0" w:space="0" w:color="auto"/>
        <w:left w:val="none" w:sz="0" w:space="0" w:color="auto"/>
        <w:bottom w:val="none" w:sz="0" w:space="0" w:color="auto"/>
        <w:right w:val="none" w:sz="0" w:space="0" w:color="auto"/>
      </w:divBdr>
    </w:div>
    <w:div w:id="115150716">
      <w:marLeft w:val="480"/>
      <w:marRight w:val="0"/>
      <w:marTop w:val="0"/>
      <w:marBottom w:val="0"/>
      <w:divBdr>
        <w:top w:val="none" w:sz="0" w:space="0" w:color="auto"/>
        <w:left w:val="none" w:sz="0" w:space="0" w:color="auto"/>
        <w:bottom w:val="none" w:sz="0" w:space="0" w:color="auto"/>
        <w:right w:val="none" w:sz="0" w:space="0" w:color="auto"/>
      </w:divBdr>
    </w:div>
    <w:div w:id="166604172">
      <w:marLeft w:val="480"/>
      <w:marRight w:val="0"/>
      <w:marTop w:val="0"/>
      <w:marBottom w:val="0"/>
      <w:divBdr>
        <w:top w:val="none" w:sz="0" w:space="0" w:color="auto"/>
        <w:left w:val="none" w:sz="0" w:space="0" w:color="auto"/>
        <w:bottom w:val="none" w:sz="0" w:space="0" w:color="auto"/>
        <w:right w:val="none" w:sz="0" w:space="0" w:color="auto"/>
      </w:divBdr>
    </w:div>
    <w:div w:id="168713366">
      <w:marLeft w:val="480"/>
      <w:marRight w:val="0"/>
      <w:marTop w:val="0"/>
      <w:marBottom w:val="0"/>
      <w:divBdr>
        <w:top w:val="none" w:sz="0" w:space="0" w:color="auto"/>
        <w:left w:val="none" w:sz="0" w:space="0" w:color="auto"/>
        <w:bottom w:val="none" w:sz="0" w:space="0" w:color="auto"/>
        <w:right w:val="none" w:sz="0" w:space="0" w:color="auto"/>
      </w:divBdr>
    </w:div>
    <w:div w:id="173038239">
      <w:marLeft w:val="480"/>
      <w:marRight w:val="0"/>
      <w:marTop w:val="0"/>
      <w:marBottom w:val="0"/>
      <w:divBdr>
        <w:top w:val="none" w:sz="0" w:space="0" w:color="auto"/>
        <w:left w:val="none" w:sz="0" w:space="0" w:color="auto"/>
        <w:bottom w:val="none" w:sz="0" w:space="0" w:color="auto"/>
        <w:right w:val="none" w:sz="0" w:space="0" w:color="auto"/>
      </w:divBdr>
    </w:div>
    <w:div w:id="180434592">
      <w:marLeft w:val="480"/>
      <w:marRight w:val="0"/>
      <w:marTop w:val="0"/>
      <w:marBottom w:val="0"/>
      <w:divBdr>
        <w:top w:val="none" w:sz="0" w:space="0" w:color="auto"/>
        <w:left w:val="none" w:sz="0" w:space="0" w:color="auto"/>
        <w:bottom w:val="none" w:sz="0" w:space="0" w:color="auto"/>
        <w:right w:val="none" w:sz="0" w:space="0" w:color="auto"/>
      </w:divBdr>
    </w:div>
    <w:div w:id="218325785">
      <w:marLeft w:val="480"/>
      <w:marRight w:val="0"/>
      <w:marTop w:val="0"/>
      <w:marBottom w:val="0"/>
      <w:divBdr>
        <w:top w:val="none" w:sz="0" w:space="0" w:color="auto"/>
        <w:left w:val="none" w:sz="0" w:space="0" w:color="auto"/>
        <w:bottom w:val="none" w:sz="0" w:space="0" w:color="auto"/>
        <w:right w:val="none" w:sz="0" w:space="0" w:color="auto"/>
      </w:divBdr>
    </w:div>
    <w:div w:id="229535290">
      <w:marLeft w:val="480"/>
      <w:marRight w:val="0"/>
      <w:marTop w:val="0"/>
      <w:marBottom w:val="0"/>
      <w:divBdr>
        <w:top w:val="none" w:sz="0" w:space="0" w:color="auto"/>
        <w:left w:val="none" w:sz="0" w:space="0" w:color="auto"/>
        <w:bottom w:val="none" w:sz="0" w:space="0" w:color="auto"/>
        <w:right w:val="none" w:sz="0" w:space="0" w:color="auto"/>
      </w:divBdr>
    </w:div>
    <w:div w:id="234903860">
      <w:marLeft w:val="480"/>
      <w:marRight w:val="0"/>
      <w:marTop w:val="0"/>
      <w:marBottom w:val="0"/>
      <w:divBdr>
        <w:top w:val="none" w:sz="0" w:space="0" w:color="auto"/>
        <w:left w:val="none" w:sz="0" w:space="0" w:color="auto"/>
        <w:bottom w:val="none" w:sz="0" w:space="0" w:color="auto"/>
        <w:right w:val="none" w:sz="0" w:space="0" w:color="auto"/>
      </w:divBdr>
    </w:div>
    <w:div w:id="246891261">
      <w:marLeft w:val="480"/>
      <w:marRight w:val="0"/>
      <w:marTop w:val="0"/>
      <w:marBottom w:val="0"/>
      <w:divBdr>
        <w:top w:val="none" w:sz="0" w:space="0" w:color="auto"/>
        <w:left w:val="none" w:sz="0" w:space="0" w:color="auto"/>
        <w:bottom w:val="none" w:sz="0" w:space="0" w:color="auto"/>
        <w:right w:val="none" w:sz="0" w:space="0" w:color="auto"/>
      </w:divBdr>
    </w:div>
    <w:div w:id="260843913">
      <w:marLeft w:val="480"/>
      <w:marRight w:val="0"/>
      <w:marTop w:val="0"/>
      <w:marBottom w:val="0"/>
      <w:divBdr>
        <w:top w:val="none" w:sz="0" w:space="0" w:color="auto"/>
        <w:left w:val="none" w:sz="0" w:space="0" w:color="auto"/>
        <w:bottom w:val="none" w:sz="0" w:space="0" w:color="auto"/>
        <w:right w:val="none" w:sz="0" w:space="0" w:color="auto"/>
      </w:divBdr>
    </w:div>
    <w:div w:id="263073362">
      <w:marLeft w:val="480"/>
      <w:marRight w:val="0"/>
      <w:marTop w:val="0"/>
      <w:marBottom w:val="0"/>
      <w:divBdr>
        <w:top w:val="none" w:sz="0" w:space="0" w:color="auto"/>
        <w:left w:val="none" w:sz="0" w:space="0" w:color="auto"/>
        <w:bottom w:val="none" w:sz="0" w:space="0" w:color="auto"/>
        <w:right w:val="none" w:sz="0" w:space="0" w:color="auto"/>
      </w:divBdr>
    </w:div>
    <w:div w:id="274096117">
      <w:marLeft w:val="480"/>
      <w:marRight w:val="0"/>
      <w:marTop w:val="0"/>
      <w:marBottom w:val="0"/>
      <w:divBdr>
        <w:top w:val="none" w:sz="0" w:space="0" w:color="auto"/>
        <w:left w:val="none" w:sz="0" w:space="0" w:color="auto"/>
        <w:bottom w:val="none" w:sz="0" w:space="0" w:color="auto"/>
        <w:right w:val="none" w:sz="0" w:space="0" w:color="auto"/>
      </w:divBdr>
    </w:div>
    <w:div w:id="281307016">
      <w:marLeft w:val="480"/>
      <w:marRight w:val="0"/>
      <w:marTop w:val="0"/>
      <w:marBottom w:val="0"/>
      <w:divBdr>
        <w:top w:val="none" w:sz="0" w:space="0" w:color="auto"/>
        <w:left w:val="none" w:sz="0" w:space="0" w:color="auto"/>
        <w:bottom w:val="none" w:sz="0" w:space="0" w:color="auto"/>
        <w:right w:val="none" w:sz="0" w:space="0" w:color="auto"/>
      </w:divBdr>
    </w:div>
    <w:div w:id="290016036">
      <w:marLeft w:val="480"/>
      <w:marRight w:val="0"/>
      <w:marTop w:val="0"/>
      <w:marBottom w:val="0"/>
      <w:divBdr>
        <w:top w:val="none" w:sz="0" w:space="0" w:color="auto"/>
        <w:left w:val="none" w:sz="0" w:space="0" w:color="auto"/>
        <w:bottom w:val="none" w:sz="0" w:space="0" w:color="auto"/>
        <w:right w:val="none" w:sz="0" w:space="0" w:color="auto"/>
      </w:divBdr>
    </w:div>
    <w:div w:id="317611957">
      <w:marLeft w:val="480"/>
      <w:marRight w:val="0"/>
      <w:marTop w:val="0"/>
      <w:marBottom w:val="0"/>
      <w:divBdr>
        <w:top w:val="none" w:sz="0" w:space="0" w:color="auto"/>
        <w:left w:val="none" w:sz="0" w:space="0" w:color="auto"/>
        <w:bottom w:val="none" w:sz="0" w:space="0" w:color="auto"/>
        <w:right w:val="none" w:sz="0" w:space="0" w:color="auto"/>
      </w:divBdr>
    </w:div>
    <w:div w:id="340812771">
      <w:marLeft w:val="480"/>
      <w:marRight w:val="0"/>
      <w:marTop w:val="0"/>
      <w:marBottom w:val="0"/>
      <w:divBdr>
        <w:top w:val="none" w:sz="0" w:space="0" w:color="auto"/>
        <w:left w:val="none" w:sz="0" w:space="0" w:color="auto"/>
        <w:bottom w:val="none" w:sz="0" w:space="0" w:color="auto"/>
        <w:right w:val="none" w:sz="0" w:space="0" w:color="auto"/>
      </w:divBdr>
    </w:div>
    <w:div w:id="342123473">
      <w:marLeft w:val="480"/>
      <w:marRight w:val="0"/>
      <w:marTop w:val="0"/>
      <w:marBottom w:val="0"/>
      <w:divBdr>
        <w:top w:val="none" w:sz="0" w:space="0" w:color="auto"/>
        <w:left w:val="none" w:sz="0" w:space="0" w:color="auto"/>
        <w:bottom w:val="none" w:sz="0" w:space="0" w:color="auto"/>
        <w:right w:val="none" w:sz="0" w:space="0" w:color="auto"/>
      </w:divBdr>
    </w:div>
    <w:div w:id="351733530">
      <w:marLeft w:val="480"/>
      <w:marRight w:val="0"/>
      <w:marTop w:val="0"/>
      <w:marBottom w:val="0"/>
      <w:divBdr>
        <w:top w:val="none" w:sz="0" w:space="0" w:color="auto"/>
        <w:left w:val="none" w:sz="0" w:space="0" w:color="auto"/>
        <w:bottom w:val="none" w:sz="0" w:space="0" w:color="auto"/>
        <w:right w:val="none" w:sz="0" w:space="0" w:color="auto"/>
      </w:divBdr>
    </w:div>
    <w:div w:id="364409980">
      <w:marLeft w:val="480"/>
      <w:marRight w:val="0"/>
      <w:marTop w:val="0"/>
      <w:marBottom w:val="0"/>
      <w:divBdr>
        <w:top w:val="none" w:sz="0" w:space="0" w:color="auto"/>
        <w:left w:val="none" w:sz="0" w:space="0" w:color="auto"/>
        <w:bottom w:val="none" w:sz="0" w:space="0" w:color="auto"/>
        <w:right w:val="none" w:sz="0" w:space="0" w:color="auto"/>
      </w:divBdr>
    </w:div>
    <w:div w:id="364984914">
      <w:marLeft w:val="480"/>
      <w:marRight w:val="0"/>
      <w:marTop w:val="0"/>
      <w:marBottom w:val="0"/>
      <w:divBdr>
        <w:top w:val="none" w:sz="0" w:space="0" w:color="auto"/>
        <w:left w:val="none" w:sz="0" w:space="0" w:color="auto"/>
        <w:bottom w:val="none" w:sz="0" w:space="0" w:color="auto"/>
        <w:right w:val="none" w:sz="0" w:space="0" w:color="auto"/>
      </w:divBdr>
    </w:div>
    <w:div w:id="394932408">
      <w:marLeft w:val="480"/>
      <w:marRight w:val="0"/>
      <w:marTop w:val="0"/>
      <w:marBottom w:val="0"/>
      <w:divBdr>
        <w:top w:val="none" w:sz="0" w:space="0" w:color="auto"/>
        <w:left w:val="none" w:sz="0" w:space="0" w:color="auto"/>
        <w:bottom w:val="none" w:sz="0" w:space="0" w:color="auto"/>
        <w:right w:val="none" w:sz="0" w:space="0" w:color="auto"/>
      </w:divBdr>
    </w:div>
    <w:div w:id="404106433">
      <w:marLeft w:val="480"/>
      <w:marRight w:val="0"/>
      <w:marTop w:val="0"/>
      <w:marBottom w:val="0"/>
      <w:divBdr>
        <w:top w:val="none" w:sz="0" w:space="0" w:color="auto"/>
        <w:left w:val="none" w:sz="0" w:space="0" w:color="auto"/>
        <w:bottom w:val="none" w:sz="0" w:space="0" w:color="auto"/>
        <w:right w:val="none" w:sz="0" w:space="0" w:color="auto"/>
      </w:divBdr>
    </w:div>
    <w:div w:id="420880067">
      <w:marLeft w:val="480"/>
      <w:marRight w:val="0"/>
      <w:marTop w:val="0"/>
      <w:marBottom w:val="0"/>
      <w:divBdr>
        <w:top w:val="none" w:sz="0" w:space="0" w:color="auto"/>
        <w:left w:val="none" w:sz="0" w:space="0" w:color="auto"/>
        <w:bottom w:val="none" w:sz="0" w:space="0" w:color="auto"/>
        <w:right w:val="none" w:sz="0" w:space="0" w:color="auto"/>
      </w:divBdr>
    </w:div>
    <w:div w:id="421605593">
      <w:marLeft w:val="480"/>
      <w:marRight w:val="0"/>
      <w:marTop w:val="0"/>
      <w:marBottom w:val="0"/>
      <w:divBdr>
        <w:top w:val="none" w:sz="0" w:space="0" w:color="auto"/>
        <w:left w:val="none" w:sz="0" w:space="0" w:color="auto"/>
        <w:bottom w:val="none" w:sz="0" w:space="0" w:color="auto"/>
        <w:right w:val="none" w:sz="0" w:space="0" w:color="auto"/>
      </w:divBdr>
    </w:div>
    <w:div w:id="421804548">
      <w:marLeft w:val="480"/>
      <w:marRight w:val="0"/>
      <w:marTop w:val="0"/>
      <w:marBottom w:val="0"/>
      <w:divBdr>
        <w:top w:val="none" w:sz="0" w:space="0" w:color="auto"/>
        <w:left w:val="none" w:sz="0" w:space="0" w:color="auto"/>
        <w:bottom w:val="none" w:sz="0" w:space="0" w:color="auto"/>
        <w:right w:val="none" w:sz="0" w:space="0" w:color="auto"/>
      </w:divBdr>
    </w:div>
    <w:div w:id="430395950">
      <w:marLeft w:val="480"/>
      <w:marRight w:val="0"/>
      <w:marTop w:val="0"/>
      <w:marBottom w:val="0"/>
      <w:divBdr>
        <w:top w:val="none" w:sz="0" w:space="0" w:color="auto"/>
        <w:left w:val="none" w:sz="0" w:space="0" w:color="auto"/>
        <w:bottom w:val="none" w:sz="0" w:space="0" w:color="auto"/>
        <w:right w:val="none" w:sz="0" w:space="0" w:color="auto"/>
      </w:divBdr>
    </w:div>
    <w:div w:id="434444613">
      <w:marLeft w:val="480"/>
      <w:marRight w:val="0"/>
      <w:marTop w:val="0"/>
      <w:marBottom w:val="0"/>
      <w:divBdr>
        <w:top w:val="none" w:sz="0" w:space="0" w:color="auto"/>
        <w:left w:val="none" w:sz="0" w:space="0" w:color="auto"/>
        <w:bottom w:val="none" w:sz="0" w:space="0" w:color="auto"/>
        <w:right w:val="none" w:sz="0" w:space="0" w:color="auto"/>
      </w:divBdr>
    </w:div>
    <w:div w:id="442848747">
      <w:marLeft w:val="480"/>
      <w:marRight w:val="0"/>
      <w:marTop w:val="0"/>
      <w:marBottom w:val="0"/>
      <w:divBdr>
        <w:top w:val="none" w:sz="0" w:space="0" w:color="auto"/>
        <w:left w:val="none" w:sz="0" w:space="0" w:color="auto"/>
        <w:bottom w:val="none" w:sz="0" w:space="0" w:color="auto"/>
        <w:right w:val="none" w:sz="0" w:space="0" w:color="auto"/>
      </w:divBdr>
    </w:div>
    <w:div w:id="446197003">
      <w:marLeft w:val="480"/>
      <w:marRight w:val="0"/>
      <w:marTop w:val="0"/>
      <w:marBottom w:val="0"/>
      <w:divBdr>
        <w:top w:val="none" w:sz="0" w:space="0" w:color="auto"/>
        <w:left w:val="none" w:sz="0" w:space="0" w:color="auto"/>
        <w:bottom w:val="none" w:sz="0" w:space="0" w:color="auto"/>
        <w:right w:val="none" w:sz="0" w:space="0" w:color="auto"/>
      </w:divBdr>
    </w:div>
    <w:div w:id="475994056">
      <w:marLeft w:val="480"/>
      <w:marRight w:val="0"/>
      <w:marTop w:val="0"/>
      <w:marBottom w:val="0"/>
      <w:divBdr>
        <w:top w:val="none" w:sz="0" w:space="0" w:color="auto"/>
        <w:left w:val="none" w:sz="0" w:space="0" w:color="auto"/>
        <w:bottom w:val="none" w:sz="0" w:space="0" w:color="auto"/>
        <w:right w:val="none" w:sz="0" w:space="0" w:color="auto"/>
      </w:divBdr>
    </w:div>
    <w:div w:id="479930368">
      <w:marLeft w:val="480"/>
      <w:marRight w:val="0"/>
      <w:marTop w:val="0"/>
      <w:marBottom w:val="0"/>
      <w:divBdr>
        <w:top w:val="none" w:sz="0" w:space="0" w:color="auto"/>
        <w:left w:val="none" w:sz="0" w:space="0" w:color="auto"/>
        <w:bottom w:val="none" w:sz="0" w:space="0" w:color="auto"/>
        <w:right w:val="none" w:sz="0" w:space="0" w:color="auto"/>
      </w:divBdr>
    </w:div>
    <w:div w:id="497966569">
      <w:marLeft w:val="480"/>
      <w:marRight w:val="0"/>
      <w:marTop w:val="0"/>
      <w:marBottom w:val="0"/>
      <w:divBdr>
        <w:top w:val="none" w:sz="0" w:space="0" w:color="auto"/>
        <w:left w:val="none" w:sz="0" w:space="0" w:color="auto"/>
        <w:bottom w:val="none" w:sz="0" w:space="0" w:color="auto"/>
        <w:right w:val="none" w:sz="0" w:space="0" w:color="auto"/>
      </w:divBdr>
    </w:div>
    <w:div w:id="498542475">
      <w:marLeft w:val="480"/>
      <w:marRight w:val="0"/>
      <w:marTop w:val="0"/>
      <w:marBottom w:val="0"/>
      <w:divBdr>
        <w:top w:val="none" w:sz="0" w:space="0" w:color="auto"/>
        <w:left w:val="none" w:sz="0" w:space="0" w:color="auto"/>
        <w:bottom w:val="none" w:sz="0" w:space="0" w:color="auto"/>
        <w:right w:val="none" w:sz="0" w:space="0" w:color="auto"/>
      </w:divBdr>
    </w:div>
    <w:div w:id="509218247">
      <w:marLeft w:val="480"/>
      <w:marRight w:val="0"/>
      <w:marTop w:val="0"/>
      <w:marBottom w:val="0"/>
      <w:divBdr>
        <w:top w:val="none" w:sz="0" w:space="0" w:color="auto"/>
        <w:left w:val="none" w:sz="0" w:space="0" w:color="auto"/>
        <w:bottom w:val="none" w:sz="0" w:space="0" w:color="auto"/>
        <w:right w:val="none" w:sz="0" w:space="0" w:color="auto"/>
      </w:divBdr>
    </w:div>
    <w:div w:id="514223609">
      <w:marLeft w:val="480"/>
      <w:marRight w:val="0"/>
      <w:marTop w:val="0"/>
      <w:marBottom w:val="0"/>
      <w:divBdr>
        <w:top w:val="none" w:sz="0" w:space="0" w:color="auto"/>
        <w:left w:val="none" w:sz="0" w:space="0" w:color="auto"/>
        <w:bottom w:val="none" w:sz="0" w:space="0" w:color="auto"/>
        <w:right w:val="none" w:sz="0" w:space="0" w:color="auto"/>
      </w:divBdr>
    </w:div>
    <w:div w:id="538783368">
      <w:marLeft w:val="480"/>
      <w:marRight w:val="0"/>
      <w:marTop w:val="0"/>
      <w:marBottom w:val="0"/>
      <w:divBdr>
        <w:top w:val="none" w:sz="0" w:space="0" w:color="auto"/>
        <w:left w:val="none" w:sz="0" w:space="0" w:color="auto"/>
        <w:bottom w:val="none" w:sz="0" w:space="0" w:color="auto"/>
        <w:right w:val="none" w:sz="0" w:space="0" w:color="auto"/>
      </w:divBdr>
    </w:div>
    <w:div w:id="543449315">
      <w:marLeft w:val="480"/>
      <w:marRight w:val="0"/>
      <w:marTop w:val="0"/>
      <w:marBottom w:val="0"/>
      <w:divBdr>
        <w:top w:val="none" w:sz="0" w:space="0" w:color="auto"/>
        <w:left w:val="none" w:sz="0" w:space="0" w:color="auto"/>
        <w:bottom w:val="none" w:sz="0" w:space="0" w:color="auto"/>
        <w:right w:val="none" w:sz="0" w:space="0" w:color="auto"/>
      </w:divBdr>
    </w:div>
    <w:div w:id="545727668">
      <w:marLeft w:val="480"/>
      <w:marRight w:val="0"/>
      <w:marTop w:val="0"/>
      <w:marBottom w:val="0"/>
      <w:divBdr>
        <w:top w:val="none" w:sz="0" w:space="0" w:color="auto"/>
        <w:left w:val="none" w:sz="0" w:space="0" w:color="auto"/>
        <w:bottom w:val="none" w:sz="0" w:space="0" w:color="auto"/>
        <w:right w:val="none" w:sz="0" w:space="0" w:color="auto"/>
      </w:divBdr>
    </w:div>
    <w:div w:id="551845363">
      <w:marLeft w:val="480"/>
      <w:marRight w:val="0"/>
      <w:marTop w:val="0"/>
      <w:marBottom w:val="0"/>
      <w:divBdr>
        <w:top w:val="none" w:sz="0" w:space="0" w:color="auto"/>
        <w:left w:val="none" w:sz="0" w:space="0" w:color="auto"/>
        <w:bottom w:val="none" w:sz="0" w:space="0" w:color="auto"/>
        <w:right w:val="none" w:sz="0" w:space="0" w:color="auto"/>
      </w:divBdr>
    </w:div>
    <w:div w:id="559942381">
      <w:marLeft w:val="480"/>
      <w:marRight w:val="0"/>
      <w:marTop w:val="0"/>
      <w:marBottom w:val="0"/>
      <w:divBdr>
        <w:top w:val="none" w:sz="0" w:space="0" w:color="auto"/>
        <w:left w:val="none" w:sz="0" w:space="0" w:color="auto"/>
        <w:bottom w:val="none" w:sz="0" w:space="0" w:color="auto"/>
        <w:right w:val="none" w:sz="0" w:space="0" w:color="auto"/>
      </w:divBdr>
    </w:div>
    <w:div w:id="565727395">
      <w:marLeft w:val="480"/>
      <w:marRight w:val="0"/>
      <w:marTop w:val="0"/>
      <w:marBottom w:val="0"/>
      <w:divBdr>
        <w:top w:val="none" w:sz="0" w:space="0" w:color="auto"/>
        <w:left w:val="none" w:sz="0" w:space="0" w:color="auto"/>
        <w:bottom w:val="none" w:sz="0" w:space="0" w:color="auto"/>
        <w:right w:val="none" w:sz="0" w:space="0" w:color="auto"/>
      </w:divBdr>
    </w:div>
    <w:div w:id="571696606">
      <w:marLeft w:val="480"/>
      <w:marRight w:val="0"/>
      <w:marTop w:val="0"/>
      <w:marBottom w:val="0"/>
      <w:divBdr>
        <w:top w:val="none" w:sz="0" w:space="0" w:color="auto"/>
        <w:left w:val="none" w:sz="0" w:space="0" w:color="auto"/>
        <w:bottom w:val="none" w:sz="0" w:space="0" w:color="auto"/>
        <w:right w:val="none" w:sz="0" w:space="0" w:color="auto"/>
      </w:divBdr>
    </w:div>
    <w:div w:id="575169716">
      <w:marLeft w:val="480"/>
      <w:marRight w:val="0"/>
      <w:marTop w:val="0"/>
      <w:marBottom w:val="0"/>
      <w:divBdr>
        <w:top w:val="none" w:sz="0" w:space="0" w:color="auto"/>
        <w:left w:val="none" w:sz="0" w:space="0" w:color="auto"/>
        <w:bottom w:val="none" w:sz="0" w:space="0" w:color="auto"/>
        <w:right w:val="none" w:sz="0" w:space="0" w:color="auto"/>
      </w:divBdr>
    </w:div>
    <w:div w:id="575476192">
      <w:marLeft w:val="480"/>
      <w:marRight w:val="0"/>
      <w:marTop w:val="0"/>
      <w:marBottom w:val="0"/>
      <w:divBdr>
        <w:top w:val="none" w:sz="0" w:space="0" w:color="auto"/>
        <w:left w:val="none" w:sz="0" w:space="0" w:color="auto"/>
        <w:bottom w:val="none" w:sz="0" w:space="0" w:color="auto"/>
        <w:right w:val="none" w:sz="0" w:space="0" w:color="auto"/>
      </w:divBdr>
    </w:div>
    <w:div w:id="581182651">
      <w:marLeft w:val="480"/>
      <w:marRight w:val="0"/>
      <w:marTop w:val="0"/>
      <w:marBottom w:val="0"/>
      <w:divBdr>
        <w:top w:val="none" w:sz="0" w:space="0" w:color="auto"/>
        <w:left w:val="none" w:sz="0" w:space="0" w:color="auto"/>
        <w:bottom w:val="none" w:sz="0" w:space="0" w:color="auto"/>
        <w:right w:val="none" w:sz="0" w:space="0" w:color="auto"/>
      </w:divBdr>
    </w:div>
    <w:div w:id="590701306">
      <w:marLeft w:val="480"/>
      <w:marRight w:val="0"/>
      <w:marTop w:val="0"/>
      <w:marBottom w:val="0"/>
      <w:divBdr>
        <w:top w:val="none" w:sz="0" w:space="0" w:color="auto"/>
        <w:left w:val="none" w:sz="0" w:space="0" w:color="auto"/>
        <w:bottom w:val="none" w:sz="0" w:space="0" w:color="auto"/>
        <w:right w:val="none" w:sz="0" w:space="0" w:color="auto"/>
      </w:divBdr>
    </w:div>
    <w:div w:id="597520948">
      <w:marLeft w:val="480"/>
      <w:marRight w:val="0"/>
      <w:marTop w:val="0"/>
      <w:marBottom w:val="0"/>
      <w:divBdr>
        <w:top w:val="none" w:sz="0" w:space="0" w:color="auto"/>
        <w:left w:val="none" w:sz="0" w:space="0" w:color="auto"/>
        <w:bottom w:val="none" w:sz="0" w:space="0" w:color="auto"/>
        <w:right w:val="none" w:sz="0" w:space="0" w:color="auto"/>
      </w:divBdr>
    </w:div>
    <w:div w:id="613638229">
      <w:marLeft w:val="480"/>
      <w:marRight w:val="0"/>
      <w:marTop w:val="0"/>
      <w:marBottom w:val="0"/>
      <w:divBdr>
        <w:top w:val="none" w:sz="0" w:space="0" w:color="auto"/>
        <w:left w:val="none" w:sz="0" w:space="0" w:color="auto"/>
        <w:bottom w:val="none" w:sz="0" w:space="0" w:color="auto"/>
        <w:right w:val="none" w:sz="0" w:space="0" w:color="auto"/>
      </w:divBdr>
    </w:div>
    <w:div w:id="623772071">
      <w:marLeft w:val="480"/>
      <w:marRight w:val="0"/>
      <w:marTop w:val="0"/>
      <w:marBottom w:val="0"/>
      <w:divBdr>
        <w:top w:val="none" w:sz="0" w:space="0" w:color="auto"/>
        <w:left w:val="none" w:sz="0" w:space="0" w:color="auto"/>
        <w:bottom w:val="none" w:sz="0" w:space="0" w:color="auto"/>
        <w:right w:val="none" w:sz="0" w:space="0" w:color="auto"/>
      </w:divBdr>
    </w:div>
    <w:div w:id="626013008">
      <w:marLeft w:val="480"/>
      <w:marRight w:val="0"/>
      <w:marTop w:val="0"/>
      <w:marBottom w:val="0"/>
      <w:divBdr>
        <w:top w:val="none" w:sz="0" w:space="0" w:color="auto"/>
        <w:left w:val="none" w:sz="0" w:space="0" w:color="auto"/>
        <w:bottom w:val="none" w:sz="0" w:space="0" w:color="auto"/>
        <w:right w:val="none" w:sz="0" w:space="0" w:color="auto"/>
      </w:divBdr>
    </w:div>
    <w:div w:id="627858398">
      <w:marLeft w:val="480"/>
      <w:marRight w:val="0"/>
      <w:marTop w:val="0"/>
      <w:marBottom w:val="0"/>
      <w:divBdr>
        <w:top w:val="none" w:sz="0" w:space="0" w:color="auto"/>
        <w:left w:val="none" w:sz="0" w:space="0" w:color="auto"/>
        <w:bottom w:val="none" w:sz="0" w:space="0" w:color="auto"/>
        <w:right w:val="none" w:sz="0" w:space="0" w:color="auto"/>
      </w:divBdr>
    </w:div>
    <w:div w:id="643118619">
      <w:marLeft w:val="480"/>
      <w:marRight w:val="0"/>
      <w:marTop w:val="0"/>
      <w:marBottom w:val="0"/>
      <w:divBdr>
        <w:top w:val="none" w:sz="0" w:space="0" w:color="auto"/>
        <w:left w:val="none" w:sz="0" w:space="0" w:color="auto"/>
        <w:bottom w:val="none" w:sz="0" w:space="0" w:color="auto"/>
        <w:right w:val="none" w:sz="0" w:space="0" w:color="auto"/>
      </w:divBdr>
    </w:div>
    <w:div w:id="655498205">
      <w:marLeft w:val="480"/>
      <w:marRight w:val="0"/>
      <w:marTop w:val="0"/>
      <w:marBottom w:val="0"/>
      <w:divBdr>
        <w:top w:val="none" w:sz="0" w:space="0" w:color="auto"/>
        <w:left w:val="none" w:sz="0" w:space="0" w:color="auto"/>
        <w:bottom w:val="none" w:sz="0" w:space="0" w:color="auto"/>
        <w:right w:val="none" w:sz="0" w:space="0" w:color="auto"/>
      </w:divBdr>
    </w:div>
    <w:div w:id="683677501">
      <w:marLeft w:val="480"/>
      <w:marRight w:val="0"/>
      <w:marTop w:val="0"/>
      <w:marBottom w:val="0"/>
      <w:divBdr>
        <w:top w:val="none" w:sz="0" w:space="0" w:color="auto"/>
        <w:left w:val="none" w:sz="0" w:space="0" w:color="auto"/>
        <w:bottom w:val="none" w:sz="0" w:space="0" w:color="auto"/>
        <w:right w:val="none" w:sz="0" w:space="0" w:color="auto"/>
      </w:divBdr>
    </w:div>
    <w:div w:id="690377775">
      <w:marLeft w:val="480"/>
      <w:marRight w:val="0"/>
      <w:marTop w:val="0"/>
      <w:marBottom w:val="0"/>
      <w:divBdr>
        <w:top w:val="none" w:sz="0" w:space="0" w:color="auto"/>
        <w:left w:val="none" w:sz="0" w:space="0" w:color="auto"/>
        <w:bottom w:val="none" w:sz="0" w:space="0" w:color="auto"/>
        <w:right w:val="none" w:sz="0" w:space="0" w:color="auto"/>
      </w:divBdr>
    </w:div>
    <w:div w:id="693960740">
      <w:marLeft w:val="480"/>
      <w:marRight w:val="0"/>
      <w:marTop w:val="0"/>
      <w:marBottom w:val="0"/>
      <w:divBdr>
        <w:top w:val="none" w:sz="0" w:space="0" w:color="auto"/>
        <w:left w:val="none" w:sz="0" w:space="0" w:color="auto"/>
        <w:bottom w:val="none" w:sz="0" w:space="0" w:color="auto"/>
        <w:right w:val="none" w:sz="0" w:space="0" w:color="auto"/>
      </w:divBdr>
    </w:div>
    <w:div w:id="705104440">
      <w:marLeft w:val="480"/>
      <w:marRight w:val="0"/>
      <w:marTop w:val="0"/>
      <w:marBottom w:val="0"/>
      <w:divBdr>
        <w:top w:val="none" w:sz="0" w:space="0" w:color="auto"/>
        <w:left w:val="none" w:sz="0" w:space="0" w:color="auto"/>
        <w:bottom w:val="none" w:sz="0" w:space="0" w:color="auto"/>
        <w:right w:val="none" w:sz="0" w:space="0" w:color="auto"/>
      </w:divBdr>
    </w:div>
    <w:div w:id="725950055">
      <w:marLeft w:val="480"/>
      <w:marRight w:val="0"/>
      <w:marTop w:val="0"/>
      <w:marBottom w:val="0"/>
      <w:divBdr>
        <w:top w:val="none" w:sz="0" w:space="0" w:color="auto"/>
        <w:left w:val="none" w:sz="0" w:space="0" w:color="auto"/>
        <w:bottom w:val="none" w:sz="0" w:space="0" w:color="auto"/>
        <w:right w:val="none" w:sz="0" w:space="0" w:color="auto"/>
      </w:divBdr>
    </w:div>
    <w:div w:id="736705671">
      <w:marLeft w:val="480"/>
      <w:marRight w:val="0"/>
      <w:marTop w:val="0"/>
      <w:marBottom w:val="0"/>
      <w:divBdr>
        <w:top w:val="none" w:sz="0" w:space="0" w:color="auto"/>
        <w:left w:val="none" w:sz="0" w:space="0" w:color="auto"/>
        <w:bottom w:val="none" w:sz="0" w:space="0" w:color="auto"/>
        <w:right w:val="none" w:sz="0" w:space="0" w:color="auto"/>
      </w:divBdr>
    </w:div>
    <w:div w:id="738214711">
      <w:marLeft w:val="480"/>
      <w:marRight w:val="0"/>
      <w:marTop w:val="0"/>
      <w:marBottom w:val="0"/>
      <w:divBdr>
        <w:top w:val="none" w:sz="0" w:space="0" w:color="auto"/>
        <w:left w:val="none" w:sz="0" w:space="0" w:color="auto"/>
        <w:bottom w:val="none" w:sz="0" w:space="0" w:color="auto"/>
        <w:right w:val="none" w:sz="0" w:space="0" w:color="auto"/>
      </w:divBdr>
    </w:div>
    <w:div w:id="738601655">
      <w:marLeft w:val="480"/>
      <w:marRight w:val="0"/>
      <w:marTop w:val="0"/>
      <w:marBottom w:val="0"/>
      <w:divBdr>
        <w:top w:val="none" w:sz="0" w:space="0" w:color="auto"/>
        <w:left w:val="none" w:sz="0" w:space="0" w:color="auto"/>
        <w:bottom w:val="none" w:sz="0" w:space="0" w:color="auto"/>
        <w:right w:val="none" w:sz="0" w:space="0" w:color="auto"/>
      </w:divBdr>
    </w:div>
    <w:div w:id="783960575">
      <w:marLeft w:val="480"/>
      <w:marRight w:val="0"/>
      <w:marTop w:val="0"/>
      <w:marBottom w:val="0"/>
      <w:divBdr>
        <w:top w:val="none" w:sz="0" w:space="0" w:color="auto"/>
        <w:left w:val="none" w:sz="0" w:space="0" w:color="auto"/>
        <w:bottom w:val="none" w:sz="0" w:space="0" w:color="auto"/>
        <w:right w:val="none" w:sz="0" w:space="0" w:color="auto"/>
      </w:divBdr>
    </w:div>
    <w:div w:id="786897842">
      <w:marLeft w:val="480"/>
      <w:marRight w:val="0"/>
      <w:marTop w:val="0"/>
      <w:marBottom w:val="0"/>
      <w:divBdr>
        <w:top w:val="none" w:sz="0" w:space="0" w:color="auto"/>
        <w:left w:val="none" w:sz="0" w:space="0" w:color="auto"/>
        <w:bottom w:val="none" w:sz="0" w:space="0" w:color="auto"/>
        <w:right w:val="none" w:sz="0" w:space="0" w:color="auto"/>
      </w:divBdr>
    </w:div>
    <w:div w:id="793063282">
      <w:marLeft w:val="480"/>
      <w:marRight w:val="0"/>
      <w:marTop w:val="0"/>
      <w:marBottom w:val="0"/>
      <w:divBdr>
        <w:top w:val="none" w:sz="0" w:space="0" w:color="auto"/>
        <w:left w:val="none" w:sz="0" w:space="0" w:color="auto"/>
        <w:bottom w:val="none" w:sz="0" w:space="0" w:color="auto"/>
        <w:right w:val="none" w:sz="0" w:space="0" w:color="auto"/>
      </w:divBdr>
    </w:div>
    <w:div w:id="824586002">
      <w:marLeft w:val="480"/>
      <w:marRight w:val="0"/>
      <w:marTop w:val="0"/>
      <w:marBottom w:val="0"/>
      <w:divBdr>
        <w:top w:val="none" w:sz="0" w:space="0" w:color="auto"/>
        <w:left w:val="none" w:sz="0" w:space="0" w:color="auto"/>
        <w:bottom w:val="none" w:sz="0" w:space="0" w:color="auto"/>
        <w:right w:val="none" w:sz="0" w:space="0" w:color="auto"/>
      </w:divBdr>
    </w:div>
    <w:div w:id="842667456">
      <w:marLeft w:val="480"/>
      <w:marRight w:val="0"/>
      <w:marTop w:val="0"/>
      <w:marBottom w:val="0"/>
      <w:divBdr>
        <w:top w:val="none" w:sz="0" w:space="0" w:color="auto"/>
        <w:left w:val="none" w:sz="0" w:space="0" w:color="auto"/>
        <w:bottom w:val="none" w:sz="0" w:space="0" w:color="auto"/>
        <w:right w:val="none" w:sz="0" w:space="0" w:color="auto"/>
      </w:divBdr>
    </w:div>
    <w:div w:id="843932721">
      <w:marLeft w:val="480"/>
      <w:marRight w:val="0"/>
      <w:marTop w:val="0"/>
      <w:marBottom w:val="0"/>
      <w:divBdr>
        <w:top w:val="none" w:sz="0" w:space="0" w:color="auto"/>
        <w:left w:val="none" w:sz="0" w:space="0" w:color="auto"/>
        <w:bottom w:val="none" w:sz="0" w:space="0" w:color="auto"/>
        <w:right w:val="none" w:sz="0" w:space="0" w:color="auto"/>
      </w:divBdr>
    </w:div>
    <w:div w:id="846208657">
      <w:marLeft w:val="480"/>
      <w:marRight w:val="0"/>
      <w:marTop w:val="0"/>
      <w:marBottom w:val="0"/>
      <w:divBdr>
        <w:top w:val="none" w:sz="0" w:space="0" w:color="auto"/>
        <w:left w:val="none" w:sz="0" w:space="0" w:color="auto"/>
        <w:bottom w:val="none" w:sz="0" w:space="0" w:color="auto"/>
        <w:right w:val="none" w:sz="0" w:space="0" w:color="auto"/>
      </w:divBdr>
    </w:div>
    <w:div w:id="869998480">
      <w:marLeft w:val="480"/>
      <w:marRight w:val="0"/>
      <w:marTop w:val="0"/>
      <w:marBottom w:val="0"/>
      <w:divBdr>
        <w:top w:val="none" w:sz="0" w:space="0" w:color="auto"/>
        <w:left w:val="none" w:sz="0" w:space="0" w:color="auto"/>
        <w:bottom w:val="none" w:sz="0" w:space="0" w:color="auto"/>
        <w:right w:val="none" w:sz="0" w:space="0" w:color="auto"/>
      </w:divBdr>
    </w:div>
    <w:div w:id="873467064">
      <w:marLeft w:val="480"/>
      <w:marRight w:val="0"/>
      <w:marTop w:val="0"/>
      <w:marBottom w:val="0"/>
      <w:divBdr>
        <w:top w:val="none" w:sz="0" w:space="0" w:color="auto"/>
        <w:left w:val="none" w:sz="0" w:space="0" w:color="auto"/>
        <w:bottom w:val="none" w:sz="0" w:space="0" w:color="auto"/>
        <w:right w:val="none" w:sz="0" w:space="0" w:color="auto"/>
      </w:divBdr>
    </w:div>
    <w:div w:id="881937014">
      <w:marLeft w:val="480"/>
      <w:marRight w:val="0"/>
      <w:marTop w:val="0"/>
      <w:marBottom w:val="0"/>
      <w:divBdr>
        <w:top w:val="none" w:sz="0" w:space="0" w:color="auto"/>
        <w:left w:val="none" w:sz="0" w:space="0" w:color="auto"/>
        <w:bottom w:val="none" w:sz="0" w:space="0" w:color="auto"/>
        <w:right w:val="none" w:sz="0" w:space="0" w:color="auto"/>
      </w:divBdr>
    </w:div>
    <w:div w:id="882596032">
      <w:marLeft w:val="480"/>
      <w:marRight w:val="0"/>
      <w:marTop w:val="0"/>
      <w:marBottom w:val="0"/>
      <w:divBdr>
        <w:top w:val="none" w:sz="0" w:space="0" w:color="auto"/>
        <w:left w:val="none" w:sz="0" w:space="0" w:color="auto"/>
        <w:bottom w:val="none" w:sz="0" w:space="0" w:color="auto"/>
        <w:right w:val="none" w:sz="0" w:space="0" w:color="auto"/>
      </w:divBdr>
    </w:div>
    <w:div w:id="896938823">
      <w:marLeft w:val="480"/>
      <w:marRight w:val="0"/>
      <w:marTop w:val="0"/>
      <w:marBottom w:val="0"/>
      <w:divBdr>
        <w:top w:val="none" w:sz="0" w:space="0" w:color="auto"/>
        <w:left w:val="none" w:sz="0" w:space="0" w:color="auto"/>
        <w:bottom w:val="none" w:sz="0" w:space="0" w:color="auto"/>
        <w:right w:val="none" w:sz="0" w:space="0" w:color="auto"/>
      </w:divBdr>
    </w:div>
    <w:div w:id="898319598">
      <w:marLeft w:val="480"/>
      <w:marRight w:val="0"/>
      <w:marTop w:val="0"/>
      <w:marBottom w:val="0"/>
      <w:divBdr>
        <w:top w:val="none" w:sz="0" w:space="0" w:color="auto"/>
        <w:left w:val="none" w:sz="0" w:space="0" w:color="auto"/>
        <w:bottom w:val="none" w:sz="0" w:space="0" w:color="auto"/>
        <w:right w:val="none" w:sz="0" w:space="0" w:color="auto"/>
      </w:divBdr>
    </w:div>
    <w:div w:id="921336799">
      <w:marLeft w:val="480"/>
      <w:marRight w:val="0"/>
      <w:marTop w:val="0"/>
      <w:marBottom w:val="0"/>
      <w:divBdr>
        <w:top w:val="none" w:sz="0" w:space="0" w:color="auto"/>
        <w:left w:val="none" w:sz="0" w:space="0" w:color="auto"/>
        <w:bottom w:val="none" w:sz="0" w:space="0" w:color="auto"/>
        <w:right w:val="none" w:sz="0" w:space="0" w:color="auto"/>
      </w:divBdr>
    </w:div>
    <w:div w:id="924919977">
      <w:marLeft w:val="480"/>
      <w:marRight w:val="0"/>
      <w:marTop w:val="0"/>
      <w:marBottom w:val="0"/>
      <w:divBdr>
        <w:top w:val="none" w:sz="0" w:space="0" w:color="auto"/>
        <w:left w:val="none" w:sz="0" w:space="0" w:color="auto"/>
        <w:bottom w:val="none" w:sz="0" w:space="0" w:color="auto"/>
        <w:right w:val="none" w:sz="0" w:space="0" w:color="auto"/>
      </w:divBdr>
    </w:div>
    <w:div w:id="936140130">
      <w:marLeft w:val="480"/>
      <w:marRight w:val="0"/>
      <w:marTop w:val="0"/>
      <w:marBottom w:val="0"/>
      <w:divBdr>
        <w:top w:val="none" w:sz="0" w:space="0" w:color="auto"/>
        <w:left w:val="none" w:sz="0" w:space="0" w:color="auto"/>
        <w:bottom w:val="none" w:sz="0" w:space="0" w:color="auto"/>
        <w:right w:val="none" w:sz="0" w:space="0" w:color="auto"/>
      </w:divBdr>
    </w:div>
    <w:div w:id="941453157">
      <w:marLeft w:val="480"/>
      <w:marRight w:val="0"/>
      <w:marTop w:val="0"/>
      <w:marBottom w:val="0"/>
      <w:divBdr>
        <w:top w:val="none" w:sz="0" w:space="0" w:color="auto"/>
        <w:left w:val="none" w:sz="0" w:space="0" w:color="auto"/>
        <w:bottom w:val="none" w:sz="0" w:space="0" w:color="auto"/>
        <w:right w:val="none" w:sz="0" w:space="0" w:color="auto"/>
      </w:divBdr>
    </w:div>
    <w:div w:id="948438618">
      <w:marLeft w:val="480"/>
      <w:marRight w:val="0"/>
      <w:marTop w:val="0"/>
      <w:marBottom w:val="0"/>
      <w:divBdr>
        <w:top w:val="none" w:sz="0" w:space="0" w:color="auto"/>
        <w:left w:val="none" w:sz="0" w:space="0" w:color="auto"/>
        <w:bottom w:val="none" w:sz="0" w:space="0" w:color="auto"/>
        <w:right w:val="none" w:sz="0" w:space="0" w:color="auto"/>
      </w:divBdr>
    </w:div>
    <w:div w:id="952857489">
      <w:marLeft w:val="480"/>
      <w:marRight w:val="0"/>
      <w:marTop w:val="0"/>
      <w:marBottom w:val="0"/>
      <w:divBdr>
        <w:top w:val="none" w:sz="0" w:space="0" w:color="auto"/>
        <w:left w:val="none" w:sz="0" w:space="0" w:color="auto"/>
        <w:bottom w:val="none" w:sz="0" w:space="0" w:color="auto"/>
        <w:right w:val="none" w:sz="0" w:space="0" w:color="auto"/>
      </w:divBdr>
    </w:div>
    <w:div w:id="953708068">
      <w:marLeft w:val="480"/>
      <w:marRight w:val="0"/>
      <w:marTop w:val="0"/>
      <w:marBottom w:val="0"/>
      <w:divBdr>
        <w:top w:val="none" w:sz="0" w:space="0" w:color="auto"/>
        <w:left w:val="none" w:sz="0" w:space="0" w:color="auto"/>
        <w:bottom w:val="none" w:sz="0" w:space="0" w:color="auto"/>
        <w:right w:val="none" w:sz="0" w:space="0" w:color="auto"/>
      </w:divBdr>
    </w:div>
    <w:div w:id="987899013">
      <w:marLeft w:val="480"/>
      <w:marRight w:val="0"/>
      <w:marTop w:val="0"/>
      <w:marBottom w:val="0"/>
      <w:divBdr>
        <w:top w:val="none" w:sz="0" w:space="0" w:color="auto"/>
        <w:left w:val="none" w:sz="0" w:space="0" w:color="auto"/>
        <w:bottom w:val="none" w:sz="0" w:space="0" w:color="auto"/>
        <w:right w:val="none" w:sz="0" w:space="0" w:color="auto"/>
      </w:divBdr>
    </w:div>
    <w:div w:id="991450643">
      <w:marLeft w:val="480"/>
      <w:marRight w:val="0"/>
      <w:marTop w:val="0"/>
      <w:marBottom w:val="0"/>
      <w:divBdr>
        <w:top w:val="none" w:sz="0" w:space="0" w:color="auto"/>
        <w:left w:val="none" w:sz="0" w:space="0" w:color="auto"/>
        <w:bottom w:val="none" w:sz="0" w:space="0" w:color="auto"/>
        <w:right w:val="none" w:sz="0" w:space="0" w:color="auto"/>
      </w:divBdr>
    </w:div>
    <w:div w:id="992180253">
      <w:marLeft w:val="480"/>
      <w:marRight w:val="0"/>
      <w:marTop w:val="0"/>
      <w:marBottom w:val="0"/>
      <w:divBdr>
        <w:top w:val="none" w:sz="0" w:space="0" w:color="auto"/>
        <w:left w:val="none" w:sz="0" w:space="0" w:color="auto"/>
        <w:bottom w:val="none" w:sz="0" w:space="0" w:color="auto"/>
        <w:right w:val="none" w:sz="0" w:space="0" w:color="auto"/>
      </w:divBdr>
    </w:div>
    <w:div w:id="1000618352">
      <w:marLeft w:val="480"/>
      <w:marRight w:val="0"/>
      <w:marTop w:val="0"/>
      <w:marBottom w:val="0"/>
      <w:divBdr>
        <w:top w:val="none" w:sz="0" w:space="0" w:color="auto"/>
        <w:left w:val="none" w:sz="0" w:space="0" w:color="auto"/>
        <w:bottom w:val="none" w:sz="0" w:space="0" w:color="auto"/>
        <w:right w:val="none" w:sz="0" w:space="0" w:color="auto"/>
      </w:divBdr>
    </w:div>
    <w:div w:id="1000894240">
      <w:marLeft w:val="480"/>
      <w:marRight w:val="0"/>
      <w:marTop w:val="0"/>
      <w:marBottom w:val="0"/>
      <w:divBdr>
        <w:top w:val="none" w:sz="0" w:space="0" w:color="auto"/>
        <w:left w:val="none" w:sz="0" w:space="0" w:color="auto"/>
        <w:bottom w:val="none" w:sz="0" w:space="0" w:color="auto"/>
        <w:right w:val="none" w:sz="0" w:space="0" w:color="auto"/>
      </w:divBdr>
    </w:div>
    <w:div w:id="1004627942">
      <w:marLeft w:val="480"/>
      <w:marRight w:val="0"/>
      <w:marTop w:val="0"/>
      <w:marBottom w:val="0"/>
      <w:divBdr>
        <w:top w:val="none" w:sz="0" w:space="0" w:color="auto"/>
        <w:left w:val="none" w:sz="0" w:space="0" w:color="auto"/>
        <w:bottom w:val="none" w:sz="0" w:space="0" w:color="auto"/>
        <w:right w:val="none" w:sz="0" w:space="0" w:color="auto"/>
      </w:divBdr>
    </w:div>
    <w:div w:id="1026324912">
      <w:marLeft w:val="480"/>
      <w:marRight w:val="0"/>
      <w:marTop w:val="0"/>
      <w:marBottom w:val="0"/>
      <w:divBdr>
        <w:top w:val="none" w:sz="0" w:space="0" w:color="auto"/>
        <w:left w:val="none" w:sz="0" w:space="0" w:color="auto"/>
        <w:bottom w:val="none" w:sz="0" w:space="0" w:color="auto"/>
        <w:right w:val="none" w:sz="0" w:space="0" w:color="auto"/>
      </w:divBdr>
    </w:div>
    <w:div w:id="1035426277">
      <w:marLeft w:val="480"/>
      <w:marRight w:val="0"/>
      <w:marTop w:val="0"/>
      <w:marBottom w:val="0"/>
      <w:divBdr>
        <w:top w:val="none" w:sz="0" w:space="0" w:color="auto"/>
        <w:left w:val="none" w:sz="0" w:space="0" w:color="auto"/>
        <w:bottom w:val="none" w:sz="0" w:space="0" w:color="auto"/>
        <w:right w:val="none" w:sz="0" w:space="0" w:color="auto"/>
      </w:divBdr>
    </w:div>
    <w:div w:id="1037124051">
      <w:marLeft w:val="480"/>
      <w:marRight w:val="0"/>
      <w:marTop w:val="0"/>
      <w:marBottom w:val="0"/>
      <w:divBdr>
        <w:top w:val="none" w:sz="0" w:space="0" w:color="auto"/>
        <w:left w:val="none" w:sz="0" w:space="0" w:color="auto"/>
        <w:bottom w:val="none" w:sz="0" w:space="0" w:color="auto"/>
        <w:right w:val="none" w:sz="0" w:space="0" w:color="auto"/>
      </w:divBdr>
    </w:div>
    <w:div w:id="1041899059">
      <w:marLeft w:val="480"/>
      <w:marRight w:val="0"/>
      <w:marTop w:val="0"/>
      <w:marBottom w:val="0"/>
      <w:divBdr>
        <w:top w:val="none" w:sz="0" w:space="0" w:color="auto"/>
        <w:left w:val="none" w:sz="0" w:space="0" w:color="auto"/>
        <w:bottom w:val="none" w:sz="0" w:space="0" w:color="auto"/>
        <w:right w:val="none" w:sz="0" w:space="0" w:color="auto"/>
      </w:divBdr>
    </w:div>
    <w:div w:id="1049301403">
      <w:marLeft w:val="480"/>
      <w:marRight w:val="0"/>
      <w:marTop w:val="0"/>
      <w:marBottom w:val="0"/>
      <w:divBdr>
        <w:top w:val="none" w:sz="0" w:space="0" w:color="auto"/>
        <w:left w:val="none" w:sz="0" w:space="0" w:color="auto"/>
        <w:bottom w:val="none" w:sz="0" w:space="0" w:color="auto"/>
        <w:right w:val="none" w:sz="0" w:space="0" w:color="auto"/>
      </w:divBdr>
    </w:div>
    <w:div w:id="1049913013">
      <w:marLeft w:val="480"/>
      <w:marRight w:val="0"/>
      <w:marTop w:val="0"/>
      <w:marBottom w:val="0"/>
      <w:divBdr>
        <w:top w:val="none" w:sz="0" w:space="0" w:color="auto"/>
        <w:left w:val="none" w:sz="0" w:space="0" w:color="auto"/>
        <w:bottom w:val="none" w:sz="0" w:space="0" w:color="auto"/>
        <w:right w:val="none" w:sz="0" w:space="0" w:color="auto"/>
      </w:divBdr>
    </w:div>
    <w:div w:id="1052198038">
      <w:marLeft w:val="480"/>
      <w:marRight w:val="0"/>
      <w:marTop w:val="0"/>
      <w:marBottom w:val="0"/>
      <w:divBdr>
        <w:top w:val="none" w:sz="0" w:space="0" w:color="auto"/>
        <w:left w:val="none" w:sz="0" w:space="0" w:color="auto"/>
        <w:bottom w:val="none" w:sz="0" w:space="0" w:color="auto"/>
        <w:right w:val="none" w:sz="0" w:space="0" w:color="auto"/>
      </w:divBdr>
    </w:div>
    <w:div w:id="1061101366">
      <w:marLeft w:val="480"/>
      <w:marRight w:val="0"/>
      <w:marTop w:val="0"/>
      <w:marBottom w:val="0"/>
      <w:divBdr>
        <w:top w:val="none" w:sz="0" w:space="0" w:color="auto"/>
        <w:left w:val="none" w:sz="0" w:space="0" w:color="auto"/>
        <w:bottom w:val="none" w:sz="0" w:space="0" w:color="auto"/>
        <w:right w:val="none" w:sz="0" w:space="0" w:color="auto"/>
      </w:divBdr>
    </w:div>
    <w:div w:id="1063985516">
      <w:marLeft w:val="480"/>
      <w:marRight w:val="0"/>
      <w:marTop w:val="0"/>
      <w:marBottom w:val="0"/>
      <w:divBdr>
        <w:top w:val="none" w:sz="0" w:space="0" w:color="auto"/>
        <w:left w:val="none" w:sz="0" w:space="0" w:color="auto"/>
        <w:bottom w:val="none" w:sz="0" w:space="0" w:color="auto"/>
        <w:right w:val="none" w:sz="0" w:space="0" w:color="auto"/>
      </w:divBdr>
    </w:div>
    <w:div w:id="1069881133">
      <w:marLeft w:val="480"/>
      <w:marRight w:val="0"/>
      <w:marTop w:val="0"/>
      <w:marBottom w:val="0"/>
      <w:divBdr>
        <w:top w:val="none" w:sz="0" w:space="0" w:color="auto"/>
        <w:left w:val="none" w:sz="0" w:space="0" w:color="auto"/>
        <w:bottom w:val="none" w:sz="0" w:space="0" w:color="auto"/>
        <w:right w:val="none" w:sz="0" w:space="0" w:color="auto"/>
      </w:divBdr>
    </w:div>
    <w:div w:id="1074813902">
      <w:marLeft w:val="480"/>
      <w:marRight w:val="0"/>
      <w:marTop w:val="0"/>
      <w:marBottom w:val="0"/>
      <w:divBdr>
        <w:top w:val="none" w:sz="0" w:space="0" w:color="auto"/>
        <w:left w:val="none" w:sz="0" w:space="0" w:color="auto"/>
        <w:bottom w:val="none" w:sz="0" w:space="0" w:color="auto"/>
        <w:right w:val="none" w:sz="0" w:space="0" w:color="auto"/>
      </w:divBdr>
    </w:div>
    <w:div w:id="1075130936">
      <w:marLeft w:val="480"/>
      <w:marRight w:val="0"/>
      <w:marTop w:val="0"/>
      <w:marBottom w:val="0"/>
      <w:divBdr>
        <w:top w:val="none" w:sz="0" w:space="0" w:color="auto"/>
        <w:left w:val="none" w:sz="0" w:space="0" w:color="auto"/>
        <w:bottom w:val="none" w:sz="0" w:space="0" w:color="auto"/>
        <w:right w:val="none" w:sz="0" w:space="0" w:color="auto"/>
      </w:divBdr>
    </w:div>
    <w:div w:id="1083724162">
      <w:marLeft w:val="480"/>
      <w:marRight w:val="0"/>
      <w:marTop w:val="0"/>
      <w:marBottom w:val="0"/>
      <w:divBdr>
        <w:top w:val="none" w:sz="0" w:space="0" w:color="auto"/>
        <w:left w:val="none" w:sz="0" w:space="0" w:color="auto"/>
        <w:bottom w:val="none" w:sz="0" w:space="0" w:color="auto"/>
        <w:right w:val="none" w:sz="0" w:space="0" w:color="auto"/>
      </w:divBdr>
    </w:div>
    <w:div w:id="1090586864">
      <w:marLeft w:val="480"/>
      <w:marRight w:val="0"/>
      <w:marTop w:val="0"/>
      <w:marBottom w:val="0"/>
      <w:divBdr>
        <w:top w:val="none" w:sz="0" w:space="0" w:color="auto"/>
        <w:left w:val="none" w:sz="0" w:space="0" w:color="auto"/>
        <w:bottom w:val="none" w:sz="0" w:space="0" w:color="auto"/>
        <w:right w:val="none" w:sz="0" w:space="0" w:color="auto"/>
      </w:divBdr>
    </w:div>
    <w:div w:id="1092748554">
      <w:marLeft w:val="480"/>
      <w:marRight w:val="0"/>
      <w:marTop w:val="0"/>
      <w:marBottom w:val="0"/>
      <w:divBdr>
        <w:top w:val="none" w:sz="0" w:space="0" w:color="auto"/>
        <w:left w:val="none" w:sz="0" w:space="0" w:color="auto"/>
        <w:bottom w:val="none" w:sz="0" w:space="0" w:color="auto"/>
        <w:right w:val="none" w:sz="0" w:space="0" w:color="auto"/>
      </w:divBdr>
    </w:div>
    <w:div w:id="1093162383">
      <w:marLeft w:val="480"/>
      <w:marRight w:val="0"/>
      <w:marTop w:val="0"/>
      <w:marBottom w:val="0"/>
      <w:divBdr>
        <w:top w:val="none" w:sz="0" w:space="0" w:color="auto"/>
        <w:left w:val="none" w:sz="0" w:space="0" w:color="auto"/>
        <w:bottom w:val="none" w:sz="0" w:space="0" w:color="auto"/>
        <w:right w:val="none" w:sz="0" w:space="0" w:color="auto"/>
      </w:divBdr>
    </w:div>
    <w:div w:id="1093942276">
      <w:marLeft w:val="480"/>
      <w:marRight w:val="0"/>
      <w:marTop w:val="0"/>
      <w:marBottom w:val="0"/>
      <w:divBdr>
        <w:top w:val="none" w:sz="0" w:space="0" w:color="auto"/>
        <w:left w:val="none" w:sz="0" w:space="0" w:color="auto"/>
        <w:bottom w:val="none" w:sz="0" w:space="0" w:color="auto"/>
        <w:right w:val="none" w:sz="0" w:space="0" w:color="auto"/>
      </w:divBdr>
    </w:div>
    <w:div w:id="1107844945">
      <w:marLeft w:val="480"/>
      <w:marRight w:val="0"/>
      <w:marTop w:val="0"/>
      <w:marBottom w:val="0"/>
      <w:divBdr>
        <w:top w:val="none" w:sz="0" w:space="0" w:color="auto"/>
        <w:left w:val="none" w:sz="0" w:space="0" w:color="auto"/>
        <w:bottom w:val="none" w:sz="0" w:space="0" w:color="auto"/>
        <w:right w:val="none" w:sz="0" w:space="0" w:color="auto"/>
      </w:divBdr>
    </w:div>
    <w:div w:id="1134368477">
      <w:marLeft w:val="480"/>
      <w:marRight w:val="0"/>
      <w:marTop w:val="0"/>
      <w:marBottom w:val="0"/>
      <w:divBdr>
        <w:top w:val="none" w:sz="0" w:space="0" w:color="auto"/>
        <w:left w:val="none" w:sz="0" w:space="0" w:color="auto"/>
        <w:bottom w:val="none" w:sz="0" w:space="0" w:color="auto"/>
        <w:right w:val="none" w:sz="0" w:space="0" w:color="auto"/>
      </w:divBdr>
    </w:div>
    <w:div w:id="1150364034">
      <w:marLeft w:val="480"/>
      <w:marRight w:val="0"/>
      <w:marTop w:val="0"/>
      <w:marBottom w:val="0"/>
      <w:divBdr>
        <w:top w:val="none" w:sz="0" w:space="0" w:color="auto"/>
        <w:left w:val="none" w:sz="0" w:space="0" w:color="auto"/>
        <w:bottom w:val="none" w:sz="0" w:space="0" w:color="auto"/>
        <w:right w:val="none" w:sz="0" w:space="0" w:color="auto"/>
      </w:divBdr>
    </w:div>
    <w:div w:id="1154182994">
      <w:marLeft w:val="480"/>
      <w:marRight w:val="0"/>
      <w:marTop w:val="0"/>
      <w:marBottom w:val="0"/>
      <w:divBdr>
        <w:top w:val="none" w:sz="0" w:space="0" w:color="auto"/>
        <w:left w:val="none" w:sz="0" w:space="0" w:color="auto"/>
        <w:bottom w:val="none" w:sz="0" w:space="0" w:color="auto"/>
        <w:right w:val="none" w:sz="0" w:space="0" w:color="auto"/>
      </w:divBdr>
    </w:div>
    <w:div w:id="1160847151">
      <w:marLeft w:val="480"/>
      <w:marRight w:val="0"/>
      <w:marTop w:val="0"/>
      <w:marBottom w:val="0"/>
      <w:divBdr>
        <w:top w:val="none" w:sz="0" w:space="0" w:color="auto"/>
        <w:left w:val="none" w:sz="0" w:space="0" w:color="auto"/>
        <w:bottom w:val="none" w:sz="0" w:space="0" w:color="auto"/>
        <w:right w:val="none" w:sz="0" w:space="0" w:color="auto"/>
      </w:divBdr>
    </w:div>
    <w:div w:id="1162281806">
      <w:marLeft w:val="480"/>
      <w:marRight w:val="0"/>
      <w:marTop w:val="0"/>
      <w:marBottom w:val="0"/>
      <w:divBdr>
        <w:top w:val="none" w:sz="0" w:space="0" w:color="auto"/>
        <w:left w:val="none" w:sz="0" w:space="0" w:color="auto"/>
        <w:bottom w:val="none" w:sz="0" w:space="0" w:color="auto"/>
        <w:right w:val="none" w:sz="0" w:space="0" w:color="auto"/>
      </w:divBdr>
    </w:div>
    <w:div w:id="1171456049">
      <w:marLeft w:val="480"/>
      <w:marRight w:val="0"/>
      <w:marTop w:val="0"/>
      <w:marBottom w:val="0"/>
      <w:divBdr>
        <w:top w:val="none" w:sz="0" w:space="0" w:color="auto"/>
        <w:left w:val="none" w:sz="0" w:space="0" w:color="auto"/>
        <w:bottom w:val="none" w:sz="0" w:space="0" w:color="auto"/>
        <w:right w:val="none" w:sz="0" w:space="0" w:color="auto"/>
      </w:divBdr>
    </w:div>
    <w:div w:id="1196505955">
      <w:marLeft w:val="480"/>
      <w:marRight w:val="0"/>
      <w:marTop w:val="0"/>
      <w:marBottom w:val="0"/>
      <w:divBdr>
        <w:top w:val="none" w:sz="0" w:space="0" w:color="auto"/>
        <w:left w:val="none" w:sz="0" w:space="0" w:color="auto"/>
        <w:bottom w:val="none" w:sz="0" w:space="0" w:color="auto"/>
        <w:right w:val="none" w:sz="0" w:space="0" w:color="auto"/>
      </w:divBdr>
    </w:div>
    <w:div w:id="1210533267">
      <w:marLeft w:val="480"/>
      <w:marRight w:val="0"/>
      <w:marTop w:val="0"/>
      <w:marBottom w:val="0"/>
      <w:divBdr>
        <w:top w:val="none" w:sz="0" w:space="0" w:color="auto"/>
        <w:left w:val="none" w:sz="0" w:space="0" w:color="auto"/>
        <w:bottom w:val="none" w:sz="0" w:space="0" w:color="auto"/>
        <w:right w:val="none" w:sz="0" w:space="0" w:color="auto"/>
      </w:divBdr>
    </w:div>
    <w:div w:id="1242562669">
      <w:marLeft w:val="480"/>
      <w:marRight w:val="0"/>
      <w:marTop w:val="0"/>
      <w:marBottom w:val="0"/>
      <w:divBdr>
        <w:top w:val="none" w:sz="0" w:space="0" w:color="auto"/>
        <w:left w:val="none" w:sz="0" w:space="0" w:color="auto"/>
        <w:bottom w:val="none" w:sz="0" w:space="0" w:color="auto"/>
        <w:right w:val="none" w:sz="0" w:space="0" w:color="auto"/>
      </w:divBdr>
    </w:div>
    <w:div w:id="1248072084">
      <w:marLeft w:val="480"/>
      <w:marRight w:val="0"/>
      <w:marTop w:val="0"/>
      <w:marBottom w:val="0"/>
      <w:divBdr>
        <w:top w:val="none" w:sz="0" w:space="0" w:color="auto"/>
        <w:left w:val="none" w:sz="0" w:space="0" w:color="auto"/>
        <w:bottom w:val="none" w:sz="0" w:space="0" w:color="auto"/>
        <w:right w:val="none" w:sz="0" w:space="0" w:color="auto"/>
      </w:divBdr>
    </w:div>
    <w:div w:id="1253977423">
      <w:marLeft w:val="480"/>
      <w:marRight w:val="0"/>
      <w:marTop w:val="0"/>
      <w:marBottom w:val="0"/>
      <w:divBdr>
        <w:top w:val="none" w:sz="0" w:space="0" w:color="auto"/>
        <w:left w:val="none" w:sz="0" w:space="0" w:color="auto"/>
        <w:bottom w:val="none" w:sz="0" w:space="0" w:color="auto"/>
        <w:right w:val="none" w:sz="0" w:space="0" w:color="auto"/>
      </w:divBdr>
    </w:div>
    <w:div w:id="1261378037">
      <w:marLeft w:val="480"/>
      <w:marRight w:val="0"/>
      <w:marTop w:val="0"/>
      <w:marBottom w:val="0"/>
      <w:divBdr>
        <w:top w:val="none" w:sz="0" w:space="0" w:color="auto"/>
        <w:left w:val="none" w:sz="0" w:space="0" w:color="auto"/>
        <w:bottom w:val="none" w:sz="0" w:space="0" w:color="auto"/>
        <w:right w:val="none" w:sz="0" w:space="0" w:color="auto"/>
      </w:divBdr>
    </w:div>
    <w:div w:id="1295255529">
      <w:marLeft w:val="480"/>
      <w:marRight w:val="0"/>
      <w:marTop w:val="0"/>
      <w:marBottom w:val="0"/>
      <w:divBdr>
        <w:top w:val="none" w:sz="0" w:space="0" w:color="auto"/>
        <w:left w:val="none" w:sz="0" w:space="0" w:color="auto"/>
        <w:bottom w:val="none" w:sz="0" w:space="0" w:color="auto"/>
        <w:right w:val="none" w:sz="0" w:space="0" w:color="auto"/>
      </w:divBdr>
    </w:div>
    <w:div w:id="1330983885">
      <w:marLeft w:val="480"/>
      <w:marRight w:val="0"/>
      <w:marTop w:val="0"/>
      <w:marBottom w:val="0"/>
      <w:divBdr>
        <w:top w:val="none" w:sz="0" w:space="0" w:color="auto"/>
        <w:left w:val="none" w:sz="0" w:space="0" w:color="auto"/>
        <w:bottom w:val="none" w:sz="0" w:space="0" w:color="auto"/>
        <w:right w:val="none" w:sz="0" w:space="0" w:color="auto"/>
      </w:divBdr>
    </w:div>
    <w:div w:id="1333408103">
      <w:marLeft w:val="480"/>
      <w:marRight w:val="0"/>
      <w:marTop w:val="0"/>
      <w:marBottom w:val="0"/>
      <w:divBdr>
        <w:top w:val="none" w:sz="0" w:space="0" w:color="auto"/>
        <w:left w:val="none" w:sz="0" w:space="0" w:color="auto"/>
        <w:bottom w:val="none" w:sz="0" w:space="0" w:color="auto"/>
        <w:right w:val="none" w:sz="0" w:space="0" w:color="auto"/>
      </w:divBdr>
    </w:div>
    <w:div w:id="1334259929">
      <w:marLeft w:val="480"/>
      <w:marRight w:val="0"/>
      <w:marTop w:val="0"/>
      <w:marBottom w:val="0"/>
      <w:divBdr>
        <w:top w:val="none" w:sz="0" w:space="0" w:color="auto"/>
        <w:left w:val="none" w:sz="0" w:space="0" w:color="auto"/>
        <w:bottom w:val="none" w:sz="0" w:space="0" w:color="auto"/>
        <w:right w:val="none" w:sz="0" w:space="0" w:color="auto"/>
      </w:divBdr>
    </w:div>
    <w:div w:id="1341619925">
      <w:marLeft w:val="480"/>
      <w:marRight w:val="0"/>
      <w:marTop w:val="0"/>
      <w:marBottom w:val="0"/>
      <w:divBdr>
        <w:top w:val="none" w:sz="0" w:space="0" w:color="auto"/>
        <w:left w:val="none" w:sz="0" w:space="0" w:color="auto"/>
        <w:bottom w:val="none" w:sz="0" w:space="0" w:color="auto"/>
        <w:right w:val="none" w:sz="0" w:space="0" w:color="auto"/>
      </w:divBdr>
    </w:div>
    <w:div w:id="1342515172">
      <w:marLeft w:val="480"/>
      <w:marRight w:val="0"/>
      <w:marTop w:val="0"/>
      <w:marBottom w:val="0"/>
      <w:divBdr>
        <w:top w:val="none" w:sz="0" w:space="0" w:color="auto"/>
        <w:left w:val="none" w:sz="0" w:space="0" w:color="auto"/>
        <w:bottom w:val="none" w:sz="0" w:space="0" w:color="auto"/>
        <w:right w:val="none" w:sz="0" w:space="0" w:color="auto"/>
      </w:divBdr>
    </w:div>
    <w:div w:id="1354957622">
      <w:marLeft w:val="480"/>
      <w:marRight w:val="0"/>
      <w:marTop w:val="0"/>
      <w:marBottom w:val="0"/>
      <w:divBdr>
        <w:top w:val="none" w:sz="0" w:space="0" w:color="auto"/>
        <w:left w:val="none" w:sz="0" w:space="0" w:color="auto"/>
        <w:bottom w:val="none" w:sz="0" w:space="0" w:color="auto"/>
        <w:right w:val="none" w:sz="0" w:space="0" w:color="auto"/>
      </w:divBdr>
    </w:div>
    <w:div w:id="1363819066">
      <w:marLeft w:val="480"/>
      <w:marRight w:val="0"/>
      <w:marTop w:val="0"/>
      <w:marBottom w:val="0"/>
      <w:divBdr>
        <w:top w:val="none" w:sz="0" w:space="0" w:color="auto"/>
        <w:left w:val="none" w:sz="0" w:space="0" w:color="auto"/>
        <w:bottom w:val="none" w:sz="0" w:space="0" w:color="auto"/>
        <w:right w:val="none" w:sz="0" w:space="0" w:color="auto"/>
      </w:divBdr>
    </w:div>
    <w:div w:id="1381055757">
      <w:marLeft w:val="480"/>
      <w:marRight w:val="0"/>
      <w:marTop w:val="0"/>
      <w:marBottom w:val="0"/>
      <w:divBdr>
        <w:top w:val="none" w:sz="0" w:space="0" w:color="auto"/>
        <w:left w:val="none" w:sz="0" w:space="0" w:color="auto"/>
        <w:bottom w:val="none" w:sz="0" w:space="0" w:color="auto"/>
        <w:right w:val="none" w:sz="0" w:space="0" w:color="auto"/>
      </w:divBdr>
    </w:div>
    <w:div w:id="1385907451">
      <w:marLeft w:val="480"/>
      <w:marRight w:val="0"/>
      <w:marTop w:val="0"/>
      <w:marBottom w:val="0"/>
      <w:divBdr>
        <w:top w:val="none" w:sz="0" w:space="0" w:color="auto"/>
        <w:left w:val="none" w:sz="0" w:space="0" w:color="auto"/>
        <w:bottom w:val="none" w:sz="0" w:space="0" w:color="auto"/>
        <w:right w:val="none" w:sz="0" w:space="0" w:color="auto"/>
      </w:divBdr>
    </w:div>
    <w:div w:id="1407920622">
      <w:marLeft w:val="480"/>
      <w:marRight w:val="0"/>
      <w:marTop w:val="0"/>
      <w:marBottom w:val="0"/>
      <w:divBdr>
        <w:top w:val="none" w:sz="0" w:space="0" w:color="auto"/>
        <w:left w:val="none" w:sz="0" w:space="0" w:color="auto"/>
        <w:bottom w:val="none" w:sz="0" w:space="0" w:color="auto"/>
        <w:right w:val="none" w:sz="0" w:space="0" w:color="auto"/>
      </w:divBdr>
    </w:div>
    <w:div w:id="1409881806">
      <w:marLeft w:val="480"/>
      <w:marRight w:val="0"/>
      <w:marTop w:val="0"/>
      <w:marBottom w:val="0"/>
      <w:divBdr>
        <w:top w:val="none" w:sz="0" w:space="0" w:color="auto"/>
        <w:left w:val="none" w:sz="0" w:space="0" w:color="auto"/>
        <w:bottom w:val="none" w:sz="0" w:space="0" w:color="auto"/>
        <w:right w:val="none" w:sz="0" w:space="0" w:color="auto"/>
      </w:divBdr>
    </w:div>
    <w:div w:id="1429885553">
      <w:marLeft w:val="480"/>
      <w:marRight w:val="0"/>
      <w:marTop w:val="0"/>
      <w:marBottom w:val="0"/>
      <w:divBdr>
        <w:top w:val="none" w:sz="0" w:space="0" w:color="auto"/>
        <w:left w:val="none" w:sz="0" w:space="0" w:color="auto"/>
        <w:bottom w:val="none" w:sz="0" w:space="0" w:color="auto"/>
        <w:right w:val="none" w:sz="0" w:space="0" w:color="auto"/>
      </w:divBdr>
    </w:div>
    <w:div w:id="1443527311">
      <w:marLeft w:val="480"/>
      <w:marRight w:val="0"/>
      <w:marTop w:val="0"/>
      <w:marBottom w:val="0"/>
      <w:divBdr>
        <w:top w:val="none" w:sz="0" w:space="0" w:color="auto"/>
        <w:left w:val="none" w:sz="0" w:space="0" w:color="auto"/>
        <w:bottom w:val="none" w:sz="0" w:space="0" w:color="auto"/>
        <w:right w:val="none" w:sz="0" w:space="0" w:color="auto"/>
      </w:divBdr>
    </w:div>
    <w:div w:id="1448886635">
      <w:marLeft w:val="480"/>
      <w:marRight w:val="0"/>
      <w:marTop w:val="0"/>
      <w:marBottom w:val="0"/>
      <w:divBdr>
        <w:top w:val="none" w:sz="0" w:space="0" w:color="auto"/>
        <w:left w:val="none" w:sz="0" w:space="0" w:color="auto"/>
        <w:bottom w:val="none" w:sz="0" w:space="0" w:color="auto"/>
        <w:right w:val="none" w:sz="0" w:space="0" w:color="auto"/>
      </w:divBdr>
    </w:div>
    <w:div w:id="1472943932">
      <w:marLeft w:val="480"/>
      <w:marRight w:val="0"/>
      <w:marTop w:val="0"/>
      <w:marBottom w:val="0"/>
      <w:divBdr>
        <w:top w:val="none" w:sz="0" w:space="0" w:color="auto"/>
        <w:left w:val="none" w:sz="0" w:space="0" w:color="auto"/>
        <w:bottom w:val="none" w:sz="0" w:space="0" w:color="auto"/>
        <w:right w:val="none" w:sz="0" w:space="0" w:color="auto"/>
      </w:divBdr>
    </w:div>
    <w:div w:id="1481731814">
      <w:marLeft w:val="480"/>
      <w:marRight w:val="0"/>
      <w:marTop w:val="0"/>
      <w:marBottom w:val="0"/>
      <w:divBdr>
        <w:top w:val="none" w:sz="0" w:space="0" w:color="auto"/>
        <w:left w:val="none" w:sz="0" w:space="0" w:color="auto"/>
        <w:bottom w:val="none" w:sz="0" w:space="0" w:color="auto"/>
        <w:right w:val="none" w:sz="0" w:space="0" w:color="auto"/>
      </w:divBdr>
    </w:div>
    <w:div w:id="1540514181">
      <w:marLeft w:val="480"/>
      <w:marRight w:val="0"/>
      <w:marTop w:val="0"/>
      <w:marBottom w:val="0"/>
      <w:divBdr>
        <w:top w:val="none" w:sz="0" w:space="0" w:color="auto"/>
        <w:left w:val="none" w:sz="0" w:space="0" w:color="auto"/>
        <w:bottom w:val="none" w:sz="0" w:space="0" w:color="auto"/>
        <w:right w:val="none" w:sz="0" w:space="0" w:color="auto"/>
      </w:divBdr>
    </w:div>
    <w:div w:id="1567302370">
      <w:marLeft w:val="480"/>
      <w:marRight w:val="0"/>
      <w:marTop w:val="0"/>
      <w:marBottom w:val="0"/>
      <w:divBdr>
        <w:top w:val="none" w:sz="0" w:space="0" w:color="auto"/>
        <w:left w:val="none" w:sz="0" w:space="0" w:color="auto"/>
        <w:bottom w:val="none" w:sz="0" w:space="0" w:color="auto"/>
        <w:right w:val="none" w:sz="0" w:space="0" w:color="auto"/>
      </w:divBdr>
    </w:div>
    <w:div w:id="1572885708">
      <w:marLeft w:val="480"/>
      <w:marRight w:val="0"/>
      <w:marTop w:val="0"/>
      <w:marBottom w:val="0"/>
      <w:divBdr>
        <w:top w:val="none" w:sz="0" w:space="0" w:color="auto"/>
        <w:left w:val="none" w:sz="0" w:space="0" w:color="auto"/>
        <w:bottom w:val="none" w:sz="0" w:space="0" w:color="auto"/>
        <w:right w:val="none" w:sz="0" w:space="0" w:color="auto"/>
      </w:divBdr>
    </w:div>
    <w:div w:id="1580824692">
      <w:marLeft w:val="480"/>
      <w:marRight w:val="0"/>
      <w:marTop w:val="0"/>
      <w:marBottom w:val="0"/>
      <w:divBdr>
        <w:top w:val="none" w:sz="0" w:space="0" w:color="auto"/>
        <w:left w:val="none" w:sz="0" w:space="0" w:color="auto"/>
        <w:bottom w:val="none" w:sz="0" w:space="0" w:color="auto"/>
        <w:right w:val="none" w:sz="0" w:space="0" w:color="auto"/>
      </w:divBdr>
    </w:div>
    <w:div w:id="1600606127">
      <w:marLeft w:val="480"/>
      <w:marRight w:val="0"/>
      <w:marTop w:val="0"/>
      <w:marBottom w:val="0"/>
      <w:divBdr>
        <w:top w:val="none" w:sz="0" w:space="0" w:color="auto"/>
        <w:left w:val="none" w:sz="0" w:space="0" w:color="auto"/>
        <w:bottom w:val="none" w:sz="0" w:space="0" w:color="auto"/>
        <w:right w:val="none" w:sz="0" w:space="0" w:color="auto"/>
      </w:divBdr>
    </w:div>
    <w:div w:id="1618216822">
      <w:marLeft w:val="480"/>
      <w:marRight w:val="0"/>
      <w:marTop w:val="0"/>
      <w:marBottom w:val="0"/>
      <w:divBdr>
        <w:top w:val="none" w:sz="0" w:space="0" w:color="auto"/>
        <w:left w:val="none" w:sz="0" w:space="0" w:color="auto"/>
        <w:bottom w:val="none" w:sz="0" w:space="0" w:color="auto"/>
        <w:right w:val="none" w:sz="0" w:space="0" w:color="auto"/>
      </w:divBdr>
    </w:div>
    <w:div w:id="1627278560">
      <w:marLeft w:val="480"/>
      <w:marRight w:val="0"/>
      <w:marTop w:val="0"/>
      <w:marBottom w:val="0"/>
      <w:divBdr>
        <w:top w:val="none" w:sz="0" w:space="0" w:color="auto"/>
        <w:left w:val="none" w:sz="0" w:space="0" w:color="auto"/>
        <w:bottom w:val="none" w:sz="0" w:space="0" w:color="auto"/>
        <w:right w:val="none" w:sz="0" w:space="0" w:color="auto"/>
      </w:divBdr>
    </w:div>
    <w:div w:id="1656295751">
      <w:marLeft w:val="480"/>
      <w:marRight w:val="0"/>
      <w:marTop w:val="0"/>
      <w:marBottom w:val="0"/>
      <w:divBdr>
        <w:top w:val="none" w:sz="0" w:space="0" w:color="auto"/>
        <w:left w:val="none" w:sz="0" w:space="0" w:color="auto"/>
        <w:bottom w:val="none" w:sz="0" w:space="0" w:color="auto"/>
        <w:right w:val="none" w:sz="0" w:space="0" w:color="auto"/>
      </w:divBdr>
    </w:div>
    <w:div w:id="1680620409">
      <w:marLeft w:val="480"/>
      <w:marRight w:val="0"/>
      <w:marTop w:val="0"/>
      <w:marBottom w:val="0"/>
      <w:divBdr>
        <w:top w:val="none" w:sz="0" w:space="0" w:color="auto"/>
        <w:left w:val="none" w:sz="0" w:space="0" w:color="auto"/>
        <w:bottom w:val="none" w:sz="0" w:space="0" w:color="auto"/>
        <w:right w:val="none" w:sz="0" w:space="0" w:color="auto"/>
      </w:divBdr>
    </w:div>
    <w:div w:id="1683316160">
      <w:marLeft w:val="480"/>
      <w:marRight w:val="0"/>
      <w:marTop w:val="0"/>
      <w:marBottom w:val="0"/>
      <w:divBdr>
        <w:top w:val="none" w:sz="0" w:space="0" w:color="auto"/>
        <w:left w:val="none" w:sz="0" w:space="0" w:color="auto"/>
        <w:bottom w:val="none" w:sz="0" w:space="0" w:color="auto"/>
        <w:right w:val="none" w:sz="0" w:space="0" w:color="auto"/>
      </w:divBdr>
    </w:div>
    <w:div w:id="1689330655">
      <w:marLeft w:val="480"/>
      <w:marRight w:val="0"/>
      <w:marTop w:val="0"/>
      <w:marBottom w:val="0"/>
      <w:divBdr>
        <w:top w:val="none" w:sz="0" w:space="0" w:color="auto"/>
        <w:left w:val="none" w:sz="0" w:space="0" w:color="auto"/>
        <w:bottom w:val="none" w:sz="0" w:space="0" w:color="auto"/>
        <w:right w:val="none" w:sz="0" w:space="0" w:color="auto"/>
      </w:divBdr>
    </w:div>
    <w:div w:id="1689791954">
      <w:marLeft w:val="480"/>
      <w:marRight w:val="0"/>
      <w:marTop w:val="0"/>
      <w:marBottom w:val="0"/>
      <w:divBdr>
        <w:top w:val="none" w:sz="0" w:space="0" w:color="auto"/>
        <w:left w:val="none" w:sz="0" w:space="0" w:color="auto"/>
        <w:bottom w:val="none" w:sz="0" w:space="0" w:color="auto"/>
        <w:right w:val="none" w:sz="0" w:space="0" w:color="auto"/>
      </w:divBdr>
    </w:div>
    <w:div w:id="1690331985">
      <w:marLeft w:val="480"/>
      <w:marRight w:val="0"/>
      <w:marTop w:val="0"/>
      <w:marBottom w:val="0"/>
      <w:divBdr>
        <w:top w:val="none" w:sz="0" w:space="0" w:color="auto"/>
        <w:left w:val="none" w:sz="0" w:space="0" w:color="auto"/>
        <w:bottom w:val="none" w:sz="0" w:space="0" w:color="auto"/>
        <w:right w:val="none" w:sz="0" w:space="0" w:color="auto"/>
      </w:divBdr>
    </w:div>
    <w:div w:id="1699114551">
      <w:marLeft w:val="480"/>
      <w:marRight w:val="0"/>
      <w:marTop w:val="0"/>
      <w:marBottom w:val="0"/>
      <w:divBdr>
        <w:top w:val="none" w:sz="0" w:space="0" w:color="auto"/>
        <w:left w:val="none" w:sz="0" w:space="0" w:color="auto"/>
        <w:bottom w:val="none" w:sz="0" w:space="0" w:color="auto"/>
        <w:right w:val="none" w:sz="0" w:space="0" w:color="auto"/>
      </w:divBdr>
    </w:div>
    <w:div w:id="1713575718">
      <w:marLeft w:val="480"/>
      <w:marRight w:val="0"/>
      <w:marTop w:val="0"/>
      <w:marBottom w:val="0"/>
      <w:divBdr>
        <w:top w:val="none" w:sz="0" w:space="0" w:color="auto"/>
        <w:left w:val="none" w:sz="0" w:space="0" w:color="auto"/>
        <w:bottom w:val="none" w:sz="0" w:space="0" w:color="auto"/>
        <w:right w:val="none" w:sz="0" w:space="0" w:color="auto"/>
      </w:divBdr>
    </w:div>
    <w:div w:id="1729498723">
      <w:marLeft w:val="480"/>
      <w:marRight w:val="0"/>
      <w:marTop w:val="0"/>
      <w:marBottom w:val="0"/>
      <w:divBdr>
        <w:top w:val="none" w:sz="0" w:space="0" w:color="auto"/>
        <w:left w:val="none" w:sz="0" w:space="0" w:color="auto"/>
        <w:bottom w:val="none" w:sz="0" w:space="0" w:color="auto"/>
        <w:right w:val="none" w:sz="0" w:space="0" w:color="auto"/>
      </w:divBdr>
    </w:div>
    <w:div w:id="1729568256">
      <w:marLeft w:val="480"/>
      <w:marRight w:val="0"/>
      <w:marTop w:val="0"/>
      <w:marBottom w:val="0"/>
      <w:divBdr>
        <w:top w:val="none" w:sz="0" w:space="0" w:color="auto"/>
        <w:left w:val="none" w:sz="0" w:space="0" w:color="auto"/>
        <w:bottom w:val="none" w:sz="0" w:space="0" w:color="auto"/>
        <w:right w:val="none" w:sz="0" w:space="0" w:color="auto"/>
      </w:divBdr>
    </w:div>
    <w:div w:id="1738285512">
      <w:marLeft w:val="480"/>
      <w:marRight w:val="0"/>
      <w:marTop w:val="0"/>
      <w:marBottom w:val="0"/>
      <w:divBdr>
        <w:top w:val="none" w:sz="0" w:space="0" w:color="auto"/>
        <w:left w:val="none" w:sz="0" w:space="0" w:color="auto"/>
        <w:bottom w:val="none" w:sz="0" w:space="0" w:color="auto"/>
        <w:right w:val="none" w:sz="0" w:space="0" w:color="auto"/>
      </w:divBdr>
    </w:div>
    <w:div w:id="1767074540">
      <w:marLeft w:val="480"/>
      <w:marRight w:val="0"/>
      <w:marTop w:val="0"/>
      <w:marBottom w:val="0"/>
      <w:divBdr>
        <w:top w:val="none" w:sz="0" w:space="0" w:color="auto"/>
        <w:left w:val="none" w:sz="0" w:space="0" w:color="auto"/>
        <w:bottom w:val="none" w:sz="0" w:space="0" w:color="auto"/>
        <w:right w:val="none" w:sz="0" w:space="0" w:color="auto"/>
      </w:divBdr>
    </w:div>
    <w:div w:id="1782722391">
      <w:marLeft w:val="480"/>
      <w:marRight w:val="0"/>
      <w:marTop w:val="0"/>
      <w:marBottom w:val="0"/>
      <w:divBdr>
        <w:top w:val="none" w:sz="0" w:space="0" w:color="auto"/>
        <w:left w:val="none" w:sz="0" w:space="0" w:color="auto"/>
        <w:bottom w:val="none" w:sz="0" w:space="0" w:color="auto"/>
        <w:right w:val="none" w:sz="0" w:space="0" w:color="auto"/>
      </w:divBdr>
    </w:div>
    <w:div w:id="1792166772">
      <w:marLeft w:val="480"/>
      <w:marRight w:val="0"/>
      <w:marTop w:val="0"/>
      <w:marBottom w:val="0"/>
      <w:divBdr>
        <w:top w:val="none" w:sz="0" w:space="0" w:color="auto"/>
        <w:left w:val="none" w:sz="0" w:space="0" w:color="auto"/>
        <w:bottom w:val="none" w:sz="0" w:space="0" w:color="auto"/>
        <w:right w:val="none" w:sz="0" w:space="0" w:color="auto"/>
      </w:divBdr>
    </w:div>
    <w:div w:id="1804158413">
      <w:marLeft w:val="480"/>
      <w:marRight w:val="0"/>
      <w:marTop w:val="0"/>
      <w:marBottom w:val="0"/>
      <w:divBdr>
        <w:top w:val="none" w:sz="0" w:space="0" w:color="auto"/>
        <w:left w:val="none" w:sz="0" w:space="0" w:color="auto"/>
        <w:bottom w:val="none" w:sz="0" w:space="0" w:color="auto"/>
        <w:right w:val="none" w:sz="0" w:space="0" w:color="auto"/>
      </w:divBdr>
    </w:div>
    <w:div w:id="1809979017">
      <w:marLeft w:val="480"/>
      <w:marRight w:val="0"/>
      <w:marTop w:val="0"/>
      <w:marBottom w:val="0"/>
      <w:divBdr>
        <w:top w:val="none" w:sz="0" w:space="0" w:color="auto"/>
        <w:left w:val="none" w:sz="0" w:space="0" w:color="auto"/>
        <w:bottom w:val="none" w:sz="0" w:space="0" w:color="auto"/>
        <w:right w:val="none" w:sz="0" w:space="0" w:color="auto"/>
      </w:divBdr>
    </w:div>
    <w:div w:id="1815177488">
      <w:marLeft w:val="480"/>
      <w:marRight w:val="0"/>
      <w:marTop w:val="0"/>
      <w:marBottom w:val="0"/>
      <w:divBdr>
        <w:top w:val="none" w:sz="0" w:space="0" w:color="auto"/>
        <w:left w:val="none" w:sz="0" w:space="0" w:color="auto"/>
        <w:bottom w:val="none" w:sz="0" w:space="0" w:color="auto"/>
        <w:right w:val="none" w:sz="0" w:space="0" w:color="auto"/>
      </w:divBdr>
    </w:div>
    <w:div w:id="1831821548">
      <w:marLeft w:val="480"/>
      <w:marRight w:val="0"/>
      <w:marTop w:val="0"/>
      <w:marBottom w:val="0"/>
      <w:divBdr>
        <w:top w:val="none" w:sz="0" w:space="0" w:color="auto"/>
        <w:left w:val="none" w:sz="0" w:space="0" w:color="auto"/>
        <w:bottom w:val="none" w:sz="0" w:space="0" w:color="auto"/>
        <w:right w:val="none" w:sz="0" w:space="0" w:color="auto"/>
      </w:divBdr>
    </w:div>
    <w:div w:id="1836724613">
      <w:marLeft w:val="480"/>
      <w:marRight w:val="0"/>
      <w:marTop w:val="0"/>
      <w:marBottom w:val="0"/>
      <w:divBdr>
        <w:top w:val="none" w:sz="0" w:space="0" w:color="auto"/>
        <w:left w:val="none" w:sz="0" w:space="0" w:color="auto"/>
        <w:bottom w:val="none" w:sz="0" w:space="0" w:color="auto"/>
        <w:right w:val="none" w:sz="0" w:space="0" w:color="auto"/>
      </w:divBdr>
    </w:div>
    <w:div w:id="1838764065">
      <w:marLeft w:val="480"/>
      <w:marRight w:val="0"/>
      <w:marTop w:val="0"/>
      <w:marBottom w:val="0"/>
      <w:divBdr>
        <w:top w:val="none" w:sz="0" w:space="0" w:color="auto"/>
        <w:left w:val="none" w:sz="0" w:space="0" w:color="auto"/>
        <w:bottom w:val="none" w:sz="0" w:space="0" w:color="auto"/>
        <w:right w:val="none" w:sz="0" w:space="0" w:color="auto"/>
      </w:divBdr>
    </w:div>
    <w:div w:id="1849249787">
      <w:marLeft w:val="480"/>
      <w:marRight w:val="0"/>
      <w:marTop w:val="0"/>
      <w:marBottom w:val="0"/>
      <w:divBdr>
        <w:top w:val="none" w:sz="0" w:space="0" w:color="auto"/>
        <w:left w:val="none" w:sz="0" w:space="0" w:color="auto"/>
        <w:bottom w:val="none" w:sz="0" w:space="0" w:color="auto"/>
        <w:right w:val="none" w:sz="0" w:space="0" w:color="auto"/>
      </w:divBdr>
    </w:div>
    <w:div w:id="1849516321">
      <w:marLeft w:val="480"/>
      <w:marRight w:val="0"/>
      <w:marTop w:val="0"/>
      <w:marBottom w:val="0"/>
      <w:divBdr>
        <w:top w:val="none" w:sz="0" w:space="0" w:color="auto"/>
        <w:left w:val="none" w:sz="0" w:space="0" w:color="auto"/>
        <w:bottom w:val="none" w:sz="0" w:space="0" w:color="auto"/>
        <w:right w:val="none" w:sz="0" w:space="0" w:color="auto"/>
      </w:divBdr>
    </w:div>
    <w:div w:id="1857843780">
      <w:marLeft w:val="480"/>
      <w:marRight w:val="0"/>
      <w:marTop w:val="0"/>
      <w:marBottom w:val="0"/>
      <w:divBdr>
        <w:top w:val="none" w:sz="0" w:space="0" w:color="auto"/>
        <w:left w:val="none" w:sz="0" w:space="0" w:color="auto"/>
        <w:bottom w:val="none" w:sz="0" w:space="0" w:color="auto"/>
        <w:right w:val="none" w:sz="0" w:space="0" w:color="auto"/>
      </w:divBdr>
    </w:div>
    <w:div w:id="1873960762">
      <w:marLeft w:val="480"/>
      <w:marRight w:val="0"/>
      <w:marTop w:val="0"/>
      <w:marBottom w:val="0"/>
      <w:divBdr>
        <w:top w:val="none" w:sz="0" w:space="0" w:color="auto"/>
        <w:left w:val="none" w:sz="0" w:space="0" w:color="auto"/>
        <w:bottom w:val="none" w:sz="0" w:space="0" w:color="auto"/>
        <w:right w:val="none" w:sz="0" w:space="0" w:color="auto"/>
      </w:divBdr>
    </w:div>
    <w:div w:id="1874615157">
      <w:marLeft w:val="480"/>
      <w:marRight w:val="0"/>
      <w:marTop w:val="0"/>
      <w:marBottom w:val="0"/>
      <w:divBdr>
        <w:top w:val="none" w:sz="0" w:space="0" w:color="auto"/>
        <w:left w:val="none" w:sz="0" w:space="0" w:color="auto"/>
        <w:bottom w:val="none" w:sz="0" w:space="0" w:color="auto"/>
        <w:right w:val="none" w:sz="0" w:space="0" w:color="auto"/>
      </w:divBdr>
    </w:div>
    <w:div w:id="1881283835">
      <w:marLeft w:val="480"/>
      <w:marRight w:val="0"/>
      <w:marTop w:val="0"/>
      <w:marBottom w:val="0"/>
      <w:divBdr>
        <w:top w:val="none" w:sz="0" w:space="0" w:color="auto"/>
        <w:left w:val="none" w:sz="0" w:space="0" w:color="auto"/>
        <w:bottom w:val="none" w:sz="0" w:space="0" w:color="auto"/>
        <w:right w:val="none" w:sz="0" w:space="0" w:color="auto"/>
      </w:divBdr>
    </w:div>
    <w:div w:id="1902212565">
      <w:marLeft w:val="480"/>
      <w:marRight w:val="0"/>
      <w:marTop w:val="0"/>
      <w:marBottom w:val="0"/>
      <w:divBdr>
        <w:top w:val="none" w:sz="0" w:space="0" w:color="auto"/>
        <w:left w:val="none" w:sz="0" w:space="0" w:color="auto"/>
        <w:bottom w:val="none" w:sz="0" w:space="0" w:color="auto"/>
        <w:right w:val="none" w:sz="0" w:space="0" w:color="auto"/>
      </w:divBdr>
    </w:div>
    <w:div w:id="1909656604">
      <w:marLeft w:val="480"/>
      <w:marRight w:val="0"/>
      <w:marTop w:val="0"/>
      <w:marBottom w:val="0"/>
      <w:divBdr>
        <w:top w:val="none" w:sz="0" w:space="0" w:color="auto"/>
        <w:left w:val="none" w:sz="0" w:space="0" w:color="auto"/>
        <w:bottom w:val="none" w:sz="0" w:space="0" w:color="auto"/>
        <w:right w:val="none" w:sz="0" w:space="0" w:color="auto"/>
      </w:divBdr>
    </w:div>
    <w:div w:id="1919904874">
      <w:marLeft w:val="480"/>
      <w:marRight w:val="0"/>
      <w:marTop w:val="0"/>
      <w:marBottom w:val="0"/>
      <w:divBdr>
        <w:top w:val="none" w:sz="0" w:space="0" w:color="auto"/>
        <w:left w:val="none" w:sz="0" w:space="0" w:color="auto"/>
        <w:bottom w:val="none" w:sz="0" w:space="0" w:color="auto"/>
        <w:right w:val="none" w:sz="0" w:space="0" w:color="auto"/>
      </w:divBdr>
    </w:div>
    <w:div w:id="1922373747">
      <w:marLeft w:val="480"/>
      <w:marRight w:val="0"/>
      <w:marTop w:val="0"/>
      <w:marBottom w:val="0"/>
      <w:divBdr>
        <w:top w:val="none" w:sz="0" w:space="0" w:color="auto"/>
        <w:left w:val="none" w:sz="0" w:space="0" w:color="auto"/>
        <w:bottom w:val="none" w:sz="0" w:space="0" w:color="auto"/>
        <w:right w:val="none" w:sz="0" w:space="0" w:color="auto"/>
      </w:divBdr>
    </w:div>
    <w:div w:id="1936789603">
      <w:marLeft w:val="480"/>
      <w:marRight w:val="0"/>
      <w:marTop w:val="0"/>
      <w:marBottom w:val="0"/>
      <w:divBdr>
        <w:top w:val="none" w:sz="0" w:space="0" w:color="auto"/>
        <w:left w:val="none" w:sz="0" w:space="0" w:color="auto"/>
        <w:bottom w:val="none" w:sz="0" w:space="0" w:color="auto"/>
        <w:right w:val="none" w:sz="0" w:space="0" w:color="auto"/>
      </w:divBdr>
    </w:div>
    <w:div w:id="1938976850">
      <w:marLeft w:val="480"/>
      <w:marRight w:val="0"/>
      <w:marTop w:val="0"/>
      <w:marBottom w:val="0"/>
      <w:divBdr>
        <w:top w:val="none" w:sz="0" w:space="0" w:color="auto"/>
        <w:left w:val="none" w:sz="0" w:space="0" w:color="auto"/>
        <w:bottom w:val="none" w:sz="0" w:space="0" w:color="auto"/>
        <w:right w:val="none" w:sz="0" w:space="0" w:color="auto"/>
      </w:divBdr>
    </w:div>
    <w:div w:id="1943759675">
      <w:marLeft w:val="480"/>
      <w:marRight w:val="0"/>
      <w:marTop w:val="0"/>
      <w:marBottom w:val="0"/>
      <w:divBdr>
        <w:top w:val="none" w:sz="0" w:space="0" w:color="auto"/>
        <w:left w:val="none" w:sz="0" w:space="0" w:color="auto"/>
        <w:bottom w:val="none" w:sz="0" w:space="0" w:color="auto"/>
        <w:right w:val="none" w:sz="0" w:space="0" w:color="auto"/>
      </w:divBdr>
    </w:div>
    <w:div w:id="1946114393">
      <w:marLeft w:val="480"/>
      <w:marRight w:val="0"/>
      <w:marTop w:val="0"/>
      <w:marBottom w:val="0"/>
      <w:divBdr>
        <w:top w:val="none" w:sz="0" w:space="0" w:color="auto"/>
        <w:left w:val="none" w:sz="0" w:space="0" w:color="auto"/>
        <w:bottom w:val="none" w:sz="0" w:space="0" w:color="auto"/>
        <w:right w:val="none" w:sz="0" w:space="0" w:color="auto"/>
      </w:divBdr>
    </w:div>
    <w:div w:id="1958482260">
      <w:marLeft w:val="480"/>
      <w:marRight w:val="0"/>
      <w:marTop w:val="0"/>
      <w:marBottom w:val="0"/>
      <w:divBdr>
        <w:top w:val="none" w:sz="0" w:space="0" w:color="auto"/>
        <w:left w:val="none" w:sz="0" w:space="0" w:color="auto"/>
        <w:bottom w:val="none" w:sz="0" w:space="0" w:color="auto"/>
        <w:right w:val="none" w:sz="0" w:space="0" w:color="auto"/>
      </w:divBdr>
    </w:div>
    <w:div w:id="1961102739">
      <w:marLeft w:val="480"/>
      <w:marRight w:val="0"/>
      <w:marTop w:val="0"/>
      <w:marBottom w:val="0"/>
      <w:divBdr>
        <w:top w:val="none" w:sz="0" w:space="0" w:color="auto"/>
        <w:left w:val="none" w:sz="0" w:space="0" w:color="auto"/>
        <w:bottom w:val="none" w:sz="0" w:space="0" w:color="auto"/>
        <w:right w:val="none" w:sz="0" w:space="0" w:color="auto"/>
      </w:divBdr>
    </w:div>
    <w:div w:id="1961303938">
      <w:marLeft w:val="480"/>
      <w:marRight w:val="0"/>
      <w:marTop w:val="0"/>
      <w:marBottom w:val="0"/>
      <w:divBdr>
        <w:top w:val="none" w:sz="0" w:space="0" w:color="auto"/>
        <w:left w:val="none" w:sz="0" w:space="0" w:color="auto"/>
        <w:bottom w:val="none" w:sz="0" w:space="0" w:color="auto"/>
        <w:right w:val="none" w:sz="0" w:space="0" w:color="auto"/>
      </w:divBdr>
    </w:div>
    <w:div w:id="1966739471">
      <w:marLeft w:val="480"/>
      <w:marRight w:val="0"/>
      <w:marTop w:val="0"/>
      <w:marBottom w:val="0"/>
      <w:divBdr>
        <w:top w:val="none" w:sz="0" w:space="0" w:color="auto"/>
        <w:left w:val="none" w:sz="0" w:space="0" w:color="auto"/>
        <w:bottom w:val="none" w:sz="0" w:space="0" w:color="auto"/>
        <w:right w:val="none" w:sz="0" w:space="0" w:color="auto"/>
      </w:divBdr>
    </w:div>
    <w:div w:id="1972636780">
      <w:marLeft w:val="480"/>
      <w:marRight w:val="0"/>
      <w:marTop w:val="0"/>
      <w:marBottom w:val="0"/>
      <w:divBdr>
        <w:top w:val="none" w:sz="0" w:space="0" w:color="auto"/>
        <w:left w:val="none" w:sz="0" w:space="0" w:color="auto"/>
        <w:bottom w:val="none" w:sz="0" w:space="0" w:color="auto"/>
        <w:right w:val="none" w:sz="0" w:space="0" w:color="auto"/>
      </w:divBdr>
    </w:div>
    <w:div w:id="1978560847">
      <w:marLeft w:val="480"/>
      <w:marRight w:val="0"/>
      <w:marTop w:val="0"/>
      <w:marBottom w:val="0"/>
      <w:divBdr>
        <w:top w:val="none" w:sz="0" w:space="0" w:color="auto"/>
        <w:left w:val="none" w:sz="0" w:space="0" w:color="auto"/>
        <w:bottom w:val="none" w:sz="0" w:space="0" w:color="auto"/>
        <w:right w:val="none" w:sz="0" w:space="0" w:color="auto"/>
      </w:divBdr>
    </w:div>
    <w:div w:id="1987278251">
      <w:marLeft w:val="480"/>
      <w:marRight w:val="0"/>
      <w:marTop w:val="0"/>
      <w:marBottom w:val="0"/>
      <w:divBdr>
        <w:top w:val="none" w:sz="0" w:space="0" w:color="auto"/>
        <w:left w:val="none" w:sz="0" w:space="0" w:color="auto"/>
        <w:bottom w:val="none" w:sz="0" w:space="0" w:color="auto"/>
        <w:right w:val="none" w:sz="0" w:space="0" w:color="auto"/>
      </w:divBdr>
    </w:div>
    <w:div w:id="1991667602">
      <w:marLeft w:val="480"/>
      <w:marRight w:val="0"/>
      <w:marTop w:val="0"/>
      <w:marBottom w:val="0"/>
      <w:divBdr>
        <w:top w:val="none" w:sz="0" w:space="0" w:color="auto"/>
        <w:left w:val="none" w:sz="0" w:space="0" w:color="auto"/>
        <w:bottom w:val="none" w:sz="0" w:space="0" w:color="auto"/>
        <w:right w:val="none" w:sz="0" w:space="0" w:color="auto"/>
      </w:divBdr>
    </w:div>
    <w:div w:id="2000689813">
      <w:marLeft w:val="480"/>
      <w:marRight w:val="0"/>
      <w:marTop w:val="0"/>
      <w:marBottom w:val="0"/>
      <w:divBdr>
        <w:top w:val="none" w:sz="0" w:space="0" w:color="auto"/>
        <w:left w:val="none" w:sz="0" w:space="0" w:color="auto"/>
        <w:bottom w:val="none" w:sz="0" w:space="0" w:color="auto"/>
        <w:right w:val="none" w:sz="0" w:space="0" w:color="auto"/>
      </w:divBdr>
    </w:div>
    <w:div w:id="2009013289">
      <w:marLeft w:val="480"/>
      <w:marRight w:val="0"/>
      <w:marTop w:val="0"/>
      <w:marBottom w:val="0"/>
      <w:divBdr>
        <w:top w:val="none" w:sz="0" w:space="0" w:color="auto"/>
        <w:left w:val="none" w:sz="0" w:space="0" w:color="auto"/>
        <w:bottom w:val="none" w:sz="0" w:space="0" w:color="auto"/>
        <w:right w:val="none" w:sz="0" w:space="0" w:color="auto"/>
      </w:divBdr>
    </w:div>
    <w:div w:id="2014794549">
      <w:marLeft w:val="480"/>
      <w:marRight w:val="0"/>
      <w:marTop w:val="0"/>
      <w:marBottom w:val="0"/>
      <w:divBdr>
        <w:top w:val="none" w:sz="0" w:space="0" w:color="auto"/>
        <w:left w:val="none" w:sz="0" w:space="0" w:color="auto"/>
        <w:bottom w:val="none" w:sz="0" w:space="0" w:color="auto"/>
        <w:right w:val="none" w:sz="0" w:space="0" w:color="auto"/>
      </w:divBdr>
    </w:div>
    <w:div w:id="2018724566">
      <w:marLeft w:val="480"/>
      <w:marRight w:val="0"/>
      <w:marTop w:val="0"/>
      <w:marBottom w:val="0"/>
      <w:divBdr>
        <w:top w:val="none" w:sz="0" w:space="0" w:color="auto"/>
        <w:left w:val="none" w:sz="0" w:space="0" w:color="auto"/>
        <w:bottom w:val="none" w:sz="0" w:space="0" w:color="auto"/>
        <w:right w:val="none" w:sz="0" w:space="0" w:color="auto"/>
      </w:divBdr>
    </w:div>
    <w:div w:id="2042585439">
      <w:marLeft w:val="480"/>
      <w:marRight w:val="0"/>
      <w:marTop w:val="0"/>
      <w:marBottom w:val="0"/>
      <w:divBdr>
        <w:top w:val="none" w:sz="0" w:space="0" w:color="auto"/>
        <w:left w:val="none" w:sz="0" w:space="0" w:color="auto"/>
        <w:bottom w:val="none" w:sz="0" w:space="0" w:color="auto"/>
        <w:right w:val="none" w:sz="0" w:space="0" w:color="auto"/>
      </w:divBdr>
    </w:div>
    <w:div w:id="2050104632">
      <w:marLeft w:val="480"/>
      <w:marRight w:val="0"/>
      <w:marTop w:val="0"/>
      <w:marBottom w:val="0"/>
      <w:divBdr>
        <w:top w:val="none" w:sz="0" w:space="0" w:color="auto"/>
        <w:left w:val="none" w:sz="0" w:space="0" w:color="auto"/>
        <w:bottom w:val="none" w:sz="0" w:space="0" w:color="auto"/>
        <w:right w:val="none" w:sz="0" w:space="0" w:color="auto"/>
      </w:divBdr>
    </w:div>
    <w:div w:id="2056543539">
      <w:marLeft w:val="480"/>
      <w:marRight w:val="0"/>
      <w:marTop w:val="0"/>
      <w:marBottom w:val="0"/>
      <w:divBdr>
        <w:top w:val="none" w:sz="0" w:space="0" w:color="auto"/>
        <w:left w:val="none" w:sz="0" w:space="0" w:color="auto"/>
        <w:bottom w:val="none" w:sz="0" w:space="0" w:color="auto"/>
        <w:right w:val="none" w:sz="0" w:space="0" w:color="auto"/>
      </w:divBdr>
    </w:div>
    <w:div w:id="2067482741">
      <w:marLeft w:val="480"/>
      <w:marRight w:val="0"/>
      <w:marTop w:val="0"/>
      <w:marBottom w:val="0"/>
      <w:divBdr>
        <w:top w:val="none" w:sz="0" w:space="0" w:color="auto"/>
        <w:left w:val="none" w:sz="0" w:space="0" w:color="auto"/>
        <w:bottom w:val="none" w:sz="0" w:space="0" w:color="auto"/>
        <w:right w:val="none" w:sz="0" w:space="0" w:color="auto"/>
      </w:divBdr>
    </w:div>
    <w:div w:id="2071883461">
      <w:marLeft w:val="480"/>
      <w:marRight w:val="0"/>
      <w:marTop w:val="0"/>
      <w:marBottom w:val="0"/>
      <w:divBdr>
        <w:top w:val="none" w:sz="0" w:space="0" w:color="auto"/>
        <w:left w:val="none" w:sz="0" w:space="0" w:color="auto"/>
        <w:bottom w:val="none" w:sz="0" w:space="0" w:color="auto"/>
        <w:right w:val="none" w:sz="0" w:space="0" w:color="auto"/>
      </w:divBdr>
    </w:div>
    <w:div w:id="2084181275">
      <w:marLeft w:val="480"/>
      <w:marRight w:val="0"/>
      <w:marTop w:val="0"/>
      <w:marBottom w:val="0"/>
      <w:divBdr>
        <w:top w:val="none" w:sz="0" w:space="0" w:color="auto"/>
        <w:left w:val="none" w:sz="0" w:space="0" w:color="auto"/>
        <w:bottom w:val="none" w:sz="0" w:space="0" w:color="auto"/>
        <w:right w:val="none" w:sz="0" w:space="0" w:color="auto"/>
      </w:divBdr>
    </w:div>
    <w:div w:id="2094428641">
      <w:marLeft w:val="480"/>
      <w:marRight w:val="0"/>
      <w:marTop w:val="0"/>
      <w:marBottom w:val="0"/>
      <w:divBdr>
        <w:top w:val="none" w:sz="0" w:space="0" w:color="auto"/>
        <w:left w:val="none" w:sz="0" w:space="0" w:color="auto"/>
        <w:bottom w:val="none" w:sz="0" w:space="0" w:color="auto"/>
        <w:right w:val="none" w:sz="0" w:space="0" w:color="auto"/>
      </w:divBdr>
    </w:div>
    <w:div w:id="2096660477">
      <w:marLeft w:val="480"/>
      <w:marRight w:val="0"/>
      <w:marTop w:val="0"/>
      <w:marBottom w:val="0"/>
      <w:divBdr>
        <w:top w:val="none" w:sz="0" w:space="0" w:color="auto"/>
        <w:left w:val="none" w:sz="0" w:space="0" w:color="auto"/>
        <w:bottom w:val="none" w:sz="0" w:space="0" w:color="auto"/>
        <w:right w:val="none" w:sz="0" w:space="0" w:color="auto"/>
      </w:divBdr>
    </w:div>
    <w:div w:id="2099211189">
      <w:marLeft w:val="480"/>
      <w:marRight w:val="0"/>
      <w:marTop w:val="0"/>
      <w:marBottom w:val="0"/>
      <w:divBdr>
        <w:top w:val="none" w:sz="0" w:space="0" w:color="auto"/>
        <w:left w:val="none" w:sz="0" w:space="0" w:color="auto"/>
        <w:bottom w:val="none" w:sz="0" w:space="0" w:color="auto"/>
        <w:right w:val="none" w:sz="0" w:space="0" w:color="auto"/>
      </w:divBdr>
    </w:div>
    <w:div w:id="2103526464">
      <w:marLeft w:val="480"/>
      <w:marRight w:val="0"/>
      <w:marTop w:val="0"/>
      <w:marBottom w:val="0"/>
      <w:divBdr>
        <w:top w:val="none" w:sz="0" w:space="0" w:color="auto"/>
        <w:left w:val="none" w:sz="0" w:space="0" w:color="auto"/>
        <w:bottom w:val="none" w:sz="0" w:space="0" w:color="auto"/>
        <w:right w:val="none" w:sz="0" w:space="0" w:color="auto"/>
      </w:divBdr>
    </w:div>
    <w:div w:id="2131705281">
      <w:marLeft w:val="480"/>
      <w:marRight w:val="0"/>
      <w:marTop w:val="0"/>
      <w:marBottom w:val="0"/>
      <w:divBdr>
        <w:top w:val="none" w:sz="0" w:space="0" w:color="auto"/>
        <w:left w:val="none" w:sz="0" w:space="0" w:color="auto"/>
        <w:bottom w:val="none" w:sz="0" w:space="0" w:color="auto"/>
        <w:right w:val="none" w:sz="0" w:space="0" w:color="auto"/>
      </w:divBdr>
    </w:div>
    <w:div w:id="2137873720">
      <w:marLeft w:val="480"/>
      <w:marRight w:val="0"/>
      <w:marTop w:val="0"/>
      <w:marBottom w:val="0"/>
      <w:divBdr>
        <w:top w:val="none" w:sz="0" w:space="0" w:color="auto"/>
        <w:left w:val="none" w:sz="0" w:space="0" w:color="auto"/>
        <w:bottom w:val="none" w:sz="0" w:space="0" w:color="auto"/>
        <w:right w:val="none" w:sz="0" w:space="0" w:color="auto"/>
      </w:divBdr>
    </w:div>
    <w:div w:id="2144496071">
      <w:marLeft w:val="48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image" Target="media/image8.e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emf"/><Relationship Id="rId17" Type="http://schemas.openxmlformats.org/officeDocument/2006/relationships/hyperlink" Target="https://doi.org/10.1007/978-981-96-7925-6_6" TargetMode="External"/><Relationship Id="rId2" Type="http://schemas.openxmlformats.org/officeDocument/2006/relationships/numbering" Target="numbering.xml"/><Relationship Id="rId16" Type="http://schemas.openxmlformats.org/officeDocument/2006/relationships/hyperlink" Target="https://doi.org/10.3390/su172411216"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emf"/><Relationship Id="rId5" Type="http://schemas.openxmlformats.org/officeDocument/2006/relationships/webSettings" Target="webSettings.xml"/><Relationship Id="rId15" Type="http://schemas.openxmlformats.org/officeDocument/2006/relationships/hyperlink" Target="https://doi.org/10.2105/AJPH.85.8_Pt_2.P.164" TargetMode="External"/><Relationship Id="rId10" Type="http://schemas.openxmlformats.org/officeDocument/2006/relationships/image" Target="media/image5.emf"/><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image" Target="media/image4.emf"/><Relationship Id="rId14" Type="http://schemas.openxmlformats.org/officeDocument/2006/relationships/hyperlink" Target="https://doi.org/10.1007/978-3-031-36298-9_6"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e"/>
          <w:gallery w:val="placeholder"/>
        </w:category>
        <w:types>
          <w:type w:val="bbPlcHdr"/>
        </w:types>
        <w:behaviors>
          <w:behavior w:val="content"/>
        </w:behaviors>
        <w:guid w:val="{91200AD6-8D26-48F5-A3EC-0940F0809B0C}"/>
      </w:docPartPr>
      <w:docPartBody>
        <w:p w:rsidR="00C36460" w:rsidRDefault="002558D4">
          <w:r w:rsidRPr="005F4F2C">
            <w:rPr>
              <w:rStyle w:val="Testosegnaposto"/>
            </w:rPr>
            <w:t>Fare clic o toccare qui per immettere il testo.</w:t>
          </w:r>
        </w:p>
      </w:docPartBody>
    </w:docPart>
    <w:docPart>
      <w:docPartPr>
        <w:name w:val="3372C03E3DB94F4EBBC5CC900FFAE10A"/>
        <w:category>
          <w:name w:val="Generale"/>
          <w:gallery w:val="placeholder"/>
        </w:category>
        <w:types>
          <w:type w:val="bbPlcHdr"/>
        </w:types>
        <w:behaviors>
          <w:behavior w:val="content"/>
        </w:behaviors>
        <w:guid w:val="{F5CB847B-CA73-4884-82A5-36F1C2662941}"/>
      </w:docPartPr>
      <w:docPartBody>
        <w:p w:rsidR="00C36460" w:rsidRDefault="002558D4" w:rsidP="002558D4">
          <w:pPr>
            <w:pStyle w:val="3372C03E3DB94F4EBBC5CC900FFAE10A"/>
          </w:pPr>
          <w:r w:rsidRPr="005F4F2C">
            <w:rPr>
              <w:rStyle w:val="Testosegnaposto"/>
            </w:rPr>
            <w:t>Fare clic o toccare qui per immettere il testo.</w:t>
          </w:r>
        </w:p>
      </w:docPartBody>
    </w:docPart>
    <w:docPart>
      <w:docPartPr>
        <w:name w:val="23CA7D05BE74417F850F4B3793F76745"/>
        <w:category>
          <w:name w:val="Generale"/>
          <w:gallery w:val="placeholder"/>
        </w:category>
        <w:types>
          <w:type w:val="bbPlcHdr"/>
        </w:types>
        <w:behaviors>
          <w:behavior w:val="content"/>
        </w:behaviors>
        <w:guid w:val="{8E2230AD-F26A-4973-92E1-1C2FA71F3249}"/>
      </w:docPartPr>
      <w:docPartBody>
        <w:p w:rsidR="00C36460" w:rsidRDefault="002558D4" w:rsidP="002558D4">
          <w:pPr>
            <w:pStyle w:val="23CA7D05BE74417F850F4B3793F76745"/>
          </w:pPr>
          <w:r w:rsidRPr="005F4F2C">
            <w:rPr>
              <w:rStyle w:val="Testosegnaposto"/>
            </w:rPr>
            <w:t>Fare clic o toccare qui per immettere il testo.</w:t>
          </w:r>
        </w:p>
      </w:docPartBody>
    </w:docPart>
    <w:docPart>
      <w:docPartPr>
        <w:name w:val="136EAECFCB0C4569BA0F3E76978B7C69"/>
        <w:category>
          <w:name w:val="Generale"/>
          <w:gallery w:val="placeholder"/>
        </w:category>
        <w:types>
          <w:type w:val="bbPlcHdr"/>
        </w:types>
        <w:behaviors>
          <w:behavior w:val="content"/>
        </w:behaviors>
        <w:guid w:val="{02C083D4-C980-4871-9352-6A948183A908}"/>
      </w:docPartPr>
      <w:docPartBody>
        <w:p w:rsidR="004A7F79" w:rsidRDefault="009D7733" w:rsidP="009D7733">
          <w:pPr>
            <w:pStyle w:val="136EAECFCB0C4569BA0F3E76978B7C69"/>
          </w:pPr>
          <w:r w:rsidRPr="000D25C3">
            <w:rPr>
              <w:rStyle w:val="Testosegnaposto"/>
            </w:rPr>
            <w:t>Fare clic o toccare qui per immettere il testo.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dvP6960">
    <w:altName w:val="Cambria"/>
    <w:panose1 w:val="00000000000000000000"/>
    <w:charset w:val="4D"/>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ptos Narrow">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58D4"/>
    <w:rsid w:val="00043846"/>
    <w:rsid w:val="001A7F71"/>
    <w:rsid w:val="001C4759"/>
    <w:rsid w:val="002558D4"/>
    <w:rsid w:val="00444684"/>
    <w:rsid w:val="004A7F79"/>
    <w:rsid w:val="00622F59"/>
    <w:rsid w:val="00626451"/>
    <w:rsid w:val="00701EC4"/>
    <w:rsid w:val="00742015"/>
    <w:rsid w:val="00770408"/>
    <w:rsid w:val="008D28F8"/>
    <w:rsid w:val="008F55D1"/>
    <w:rsid w:val="009033D7"/>
    <w:rsid w:val="009D7733"/>
    <w:rsid w:val="00A46AB8"/>
    <w:rsid w:val="00C019EF"/>
    <w:rsid w:val="00C36460"/>
    <w:rsid w:val="00E373A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9D7733"/>
    <w:rPr>
      <w:color w:val="666666"/>
    </w:rPr>
  </w:style>
  <w:style w:type="paragraph" w:customStyle="1" w:styleId="3372C03E3DB94F4EBBC5CC900FFAE10A">
    <w:name w:val="3372C03E3DB94F4EBBC5CC900FFAE10A"/>
    <w:rsid w:val="002558D4"/>
  </w:style>
  <w:style w:type="paragraph" w:customStyle="1" w:styleId="23CA7D05BE74417F850F4B3793F76745">
    <w:name w:val="23CA7D05BE74417F850F4B3793F76745"/>
    <w:rsid w:val="002558D4"/>
  </w:style>
  <w:style w:type="paragraph" w:customStyle="1" w:styleId="136EAECFCB0C4569BA0F3E76978B7C69">
    <w:name w:val="136EAECFCB0C4569BA0F3E76978B7C69"/>
    <w:rsid w:val="009D773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76D4EDF-1C22-46CA-A75D-8D5BAE2C69D7}">
  <we:reference id="WA104382081" version="1.55.1.0" store="Omex" storeType="OMEX"/>
  <we:alternateReferences>
    <we:reference id="WA104382081" version="1.55.1.0" store="WA104382081" storeType="OMEX"/>
  </we:alternateReferences>
  <we:properties>
    <we:property name="MENDELEY_BIBLIOGRAPHY_IS_DIRTY" value="false"/>
    <we:property name="MENDELEY_BIBLIOGRAPHY_LAST_MODIFIED" value="1790331927863"/>
    <we:property name="MENDELEY_CITATIONS" value="[{&quot;citationID&quot;:&quot;MENDELEY_CITATION_52dce52f-9cba-495f-97dd-91f58cc121d2&quot;,&quot;properties&quot;:{&quot;noteIndex&quot;:0},&quot;isEdited&quot;:false,&quot;manualOverride&quot;:{&quot;isManuallyOverridden&quot;:false,&quot;citeprocText&quot;:&quot;(Pal et al., 2025)&quot;,&quot;manualOverrideText&quot;:&quot;&quot;},&quot;citationTag&quot;:&quot;MENDELEY_CITATION_v3_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&quot;,&quot;citationItems&quot;:[{&quot;id&quot;:&quot;5c21fe13-4a9f-384c-8cae-47649aafc664&quot;,&quot;itemData&quot;:{&quot;type&quot;:&quot;article-journal&quot;,&quot;id&quot;:&quot;5c21fe13-4a9f-384c-8cae-47649aafc664&quot;,&quot;title&quot;:&quot;Bio-Hydrogen Production from Biomass Feedstocks: Innovations and Sustainable Pathways&quot;,&quot;author&quot;:[{&quot;family&quot;:&quot;Pal&quot;,&quot;given&quot;:&quot;Ramdendra&quot;,&quot;parse-names&quot;:false,&quot;dropping-particle&quot;:&quot;&quot;,&quot;non-dropping-particle&quot;:&quot;&quot;},{&quot;family&quot;:&quot;Pal&quot;,&quot;given&quot;:&quot;Dan Bahadur&quot;,&quot;parse-names&quot;:false,&quot;dropping-particle&quot;:&quot;&quot;,&quot;non-dropping-particle&quot;:&quot;&quot;},{&quot;family&quot;:&quot;Rathoure&quot;,&quot;given&quot;:&quot;Amit Kumar&quot;,&quot;parse-names&quot;:false,&quot;dropping-particle&quot;:&quot;&quot;,&quot;non-dropping-particle&quot;:&quot;&quot;}],&quot;accessed&quot;:{&quot;date-parts&quot;:[[2026,5,5]]},&quot;DOI&quot;:&quot;10.1007/978-981-96-7925-6_6&quot;,&quot;ISBN&quot;:&quot;978-981-96-7925-6&quot;,&quot;ISSN&quot;:&quot;2731-4219&quot;,&quot;URL&quot;:&quot;https://link.springer.com/chapter/10.1007/978-981-96-7925-6_6&quot;,&quot;issued&quot;:{&quot;date-parts&quot;:[[2025]]},&quot;page&quot;:&quot;105-129&quot;,&quot;abstract&quot;:&quot;Hydrogen combustion creates only water vapor, making it one of the greenest and least polluting fuels. This characteristic spurred the concept of a hydrogen-based economy in energy, instead of traditional sources such as oil, gasoline, coal, natural gas, and nuclear...&quot;,&quot;publisher&quot;:&quot;Springer, Singapore&quot;,&quot;container-title-short&quot;:&quot;&quot;},&quot;isTemporary&quot;:false}]},{&quot;citationID&quot;:&quot;MENDELEY_CITATION_593db2b6-f575-42e2-b3dd-4e1d91b5b0dd&quot;,&quot;properties&quot;:{&quot;noteIndex&quot;:0},&quot;isEdited&quot;:false,&quot;manualOverride&quot;:{&quot;isManuallyOverridden&quot;:false,&quot;citeprocText&quot;:&quot;(Mohamed Ashiq et al., 2025)&quot;,&quot;manualOverrideText&quot;:&quot;&quot;},&quot;citationTag&quot;:&quot;MENDELEY_CITATION_v3_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&quot;,&quot;citationItems&quot;:[{&quot;id&quot;:&quot;43a10185-4fbd-3a04-a1ef-946f357a621c&quot;,&quot;itemData&quot;:{&quot;type&quot;:&quot;article-journal&quot;,&quot;id&quot;:&quot;43a10185-4fbd-3a04-a1ef-946f357a621c&quot;,&quot;title&quot;:&quot;Challenges in Operating a Microbial Electrolysis Cell (MEC): Translating Biofilm Activity to Electron Flow and Hydrogen&quot;,&quot;author&quot;:[{&quot;family&quot;:&quot;Mohamed Ashiq&quot;,&quot;given&quot;:&quot;Naufila&quot;,&quot;parse-names&quot;:false,&quot;dropping-particle&quot;:&quot;&quot;,&quot;non-dropping-particle&quot;:&quot;&quot;},{&quot;family&quot;:&quot;Juma Al Rahma Aldarmaki&quot;,&quot;given&quot;:&quot;Alreem Ali&quot;,&quot;parse-names&quot;:false,&quot;dropping-particle&quot;:&quot;&quot;,&quot;non-dropping-particle&quot;:&quot;&quot;},{&quot;family&quot;:&quot;Saif Alketbi&quot;,&quot;given&quot;:&quot;Mariam Salem&quot;,&quot;parse-names&quot;:false,&quot;dropping-particle&quot;:&quot;&quot;,&quot;non-dropping-particle&quot;:&quot;&quot;},{&quot;family&quot;:&quot;Abdullah Alshehhi&quot;,&quot;given&quot;:&quot;Haya Aadel&quot;,&quot;parse-names&quot;:false,&quot;dropping-particle&quot;:&quot;&quot;,&quot;non-dropping-particle&quot;:&quot;&quot;},{&quot;family&quot;:&quot;Obaid Alkaabi&quot;,&quot;given&quot;:&quot;Alreem Salem&quot;,&quot;parse-names&quot;:false,&quot;dropping-particle&quot;:&quot;&quot;,&quot;non-dropping-particle&quot;:&quot;&quot;},{&quot;family&quot;:&quot;Mubarak Saeed Alshamsi&quot;,&quot;given&quot;:&quot;Noura Suhail&quot;,&quot;parse-names&quot;:false,&quot;dropping-particle&quot;:&quot;&quot;,&quot;non-dropping-particle&quot;:&quot;&quot;},{&quot;family&quot;:&quot;Aly Hassan&quot;,&quot;given&quot;:&quot;Ashraf&quot;,&quot;parse-names&quot;:false,&quot;dropping-particle&quot;:&quot;&quot;,&quot;non-dropping-particle&quot;:&quot;&quot;}],&quot;container-title&quot;:&quot;Sustainability&quot;,&quot;container-title-short&quot;:&quot;Sustainability&quot;,&quot;accessed&quot;:{&quot;date-parts&quot;:[[2026,5,5]]},&quot;DOI&quot;:&quot;10.3390/su172411216&quot;,&quot;ISSN&quot;:&quot;2071-1050&quot;,&quot;URL&quot;:&quot;https://www.mdpi.com/2071-1050/17/24/11216&quot;,&quot;issued&quot;:{&quot;date-parts&quot;:[[2025,12,15]]},&quot;page&quot;:&quot;11216&quot;,&quot;abstract&quot;:&quot;&lt;p&gt;Microbial electrolysis cells (MECs) are bioreactors that utilize electroactive microorganisms to catalyze the oxidation of organic substrates in wastewater, generating electron flow for hydrogen production. Despite the concept, a persistent performance gap exists where metabolically active anodic biofilms frequently fail to achieve expected current densities by the flow of electrons to produce hydrogen. This review examines the multiple causes that lead to the disconnect between robust biofilm development, electron transfer, and hydrogen production. Factors affecting biofilm generation (formation, substrate selection, thickness, conductivity, and heterogeneity) are discussed. Moreover, factors affecting electron transfer (electrode configuration, mass transfer constraints, key electroactive species, and metabolic pathways) are discussed. Also, substrate diffusion limitations, proton accumulation causing inhibitory pH gradients in stratified biofilms, elevated internal resistance, electron diversion to competing processes like hydrogenotrophic methanogenesis consuming H2, and detrimental biofilm aging, impacting hydrogen production, are studied. The critical roles of electrode materials, reactor configuration, and biofilm electroactivity are analyzed, emphasizing advanced electrochemical (CV, EIS, LSV), imaging (CLSM, SEM, AFM), and omics (metagenomics, transcriptomics, proteomics) techniques essential for diagnosing bottlenecks. Strategies to enhance extracellular electron transfer (EET) (advanced nanomaterials, redox mediators, conductive polymers, bioaugmentation, and pulsed electrical operation) are evaluated for bridging this performance gap and improving energy recovery. The review presents an integrated framework connecting biofilm electroactivity, EET kinetics, and hydrogen evolution efficiency. It highlights that conventional biofilm metrics may not reflect actual electron flow. Combining electrochemical, microelectrode, and omics insights allows precise evaluation of EET efficiency and supports sustainable MEC optimization for enhanced hydrogen generation.&lt;/p&gt;&quot;,&quot;publisher&quot;:&quot;Multidisciplinary Digital Publishing Institute&quot;,&quot;issue&quot;:&quot;24&quot;,&quot;volume&quot;:&quot;17&quot;},&quot;isTemporary&quot;:false}]},{&quot;citationID&quot;:&quot;MENDELEY_CITATION_c79eb3c3-7a37-48e5-9304-ac050be4503c&quot;,&quot;properties&quot;:{&quot;noteIndex&quot;:0},&quot;isEdited&quot;:false,&quot;manualOverride&quot;:{&quot;isManuallyOverridden&quot;:false,&quot;citeprocText&quot;:&quot;(Ganguly et al., 2025)&quot;,&quot;manualOverrideText&quot;:&quot;&quot;},&quot;citationTag&quot;:&quot;MENDELEY_CITATION_v3_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&quot;,&quot;citationItems&quot;:[{&quot;id&quot;:&quot;1434ba5f-6fa7-398e-acb5-760ad2d98ce1&quot;,&quot;itemData&quot;:{&quot;type&quot;:&quot;article-journal&quot;,&quot;id&quot;:&quot;1434ba5f-6fa7-398e-acb5-760ad2d98ce1&quot;,&quot;title&quot;:&quot;Techno-economic and life cycle analysis of bio-hydrogen production using bio-based waste streams through the integration of dark fermentation and microbial electrolysis&quot;,&quot;author&quot;:[{&quot;family&quot;:&quot;Ganguly&quot;,&quot;given&quot;:&quot;Arna&quot;,&quot;parse-names&quot;:false,&quot;dropping-particle&quot;:&quot;&quot;,&quot;non-dropping-particle&quot;:&quot;&quot;},{&quot;family&quot;:&quot;Sun&quot;,&quot;given&quot;:&quot;Pingping&quot;,&quot;parse-names&quot;:false,&quot;dropping-particle&quot;:&quot;&quot;,&quot;non-dropping-particle&quot;:&quot;&quot;},{&quot;family&quot;:&quot;Liu&quot;,&quot;given&quot;:&quot;Xinyu&quot;,&quot;parse-names&quot;:false,&quot;dropping-particle&quot;:&quot;&quot;,&quot;non-dropping-particle&quot;:&quot;&quot;},{&quot;family&quot;:&quot;Delgado&quot;,&quot;given&quot;:&quot;Hernan E.&quot;,&quot;parse-names&quot;:false,&quot;dropping-particle&quot;:&quot;&quot;,&quot;non-dropping-particle&quot;:&quot;&quot;},{&quot;family&quot;:&quot;Sun&quot;,&quot;given&quot;:&quot;Lili&quot;,&quot;parse-names&quot;:false,&quot;dropping-particle&quot;:&quot;&quot;,&quot;non-dropping-particle&quot;:&quot;&quot;},{&quot;family&quot;:&quot;Elgowainy&quot;,&quot;given&quot;:&quot;Amgad&quot;,&quot;parse-names&quot;:false,&quot;dropping-particle&quot;:&quot;&quot;,&quot;non-dropping-particle&quot;:&quot;&quot;}],&quot;container-title&quot;:&quot;Green Chemistry&quot;,&quot;accessed&quot;:{&quot;date-parts&quot;:[[2026,5,5]]},&quot;DOI&quot;:&quot;10.1039/D4GC05020G&quot;,&quot;ISSN&quot;:&quot;1463-9270&quot;,&quot;URL&quot;:&quot;https://pubs.rsc.org/en/content/articlehtml/2025/gc/d4gc05020g&quot;,&quot;issued&quot;:{&quot;date-parts&quot;:[[2025,5,27]]},&quot;page&quot;:&quot;6213-6231&quot;,&quot;abstract&quot;:&quot;Hydrogen derived from bio-based sources, or biohydrogen (bioH2), has the potential to reduce GHG emissions from industrial and transportation sectors, owing to the low carbon footprint and myriad applications like refinery operation, ammonia production, steel production, fuel cell, etc. To evaluate the commercialization potential of bioH2 production, we modeled bioH2 production and conducted techno-economic analysis (TEA) and life cycle analysis (LCA) of two facilities producing 50 metric tonnes of bioH2 per day from cheese whey (CW) and solid food waste (SFW) through the integration of dark fermentation (DF) and microbial electrolysis cell (MEC) technologies. LCA results showed that CW and SFW can produce carbon-negative bioH2, with emissions of −8.6 and −8.0 kg GHG kg−1 bioH2 with carbon sequestration and renewable electricity resources, respectively, making bioH2 potentially eligible for a tax credit of $3 kg−1 H2 based on provision 45 V of the U.S. Inflation Reduction Act (IRA). In this study, bioH2 production treats waste streams to generate fresh water, thus, potentially can receive waste water treatment fee that varies with regions. The MEC capital cost dominates the bioH2 cost, which is mainly determined by current density. With a current density of 20 A m−2, the production cost for CW input varied between $17 and $24 kg−1 bioH2, while that for SFW input ranged from $29 to $30 kg−1 bioH2 under different operating conditions, considering the 45 V tax credit, waste water treatment fee and production revenue. If the current density increases to 100 A m−2, the bioH2 cost decreases to a range of $4.0–$6.9 for CW and $5–$6 for SFW scenarios. This study also shows that low-cost bioH2 can be produced using CW waste stream as feedstock.&quot;,&quot;publisher&quot;:&quot;The Royal Society of Chemistry&quot;,&quot;issue&quot;:&quot;21&quot;,&quot;volume&quot;:&quot;27&quot;,&quot;container-title-short&quot;:&quot;&quot;},&quot;isTemporary&quot;:false}]},{&quot;citationID&quot;:&quot;MENDELEY_CITATION_f260d7b2-1bdf-424c-9351-7f17d9358025&quot;,&quot;properties&quot;:{&quot;noteIndex&quot;:0},&quot;isEdited&quot;:false,&quot;manualOverride&quot;:{&quot;isManuallyOverridden&quot;:false,&quot;citeprocText&quot;:&quot;(Alcaraz-Gonzalez et al., 2023; Marchetti, Sassetto, et al., 2026)&quot;,&quot;manualOverrideText&quot;:&quot;&quot;},&quot;citationItems&quot;:[{&quot;id&quot;:&quot;223bc9e8-f5b5-3b75-ad30-3e7e4e64eafa&quot;,&quot;itemData&quot;:{&quot;type&quot;:&quot;article-journal&quot;,&quot;id&quot;:&quot;223bc9e8-f5b5-3b75-ad30-3e7e4e64eafa&quot;,&quot;title&quot;:&quot;Microbial Electrolysis Cells for Biohydrogen Generation and Wastewater Treatment—A Short Review and Current Trends&quot;,&quot;author&quot;:[{&quot;family&quot;:&quot;Alcaraz-Gonzalez&quot;,&quot;given&quot;:&quot;Victor&quot;,&quot;parse-names&quot;:false,&quot;dropping-particle&quot;:&quot;&quot;,&quot;non-dropping-particle&quot;:&quot;&quot;},{&quot;family&quot;:&quot;Flores-Estrella&quot;,&quot;given&quot;:&quot;René Alejandro&quot;,&quot;parse-names&quot;:false,&quot;dropping-particle&quot;:&quot;&quot;,&quot;non-dropping-particle&quot;:&quot;&quot;},{&quot;family&quot;:&quot;Nolasco&quot;,&quot;given&quot;:&quot;Marcelo&quot;,&quot;parse-names&quot;:false,&quot;dropping-particle&quot;:&quot;&quot;,&quot;non-dropping-particle&quot;:&quot;&quot;},{&quot;family&quot;:&quot;Cano&quot;,&quot;given&quot;:&quot;Vitor&quot;,&quot;parse-names&quot;:false,&quot;dropping-particle&quot;:&quot;&quot;,&quot;non-dropping-particle&quot;:&quot;&quot;},{&quot;family&quot;:&quot;González-Alvarez&quot;,&quot;given&quot;:&quot;Victor&quot;,&quot;parse-names&quot;:false,&quot;dropping-particle&quot;:&quot;&quot;,&quot;non-dropping-particle&quot;:&quot;&quot;}],&quot;accessed&quot;:{&quot;date-parts&quot;:[[2025,7,21]]},&quot;DOI&quot;:&quot;10.1007/978-3-031-36298-9_6&quot;,&quot;ISBN&quot;:&quot;978-3-031-36298-9&quot;,&quot;ISSN&quot;:&quot;2731-3174&quot;,&quot;URL&quot;:&quot;https://link.springer.com/chapter/10.1007/978-3-031-36298-9_6&quot;,&quot;issued&quot;:{&quot;date-parts&quot;:[[2023]]},&quot;page&quot;:&quot;73-85&quot;,&quot;abstract&quot;:&quot;The world growing population and industrial activities are demanding energy at increasing rates in the last decades. It is well known that the demand for hydrocarbons, which are one of the most energy sources used today, exceeds the reserves forecast for the next...&quot;,&quot;publisher&quot;:&quot;Springer, Cham&quot;,&quot;container-title-short&quot;:&quot;&quot;},&quot;isTemporary&quot;:false},{&quot;id&quot;:&quot;1c7006ab-14bd-3fa5-a2e4-0ec460ae7941&quot;,&quot;itemData&quot;:{&quot;type&quot;:&quot;article-journal&quot;,&quot;id&quot;:&quot;1c7006ab-14bd-3fa5-a2e4-0ec460ae7941&quot;,&quot;title&quot;:&quot;From Wastewater to Bio-Hydrogen: Advancing Microbial Electrolysis Cells Through Challenges, Innovations, and Process Integration&quot;,&quot;author&quot;:[{&quot;family&quot;:&quot;Marchetti&quot;,&quot;given&quot;:&quot;Angela&quot;,&quot;parse-names&quot;:false,&quot;dropping-particle&quot;:&quot;&quot;,&quot;non-dropping-particle&quot;:&quot;&quot;},{&quot;family&quot;:&quot;Sassetto&quot;,&quot;given&quot;:&quot;Geremia&quot;,&quot;parse-names&quot;:false,&quot;dropping-particle&quot;:&quot;&quot;,&quot;non-dropping-particle&quot;:&quot;&quot;},{&quot;family&quot;:&quot;Cabras&quot;,&quot;given&quot;:&quot;Daniele&quot;,&quot;parse-names&quot;:false,&quot;dropping-particle&quot;:&quot;&quot;,&quot;non-dropping-particle&quot;:&quot;&quot;},{&quot;family&quot;:&quot;Hosseini&quot;,&quot;given&quot;:&quot;Seyedmehdi&quot;,&quot;parse-names&quot;:false,&quot;dropping-particle&quot;:&quot;&quot;,&quot;non-dropping-particle&quot;:&quot;&quot;},{&quot;family&quot;:&quot;Milia&quot;,&quot;given&quot;:&quot;Stefano&quot;,&quot;parse-names&quot;:false,&quot;dropping-particle&quot;:&quot;&quot;,&quot;non-dropping-particle&quot;:&quot;&quot;},{&quot;family&quot;:&quot;Zeppilli&quot;,&quot;given&quot;:&quot;Marco&quot;,&quot;parse-names&quot;:false,&quot;dropping-particle&quot;:&quot;&quot;,&quot;non-dropping-particle&quot;:&quot;&quot;}],&quot;container-title&quot;:&quot;Hydrogen&quot;,&quot;DOI&quot;:&quot;10.3390/hydrogen7020085&quot;,&quot;ISSN&quot;:&quot;2673-4141&quot;,&quot;URL&quot;:&quot;https://www.mdpi.com/2673-4141/7/2/85&quot;,&quot;issued&quot;:{&quot;date-parts&quot;:[[2026,6,19]]},&quot;page&quot;:&quot;85&quot;,&quot;abstract&quot;:&quot;&lt;p&gt;The growing demand for sustainable energy carriers has intensified interest in hydrogen production from renewable resources and waste-derived substrates. In this context, microbial electrolysis cells (MECs) have emerged as a promising technology for the simultaneous treatment of organic waste and biohydrogen generation. This review provides an overview of recent advances in MEC systems, focusing on reactor configurations, performance indicators such as hydrogen production rate, coulombic efficiency, and chemical oxygen demand removal. Attention is given to the valorization of real waste streams, including municipal and agro-industrial effluents, highlighting the differences between laboratory- and pilot-scale applications. While numerous studies have demonstrated the technical feasibility of MECs, several bottlenecks still limit their large-scale implementation, including challenges associated with the use of complex substrates. In particular, untreated wastewater often leads to reduced process efficiency due to its variable composition and the occurrence of competing microbial pathways. To overcome these limitations, integrated approaches are also discussed, with emphasis on the coupling of dark fermentation, capable of enhancing substrate biodegradability through the production of volatile fatty acids, with MEC systems. Overall, MEC technology represents a promising pathway for sustainable hydrogen production within circular waste management frameworks, although further advancements are required to enable its practical application.&lt;/p&gt;&quot;,&quot;issue&quot;:&quot;2&quot;,&quot;volume&quot;:&quot;7&quot;},&quot;isTemporary&quot;:false}],&quot;citationTag&quot;:&quot;MENDELEY_CITATION_v3_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&quot;},{&quot;citationID&quot;:&quot;MENDELEY_CITATION_0c8d8e9e-a027-4787-83bb-f021ba11b3f3&quot;,&quot;properties&quot;:{&quot;noteIndex&quot;:0},&quot;isEdited&quot;:false,&quot;manualOverride&quot;:{&quot;isManuallyOverridden&quot;:false,&quot;citeprocText&quot;:&quot;(Colantoni et al., 2025; Stoller et al., 2019)&quot;,&quot;manualOverrideText&quot;:&quot;&quot;},&quot;citationItems&quot;:[{&quot;id&quot;:&quot;c455f49b-427e-3f84-8bf8-07a5bf479251&quot;,&quot;itemData&quot;:{&quot;type&quot;:&quot;article-journal&quot;,&quot;id&quot;:&quot;c455f49b-427e-3f84-8bf8-07a5bf479251&quot;,&quot;title&quot;:&quot;Towards the industrial application of microbial electrolysis cells for hydrogen production: a critical review on cell’s components&quot;,&quot;author&quot;:[{&quot;family&quot;:&quot;Colantoni&quot;,&quot;given&quot;:&quot;Simone&quot;,&quot;parse-names&quot;:false,&quot;dropping-particle&quot;:&quot;&quot;,&quot;non-dropping-particle&quot;:&quot;&quot;},{&quot;family&quot;:&quot;Marchetti&quot;,&quot;given&quot;:&quot;Angela&quot;,&quot;parse-names&quot;:false,&quot;dropping-particle&quot;:&quot;&quot;,&quot;non-dropping-particle&quot;:&quot;&quot;},{&quot;family&quot;:&quot;Zeppilli&quot;,&quot;given&quot;:&quot;Marco&quot;,&quot;parse-names&quot;:false,&quot;dropping-particle&quot;:&quot;&quot;,&quot;non-dropping-particle&quot;:&quot;&quot;},{&quot;family&quot;:&quot;Cristiani&quot;,&quot;given&quot;:&quot;Lorenzo&quot;,&quot;parse-names&quot;:false,&quot;dropping-particle&quot;:&quot;&quot;,&quot;non-dropping-particle&quot;:&quot;&quot;}],&quot;container-title&quot;:&quot;Environmental Chemistry and Safety&quot;,&quot;accessed&quot;:{&quot;date-parts&quot;:[[2026,9,15]]},&quot;DOI&quot;:&quot;10.26599/ECS.2025.9600019&quot;,&quot;ISSN&quot;:&quot;2097-5740&quot;,&quot;URL&quot;:&quot;https://www.sciopen.com/article/10.26599/ECS.2025.9600019&quot;,&quot;issued&quot;:{&quot;date-parts&quot;:[[2025,12]]},&quot;page&quot;:&quot;9600019&quot;,&quot;abstract&quot;:&quot;During the last 20 years, Bioelectrochemical Systems (BES) have been studied as an environmentally friendly technology. These systems exploit the ability of peculiar microorganisms to interact with solid state electrodes by exchanging electrons. A type of BES is represented by a Microbial Electrolysis Cell (MEC), mostly used for hydrogen production while abating organic waste. This review underlines the steps needed to reach industrial readiness of MEC technology. Bioanodes, responsible for the electricity generation, suffer from low conductivity of the biocompatible and low cost materials. Even if steps were made to enhance the performance and, reaching a stable current density of 12 A/m 2 using real wastewater, the scalability and stability of bioanodes remain issues. Unfortunately, there are biological limits that cannot be overcome. However, there is still a lot of space for improvements. Cathodes are fundamental for hydrogen production. Research on cathodes has focused on affordable and durable materials like stainless steel, which in some configurations can reach the performance of platinum without its susceptibility to poisoning. Various strategies have improved hydrogen capture efficiency and reduced contamination by methanogens. Sep-arators are essential for compartmentalizing the system, but are usually expensive and, as reported, prone to operational issues such as biofouling and pH split. We report new alternatives, including porous membranes or cellophane, which may help reduce costs and enhance performance. In our view, developing materials and conducting standardized tests under realistic conditions are critical steps toward making MECs commercially viable for sustainable hydrogen production. The scaling up step is still missing , even if in recent years some attempts were made by a few research groups reaching volumes of 1 m 3. Perhaps in the coming years MECs will support the circular economy, but at the current state of the art, they are still not cost-effective. On the other hand, we aim to help the scientific community remove the last barrier that separates MECs from industrial scale-up by reporting information and giving a rough but fair opinion on how this should be achieved. Citation: Colantoni S, Marchetti A, Zeppilli M, et al. Towards the industrial application of microbial electrolysis cells for hydrogen production: a critical review on cell's components. Environmental Chemistry and Safety, 2025, 1, 9600019. https://doi.&quot;,&quot;issue&quot;:&quot;3&quot;,&quot;volume&quot;:&quot;1&quot;},&quot;isTemporary&quot;:false},{&quot;id&quot;:&quot;656cc920-92fa-334c-ab91-20d0f7c5bb4a&quot;,&quot;itemData&quot;:{&quot;type&quot;:&quot;article-journal&quot;,&quot;id&quot;:&quot;656cc920-92fa-334c-ab91-20d0f7c5bb4a&quot;,&quot;title&quot;:&quot;On the effect of specific boundary flux parameters on membrane process design&quot;,&quot;author&quot;:[{&quot;family&quot;:&quot;Stoller&quot;,&quot;given&quot;:&quot;M.&quot;,&quot;parse-names&quot;:false,&quot;dropping-particle&quot;:&quot;&quot;,&quot;non-dropping-particle&quot;:&quot;&quot;},{&quot;family&quot;:&quot;Marchetti&quot;,&quot;given&quot;:&quot;A.&quot;,&quot;parse-names&quot;:false,&quot;dropping-particle&quot;:&quot;&quot;,&quot;non-dropping-particle&quot;:&quot;&quot;},{&quot;family&quot;:&quot;Ochando Pulido&quot;,&quot;given&quot;:&quot;J.M.&quot;,&quot;parse-names&quot;:false,&quot;dropping-particle&quot;:&quot;&quot;,&quot;non-dropping-particle&quot;:&quot;&quot;}],&quot;container-title&quot;:&quot;Chemical Engineering Transactions&quot;,&quot;container-title-short&quot;:&quot;Chem. Eng. Trans.&quot;,&quot;DOI&quot;:&quot;10.3303/CET1974115&quot;,&quot;ISSN&quot;:&quot;22839216&quot;,&quot;issued&quot;:{&quot;date-parts&quot;:[[2019]]},&quot;abstract&quot;:&quot;Copyright © 2019, AIDIC Servizi S.r.l. The boundary flux concept permits to describe the fouling behaviour of membrane systems as a function of the operating time. The method relies on a set of equations that is possible to integrate in time, thus permitting to evaluate the separation process outcome and performances. This study focuses on the relationship between the membrane area requirements and specific parameters of the boundary flux concept on different membrane systems characterized by different waste feed streams and operating conditions. The target of the analysis was to identify which parameters of the boundary flux equations are the most influent one on the membrane area requirements. The knowledge of the relevant parameters can strongly assist membrane process designers to minimize the capex of the developed plants. The study was performed on many different systems, available in literature, and at different operating conditions. The adopted procedure was as follows: 1. in a first step, by using infinite membrane area, the maximum recovery value Ymax of a specific membrane separation process was determined. 2. afterwards, the separation target was equally fixed at volume unity of feed (1 m3) produced during time unity (1 h) at three different recovery values, that is Y equal to 50% Ymax, 75% Ymax and 90% Ymax, respectively. The required membrane area below boundary conditions and no irreversible fouling formation was calculated by means of the simulation code, using a Newtonian trial&amp;error procedure.&quot;,&quot;volume&quot;:&quot;74&quot;},&quot;isTemporary&quot;:false}],&quot;citationTag&quot;:&quot;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&quot;},{&quot;citationID&quot;:&quot;MENDELEY_CITATION_a002adc4-4ee3-4e6e-acf9-aab4763535b3&quot;,&quot;properties&quot;:{&quot;noteIndex&quot;:0},&quot;isEdited&quot;:false,&quot;manualOverride&quot;:{&quot;isManuallyOverridden&quot;:false,&quot;citeprocText&quot;:&quot;(Zainal et al., 2024)&quot;,&quot;manualOverrideText&quot;:&quot;&quot;},&quot;citationTag&quot;:&quot;MENDELEY_CITATION_v3_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&quot;,&quot;citationItems&quot;:[{&quot;id&quot;:&quot;487668ba-53cf-3f92-ad82-28d5f8c06293&quot;,&quot;itemData&quot;:{&quot;type&quot;:&quot;article-journal&quot;,&quot;id&quot;:&quot;487668ba-53cf-3f92-ad82-28d5f8c06293&quot;,&quot;title&quot;:&quot;Recent advancement and assessment of green hydrogen production technologies&quot;,&quot;author&quot;:[{&quot;family&quot;:&quot;Zainal&quot;,&quot;given&quot;:&quot;Bidattul Syirat&quot;,&quot;parse-names&quot;:false,&quot;dropping-particle&quot;:&quot;&quot;,&quot;non-dropping-particle&quot;:&quot;&quot;},{&quot;family&quot;:&quot;Ker&quot;,&quot;given&quot;:&quot;Pin Jern&quot;,&quot;parse-names&quot;:false,&quot;dropping-particle&quot;:&quot;&quot;,&quot;non-dropping-particle&quot;:&quot;&quot;},{&quot;family&quot;:&quot;Mohamed&quot;,&quot;given&quot;:&quot;Hassan&quot;,&quot;parse-names&quot;:false,&quot;dropping-particle&quot;:&quot;&quot;,&quot;non-dropping-particle&quot;:&quot;&quot;},{&quot;family&quot;:&quot;Ong&quot;,&quot;given&quot;:&quot;Hwai Chyuan&quot;,&quot;parse-names&quot;:false,&quot;dropping-particle&quot;:&quot;&quot;,&quot;non-dropping-particle&quot;:&quot;&quot;},{&quot;family&quot;:&quot;Fattah&quot;,&quot;given&quot;:&quot;I. M.R.&quot;,&quot;parse-names&quot;:false,&quot;dropping-particle&quot;:&quot;&quot;,&quot;non-dropping-particle&quot;:&quot;&quot;},{&quot;family&quot;:&quot;Rahman&quot;,&quot;given&quot;:&quot;S. M.Ashrafur&quot;,&quot;parse-names&quot;:false,&quot;dropping-particle&quot;:&quot;&quot;,&quot;non-dropping-particle&quot;:&quot;&quot;},{&quot;family&quot;:&quot;Nghiem&quot;,&quot;given&quot;:&quot;Long D.&quot;,&quot;parse-names&quot;:false,&quot;dropping-particle&quot;:&quot;&quot;,&quot;non-dropping-particle&quot;:&quot;&quot;},{&quot;family&quot;:&quot;Mahlia&quot;,&quot;given&quot;:&quot;T. M.Indra&quot;,&quot;parse-names&quot;:false,&quot;dropping-particle&quot;:&quot;&quot;,&quot;non-dropping-particle&quot;:&quot;&quot;}],&quot;container-title&quot;:&quot;Renewable and Sustainable Energy Reviews&quot;,&quot;accessed&quot;:{&quot;date-parts&quot;:[[2025,3,15]]},&quot;DOI&quot;:&quot;10.1016/J.RSER.2023.113941&quot;,&quot;ISSN&quot;:&quot;1364-0321&quot;,&quot;issued&quot;:{&quot;date-parts&quot;:[[2024,1,1]]},&quot;page&quot;:&quot;113941&quot;,&quot;abstract&quot;:&quot;Hydrogen energy has garnered substantial support from industry, government, and the public, positioning it as a pivotal future fuel source. However, its commercial realisation faces significant hurdles, including slow infrastructure growth and the high cost of producing clean hydrogen. This review uniquely emphasises the different colour codes of hydrogen, which have been rarely discussed in the literature to date. Hydrogen production methods are classified by colour codes, with green hydrogen, produced from renewable sources such as wind and solar, being the most desirable option. The demand for green hydrogen across various sectors is expected to surge. This review comprehensively evaluates the major hydrogen production methods based on cost, environmental impact, and technological maturity. Recent data confirm the increased efficiency, cost-competitiveness, and scalability of green hydrogen production technologies. The cost of green hydrogen has declined significantly, making it competitive with blue hydrogen (produced from fossil fuels with carbon capture). The review also scrutinises several recent hydrogen production technologies, highlighting their advantages, disadvantages, and technological readiness. Among these, the solid oxide electrolysis cell (SOEC) currently outperforms others, with anion exchange membrane (AEM) and electrified steam methane reforming (ESMR) also showing promise. This review also succinctly summarises global progress in hydrogen infrastructure and policies. By spotlighting the diverse colour codes of hydrogen and discussing the crucial takeaways and implications for the future, this review offers a comprehensive overview of the hydrogen energy landscape. This unique focus enriches the literature and enhances our understanding of hydrogen as a promising energy source.&quot;,&quot;publisher&quot;:&quot;Pergamon&quot;,&quot;volume&quot;:&quot;189&quot;,&quot;container-title-short&quot;:&quot;&quot;},&quot;isTemporary&quot;:false}]},{&quot;citationID&quot;:&quot;MENDELEY_CITATION_c5f432ed-a67f-4bc6-b3b6-631e9a9c02fd&quot;,&quot;properties&quot;:{&quot;noteIndex&quot;:0},&quot;isEdited&quot;:false,&quot;manualOverride&quot;:{&quot;isManuallyOverridden&quot;:false,&quot;citeprocText&quot;:&quot;(Marchetti, Valentino, et al., 2026)&quot;,&quot;manualOverrideText&quot;:&quot;&quot;},&quot;citationTag&quot;:&quot;MENDELEY_CITATION_v3_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&quot;,&quot;citationItems&quot;:[{&quot;id&quot;:&quot;48899d05-1d51-30b6-9b82-96065f92f783&quot;,&quot;itemData&quot;:{&quot;type&quot;:&quot;article-journal&quot;,&quot;id&quot;:&quot;48899d05-1d51-30b6-9b82-96065f92f783&quot;,&quot;title&quot;:&quot;Rapid screening approach to evaluate MEC performance for biohydrogen production using synthetic and real organic waste-derived substrates&quot;,&quot;author&quot;:[{&quot;family&quot;:&quot;Marchetti&quot;,&quot;given&quot;:&quot;Angela&quot;,&quot;parse-names&quot;:false,&quot;dropping-particle&quot;:&quot;&quot;,&quot;non-dropping-particle&quot;:&quot;&quot;},{&quot;family&quot;:&quot;Valentino&quot;,&quot;given&quot;:&quot;Francesco&quot;,&quot;parse-names&quot;:false,&quot;dropping-particle&quot;:&quot;&quot;,&quot;non-dropping-particle&quot;:&quot;&quot;},{&quot;family&quot;:&quot;Gottardo&quot;,&quot;given&quot;:&quot;Marco&quot;,&quot;parse-names&quot;:false,&quot;dropping-particle&quot;:&quot;&quot;,&quot;non-dropping-particle&quot;:&quot;&quot;},{&quot;family&quot;:&quot;Zeppilli&quot;,&quot;given&quot;:&quot;Marco&quot;,&quot;parse-names&quot;:false,&quot;dropping-particle&quot;:&quot;&quot;,&quot;non-dropping-particle&quot;:&quot;&quot;}],&quot;container-title&quot;:&quot;Sustainable Energy Technologies and Assessments&quot;,&quot;accessed&quot;:{&quot;date-parts&quot;:[[2026,8,24]]},&quot;DOI&quot;:&quot;10.1016/J.SETA.2026.105351&quot;,&quot;ISSN&quot;:&quot;2213-1388&quot;,&quot;URL&quot;:&quot;https://linkinghub.elsevier.com/retrieve/pii/S2213138826005370&quot;,&quot;issued&quot;:{&quot;date-parts&quot;:[[2026,9,1]]},&quot;page&quot;:&quot;105351&quot;,&quot;abstract&quot;:&quot;•Rapid screening approach enables fast identification of optimal MEC operating window.•Hydraulic screening rapidly identified performance plateaus (for D ≥ 13.7 d-1).•Near-complete electron recovery into hydrogen (CCE≈ 100%) was achieved in all cases.•Dual-cathode vs single: current density (max + 46%) and ηE (max + 32%) improvement.In this study, a rapid screening strategy was developed to accelerate the identification of optimal operating conditions in dual-cathode microbial electrolysis cells (MECs) for hydrogen production from synthetic and real waste-derived substrates. The approach consisted of progressively increasing the hydraulic loading while evaluating system performance through current production, CODremoval efficiency, hydrogen recovery, and electrochemical efficiencies, enabling rapid identification of operational boundaries and the onset of the performance plateau, guiding the selection of the most fitting operating regime for subsequent steady-state investigations. The real substrate, obtained from dark fermentation of food waste and sewage sludge, exhibited a high organic acid content (82% OA/CODsol) and a low redox potential (≈ −0.278 V vs SHE), confirming its suitability for bioelectrochemical conversion. The dual-cathode configuration achieved complete cathodic electron recovery into hydrogen (CCE ≈ 100%) demonstrating performance improvements, consistent with those expected from enhanced cathodic architecture. Finally, potentiostatic polarization further characterized the electrochemical response of the bioanode. Combined with the proposed screening methodology, these results provide a practical framework for rapidly assessing MEC performance and selecting promising operating conditions before more detailed long-term investigations and scale-up.In this study, a rapid screening strategy was developed to accelerate the identification of optimal operating conditions in dual-cathode microbial electrolysis cells (MECs) for hydrogen production from synthetic and real waste-derived substrates. The approach consisted of progressively increasing the hydraulic loading while evaluating system performance through current production, CODremoval efficiency, hydrogen recovery, and electrochemical efficiencies, enabling rapid identification of operational boundaries and the onset of the performance plateau, guiding the selection of the most fitting operating regime for subsequent steady-state investigations. The real substrate, obtained from dark fermentation of food waste and sewage sludge, exhibited a high organic acid content (82% OA/CODsol) and a low redox potential (≈ −0.278 V vs SHE), confirming its suitability for bioelectrochemical conversion. The dual-cathode configuration achieved complete cathodic electron recovery into hydrogen (CCE ≈ 100%) demonstrating performance improvements, consistent with those expected from enhanced cathodic architecture. Finally, potentiostatic polarization further characterized the electrochemical response of the bioanode. Combined with the proposed screening methodology, these results provide a practical framework for rapidly assessing MEC performance and selecting promising operating conditions before more detailed long-term investigations and scale-up.Download: Download high-res image (144KB)Download: Download full-size image&quot;,&quot;publisher&quot;:&quot;Elsevier&quot;,&quot;volume&quot;:&quot;93&quot;,&quot;container-title-short&quot;:&quot;&quot;},&quot;isTemporary&quot;:false}]},{&quot;citationID&quot;:&quot;MENDELEY_CITATION_fd24bea1-4fe3-4f50-b6a7-ca932e17d159&quot;,&quot;properties&quot;:{&quot;noteIndex&quot;:0},&quot;isEdited&quot;:false,&quot;manualOverride&quot;:{&quot;isManuallyOverridden&quot;:false,&quot;citeprocText&quot;:&quot;(Marsili et al., 2008)&quot;,&quot;manualOverrideText&quot;:&quot;&quot;},&quot;citationTag&quot;:&quot;MENDELEY_CITATION_v3_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&quot;,&quot;citationItems&quot;:[{&quot;id&quot;:&quot;6e16bd45-f33d-3c2a-b675-89f9da19b20f&quot;,&quot;itemData&quot;:{&quot;type&quot;:&quot;article-journal&quot;,&quot;id&quot;:&quot;6e16bd45-f33d-3c2a-b675-89f9da19b20f&quot;,&quot;title&quot;:&quot;Microbial biofilm voltammetry: Direct electrochemical characterization of catalytic electrode-attached biofilms&quot;,&quot;author&quot;:[{&quot;family&quot;:&quot;Marsili&quot;,&quot;given&quot;:&quot;Enrico&quot;,&quot;parse-names&quot;:false,&quot;dropping-particle&quot;:&quot;&quot;,&quot;non-dropping-particle&quot;:&quot;&quot;},{&quot;family&quot;:&quot;Rollefson&quot;,&quot;given&quot;:&quot;Janet B.&quot;,&quot;parse-names&quot;:false,&quot;dropping-particle&quot;:&quot;&quot;,&quot;non-dropping-particle&quot;:&quot;&quot;},{&quot;family&quot;:&quot;Baron&quot;,&quot;given&quot;:&quot;Daniel B.&quot;,&quot;parse-names&quot;:false,&quot;dropping-particle&quot;:&quot;&quot;,&quot;non-dropping-particle&quot;:&quot;&quot;},{&quot;family&quot;:&quot;Hozalski&quot;,&quot;given&quot;:&quot;Raymond M.&quot;,&quot;parse-names&quot;:false,&quot;dropping-particle&quot;:&quot;&quot;,&quot;non-dropping-particle&quot;:&quot;&quot;},{&quot;family&quot;:&quot;Bond&quot;,&quot;given&quot;:&quot;Daniel R.&quot;,&quot;parse-names&quot;:false,&quot;dropping-particle&quot;:&quot;&quot;,&quot;non-dropping-particle&quot;:&quot;&quot;}],&quot;container-title&quot;:&quot;Applied and Environmental Microbiology&quot;,&quot;container-title-short&quot;:&quot;Appl. Environ. Microbiol.&quot;,&quot;accessed&quot;:{&quot;date-parts&quot;:[[2026,8,29]]},&quot;DOI&quot;:&quot;10.1128/AEM.00177-08;JOURNAL:JOURNAL:AM;WGROUP:STRING:PUBLICATION&quot;,&quot;ISSN&quot;:&quot;00992240&quot;,&quot;PMID&quot;:&quot;18849456&quot;,&quot;URL&quot;:&quot;/doi/pdf/10.1128/aem.00177-08?download=true&quot;,&quot;issued&quot;:{&quot;date-parts&quot;:[[2008,12]]},&quot;page&quot;:&quot;7329-7337&quot;,&quot;abstract&quot;:&quot;While electrochemical characterization of enzymes immobilized on electrodes has become common, there is still a need for reliable quantitative methods for study of electron transfer between living cells and conductive surfaces. This work describes growth of thin (&lt;20 μm) Geobacter sulfurreducens biofilms on polished glassy carbon electrodes, using stirred three-electrode anaerobic bioreactors controlled by potentiostats and nondestructive voltammetry techniques for characterization of viable biofilms. Routine in vivo analysis of electron transfer between bacterial cells and electrodes was performed, providing insight into the main redox-active species participating in electron transfer to electrodes. At low scan rates, cyclic voltammetry revealed catalytic electron transfer between cells and the electrode, similar to what has been observed for pure enzymes attached to electrodes under continuous turnover conditions. Differential pulse voltammetry and electrochemical impedance spectroscopy also revealed features that were consistent with electron transfer being mediated by an adsorbed catalyst. Multiple redox-active species were detected, revealing complexity at the outer surfaces of this bacterium. These techniques provide the basis for cataloging quantifiable, defined electron transfer phenotypes as a function of potential, electrode material, growth phase, and culture conditions and provide a framework for comparisons with other species or communities. Copyright © 2008, American Society for Microbiology. All Rights Reserved.&quot;,&quot;publisher&quot;:&quot;American Society for Microbiology&quot;,&quot;issue&quot;:&quot;23&quot;,&quot;volume&quot;:&quot;74&quot;},&quot;isTemporary&quot;:false}]},{&quot;citationID&quot;:&quot;MENDELEY_CITATION_6e9211cd-3c5b-4bef-8426-594d2e6da073&quot;,&quot;properties&quot;:{&quot;noteIndex&quot;:0},&quot;isEdited&quot;:false,&quot;manualOverride&quot;:{&quot;isManuallyOverridden&quot;:false,&quot;citeprocText&quot;:&quot;(Dell’Armi et al., 2025)&quot;,&quot;manualOverrideText&quot;:&quot;&quot;},&quot;citationTag&quot;:&quot;MENDELEY_CITATION_v3_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&quot;,&quot;citationItems&quot;:[{&quot;id&quot;:&quot;25a6ec50-4a73-3f65-8119-435c5d20d1e0&quot;,&quot;itemData&quot;:{&quot;type&quot;:&quot;article-journal&quot;,&quot;id&quot;:&quot;25a6ec50-4a73-3f65-8119-435c5d20d1e0&quot;,&quot;title&quot;:&quot;Field test of a scaled-up bioelectrochemical sequential reductive/oxidative process for chlorinated aliphatic hydrocarbons (CAHs) remediation from contaminated groundwater&quot;,&quot;author&quot;:[{&quot;family&quot;:&quot;Dell'Armi&quot;,&quot;given&quot;:&quot;Edoardo&quot;,&quot;parse-names&quot;:false,&quot;dropping-particle&quot;:&quot;&quot;,&quot;non-dropping-particle&quot;:&quot;&quot;},{&quot;family&quot;:&quot;Ciampi&quot;,&quot;given&quot;:&quot;Paolo&quot;,&quot;parse-names&quot;:false,&quot;dropping-particle&quot;:&quot;&quot;,&quot;non-dropping-particle&quot;:&quot;&quot;},{&quot;family&quot;:&quot;Marchetti&quot;,&quot;given&quot;:&quot;Angela&quot;,&quot;parse-names&quot;:false,&quot;dropping-particle&quot;:&quot;&quot;,&quot;non-dropping-particle&quot;:&quot;&quot;},{&quot;family&quot;:&quot;Bartsch&quot;,&quot;given&quot;:&quot;Ernst&quot;,&quot;parse-names&quot;:false,&quot;dropping-particle&quot;:&quot;&quot;,&quot;non-dropping-particle&quot;:&quot;&quot;},{&quot;family&quot;:&quot;Alesi&quot;,&quot;given&quot;:&quot;Marcel&quot;,&quot;parse-names&quot;:false,&quot;dropping-particle&quot;:&quot;&quot;,&quot;non-dropping-particle&quot;:&quot;&quot;},{&quot;family&quot;:&quot;Alesi&quot;,&quot;given&quot;:&quot;Eduard J.&quot;,&quot;parse-names&quot;:false,&quot;dropping-particle&quot;:&quot;&quot;,&quot;non-dropping-particle&quot;:&quot;&quot;},{&quot;family&quot;:&quot;Rehner&quot;,&quot;given&quot;:&quot;Gert&quot;,&quot;parse-names&quot;:false,&quot;dropping-particle&quot;:&quot;&quot;,&quot;non-dropping-particle&quot;:&quot;&quot;},{&quot;family&quot;:&quot;Matturro&quot;,&quot;given&quot;:&quot;Bruna&quot;,&quot;parse-names&quot;:false,&quot;dropping-particle&quot;:&quot;&quot;,&quot;non-dropping-particle&quot;:&quot;&quot;},{&quot;family&quot;:&quot;Feigl&quot;,&quot;given&quot;:&quot;Viktoria&quot;,&quot;parse-names&quot;:false,&quot;dropping-particle&quot;:&quot;&quot;,&quot;non-dropping-particle&quot;:&quot;&quot;},{&quot;family&quot;:&quot;Molnar&quot;,&quot;given&quot;:&quot;Monika&quot;,&quot;parse-names&quot;:false,&quot;dropping-particle&quot;:&quot;&quot;,&quot;non-dropping-particle&quot;:&quot;&quot;},{&quot;family&quot;:&quot;Rossetti&quot;,&quot;given&quot;:&quot;Simona&quot;,&quot;parse-names&quot;:false,&quot;dropping-particle&quot;:&quot;&quot;,&quot;non-dropping-particle&quot;:&quot;&quot;},{&quot;family&quot;:&quot;Petrangeli Papini&quot;,&quot;given&quot;:&quot;Marco&quot;,&quot;parse-names&quot;:false,&quot;dropping-particle&quot;:&quot;&quot;,&quot;non-dropping-particle&quot;:&quot;&quot;},{&quot;family&quot;:&quot;Zeppilli&quot;,&quot;given&quot;:&quot;Marco&quot;,&quot;parse-names&quot;:false,&quot;dropping-particle&quot;:&quot;&quot;,&quot;non-dropping-particle&quot;:&quot;&quot;}],&quot;container-title&quot;:&quot;Chemical Engineering Journal&quot;,&quot;accessed&quot;:{&quot;date-parts&quot;:[[2026,8,15]]},&quot;DOI&quot;:&quot;10.1016/J.CEJ.2025.169825&quot;,&quot;ISSN&quot;:&quot;1385-8947&quot;,&quot;URL&quot;:&quot;https://www.sciencedirect.com/science/article/pii/S1385894725106682&quot;,&quot;issued&quot;:{&quot;date-parts&quot;:[[2025,11,15]]},&quot;page&quot;:&quot;169825&quot;,&quot;abstract&quot;:&quot;Chlorinated Aliphatic Hydrocarbons (CAHs) such as Perchloroethylene (PCE) and Trichloroethylene (TCE) are widespread groundwater contaminants due to their persistence and low solubility. Bioelectrochemical systems (BES) can create favorable redox conditions to stimulate the activity of dechlorinating microorganisms by providing reducing power directly or via hydrogen mediation in microbial electrolysis cells. This study presents the performance of a scaled-up sequential anaerobic/aerobic BES applied to a CAH-contaminated site in Northern Italy, integrated with a Groundwater Circulation Well system. The pilot system, consisting of four 105 L modules, operated under three different hydraulic retention times (HRTs) and potentiostatic conditions. Maximum tetrachloroethane (TeCA) removal was 1.23 mg/L·d, with a coulombic efficiency of 0.83 %. The study includes aquifer geological characterization, essential for assessing the long-term behaviour of the dense non aqueous phase liquid (DNAPL) source, and microbial analysis of the inoculum used to prime the system. Ecotoxicity tests were conducted on both influent and effluent to evaluate environmental risks. Results showed slight initial toxicity for Aliivibrio fischeri but no adverse effects on protozoa, plants, or Daphnids. This study presents the development of a pilot plant, representing the largest effort to scale up a bioelectrochemical process for the remediation of chlorinated aliphatic hydrocarbons, and one of the largest bioelectrochemical pilot installations overall in terms of the electrode active area. The findings highlight both the potential and the challenges of scaling up BES for CAH remediation.&quot;,&quot;publisher&quot;:&quot;Elsevier&quot;,&quot;volume&quot;:&quot;524&quot;,&quot;container-title-short&quot;:&quot;&quot;},&quot;isTemporary&quot;:false}]},{&quot;citationID&quot;:&quot;MENDELEY_CITATION_23da7b35-d9b0-4fa4-8021-8e291cd33303&quot;,&quot;properties&quot;:{&quot;noteIndex&quot;:0},&quot;isEdited&quot;:false,&quot;manualOverride&quot;:{&quot;isManuallyOverridden&quot;:false,&quot;citeprocText&quot;:&quot;(Marchetti, Valentino, et al., 2026)&quot;,&quot;manualOverrideText&quot;:&quot;&quot;},&quot;citationTag&quot;:&quot;MENDELEY_CITATION_v3_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&quot;,&quot;citationItems&quot;:[{&quot;id&quot;:&quot;48899d05-1d51-30b6-9b82-96065f92f783&quot;,&quot;itemData&quot;:{&quot;type&quot;:&quot;article-journal&quot;,&quot;id&quot;:&quot;48899d05-1d51-30b6-9b82-96065f92f783&quot;,&quot;title&quot;:&quot;Rapid screening approach to evaluate MEC performance for biohydrogen production using synthetic and real organic waste-derived substrates&quot;,&quot;author&quot;:[{&quot;family&quot;:&quot;Marchetti&quot;,&quot;given&quot;:&quot;Angela&quot;,&quot;parse-names&quot;:false,&quot;dropping-particle&quot;:&quot;&quot;,&quot;non-dropping-particle&quot;:&quot;&quot;},{&quot;family&quot;:&quot;Valentino&quot;,&quot;given&quot;:&quot;Francesco&quot;,&quot;parse-names&quot;:false,&quot;dropping-particle&quot;:&quot;&quot;,&quot;non-dropping-particle&quot;:&quot;&quot;},{&quot;family&quot;:&quot;Gottardo&quot;,&quot;given&quot;:&quot;Marco&quot;,&quot;parse-names&quot;:false,&quot;dropping-particle&quot;:&quot;&quot;,&quot;non-dropping-particle&quot;:&quot;&quot;},{&quot;family&quot;:&quot;Zeppilli&quot;,&quot;given&quot;:&quot;Marco&quot;,&quot;parse-names&quot;:false,&quot;dropping-particle&quot;:&quot;&quot;,&quot;non-dropping-particle&quot;:&quot;&quot;}],&quot;container-title&quot;:&quot;Sustainable Energy Technologies and Assessments&quot;,&quot;accessed&quot;:{&quot;date-parts&quot;:[[2026,8,24]]},&quot;DOI&quot;:&quot;10.1016/J.SETA.2026.105351&quot;,&quot;ISSN&quot;:&quot;2213-1388&quot;,&quot;URL&quot;:&quot;https://linkinghub.elsevier.com/retrieve/pii/S2213138826005370&quot;,&quot;issued&quot;:{&quot;date-parts&quot;:[[2026,9,1]]},&quot;page&quot;:&quot;105351&quot;,&quot;abstract&quot;:&quot;•Rapid screening approach enables fast identification of optimal MEC operating window.•Hydraulic screening rapidly identified performance plateaus (for D ≥ 13.7 d-1).•Near-complete electron recovery into hydrogen (CCE≈ 100%) was achieved in all cases.•Dual-cathode vs single: current density (max + 46%) and ηE (max + 32%) improvement.In this study, a rapid screening strategy was developed to accelerate the identification of optimal operating conditions in dual-cathode microbial electrolysis cells (MECs) for hydrogen production from synthetic and real waste-derived substrates. The approach consisted of progressively increasing the hydraulic loading while evaluating system performance through current production, CODremoval efficiency, hydrogen recovery, and electrochemical efficiencies, enabling rapid identification of operational boundaries and the onset of the performance plateau, guiding the selection of the most fitting operating regime for subsequent steady-state investigations. The real substrate, obtained from dark fermentation of food waste and sewage sludge, exhibited a high organic acid content (82% OA/CODsol) and a low redox potential (≈ −0.278 V vs SHE), confirming its suitability for bioelectrochemical conversion. The dual-cathode configuration achieved complete cathodic electron recovery into hydrogen (CCE ≈ 100%) demonstrating performance improvements, consistent with those expected from enhanced cathodic architecture. Finally, potentiostatic polarization further characterized the electrochemical response of the bioanode. Combined with the proposed screening methodology, these results provide a practical framework for rapidly assessing MEC performance and selecting promising operating conditions before more detailed long-term investigations and scale-up.In this study, a rapid screening strategy was developed to accelerate the identification of optimal operating conditions in dual-cathode microbial electrolysis cells (MECs) for hydrogen production from synthetic and real waste-derived substrates. The approach consisted of progressively increasing the hydraulic loading while evaluating system performance through current production, CODremoval efficiency, hydrogen recovery, and electrochemical efficiencies, enabling rapid identification of operational boundaries and the onset of the performance plateau, guiding the selection of the most fitting operating regime for subsequent steady-state investigations. The real substrate, obtained from dark fermentation of food waste and sewage sludge, exhibited a high organic acid content (82% OA/CODsol) and a low redox potential (≈ −0.278 V vs SHE), confirming its suitability for bioelectrochemical conversion. The dual-cathode configuration achieved complete cathodic electron recovery into hydrogen (CCE ≈ 100%) demonstrating performance improvements, consistent with those expected from enhanced cathodic architecture. Finally, potentiostatic polarization further characterized the electrochemical response of the bioanode. Combined with the proposed screening methodology, these results provide a practical framework for rapidly assessing MEC performance and selecting promising operating conditions before more detailed long-term investigations and scale-up.Download: Download high-res image (144KB)Download: Download full-size image&quot;,&quot;publisher&quot;:&quot;Elsevier&quot;,&quot;volume&quot;:&quot;93&quot;,&quot;container-title-short&quot;:&quot;&quot;},&quot;isTemporary&quot;:false}]},{&quot;citationID&quot;:&quot;MENDELEY_CITATION_6add8c33-0a16-4740-939c-b240a297f4c0&quot;,&quot;properties&quot;:{&quot;noteIndex&quot;:0},&quot;isEdited&quot;:false,&quot;manualOverride&quot;:{&quot;isManuallyOverridden&quot;:false,&quot;citeprocText&quot;:&quot;(APHA, 1995)&quot;,&quot;manualOverrideText&quot;:&quot;&quot;},&quot;citationTag&quot;:&quot;MENDELEY_CITATION_v3_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&quot;,&quot;citationItems&quot;:[{&quot;id&quot;:&quot;96567dd8-98d0-33e4-be43-31734f3d941c&quot;,&quot;itemData&quot;:{&quot;type&quot;:&quot;article-journal&quot;,&quot;id&quot;:&quot;96567dd8-98d0-33e4-be43-31734f3d941c&quot;,&quot;title&quot;:&quot;Part 5&quot;,&quot;author&quot;:[{&quot;family&quot;:&quot;APHA&quot;,&quot;given&quot;:&quot;&quot;,&quot;parse-names&quot;:false,&quot;dropping-particle&quot;:&quot;&quot;,&quot;non-dropping-particle&quot;:&quot;&quot;}],&quot;container-title&quot;:&quot;American Journal of Public Health&quot;,&quot;container-title-short&quot;:&quot;Am. J. Public Health&quot;,&quot;DOI&quot;:&quot;10.2105/AJPH.85.8_Pt_2.P.164&quot;,&quot;ISSN&quot;:&quot;0090-0036&quot;,&quot;URL&quot;:&quot;https://ajph.aphapublications.org/doi/full/10.2105/AJPH.85.8_Pt_2.P.164&quot;,&quot;issued&quot;:{&quot;date-parts&quot;:[[1995,8]]},&quot;page&quot;:&quot;P.164-P.203&quot;,&quot;abstract&quot;:&quot;AMERICAN PUBLIC HEALTH ASSOCIATION; AMERICAN WATER WORKS ASSOCIATION; WATER ENVIRONMENT FEDERATION. Standard Methods for the Examination of Water and Wastewater. [s.l: s.n.]. p. 541&quot;,&quot;issue&quot;:&quot;8_Pt_2&quot;,&quot;volume&quot;:&quot;85&quot;},&quot;isTemporary&quot;:false}]},{&quot;citationID&quot;:&quot;MENDELEY_CITATION_2b8b1f74-1b37-4996-a662-7f1ce004e326&quot;,&quot;properties&quot;:{&quot;noteIndex&quot;:0},&quot;isEdited&quot;:false,&quot;manualOverride&quot;:{&quot;isManuallyOverridden&quot;:false,&quot;citeprocText&quot;:&quot;(Marchetti, Valentino, et al., 2026)&quot;,&quot;manualOverrideText&quot;:&quot;&quot;},&quot;citationTag&quot;:&quot;MENDELEY_CITATION_v3_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&quot;,&quot;citationItems&quot;:[{&quot;id&quot;:&quot;48899d05-1d51-30b6-9b82-96065f92f783&quot;,&quot;itemData&quot;:{&quot;type&quot;:&quot;article-journal&quot;,&quot;id&quot;:&quot;48899d05-1d51-30b6-9b82-96065f92f783&quot;,&quot;title&quot;:&quot;Rapid screening approach to evaluate MEC performance for biohydrogen production using synthetic and real organic waste-derived substrates&quot;,&quot;author&quot;:[{&quot;family&quot;:&quot;Marchetti&quot;,&quot;given&quot;:&quot;Angela&quot;,&quot;parse-names&quot;:false,&quot;dropping-particle&quot;:&quot;&quot;,&quot;non-dropping-particle&quot;:&quot;&quot;},{&quot;family&quot;:&quot;Valentino&quot;,&quot;given&quot;:&quot;Francesco&quot;,&quot;parse-names&quot;:false,&quot;dropping-particle&quot;:&quot;&quot;,&quot;non-dropping-particle&quot;:&quot;&quot;},{&quot;family&quot;:&quot;Gottardo&quot;,&quot;given&quot;:&quot;Marco&quot;,&quot;parse-names&quot;:false,&quot;dropping-particle&quot;:&quot;&quot;,&quot;non-dropping-particle&quot;:&quot;&quot;},{&quot;family&quot;:&quot;Zeppilli&quot;,&quot;given&quot;:&quot;Marco&quot;,&quot;parse-names&quot;:false,&quot;dropping-particle&quot;:&quot;&quot;,&quot;non-dropping-particle&quot;:&quot;&quot;}],&quot;container-title&quot;:&quot;Sustainable Energy Technologies and Assessments&quot;,&quot;accessed&quot;:{&quot;date-parts&quot;:[[2026,8,24]]},&quot;DOI&quot;:&quot;10.1016/J.SETA.2026.105351&quot;,&quot;ISSN&quot;:&quot;2213-1388&quot;,&quot;URL&quot;:&quot;https://linkinghub.elsevier.com/retrieve/pii/S2213138826005370&quot;,&quot;issued&quot;:{&quot;date-parts&quot;:[[2026,9,1]]},&quot;page&quot;:&quot;105351&quot;,&quot;abstract&quot;:&quot;•Rapid screening approach enables fast identification of optimal MEC operating window.•Hydraulic screening rapidly identified performance plateaus (for D ≥ 13.7 d-1).•Near-complete electron recovery into hydrogen (CCE≈ 100%) was achieved in all cases.•Dual-cathode vs single: current density (max + 46%) and ηE (max + 32%) improvement.In this study, a rapid screening strategy was developed to accelerate the identification of optimal operating conditions in dual-cathode microbial electrolysis cells (MECs) for hydrogen production from synthetic and real waste-derived substrates. The approach consisted of progressively increasing the hydraulic loading while evaluating system performance through current production, CODremoval efficiency, hydrogen recovery, and electrochemical efficiencies, enabling rapid identification of operational boundaries and the onset of the performance plateau, guiding the selection of the most fitting operating regime for subsequent steady-state investigations. The real substrate, obtained from dark fermentation of food waste and sewage sludge, exhibited a high organic acid content (82% OA/CODsol) and a low redox potential (≈ −0.278 V vs SHE), confirming its suitability for bioelectrochemical conversion. The dual-cathode configuration achieved complete cathodic electron recovery into hydrogen (CCE ≈ 100%) demonstrating performance improvements, consistent with those expected from enhanced cathodic architecture. Finally, potentiostatic polarization further characterized the electrochemical response of the bioanode. Combined with the proposed screening methodology, these results provide a practical framework for rapidly assessing MEC performance and selecting promising operating conditions before more detailed long-term investigations and scale-up.In this study, a rapid screening strategy was developed to accelerate the identification of optimal operating conditions in dual-cathode microbial electrolysis cells (MECs) for hydrogen production from synthetic and real waste-derived substrates. The approach consisted of progressively increasing the hydraulic loading while evaluating system performance through current production, CODremoval efficiency, hydrogen recovery, and electrochemical efficiencies, enabling rapid identification of operational boundaries and the onset of the performance plateau, guiding the selection of the most fitting operating regime for subsequent steady-state investigations. The real substrate, obtained from dark fermentation of food waste and sewage sludge, exhibited a high organic acid content (82% OA/CODsol) and a low redox potential (≈ −0.278 V vs SHE), confirming its suitability for bioelectrochemical conversion. The dual-cathode configuration achieved complete cathodic electron recovery into hydrogen (CCE ≈ 100%) demonstrating performance improvements, consistent with those expected from enhanced cathodic architecture. Finally, potentiostatic polarization further characterized the electrochemical response of the bioanode. Combined with the proposed screening methodology, these results provide a practical framework for rapidly assessing MEC performance and selecting promising operating conditions before more detailed long-term investigations and scale-up.Download: Download high-res image (144KB)Download: Download full-size image&quot;,&quot;publisher&quot;:&quot;Elsevier&quot;,&quot;volume&quot;:&quot;93&quot;,&quot;container-title-short&quot;:&quot;&quot;},&quot;isTemporary&quot;:false}]},{&quot;citationID&quot;:&quot;MENDELEY_CITATION_bfe70905-5ecf-4049-8ba1-9bc9716acbec&quot;,&quot;properties&quot;:{&quot;noteIndex&quot;:0},&quot;isEdited&quot;:false,&quot;manualOverride&quot;:{&quot;isManuallyOverridden&quot;:false,&quot;citeprocText&quot;:&quot;(Marchetti, Valentino, et al., 2026)&quot;,&quot;manualOverrideText&quot;:&quot;&quot;},&quot;citationTag&quot;:&quot;MENDELEY_CITATION_v3_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&quot;,&quot;citationItems&quot;:[{&quot;id&quot;:&quot;48899d05-1d51-30b6-9b82-96065f92f783&quot;,&quot;itemData&quot;:{&quot;type&quot;:&quot;article-journal&quot;,&quot;id&quot;:&quot;48899d05-1d51-30b6-9b82-96065f92f783&quot;,&quot;title&quot;:&quot;Rapid screening approach to evaluate MEC performance for biohydrogen production using synthetic and real organic waste-derived substrates&quot;,&quot;author&quot;:[{&quot;family&quot;:&quot;Marchetti&quot;,&quot;given&quot;:&quot;Angela&quot;,&quot;parse-names&quot;:false,&quot;dropping-particle&quot;:&quot;&quot;,&quot;non-dropping-particle&quot;:&quot;&quot;},{&quot;family&quot;:&quot;Valentino&quot;,&quot;given&quot;:&quot;Francesco&quot;,&quot;parse-names&quot;:false,&quot;dropping-particle&quot;:&quot;&quot;,&quot;non-dropping-particle&quot;:&quot;&quot;},{&quot;family&quot;:&quot;Gottardo&quot;,&quot;given&quot;:&quot;Marco&quot;,&quot;parse-names&quot;:false,&quot;dropping-particle&quot;:&quot;&quot;,&quot;non-dropping-particle&quot;:&quot;&quot;},{&quot;family&quot;:&quot;Zeppilli&quot;,&quot;given&quot;:&quot;Marco&quot;,&quot;parse-names&quot;:false,&quot;dropping-particle&quot;:&quot;&quot;,&quot;non-dropping-particle&quot;:&quot;&quot;}],&quot;container-title&quot;:&quot;Sustainable Energy Technologies and Assessments&quot;,&quot;accessed&quot;:{&quot;date-parts&quot;:[[2026,8,24]]},&quot;DOI&quot;:&quot;10.1016/J.SETA.2026.105351&quot;,&quot;ISSN&quot;:&quot;2213-1388&quot;,&quot;URL&quot;:&quot;https://linkinghub.elsevier.com/retrieve/pii/S2213138826005370&quot;,&quot;issued&quot;:{&quot;date-parts&quot;:[[2026,9,1]]},&quot;page&quot;:&quot;105351&quot;,&quot;abstract&quot;:&quot;•Rapid screening approach enables fast identification of optimal MEC operating window.•Hydraulic screening rapidly identified performance plateaus (for D ≥ 13.7 d-1).•Near-complete electron recovery into hydrogen (CCE≈ 100%) was achieved in all cases.•Dual-cathode vs single: current density (max + 46%) and ηE (max + 32%) improvement.In this study, a rapid screening strategy was developed to accelerate the identification of optimal operating conditions in dual-cathode microbial electrolysis cells (MECs) for hydrogen production from synthetic and real waste-derived substrates. The approach consisted of progressively increasing the hydraulic loading while evaluating system performance through current production, CODremoval efficiency, hydrogen recovery, and electrochemical efficiencies, enabling rapid identification of operational boundaries and the onset of the performance plateau, guiding the selection of the most fitting operating regime for subsequent steady-state investigations. The real substrate, obtained from dark fermentation of food waste and sewage sludge, exhibited a high organic acid content (82% OA/CODsol) and a low redox potential (≈ −0.278 V vs SHE), confirming its suitability for bioelectrochemical conversion. The dual-cathode configuration achieved complete cathodic electron recovery into hydrogen (CCE ≈ 100%) demonstrating performance improvements, consistent with those expected from enhanced cathodic architecture. Finally, potentiostatic polarization further characterized the electrochemical response of the bioanode. Combined with the proposed screening methodology, these results provide a practical framework for rapidly assessing MEC performance and selecting promising operating conditions before more detailed long-term investigations and scale-up.In this study, a rapid screening strategy was developed to accelerate the identification of optimal operating conditions in dual-cathode microbial electrolysis cells (MECs) for hydrogen production from synthetic and real waste-derived substrates. The approach consisted of progressively increasing the hydraulic loading while evaluating system performance through current production, CODremoval efficiency, hydrogen recovery, and electrochemical efficiencies, enabling rapid identification of operational boundaries and the onset of the performance plateau, guiding the selection of the most fitting operating regime for subsequent steady-state investigations. The real substrate, obtained from dark fermentation of food waste and sewage sludge, exhibited a high organic acid content (82% OA/CODsol) and a low redox potential (≈ −0.278 V vs SHE), confirming its suitability for bioelectrochemical conversion. The dual-cathode configuration achieved complete cathodic electron recovery into hydrogen (CCE ≈ 100%) demonstrating performance improvements, consistent with those expected from enhanced cathodic architecture. Finally, potentiostatic polarization further characterized the electrochemical response of the bioanode. Combined with the proposed screening methodology, these results provide a practical framework for rapidly assessing MEC performance and selecting promising operating conditions before more detailed long-term investigations and scale-up.Download: Download high-res image (144KB)Download: Download full-size image&quot;,&quot;publisher&quot;:&quot;Elsevier&quot;,&quot;volume&quot;:&quot;93&quot;,&quot;container-title-short&quot;:&quot;&quot;},&quot;isTemporary&quot;:false}]},{&quot;citationID&quot;:&quot;MENDELEY_CITATION_af3aef5b-48a4-4805-bbd2-21068d56390f&quot;,&quot;properties&quot;:{&quot;noteIndex&quot;:0},&quot;isEdited&quot;:false,&quot;manualOverride&quot;:{&quot;isManuallyOverridden&quot;:false,&quot;citeprocText&quot;:&quot;(Marchetti, Valentino, et al., 2026)&quot;,&quot;manualOverrideText&quot;:&quot;&quot;},&quot;citationTag&quot;:&quot;MENDELEY_CITATION_v3_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&quot;,&quot;citationItems&quot;:[{&quot;id&quot;:&quot;48899d05-1d51-30b6-9b82-96065f92f783&quot;,&quot;itemData&quot;:{&quot;type&quot;:&quot;article-journal&quot;,&quot;id&quot;:&quot;48899d05-1d51-30b6-9b82-96065f92f783&quot;,&quot;title&quot;:&quot;Rapid screening approach to evaluate MEC performance for biohydrogen production using synthetic and real organic waste-derived substrates&quot;,&quot;author&quot;:[{&quot;family&quot;:&quot;Marchetti&quot;,&quot;given&quot;:&quot;Angela&quot;,&quot;parse-names&quot;:false,&quot;dropping-particle&quot;:&quot;&quot;,&quot;non-dropping-particle&quot;:&quot;&quot;},{&quot;family&quot;:&quot;Valentino&quot;,&quot;given&quot;:&quot;Francesco&quot;,&quot;parse-names&quot;:false,&quot;dropping-particle&quot;:&quot;&quot;,&quot;non-dropping-particle&quot;:&quot;&quot;},{&quot;family&quot;:&quot;Gottardo&quot;,&quot;given&quot;:&quot;Marco&quot;,&quot;parse-names&quot;:false,&quot;dropping-particle&quot;:&quot;&quot;,&quot;non-dropping-particle&quot;:&quot;&quot;},{&quot;family&quot;:&quot;Zeppilli&quot;,&quot;given&quot;:&quot;Marco&quot;,&quot;parse-names&quot;:false,&quot;dropping-particle&quot;:&quot;&quot;,&quot;non-dropping-particle&quot;:&quot;&quot;}],&quot;container-title&quot;:&quot;Sustainable Energy Technologies and Assessments&quot;,&quot;accessed&quot;:{&quot;date-parts&quot;:[[2026,8,24]]},&quot;DOI&quot;:&quot;10.1016/J.SETA.2026.105351&quot;,&quot;ISSN&quot;:&quot;2213-1388&quot;,&quot;URL&quot;:&quot;https://linkinghub.elsevier.com/retrieve/pii/S2213138826005370&quot;,&quot;issued&quot;:{&quot;date-parts&quot;:[[2026,9,1]]},&quot;page&quot;:&quot;105351&quot;,&quot;abstract&quot;:&quot;•Rapid screening approach enables fast identification of optimal MEC operating window.•Hydraulic screening rapidly identified performance plateaus (for D ≥ 13.7 d-1).•Near-complete electron recovery into hydrogen (CCE≈ 100%) was achieved in all cases.•Dual-cathode vs single: current density (max + 46%) and ηE (max + 32%) improvement.In this study, a rapid screening strategy was developed to accelerate the identification of optimal operating conditions in dual-cathode microbial electrolysis cells (MECs) for hydrogen production from synthetic and real waste-derived substrates. The approach consisted of progressively increasing the hydraulic loading while evaluating system performance through current production, CODremoval efficiency, hydrogen recovery, and electrochemical efficiencies, enabling rapid identification of operational boundaries and the onset of the performance plateau, guiding the selection of the most fitting operating regime for subsequent steady-state investigations. The real substrate, obtained from dark fermentation of food waste and sewage sludge, exhibited a high organic acid content (82% OA/CODsol) and a low redox potential (≈ −0.278 V vs SHE), confirming its suitability for bioelectrochemical conversion. The dual-cathode configuration achieved complete cathodic electron recovery into hydrogen (CCE ≈ 100%) demonstrating performance improvements, consistent with those expected from enhanced cathodic architecture. Finally, potentiostatic polarization further characterized the electrochemical response of the bioanode. Combined with the proposed screening methodology, these results provide a practical framework for rapidly assessing MEC performance and selecting promising operating conditions before more detailed long-term investigations and scale-up.In this study, a rapid screening strategy was developed to accelerate the identification of optimal operating conditions in dual-cathode microbial electrolysis cells (MECs) for hydrogen production from synthetic and real waste-derived substrates. The approach consisted of progressively increasing the hydraulic loading while evaluating system performance through current production, CODremoval efficiency, hydrogen recovery, and electrochemical efficiencies, enabling rapid identification of operational boundaries and the onset of the performance plateau, guiding the selection of the most fitting operating regime for subsequent steady-state investigations. The real substrate, obtained from dark fermentation of food waste and sewage sludge, exhibited a high organic acid content (82% OA/CODsol) and a low redox potential (≈ −0.278 V vs SHE), confirming its suitability for bioelectrochemical conversion. The dual-cathode configuration achieved complete cathodic electron recovery into hydrogen (CCE ≈ 100%) demonstrating performance improvements, consistent with those expected from enhanced cathodic architecture. Finally, potentiostatic polarization further characterized the electrochemical response of the bioanode. Combined with the proposed screening methodology, these results provide a practical framework for rapidly assessing MEC performance and selecting promising operating conditions before more detailed long-term investigations and scale-up.Download: Download high-res image (144KB)Download: Download full-size image&quot;,&quot;publisher&quot;:&quot;Elsevier&quot;,&quot;volume&quot;:&quot;93&quot;,&quot;container-title-short&quot;:&quot;&quot;},&quot;isTemporary&quot;:false}]}]"/>
    <we:property name="MENDELEY_CITATIONS_STYLE" value="{&quot;id&quot;:&quot;https://www.zotero.org/styles/apa&quot;,&quot;title&quot;:&quot;APA Style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9AF005-F5A2-4399-B365-57FBC317CE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307</TotalTime>
  <Pages>6</Pages>
  <Words>3832</Words>
  <Characters>21845</Characters>
  <Application>Microsoft Office Word</Application>
  <DocSecurity>0</DocSecurity>
  <Lines>182</Lines>
  <Paragraphs>51</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 Zeppilli</dc:creator>
  <cp:keywords/>
  <dc:description/>
  <cp:lastModifiedBy>angela marchetti</cp:lastModifiedBy>
  <cp:revision>15</cp:revision>
  <dcterms:created xsi:type="dcterms:W3CDTF">2026-08-31T13:15:00Z</dcterms:created>
  <dcterms:modified xsi:type="dcterms:W3CDTF">2026-09-25T13:33:00Z</dcterms:modified>
</cp:coreProperties>
</file>