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5C714D"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5C714D" w:rsidRDefault="000A03B2" w:rsidP="00DE264A">
            <w:pPr>
              <w:tabs>
                <w:tab w:val="left" w:pos="-108"/>
              </w:tabs>
              <w:ind w:left="-108"/>
              <w:jc w:val="left"/>
              <w:rPr>
                <w:rFonts w:cs="Arial"/>
                <w:b/>
                <w:bCs/>
                <w:i/>
                <w:iCs/>
                <w:color w:val="000066"/>
                <w:sz w:val="12"/>
                <w:szCs w:val="12"/>
                <w:lang w:val="en-US" w:eastAsia="it-IT"/>
              </w:rPr>
            </w:pPr>
            <w:bookmarkStart w:id="0" w:name="_Hlk145068772"/>
            <w:r w:rsidRPr="005C714D">
              <w:rPr>
                <w:rFonts w:ascii="AdvP6960" w:hAnsi="AdvP6960" w:cs="AdvP6960"/>
                <w:noProof/>
                <w:color w:val="241F20"/>
                <w:szCs w:val="18"/>
                <w:lang w:val="en-US"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5C714D">
              <w:rPr>
                <w:rFonts w:ascii="AdvP6960" w:hAnsi="AdvP6960" w:cs="AdvP6960"/>
                <w:color w:val="241F20"/>
                <w:szCs w:val="18"/>
                <w:lang w:val="en-US" w:eastAsia="it-IT"/>
              </w:rPr>
              <w:t xml:space="preserve"> </w:t>
            </w:r>
            <w:r w:rsidRPr="005C714D">
              <w:rPr>
                <w:rFonts w:cs="Arial"/>
                <w:b/>
                <w:bCs/>
                <w:i/>
                <w:iCs/>
                <w:color w:val="000066"/>
                <w:sz w:val="24"/>
                <w:szCs w:val="24"/>
                <w:lang w:val="en-US" w:eastAsia="it-IT"/>
              </w:rPr>
              <w:t>CHEMICAL ENGINEERING</w:t>
            </w:r>
            <w:r w:rsidRPr="005C714D">
              <w:rPr>
                <w:rFonts w:cs="Arial"/>
                <w:b/>
                <w:bCs/>
                <w:i/>
                <w:iCs/>
                <w:color w:val="0033FF"/>
                <w:sz w:val="24"/>
                <w:szCs w:val="24"/>
                <w:lang w:val="en-US" w:eastAsia="it-IT"/>
              </w:rPr>
              <w:t xml:space="preserve"> </w:t>
            </w:r>
            <w:r w:rsidRPr="005C714D">
              <w:rPr>
                <w:rFonts w:cs="Arial"/>
                <w:b/>
                <w:bCs/>
                <w:i/>
                <w:iCs/>
                <w:color w:val="666666"/>
                <w:sz w:val="24"/>
                <w:szCs w:val="24"/>
                <w:lang w:val="en-US" w:eastAsia="it-IT"/>
              </w:rPr>
              <w:t>TRANSACTIONS</w:t>
            </w:r>
            <w:r w:rsidRPr="005C714D">
              <w:rPr>
                <w:color w:val="333333"/>
                <w:sz w:val="24"/>
                <w:szCs w:val="24"/>
                <w:lang w:val="en-US" w:eastAsia="it-IT"/>
              </w:rPr>
              <w:t xml:space="preserve"> </w:t>
            </w:r>
            <w:r w:rsidRPr="005C714D">
              <w:rPr>
                <w:rFonts w:cs="Arial"/>
                <w:b/>
                <w:bCs/>
                <w:i/>
                <w:iCs/>
                <w:color w:val="000066"/>
                <w:sz w:val="27"/>
                <w:szCs w:val="27"/>
                <w:lang w:val="en-US" w:eastAsia="it-IT"/>
              </w:rPr>
              <w:br/>
            </w:r>
          </w:p>
          <w:p w14:paraId="4B780582" w14:textId="753620B8" w:rsidR="000A03B2" w:rsidRPr="005C714D" w:rsidRDefault="00A76EFC" w:rsidP="001D21AF">
            <w:pPr>
              <w:tabs>
                <w:tab w:val="left" w:pos="-108"/>
              </w:tabs>
              <w:ind w:left="-108"/>
              <w:rPr>
                <w:rFonts w:cs="Arial"/>
                <w:b/>
                <w:bCs/>
                <w:i/>
                <w:iCs/>
                <w:color w:val="000066"/>
                <w:sz w:val="22"/>
                <w:szCs w:val="22"/>
                <w:lang w:val="en-US" w:eastAsia="it-IT"/>
              </w:rPr>
            </w:pPr>
            <w:r w:rsidRPr="005C714D">
              <w:rPr>
                <w:rFonts w:cs="Arial"/>
                <w:b/>
                <w:bCs/>
                <w:i/>
                <w:iCs/>
                <w:color w:val="000066"/>
                <w:sz w:val="22"/>
                <w:szCs w:val="22"/>
                <w:lang w:val="en-US" w:eastAsia="it-IT"/>
              </w:rPr>
              <w:t>VOL.</w:t>
            </w:r>
            <w:r w:rsidR="00785BF9" w:rsidRPr="005C714D">
              <w:rPr>
                <w:rFonts w:cs="Arial"/>
                <w:b/>
                <w:bCs/>
                <w:i/>
                <w:iCs/>
                <w:color w:val="000066"/>
                <w:sz w:val="22"/>
                <w:szCs w:val="22"/>
                <w:lang w:val="en-US" w:eastAsia="it-IT"/>
              </w:rPr>
              <w:t xml:space="preserve"> </w:t>
            </w:r>
            <w:r w:rsidR="00AD0278" w:rsidRPr="005C714D">
              <w:rPr>
                <w:rFonts w:cs="Arial"/>
                <w:b/>
                <w:bCs/>
                <w:i/>
                <w:iCs/>
                <w:color w:val="000066"/>
                <w:sz w:val="22"/>
                <w:szCs w:val="22"/>
                <w:lang w:val="en-US" w:eastAsia="it-IT"/>
              </w:rPr>
              <w:t>xxx</w:t>
            </w:r>
            <w:r w:rsidR="007B48F9" w:rsidRPr="005C714D">
              <w:rPr>
                <w:rFonts w:cs="Arial"/>
                <w:b/>
                <w:bCs/>
                <w:i/>
                <w:iCs/>
                <w:color w:val="000066"/>
                <w:sz w:val="22"/>
                <w:szCs w:val="22"/>
                <w:lang w:val="en-US" w:eastAsia="it-IT"/>
              </w:rPr>
              <w:t>,</w:t>
            </w:r>
            <w:r w:rsidR="00FA5F5F" w:rsidRPr="005C714D">
              <w:rPr>
                <w:rFonts w:cs="Arial"/>
                <w:b/>
                <w:bCs/>
                <w:i/>
                <w:iCs/>
                <w:color w:val="000066"/>
                <w:sz w:val="22"/>
                <w:szCs w:val="22"/>
                <w:lang w:val="en-US" w:eastAsia="it-IT"/>
              </w:rPr>
              <w:t xml:space="preserve"> </w:t>
            </w:r>
            <w:r w:rsidR="0030152C" w:rsidRPr="005C714D">
              <w:rPr>
                <w:rFonts w:cs="Arial"/>
                <w:b/>
                <w:bCs/>
                <w:i/>
                <w:iCs/>
                <w:color w:val="000066"/>
                <w:sz w:val="22"/>
                <w:szCs w:val="22"/>
                <w:lang w:val="en-US" w:eastAsia="it-IT"/>
              </w:rPr>
              <w:t>202</w:t>
            </w:r>
            <w:r w:rsidR="00AD0278" w:rsidRPr="005C714D">
              <w:rPr>
                <w:rFonts w:cs="Arial"/>
                <w:b/>
                <w:bCs/>
                <w:i/>
                <w:iCs/>
                <w:color w:val="000066"/>
                <w:sz w:val="22"/>
                <w:szCs w:val="22"/>
                <w:lang w:val="en-US" w:eastAsia="it-IT"/>
              </w:rPr>
              <w:t>6</w:t>
            </w:r>
          </w:p>
        </w:tc>
        <w:tc>
          <w:tcPr>
            <w:tcW w:w="1843" w:type="dxa"/>
            <w:tcBorders>
              <w:left w:val="single" w:sz="4" w:space="0" w:color="auto"/>
              <w:bottom w:val="nil"/>
              <w:right w:val="single" w:sz="4" w:space="0" w:color="auto"/>
            </w:tcBorders>
          </w:tcPr>
          <w:p w14:paraId="56782132" w14:textId="77777777" w:rsidR="000A03B2" w:rsidRPr="005C714D" w:rsidRDefault="000A03B2" w:rsidP="00CD5FE2">
            <w:pPr>
              <w:spacing w:line="140" w:lineRule="atLeast"/>
              <w:jc w:val="right"/>
              <w:rPr>
                <w:rFonts w:cs="Arial"/>
                <w:sz w:val="14"/>
                <w:szCs w:val="14"/>
                <w:lang w:val="en-US"/>
              </w:rPr>
            </w:pPr>
            <w:r w:rsidRPr="005C714D">
              <w:rPr>
                <w:rFonts w:cs="Arial"/>
                <w:sz w:val="14"/>
                <w:szCs w:val="14"/>
                <w:lang w:val="en-US"/>
              </w:rPr>
              <w:t>A publication of</w:t>
            </w:r>
          </w:p>
          <w:p w14:paraId="599E5441" w14:textId="77777777" w:rsidR="000A03B2" w:rsidRPr="005C714D" w:rsidRDefault="000A03B2" w:rsidP="00CD5FE2">
            <w:pPr>
              <w:jc w:val="right"/>
              <w:rPr>
                <w:lang w:val="en-US"/>
              </w:rPr>
            </w:pPr>
            <w:r w:rsidRPr="005C714D">
              <w:rPr>
                <w:noProof/>
                <w:lang w:val="en-US"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5C714D" w14:paraId="380FA3CD" w14:textId="77777777" w:rsidTr="00DE264A">
        <w:trPr>
          <w:trHeight w:val="567"/>
          <w:jc w:val="center"/>
        </w:trPr>
        <w:tc>
          <w:tcPr>
            <w:tcW w:w="6946" w:type="dxa"/>
            <w:vMerge/>
            <w:tcBorders>
              <w:right w:val="single" w:sz="4" w:space="0" w:color="auto"/>
            </w:tcBorders>
          </w:tcPr>
          <w:p w14:paraId="39E5E4C1" w14:textId="77777777" w:rsidR="000A03B2" w:rsidRPr="005C714D" w:rsidRDefault="000A03B2" w:rsidP="00CD5FE2">
            <w:pPr>
              <w:tabs>
                <w:tab w:val="left" w:pos="-108"/>
              </w:tabs>
              <w:rPr>
                <w:lang w:val="en-US"/>
              </w:rPr>
            </w:pPr>
          </w:p>
        </w:tc>
        <w:tc>
          <w:tcPr>
            <w:tcW w:w="1843" w:type="dxa"/>
            <w:tcBorders>
              <w:left w:val="single" w:sz="4" w:space="0" w:color="auto"/>
              <w:bottom w:val="nil"/>
              <w:right w:val="single" w:sz="4" w:space="0" w:color="auto"/>
            </w:tcBorders>
          </w:tcPr>
          <w:p w14:paraId="43858A98" w14:textId="77777777" w:rsidR="000A03B2" w:rsidRPr="005C714D" w:rsidRDefault="000A03B2" w:rsidP="00CD5FE2">
            <w:pPr>
              <w:spacing w:line="140" w:lineRule="atLeast"/>
              <w:jc w:val="right"/>
              <w:rPr>
                <w:rFonts w:cs="Arial"/>
                <w:sz w:val="14"/>
                <w:szCs w:val="14"/>
                <w:lang w:val="en-US"/>
              </w:rPr>
            </w:pPr>
            <w:r w:rsidRPr="005C714D">
              <w:rPr>
                <w:rFonts w:cs="Arial"/>
                <w:sz w:val="14"/>
                <w:szCs w:val="14"/>
                <w:lang w:val="en-US"/>
              </w:rPr>
              <w:t>The Italian Association</w:t>
            </w:r>
          </w:p>
          <w:p w14:paraId="7522B1D2" w14:textId="77777777" w:rsidR="000A03B2" w:rsidRPr="005C714D" w:rsidRDefault="000A03B2" w:rsidP="00CD5FE2">
            <w:pPr>
              <w:spacing w:line="140" w:lineRule="atLeast"/>
              <w:jc w:val="right"/>
              <w:rPr>
                <w:rFonts w:cs="Arial"/>
                <w:sz w:val="14"/>
                <w:szCs w:val="14"/>
                <w:lang w:val="en-US"/>
              </w:rPr>
            </w:pPr>
            <w:r w:rsidRPr="005C714D">
              <w:rPr>
                <w:rFonts w:cs="Arial"/>
                <w:sz w:val="14"/>
                <w:szCs w:val="14"/>
                <w:lang w:val="en-US"/>
              </w:rPr>
              <w:t>of Chemical Engineering</w:t>
            </w:r>
          </w:p>
          <w:p w14:paraId="4F0CC5DE" w14:textId="47FDB2FC" w:rsidR="000A03B2" w:rsidRPr="005C714D" w:rsidRDefault="000D0268" w:rsidP="00CD5FE2">
            <w:pPr>
              <w:spacing w:line="140" w:lineRule="atLeast"/>
              <w:jc w:val="right"/>
              <w:rPr>
                <w:rFonts w:cs="Arial"/>
                <w:sz w:val="13"/>
                <w:szCs w:val="13"/>
                <w:lang w:val="en-US"/>
              </w:rPr>
            </w:pPr>
            <w:r w:rsidRPr="005C714D">
              <w:rPr>
                <w:rFonts w:cs="Arial"/>
                <w:sz w:val="13"/>
                <w:szCs w:val="13"/>
                <w:lang w:val="en-US"/>
              </w:rPr>
              <w:t>Online at www.cetjournal.it</w:t>
            </w:r>
          </w:p>
        </w:tc>
      </w:tr>
      <w:tr w:rsidR="000A03B2" w:rsidRPr="005C714D" w14:paraId="2D1B7169" w14:textId="77777777" w:rsidTr="00DE264A">
        <w:trPr>
          <w:trHeight w:val="68"/>
          <w:jc w:val="center"/>
        </w:trPr>
        <w:tc>
          <w:tcPr>
            <w:tcW w:w="8789" w:type="dxa"/>
            <w:gridSpan w:val="2"/>
          </w:tcPr>
          <w:p w14:paraId="1D8DD3C9" w14:textId="174205F6" w:rsidR="00AA7D26" w:rsidRPr="005C714D" w:rsidRDefault="004A5E57" w:rsidP="00CB2614">
            <w:pPr>
              <w:ind w:left="-107"/>
              <w:outlineLvl w:val="2"/>
              <w:rPr>
                <w:rFonts w:ascii="Tahoma" w:hAnsi="Tahoma" w:cs="Tahoma"/>
                <w:color w:val="000000"/>
                <w:sz w:val="14"/>
                <w:szCs w:val="14"/>
                <w:shd w:val="clear" w:color="auto" w:fill="FFFFFF"/>
                <w:lang w:val="en-US"/>
              </w:rPr>
            </w:pPr>
            <w:r w:rsidRPr="005C714D">
              <w:rPr>
                <w:rFonts w:ascii="Tahoma" w:hAnsi="Tahoma" w:cs="Tahoma"/>
                <w:iCs/>
                <w:color w:val="333333"/>
                <w:sz w:val="14"/>
                <w:szCs w:val="14"/>
                <w:lang w:val="en-US" w:eastAsia="it-IT"/>
              </w:rPr>
              <w:t>Guest Editors:</w:t>
            </w:r>
            <w:r w:rsidRPr="005C714D">
              <w:rPr>
                <w:rFonts w:ascii="Tahoma" w:hAnsi="Tahoma" w:cs="Tahoma"/>
                <w:color w:val="000000"/>
                <w:sz w:val="14"/>
                <w:szCs w:val="14"/>
                <w:shd w:val="clear" w:color="auto" w:fill="FFFFFF"/>
                <w:lang w:val="en-US"/>
              </w:rPr>
              <w:t xml:space="preserve"> </w:t>
            </w:r>
            <w:r w:rsidR="00CB2614" w:rsidRPr="005C714D">
              <w:rPr>
                <w:rFonts w:ascii="Tahoma" w:hAnsi="Tahoma" w:cs="Tahoma"/>
                <w:color w:val="000000"/>
                <w:sz w:val="14"/>
                <w:szCs w:val="14"/>
                <w:shd w:val="clear" w:color="auto" w:fill="FFFFFF"/>
                <w:lang w:val="en-US"/>
              </w:rPr>
              <w:t>Flavio Manenti, Botir Usmonov, Alessandro Di Pretoro</w:t>
            </w:r>
          </w:p>
          <w:p w14:paraId="1B0F1814" w14:textId="710B7B96" w:rsidR="000A03B2" w:rsidRPr="005C714D" w:rsidRDefault="00AA7D26" w:rsidP="00AA7D26">
            <w:pPr>
              <w:tabs>
                <w:tab w:val="left" w:pos="-108"/>
              </w:tabs>
              <w:spacing w:line="140" w:lineRule="atLeast"/>
              <w:ind w:left="-107"/>
              <w:jc w:val="left"/>
              <w:rPr>
                <w:lang w:val="en-US"/>
              </w:rPr>
            </w:pPr>
            <w:r w:rsidRPr="005C714D">
              <w:rPr>
                <w:rFonts w:ascii="Tahoma" w:hAnsi="Tahoma" w:cs="Tahoma"/>
                <w:iCs/>
                <w:color w:val="333333"/>
                <w:sz w:val="14"/>
                <w:szCs w:val="14"/>
                <w:lang w:val="en-US" w:eastAsia="it-IT"/>
              </w:rPr>
              <w:t>Copyright © 202</w:t>
            </w:r>
            <w:r w:rsidR="00005884" w:rsidRPr="005C714D">
              <w:rPr>
                <w:rFonts w:ascii="Tahoma" w:hAnsi="Tahoma" w:cs="Tahoma"/>
                <w:iCs/>
                <w:color w:val="333333"/>
                <w:sz w:val="14"/>
                <w:szCs w:val="14"/>
                <w:lang w:val="en-US" w:eastAsia="it-IT"/>
              </w:rPr>
              <w:t>6</w:t>
            </w:r>
            <w:r w:rsidRPr="005C714D">
              <w:rPr>
                <w:rFonts w:ascii="Tahoma" w:hAnsi="Tahoma" w:cs="Tahoma"/>
                <w:iCs/>
                <w:color w:val="333333"/>
                <w:sz w:val="14"/>
                <w:szCs w:val="14"/>
                <w:lang w:val="en-US" w:eastAsia="it-IT"/>
              </w:rPr>
              <w:t xml:space="preserve">, AIDIC Servizi </w:t>
            </w:r>
            <w:proofErr w:type="spellStart"/>
            <w:r w:rsidRPr="005C714D">
              <w:rPr>
                <w:rFonts w:ascii="Tahoma" w:hAnsi="Tahoma" w:cs="Tahoma"/>
                <w:iCs/>
                <w:color w:val="333333"/>
                <w:sz w:val="14"/>
                <w:szCs w:val="14"/>
                <w:lang w:val="en-US" w:eastAsia="it-IT"/>
              </w:rPr>
              <w:t>S.r.l</w:t>
            </w:r>
            <w:proofErr w:type="spellEnd"/>
            <w:r w:rsidRPr="005C714D">
              <w:rPr>
                <w:rFonts w:ascii="Tahoma" w:hAnsi="Tahoma" w:cs="Tahoma"/>
                <w:iCs/>
                <w:color w:val="333333"/>
                <w:sz w:val="14"/>
                <w:szCs w:val="14"/>
                <w:lang w:val="en-US" w:eastAsia="it-IT"/>
              </w:rPr>
              <w:t>.</w:t>
            </w:r>
            <w:r w:rsidRPr="005C714D">
              <w:rPr>
                <w:rFonts w:ascii="Tahoma" w:hAnsi="Tahoma" w:cs="Tahoma"/>
                <w:iCs/>
                <w:color w:val="333333"/>
                <w:sz w:val="14"/>
                <w:szCs w:val="14"/>
                <w:lang w:val="en-US" w:eastAsia="it-IT"/>
              </w:rPr>
              <w:br/>
            </w:r>
            <w:r w:rsidRPr="005C714D">
              <w:rPr>
                <w:rFonts w:ascii="Tahoma" w:hAnsi="Tahoma" w:cs="Tahoma"/>
                <w:b/>
                <w:iCs/>
                <w:color w:val="000000"/>
                <w:sz w:val="14"/>
                <w:szCs w:val="14"/>
                <w:lang w:val="en-US" w:eastAsia="it-IT"/>
              </w:rPr>
              <w:t>ISBN</w:t>
            </w:r>
            <w:r w:rsidRPr="005C714D">
              <w:rPr>
                <w:rFonts w:ascii="Tahoma" w:hAnsi="Tahoma" w:cs="Tahoma"/>
                <w:iCs/>
                <w:color w:val="000000"/>
                <w:sz w:val="14"/>
                <w:szCs w:val="14"/>
                <w:lang w:val="en-US" w:eastAsia="it-IT"/>
              </w:rPr>
              <w:t xml:space="preserve"> </w:t>
            </w:r>
            <w:r w:rsidR="00D2582C" w:rsidRPr="005C714D">
              <w:rPr>
                <w:rFonts w:ascii="Tahoma" w:hAnsi="Tahoma" w:cs="Tahoma"/>
                <w:sz w:val="14"/>
                <w:szCs w:val="14"/>
                <w:lang w:val="en-US"/>
              </w:rPr>
              <w:t>979-12-81206-</w:t>
            </w:r>
            <w:r w:rsidR="00005884" w:rsidRPr="005C714D">
              <w:rPr>
                <w:rFonts w:ascii="Tahoma" w:hAnsi="Tahoma" w:cs="Tahoma"/>
                <w:sz w:val="14"/>
                <w:szCs w:val="14"/>
                <w:lang w:val="en-US"/>
              </w:rPr>
              <w:t>xx</w:t>
            </w:r>
            <w:r w:rsidR="009041F8" w:rsidRPr="005C714D">
              <w:rPr>
                <w:rFonts w:ascii="Tahoma" w:hAnsi="Tahoma" w:cs="Tahoma"/>
                <w:sz w:val="14"/>
                <w:szCs w:val="14"/>
                <w:lang w:val="en-US"/>
              </w:rPr>
              <w:t>-</w:t>
            </w:r>
            <w:r w:rsidR="00005884" w:rsidRPr="005C714D">
              <w:rPr>
                <w:rFonts w:ascii="Tahoma" w:hAnsi="Tahoma" w:cs="Tahoma"/>
                <w:sz w:val="14"/>
                <w:szCs w:val="14"/>
                <w:lang w:val="en-US"/>
              </w:rPr>
              <w:t>x</w:t>
            </w:r>
            <w:r w:rsidRPr="005C714D">
              <w:rPr>
                <w:rFonts w:ascii="Tahoma" w:hAnsi="Tahoma" w:cs="Tahoma"/>
                <w:iCs/>
                <w:color w:val="333333"/>
                <w:sz w:val="14"/>
                <w:szCs w:val="14"/>
                <w:lang w:val="en-US" w:eastAsia="it-IT"/>
              </w:rPr>
              <w:t xml:space="preserve">; </w:t>
            </w:r>
            <w:r w:rsidRPr="005C714D">
              <w:rPr>
                <w:rFonts w:ascii="Tahoma" w:hAnsi="Tahoma" w:cs="Tahoma"/>
                <w:b/>
                <w:iCs/>
                <w:color w:val="333333"/>
                <w:sz w:val="14"/>
                <w:szCs w:val="14"/>
                <w:lang w:val="en-US" w:eastAsia="it-IT"/>
              </w:rPr>
              <w:t>ISSN</w:t>
            </w:r>
            <w:r w:rsidRPr="005C714D">
              <w:rPr>
                <w:rFonts w:ascii="Tahoma" w:hAnsi="Tahoma" w:cs="Tahoma"/>
                <w:iCs/>
                <w:color w:val="333333"/>
                <w:sz w:val="14"/>
                <w:szCs w:val="14"/>
                <w:lang w:val="en-US" w:eastAsia="it-IT"/>
              </w:rPr>
              <w:t xml:space="preserve"> 2283-9216</w:t>
            </w:r>
          </w:p>
        </w:tc>
      </w:tr>
    </w:tbl>
    <w:bookmarkEnd w:id="0"/>
    <w:p w14:paraId="2E667253" w14:textId="31526967" w:rsidR="00E978D0" w:rsidRPr="005C714D" w:rsidRDefault="00AB0176" w:rsidP="00E978D0">
      <w:pPr>
        <w:pStyle w:val="CETTitle"/>
        <w:rPr>
          <w:lang w:val="en-US"/>
        </w:rPr>
      </w:pPr>
      <w:r w:rsidRPr="005C714D">
        <w:rPr>
          <w:lang w:val="en-US"/>
        </w:rPr>
        <w:t>Overcoming the Hurdles of Miniaturizing Corrugated-Sheet Structures:</w:t>
      </w:r>
      <w:r w:rsidR="00600535" w:rsidRPr="005C714D">
        <w:rPr>
          <w:lang w:val="en-US"/>
        </w:rPr>
        <w:t xml:space="preserve"> </w:t>
      </w:r>
      <w:r w:rsidRPr="005C714D">
        <w:rPr>
          <w:lang w:val="en-US"/>
        </w:rPr>
        <w:t>A Novel 3D-Printed Lab-Scale Distillation Packing</w:t>
      </w:r>
    </w:p>
    <w:p w14:paraId="0488FED2" w14:textId="37BD049F" w:rsidR="00B57E6F" w:rsidRPr="005C714D" w:rsidRDefault="00AB0176" w:rsidP="00AB0176">
      <w:pPr>
        <w:pStyle w:val="CETAuthors"/>
        <w:rPr>
          <w:lang w:val="en-US"/>
        </w:rPr>
      </w:pPr>
      <w:r w:rsidRPr="005C714D">
        <w:rPr>
          <w:lang w:val="en-US"/>
        </w:rPr>
        <w:t>Mohamed Adel Ashour*, Dennis Stucke, Thomas Grützner</w:t>
      </w:r>
    </w:p>
    <w:p w14:paraId="6B2D21B3" w14:textId="18A128EB" w:rsidR="00B57E6F" w:rsidRPr="005C714D" w:rsidRDefault="00AB0176" w:rsidP="00AB0176">
      <w:pPr>
        <w:pStyle w:val="CETAddress"/>
        <w:rPr>
          <w:lang w:val="en-US"/>
        </w:rPr>
      </w:pPr>
      <w:r w:rsidRPr="005C714D">
        <w:rPr>
          <w:lang w:val="en-US"/>
        </w:rPr>
        <w:t>Ulm University, Institute of Chemical Engineering, Laboratory of Thermal Process Engineering, Albert-Einstein-Allee 47, 89081 Ulm, Germany</w:t>
      </w:r>
    </w:p>
    <w:p w14:paraId="73F1267A" w14:textId="653300EE" w:rsidR="00B57E6F" w:rsidRPr="005C714D" w:rsidRDefault="00AB0176" w:rsidP="00AB0176">
      <w:pPr>
        <w:pStyle w:val="CETemail"/>
        <w:rPr>
          <w:lang w:val="en-US"/>
        </w:rPr>
      </w:pPr>
      <w:r w:rsidRPr="005C714D">
        <w:rPr>
          <w:lang w:val="en-US"/>
        </w:rPr>
        <w:t>mohamed.ashour@uni-ulm.de</w:t>
      </w:r>
    </w:p>
    <w:p w14:paraId="20E630D7" w14:textId="23660982" w:rsidR="00AB0176" w:rsidRPr="005C714D" w:rsidRDefault="00AB0176" w:rsidP="00600535">
      <w:pPr>
        <w:pStyle w:val="CETBodytext"/>
      </w:pPr>
      <w:r w:rsidRPr="005C714D">
        <w:t>Miniaturized laboratory distillation columns are attractive for process development and scale-up because they reduce energy demand,</w:t>
      </w:r>
      <w:r w:rsidR="005C714D">
        <w:t xml:space="preserve"> novel</w:t>
      </w:r>
      <w:r w:rsidRPr="005C714D">
        <w:t xml:space="preserve"> chemical consumption, holdup, and safety-related effort. However, diameters below the commonly recommended 40 mm to 50 mm worsen wall effects and aggravate the geometric and installation-related inhomogeneities of conventional corrugated-sheet packings. In this work, these drawbacks are analyzed and a novel additively manufactured corrugated-sheet packing for a DN20 laboratory column is presented: the Corrugated Alternating Zigzag packing (CAZ-Pak). It combines established corrugated-sheet principles with additive-manufacturing design features: homogeneous sheet termination, exact inter-elemental mating, eliminated wall wipers, and orientation rings. The packings were manufactured from polyamide 12 by selective laser sintering and characterized under total reflux with cyclohexane/n-heptane at 900 mbar. In DN20, the CAZ-Pak showed </w:t>
      </w:r>
      <w:r w:rsidR="00505F4C">
        <w:t>more than double the</w:t>
      </w:r>
      <w:r w:rsidRPr="005C714D">
        <w:t xml:space="preserve"> average number of theoretical stages per meter (</w:t>
      </w:r>
      <w:r w:rsidRPr="00583A74">
        <w:rPr>
          <w:i/>
          <w:iCs/>
        </w:rPr>
        <w:t>NTSM</w:t>
      </w:r>
      <w:r w:rsidRPr="005C714D">
        <w:t xml:space="preserve">) </w:t>
      </w:r>
      <w:r w:rsidR="00505F4C">
        <w:t xml:space="preserve">compared to </w:t>
      </w:r>
      <w:r w:rsidR="00A65668">
        <w:t xml:space="preserve">the reference </w:t>
      </w:r>
      <w:r w:rsidRPr="005C714D">
        <w:t xml:space="preserve">additively manufactured </w:t>
      </w:r>
      <w:r w:rsidR="00A65668">
        <w:t>XW-Pak structure</w:t>
      </w:r>
      <w:r w:rsidRPr="005C714D">
        <w:t xml:space="preserve"> with a practically flat efficiency trend over the vapor load range. In DN30, it outperformed Sulzer’s DXM laboratory packing despite a</w:t>
      </w:r>
      <w:r w:rsidR="005C714D">
        <w:t xml:space="preserve"> slightly</w:t>
      </w:r>
      <w:r w:rsidRPr="005C714D">
        <w:t xml:space="preserve"> higher pressure drop</w:t>
      </w:r>
      <w:r w:rsidR="005C714D">
        <w:t>.</w:t>
      </w:r>
      <w:r w:rsidR="002F7A05">
        <w:t xml:space="preserve"> This </w:t>
      </w:r>
      <w:r w:rsidR="0026233B">
        <w:t>contribution</w:t>
      </w:r>
      <w:r w:rsidR="002F7A05">
        <w:t xml:space="preserve"> is a</w:t>
      </w:r>
      <w:r w:rsidR="00212F4A">
        <w:t xml:space="preserve"> </w:t>
      </w:r>
      <w:r w:rsidR="00876421">
        <w:t>concise version</w:t>
      </w:r>
      <w:r w:rsidR="002F7A05">
        <w:t xml:space="preserve"> of a more comprehensive </w:t>
      </w:r>
      <w:r w:rsidR="0026233B">
        <w:t>full research paper</w:t>
      </w:r>
      <w:r w:rsidR="002435CD">
        <w:t> (</w:t>
      </w:r>
      <w:r w:rsidR="002435CD">
        <w:t>Ashour et al., 2026</w:t>
      </w:r>
      <w:r w:rsidR="002435CD">
        <w:t>)</w:t>
      </w:r>
      <w:r w:rsidR="002F7A05">
        <w:t>.</w:t>
      </w:r>
      <w:r w:rsidR="00A9148C">
        <w:t xml:space="preserve"> The </w:t>
      </w:r>
      <w:r w:rsidR="006A04F9">
        <w:t>more comprehensive</w:t>
      </w:r>
      <w:r w:rsidR="00A9148C">
        <w:t xml:space="preserve"> paper contains further comparisons addressing patented advanced 3D</w:t>
      </w:r>
      <w:r w:rsidR="00A9148C">
        <w:noBreakHyphen/>
        <w:t>printed packings,</w:t>
      </w:r>
      <w:r w:rsidR="006A04F9">
        <w:t xml:space="preserve"> </w:t>
      </w:r>
      <w:r w:rsidR="006065EC">
        <w:t xml:space="preserve">proof of </w:t>
      </w:r>
      <w:r w:rsidR="006A04F9">
        <w:t>reproducibility claims,</w:t>
      </w:r>
      <w:r w:rsidR="00A9148C">
        <w:t xml:space="preserve"> diameter variation</w:t>
      </w:r>
      <w:r w:rsidR="006A04F9">
        <w:t xml:space="preserve"> effects</w:t>
      </w:r>
      <w:r w:rsidR="00A9148C">
        <w:t xml:space="preserve"> </w:t>
      </w:r>
      <w:r w:rsidR="006A04F9">
        <w:t>on</w:t>
      </w:r>
      <w:r w:rsidR="00A9148C">
        <w:t xml:space="preserve"> the CAZ</w:t>
      </w:r>
      <w:r w:rsidR="00A9148C">
        <w:noBreakHyphen/>
        <w:t>Pak</w:t>
      </w:r>
      <w:r w:rsidR="006A04F9">
        <w:t xml:space="preserve"> performance</w:t>
      </w:r>
      <w:r w:rsidR="00A9148C">
        <w:t>,</w:t>
      </w:r>
      <w:r w:rsidR="006A04F9">
        <w:t xml:space="preserve"> deeper mechanistic interpretations,</w:t>
      </w:r>
      <w:r w:rsidR="00A9148C">
        <w:t xml:space="preserve"> and further detailed accounting for</w:t>
      </w:r>
      <w:r w:rsidR="006A04F9">
        <w:t xml:space="preserve"> the</w:t>
      </w:r>
      <w:r w:rsidR="00A9148C">
        <w:t xml:space="preserve"> CAZ</w:t>
      </w:r>
      <w:r w:rsidR="00A9148C">
        <w:noBreakHyphen/>
        <w:t>Pak’s geometric definition and homogeneity.</w:t>
      </w:r>
    </w:p>
    <w:p w14:paraId="476B2F2E" w14:textId="77777777" w:rsidR="00600535" w:rsidRPr="005C714D" w:rsidRDefault="00600535" w:rsidP="00600535">
      <w:pPr>
        <w:pStyle w:val="CETHeading1"/>
      </w:pPr>
      <w:r w:rsidRPr="005C714D">
        <w:t>Introduction</w:t>
      </w:r>
    </w:p>
    <w:p w14:paraId="42C87E6E" w14:textId="77777777" w:rsidR="00AB0176" w:rsidRPr="005C714D" w:rsidRDefault="00AB0176" w:rsidP="00AB0176">
      <w:pPr>
        <w:pStyle w:val="CETBodytext"/>
      </w:pPr>
      <w:r w:rsidRPr="005C714D">
        <w:t>Distillation is the most widely used separation technology in the chemical industry and is reported to consume approx. 40 % of its energy demand (Kiss and Smith, 2020). Packed laboratory-scale distillation experiments are an integral part of process development and scale-up, especially for new processes or challenging separation tasks. The most industrially applied scale-up approach is based on the work of Eiden et al. (1995), implemented by the major German chemical companies (</w:t>
      </w:r>
      <w:proofErr w:type="spellStart"/>
      <w:r w:rsidRPr="005C714D">
        <w:t>Schoenmakers</w:t>
      </w:r>
      <w:proofErr w:type="spellEnd"/>
      <w:r w:rsidRPr="005C714D">
        <w:t xml:space="preserve"> and Spiegel, 2014). There, the separation efficiency of a “calibrated” laboratory column, determined at different vapor loads (</w:t>
      </w:r>
      <w:r w:rsidRPr="005C714D">
        <w:rPr>
          <w:i/>
        </w:rPr>
        <w:t>F</w:t>
      </w:r>
      <w:r w:rsidRPr="005C714D">
        <w:t xml:space="preserve">-factor) and pressures with a standard distillation test mixture, is compared to pilot-scale data to derive transferability correlations. This requires the separation efficiency of the </w:t>
      </w:r>
      <w:proofErr w:type="gramStart"/>
      <w:r w:rsidRPr="005C714D">
        <w:t>packing</w:t>
      </w:r>
      <w:proofErr w:type="gramEnd"/>
      <w:r w:rsidRPr="005C714D">
        <w:t xml:space="preserve"> to be minimally dependent on the vapor load as well as accurate and reproducible. Such a packing is considered “scalable”, and the approach works well even if the laboratory packing differs from the industrial one (Eiden et al., 1995).</w:t>
      </w:r>
    </w:p>
    <w:p w14:paraId="20A72C83" w14:textId="1DD41F6A" w:rsidR="00AB0176" w:rsidRPr="005C714D" w:rsidRDefault="00AB0176" w:rsidP="00AB0176">
      <w:pPr>
        <w:pStyle w:val="CETBodytext"/>
      </w:pPr>
      <w:r w:rsidRPr="005C714D">
        <w:t>Calibrated laboratory columns usually have a recommended inside diameter of 40 mm to 50 mm (</w:t>
      </w:r>
      <w:proofErr w:type="spellStart"/>
      <w:r w:rsidRPr="005C714D">
        <w:t>Schoenmakers</w:t>
      </w:r>
      <w:proofErr w:type="spellEnd"/>
      <w:r w:rsidRPr="005C714D">
        <w:t xml:space="preserve"> and Spiegel, 2014), while further miniaturization promises lower energy and equipment expenditure, reduced chemical consumption and holdup, and more lenient safety requirements. However, diameters below approx. 50 mm (DN50) significantly increase the wall-to-packing surface ratio, exacerbating heat losses and wall flow and thus the inaccuracies in the </w:t>
      </w:r>
      <w:proofErr w:type="gramStart"/>
      <w:r w:rsidRPr="005C714D">
        <w:t>derived performance numbers</w:t>
      </w:r>
      <w:proofErr w:type="gramEnd"/>
      <w:r w:rsidRPr="005C714D">
        <w:t xml:space="preserve">. Moreover, standard </w:t>
      </w:r>
      <w:proofErr w:type="gramStart"/>
      <w:r w:rsidRPr="005C714D">
        <w:t>packings</w:t>
      </w:r>
      <w:proofErr w:type="gramEnd"/>
      <w:r w:rsidRPr="005C714D">
        <w:t>, manufactured by bending, cutting and piercing of metal sheets or by plastic molding, are difficult to adapt to smaller diameters, and slight deformations of the fragile sheets cause significant deviations in the measured data.</w:t>
      </w:r>
    </w:p>
    <w:p w14:paraId="48635C4E" w14:textId="5C094FAF" w:rsidR="00AB0176" w:rsidRPr="005C714D" w:rsidRDefault="00AB0176" w:rsidP="008E3EA0">
      <w:pPr>
        <w:pStyle w:val="CETBodytext"/>
      </w:pPr>
      <w:r w:rsidRPr="005C714D">
        <w:t xml:space="preserve">In previous work, heat losses were minimized by an active insulation system. Moreover, a joint research project between Ulm University, the Technical University of Munich, and BASF SE utilized additive manufacturing (AM) to target a scalable packing for a 20 mm column inner diameter (DN20), focusing on repetitive unit cells. It </w:t>
      </w:r>
      <w:r w:rsidRPr="005C714D">
        <w:lastRenderedPageBreak/>
        <w:t>yielded the XW-Pak (</w:t>
      </w:r>
      <w:proofErr w:type="spellStart"/>
      <w:r w:rsidRPr="005C714D">
        <w:t>Neukäufer</w:t>
      </w:r>
      <w:proofErr w:type="spellEnd"/>
      <w:r w:rsidRPr="005C714D">
        <w:t xml:space="preserve"> et al., 2023) and </w:t>
      </w:r>
      <w:r w:rsidR="003F7EB3" w:rsidRPr="005C714D">
        <w:t>several</w:t>
      </w:r>
      <w:r w:rsidRPr="005C714D">
        <w:t xml:space="preserve"> advanced </w:t>
      </w:r>
      <w:r w:rsidR="003F7EB3" w:rsidRPr="005C714D">
        <w:t>s</w:t>
      </w:r>
      <w:r w:rsidRPr="005C714D">
        <w:t>tructure</w:t>
      </w:r>
      <w:r w:rsidR="003F7EB3" w:rsidRPr="005C714D">
        <w:t>s</w:t>
      </w:r>
      <w:r w:rsidR="00145AE3">
        <w:t>,</w:t>
      </w:r>
      <w:r w:rsidR="0094242D">
        <w:t xml:space="preserve"> </w:t>
      </w:r>
      <w:r w:rsidR="0002229B">
        <w:t>one of which</w:t>
      </w:r>
      <w:r w:rsidR="003F7EB3" w:rsidRPr="005C714D">
        <w:t xml:space="preserve"> </w:t>
      </w:r>
      <w:r w:rsidR="0002229B">
        <w:t xml:space="preserve">is </w:t>
      </w:r>
      <w:r w:rsidR="003F7EB3" w:rsidRPr="005C714D">
        <w:t>presented in</w:t>
      </w:r>
      <w:r w:rsidRPr="005C714D">
        <w:t xml:space="preserve"> patent </w:t>
      </w:r>
      <w:r w:rsidR="005258F6">
        <w:t xml:space="preserve">application number </w:t>
      </w:r>
      <w:r w:rsidRPr="005C714D">
        <w:t xml:space="preserve">EP4497498A1. The present contribution follows a different design route based on the corrugated-sheet geometry, the most established structured packing family in industry, whose reliable miniaturization </w:t>
      </w:r>
      <w:r w:rsidR="008E3EA0" w:rsidRPr="008E3EA0">
        <w:rPr>
          <w:lang w:val="en-GB"/>
        </w:rPr>
        <w:t xml:space="preserve">has received limited attention </w:t>
      </w:r>
      <w:r w:rsidRPr="005C714D">
        <w:t>in open literature.</w:t>
      </w:r>
      <w:r w:rsidR="009C21AD">
        <w:t xml:space="preserve"> This </w:t>
      </w:r>
      <w:r w:rsidR="008A2E79">
        <w:t>yields</w:t>
      </w:r>
      <w:r w:rsidR="009C21AD">
        <w:t xml:space="preserve"> </w:t>
      </w:r>
      <w:r w:rsidRPr="005C714D">
        <w:t>the</w:t>
      </w:r>
      <w:r w:rsidR="00305B7A">
        <w:t xml:space="preserve"> novel</w:t>
      </w:r>
      <w:r w:rsidRPr="005C714D">
        <w:t xml:space="preserve"> “Corrugated Alternating Zigzag” packing</w:t>
      </w:r>
      <w:r w:rsidR="009C21AD">
        <w:t>,</w:t>
      </w:r>
      <w:r w:rsidR="00547C84">
        <w:t xml:space="preserve"> abbreviated as</w:t>
      </w:r>
      <w:r w:rsidRPr="005C714D">
        <w:t xml:space="preserve"> CAZ-Pak</w:t>
      </w:r>
      <w:r w:rsidR="00F57F32">
        <w:t> </w:t>
      </w:r>
      <w:r w:rsidR="009C21AD">
        <w:t>(Ashour et al., 2026)</w:t>
      </w:r>
      <w:r w:rsidR="009C21AD">
        <w:t>.</w:t>
      </w:r>
      <w:r w:rsidRPr="005C714D">
        <w:t xml:space="preserve"> </w:t>
      </w:r>
      <w:r w:rsidR="007A498F">
        <w:t xml:space="preserve">Finally, the </w:t>
      </w:r>
      <w:r w:rsidR="000D2271">
        <w:t>CAZ</w:t>
      </w:r>
      <w:r w:rsidR="000D2271">
        <w:noBreakHyphen/>
        <w:t xml:space="preserve">Pak </w:t>
      </w:r>
      <w:r w:rsidRPr="005C714D">
        <w:t>is compared to</w:t>
      </w:r>
      <w:r w:rsidR="00B06954">
        <w:t xml:space="preserve"> the XW</w:t>
      </w:r>
      <w:r w:rsidR="003A13D1">
        <w:noBreakHyphen/>
      </w:r>
      <w:r w:rsidR="00B06954">
        <w:t>Pak</w:t>
      </w:r>
      <w:r w:rsidRPr="005C714D">
        <w:t xml:space="preserve"> </w:t>
      </w:r>
      <w:r w:rsidR="00B06954">
        <w:t>structure</w:t>
      </w:r>
      <w:r w:rsidRPr="005C714D">
        <w:t xml:space="preserve"> </w:t>
      </w:r>
      <w:r w:rsidR="00E84070" w:rsidRPr="005C714D">
        <w:t>from</w:t>
      </w:r>
      <w:r w:rsidRPr="005C714D">
        <w:t xml:space="preserve"> the aforementioned project</w:t>
      </w:r>
      <w:r w:rsidR="00B06954">
        <w:t xml:space="preserve"> and </w:t>
      </w:r>
      <w:r w:rsidRPr="005C714D">
        <w:t>benchmarked against Sulzer’s DXM corrugated-sheet packing</w:t>
      </w:r>
      <w:r w:rsidR="00E84070" w:rsidRPr="005C714D">
        <w:t>.</w:t>
      </w:r>
    </w:p>
    <w:p w14:paraId="09406386" w14:textId="083078BE" w:rsidR="00453E24" w:rsidRDefault="0074031A" w:rsidP="00B06954">
      <w:pPr>
        <w:pStyle w:val="CETHeading1"/>
      </w:pPr>
      <w:r>
        <w:t>Materials and methods</w:t>
      </w:r>
    </w:p>
    <w:p w14:paraId="0F4C0C2C" w14:textId="10438B7C" w:rsidR="006B42C3" w:rsidRDefault="006B42C3" w:rsidP="006B42C3">
      <w:pPr>
        <w:pStyle w:val="CETBodytext"/>
      </w:pPr>
      <w:r>
        <w:t>This section outlines the investigated packings, the experimental setup along with the major equations utilized to generate the separation performance curves.</w:t>
      </w:r>
    </w:p>
    <w:p w14:paraId="0636B784" w14:textId="3C9B710B" w:rsidR="00453E24" w:rsidRPr="005C714D" w:rsidRDefault="0074031A" w:rsidP="00453E24">
      <w:pPr>
        <w:pStyle w:val="CETheadingx"/>
      </w:pPr>
      <w:r>
        <w:t>Packings and additive manufacturing</w:t>
      </w:r>
    </w:p>
    <w:p w14:paraId="1BC7937F" w14:textId="3552EF55" w:rsidR="00D35891" w:rsidRDefault="00D35891" w:rsidP="00B06954">
      <w:pPr>
        <w:pStyle w:val="CETBodytext"/>
      </w:pPr>
      <w:r>
        <w:t xml:space="preserve">The packings investigated in this study are illustrated in Figure 1. </w:t>
      </w:r>
      <w:r w:rsidR="00B06954">
        <w:t>The CAZ-Pak</w:t>
      </w:r>
      <w:r w:rsidR="00425507">
        <w:t xml:space="preserve"> (Ashour et al., 2026)</w:t>
      </w:r>
      <w:r w:rsidR="00B06954">
        <w:t xml:space="preserve"> is compared to the XW-Pak with its repetitive X-shaped unit cells (</w:t>
      </w:r>
      <w:proofErr w:type="spellStart"/>
      <w:r w:rsidR="00B06954">
        <w:t>Neukäufer</w:t>
      </w:r>
      <w:proofErr w:type="spellEnd"/>
      <w:r w:rsidR="00B06954">
        <w:t xml:space="preserve"> et al., 2023) at the </w:t>
      </w:r>
      <w:r w:rsidR="00D56AEA">
        <w:t xml:space="preserve">target </w:t>
      </w:r>
      <w:r w:rsidR="00B06954">
        <w:t>DN20 size. It is further benchmarked in the DN30 size against the conventionally manufactured Sulzer DXM, a metal-sheet equivalent of the wire-gauze DX structure.</w:t>
      </w:r>
    </w:p>
    <w:p w14:paraId="33A8C90D" w14:textId="1EBA0DD0" w:rsidR="00D35891" w:rsidRDefault="00A05D6C" w:rsidP="00B06954">
      <w:pPr>
        <w:pStyle w:val="CETBodytext"/>
      </w:pPr>
      <w:r>
        <w:rPr>
          <w:noProof/>
        </w:rPr>
        <w:drawing>
          <wp:inline distT="0" distB="0" distL="0" distR="0" wp14:anchorId="2E2F2297" wp14:editId="7088A2E6">
            <wp:extent cx="4365514" cy="1980000"/>
            <wp:effectExtent l="0" t="0" r="0" b="1270"/>
            <wp:docPr id="5798549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4365514" cy="1980000"/>
                    </a:xfrm>
                    <a:prstGeom prst="rect">
                      <a:avLst/>
                    </a:prstGeom>
                    <a:noFill/>
                    <a:ln>
                      <a:noFill/>
                    </a:ln>
                  </pic:spPr>
                </pic:pic>
              </a:graphicData>
            </a:graphic>
          </wp:inline>
        </w:drawing>
      </w:r>
    </w:p>
    <w:p w14:paraId="020DD709" w14:textId="0283BE04" w:rsidR="00D35891" w:rsidRPr="00D35891" w:rsidRDefault="00D35891" w:rsidP="00D35891">
      <w:pPr>
        <w:pStyle w:val="CETCaption"/>
        <w:spacing w:before="80" w:after="100"/>
      </w:pPr>
      <w:r>
        <w:t>Figure 1:</w:t>
      </w:r>
      <w:r w:rsidR="001009A5">
        <w:t xml:space="preserve"> Investigated packings: XW-Pak</w:t>
      </w:r>
      <w:r>
        <w:t xml:space="preserve"> (a)</w:t>
      </w:r>
      <w:r w:rsidR="001009A5">
        <w:t>,</w:t>
      </w:r>
      <w:r>
        <w:t xml:space="preserve"> </w:t>
      </w:r>
      <w:r w:rsidR="001009A5">
        <w:t>Sulzer DXM</w:t>
      </w:r>
      <w:r>
        <w:t xml:space="preserve"> (b)</w:t>
      </w:r>
      <w:r w:rsidR="001009A5">
        <w:t>, and CAZ-Pak (c)</w:t>
      </w:r>
      <w:r>
        <w:t>.</w:t>
      </w:r>
    </w:p>
    <w:p w14:paraId="65E5B584" w14:textId="591D9846" w:rsidR="00B06954" w:rsidRDefault="00B06954" w:rsidP="00B06954">
      <w:pPr>
        <w:pStyle w:val="CETBodytext"/>
      </w:pPr>
      <w:r>
        <w:t>Polyamide 12 (PA12) is chosen as printing material for economic reasons. It resists the utilized test mixture chemically and thermally. Moreover, the comparative wettability of the post-processed 3D-printed PA12 surface is found to be comparable to SS 316L sheets as indicated by similar values of preliminary contact angle measurements of water performed at Ulm University. All parts are printed in-house by selective laser sintering (SLS) of PA12 powder using</w:t>
      </w:r>
      <w:r w:rsidR="00E94E45">
        <w:t xml:space="preserve"> a</w:t>
      </w:r>
      <w:r>
        <w:t xml:space="preserve"> </w:t>
      </w:r>
      <w:proofErr w:type="spellStart"/>
      <w:r>
        <w:t>Formlabs</w:t>
      </w:r>
      <w:proofErr w:type="spellEnd"/>
      <w:r>
        <w:t xml:space="preserve"> Fuse 1 printer. After printing, excess powder is removed and the packings are blasted with glass beads for a uniform surface.</w:t>
      </w:r>
    </w:p>
    <w:p w14:paraId="5B2C2812" w14:textId="77777777" w:rsidR="0074031A" w:rsidRDefault="0074031A" w:rsidP="0074031A">
      <w:pPr>
        <w:pStyle w:val="CETheadingx"/>
      </w:pPr>
      <w:r>
        <w:t>Experimental setup</w:t>
      </w:r>
    </w:p>
    <w:p w14:paraId="506D3A6B" w14:textId="78C9FB7A" w:rsidR="0074031A" w:rsidRPr="0074031A" w:rsidRDefault="00B06954" w:rsidP="007F0901">
      <w:pPr>
        <w:pStyle w:val="CETBodytext"/>
      </w:pPr>
      <w:r>
        <w:t xml:space="preserve">The measurements are carried out in a flexible laboratory-scale distillation test rig for column diameters between 20 mm and 50 mm, described by </w:t>
      </w:r>
      <w:proofErr w:type="spellStart"/>
      <w:r>
        <w:t>Neukäufer</w:t>
      </w:r>
      <w:proofErr w:type="spellEnd"/>
      <w:r>
        <w:t xml:space="preserve"> et al. (2021) with </w:t>
      </w:r>
      <w:r w:rsidR="0003162A">
        <w:t xml:space="preserve">later </w:t>
      </w:r>
      <w:r>
        <w:t>modifications</w:t>
      </w:r>
      <w:r w:rsidR="0003162A">
        <w:t xml:space="preserve"> outlined</w:t>
      </w:r>
      <w:r>
        <w:t xml:space="preserve"> by Ashour et al. (202</w:t>
      </w:r>
      <w:r w:rsidR="0003162A">
        <w:t>6</w:t>
      </w:r>
      <w:r>
        <w:t>). Operation at a constant 900 mbar avoids atmospheric pressure fluctuations. The column consists of an AM cylindrical shell housing up to 1 m of packing (glass shells for the DXM). Vapor is generated in an electrically heated glass reboiler (vapor loads up to 1.2 Pa</w:t>
      </w:r>
      <w:r>
        <w:rPr>
          <w:vertAlign w:val="superscript"/>
        </w:rPr>
        <w:t>0.5</w:t>
      </w:r>
      <w:r>
        <w:t>) and condensed in a water-cooled glass condenser. The condensate is returned under total reflux by a gear pump via a Coriolis flow meter. Heat losses are compensated by the active insulation system, and a glass heat exchanger limits the reflux subcooling to 2.5 °C below the</w:t>
      </w:r>
      <w:r w:rsidR="0003098F">
        <w:t xml:space="preserve"> measured</w:t>
      </w:r>
      <w:r>
        <w:t xml:space="preserve"> head temperature. Liquid samples below the </w:t>
      </w:r>
      <w:proofErr w:type="gramStart"/>
      <w:r>
        <w:t>packing</w:t>
      </w:r>
      <w:proofErr w:type="gramEnd"/>
      <w:r>
        <w:t xml:space="preserve"> and from the distillate circuit are analyzed by gas chromatography</w:t>
      </w:r>
      <w:r w:rsidR="007F0901">
        <w:t>.</w:t>
      </w:r>
      <w:r>
        <w:t xml:space="preserve"> </w:t>
      </w:r>
      <w:r w:rsidR="007F0901" w:rsidRPr="007F0901">
        <w:rPr>
          <w:lang w:val="en-GB"/>
        </w:rPr>
        <w:t>The efficiency calculations therefore refer exclusively to the packed section</w:t>
      </w:r>
      <w:r>
        <w:t xml:space="preserve">. Experiments used the cyclohexane/n-heptane (C6/C7) </w:t>
      </w:r>
      <w:r w:rsidR="0003098F">
        <w:t>recommended</w:t>
      </w:r>
      <w:r>
        <w:t xml:space="preserve"> </w:t>
      </w:r>
      <w:r w:rsidR="0003098F">
        <w:t xml:space="preserve">distillation </w:t>
      </w:r>
      <w:r>
        <w:t>test mixture (Onken and Arlt, 1990), approaching operating points stepwise and ensuring steady state before sampling.</w:t>
      </w:r>
    </w:p>
    <w:p w14:paraId="4F8E5301" w14:textId="77777777" w:rsidR="0074031A" w:rsidRDefault="0074031A" w:rsidP="0074031A">
      <w:pPr>
        <w:pStyle w:val="CETheadingx"/>
      </w:pPr>
      <w:r>
        <w:t>Evaluation equations</w:t>
      </w:r>
    </w:p>
    <w:p w14:paraId="148BFE99" w14:textId="47AE2173" w:rsidR="00385A1F" w:rsidRDefault="00385A1F" w:rsidP="00385A1F">
      <w:pPr>
        <w:pStyle w:val="CETBodytext"/>
      </w:pPr>
      <w:r>
        <w:t>Separation efficiency is reported as the height equivalent to a theoretical plate (</w:t>
      </w:r>
      <w:r>
        <w:rPr>
          <w:i/>
        </w:rPr>
        <w:t>HETP</w:t>
      </w:r>
      <w:r>
        <w:t>) or the number of theoretical stages per meter (</w:t>
      </w:r>
      <w:r>
        <w:rPr>
          <w:i/>
        </w:rPr>
        <w:t>NTSM</w:t>
      </w:r>
      <w:r>
        <w:t xml:space="preserve"> = 1/</w:t>
      </w:r>
      <w:r>
        <w:rPr>
          <w:i/>
        </w:rPr>
        <w:t>HETP</w:t>
      </w:r>
      <w:r>
        <w:t>) plotted against the average vapor load (</w:t>
      </w:r>
      <w:r>
        <w:rPr>
          <w:i/>
        </w:rPr>
        <w:t>F</w:t>
      </w:r>
      <w:r>
        <w:t xml:space="preserve">-factor). The </w:t>
      </w:r>
      <w:r>
        <w:rPr>
          <w:i/>
        </w:rPr>
        <w:t>HETP</w:t>
      </w:r>
      <w:r>
        <w:t xml:space="preserve"> follows from the number of theoretical stages </w:t>
      </w:r>
      <w:r>
        <w:rPr>
          <w:i/>
        </w:rPr>
        <w:t>n</w:t>
      </w:r>
      <w:r>
        <w:rPr>
          <w:vertAlign w:val="subscript"/>
        </w:rPr>
        <w:t>th</w:t>
      </w:r>
      <w:r>
        <w:t xml:space="preserve"> and packed height </w:t>
      </w:r>
      <w:proofErr w:type="spellStart"/>
      <w:r>
        <w:rPr>
          <w:i/>
        </w:rPr>
        <w:t>h</w:t>
      </w:r>
      <w:r>
        <w:rPr>
          <w:vertAlign w:val="subscript"/>
        </w:rPr>
        <w:t>P</w:t>
      </w:r>
      <w:proofErr w:type="spellEnd"/>
      <w:r>
        <w:t xml:space="preserve"> as in </w:t>
      </w:r>
      <w:proofErr w:type="gramStart"/>
      <w:r>
        <w:t>Eq(</w:t>
      </w:r>
      <w:proofErr w:type="gramEnd"/>
      <w:r>
        <w:t xml:space="preserve">1). Owing to the near-ideal behavior of the C6/C7 system, </w:t>
      </w:r>
      <w:proofErr w:type="gramStart"/>
      <w:r>
        <w:rPr>
          <w:i/>
        </w:rPr>
        <w:t>n</w:t>
      </w:r>
      <w:r>
        <w:rPr>
          <w:vertAlign w:val="subscript"/>
        </w:rPr>
        <w:t>th</w:t>
      </w:r>
      <w:proofErr w:type="gramEnd"/>
      <w:r>
        <w:t xml:space="preserve"> is calculated by the well-known Fenske </w:t>
      </w:r>
      <w:r w:rsidR="005333D6">
        <w:t>equation</w:t>
      </w:r>
      <w:r>
        <w:t xml:space="preserve"> in </w:t>
      </w:r>
      <w:proofErr w:type="gramStart"/>
      <w:r>
        <w:t>Eq(</w:t>
      </w:r>
      <w:proofErr w:type="gramEnd"/>
      <w:r>
        <w:t>2) (Fenske, 1932).</w:t>
      </w:r>
    </w:p>
    <w:tbl>
      <w:tblPr>
        <w:tblW w:w="5000" w:type="pct"/>
        <w:tblLook w:val="04A0" w:firstRow="1" w:lastRow="0" w:firstColumn="1" w:lastColumn="0" w:noHBand="0" w:noVBand="1"/>
      </w:tblPr>
      <w:tblGrid>
        <w:gridCol w:w="7986"/>
        <w:gridCol w:w="801"/>
      </w:tblGrid>
      <w:tr w:rsidR="00F1107E" w:rsidRPr="005C714D" w14:paraId="5A1E5592" w14:textId="77777777" w:rsidTr="00B14691">
        <w:tc>
          <w:tcPr>
            <w:tcW w:w="7986" w:type="dxa"/>
            <w:vAlign w:val="center"/>
          </w:tcPr>
          <w:p w14:paraId="2A76CDE0" w14:textId="5516C8DE" w:rsidR="00F1107E" w:rsidRPr="00F1107E" w:rsidRDefault="00F1107E" w:rsidP="00B14691">
            <w:pPr>
              <w:pStyle w:val="CETEquation"/>
              <w:rPr>
                <w:lang w:val="en-US"/>
              </w:rPr>
            </w:pPr>
            <m:oMathPara>
              <m:oMathParaPr>
                <m:jc m:val="left"/>
              </m:oMathParaPr>
              <m:oMath>
                <m:r>
                  <w:rPr>
                    <w:rFonts w:ascii="Cambria Math" w:hAnsi="Cambria Math"/>
                  </w:rPr>
                  <w:lastRenderedPageBreak/>
                  <m:t>HETP</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P</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th</m:t>
                        </m:r>
                      </m:sub>
                    </m:sSub>
                  </m:den>
                </m:f>
              </m:oMath>
            </m:oMathPara>
          </w:p>
        </w:tc>
        <w:tc>
          <w:tcPr>
            <w:tcW w:w="801" w:type="dxa"/>
            <w:vAlign w:val="center"/>
          </w:tcPr>
          <w:p w14:paraId="2AC4C74B" w14:textId="77777777" w:rsidR="00F1107E" w:rsidRPr="005C714D" w:rsidRDefault="00F1107E" w:rsidP="00B14691">
            <w:pPr>
              <w:pStyle w:val="CETEquation"/>
              <w:jc w:val="right"/>
              <w:rPr>
                <w:lang w:val="en-US"/>
              </w:rPr>
            </w:pPr>
            <w:r w:rsidRPr="005C714D">
              <w:rPr>
                <w:lang w:val="en-US"/>
              </w:rPr>
              <w:t>(1)</w:t>
            </w:r>
          </w:p>
        </w:tc>
      </w:tr>
      <w:tr w:rsidR="00F1107E" w:rsidRPr="005C714D" w14:paraId="0E9F57F3" w14:textId="77777777" w:rsidTr="00B14691">
        <w:tc>
          <w:tcPr>
            <w:tcW w:w="7986" w:type="dxa"/>
            <w:vAlign w:val="center"/>
          </w:tcPr>
          <w:p w14:paraId="1CD329B7" w14:textId="736E774A" w:rsidR="00F1107E" w:rsidRPr="00F1107E" w:rsidRDefault="00000000" w:rsidP="00B14691">
            <w:pPr>
              <w:pStyle w:val="CETEquation"/>
              <w:rPr>
                <w:lang w:val="en-US"/>
              </w:rPr>
            </w:pPr>
            <m:oMathPara>
              <m:oMathParaPr>
                <m:jc m:val="left"/>
              </m:oMathParaPr>
              <m:oMath>
                <m:sSub>
                  <m:sSubPr>
                    <m:ctrlPr>
                      <w:rPr>
                        <w:rFonts w:ascii="Cambria Math" w:hAnsi="Cambria Math"/>
                      </w:rPr>
                    </m:ctrlPr>
                  </m:sSubPr>
                  <m:e>
                    <m:r>
                      <w:rPr>
                        <w:rFonts w:ascii="Cambria Math" w:hAnsi="Cambria Math"/>
                      </w:rPr>
                      <m:t>n</m:t>
                    </m:r>
                  </m:e>
                  <m:sub>
                    <m:r>
                      <m:rPr>
                        <m:sty m:val="p"/>
                      </m:rPr>
                      <w:rPr>
                        <w:rFonts w:ascii="Cambria Math" w:hAnsi="Cambria Math"/>
                      </w:rPr>
                      <m:t>th</m:t>
                    </m:r>
                  </m:sub>
                </m:sSub>
                <m:r>
                  <m:rPr>
                    <m:sty m:val="p"/>
                  </m:rPr>
                  <w:rPr>
                    <w:rFonts w:ascii="Cambria Math" w:hAnsi="Cambria Math"/>
                  </w:rPr>
                  <m:t>=</m:t>
                </m:r>
                <m:f>
                  <m:fPr>
                    <m:ctrlPr>
                      <w:rPr>
                        <w:rFonts w:ascii="Cambria Math" w:hAnsi="Cambria Math"/>
                      </w:rPr>
                    </m:ctrlPr>
                  </m:fPr>
                  <m:num>
                    <m:func>
                      <m:funcPr>
                        <m:ctrlPr>
                          <w:rPr>
                            <w:rFonts w:ascii="Cambria Math" w:hAnsi="Cambria Math"/>
                          </w:rPr>
                        </m:ctrlPr>
                      </m:funcPr>
                      <m:fName>
                        <m:r>
                          <m:rPr>
                            <m:sty m:val="p"/>
                          </m:rPr>
                          <w:rPr>
                            <w:rFonts w:ascii="Cambria Math" w:hAnsi="Cambria Math"/>
                          </w:rPr>
                          <m:t>ln</m:t>
                        </m:r>
                      </m:fName>
                      <m:e>
                        <m:d>
                          <m:dPr>
                            <m:begChr m:val="["/>
                            <m:endChr m:val="]"/>
                            <m:ctrlPr>
                              <w:rPr>
                                <w:rFonts w:ascii="Cambria Math" w:hAnsi="Cambria Math"/>
                                <w:i/>
                              </w:rPr>
                            </m:ctrlPr>
                          </m:dPr>
                          <m:e>
                            <m:f>
                              <m:fPr>
                                <m:ctrlPr>
                                  <w:rPr>
                                    <w:rFonts w:ascii="Cambria Math" w:hAnsi="Cambria Math"/>
                                  </w:rPr>
                                </m:ctrlPr>
                              </m:fPr>
                              <m:num>
                                <m:sSub>
                                  <m:sSubPr>
                                    <m:ctrlPr>
                                      <w:rPr>
                                        <w:rFonts w:ascii="Cambria Math" w:hAnsi="Cambria Math"/>
                                      </w:rPr>
                                    </m:ctrlPr>
                                  </m:sSubPr>
                                  <m:e>
                                    <m:r>
                                      <w:rPr>
                                        <w:rFonts w:ascii="Cambria Math" w:hAnsi="Cambria Math"/>
                                      </w:rPr>
                                      <m:t>x</m:t>
                                    </m:r>
                                  </m:e>
                                  <m:sub>
                                    <m:r>
                                      <m:rPr>
                                        <m:sty m:val="p"/>
                                      </m:rPr>
                                      <w:rPr>
                                        <w:rFonts w:ascii="Cambria Math" w:hAnsi="Cambria Math"/>
                                      </w:rPr>
                                      <m:t>C6,top</m:t>
                                    </m:r>
                                  </m:sub>
                                </m:sSub>
                                <m:r>
                                  <m:rPr>
                                    <m:sty m:val="p"/>
                                  </m:rPr>
                                  <w:rPr>
                                    <w:rFonts w:ascii="Cambria Math" w:hAnsi="Cambria Math"/>
                                  </w:rPr>
                                  <m:t>⋅(1-</m:t>
                                </m:r>
                                <m:sSub>
                                  <m:sSubPr>
                                    <m:ctrlPr>
                                      <w:rPr>
                                        <w:rFonts w:ascii="Cambria Math" w:hAnsi="Cambria Math"/>
                                      </w:rPr>
                                    </m:ctrlPr>
                                  </m:sSubPr>
                                  <m:e>
                                    <m:r>
                                      <w:rPr>
                                        <w:rFonts w:ascii="Cambria Math" w:hAnsi="Cambria Math"/>
                                      </w:rPr>
                                      <m:t>x</m:t>
                                    </m:r>
                                  </m:e>
                                  <m:sub>
                                    <m:r>
                                      <m:rPr>
                                        <m:sty m:val="p"/>
                                      </m:rPr>
                                      <w:rPr>
                                        <w:rFonts w:ascii="Cambria Math" w:hAnsi="Cambria Math"/>
                                      </w:rPr>
                                      <m:t>C6,bot</m:t>
                                    </m:r>
                                  </m:sub>
                                </m:sSub>
                                <m:r>
                                  <m:rPr>
                                    <m:sty m:val="p"/>
                                  </m:rPr>
                                  <w:rPr>
                                    <w:rFonts w:ascii="Cambria Math" w:hAnsi="Cambria Math"/>
                                  </w:rPr>
                                  <m:t>)</m:t>
                                </m:r>
                              </m:num>
                              <m:den>
                                <m:sSub>
                                  <m:sSubPr>
                                    <m:ctrlPr>
                                      <w:rPr>
                                        <w:rFonts w:ascii="Cambria Math" w:hAnsi="Cambria Math"/>
                                      </w:rPr>
                                    </m:ctrlPr>
                                  </m:sSubPr>
                                  <m:e>
                                    <m:r>
                                      <w:rPr>
                                        <w:rFonts w:ascii="Cambria Math" w:hAnsi="Cambria Math"/>
                                      </w:rPr>
                                      <m:t>x</m:t>
                                    </m:r>
                                  </m:e>
                                  <m:sub>
                                    <m:r>
                                      <m:rPr>
                                        <m:sty m:val="p"/>
                                      </m:rPr>
                                      <w:rPr>
                                        <w:rFonts w:ascii="Cambria Math" w:hAnsi="Cambria Math"/>
                                      </w:rPr>
                                      <m:t>C6,bot</m:t>
                                    </m:r>
                                  </m:sub>
                                </m:sSub>
                                <m:r>
                                  <m:rPr>
                                    <m:sty m:val="p"/>
                                  </m:rPr>
                                  <w:rPr>
                                    <w:rFonts w:ascii="Cambria Math" w:hAnsi="Cambria Math"/>
                                  </w:rPr>
                                  <m:t>⋅(1-</m:t>
                                </m:r>
                                <m:sSub>
                                  <m:sSubPr>
                                    <m:ctrlPr>
                                      <w:rPr>
                                        <w:rFonts w:ascii="Cambria Math" w:hAnsi="Cambria Math"/>
                                      </w:rPr>
                                    </m:ctrlPr>
                                  </m:sSubPr>
                                  <m:e>
                                    <m:r>
                                      <w:rPr>
                                        <w:rFonts w:ascii="Cambria Math" w:hAnsi="Cambria Math"/>
                                      </w:rPr>
                                      <m:t>x</m:t>
                                    </m:r>
                                  </m:e>
                                  <m:sub>
                                    <m:r>
                                      <m:rPr>
                                        <m:sty m:val="p"/>
                                      </m:rPr>
                                      <w:rPr>
                                        <w:rFonts w:ascii="Cambria Math" w:hAnsi="Cambria Math"/>
                                      </w:rPr>
                                      <m:t>C6,top</m:t>
                                    </m:r>
                                  </m:sub>
                                </m:sSub>
                                <m:r>
                                  <m:rPr>
                                    <m:sty m:val="p"/>
                                  </m:rPr>
                                  <w:rPr>
                                    <w:rFonts w:ascii="Cambria Math" w:hAnsi="Cambria Math"/>
                                  </w:rPr>
                                  <m:t>)</m:t>
                                </m:r>
                              </m:den>
                            </m:f>
                          </m:e>
                        </m:d>
                      </m:e>
                    </m:func>
                  </m:num>
                  <m:den>
                    <m:r>
                      <m:rPr>
                        <m:sty m:val="p"/>
                      </m:rPr>
                      <w:rPr>
                        <w:rFonts w:ascii="Cambria Math" w:hAnsi="Cambria Math"/>
                      </w:rPr>
                      <m:t xml:space="preserve">ln </m:t>
                    </m:r>
                    <m:sSub>
                      <m:sSubPr>
                        <m:ctrlPr>
                          <w:rPr>
                            <w:rFonts w:ascii="Cambria Math" w:hAnsi="Cambria Math"/>
                          </w:rPr>
                        </m:ctrlPr>
                      </m:sSubPr>
                      <m:e>
                        <m:r>
                          <w:rPr>
                            <w:rFonts w:ascii="Cambria Math" w:hAnsi="Cambria Math"/>
                          </w:rPr>
                          <m:t>α</m:t>
                        </m:r>
                      </m:e>
                      <m:sub>
                        <m:r>
                          <m:rPr>
                            <m:sty m:val="p"/>
                          </m:rPr>
                          <w:rPr>
                            <w:rFonts w:ascii="Cambria Math" w:hAnsi="Cambria Math"/>
                          </w:rPr>
                          <m:t>12,avg</m:t>
                        </m:r>
                      </m:sub>
                    </m:sSub>
                  </m:den>
                </m:f>
              </m:oMath>
            </m:oMathPara>
          </w:p>
        </w:tc>
        <w:tc>
          <w:tcPr>
            <w:tcW w:w="801" w:type="dxa"/>
            <w:vAlign w:val="center"/>
          </w:tcPr>
          <w:p w14:paraId="6BF41A3C" w14:textId="6E452272" w:rsidR="00F1107E" w:rsidRPr="005C714D" w:rsidRDefault="00F1107E" w:rsidP="00B14691">
            <w:pPr>
              <w:pStyle w:val="CETEquation"/>
              <w:jc w:val="right"/>
              <w:rPr>
                <w:lang w:val="en-US"/>
              </w:rPr>
            </w:pPr>
            <w:r w:rsidRPr="005C714D">
              <w:rPr>
                <w:lang w:val="en-US"/>
              </w:rPr>
              <w:t>(</w:t>
            </w:r>
            <w:r w:rsidR="001B679D">
              <w:rPr>
                <w:lang w:val="en-US"/>
              </w:rPr>
              <w:t>2</w:t>
            </w:r>
            <w:r w:rsidRPr="005C714D">
              <w:rPr>
                <w:lang w:val="en-US"/>
              </w:rPr>
              <w:t>)</w:t>
            </w:r>
          </w:p>
        </w:tc>
      </w:tr>
    </w:tbl>
    <w:p w14:paraId="6CA73BD5" w14:textId="77777777" w:rsidR="00385A1F" w:rsidRDefault="00385A1F" w:rsidP="00385A1F">
      <w:pPr>
        <w:pStyle w:val="CETBodytext"/>
      </w:pPr>
      <w:r>
        <w:t xml:space="preserve">The required vapor-liquid equilibrium at 900 mbar is calculated by the modified Raoult’s law with the NRTL model for the activity coefficients, and the average relative volatility </w:t>
      </w:r>
      <w:r>
        <w:rPr>
          <w:i/>
        </w:rPr>
        <w:t>α</w:t>
      </w:r>
      <w:proofErr w:type="gramStart"/>
      <w:r>
        <w:rPr>
          <w:vertAlign w:val="subscript"/>
        </w:rPr>
        <w:t>12,avg</w:t>
      </w:r>
      <w:proofErr w:type="gramEnd"/>
      <w:r>
        <w:t xml:space="preserve"> is obtained via geometric mean over the discretized measured composition range. The </w:t>
      </w:r>
      <w:r>
        <w:rPr>
          <w:i/>
        </w:rPr>
        <w:t>F</w:t>
      </w:r>
      <w:r>
        <w:t xml:space="preserve">-factor at an axial point </w:t>
      </w:r>
      <w:r>
        <w:rPr>
          <w:i/>
        </w:rPr>
        <w:t>j</w:t>
      </w:r>
      <w:r>
        <w:t xml:space="preserve"> is calculated as in </w:t>
      </w:r>
      <w:proofErr w:type="gramStart"/>
      <w:r>
        <w:t>Eq(</w:t>
      </w:r>
      <w:proofErr w:type="gramEnd"/>
      <w:r>
        <w:t xml:space="preserve">3), where </w:t>
      </w:r>
      <w:proofErr w:type="spellStart"/>
      <w:proofErr w:type="gramStart"/>
      <w:r>
        <w:rPr>
          <w:i/>
        </w:rPr>
        <w:t>u</w:t>
      </w:r>
      <w:r>
        <w:rPr>
          <w:vertAlign w:val="subscript"/>
        </w:rPr>
        <w:t>V,j</w:t>
      </w:r>
      <w:proofErr w:type="spellEnd"/>
      <w:proofErr w:type="gramEnd"/>
      <w:r>
        <w:t xml:space="preserve"> is the superficial vapor velocity, </w:t>
      </w:r>
      <w:proofErr w:type="spellStart"/>
      <w:r>
        <w:rPr>
          <w:i/>
        </w:rPr>
        <w:t>ρ</w:t>
      </w:r>
      <w:proofErr w:type="gramStart"/>
      <w:r>
        <w:rPr>
          <w:vertAlign w:val="subscript"/>
        </w:rPr>
        <w:t>V,j</w:t>
      </w:r>
      <w:proofErr w:type="spellEnd"/>
      <w:proofErr w:type="gramEnd"/>
      <w:r>
        <w:t xml:space="preserve"> the vapor density, </w:t>
      </w:r>
      <w:proofErr w:type="spellStart"/>
      <w:proofErr w:type="gramStart"/>
      <w:r>
        <w:rPr>
          <w:i/>
        </w:rPr>
        <w:t>ṁ</w:t>
      </w:r>
      <w:r>
        <w:rPr>
          <w:vertAlign w:val="subscript"/>
        </w:rPr>
        <w:t>V,j</w:t>
      </w:r>
      <w:proofErr w:type="spellEnd"/>
      <w:proofErr w:type="gramEnd"/>
      <w:r>
        <w:t xml:space="preserve"> the vapor mass flow rate and </w:t>
      </w:r>
      <w:r>
        <w:rPr>
          <w:i/>
        </w:rPr>
        <w:t>d</w:t>
      </w:r>
      <w:r>
        <w:rPr>
          <w:vertAlign w:val="subscript"/>
        </w:rPr>
        <w:t>c</w:t>
      </w:r>
      <w:r>
        <w:t xml:space="preserve"> the inside column diameter.</w:t>
      </w:r>
    </w:p>
    <w:tbl>
      <w:tblPr>
        <w:tblW w:w="5000" w:type="pct"/>
        <w:tblLook w:val="04A0" w:firstRow="1" w:lastRow="0" w:firstColumn="1" w:lastColumn="0" w:noHBand="0" w:noVBand="1"/>
      </w:tblPr>
      <w:tblGrid>
        <w:gridCol w:w="7986"/>
        <w:gridCol w:w="801"/>
      </w:tblGrid>
      <w:tr w:rsidR="001B679D" w:rsidRPr="005C714D" w14:paraId="77AE9652" w14:textId="77777777" w:rsidTr="00B14691">
        <w:tc>
          <w:tcPr>
            <w:tcW w:w="7986" w:type="dxa"/>
            <w:vAlign w:val="center"/>
          </w:tcPr>
          <w:p w14:paraId="0C0EFB95" w14:textId="2C72C877" w:rsidR="001B679D" w:rsidRPr="001B679D" w:rsidRDefault="00000000" w:rsidP="00B14691">
            <w:pPr>
              <w:pStyle w:val="CETEquation"/>
              <w:rPr>
                <w:lang w:val="en-US"/>
              </w:rPr>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V</m:t>
                    </m:r>
                  </m:sub>
                </m:sSub>
                <m:r>
                  <w:rPr>
                    <w:rFonts w:ascii="Cambria Math" w:hAnsi="Cambria Math"/>
                  </w:rPr>
                  <m:t>=0.5⋅</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V,top</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V,bot</m:t>
                        </m:r>
                      </m:sub>
                    </m:sSub>
                  </m:e>
                </m:d>
                <m:r>
                  <w:rPr>
                    <w:rFonts w:ascii="Cambria Math" w:hAnsi="Cambria Math"/>
                  </w:rPr>
                  <m:t>=0.5⋅</m:t>
                </m:r>
                <m:d>
                  <m:dPr>
                    <m:begChr m:val="["/>
                    <m:endChr m:val="]"/>
                    <m:ctrlPr>
                      <w:rPr>
                        <w:rFonts w:ascii="Cambria Math" w:hAnsi="Cambria Math"/>
                        <w:i/>
                      </w:rPr>
                    </m:ctrlPr>
                  </m:dPr>
                  <m:e>
                    <m:f>
                      <m:fPr>
                        <m:ctrlPr>
                          <w:rPr>
                            <w:rFonts w:ascii="Cambria Math" w:hAnsi="Cambria Math"/>
                            <w:i/>
                          </w:rPr>
                        </m:ctrlPr>
                      </m:fPr>
                      <m:num>
                        <m:r>
                          <w:rPr>
                            <w:rFonts w:ascii="Cambria Math" w:hAnsi="Cambria Math"/>
                          </w:rPr>
                          <m:t>4⋅</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V,top</m:t>
                            </m:r>
                          </m:sub>
                        </m:sSub>
                      </m:num>
                      <m:den>
                        <m:r>
                          <w:rPr>
                            <w:rFonts w:ascii="Cambria Math" w:hAnsi="Cambria Math"/>
                          </w:rPr>
                          <m:t>π⋅</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c</m:t>
                                </m:r>
                              </m:sub>
                            </m:sSub>
                          </m:e>
                          <m:sup>
                            <m:r>
                              <w:rPr>
                                <w:rFonts w:ascii="Cambria Math" w:hAnsi="Cambria Math"/>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ρ</m:t>
                                </m:r>
                              </m:e>
                              <m:sub>
                                <m:r>
                                  <w:rPr>
                                    <w:rFonts w:ascii="Cambria Math" w:hAnsi="Cambria Math"/>
                                  </w:rPr>
                                  <m:t>V,top</m:t>
                                </m:r>
                              </m:sub>
                            </m:sSub>
                          </m:e>
                          <m:sup>
                            <m:r>
                              <w:rPr>
                                <w:rFonts w:ascii="Cambria Math" w:hAnsi="Cambria Math"/>
                              </w:rPr>
                              <m:t>0.5</m:t>
                            </m:r>
                          </m:sup>
                        </m:sSup>
                      </m:den>
                    </m:f>
                    <m:r>
                      <w:rPr>
                        <w:rFonts w:ascii="Cambria Math" w:hAnsi="Cambria Math"/>
                      </w:rPr>
                      <m:t>+</m:t>
                    </m:r>
                    <m:f>
                      <m:fPr>
                        <m:ctrlPr>
                          <w:rPr>
                            <w:rFonts w:ascii="Cambria Math" w:hAnsi="Cambria Math"/>
                            <w:i/>
                          </w:rPr>
                        </m:ctrlPr>
                      </m:fPr>
                      <m:num>
                        <m:r>
                          <w:rPr>
                            <w:rFonts w:ascii="Cambria Math" w:hAnsi="Cambria Math"/>
                          </w:rPr>
                          <m:t>4⋅</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V,bot</m:t>
                            </m:r>
                          </m:sub>
                        </m:sSub>
                      </m:num>
                      <m:den>
                        <m:r>
                          <w:rPr>
                            <w:rFonts w:ascii="Cambria Math" w:hAnsi="Cambria Math"/>
                          </w:rPr>
                          <m:t>π⋅</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c</m:t>
                                </m:r>
                              </m:sub>
                            </m:sSub>
                          </m:e>
                          <m:sup>
                            <m:r>
                              <w:rPr>
                                <w:rFonts w:ascii="Cambria Math" w:hAnsi="Cambria Math"/>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ρ</m:t>
                                </m:r>
                              </m:e>
                              <m:sub>
                                <m:r>
                                  <w:rPr>
                                    <w:rFonts w:ascii="Cambria Math" w:hAnsi="Cambria Math"/>
                                  </w:rPr>
                                  <m:t>V,bot</m:t>
                                </m:r>
                              </m:sub>
                            </m:sSub>
                          </m:e>
                          <m:sup>
                            <m:r>
                              <w:rPr>
                                <w:rFonts w:ascii="Cambria Math" w:hAnsi="Cambria Math"/>
                              </w:rPr>
                              <m:t>0.5</m:t>
                            </m:r>
                          </m:sup>
                        </m:sSup>
                      </m:den>
                    </m:f>
                  </m:e>
                </m:d>
              </m:oMath>
            </m:oMathPara>
          </w:p>
        </w:tc>
        <w:tc>
          <w:tcPr>
            <w:tcW w:w="801" w:type="dxa"/>
            <w:vAlign w:val="center"/>
          </w:tcPr>
          <w:p w14:paraId="35D641FF" w14:textId="28E451F2" w:rsidR="001B679D" w:rsidRPr="005C714D" w:rsidRDefault="001B679D" w:rsidP="00B14691">
            <w:pPr>
              <w:pStyle w:val="CETEquation"/>
              <w:jc w:val="right"/>
              <w:rPr>
                <w:lang w:val="en-US"/>
              </w:rPr>
            </w:pPr>
            <w:r w:rsidRPr="005C714D">
              <w:rPr>
                <w:lang w:val="en-US"/>
              </w:rPr>
              <w:t>(</w:t>
            </w:r>
            <w:r>
              <w:rPr>
                <w:lang w:val="en-US"/>
              </w:rPr>
              <w:t>3</w:t>
            </w:r>
            <w:r w:rsidRPr="005C714D">
              <w:rPr>
                <w:lang w:val="en-US"/>
              </w:rPr>
              <w:t>)</w:t>
            </w:r>
          </w:p>
        </w:tc>
      </w:tr>
    </w:tbl>
    <w:p w14:paraId="5436D977" w14:textId="17C22E05" w:rsidR="00453E24" w:rsidRPr="005C714D" w:rsidRDefault="00385A1F" w:rsidP="00DD7D24">
      <w:pPr>
        <w:pStyle w:val="CETBodytext"/>
      </w:pPr>
      <w:r w:rsidRPr="009C2CF1">
        <w:t xml:space="preserve">Since vapor density and mass flow rate vary along the column height, the measured reflux flow rate </w:t>
      </w:r>
      <w:r>
        <w:t xml:space="preserve">at the top </w:t>
      </w:r>
      <w:r w:rsidRPr="009C2CF1">
        <w:t xml:space="preserve">is corrected via heat balances for reflux subcooling, heat losses, and latent heat differences and the density is corrected for the pressure drop. The representative </w:t>
      </w:r>
      <w:r w:rsidRPr="009C2CF1">
        <w:rPr>
          <w:i/>
        </w:rPr>
        <w:t>F</w:t>
      </w:r>
      <w:r w:rsidRPr="009C2CF1">
        <w:t>-factor is the arithmetic average between top and bottom</w:t>
      </w:r>
      <w:r w:rsidR="004C6D4C">
        <w:t xml:space="preserve">. The extensive set of equations and correlations implemented to calculate the required thermophysical and thermodynamic properties can be found in </w:t>
      </w:r>
      <w:proofErr w:type="spellStart"/>
      <w:r w:rsidR="004C6D4C">
        <w:t>Neukäufer</w:t>
      </w:r>
      <w:proofErr w:type="spellEnd"/>
      <w:r w:rsidR="004C6D4C">
        <w:t xml:space="preserve"> et al. (2021) and Ashour et al. (2026).</w:t>
      </w:r>
      <w:r w:rsidR="00DD7D24">
        <w:t xml:space="preserve"> Finally, the</w:t>
      </w:r>
      <w:r w:rsidRPr="009C2CF1">
        <w:t xml:space="preserve"> error bars </w:t>
      </w:r>
      <w:r w:rsidR="00DD7D24">
        <w:t>are obtained</w:t>
      </w:r>
      <w:r w:rsidRPr="009C2CF1">
        <w:t xml:space="preserve"> from error propagation</w:t>
      </w:r>
      <w:r w:rsidR="00D01484">
        <w:t xml:space="preserve"> as described by </w:t>
      </w:r>
      <w:proofErr w:type="spellStart"/>
      <w:r w:rsidR="00D01484">
        <w:t>Neukäufer</w:t>
      </w:r>
      <w:proofErr w:type="spellEnd"/>
      <w:r w:rsidR="00D01484">
        <w:t xml:space="preserve"> et al. (2021)</w:t>
      </w:r>
      <w:r w:rsidRPr="009C2CF1">
        <w:t>.</w:t>
      </w:r>
    </w:p>
    <w:p w14:paraId="3BF315E5" w14:textId="65556E10" w:rsidR="0074031A" w:rsidRDefault="0074031A" w:rsidP="0074031A">
      <w:pPr>
        <w:pStyle w:val="CETHeading1"/>
      </w:pPr>
      <w:r>
        <w:t>Conventional laboratory packings drawbacks</w:t>
      </w:r>
    </w:p>
    <w:p w14:paraId="6D898A17" w14:textId="14D4D0DC" w:rsidR="00517572" w:rsidRDefault="00517572" w:rsidP="00517572">
      <w:pPr>
        <w:pStyle w:val="CETBodytext"/>
      </w:pPr>
      <w:r>
        <w:t>Conventional corrugated wire-gauze packings are the most widely used</w:t>
      </w:r>
      <w:r w:rsidR="001C4786">
        <w:t xml:space="preserve"> packing</w:t>
      </w:r>
      <w:r>
        <w:t xml:space="preserve"> </w:t>
      </w:r>
      <w:r w:rsidR="001C4786">
        <w:t>type for laboratory applications</w:t>
      </w:r>
      <w:r>
        <w:t xml:space="preserve">. While they </w:t>
      </w:r>
      <w:r w:rsidR="00662BFF">
        <w:t>exhibit outstanding separation performance,</w:t>
      </w:r>
      <w:r w:rsidR="000E0F29">
        <w:t xml:space="preserve"> </w:t>
      </w:r>
      <w:r>
        <w:t>the</w:t>
      </w:r>
      <w:r w:rsidR="00662BFF">
        <w:t>ir</w:t>
      </w:r>
      <w:r>
        <w:t xml:space="preserve"> </w:t>
      </w:r>
      <w:r>
        <w:rPr>
          <w:i/>
        </w:rPr>
        <w:t>NTSM</w:t>
      </w:r>
      <w:r>
        <w:t xml:space="preserve"> </w:t>
      </w:r>
      <w:r w:rsidR="00662BFF">
        <w:t>var</w:t>
      </w:r>
      <w:r w:rsidR="00776593">
        <w:t>ies strongly</w:t>
      </w:r>
      <w:r w:rsidR="00662BFF">
        <w:t xml:space="preserve"> with the gas load</w:t>
      </w:r>
      <w:r>
        <w:t>. Moreover, conventional manufacturing cannot produce such packings precisely at this scale, nor can the elements be installed repeatably, causing inaccuracies or spread in the measured data. Four groups of inhomogeneities are identified:</w:t>
      </w:r>
    </w:p>
    <w:p w14:paraId="508385DF" w14:textId="1FD11C9A" w:rsidR="00517572" w:rsidRDefault="00517572" w:rsidP="00272860">
      <w:pPr>
        <w:pStyle w:val="CETBodytext"/>
        <w:numPr>
          <w:ilvl w:val="0"/>
          <w:numId w:val="23"/>
        </w:numPr>
      </w:pPr>
      <w:r>
        <w:t>Sheet cutting and stacking: if one sheet is cut slightly higher than the rest, inter-element gaps emerge upon stacking, and manual pressing to close them deforms the fragile sheets. If the cutting ignores the inherent height periodicity of the corrugation, adjacent sheets terminate randomly (“heterogeneous termination”) instead of mating exactly with the channel apexes forming closed polygons (“homogeneous termination”).</w:t>
      </w:r>
    </w:p>
    <w:p w14:paraId="60B39D0B" w14:textId="75636BB2" w:rsidR="00517572" w:rsidRDefault="00517572" w:rsidP="00272860">
      <w:pPr>
        <w:pStyle w:val="CETBodytext"/>
        <w:numPr>
          <w:ilvl w:val="0"/>
          <w:numId w:val="23"/>
        </w:numPr>
      </w:pPr>
      <w:r>
        <w:t>Vertical stacking: the conventional 90° inter-elemental axial rotation is applied manually and is therefore inexact and unrepeatable between column reconstructions. A 45° rotation exacerbates the relative error and lacks the visual confirmation of orthogonal sheets. Combined with heterogeneous termination, channels at the mating plane get their open area sliced, causing cross-section reduction, higher pressure losses and potential localized flooding.</w:t>
      </w:r>
    </w:p>
    <w:p w14:paraId="659C9173" w14:textId="0774B40D" w:rsidR="00517572" w:rsidRDefault="00517572" w:rsidP="00272860">
      <w:pPr>
        <w:pStyle w:val="CETBodytext"/>
        <w:numPr>
          <w:ilvl w:val="0"/>
          <w:numId w:val="23"/>
        </w:numPr>
      </w:pPr>
      <w:r>
        <w:t>Wall wipers: they create an annular space between packing and column inner wall. Wetted wipers represent a hydrodynamic resistance that locally increases the vapor load within the packing (Riese et al., 2022), while unwetted wipers allow vapor bypass through the annular space. In a DN20 column, the wall-wiper gap can occupy up to 32 % of the volume available for mass transfer internals assuming only a 1.75 mm gap.</w:t>
      </w:r>
    </w:p>
    <w:p w14:paraId="4284DC8B" w14:textId="430DCB4F" w:rsidR="00517572" w:rsidRDefault="00517572" w:rsidP="00272860">
      <w:pPr>
        <w:pStyle w:val="CETBodytext"/>
        <w:numPr>
          <w:ilvl w:val="0"/>
          <w:numId w:val="23"/>
        </w:numPr>
      </w:pPr>
      <w:r>
        <w:t>Mechanical sensitivity: the very thin sheets are only bundled by the wall-wiping belt rather than mechanically joined, so deformations easily occur during installation and reconstruction; moderate ones constitute irreversible damage. Most of these inhomogeneities also exist on the industrial scale but can be neglected there due to the different geometric scales.</w:t>
      </w:r>
    </w:p>
    <w:p w14:paraId="501C35C6" w14:textId="77777777" w:rsidR="0074031A" w:rsidRDefault="0074031A" w:rsidP="0074031A">
      <w:pPr>
        <w:pStyle w:val="CETHeading1"/>
      </w:pPr>
      <w:r>
        <w:t>Results and discussion</w:t>
      </w:r>
    </w:p>
    <w:p w14:paraId="40BD1146" w14:textId="53714A55" w:rsidR="00D62A6C" w:rsidRPr="00D62A6C" w:rsidRDefault="00D62A6C" w:rsidP="00D62A6C">
      <w:pPr>
        <w:pStyle w:val="CETBodytext"/>
      </w:pPr>
      <w:r>
        <w:t>In this section, the design of the new CAZ-Pak (Ashour et al., 2026) is concisely presented and its performance is briefly discussed.</w:t>
      </w:r>
    </w:p>
    <w:p w14:paraId="6A3CB4E6" w14:textId="241E49FD" w:rsidR="0074031A" w:rsidRDefault="0074031A" w:rsidP="0074031A">
      <w:pPr>
        <w:pStyle w:val="CETheadingx"/>
      </w:pPr>
      <w:r>
        <w:t>CAZ-Pak design</w:t>
      </w:r>
    </w:p>
    <w:p w14:paraId="3B9377FC" w14:textId="247A883D" w:rsidR="005A6D8B" w:rsidRDefault="005A6D8B" w:rsidP="005A6D8B">
      <w:pPr>
        <w:pStyle w:val="CETBodytext"/>
      </w:pPr>
      <w:r>
        <w:t xml:space="preserve">In conventional corrugated packings, the flow channels form an isosceles triangle in the plane perpendicular to the flow direction. The CAZ-Pak design instead starts from the two horizontal planes at the top and bottom of its sheet, spaced to realize the desired corrugation angle of 60° (Figure </w:t>
      </w:r>
      <w:r w:rsidR="009D17DF">
        <w:t>2</w:t>
      </w:r>
      <w:r>
        <w:t>). At each plane, the sheet profile forms isosceles right triangular channels (channel height 2.5 mm, half the base; apex angle 90°; 0.5 mm apex fillet</w:t>
      </w:r>
      <w:r w:rsidR="009D17DF">
        <w:t xml:space="preserve"> to </w:t>
      </w:r>
      <w:r w:rsidR="009D17DF">
        <w:lastRenderedPageBreak/>
        <w:t>limit</w:t>
      </w:r>
      <w:r>
        <w:t xml:space="preserve"> liquid accumulation), and a loft operation between the profiles creates the corrugated sheet (0.8 mm projected thickness</w:t>
      </w:r>
      <w:r w:rsidR="00581D8E">
        <w:t xml:space="preserve"> and</w:t>
      </w:r>
      <w:r>
        <w:t xml:space="preserve"> perforations</w:t>
      </w:r>
      <w:r w:rsidR="00581D8E">
        <w:t xml:space="preserve"> with diameter of 0.8 mm</w:t>
      </w:r>
      <w:r>
        <w:t>). The sheet height is an integer multiple (here 10) of the fundamental height unit dictated by the vertical periodicity of the corrugation, so the perforations repeat regularly and no random sheet termination occurs</w:t>
      </w:r>
      <w:r w:rsidR="00425C71">
        <w:t xml:space="preserve"> at an arbitrary height</w:t>
      </w:r>
      <w:r>
        <w:t>. A mirroring operation at half the element height</w:t>
      </w:r>
      <w:r w:rsidR="00425C71">
        <w:t xml:space="preserve"> (Figure 2)</w:t>
      </w:r>
      <w:r>
        <w:t xml:space="preserve"> introduces a channel directional change within the same sheet</w:t>
      </w:r>
      <w:r w:rsidR="00425C71">
        <w:t xml:space="preserve"> as shown in Figure 3</w:t>
      </w:r>
      <w:r>
        <w:t>, promoting mixing and phase renewal. The sheets are repeated with alternating corrugation direction, mated, and cylindrically cut to the exact packing diameter without wall wipers</w:t>
      </w:r>
      <w:r w:rsidR="00D66370">
        <w:t xml:space="preserve"> as illustrated in Figure 3</w:t>
      </w:r>
      <w:r>
        <w:t>. Two orientation rings with teeth and grooves provide precise control over the inter-elemental rotation</w:t>
      </w:r>
      <w:r w:rsidR="00F3520B">
        <w:t>al angle</w:t>
      </w:r>
      <w:r>
        <w:t xml:space="preserve"> during vertical stacking (</w:t>
      </w:r>
      <w:proofErr w:type="spellStart"/>
      <w:r>
        <w:t>Neukäufer</w:t>
      </w:r>
      <w:proofErr w:type="spellEnd"/>
      <w:r>
        <w:t xml:space="preserve"> et al., 2021). Figure </w:t>
      </w:r>
      <w:r w:rsidR="00F3520B">
        <w:t>3</w:t>
      </w:r>
      <w:r>
        <w:t xml:space="preserve"> illustrates the design progression.</w:t>
      </w:r>
    </w:p>
    <w:p w14:paraId="5DC158FF" w14:textId="5C18DDA8" w:rsidR="00792D9D" w:rsidRDefault="00792D9D" w:rsidP="00094D6D">
      <w:pPr>
        <w:pStyle w:val="CETBodytext"/>
      </w:pPr>
      <w:r>
        <w:rPr>
          <w:noProof/>
        </w:rPr>
        <w:drawing>
          <wp:inline distT="0" distB="0" distL="0" distR="0" wp14:anchorId="1266E0EB" wp14:editId="3C3CF2E9">
            <wp:extent cx="5250807" cy="1620000"/>
            <wp:effectExtent l="0" t="0" r="7620" b="0"/>
            <wp:docPr id="9786453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250807" cy="1620000"/>
                    </a:xfrm>
                    <a:prstGeom prst="rect">
                      <a:avLst/>
                    </a:prstGeom>
                    <a:noFill/>
                    <a:ln>
                      <a:noFill/>
                    </a:ln>
                  </pic:spPr>
                </pic:pic>
              </a:graphicData>
            </a:graphic>
          </wp:inline>
        </w:drawing>
      </w:r>
    </w:p>
    <w:p w14:paraId="6EA0FD70" w14:textId="34C45458" w:rsidR="005A6D8B" w:rsidRDefault="005A6D8B" w:rsidP="005A6D8B">
      <w:pPr>
        <w:pStyle w:val="CETCaption"/>
        <w:spacing w:before="80" w:after="100"/>
      </w:pPr>
      <w:r>
        <w:t xml:space="preserve">Figure </w:t>
      </w:r>
      <w:r w:rsidR="00DA3691">
        <w:t>2</w:t>
      </w:r>
      <w:r>
        <w:t xml:space="preserve">: </w:t>
      </w:r>
      <w:r w:rsidR="00A45EDF">
        <w:t>Characteristic g</w:t>
      </w:r>
      <w:r w:rsidRPr="00D765E8">
        <w:t>eometric dimensions of the CAZ</w:t>
      </w:r>
      <w:r w:rsidRPr="00D765E8">
        <w:noBreakHyphen/>
        <w:t>Pak design</w:t>
      </w:r>
      <w:r w:rsidR="00A45EDF">
        <w:t>.</w:t>
      </w:r>
    </w:p>
    <w:p w14:paraId="35704A68" w14:textId="18CD881B" w:rsidR="00153068" w:rsidRDefault="005A6D8B" w:rsidP="00792D9D">
      <w:pPr>
        <w:pStyle w:val="CETBodytext"/>
      </w:pPr>
      <w:r>
        <w:t>Combined, these considerations make the CAZ-Pak substantially more geometrically homogeneous than conventional laboratory packings: cutting and stacking are defined digitally and replicated exactly by AM, eliminating inter-elemental gaps. The sheets terminate homogeneously with the channels of adjacent sheets forming squares, and this identical layout is preserved under 90° rotation, so the open channel areas mate without cross-section splitting. The eliminated wall wipers better utilize the limited DN20 volume and balance the liquid exchange with the wall. The orientation rings guarantee homogeneous vertical stacking and the one-piece element with sheets fused during SLS ensures high mechanical strength.</w:t>
      </w:r>
    </w:p>
    <w:p w14:paraId="61F22BE6" w14:textId="6FDBF5FF" w:rsidR="00792D9D" w:rsidRDefault="00792D9D" w:rsidP="00153068">
      <w:pPr>
        <w:pStyle w:val="CETBodytext"/>
        <w:keepNext/>
        <w:spacing w:before="120"/>
        <w:jc w:val="left"/>
      </w:pPr>
      <w:r>
        <w:rPr>
          <w:noProof/>
        </w:rPr>
        <w:drawing>
          <wp:inline distT="0" distB="0" distL="0" distR="0" wp14:anchorId="456769E8" wp14:editId="62061421">
            <wp:extent cx="4934749" cy="2448000"/>
            <wp:effectExtent l="0" t="0" r="0" b="0"/>
            <wp:docPr id="16381353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4934749" cy="2448000"/>
                    </a:xfrm>
                    <a:prstGeom prst="rect">
                      <a:avLst/>
                    </a:prstGeom>
                    <a:noFill/>
                    <a:ln>
                      <a:noFill/>
                    </a:ln>
                  </pic:spPr>
                </pic:pic>
              </a:graphicData>
            </a:graphic>
          </wp:inline>
        </w:drawing>
      </w:r>
    </w:p>
    <w:p w14:paraId="2E562C00" w14:textId="12EB7105" w:rsidR="004577FE" w:rsidRPr="00087B21" w:rsidRDefault="00153068" w:rsidP="00087B21">
      <w:pPr>
        <w:pStyle w:val="CETCaption"/>
        <w:spacing w:before="80" w:after="100"/>
      </w:pPr>
      <w:r>
        <w:t xml:space="preserve">Figure </w:t>
      </w:r>
      <w:r w:rsidR="00A45EDF">
        <w:t>3</w:t>
      </w:r>
      <w:r>
        <w:t>: From a single perforated corrugated sheet to the CAZ-Pak packing element (DN30).</w:t>
      </w:r>
    </w:p>
    <w:p w14:paraId="3DCD62BC" w14:textId="77777777" w:rsidR="0074031A" w:rsidRDefault="0074031A" w:rsidP="0074031A">
      <w:pPr>
        <w:pStyle w:val="CETheadingx"/>
      </w:pPr>
      <w:r>
        <w:t>CAZ-Pak performance</w:t>
      </w:r>
    </w:p>
    <w:p w14:paraId="7CD4CF0D" w14:textId="031F45D7" w:rsidR="004F50AA" w:rsidRDefault="005A6D8B" w:rsidP="00C6330B">
      <w:pPr>
        <w:pStyle w:val="CETBodytext"/>
      </w:pPr>
      <w:r w:rsidRPr="00A45EDF">
        <w:t xml:space="preserve">The separation efficiency and irrigated pressure drop of the </w:t>
      </w:r>
      <w:r w:rsidR="00B86B44">
        <w:t>investigated</w:t>
      </w:r>
      <w:r w:rsidRPr="00A45EDF">
        <w:t xml:space="preserve"> packings</w:t>
      </w:r>
      <w:r w:rsidR="00406C0F">
        <w:t xml:space="preserve"> at the different column diameters</w:t>
      </w:r>
      <w:r w:rsidRPr="00A45EDF">
        <w:t xml:space="preserve"> are plotted in Figure </w:t>
      </w:r>
      <w:r w:rsidR="00B86B44">
        <w:t>4</w:t>
      </w:r>
      <w:r w:rsidRPr="00A45EDF">
        <w:t xml:space="preserve"> and summarized with the geometric parameters in Table 1. </w:t>
      </w:r>
      <w:r w:rsidR="00C6330B">
        <w:t xml:space="preserve">Each dataset is measured twice except for the CAZ-Pak which was measured three times. </w:t>
      </w:r>
      <w:r w:rsidR="00406C0F">
        <w:t>Firstly, the discussion emphasizes the DN20 size data.</w:t>
      </w:r>
      <w:r w:rsidR="004F50AA">
        <w:t xml:space="preserve"> On the one hand, t</w:t>
      </w:r>
      <w:r w:rsidRPr="00A45EDF">
        <w:t xml:space="preserve">he XW-Pak shows the worst performance with an average </w:t>
      </w:r>
      <w:r w:rsidRPr="00B939D3">
        <w:rPr>
          <w:i/>
          <w:iCs/>
        </w:rPr>
        <w:t>NTSM</w:t>
      </w:r>
      <w:r w:rsidRPr="00A45EDF">
        <w:t xml:space="preserve"> of 3.61 (± 2.22 % relative standard deviation, RSD)</w:t>
      </w:r>
      <w:r w:rsidR="00406C0F">
        <w:t>. This can be</w:t>
      </w:r>
      <w:r w:rsidR="008A227E">
        <w:t xml:space="preserve"> </w:t>
      </w:r>
      <w:r w:rsidRPr="00A45EDF">
        <w:t xml:space="preserve">explained by </w:t>
      </w:r>
      <w:r w:rsidR="00406C0F">
        <w:t>the XW-Pak’s</w:t>
      </w:r>
      <w:r w:rsidRPr="00A45EDF">
        <w:t xml:space="preserve"> significantly lower specific geometric surface. Its main advantage</w:t>
      </w:r>
      <w:r w:rsidR="008A227E">
        <w:t>s</w:t>
      </w:r>
      <w:r w:rsidRPr="00A45EDF">
        <w:t xml:space="preserve"> </w:t>
      </w:r>
      <w:r w:rsidR="008A227E">
        <w:t>are</w:t>
      </w:r>
      <w:r w:rsidRPr="00A45EDF">
        <w:t xml:space="preserve"> an only slightly varying efficiency trend</w:t>
      </w:r>
      <w:r w:rsidR="008A227E">
        <w:t xml:space="preserve"> that comes with a significant reduction in pressure losses</w:t>
      </w:r>
      <w:r w:rsidR="00406C0F">
        <w:t xml:space="preserve"> compared to the CAZ-Pak</w:t>
      </w:r>
      <w:r w:rsidRPr="00A45EDF">
        <w:t>.</w:t>
      </w:r>
      <w:r w:rsidR="008A227E">
        <w:t xml:space="preserve"> </w:t>
      </w:r>
      <w:r w:rsidR="004F50AA">
        <w:t>On the other hand</w:t>
      </w:r>
      <w:r w:rsidR="008A227E">
        <w:t>, t</w:t>
      </w:r>
      <w:r w:rsidR="00087B21" w:rsidRPr="00A45EDF">
        <w:t>he</w:t>
      </w:r>
      <w:r w:rsidR="004F50AA">
        <w:t xml:space="preserve"> DN20</w:t>
      </w:r>
      <w:r w:rsidR="00087B21" w:rsidRPr="00A45EDF">
        <w:t xml:space="preserve"> CAZ-Pak shows a significantly better mass transfer performance with an average </w:t>
      </w:r>
      <w:r w:rsidR="00087B21" w:rsidRPr="00B939D3">
        <w:rPr>
          <w:i/>
          <w:iCs/>
        </w:rPr>
        <w:t>NTSM</w:t>
      </w:r>
      <w:r w:rsidR="00087B21" w:rsidRPr="00A45EDF">
        <w:t xml:space="preserve"> of 7.55 (± 2.65 % RSD), an improvement by </w:t>
      </w:r>
      <w:r w:rsidR="008A227E">
        <w:t xml:space="preserve">a </w:t>
      </w:r>
      <w:r w:rsidR="00087B21" w:rsidRPr="00A45EDF">
        <w:t>factor of 2</w:t>
      </w:r>
      <w:r w:rsidR="009648DF">
        <w:t>.09</w:t>
      </w:r>
      <w:r w:rsidR="008A227E">
        <w:t xml:space="preserve"> </w:t>
      </w:r>
      <w:r w:rsidR="00087B21" w:rsidRPr="00A45EDF">
        <w:t>over the XW-Pak</w:t>
      </w:r>
      <w:r w:rsidR="004F50AA">
        <w:t>. This</w:t>
      </w:r>
      <w:r w:rsidR="008A227E">
        <w:t xml:space="preserve"> is </w:t>
      </w:r>
      <w:r w:rsidR="00087B21" w:rsidRPr="00A45EDF">
        <w:t xml:space="preserve">consistent with its higher specific geometric surface. Moreover, </w:t>
      </w:r>
      <w:r w:rsidR="004F50AA">
        <w:t xml:space="preserve">the </w:t>
      </w:r>
      <w:r w:rsidR="004F50AA">
        <w:lastRenderedPageBreak/>
        <w:t>CAZ-Pak also</w:t>
      </w:r>
      <w:r w:rsidR="00087B21" w:rsidRPr="00A45EDF">
        <w:t xml:space="preserve"> exhibits a practically flat efficiency trend</w:t>
      </w:r>
      <w:r w:rsidR="00CA3201">
        <w:t xml:space="preserve"> with low data points scattering</w:t>
      </w:r>
      <w:r w:rsidR="00087B21" w:rsidRPr="00A45EDF">
        <w:t xml:space="preserve"> (Figure </w:t>
      </w:r>
      <w:r w:rsidR="00272860">
        <w:t>4</w:t>
      </w:r>
      <w:r w:rsidR="00087B21" w:rsidRPr="00A45EDF">
        <w:t xml:space="preserve">a), making it a </w:t>
      </w:r>
      <w:r w:rsidR="004F50AA">
        <w:t>“</w:t>
      </w:r>
      <w:r w:rsidR="00087B21" w:rsidRPr="00A45EDF">
        <w:t>scalable</w:t>
      </w:r>
      <w:r w:rsidR="004F50AA">
        <w:t>”</w:t>
      </w:r>
      <w:r w:rsidR="00087B21" w:rsidRPr="00A45EDF">
        <w:t xml:space="preserve"> laboratory packing as</w:t>
      </w:r>
      <w:r w:rsidR="004F50AA">
        <w:t xml:space="preserve"> defined and</w:t>
      </w:r>
      <w:r w:rsidR="00087B21" w:rsidRPr="00A45EDF">
        <w:t xml:space="preserve"> required in</w:t>
      </w:r>
      <w:r w:rsidR="004F50AA">
        <w:t xml:space="preserve"> the</w:t>
      </w:r>
      <w:r w:rsidR="00087B21" w:rsidRPr="00A45EDF">
        <w:t xml:space="preserve"> industrial scale-up practice</w:t>
      </w:r>
      <w:r w:rsidR="004F50AA">
        <w:t xml:space="preserve"> of</w:t>
      </w:r>
      <w:r w:rsidR="00087B21" w:rsidRPr="00A45EDF">
        <w:t xml:space="preserve"> Eiden et al. </w:t>
      </w:r>
      <w:r w:rsidR="004F50AA">
        <w:t>(</w:t>
      </w:r>
      <w:r w:rsidR="00087B21" w:rsidRPr="00A45EDF">
        <w:t>1995).</w:t>
      </w:r>
    </w:p>
    <w:p w14:paraId="44A0F2EE" w14:textId="3EA257ED" w:rsidR="00C050B7" w:rsidRDefault="004F50AA" w:rsidP="004F50AA">
      <w:pPr>
        <w:pStyle w:val="CETBodytext"/>
      </w:pPr>
      <w:r>
        <w:t>The major disadvantage of the CAZ-Pak comes in i</w:t>
      </w:r>
      <w:r w:rsidR="00087B21" w:rsidRPr="00A45EDF">
        <w:t xml:space="preserve">ts higher pressure drop (Figure </w:t>
      </w:r>
      <w:r w:rsidR="00272860">
        <w:t>4</w:t>
      </w:r>
      <w:r w:rsidR="00087B21" w:rsidRPr="00A45EDF">
        <w:t>b)</w:t>
      </w:r>
      <w:r>
        <w:t>. This</w:t>
      </w:r>
      <w:r w:rsidR="00087B21" w:rsidRPr="00A45EDF">
        <w:t xml:space="preserve"> is</w:t>
      </w:r>
      <w:r>
        <w:t xml:space="preserve"> not only</w:t>
      </w:r>
      <w:r w:rsidR="00087B21" w:rsidRPr="00A45EDF">
        <w:t xml:space="preserve"> consistent with the far lower void fraction of 66.8 %</w:t>
      </w:r>
      <w:r>
        <w:t>, but also with</w:t>
      </w:r>
      <w:r w:rsidR="00087B21" w:rsidRPr="00A45EDF">
        <w:t xml:space="preserve"> the corrugations forcing the vapor</w:t>
      </w:r>
      <w:r>
        <w:t xml:space="preserve"> splitting</w:t>
      </w:r>
      <w:r w:rsidR="00087B21" w:rsidRPr="00A45EDF">
        <w:t xml:space="preserve"> into quasi-channel flows of small hydraulic diameter</w:t>
      </w:r>
      <w:r>
        <w:t>. This is contrary to</w:t>
      </w:r>
      <w:r w:rsidR="00087B21" w:rsidRPr="00A45EDF">
        <w:t xml:space="preserve"> the</w:t>
      </w:r>
      <w:r>
        <w:t xml:space="preserve"> XW-Pak’s</w:t>
      </w:r>
      <w:r w:rsidR="00087B21" w:rsidRPr="00A45EDF">
        <w:t xml:space="preserve"> open structure</w:t>
      </w:r>
      <w:r>
        <w:t xml:space="preserve"> which does not promote restricted channeling of the </w:t>
      </w:r>
      <w:r w:rsidR="00087B21" w:rsidRPr="00A45EDF">
        <w:t>vapor flow</w:t>
      </w:r>
      <w:r>
        <w:t xml:space="preserve">. </w:t>
      </w:r>
      <w:proofErr w:type="gramStart"/>
      <w:r>
        <w:t>In order to</w:t>
      </w:r>
      <w:proofErr w:type="gramEnd"/>
      <w:r>
        <w:t xml:space="preserve"> challenge the CAZ-Pak design further, </w:t>
      </w:r>
      <w:r w:rsidR="00087B21" w:rsidRPr="00A45EDF">
        <w:t>a fairer comparison against another corrugated-sheet packing</w:t>
      </w:r>
      <w:r>
        <w:t xml:space="preserve"> is warranted</w:t>
      </w:r>
      <w:r w:rsidR="00087B21" w:rsidRPr="00A45EDF">
        <w:t>.</w:t>
      </w:r>
      <w:r w:rsidR="00751FF5">
        <w:t xml:space="preserve"> For such comparison, the Sulzer DXM corrugated-sheet metal packing is chosen.</w:t>
      </w:r>
    </w:p>
    <w:tbl>
      <w:tblPr>
        <w:tblW w:w="5000" w:type="pct"/>
        <w:tblLook w:val="04A0" w:firstRow="1" w:lastRow="0" w:firstColumn="1" w:lastColumn="0" w:noHBand="0" w:noVBand="1"/>
      </w:tblPr>
      <w:tblGrid>
        <w:gridCol w:w="4396"/>
        <w:gridCol w:w="4391"/>
      </w:tblGrid>
      <w:tr w:rsidR="00C050B7" w:rsidRPr="005C714D" w14:paraId="5B6F1891" w14:textId="77777777" w:rsidTr="00C050B7">
        <w:tc>
          <w:tcPr>
            <w:tcW w:w="4393" w:type="dxa"/>
            <w:vAlign w:val="center"/>
          </w:tcPr>
          <w:p w14:paraId="6E865ADA" w14:textId="127D8811" w:rsidR="00C050B7" w:rsidRPr="005C714D" w:rsidRDefault="00C050B7" w:rsidP="00B14691">
            <w:pPr>
              <w:pStyle w:val="CETEquation"/>
              <w:ind w:left="-104"/>
              <w:rPr>
                <w:lang w:val="en-US"/>
              </w:rPr>
            </w:pPr>
            <w:r>
              <w:rPr>
                <w:noProof/>
              </w:rPr>
              <w:drawing>
                <wp:inline distT="0" distB="0" distL="0" distR="0" wp14:anchorId="193CFA12" wp14:editId="0CEE8A41">
                  <wp:extent cx="2792653" cy="2484000"/>
                  <wp:effectExtent l="0" t="0" r="8255" b="0"/>
                  <wp:docPr id="1847213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2792653" cy="2484000"/>
                          </a:xfrm>
                          <a:prstGeom prst="rect">
                            <a:avLst/>
                          </a:prstGeom>
                          <a:noFill/>
                          <a:ln>
                            <a:noFill/>
                          </a:ln>
                        </pic:spPr>
                      </pic:pic>
                    </a:graphicData>
                  </a:graphic>
                </wp:inline>
              </w:drawing>
            </w:r>
          </w:p>
        </w:tc>
        <w:tc>
          <w:tcPr>
            <w:tcW w:w="4394" w:type="dxa"/>
            <w:vAlign w:val="center"/>
          </w:tcPr>
          <w:p w14:paraId="33583ED4" w14:textId="43EDA173" w:rsidR="00C050B7" w:rsidRPr="005C714D" w:rsidRDefault="00C050B7" w:rsidP="00C050B7">
            <w:pPr>
              <w:pStyle w:val="CETEquation"/>
              <w:ind w:left="-109"/>
              <w:rPr>
                <w:lang w:val="en-US"/>
              </w:rPr>
            </w:pPr>
            <w:r>
              <w:rPr>
                <w:noProof/>
              </w:rPr>
              <w:drawing>
                <wp:inline distT="0" distB="0" distL="0" distR="0" wp14:anchorId="1DCB7BDB" wp14:editId="0CD5EE8C">
                  <wp:extent cx="2792653" cy="2484000"/>
                  <wp:effectExtent l="0" t="0" r="8255" b="0"/>
                  <wp:docPr id="2141961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2792653" cy="2484000"/>
                          </a:xfrm>
                          <a:prstGeom prst="rect">
                            <a:avLst/>
                          </a:prstGeom>
                          <a:noFill/>
                          <a:ln>
                            <a:noFill/>
                          </a:ln>
                        </pic:spPr>
                      </pic:pic>
                    </a:graphicData>
                  </a:graphic>
                </wp:inline>
              </w:drawing>
            </w:r>
          </w:p>
        </w:tc>
      </w:tr>
    </w:tbl>
    <w:p w14:paraId="3AF2CA63" w14:textId="04A99B0C" w:rsidR="00087B21" w:rsidRDefault="005A6D8B" w:rsidP="00087B21">
      <w:pPr>
        <w:pStyle w:val="CETCaption"/>
        <w:spacing w:before="80" w:after="100"/>
      </w:pPr>
      <w:r>
        <w:t xml:space="preserve">Figure </w:t>
      </w:r>
      <w:r w:rsidR="008A227E">
        <w:t>4</w:t>
      </w:r>
      <w:r>
        <w:t xml:space="preserve">: </w:t>
      </w:r>
      <w:r w:rsidR="00DF5255">
        <w:t>P</w:t>
      </w:r>
      <w:r>
        <w:t xml:space="preserve">erformance of the </w:t>
      </w:r>
      <w:r w:rsidR="00DA3691">
        <w:t xml:space="preserve">AM </w:t>
      </w:r>
      <w:r>
        <w:t xml:space="preserve">CAZ-Pak compared to </w:t>
      </w:r>
      <w:r w:rsidR="00DF5255">
        <w:t>the AM XW-Pak and the conventional Sulzer DXM</w:t>
      </w:r>
      <w:r>
        <w:t>: (a)</w:t>
      </w:r>
      <w:r w:rsidR="00DF5255">
        <w:t> </w:t>
      </w:r>
      <w:r>
        <w:t>separation efficiency and (b) pressure drop.</w:t>
      </w:r>
    </w:p>
    <w:p w14:paraId="745764AF" w14:textId="25E03635" w:rsidR="005A6D8B" w:rsidRDefault="005A6D8B" w:rsidP="005A6D8B">
      <w:pPr>
        <w:pStyle w:val="CETTabletitle"/>
      </w:pPr>
      <w:r>
        <w:t xml:space="preserve">Table 1: Summary of the geometric parameters and results of the </w:t>
      </w:r>
      <w:r w:rsidR="00A8183B">
        <w:t>measured</w:t>
      </w:r>
      <w:r>
        <w:t xml:space="preserve"> packings.</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4253"/>
        <w:gridCol w:w="1098"/>
        <w:gridCol w:w="1099"/>
        <w:gridCol w:w="1099"/>
        <w:gridCol w:w="1098"/>
      </w:tblGrid>
      <w:tr w:rsidR="00A8183B" w:rsidRPr="003922DA" w14:paraId="240334BF" w14:textId="77777777" w:rsidTr="00A8183B">
        <w:trPr>
          <w:trHeight w:val="192"/>
        </w:trPr>
        <w:tc>
          <w:tcPr>
            <w:tcW w:w="4253" w:type="dxa"/>
            <w:vMerge w:val="restart"/>
            <w:tcBorders>
              <w:top w:val="single" w:sz="12" w:space="0" w:color="008000"/>
            </w:tcBorders>
            <w:shd w:val="clear" w:color="auto" w:fill="FFFFFF"/>
            <w:vAlign w:val="center"/>
          </w:tcPr>
          <w:p w14:paraId="57BE848F" w14:textId="77777777" w:rsidR="00A8183B" w:rsidRPr="00B57B36" w:rsidRDefault="00A8183B" w:rsidP="00A8183B">
            <w:pPr>
              <w:pStyle w:val="CETBodytext"/>
              <w:jc w:val="left"/>
              <w:rPr>
                <w:lang w:val="en-GB"/>
              </w:rPr>
            </w:pPr>
            <w:r w:rsidRPr="00017F21">
              <w:rPr>
                <w:lang w:val="en-GB"/>
              </w:rPr>
              <w:t>Parameter</w:t>
            </w:r>
          </w:p>
        </w:tc>
        <w:tc>
          <w:tcPr>
            <w:tcW w:w="2197" w:type="dxa"/>
            <w:gridSpan w:val="2"/>
            <w:tcBorders>
              <w:top w:val="single" w:sz="12" w:space="0" w:color="008000"/>
              <w:bottom w:val="single" w:sz="6" w:space="0" w:color="008000"/>
            </w:tcBorders>
            <w:shd w:val="clear" w:color="auto" w:fill="FFFFFF"/>
            <w:vAlign w:val="center"/>
          </w:tcPr>
          <w:p w14:paraId="0554D672" w14:textId="2B9F4A9E" w:rsidR="00A8183B" w:rsidRPr="00B57B36" w:rsidRDefault="00A8183B" w:rsidP="00A8183B">
            <w:pPr>
              <w:pStyle w:val="CETBodytext"/>
              <w:jc w:val="left"/>
              <w:rPr>
                <w:lang w:val="en-GB"/>
              </w:rPr>
            </w:pPr>
            <w:r>
              <w:rPr>
                <w:lang w:val="en-GB"/>
              </w:rPr>
              <w:t>DN20</w:t>
            </w:r>
          </w:p>
        </w:tc>
        <w:tc>
          <w:tcPr>
            <w:tcW w:w="1099" w:type="dxa"/>
            <w:tcBorders>
              <w:top w:val="single" w:sz="12" w:space="0" w:color="008000"/>
              <w:bottom w:val="single" w:sz="6" w:space="0" w:color="008000"/>
            </w:tcBorders>
            <w:shd w:val="clear" w:color="auto" w:fill="FFFFFF"/>
            <w:vAlign w:val="center"/>
          </w:tcPr>
          <w:p w14:paraId="17C1E892" w14:textId="347898B3" w:rsidR="00A8183B" w:rsidRPr="00B57B36" w:rsidRDefault="00A8183B" w:rsidP="00A8183B">
            <w:pPr>
              <w:pStyle w:val="CETBodytext"/>
              <w:jc w:val="left"/>
              <w:rPr>
                <w:lang w:val="en-GB"/>
              </w:rPr>
            </w:pPr>
            <w:r>
              <w:rPr>
                <w:lang w:val="en-GB"/>
              </w:rPr>
              <w:t>DN30</w:t>
            </w:r>
          </w:p>
        </w:tc>
        <w:tc>
          <w:tcPr>
            <w:tcW w:w="1098" w:type="dxa"/>
            <w:tcBorders>
              <w:top w:val="single" w:sz="12" w:space="0" w:color="008000"/>
              <w:bottom w:val="single" w:sz="6" w:space="0" w:color="008000"/>
            </w:tcBorders>
            <w:shd w:val="clear" w:color="auto" w:fill="FFFFFF"/>
            <w:vAlign w:val="center"/>
          </w:tcPr>
          <w:p w14:paraId="0503EF8D" w14:textId="258C68DF" w:rsidR="00A8183B" w:rsidRPr="003922DA" w:rsidRDefault="00A8183B" w:rsidP="00A8183B">
            <w:pPr>
              <w:pStyle w:val="CETBodytext"/>
              <w:jc w:val="left"/>
              <w:rPr>
                <w:lang w:val="en-GB"/>
              </w:rPr>
            </w:pPr>
          </w:p>
        </w:tc>
      </w:tr>
      <w:tr w:rsidR="00A8183B" w:rsidRPr="003922DA" w14:paraId="25620E5A" w14:textId="77777777" w:rsidTr="00A8183B">
        <w:trPr>
          <w:trHeight w:val="191"/>
        </w:trPr>
        <w:tc>
          <w:tcPr>
            <w:tcW w:w="4253" w:type="dxa"/>
            <w:vMerge/>
            <w:tcBorders>
              <w:bottom w:val="single" w:sz="6" w:space="0" w:color="008000"/>
            </w:tcBorders>
            <w:shd w:val="clear" w:color="auto" w:fill="FFFFFF"/>
          </w:tcPr>
          <w:p w14:paraId="7C6A89E6" w14:textId="77777777" w:rsidR="00A8183B" w:rsidRPr="00017F21" w:rsidRDefault="00A8183B" w:rsidP="00A8183B">
            <w:pPr>
              <w:pStyle w:val="CETBodytext"/>
              <w:rPr>
                <w:lang w:val="en-GB"/>
              </w:rPr>
            </w:pPr>
          </w:p>
        </w:tc>
        <w:tc>
          <w:tcPr>
            <w:tcW w:w="1098" w:type="dxa"/>
            <w:tcBorders>
              <w:top w:val="single" w:sz="4" w:space="0" w:color="auto"/>
              <w:bottom w:val="single" w:sz="6" w:space="0" w:color="008000"/>
            </w:tcBorders>
            <w:shd w:val="clear" w:color="auto" w:fill="FFFFFF"/>
            <w:vAlign w:val="center"/>
          </w:tcPr>
          <w:p w14:paraId="1E39260E" w14:textId="167F4E87" w:rsidR="00A8183B" w:rsidRDefault="00A8183B" w:rsidP="00A8183B">
            <w:pPr>
              <w:pStyle w:val="CETBodytext"/>
              <w:jc w:val="left"/>
              <w:rPr>
                <w:lang w:val="en-GB"/>
              </w:rPr>
            </w:pPr>
            <w:r w:rsidRPr="00017F21">
              <w:rPr>
                <w:lang w:val="en-GB"/>
              </w:rPr>
              <w:t>XW-Pak</w:t>
            </w:r>
          </w:p>
        </w:tc>
        <w:tc>
          <w:tcPr>
            <w:tcW w:w="1099" w:type="dxa"/>
            <w:tcBorders>
              <w:bottom w:val="single" w:sz="6" w:space="0" w:color="008000"/>
            </w:tcBorders>
            <w:shd w:val="clear" w:color="auto" w:fill="FFFFFF"/>
            <w:vAlign w:val="center"/>
          </w:tcPr>
          <w:p w14:paraId="1175B756" w14:textId="40BC46FB" w:rsidR="00A8183B" w:rsidRDefault="00A8183B" w:rsidP="00A8183B">
            <w:pPr>
              <w:pStyle w:val="CETBodytext"/>
              <w:jc w:val="left"/>
              <w:rPr>
                <w:lang w:val="en-GB"/>
              </w:rPr>
            </w:pPr>
            <w:r w:rsidRPr="00017F21">
              <w:rPr>
                <w:lang w:val="en-GB"/>
              </w:rPr>
              <w:t>CAZ-Pak</w:t>
            </w:r>
          </w:p>
        </w:tc>
        <w:tc>
          <w:tcPr>
            <w:tcW w:w="1099" w:type="dxa"/>
            <w:tcBorders>
              <w:top w:val="single" w:sz="6" w:space="0" w:color="008000"/>
              <w:bottom w:val="single" w:sz="6" w:space="0" w:color="008000"/>
            </w:tcBorders>
            <w:shd w:val="clear" w:color="auto" w:fill="FFFFFF"/>
            <w:vAlign w:val="center"/>
          </w:tcPr>
          <w:p w14:paraId="6C072652" w14:textId="42DD8DA2" w:rsidR="00A8183B" w:rsidRPr="00B57B36" w:rsidRDefault="00A8183B" w:rsidP="00A8183B">
            <w:pPr>
              <w:pStyle w:val="CETBodytext"/>
              <w:jc w:val="left"/>
              <w:rPr>
                <w:lang w:val="en-GB"/>
              </w:rPr>
            </w:pPr>
            <w:r>
              <w:rPr>
                <w:lang w:val="en-GB"/>
              </w:rPr>
              <w:t>Sulzer DXM</w:t>
            </w:r>
          </w:p>
        </w:tc>
        <w:tc>
          <w:tcPr>
            <w:tcW w:w="1098" w:type="dxa"/>
            <w:tcBorders>
              <w:top w:val="single" w:sz="6" w:space="0" w:color="008000"/>
              <w:bottom w:val="single" w:sz="6" w:space="0" w:color="008000"/>
            </w:tcBorders>
            <w:shd w:val="clear" w:color="auto" w:fill="FFFFFF"/>
            <w:vAlign w:val="center"/>
          </w:tcPr>
          <w:p w14:paraId="69560DF3" w14:textId="563A675D" w:rsidR="00A8183B" w:rsidRPr="003922DA" w:rsidRDefault="00A8183B" w:rsidP="00A8183B">
            <w:pPr>
              <w:pStyle w:val="CETBodytext"/>
              <w:jc w:val="left"/>
              <w:rPr>
                <w:lang w:val="en-GB"/>
              </w:rPr>
            </w:pPr>
            <w:r w:rsidRPr="00017F21">
              <w:rPr>
                <w:lang w:val="en-GB"/>
              </w:rPr>
              <w:t>CAZ-Pak</w:t>
            </w:r>
          </w:p>
        </w:tc>
      </w:tr>
      <w:tr w:rsidR="00A8183B" w:rsidRPr="00B57B36" w14:paraId="1C7A1A5F" w14:textId="77777777" w:rsidTr="005E602D">
        <w:tc>
          <w:tcPr>
            <w:tcW w:w="4253" w:type="dxa"/>
            <w:shd w:val="clear" w:color="auto" w:fill="FFFFFF"/>
          </w:tcPr>
          <w:p w14:paraId="2A0B3DAF" w14:textId="77777777" w:rsidR="00A8183B" w:rsidRPr="00B57B36" w:rsidRDefault="00A8183B" w:rsidP="00A8183B">
            <w:pPr>
              <w:pStyle w:val="CETBodytext"/>
              <w:rPr>
                <w:lang w:val="en-GB"/>
              </w:rPr>
            </w:pPr>
            <w:r w:rsidRPr="00017F21">
              <w:rPr>
                <w:lang w:val="en-GB"/>
              </w:rPr>
              <w:t xml:space="preserve">Void fraction </w:t>
            </w:r>
            <w:proofErr w:type="spellStart"/>
            <w:r w:rsidRPr="0027062A">
              <w:rPr>
                <w:i/>
                <w:iCs/>
                <w:lang w:val="en-GB"/>
              </w:rPr>
              <w:t>ε</w:t>
            </w:r>
            <w:r w:rsidRPr="00017F21">
              <w:rPr>
                <w:vertAlign w:val="subscript"/>
                <w:lang w:val="en-GB"/>
              </w:rPr>
              <w:t>V</w:t>
            </w:r>
            <w:proofErr w:type="spellEnd"/>
            <w:r w:rsidRPr="00017F21">
              <w:rPr>
                <w:lang w:val="en-GB"/>
              </w:rPr>
              <w:t xml:space="preserve"> [%]</w:t>
            </w:r>
          </w:p>
        </w:tc>
        <w:tc>
          <w:tcPr>
            <w:tcW w:w="1098" w:type="dxa"/>
            <w:shd w:val="clear" w:color="auto" w:fill="FFFFFF"/>
            <w:vAlign w:val="center"/>
          </w:tcPr>
          <w:p w14:paraId="0C4A3932" w14:textId="77777777" w:rsidR="00A8183B" w:rsidRPr="00B57B36" w:rsidRDefault="00A8183B" w:rsidP="00A8183B">
            <w:pPr>
              <w:pStyle w:val="CETBodytext"/>
              <w:jc w:val="left"/>
              <w:rPr>
                <w:lang w:val="en-GB"/>
              </w:rPr>
            </w:pPr>
            <w:r w:rsidRPr="00017F21">
              <w:rPr>
                <w:lang w:val="en-GB"/>
              </w:rPr>
              <w:t>89.1</w:t>
            </w:r>
          </w:p>
        </w:tc>
        <w:tc>
          <w:tcPr>
            <w:tcW w:w="1099" w:type="dxa"/>
            <w:shd w:val="clear" w:color="auto" w:fill="FFFFFF"/>
            <w:vAlign w:val="center"/>
          </w:tcPr>
          <w:p w14:paraId="5BC39094" w14:textId="28DEBC79" w:rsidR="00A8183B" w:rsidRPr="00B57B36" w:rsidRDefault="00A8183B" w:rsidP="00A8183B">
            <w:pPr>
              <w:pStyle w:val="CETBodytext"/>
              <w:jc w:val="left"/>
              <w:rPr>
                <w:lang w:val="en-GB"/>
              </w:rPr>
            </w:pPr>
            <w:r w:rsidRPr="00017F21">
              <w:rPr>
                <w:lang w:val="en-GB"/>
              </w:rPr>
              <w:t>66.8</w:t>
            </w:r>
          </w:p>
        </w:tc>
        <w:tc>
          <w:tcPr>
            <w:tcW w:w="1099" w:type="dxa"/>
            <w:shd w:val="clear" w:color="auto" w:fill="FFFFFF"/>
            <w:vAlign w:val="center"/>
          </w:tcPr>
          <w:p w14:paraId="1680E5BE" w14:textId="2AC5D834" w:rsidR="00A8183B" w:rsidRPr="00B57B36" w:rsidRDefault="000606D5" w:rsidP="00A8183B">
            <w:pPr>
              <w:pStyle w:val="CETBodytext"/>
              <w:jc w:val="left"/>
              <w:rPr>
                <w:lang w:val="en-GB"/>
              </w:rPr>
            </w:pPr>
            <w:r w:rsidRPr="000606D5">
              <w:rPr>
                <w:lang w:val="en-GB"/>
              </w:rPr>
              <w:t>~93</w:t>
            </w:r>
          </w:p>
        </w:tc>
        <w:tc>
          <w:tcPr>
            <w:tcW w:w="1098" w:type="dxa"/>
            <w:shd w:val="clear" w:color="auto" w:fill="FFFFFF"/>
            <w:vAlign w:val="center"/>
          </w:tcPr>
          <w:p w14:paraId="69FA74CD" w14:textId="688092AB" w:rsidR="00A8183B" w:rsidRPr="00B57B36" w:rsidRDefault="000606D5" w:rsidP="00A8183B">
            <w:pPr>
              <w:pStyle w:val="CETBodytext"/>
              <w:ind w:right="-1"/>
              <w:jc w:val="left"/>
              <w:rPr>
                <w:rFonts w:cs="Arial"/>
                <w:szCs w:val="18"/>
                <w:lang w:val="en-GB"/>
              </w:rPr>
            </w:pPr>
            <w:r w:rsidRPr="000606D5">
              <w:rPr>
                <w:rFonts w:cs="Arial"/>
                <w:szCs w:val="18"/>
                <w:lang w:val="en-GB"/>
              </w:rPr>
              <w:t>66.5</w:t>
            </w:r>
          </w:p>
        </w:tc>
      </w:tr>
      <w:tr w:rsidR="00A8183B" w:rsidRPr="00B57B36" w14:paraId="6DBEBD0C" w14:textId="77777777" w:rsidTr="005E602D">
        <w:tc>
          <w:tcPr>
            <w:tcW w:w="4253" w:type="dxa"/>
            <w:shd w:val="clear" w:color="auto" w:fill="FFFFFF"/>
          </w:tcPr>
          <w:p w14:paraId="13527E2A" w14:textId="77777777" w:rsidR="00A8183B" w:rsidRPr="00B57B36" w:rsidRDefault="00A8183B" w:rsidP="00A8183B">
            <w:pPr>
              <w:pStyle w:val="CETBodytext"/>
              <w:ind w:right="-1"/>
              <w:rPr>
                <w:rFonts w:cs="Arial"/>
                <w:szCs w:val="18"/>
                <w:lang w:val="en-GB"/>
              </w:rPr>
            </w:pPr>
            <w:r w:rsidRPr="00017F21">
              <w:rPr>
                <w:lang w:val="en-GB"/>
              </w:rPr>
              <w:t xml:space="preserve">Geometric area, packing </w:t>
            </w:r>
            <w:proofErr w:type="spellStart"/>
            <w:proofErr w:type="gramStart"/>
            <w:r w:rsidRPr="0027062A">
              <w:rPr>
                <w:i/>
                <w:iCs/>
                <w:lang w:val="en-GB"/>
              </w:rPr>
              <w:t>a</w:t>
            </w:r>
            <w:r w:rsidRPr="00017F21">
              <w:rPr>
                <w:vertAlign w:val="subscript"/>
                <w:lang w:val="en-GB"/>
              </w:rPr>
              <w:t>geo,P</w:t>
            </w:r>
            <w:proofErr w:type="spellEnd"/>
            <w:proofErr w:type="gramEnd"/>
            <w:r w:rsidRPr="00017F21">
              <w:rPr>
                <w:lang w:val="en-GB"/>
              </w:rPr>
              <w:t xml:space="preserve"> [m</w:t>
            </w:r>
            <w:r w:rsidRPr="00017F21">
              <w:rPr>
                <w:vertAlign w:val="superscript"/>
                <w:lang w:val="en-GB"/>
              </w:rPr>
              <w:t>2</w:t>
            </w:r>
            <w:r w:rsidRPr="00017F21">
              <w:rPr>
                <w:lang w:val="en-GB"/>
              </w:rPr>
              <w:t>m</w:t>
            </w:r>
            <w:r w:rsidRPr="00017F21">
              <w:rPr>
                <w:vertAlign w:val="superscript"/>
                <w:lang w:val="en-GB"/>
              </w:rPr>
              <w:t>-3</w:t>
            </w:r>
            <w:r w:rsidRPr="00017F21">
              <w:rPr>
                <w:lang w:val="en-GB"/>
              </w:rPr>
              <w:t>]</w:t>
            </w:r>
          </w:p>
        </w:tc>
        <w:tc>
          <w:tcPr>
            <w:tcW w:w="1098" w:type="dxa"/>
            <w:shd w:val="clear" w:color="auto" w:fill="FFFFFF"/>
            <w:vAlign w:val="center"/>
          </w:tcPr>
          <w:p w14:paraId="5EBEC7F4" w14:textId="77777777" w:rsidR="00A8183B" w:rsidRPr="00B57B36" w:rsidRDefault="00A8183B" w:rsidP="00A8183B">
            <w:pPr>
              <w:pStyle w:val="CETBodytext"/>
              <w:ind w:right="-1"/>
              <w:jc w:val="left"/>
              <w:rPr>
                <w:rFonts w:cs="Arial"/>
                <w:szCs w:val="18"/>
                <w:lang w:val="en-GB"/>
              </w:rPr>
            </w:pPr>
            <w:r w:rsidRPr="00017F21">
              <w:rPr>
                <w:lang w:val="en-GB"/>
              </w:rPr>
              <w:t>334</w:t>
            </w:r>
          </w:p>
        </w:tc>
        <w:tc>
          <w:tcPr>
            <w:tcW w:w="1099" w:type="dxa"/>
            <w:shd w:val="clear" w:color="auto" w:fill="FFFFFF"/>
            <w:vAlign w:val="center"/>
          </w:tcPr>
          <w:p w14:paraId="07FA4487" w14:textId="03F129AE" w:rsidR="00A8183B" w:rsidRPr="00B57B36" w:rsidRDefault="00A8183B" w:rsidP="00A8183B">
            <w:pPr>
              <w:pStyle w:val="CETBodytext"/>
              <w:ind w:right="-1"/>
              <w:jc w:val="left"/>
              <w:rPr>
                <w:rFonts w:cs="Arial"/>
                <w:szCs w:val="18"/>
                <w:lang w:val="en-GB"/>
              </w:rPr>
            </w:pPr>
            <w:r w:rsidRPr="00017F21">
              <w:rPr>
                <w:lang w:val="en-GB"/>
              </w:rPr>
              <w:t>894</w:t>
            </w:r>
          </w:p>
        </w:tc>
        <w:tc>
          <w:tcPr>
            <w:tcW w:w="1099" w:type="dxa"/>
            <w:shd w:val="clear" w:color="auto" w:fill="FFFFFF"/>
            <w:vAlign w:val="center"/>
          </w:tcPr>
          <w:p w14:paraId="5809CC68" w14:textId="1192AEDC" w:rsidR="00A8183B" w:rsidRPr="00B57B36" w:rsidRDefault="000606D5" w:rsidP="00A8183B">
            <w:pPr>
              <w:pStyle w:val="CETBodytext"/>
              <w:ind w:right="-1"/>
              <w:jc w:val="left"/>
              <w:rPr>
                <w:rFonts w:cs="Arial"/>
                <w:szCs w:val="18"/>
                <w:lang w:val="en-GB"/>
              </w:rPr>
            </w:pPr>
            <w:r w:rsidRPr="000606D5">
              <w:rPr>
                <w:rFonts w:cs="Arial"/>
                <w:szCs w:val="18"/>
                <w:lang w:val="en-GB"/>
              </w:rPr>
              <w:t>~963</w:t>
            </w:r>
          </w:p>
        </w:tc>
        <w:tc>
          <w:tcPr>
            <w:tcW w:w="1098" w:type="dxa"/>
            <w:shd w:val="clear" w:color="auto" w:fill="FFFFFF"/>
            <w:vAlign w:val="center"/>
          </w:tcPr>
          <w:p w14:paraId="0AF399C9" w14:textId="5FAAE478" w:rsidR="00A8183B" w:rsidRPr="00B57B36" w:rsidRDefault="000606D5" w:rsidP="00A8183B">
            <w:pPr>
              <w:pStyle w:val="CETBodytext"/>
              <w:ind w:right="-1"/>
              <w:jc w:val="left"/>
              <w:rPr>
                <w:rFonts w:cs="Arial"/>
                <w:szCs w:val="18"/>
                <w:lang w:val="en-GB"/>
              </w:rPr>
            </w:pPr>
            <w:r w:rsidRPr="000606D5">
              <w:rPr>
                <w:rFonts w:cs="Arial"/>
                <w:szCs w:val="18"/>
                <w:lang w:val="en-GB"/>
              </w:rPr>
              <w:t>908</w:t>
            </w:r>
          </w:p>
        </w:tc>
      </w:tr>
      <w:tr w:rsidR="00A8183B" w:rsidRPr="00B57B36" w14:paraId="1D813A95" w14:textId="77777777" w:rsidTr="005E602D">
        <w:tc>
          <w:tcPr>
            <w:tcW w:w="4253" w:type="dxa"/>
            <w:shd w:val="clear" w:color="auto" w:fill="FFFFFF"/>
          </w:tcPr>
          <w:p w14:paraId="49676407" w14:textId="77777777" w:rsidR="00A8183B" w:rsidRPr="00017F21" w:rsidRDefault="00A8183B" w:rsidP="00A8183B">
            <w:pPr>
              <w:pStyle w:val="CETBodytext"/>
              <w:ind w:right="-1"/>
              <w:rPr>
                <w:lang w:val="en-GB"/>
              </w:rPr>
            </w:pPr>
            <w:r w:rsidRPr="00017F21">
              <w:rPr>
                <w:lang w:val="en-GB"/>
              </w:rPr>
              <w:t xml:space="preserve">Geometric area, with wall </w:t>
            </w:r>
            <w:proofErr w:type="spellStart"/>
            <w:proofErr w:type="gramStart"/>
            <w:r w:rsidRPr="0027062A">
              <w:rPr>
                <w:i/>
                <w:iCs/>
                <w:lang w:val="en-GB"/>
              </w:rPr>
              <w:t>a</w:t>
            </w:r>
            <w:r w:rsidRPr="00017F21">
              <w:rPr>
                <w:vertAlign w:val="subscript"/>
                <w:lang w:val="en-GB"/>
              </w:rPr>
              <w:t>geo,PW</w:t>
            </w:r>
            <w:proofErr w:type="spellEnd"/>
            <w:proofErr w:type="gramEnd"/>
            <w:r w:rsidRPr="00017F21">
              <w:rPr>
                <w:lang w:val="en-GB"/>
              </w:rPr>
              <w:t xml:space="preserve"> [m</w:t>
            </w:r>
            <w:r w:rsidRPr="00017F21">
              <w:rPr>
                <w:vertAlign w:val="superscript"/>
                <w:lang w:val="en-GB"/>
              </w:rPr>
              <w:t>2</w:t>
            </w:r>
            <w:r w:rsidRPr="00017F21">
              <w:rPr>
                <w:lang w:val="en-GB"/>
              </w:rPr>
              <w:t>m</w:t>
            </w:r>
            <w:r w:rsidRPr="00017F21">
              <w:rPr>
                <w:vertAlign w:val="superscript"/>
                <w:lang w:val="en-GB"/>
              </w:rPr>
              <w:t>-3</w:t>
            </w:r>
            <w:r w:rsidRPr="00017F21">
              <w:rPr>
                <w:lang w:val="en-GB"/>
              </w:rPr>
              <w:t>]</w:t>
            </w:r>
          </w:p>
        </w:tc>
        <w:tc>
          <w:tcPr>
            <w:tcW w:w="1098" w:type="dxa"/>
            <w:shd w:val="clear" w:color="auto" w:fill="FFFFFF"/>
            <w:vAlign w:val="center"/>
          </w:tcPr>
          <w:p w14:paraId="1E754553" w14:textId="77777777" w:rsidR="00A8183B" w:rsidRPr="00B57B36" w:rsidRDefault="00A8183B" w:rsidP="00A8183B">
            <w:pPr>
              <w:pStyle w:val="CETBodytext"/>
              <w:ind w:right="-1"/>
              <w:jc w:val="left"/>
              <w:rPr>
                <w:rFonts w:cs="Arial"/>
                <w:szCs w:val="18"/>
                <w:lang w:val="en-GB"/>
              </w:rPr>
            </w:pPr>
            <w:r w:rsidRPr="00017F21">
              <w:rPr>
                <w:lang w:val="en-GB"/>
              </w:rPr>
              <w:t>512</w:t>
            </w:r>
          </w:p>
        </w:tc>
        <w:tc>
          <w:tcPr>
            <w:tcW w:w="1099" w:type="dxa"/>
            <w:shd w:val="clear" w:color="auto" w:fill="FFFFFF"/>
            <w:vAlign w:val="center"/>
          </w:tcPr>
          <w:p w14:paraId="1CD3DD5A" w14:textId="55D8A2C5" w:rsidR="00A8183B" w:rsidRPr="00B57B36" w:rsidRDefault="00A8183B" w:rsidP="00A8183B">
            <w:pPr>
              <w:pStyle w:val="CETBodytext"/>
              <w:ind w:right="-1"/>
              <w:jc w:val="left"/>
              <w:rPr>
                <w:rFonts w:cs="Arial"/>
                <w:szCs w:val="18"/>
                <w:lang w:val="en-GB"/>
              </w:rPr>
            </w:pPr>
            <w:r w:rsidRPr="00017F21">
              <w:rPr>
                <w:lang w:val="en-GB"/>
              </w:rPr>
              <w:t>1028</w:t>
            </w:r>
          </w:p>
        </w:tc>
        <w:tc>
          <w:tcPr>
            <w:tcW w:w="1099" w:type="dxa"/>
            <w:shd w:val="clear" w:color="auto" w:fill="FFFFFF"/>
            <w:vAlign w:val="center"/>
          </w:tcPr>
          <w:p w14:paraId="13F14065" w14:textId="619B6006" w:rsidR="00A8183B" w:rsidRPr="00B57B36" w:rsidRDefault="000606D5" w:rsidP="00A8183B">
            <w:pPr>
              <w:pStyle w:val="CETBodytext"/>
              <w:ind w:right="-1"/>
              <w:jc w:val="left"/>
              <w:rPr>
                <w:rFonts w:cs="Arial"/>
                <w:szCs w:val="18"/>
                <w:lang w:val="en-GB"/>
              </w:rPr>
            </w:pPr>
            <w:r w:rsidRPr="000606D5">
              <w:rPr>
                <w:rFonts w:cs="Arial"/>
                <w:szCs w:val="18"/>
                <w:lang w:val="en-GB"/>
              </w:rPr>
              <w:t>~1093</w:t>
            </w:r>
          </w:p>
        </w:tc>
        <w:tc>
          <w:tcPr>
            <w:tcW w:w="1098" w:type="dxa"/>
            <w:shd w:val="clear" w:color="auto" w:fill="FFFFFF"/>
            <w:vAlign w:val="center"/>
          </w:tcPr>
          <w:p w14:paraId="294021DC" w14:textId="20C70E39" w:rsidR="00A8183B" w:rsidRPr="00B57B36" w:rsidRDefault="000606D5" w:rsidP="00A8183B">
            <w:pPr>
              <w:pStyle w:val="CETBodytext"/>
              <w:ind w:right="-1"/>
              <w:jc w:val="left"/>
              <w:rPr>
                <w:rFonts w:cs="Arial"/>
                <w:szCs w:val="18"/>
                <w:lang w:val="en-GB"/>
              </w:rPr>
            </w:pPr>
            <w:r w:rsidRPr="000606D5">
              <w:rPr>
                <w:rFonts w:cs="Arial"/>
                <w:szCs w:val="18"/>
                <w:lang w:val="en-GB"/>
              </w:rPr>
              <w:t>995</w:t>
            </w:r>
          </w:p>
        </w:tc>
      </w:tr>
      <w:tr w:rsidR="00A8183B" w:rsidRPr="00B57B36" w14:paraId="6543212C" w14:textId="77777777" w:rsidTr="005E602D">
        <w:tc>
          <w:tcPr>
            <w:tcW w:w="4253" w:type="dxa"/>
            <w:shd w:val="clear" w:color="auto" w:fill="FFFFFF"/>
          </w:tcPr>
          <w:p w14:paraId="01B12213" w14:textId="77777777" w:rsidR="00A8183B" w:rsidRPr="00017F21" w:rsidRDefault="00A8183B" w:rsidP="00A8183B">
            <w:pPr>
              <w:pStyle w:val="CETBodytext"/>
              <w:ind w:right="-1"/>
              <w:rPr>
                <w:lang w:val="en-GB"/>
              </w:rPr>
            </w:pPr>
            <w:r w:rsidRPr="00017F21">
              <w:rPr>
                <w:lang w:val="en-GB"/>
              </w:rPr>
              <w:t xml:space="preserve">Average </w:t>
            </w:r>
            <w:r w:rsidRPr="0027062A">
              <w:rPr>
                <w:i/>
                <w:iCs/>
                <w:lang w:val="en-GB"/>
              </w:rPr>
              <w:t>NTSM</w:t>
            </w:r>
            <w:r w:rsidRPr="00017F21">
              <w:rPr>
                <w:lang w:val="en-GB"/>
              </w:rPr>
              <w:t xml:space="preserve"> [m</w:t>
            </w:r>
            <w:r w:rsidRPr="00017F21">
              <w:rPr>
                <w:vertAlign w:val="superscript"/>
                <w:lang w:val="en-GB"/>
              </w:rPr>
              <w:t>-1</w:t>
            </w:r>
            <w:r w:rsidRPr="00017F21">
              <w:rPr>
                <w:lang w:val="en-GB"/>
              </w:rPr>
              <w:t>]</w:t>
            </w:r>
          </w:p>
        </w:tc>
        <w:tc>
          <w:tcPr>
            <w:tcW w:w="1098" w:type="dxa"/>
            <w:shd w:val="clear" w:color="auto" w:fill="FFFFFF"/>
            <w:vAlign w:val="center"/>
          </w:tcPr>
          <w:p w14:paraId="0374F25F" w14:textId="77777777" w:rsidR="00A8183B" w:rsidRPr="00B57B36" w:rsidRDefault="00A8183B" w:rsidP="00A8183B">
            <w:pPr>
              <w:pStyle w:val="CETBodytext"/>
              <w:ind w:right="-1"/>
              <w:jc w:val="left"/>
              <w:rPr>
                <w:rFonts w:cs="Arial"/>
                <w:szCs w:val="18"/>
                <w:lang w:val="en-GB"/>
              </w:rPr>
            </w:pPr>
            <w:r w:rsidRPr="00017F21">
              <w:rPr>
                <w:lang w:val="en-GB"/>
              </w:rPr>
              <w:t>3.61</w:t>
            </w:r>
          </w:p>
        </w:tc>
        <w:tc>
          <w:tcPr>
            <w:tcW w:w="1099" w:type="dxa"/>
            <w:shd w:val="clear" w:color="auto" w:fill="FFFFFF"/>
            <w:vAlign w:val="center"/>
          </w:tcPr>
          <w:p w14:paraId="4AB62AED" w14:textId="72E93FFF" w:rsidR="00A8183B" w:rsidRPr="00B57B36" w:rsidRDefault="00A8183B" w:rsidP="00A8183B">
            <w:pPr>
              <w:pStyle w:val="CETBodytext"/>
              <w:ind w:right="-1"/>
              <w:jc w:val="left"/>
              <w:rPr>
                <w:rFonts w:cs="Arial"/>
                <w:szCs w:val="18"/>
                <w:lang w:val="en-GB"/>
              </w:rPr>
            </w:pPr>
            <w:r w:rsidRPr="00017F21">
              <w:rPr>
                <w:lang w:val="en-GB"/>
              </w:rPr>
              <w:t>7.55</w:t>
            </w:r>
          </w:p>
        </w:tc>
        <w:tc>
          <w:tcPr>
            <w:tcW w:w="1099" w:type="dxa"/>
            <w:shd w:val="clear" w:color="auto" w:fill="FFFFFF"/>
            <w:vAlign w:val="center"/>
          </w:tcPr>
          <w:p w14:paraId="3882D439" w14:textId="29B73381" w:rsidR="00A8183B" w:rsidRPr="00B57B36" w:rsidRDefault="000606D5" w:rsidP="00A8183B">
            <w:pPr>
              <w:pStyle w:val="CETBodytext"/>
              <w:ind w:right="-1"/>
              <w:jc w:val="left"/>
              <w:rPr>
                <w:rFonts w:cs="Arial"/>
                <w:szCs w:val="18"/>
                <w:lang w:val="en-GB"/>
              </w:rPr>
            </w:pPr>
            <w:r w:rsidRPr="000606D5">
              <w:rPr>
                <w:rFonts w:cs="Arial"/>
                <w:szCs w:val="18"/>
                <w:lang w:val="en-GB"/>
              </w:rPr>
              <w:t>5.45</w:t>
            </w:r>
          </w:p>
        </w:tc>
        <w:tc>
          <w:tcPr>
            <w:tcW w:w="1098" w:type="dxa"/>
            <w:shd w:val="clear" w:color="auto" w:fill="FFFFFF"/>
            <w:vAlign w:val="center"/>
          </w:tcPr>
          <w:p w14:paraId="0E145189" w14:textId="46CE0F60" w:rsidR="00A8183B" w:rsidRPr="00B57B36" w:rsidRDefault="000606D5" w:rsidP="00A8183B">
            <w:pPr>
              <w:pStyle w:val="CETBodytext"/>
              <w:ind w:right="-1"/>
              <w:jc w:val="left"/>
              <w:rPr>
                <w:rFonts w:cs="Arial"/>
                <w:szCs w:val="18"/>
                <w:lang w:val="en-GB"/>
              </w:rPr>
            </w:pPr>
            <w:r w:rsidRPr="000606D5">
              <w:rPr>
                <w:rFonts w:cs="Arial"/>
                <w:szCs w:val="18"/>
                <w:lang w:val="en-GB"/>
              </w:rPr>
              <w:t>6.95</w:t>
            </w:r>
          </w:p>
        </w:tc>
      </w:tr>
      <w:tr w:rsidR="00A8183B" w:rsidRPr="00B57B36" w14:paraId="072992F8" w14:textId="77777777" w:rsidTr="005E602D">
        <w:tc>
          <w:tcPr>
            <w:tcW w:w="4253" w:type="dxa"/>
            <w:shd w:val="clear" w:color="auto" w:fill="FFFFFF"/>
          </w:tcPr>
          <w:p w14:paraId="5B5C8659" w14:textId="77777777" w:rsidR="00A8183B" w:rsidRPr="00017F21" w:rsidRDefault="00A8183B" w:rsidP="00A8183B">
            <w:pPr>
              <w:pStyle w:val="CETBodytext"/>
              <w:ind w:right="-1"/>
              <w:rPr>
                <w:lang w:val="en-GB"/>
              </w:rPr>
            </w:pPr>
            <w:r w:rsidRPr="0027062A">
              <w:rPr>
                <w:i/>
                <w:iCs/>
                <w:lang w:val="en-GB"/>
              </w:rPr>
              <w:t>NTSM</w:t>
            </w:r>
            <w:r w:rsidRPr="00017F21">
              <w:rPr>
                <w:lang w:val="en-GB"/>
              </w:rPr>
              <w:t xml:space="preserve"> relative standard deviation RSD [%]</w:t>
            </w:r>
          </w:p>
        </w:tc>
        <w:tc>
          <w:tcPr>
            <w:tcW w:w="1098" w:type="dxa"/>
            <w:shd w:val="clear" w:color="auto" w:fill="FFFFFF"/>
            <w:vAlign w:val="center"/>
          </w:tcPr>
          <w:p w14:paraId="079AFDB8" w14:textId="77777777" w:rsidR="00A8183B" w:rsidRPr="00B57B36" w:rsidRDefault="00A8183B" w:rsidP="00A8183B">
            <w:pPr>
              <w:pStyle w:val="CETBodytext"/>
              <w:ind w:right="-1"/>
              <w:jc w:val="left"/>
              <w:rPr>
                <w:rFonts w:cs="Arial"/>
                <w:szCs w:val="18"/>
                <w:lang w:val="en-GB"/>
              </w:rPr>
            </w:pPr>
            <w:r w:rsidRPr="00017F21">
              <w:rPr>
                <w:lang w:val="en-GB"/>
              </w:rPr>
              <w:t>2.22</w:t>
            </w:r>
          </w:p>
        </w:tc>
        <w:tc>
          <w:tcPr>
            <w:tcW w:w="1099" w:type="dxa"/>
            <w:shd w:val="clear" w:color="auto" w:fill="FFFFFF"/>
            <w:vAlign w:val="center"/>
          </w:tcPr>
          <w:p w14:paraId="25B64A91" w14:textId="79491112" w:rsidR="00A8183B" w:rsidRPr="00B57B36" w:rsidRDefault="00A8183B" w:rsidP="00A8183B">
            <w:pPr>
              <w:pStyle w:val="CETBodytext"/>
              <w:ind w:right="-1"/>
              <w:jc w:val="left"/>
              <w:rPr>
                <w:rFonts w:cs="Arial"/>
                <w:szCs w:val="18"/>
                <w:lang w:val="en-GB"/>
              </w:rPr>
            </w:pPr>
            <w:r w:rsidRPr="00017F21">
              <w:rPr>
                <w:lang w:val="en-GB"/>
              </w:rPr>
              <w:t>2.65</w:t>
            </w:r>
          </w:p>
        </w:tc>
        <w:tc>
          <w:tcPr>
            <w:tcW w:w="1099" w:type="dxa"/>
            <w:shd w:val="clear" w:color="auto" w:fill="FFFFFF"/>
            <w:vAlign w:val="center"/>
          </w:tcPr>
          <w:p w14:paraId="60043935" w14:textId="56959E27" w:rsidR="00A8183B" w:rsidRPr="00B57B36" w:rsidRDefault="000606D5" w:rsidP="00A8183B">
            <w:pPr>
              <w:pStyle w:val="CETBodytext"/>
              <w:ind w:right="-1"/>
              <w:jc w:val="left"/>
              <w:rPr>
                <w:rFonts w:cs="Arial"/>
                <w:szCs w:val="18"/>
                <w:lang w:val="en-GB"/>
              </w:rPr>
            </w:pPr>
            <w:r w:rsidRPr="000606D5">
              <w:rPr>
                <w:rFonts w:cs="Arial"/>
                <w:szCs w:val="18"/>
                <w:lang w:val="en-GB"/>
              </w:rPr>
              <w:t>4.59</w:t>
            </w:r>
          </w:p>
        </w:tc>
        <w:tc>
          <w:tcPr>
            <w:tcW w:w="1098" w:type="dxa"/>
            <w:shd w:val="clear" w:color="auto" w:fill="FFFFFF"/>
            <w:vAlign w:val="center"/>
          </w:tcPr>
          <w:p w14:paraId="1D139D64" w14:textId="23346F66" w:rsidR="00A8183B" w:rsidRPr="00B57B36" w:rsidRDefault="000606D5" w:rsidP="00A8183B">
            <w:pPr>
              <w:pStyle w:val="CETBodytext"/>
              <w:ind w:right="-1"/>
              <w:jc w:val="left"/>
              <w:rPr>
                <w:rFonts w:cs="Arial"/>
                <w:szCs w:val="18"/>
                <w:lang w:val="en-GB"/>
              </w:rPr>
            </w:pPr>
            <w:r w:rsidRPr="000606D5">
              <w:rPr>
                <w:rFonts w:cs="Arial"/>
                <w:szCs w:val="18"/>
                <w:lang w:val="en-GB"/>
              </w:rPr>
              <w:t>2.88</w:t>
            </w:r>
          </w:p>
        </w:tc>
      </w:tr>
    </w:tbl>
    <w:p w14:paraId="4C4ACB1A" w14:textId="3892BCB3" w:rsidR="005A6D8B" w:rsidRDefault="005A6D8B" w:rsidP="008F64E5">
      <w:pPr>
        <w:pStyle w:val="CETBodytext"/>
      </w:pPr>
      <w:r>
        <w:t xml:space="preserve">Sulzer recommends a minimum inside diameter of 30 mm for the DXM. The CAZ-Pak is therefore also manufactured in DN30 to exclude diameter effects. As observed in Figure </w:t>
      </w:r>
      <w:r w:rsidR="00364F09">
        <w:t>4</w:t>
      </w:r>
      <w:r>
        <w:t xml:space="preserve">a, the </w:t>
      </w:r>
      <w:r w:rsidR="00E027DE">
        <w:t xml:space="preserve">DN30 </w:t>
      </w:r>
      <w:r>
        <w:t xml:space="preserve">CAZ-Pak displays an average </w:t>
      </w:r>
      <w:r>
        <w:rPr>
          <w:i/>
        </w:rPr>
        <w:t>NTSM</w:t>
      </w:r>
      <w:r>
        <w:t xml:space="preserve"> of 6.95 (± 2.88 % RSD) versus 5.45 (± 4.59 % RSD) for the DXM</w:t>
      </w:r>
      <w:r w:rsidR="00743ADF">
        <w:t>. This represents approx. 2</w:t>
      </w:r>
      <w:r>
        <w:t>7.5 % higher</w:t>
      </w:r>
      <w:r w:rsidR="00743ADF">
        <w:t xml:space="preserve"> </w:t>
      </w:r>
      <w:r w:rsidR="00743ADF" w:rsidRPr="00743ADF">
        <w:rPr>
          <w:i/>
          <w:iCs/>
        </w:rPr>
        <w:t>NTSM</w:t>
      </w:r>
      <w:r>
        <w:t xml:space="preserve"> despite an approx. 9 % lower specific geometric </w:t>
      </w:r>
      <w:r w:rsidR="008F64E5">
        <w:t>are</w:t>
      </w:r>
      <w:r w:rsidR="00D10F1A">
        <w:t>a</w:t>
      </w:r>
      <w:r w:rsidR="008F64E5">
        <w:t xml:space="preserve"> </w:t>
      </w:r>
      <w:r w:rsidR="008F64E5" w:rsidRPr="008F64E5">
        <w:rPr>
          <w:lang w:val="en-GB"/>
        </w:rPr>
        <w:t>including the column wall</w:t>
      </w:r>
      <w:r>
        <w:t xml:space="preserve"> (995 versus ~1093 m</w:t>
      </w:r>
      <w:r>
        <w:rPr>
          <w:vertAlign w:val="superscript"/>
        </w:rPr>
        <w:t>2</w:t>
      </w:r>
      <w:r>
        <w:t>m</w:t>
      </w:r>
      <w:r>
        <w:rPr>
          <w:vertAlign w:val="superscript"/>
        </w:rPr>
        <w:t>-3</w:t>
      </w:r>
      <w:r>
        <w:t xml:space="preserve">) and a far lower void fraction (66.5 % versus ~93 %). </w:t>
      </w:r>
      <w:r w:rsidR="00D07333">
        <w:t>The CAZ-Pak</w:t>
      </w:r>
      <w:r>
        <w:t xml:space="preserve"> also maintains the flat</w:t>
      </w:r>
      <w:r w:rsidR="00D07333">
        <w:t xml:space="preserve"> and minimally scattering</w:t>
      </w:r>
      <w:r>
        <w:t xml:space="preserve"> efficiency behavior</w:t>
      </w:r>
      <w:r w:rsidR="00D07333">
        <w:t xml:space="preserve"> (± 2.88 % RSD)</w:t>
      </w:r>
      <w:r>
        <w:t xml:space="preserve"> of its DN20 counterpart, while the DXM data is more scattered </w:t>
      </w:r>
      <w:r w:rsidR="00D07333">
        <w:t>(± 4.59 % RSD)</w:t>
      </w:r>
      <w:r>
        <w:t>. These enhancements are likely attributed to the improved geometric homogeneity: more uniform interaction of both phases with the structure, better volume utilization by replacing the annular gap with packing surface, and improved radial mixing by the mid-element directional change.</w:t>
      </w:r>
    </w:p>
    <w:p w14:paraId="4FC2BD5E" w14:textId="0CC94FCD" w:rsidR="005A6D8B" w:rsidRDefault="005A6D8B" w:rsidP="00C95B98">
      <w:pPr>
        <w:pStyle w:val="CETBodytext"/>
      </w:pPr>
      <w:r>
        <w:t xml:space="preserve">Both packings show similar pressure drop trends (Figure </w:t>
      </w:r>
      <w:r w:rsidR="00ED14E6">
        <w:t>4</w:t>
      </w:r>
      <w:r>
        <w:t xml:space="preserve">b), with the CAZ-Pak </w:t>
      </w:r>
      <w:r w:rsidR="0088509D">
        <w:t>slightly</w:t>
      </w:r>
      <w:r>
        <w:t xml:space="preserve"> higher across the entire range, </w:t>
      </w:r>
      <w:r w:rsidR="00E31FB9" w:rsidRPr="00E31FB9">
        <w:rPr>
          <w:lang w:val="en-GB"/>
        </w:rPr>
        <w:t>with the relative difference reaching approximately 15.4 % at the highest investigated F-factor</w:t>
      </w:r>
      <w:r>
        <w:t>. This only moderate increase, despite the far lower void fraction, is likely due to the exact square-pitched channel layout at the inter-elemental plane eliminating losses from partial channel closure, and the elimination of both the expansion-contraction contributions at the wall-wiper gap and the resistance of wetted wipers. On the laboratory scale, pressure drop is rarely detrimental unless deep vacuum operation is required.</w:t>
      </w:r>
      <w:r w:rsidR="006A6353">
        <w:t xml:space="preserve"> Therefore,</w:t>
      </w:r>
      <w:r>
        <w:t xml:space="preserve"> </w:t>
      </w:r>
      <w:r w:rsidR="006A6353">
        <w:t>t</w:t>
      </w:r>
      <w:r>
        <w:t>he CAZ-Pak</w:t>
      </w:r>
      <w:r w:rsidR="006A6353">
        <w:t xml:space="preserve"> seems to be</w:t>
      </w:r>
      <w:r>
        <w:t xml:space="preserve"> the best alternative</w:t>
      </w:r>
      <w:r w:rsidR="0088509D">
        <w:t xml:space="preserve"> among the </w:t>
      </w:r>
      <w:r w:rsidR="00AE2C82">
        <w:t>laboratory</w:t>
      </w:r>
      <w:r w:rsidR="0088509D">
        <w:t xml:space="preserve"> packings</w:t>
      </w:r>
      <w:r w:rsidR="00B221CC">
        <w:t xml:space="preserve"> tested in this study</w:t>
      </w:r>
      <w:r w:rsidR="0088509D">
        <w:t>.</w:t>
      </w:r>
      <w:r w:rsidR="00AE2C82">
        <w:t xml:space="preserve"> </w:t>
      </w:r>
      <w:r w:rsidR="00C95B98" w:rsidRPr="00C95B98">
        <w:rPr>
          <w:lang w:val="en-GB"/>
        </w:rPr>
        <w:t>Its moderate pressure drop also indicates potential for operation at reduced pressures, although dedicated vacuum experiments are required.</w:t>
      </w:r>
    </w:p>
    <w:p w14:paraId="68D26B83" w14:textId="77777777" w:rsidR="00600535" w:rsidRPr="005C714D" w:rsidRDefault="00600535" w:rsidP="00600535">
      <w:pPr>
        <w:pStyle w:val="CETHeading1"/>
      </w:pPr>
      <w:r w:rsidRPr="005C714D">
        <w:lastRenderedPageBreak/>
        <w:t>Conclusions</w:t>
      </w:r>
    </w:p>
    <w:p w14:paraId="52DAFDE0" w14:textId="604803DE" w:rsidR="001D0CFB" w:rsidRPr="005C714D" w:rsidRDefault="00711456" w:rsidP="00711456">
      <w:pPr>
        <w:pStyle w:val="CETBodytext"/>
      </w:pPr>
      <w:r w:rsidRPr="005C714D">
        <w:t xml:space="preserve">This work addressed the miniaturization of laboratory-scale corrugated-sheet packings for process development and scale-up of distillation columns. The drawbacks of conventional laboratory packings were analyzed and used as the basis for the additively manufactured CAZ-Pak, featuring homogeneous sheet termination, exact inter-elemental mating, eliminated wall wipers, orientation rings, and one-piece manufacturing. The experiments showed a favorable combination of mass transfer performance and scalability. In DN20, </w:t>
      </w:r>
      <w:r w:rsidR="00F7579C">
        <w:t>the CAZ-Pak</w:t>
      </w:r>
      <w:r w:rsidRPr="005C714D">
        <w:t xml:space="preserve"> outperformed the XW-Pak </w:t>
      </w:r>
      <w:r w:rsidR="00F7579C">
        <w:t xml:space="preserve">by doubling the </w:t>
      </w:r>
      <w:r w:rsidRPr="005C714D">
        <w:t xml:space="preserve">average </w:t>
      </w:r>
      <w:r w:rsidRPr="005C714D">
        <w:rPr>
          <w:i/>
        </w:rPr>
        <w:t>NTSM</w:t>
      </w:r>
      <w:r w:rsidRPr="005C714D">
        <w:t xml:space="preserve"> </w:t>
      </w:r>
      <w:r w:rsidR="003B2A2F">
        <w:t>while maintaining</w:t>
      </w:r>
      <w:r w:rsidRPr="005C714D">
        <w:t xml:space="preserve"> a practically </w:t>
      </w:r>
      <w:r w:rsidR="003B2A2F">
        <w:t xml:space="preserve">constant </w:t>
      </w:r>
      <w:r w:rsidRPr="005C714D">
        <w:t>efficiency trend</w:t>
      </w:r>
      <w:r w:rsidR="003B2A2F">
        <w:t xml:space="preserve"> across the operation range</w:t>
      </w:r>
      <w:r w:rsidRPr="005C714D">
        <w:t xml:space="preserve">. In </w:t>
      </w:r>
      <w:r w:rsidR="00B0467B">
        <w:t xml:space="preserve">the </w:t>
      </w:r>
      <w:r w:rsidRPr="005C714D">
        <w:t>DN30</w:t>
      </w:r>
      <w:r w:rsidR="00B0467B">
        <w:t xml:space="preserve"> size</w:t>
      </w:r>
      <w:r w:rsidRPr="005C714D">
        <w:t xml:space="preserve">, </w:t>
      </w:r>
      <w:r w:rsidR="00666ECE">
        <w:t>the CAZ-Pak</w:t>
      </w:r>
      <w:r w:rsidRPr="005C714D">
        <w:t xml:space="preserve"> surpassed the Sulzer DXM by 27.5 % in average </w:t>
      </w:r>
      <w:r w:rsidRPr="005C714D">
        <w:rPr>
          <w:i/>
        </w:rPr>
        <w:t>NTSM</w:t>
      </w:r>
      <w:r w:rsidRPr="005C714D">
        <w:t xml:space="preserve"> at a moderately higher pressure drop</w:t>
      </w:r>
      <w:r w:rsidR="000B4913">
        <w:t>. It also</w:t>
      </w:r>
      <w:r w:rsidRPr="005C714D">
        <w:t xml:space="preserve"> largely retained its performance upon </w:t>
      </w:r>
      <w:r w:rsidR="000B4913">
        <w:t>diameter reduction</w:t>
      </w:r>
      <w:r w:rsidRPr="005C714D">
        <w:t xml:space="preserve"> from DN</w:t>
      </w:r>
      <w:r w:rsidR="000B4913">
        <w:t>30</w:t>
      </w:r>
      <w:r w:rsidRPr="005C714D">
        <w:t xml:space="preserve"> to DN20. Future work comprises exploring the geometric design space to reduce the pressure drop, manufacturing from stainless steel 316L for testing aggressive mixtures at multiple </w:t>
      </w:r>
      <w:proofErr w:type="gramStart"/>
      <w:r w:rsidRPr="005C714D">
        <w:t>pressures,</w:t>
      </w:r>
      <w:r w:rsidR="000B4913">
        <w:t xml:space="preserve"> </w:t>
      </w:r>
      <w:r w:rsidRPr="005C714D">
        <w:t>and</w:t>
      </w:r>
      <w:proofErr w:type="gramEnd"/>
      <w:r w:rsidRPr="005C714D">
        <w:t xml:space="preserve"> examining the proposed hypotheses by CFD and liquid distribution studies.</w:t>
      </w:r>
    </w:p>
    <w:p w14:paraId="07A6D20F" w14:textId="0ECF229E" w:rsidR="00280FAF" w:rsidRPr="005C714D" w:rsidRDefault="00280FAF" w:rsidP="00280FAF">
      <w:pPr>
        <w:pStyle w:val="CETHeadingxx"/>
        <w:sectPr w:rsidR="00280FAF" w:rsidRPr="005C714D" w:rsidSect="008314D7">
          <w:type w:val="continuous"/>
          <w:pgSz w:w="11906" w:h="16838" w:code="9"/>
          <w:pgMar w:top="1701" w:right="1418" w:bottom="1701" w:left="1701" w:header="1701" w:footer="0" w:gutter="0"/>
          <w:cols w:space="708"/>
          <w:formProt w:val="0"/>
          <w:titlePg/>
          <w:docGrid w:linePitch="360"/>
        </w:sectPr>
      </w:pPr>
      <w:r w:rsidRPr="005C714D">
        <w:t>Nomenclature</w:t>
      </w:r>
    </w:p>
    <w:p w14:paraId="10D84003" w14:textId="0B59A856" w:rsidR="00E31AF5" w:rsidRPr="005C714D" w:rsidRDefault="00B71FA9" w:rsidP="00E31AF5">
      <w:pPr>
        <w:pStyle w:val="CETBodytext"/>
        <w:rPr>
          <w:rFonts w:eastAsia="SimSun"/>
        </w:rPr>
      </w:pPr>
      <w:r>
        <w:rPr>
          <w:rFonts w:ascii="Calibri" w:eastAsia="SimSun" w:hAnsi="Calibri" w:cs="Calibri"/>
          <w:i/>
          <w:iCs/>
        </w:rPr>
        <w:t>α</w:t>
      </w:r>
      <w:proofErr w:type="gramStart"/>
      <w:r w:rsidR="00E31AF5" w:rsidRPr="005C714D">
        <w:rPr>
          <w:rFonts w:eastAsia="SimSun"/>
          <w:vertAlign w:val="subscript"/>
        </w:rPr>
        <w:t>12,avg</w:t>
      </w:r>
      <w:proofErr w:type="gramEnd"/>
      <w:r w:rsidR="00E31AF5" w:rsidRPr="005C714D">
        <w:rPr>
          <w:rFonts w:eastAsia="SimSun"/>
        </w:rPr>
        <w:t xml:space="preserve"> – average relative volatility, 1</w:t>
      </w:r>
    </w:p>
    <w:p w14:paraId="531C704E" w14:textId="77777777" w:rsidR="00E31AF5" w:rsidRPr="005C714D" w:rsidRDefault="00E31AF5" w:rsidP="00E31AF5">
      <w:pPr>
        <w:pStyle w:val="CETBodytext"/>
        <w:rPr>
          <w:rFonts w:eastAsia="SimSun"/>
          <w:vertAlign w:val="superscript"/>
        </w:rPr>
      </w:pPr>
      <w:proofErr w:type="spellStart"/>
      <w:proofErr w:type="gramStart"/>
      <w:r w:rsidRPr="00B71FA9">
        <w:rPr>
          <w:rFonts w:eastAsia="SimSun"/>
          <w:i/>
          <w:iCs/>
        </w:rPr>
        <w:t>a</w:t>
      </w:r>
      <w:r w:rsidRPr="005C714D">
        <w:rPr>
          <w:rFonts w:eastAsia="SimSun"/>
          <w:vertAlign w:val="subscript"/>
        </w:rPr>
        <w:t>geo,P</w:t>
      </w:r>
      <w:proofErr w:type="spellEnd"/>
      <w:proofErr w:type="gramEnd"/>
      <w:r w:rsidRPr="005C714D">
        <w:rPr>
          <w:rFonts w:eastAsia="SimSun"/>
        </w:rPr>
        <w:t xml:space="preserve"> – Geometric area packing, m</w:t>
      </w:r>
      <w:r w:rsidRPr="005C714D">
        <w:rPr>
          <w:rFonts w:eastAsia="SimSun"/>
          <w:vertAlign w:val="superscript"/>
        </w:rPr>
        <w:t>2</w:t>
      </w:r>
      <w:r w:rsidRPr="005C714D">
        <w:rPr>
          <w:rFonts w:eastAsia="SimSun"/>
        </w:rPr>
        <w:t xml:space="preserve"> m</w:t>
      </w:r>
      <w:r w:rsidRPr="005C714D">
        <w:rPr>
          <w:rFonts w:eastAsia="SimSun"/>
          <w:vertAlign w:val="superscript"/>
        </w:rPr>
        <w:t>-3</w:t>
      </w:r>
    </w:p>
    <w:p w14:paraId="050D498A" w14:textId="77777777" w:rsidR="00E31AF5" w:rsidRPr="005C714D" w:rsidRDefault="00E31AF5" w:rsidP="00E31AF5">
      <w:pPr>
        <w:pStyle w:val="CETBodytext"/>
        <w:rPr>
          <w:rFonts w:eastAsia="SimSun"/>
          <w:vertAlign w:val="superscript"/>
        </w:rPr>
      </w:pPr>
      <w:proofErr w:type="spellStart"/>
      <w:proofErr w:type="gramStart"/>
      <w:r w:rsidRPr="00B71FA9">
        <w:rPr>
          <w:rFonts w:eastAsia="SimSun"/>
          <w:i/>
          <w:iCs/>
        </w:rPr>
        <w:t>a</w:t>
      </w:r>
      <w:r w:rsidRPr="005C714D">
        <w:rPr>
          <w:rFonts w:eastAsia="SimSun"/>
          <w:vertAlign w:val="subscript"/>
        </w:rPr>
        <w:t>geo,PW</w:t>
      </w:r>
      <w:proofErr w:type="spellEnd"/>
      <w:proofErr w:type="gramEnd"/>
      <w:r w:rsidRPr="005C714D">
        <w:rPr>
          <w:rFonts w:eastAsia="SimSun"/>
        </w:rPr>
        <w:t xml:space="preserve"> – Geometric area packing with wall, m</w:t>
      </w:r>
      <w:r w:rsidRPr="005C714D">
        <w:rPr>
          <w:rFonts w:eastAsia="SimSun"/>
          <w:vertAlign w:val="superscript"/>
        </w:rPr>
        <w:t>2</w:t>
      </w:r>
      <w:r w:rsidRPr="005C714D">
        <w:rPr>
          <w:rFonts w:eastAsia="SimSun"/>
        </w:rPr>
        <w:t xml:space="preserve"> m</w:t>
      </w:r>
      <w:r w:rsidRPr="005C714D">
        <w:rPr>
          <w:rFonts w:eastAsia="SimSun"/>
          <w:vertAlign w:val="superscript"/>
        </w:rPr>
        <w:t>-3</w:t>
      </w:r>
    </w:p>
    <w:p w14:paraId="69CAE781" w14:textId="77777777" w:rsidR="00E31AF5" w:rsidRPr="005C714D" w:rsidRDefault="00E31AF5" w:rsidP="00E31AF5">
      <w:pPr>
        <w:pStyle w:val="CETBodytext"/>
        <w:rPr>
          <w:rFonts w:eastAsia="SimSun"/>
        </w:rPr>
      </w:pPr>
      <w:r w:rsidRPr="00B71FA9">
        <w:rPr>
          <w:rFonts w:eastAsia="SimSun"/>
          <w:i/>
          <w:iCs/>
        </w:rPr>
        <w:t>b</w:t>
      </w:r>
      <w:r w:rsidRPr="005C714D">
        <w:rPr>
          <w:rFonts w:eastAsia="SimSun"/>
          <w:vertAlign w:val="subscript"/>
        </w:rPr>
        <w:t>ch</w:t>
      </w:r>
      <w:r w:rsidRPr="005C714D">
        <w:rPr>
          <w:rFonts w:eastAsia="SimSun"/>
        </w:rPr>
        <w:t xml:space="preserve"> – channel width, m</w:t>
      </w:r>
    </w:p>
    <w:p w14:paraId="28203ECB" w14:textId="77777777" w:rsidR="00E31AF5" w:rsidRPr="005C714D" w:rsidRDefault="00E31AF5" w:rsidP="00E31AF5">
      <w:pPr>
        <w:pStyle w:val="CETBodytext"/>
        <w:rPr>
          <w:rFonts w:eastAsia="SimSun"/>
        </w:rPr>
      </w:pPr>
      <w:r w:rsidRPr="00B71FA9">
        <w:rPr>
          <w:rFonts w:eastAsia="SimSun"/>
          <w:i/>
          <w:iCs/>
        </w:rPr>
        <w:t>d</w:t>
      </w:r>
      <w:r w:rsidRPr="005C714D">
        <w:rPr>
          <w:rFonts w:eastAsia="SimSun"/>
          <w:vertAlign w:val="subscript"/>
        </w:rPr>
        <w:t>c</w:t>
      </w:r>
      <w:r w:rsidRPr="005C714D">
        <w:rPr>
          <w:rFonts w:eastAsia="SimSun"/>
        </w:rPr>
        <w:t xml:space="preserve"> – inner column diameter, m</w:t>
      </w:r>
    </w:p>
    <w:p w14:paraId="7815C00B" w14:textId="44C1E324" w:rsidR="00E31AF5" w:rsidRPr="005C714D" w:rsidRDefault="00E31AF5" w:rsidP="00E31AF5">
      <w:pPr>
        <w:pStyle w:val="CETBodytext"/>
        <w:rPr>
          <w:rFonts w:eastAsia="SimSun"/>
        </w:rPr>
      </w:pPr>
      <w:r w:rsidRPr="00B71FA9">
        <w:rPr>
          <w:rFonts w:eastAsia="SimSun"/>
          <w:i/>
          <w:iCs/>
        </w:rPr>
        <w:t>d</w:t>
      </w:r>
      <w:r w:rsidRPr="005C714D">
        <w:rPr>
          <w:rFonts w:eastAsia="SimSun"/>
          <w:vertAlign w:val="subscript"/>
        </w:rPr>
        <w:t>hole</w:t>
      </w:r>
      <w:r w:rsidRPr="005C714D">
        <w:rPr>
          <w:rFonts w:eastAsia="SimSun"/>
        </w:rPr>
        <w:t xml:space="preserve"> – hole </w:t>
      </w:r>
      <w:r w:rsidR="00CE1426" w:rsidRPr="005C714D">
        <w:rPr>
          <w:rFonts w:eastAsia="SimSun"/>
        </w:rPr>
        <w:t>diameter</w:t>
      </w:r>
      <w:r w:rsidRPr="005C714D">
        <w:rPr>
          <w:rFonts w:eastAsia="SimSun"/>
        </w:rPr>
        <w:t>, m</w:t>
      </w:r>
    </w:p>
    <w:p w14:paraId="75755F14" w14:textId="218F08C2" w:rsidR="00E31AF5" w:rsidRPr="005C714D" w:rsidRDefault="00E31AF5" w:rsidP="00E31AF5">
      <w:pPr>
        <w:pStyle w:val="CETBodytext"/>
        <w:rPr>
          <w:rFonts w:eastAsia="SimSun"/>
          <w:vertAlign w:val="superscript"/>
        </w:rPr>
      </w:pPr>
      <w:r w:rsidRPr="00B71FA9">
        <w:rPr>
          <w:rFonts w:eastAsia="SimSun"/>
          <w:i/>
          <w:iCs/>
        </w:rPr>
        <w:t>F</w:t>
      </w:r>
      <w:r w:rsidRPr="005C714D">
        <w:rPr>
          <w:rFonts w:eastAsia="SimSun"/>
          <w:vertAlign w:val="subscript"/>
        </w:rPr>
        <w:t>V</w:t>
      </w:r>
      <w:r w:rsidRPr="005C714D">
        <w:rPr>
          <w:rFonts w:eastAsia="SimSun"/>
        </w:rPr>
        <w:t xml:space="preserve"> –</w:t>
      </w:r>
      <w:r w:rsidR="00B939D3">
        <w:rPr>
          <w:rFonts w:eastAsia="SimSun"/>
        </w:rPr>
        <w:t xml:space="preserve"> gas load or</w:t>
      </w:r>
      <w:r w:rsidRPr="005C714D">
        <w:rPr>
          <w:rFonts w:eastAsia="SimSun"/>
        </w:rPr>
        <w:t xml:space="preserve"> </w:t>
      </w:r>
      <w:r w:rsidRPr="00B939D3">
        <w:rPr>
          <w:rFonts w:eastAsia="SimSun"/>
          <w:i/>
          <w:iCs/>
        </w:rPr>
        <w:t>F</w:t>
      </w:r>
      <w:r w:rsidRPr="005C714D">
        <w:rPr>
          <w:rFonts w:eastAsia="SimSun"/>
        </w:rPr>
        <w:t>-Factor, Pa</w:t>
      </w:r>
      <w:r w:rsidRPr="005C714D">
        <w:rPr>
          <w:rFonts w:eastAsia="SimSun"/>
          <w:vertAlign w:val="superscript"/>
        </w:rPr>
        <w:t>0.5</w:t>
      </w:r>
    </w:p>
    <w:p w14:paraId="32CD707C" w14:textId="77777777" w:rsidR="00E31AF5" w:rsidRPr="005C714D" w:rsidRDefault="00E31AF5" w:rsidP="00E31AF5">
      <w:pPr>
        <w:pStyle w:val="CETBodytext"/>
        <w:rPr>
          <w:rFonts w:eastAsia="SimSun"/>
        </w:rPr>
      </w:pPr>
      <w:proofErr w:type="spellStart"/>
      <w:r w:rsidRPr="00B71FA9">
        <w:rPr>
          <w:rFonts w:eastAsia="SimSun"/>
          <w:i/>
          <w:iCs/>
        </w:rPr>
        <w:t>h</w:t>
      </w:r>
      <w:r w:rsidRPr="005C714D">
        <w:rPr>
          <w:rFonts w:eastAsia="SimSun"/>
          <w:vertAlign w:val="subscript"/>
        </w:rPr>
        <w:t>ch</w:t>
      </w:r>
      <w:proofErr w:type="spellEnd"/>
      <w:r w:rsidRPr="005C714D">
        <w:rPr>
          <w:rFonts w:eastAsia="SimSun"/>
        </w:rPr>
        <w:t xml:space="preserve"> – channel height, m</w:t>
      </w:r>
    </w:p>
    <w:p w14:paraId="0E612662" w14:textId="77777777" w:rsidR="00E31AF5" w:rsidRPr="005C714D" w:rsidRDefault="00E31AF5" w:rsidP="00E31AF5">
      <w:pPr>
        <w:pStyle w:val="CETBodytext"/>
        <w:rPr>
          <w:rFonts w:eastAsia="SimSun"/>
        </w:rPr>
      </w:pPr>
      <w:proofErr w:type="spellStart"/>
      <w:r w:rsidRPr="00B71FA9">
        <w:rPr>
          <w:rFonts w:eastAsia="SimSun"/>
          <w:i/>
          <w:iCs/>
        </w:rPr>
        <w:t>h</w:t>
      </w:r>
      <w:r w:rsidRPr="005C714D">
        <w:rPr>
          <w:rFonts w:eastAsia="SimSun"/>
          <w:vertAlign w:val="subscript"/>
        </w:rPr>
        <w:t>FU</w:t>
      </w:r>
      <w:proofErr w:type="spellEnd"/>
      <w:r w:rsidRPr="005C714D">
        <w:rPr>
          <w:rFonts w:eastAsia="SimSun"/>
        </w:rPr>
        <w:t xml:space="preserve"> – height of fundamental unit, m</w:t>
      </w:r>
    </w:p>
    <w:p w14:paraId="400A2F34" w14:textId="77777777" w:rsidR="00E31AF5" w:rsidRPr="005C714D" w:rsidRDefault="00E31AF5" w:rsidP="00E31AF5">
      <w:pPr>
        <w:pStyle w:val="CETBodytext"/>
        <w:rPr>
          <w:rFonts w:eastAsia="SimSun"/>
        </w:rPr>
      </w:pPr>
      <w:r w:rsidRPr="00B71FA9">
        <w:rPr>
          <w:rFonts w:eastAsia="SimSun"/>
          <w:i/>
          <w:iCs/>
        </w:rPr>
        <w:t>h</w:t>
      </w:r>
      <w:r w:rsidRPr="005C714D">
        <w:rPr>
          <w:rFonts w:eastAsia="SimSun"/>
        </w:rPr>
        <w:t>p – packing height, m</w:t>
      </w:r>
    </w:p>
    <w:p w14:paraId="61C1C12B" w14:textId="77777777" w:rsidR="00E31AF5" w:rsidRPr="005C714D" w:rsidRDefault="00E31AF5" w:rsidP="00E31AF5">
      <w:pPr>
        <w:pStyle w:val="CETBodytext"/>
        <w:rPr>
          <w:rFonts w:eastAsia="SimSun"/>
        </w:rPr>
      </w:pPr>
      <w:r w:rsidRPr="00B71FA9">
        <w:rPr>
          <w:rFonts w:eastAsia="SimSun"/>
          <w:i/>
          <w:iCs/>
        </w:rPr>
        <w:t>HETP</w:t>
      </w:r>
      <w:r w:rsidRPr="005C714D">
        <w:rPr>
          <w:rFonts w:eastAsia="SimSun"/>
        </w:rPr>
        <w:t xml:space="preserve"> – height equivalent to a theoretical plate, m</w:t>
      </w:r>
    </w:p>
    <w:p w14:paraId="611C824F" w14:textId="1E1B4F16" w:rsidR="00E31AF5" w:rsidRPr="005C714D" w:rsidRDefault="00DA2A0B" w:rsidP="00E31AF5">
      <w:pPr>
        <w:pStyle w:val="CETBodytext"/>
        <w:rPr>
          <w:rFonts w:eastAsia="SimSun"/>
          <w:vertAlign w:val="superscript"/>
        </w:rPr>
      </w:pPr>
      <w:proofErr w:type="spellStart"/>
      <w:proofErr w:type="gramStart"/>
      <w:r w:rsidRPr="00B71FA9">
        <w:rPr>
          <w:i/>
        </w:rPr>
        <w:t>ṁ</w:t>
      </w:r>
      <w:r>
        <w:rPr>
          <w:vertAlign w:val="subscript"/>
        </w:rPr>
        <w:t>V,j</w:t>
      </w:r>
      <w:proofErr w:type="spellEnd"/>
      <w:proofErr w:type="gramEnd"/>
      <w:r w:rsidR="00E31AF5" w:rsidRPr="005C714D">
        <w:rPr>
          <w:rFonts w:eastAsia="SimSun"/>
        </w:rPr>
        <w:t xml:space="preserve"> – vapor mass flow rate, kg s</w:t>
      </w:r>
      <w:r w:rsidR="00E31AF5" w:rsidRPr="005C714D">
        <w:rPr>
          <w:rFonts w:eastAsia="SimSun"/>
          <w:vertAlign w:val="superscript"/>
        </w:rPr>
        <w:t>-1</w:t>
      </w:r>
    </w:p>
    <w:p w14:paraId="1DBFFBED" w14:textId="7679D37A" w:rsidR="00E31AF5" w:rsidRPr="005C714D" w:rsidRDefault="00E31AF5" w:rsidP="00E31AF5">
      <w:pPr>
        <w:pStyle w:val="CETBodytext"/>
        <w:rPr>
          <w:rFonts w:eastAsia="SimSun"/>
        </w:rPr>
      </w:pPr>
      <w:r w:rsidRPr="00B71FA9">
        <w:rPr>
          <w:rFonts w:eastAsia="SimSun"/>
          <w:i/>
          <w:iCs/>
        </w:rPr>
        <w:t>n</w:t>
      </w:r>
      <w:r w:rsidRPr="005C714D">
        <w:rPr>
          <w:rFonts w:eastAsia="SimSun"/>
          <w:vertAlign w:val="subscript"/>
        </w:rPr>
        <w:t>th</w:t>
      </w:r>
      <w:r w:rsidRPr="005C714D">
        <w:rPr>
          <w:rFonts w:eastAsia="SimSun"/>
        </w:rPr>
        <w:t xml:space="preserve"> – number of theoretical stages, </w:t>
      </w:r>
      <w:r w:rsidR="003E0E2B">
        <w:rPr>
          <w:rFonts w:eastAsia="SimSun"/>
        </w:rPr>
        <w:t>1</w:t>
      </w:r>
    </w:p>
    <w:p w14:paraId="4208AAAC" w14:textId="69642D59" w:rsidR="00E31AF5" w:rsidRPr="005C714D" w:rsidRDefault="00E31AF5" w:rsidP="00E31AF5">
      <w:pPr>
        <w:pStyle w:val="CETBodytext"/>
        <w:rPr>
          <w:rFonts w:eastAsia="SimSun"/>
        </w:rPr>
      </w:pPr>
      <w:r w:rsidRPr="00B71FA9">
        <w:rPr>
          <w:rFonts w:eastAsia="SimSun"/>
          <w:i/>
          <w:iCs/>
        </w:rPr>
        <w:t>NTSM</w:t>
      </w:r>
      <w:r w:rsidRPr="005C714D">
        <w:rPr>
          <w:rFonts w:eastAsia="SimSun"/>
        </w:rPr>
        <w:t xml:space="preserve"> – number of theoretical stages per meter, </w:t>
      </w:r>
      <w:r w:rsidR="00FE5317" w:rsidRPr="005C714D">
        <w:rPr>
          <w:rFonts w:eastAsia="SimSun"/>
        </w:rPr>
        <w:t>m</w:t>
      </w:r>
      <w:r w:rsidR="00FE5317">
        <w:rPr>
          <w:rFonts w:eastAsia="SimSun"/>
          <w:vertAlign w:val="superscript"/>
        </w:rPr>
        <w:noBreakHyphen/>
        <w:t>1</w:t>
      </w:r>
    </w:p>
    <w:p w14:paraId="0B9FFC6D" w14:textId="77777777" w:rsidR="00E31AF5" w:rsidRPr="005C714D" w:rsidRDefault="00E31AF5" w:rsidP="00E31AF5">
      <w:pPr>
        <w:pStyle w:val="CETBodytext"/>
        <w:rPr>
          <w:rFonts w:eastAsia="SimSun"/>
        </w:rPr>
      </w:pPr>
      <w:proofErr w:type="spellStart"/>
      <w:r w:rsidRPr="005C714D">
        <w:rPr>
          <w:rFonts w:eastAsia="SimSun"/>
        </w:rPr>
        <w:t>Δ</w:t>
      </w:r>
      <w:r w:rsidRPr="00B71FA9">
        <w:rPr>
          <w:rFonts w:eastAsia="SimSun"/>
          <w:i/>
          <w:iCs/>
        </w:rPr>
        <w:t>p</w:t>
      </w:r>
      <w:r w:rsidRPr="005C714D">
        <w:rPr>
          <w:rFonts w:eastAsia="SimSun"/>
          <w:vertAlign w:val="subscript"/>
        </w:rPr>
        <w:t>irr</w:t>
      </w:r>
      <w:proofErr w:type="spellEnd"/>
      <w:r w:rsidRPr="005C714D">
        <w:rPr>
          <w:rFonts w:eastAsia="SimSun"/>
        </w:rPr>
        <w:t xml:space="preserve"> – irrigated pressure </w:t>
      </w:r>
      <w:proofErr w:type="gramStart"/>
      <w:r w:rsidRPr="005C714D">
        <w:rPr>
          <w:rFonts w:eastAsia="SimSun"/>
        </w:rPr>
        <w:t>drop</w:t>
      </w:r>
      <w:proofErr w:type="gramEnd"/>
      <w:r w:rsidRPr="005C714D">
        <w:rPr>
          <w:rFonts w:eastAsia="SimSun"/>
        </w:rPr>
        <w:t>, Pa</w:t>
      </w:r>
    </w:p>
    <w:p w14:paraId="13A3A69C" w14:textId="77777777" w:rsidR="00E31AF5" w:rsidRPr="005C714D" w:rsidRDefault="00E31AF5" w:rsidP="00E31AF5">
      <w:pPr>
        <w:pStyle w:val="CETBodytext"/>
        <w:rPr>
          <w:rFonts w:eastAsia="SimSun"/>
        </w:rPr>
      </w:pPr>
      <w:proofErr w:type="spellStart"/>
      <w:r w:rsidRPr="00B71FA9">
        <w:rPr>
          <w:rFonts w:eastAsia="SimSun"/>
          <w:i/>
          <w:iCs/>
        </w:rPr>
        <w:t>r</w:t>
      </w:r>
      <w:r w:rsidRPr="005C714D">
        <w:rPr>
          <w:rFonts w:eastAsia="SimSun"/>
          <w:vertAlign w:val="subscript"/>
        </w:rPr>
        <w:t>ch</w:t>
      </w:r>
      <w:proofErr w:type="spellEnd"/>
      <w:r w:rsidRPr="005C714D">
        <w:rPr>
          <w:rFonts w:eastAsia="SimSun"/>
        </w:rPr>
        <w:t xml:space="preserve"> – apex fillet radius, m</w:t>
      </w:r>
    </w:p>
    <w:p w14:paraId="083B6D51" w14:textId="77777777" w:rsidR="00E31AF5" w:rsidRPr="005C714D" w:rsidRDefault="00E31AF5" w:rsidP="00E31AF5">
      <w:pPr>
        <w:pStyle w:val="CETBodytext"/>
        <w:rPr>
          <w:rFonts w:eastAsia="SimSun"/>
        </w:rPr>
      </w:pPr>
      <w:proofErr w:type="spellStart"/>
      <w:r w:rsidRPr="00B71FA9">
        <w:rPr>
          <w:rFonts w:eastAsia="SimSun"/>
          <w:i/>
          <w:iCs/>
        </w:rPr>
        <w:t>t</w:t>
      </w:r>
      <w:r w:rsidRPr="005C714D">
        <w:rPr>
          <w:rFonts w:eastAsia="SimSun"/>
          <w:vertAlign w:val="subscript"/>
        </w:rPr>
        <w:t>sh</w:t>
      </w:r>
      <w:proofErr w:type="spellEnd"/>
      <w:r w:rsidRPr="005C714D">
        <w:rPr>
          <w:rFonts w:eastAsia="SimSun"/>
        </w:rPr>
        <w:t xml:space="preserve"> – sheet thickness, m</w:t>
      </w:r>
    </w:p>
    <w:p w14:paraId="4B404C6B" w14:textId="23B48E51" w:rsidR="00E31AF5" w:rsidRPr="005C714D" w:rsidRDefault="00E31AF5" w:rsidP="00A71E55">
      <w:pPr>
        <w:pStyle w:val="CETBodytext"/>
        <w:rPr>
          <w:rFonts w:eastAsia="SimSun"/>
          <w:vertAlign w:val="superscript"/>
        </w:rPr>
      </w:pPr>
      <w:r w:rsidRPr="00B71FA9">
        <w:rPr>
          <w:rFonts w:eastAsia="SimSun"/>
          <w:i/>
          <w:iCs/>
        </w:rPr>
        <w:t>x</w:t>
      </w:r>
      <w:r w:rsidRPr="005C714D">
        <w:rPr>
          <w:rFonts w:eastAsia="SimSun"/>
          <w:vertAlign w:val="subscript"/>
        </w:rPr>
        <w:t>C</w:t>
      </w:r>
      <w:proofErr w:type="gramStart"/>
      <w:r w:rsidRPr="005C714D">
        <w:rPr>
          <w:rFonts w:eastAsia="SimSun"/>
          <w:vertAlign w:val="subscript"/>
        </w:rPr>
        <w:t>6,bot</w:t>
      </w:r>
      <w:proofErr w:type="gramEnd"/>
      <w:r w:rsidRPr="005C714D">
        <w:rPr>
          <w:rFonts w:eastAsia="SimSun"/>
        </w:rPr>
        <w:t xml:space="preserve"> – </w:t>
      </w:r>
      <w:r w:rsidR="00A71E55" w:rsidRPr="005C714D">
        <w:rPr>
          <w:rFonts w:eastAsia="SimSun"/>
        </w:rPr>
        <w:t xml:space="preserve">cyclohexane </w:t>
      </w:r>
      <w:r w:rsidRPr="005C714D">
        <w:rPr>
          <w:rFonts w:eastAsia="SimSun"/>
        </w:rPr>
        <w:t>mole fraction at the bottom,</w:t>
      </w:r>
      <w:r w:rsidR="00A71E55">
        <w:rPr>
          <w:rFonts w:eastAsia="SimSun"/>
        </w:rPr>
        <w:t xml:space="preserve"> 1</w:t>
      </w:r>
    </w:p>
    <w:p w14:paraId="7CC084B3" w14:textId="53BB9233" w:rsidR="00E31AF5" w:rsidRPr="005C714D" w:rsidRDefault="00E31AF5" w:rsidP="00E31AF5">
      <w:pPr>
        <w:pStyle w:val="CETBodytext"/>
        <w:rPr>
          <w:rFonts w:eastAsia="SimSun"/>
          <w:vertAlign w:val="superscript"/>
        </w:rPr>
      </w:pPr>
      <w:r w:rsidRPr="00B71FA9">
        <w:rPr>
          <w:rFonts w:eastAsia="SimSun"/>
          <w:i/>
          <w:iCs/>
        </w:rPr>
        <w:t>x</w:t>
      </w:r>
      <w:r w:rsidRPr="005C714D">
        <w:rPr>
          <w:rFonts w:eastAsia="SimSun"/>
          <w:vertAlign w:val="subscript"/>
        </w:rPr>
        <w:t>C</w:t>
      </w:r>
      <w:proofErr w:type="gramStart"/>
      <w:r w:rsidRPr="005C714D">
        <w:rPr>
          <w:rFonts w:eastAsia="SimSun"/>
          <w:vertAlign w:val="subscript"/>
        </w:rPr>
        <w:t>6,top</w:t>
      </w:r>
      <w:proofErr w:type="gramEnd"/>
      <w:r w:rsidRPr="005C714D">
        <w:rPr>
          <w:rFonts w:eastAsia="SimSun"/>
        </w:rPr>
        <w:t xml:space="preserve"> – </w:t>
      </w:r>
      <w:r w:rsidR="00A71E55" w:rsidRPr="005C714D">
        <w:rPr>
          <w:rFonts w:eastAsia="SimSun"/>
        </w:rPr>
        <w:t xml:space="preserve">cyclohexane </w:t>
      </w:r>
      <w:r w:rsidRPr="005C714D">
        <w:rPr>
          <w:rFonts w:eastAsia="SimSun"/>
        </w:rPr>
        <w:t xml:space="preserve">mole fraction at the top, </w:t>
      </w:r>
      <w:r w:rsidR="00A71E55">
        <w:rPr>
          <w:rFonts w:eastAsia="SimSun"/>
        </w:rPr>
        <w:t>1</w:t>
      </w:r>
    </w:p>
    <w:p w14:paraId="00AFD372" w14:textId="77777777" w:rsidR="00E31AF5" w:rsidRPr="005C714D" w:rsidRDefault="00E31AF5" w:rsidP="00E31AF5">
      <w:pPr>
        <w:pStyle w:val="CETBodytext"/>
        <w:rPr>
          <w:rFonts w:eastAsia="SimSun"/>
        </w:rPr>
      </w:pPr>
      <w:r w:rsidRPr="00B71FA9">
        <w:rPr>
          <w:rFonts w:eastAsia="SimSun"/>
          <w:i/>
          <w:iCs/>
        </w:rPr>
        <w:t>α</w:t>
      </w:r>
      <w:r w:rsidRPr="005C714D">
        <w:rPr>
          <w:rFonts w:eastAsia="SimSun"/>
        </w:rPr>
        <w:t xml:space="preserve"> – corrugation angle, °</w:t>
      </w:r>
    </w:p>
    <w:p w14:paraId="744F7F2C" w14:textId="77777777" w:rsidR="00E31AF5" w:rsidRPr="005C714D" w:rsidRDefault="00E31AF5" w:rsidP="00E31AF5">
      <w:pPr>
        <w:pStyle w:val="CETBodytext"/>
        <w:rPr>
          <w:rFonts w:eastAsia="SimSun"/>
        </w:rPr>
      </w:pPr>
      <w:r w:rsidRPr="00B71FA9">
        <w:rPr>
          <w:rFonts w:eastAsia="SimSun"/>
          <w:i/>
          <w:iCs/>
        </w:rPr>
        <w:t>β</w:t>
      </w:r>
      <w:r w:rsidRPr="005C714D">
        <w:rPr>
          <w:rFonts w:eastAsia="SimSun"/>
        </w:rPr>
        <w:t xml:space="preserve"> – apex angle, °</w:t>
      </w:r>
    </w:p>
    <w:p w14:paraId="28CEB51F" w14:textId="77777777" w:rsidR="00E31AF5" w:rsidRPr="005C714D" w:rsidRDefault="00E31AF5" w:rsidP="00E31AF5">
      <w:pPr>
        <w:pStyle w:val="CETBodytext"/>
        <w:rPr>
          <w:rFonts w:eastAsia="SimSun"/>
        </w:rPr>
      </w:pPr>
      <w:proofErr w:type="spellStart"/>
      <w:r w:rsidRPr="00B71FA9">
        <w:rPr>
          <w:rFonts w:eastAsia="SimSun"/>
          <w:i/>
          <w:iCs/>
        </w:rPr>
        <w:t>ε</w:t>
      </w:r>
      <w:r w:rsidRPr="005C714D">
        <w:rPr>
          <w:rFonts w:eastAsia="SimSun"/>
          <w:vertAlign w:val="subscript"/>
        </w:rPr>
        <w:t>V</w:t>
      </w:r>
      <w:proofErr w:type="spellEnd"/>
      <w:r w:rsidRPr="005C714D">
        <w:rPr>
          <w:rFonts w:eastAsia="SimSun"/>
        </w:rPr>
        <w:t xml:space="preserve"> – void fraction, %</w:t>
      </w:r>
    </w:p>
    <w:p w14:paraId="1D072820" w14:textId="1F5DE233" w:rsidR="00E31AF5" w:rsidRPr="005C714D" w:rsidRDefault="00000000" w:rsidP="00E31AF5">
      <w:pPr>
        <w:pStyle w:val="CETBodytext"/>
        <w:rPr>
          <w:rFonts w:eastAsia="SimSun"/>
        </w:rPr>
      </w:pPr>
      <m:oMath>
        <m:sSub>
          <m:sSubPr>
            <m:ctrlPr>
              <w:rPr>
                <w:rFonts w:ascii="Cambria Math" w:eastAsia="SimSun" w:hAnsi="Cambria Math"/>
                <w:i/>
              </w:rPr>
            </m:ctrlPr>
          </m:sSubPr>
          <m:e>
            <m:r>
              <w:rPr>
                <w:rFonts w:ascii="Cambria Math" w:eastAsia="SimSun" w:hAnsi="Cambria Math"/>
              </w:rPr>
              <m:t>ρ</m:t>
            </m:r>
          </m:e>
          <m:sub>
            <m:r>
              <w:rPr>
                <w:rFonts w:ascii="Cambria Math" w:eastAsia="SimSun" w:hAnsi="Cambria Math"/>
              </w:rPr>
              <m:t>V</m:t>
            </m:r>
          </m:sub>
        </m:sSub>
      </m:oMath>
      <w:r w:rsidR="00E31AF5" w:rsidRPr="005C714D">
        <w:rPr>
          <w:rFonts w:eastAsia="SimSun"/>
        </w:rPr>
        <w:t>– vapor density, kg m</w:t>
      </w:r>
      <w:r w:rsidR="00E31AF5" w:rsidRPr="005C714D">
        <w:rPr>
          <w:rFonts w:eastAsia="SimSun"/>
          <w:vertAlign w:val="superscript"/>
        </w:rPr>
        <w:t>-3</w:t>
      </w:r>
    </w:p>
    <w:p w14:paraId="38BFE636" w14:textId="2D43A359" w:rsidR="00280FAF" w:rsidRPr="005C714D" w:rsidRDefault="00280FAF" w:rsidP="00280FAF">
      <w:pPr>
        <w:pStyle w:val="CETBodytext"/>
        <w:jc w:val="left"/>
        <w:rPr>
          <w:rFonts w:eastAsia="SimSun"/>
        </w:rPr>
        <w:sectPr w:rsidR="00280FAF" w:rsidRPr="005C714D" w:rsidSect="008314D7">
          <w:type w:val="continuous"/>
          <w:pgSz w:w="11906" w:h="16838" w:code="9"/>
          <w:pgMar w:top="1701" w:right="1418" w:bottom="1701" w:left="1701" w:header="1701" w:footer="0" w:gutter="0"/>
          <w:cols w:num="2" w:space="708"/>
          <w:formProt w:val="0"/>
          <w:titlePg/>
          <w:docGrid w:linePitch="360"/>
        </w:sectPr>
      </w:pPr>
    </w:p>
    <w:p w14:paraId="459D05E6" w14:textId="77777777" w:rsidR="00600535" w:rsidRPr="005C714D" w:rsidRDefault="00600535" w:rsidP="00600535">
      <w:pPr>
        <w:pStyle w:val="CETAcknowledgementstitle"/>
        <w:rPr>
          <w:lang w:val="en-US"/>
        </w:rPr>
      </w:pPr>
      <w:r w:rsidRPr="005C714D">
        <w:rPr>
          <w:lang w:val="en-US"/>
        </w:rPr>
        <w:t>Acknowledgments</w:t>
      </w:r>
    </w:p>
    <w:p w14:paraId="33F8138F" w14:textId="1B6894CD" w:rsidR="00600535" w:rsidRPr="005C714D" w:rsidRDefault="00F26AAB" w:rsidP="00F26AAB">
      <w:pPr>
        <w:pStyle w:val="CETBodytext"/>
      </w:pPr>
      <w:r w:rsidRPr="005C714D">
        <w:t xml:space="preserve">The authors thank Sulzer Chemtech for the DXM donation and Humay </w:t>
      </w:r>
      <w:proofErr w:type="spellStart"/>
      <w:r w:rsidRPr="005C714D">
        <w:t>Hamidli</w:t>
      </w:r>
      <w:proofErr w:type="spellEnd"/>
      <w:r w:rsidRPr="005C714D">
        <w:t xml:space="preserve"> for her assistance</w:t>
      </w:r>
      <w:r w:rsidR="0021094E">
        <w:t xml:space="preserve"> in the laboratory work</w:t>
      </w:r>
      <w:r w:rsidR="000E3FD8">
        <w:t>.</w:t>
      </w:r>
    </w:p>
    <w:p w14:paraId="4F1327F8" w14:textId="77777777" w:rsidR="00600535" w:rsidRPr="005C714D" w:rsidRDefault="00600535" w:rsidP="00600535">
      <w:pPr>
        <w:pStyle w:val="CETReference"/>
        <w:rPr>
          <w:lang w:val="en-US"/>
        </w:rPr>
      </w:pPr>
      <w:r w:rsidRPr="005C714D">
        <w:rPr>
          <w:lang w:val="en-US"/>
        </w:rPr>
        <w:t>References</w:t>
      </w:r>
    </w:p>
    <w:p w14:paraId="382E4860" w14:textId="0EE47E0E" w:rsidR="00476F17" w:rsidRDefault="007C1A60" w:rsidP="007C1A60">
      <w:pPr>
        <w:pStyle w:val="CETReferencetext"/>
      </w:pPr>
      <w:r w:rsidRPr="005C714D">
        <w:rPr>
          <w:lang w:val="en-US"/>
        </w:rPr>
        <w:t xml:space="preserve">Ashour M.A., Stucke D., </w:t>
      </w:r>
      <w:proofErr w:type="spellStart"/>
      <w:r w:rsidRPr="005C714D">
        <w:rPr>
          <w:lang w:val="en-US"/>
        </w:rPr>
        <w:t>Grützner</w:t>
      </w:r>
      <w:proofErr w:type="spellEnd"/>
      <w:r w:rsidRPr="005C714D">
        <w:rPr>
          <w:lang w:val="en-US"/>
        </w:rPr>
        <w:t xml:space="preserve"> T., 202</w:t>
      </w:r>
      <w:r>
        <w:rPr>
          <w:lang w:val="en-US"/>
        </w:rPr>
        <w:t>6</w:t>
      </w:r>
      <w:r w:rsidRPr="005C714D">
        <w:rPr>
          <w:lang w:val="en-US"/>
        </w:rPr>
        <w:t xml:space="preserve">, </w:t>
      </w:r>
      <w:r w:rsidRPr="007C1A60">
        <w:rPr>
          <w:lang w:val="en-US"/>
        </w:rPr>
        <w:t>Miniaturized Yet Scalable: A Novel 3D-Printed Corrugated-Sheet Packing for Laboratory Distillation</w:t>
      </w:r>
      <w:r w:rsidR="002C59DE">
        <w:rPr>
          <w:lang w:val="en-US"/>
        </w:rPr>
        <w:t xml:space="preserve">, </w:t>
      </w:r>
      <w:r w:rsidR="00476F17" w:rsidRPr="00476F17">
        <w:rPr>
          <w:lang w:val="en-US"/>
        </w:rPr>
        <w:t>Chemical Engineering Journal</w:t>
      </w:r>
      <w:r w:rsidRPr="005C714D">
        <w:rPr>
          <w:lang w:val="en-US"/>
        </w:rPr>
        <w:t>,</w:t>
      </w:r>
      <w:r w:rsidR="00476F17">
        <w:t xml:space="preserve"> </w:t>
      </w:r>
      <w:r w:rsidR="008A3B56">
        <w:t xml:space="preserve">548, 181552, </w:t>
      </w:r>
      <w:r w:rsidR="008A3B56" w:rsidRPr="008A3B56">
        <w:t>doi.org/10.1016/j.cej.2026.181552</w:t>
      </w:r>
    </w:p>
    <w:p w14:paraId="4B97B519" w14:textId="629B6875" w:rsidR="00F26AAB" w:rsidRPr="005C714D" w:rsidRDefault="00F26AAB" w:rsidP="00F26AAB">
      <w:pPr>
        <w:pStyle w:val="CETReferencetext"/>
        <w:rPr>
          <w:lang w:val="en-US"/>
        </w:rPr>
      </w:pPr>
      <w:r w:rsidRPr="005C714D">
        <w:rPr>
          <w:lang w:val="en-US"/>
        </w:rPr>
        <w:t xml:space="preserve">Eiden U., Kaiser R., Schuch G., Wolf D., 1995, Scale-up of distillation columns, Chemie </w:t>
      </w:r>
      <w:proofErr w:type="spellStart"/>
      <w:r w:rsidRPr="005C714D">
        <w:rPr>
          <w:lang w:val="en-US"/>
        </w:rPr>
        <w:t>Ingenieur</w:t>
      </w:r>
      <w:proofErr w:type="spellEnd"/>
      <w:r w:rsidRPr="005C714D">
        <w:rPr>
          <w:lang w:val="en-US"/>
        </w:rPr>
        <w:t xml:space="preserve"> Technik, 67, 269–279, doi.org/10.1002/cite.330670303 (in German).</w:t>
      </w:r>
    </w:p>
    <w:p w14:paraId="160B64CA" w14:textId="77777777" w:rsidR="00F26AAB" w:rsidRDefault="00F26AAB" w:rsidP="00F26AAB">
      <w:pPr>
        <w:pStyle w:val="CETReferencetext"/>
        <w:rPr>
          <w:lang w:val="en-US"/>
        </w:rPr>
      </w:pPr>
      <w:r w:rsidRPr="005C714D">
        <w:rPr>
          <w:lang w:val="en-US"/>
        </w:rPr>
        <w:t>Fenske M.R., 1932, Fractionation of Straight-Run Pennsylvania Gasoline, Industrial &amp; Engineering Chemistry, 24, doi.org/10.1021/ie50269a003.</w:t>
      </w:r>
    </w:p>
    <w:p w14:paraId="4E2651A7" w14:textId="77777777" w:rsidR="00F26AAB" w:rsidRDefault="00F26AAB" w:rsidP="00F26AAB">
      <w:pPr>
        <w:pStyle w:val="CETReferencetext"/>
        <w:rPr>
          <w:lang w:val="en-US"/>
        </w:rPr>
      </w:pPr>
      <w:r w:rsidRPr="005C714D">
        <w:rPr>
          <w:lang w:val="en-US"/>
        </w:rPr>
        <w:t>Kiss A.A., Smith R., 2020, Rethinking energy use in distillation processes for a more sustainable chemical industry, Energy, 203, 117788, doi.org/10.1016/j.energy.2020.117788.</w:t>
      </w:r>
    </w:p>
    <w:p w14:paraId="4560A8E0" w14:textId="77777777" w:rsidR="00F26AAB" w:rsidRPr="005C714D" w:rsidRDefault="00F26AAB" w:rsidP="00F26AAB">
      <w:pPr>
        <w:pStyle w:val="CETReferencetext"/>
        <w:rPr>
          <w:lang w:val="en-US"/>
        </w:rPr>
      </w:pPr>
      <w:proofErr w:type="spellStart"/>
      <w:r w:rsidRPr="005C714D">
        <w:rPr>
          <w:lang w:val="en-US"/>
        </w:rPr>
        <w:t>Neukäufer</w:t>
      </w:r>
      <w:proofErr w:type="spellEnd"/>
      <w:r w:rsidRPr="005C714D">
        <w:rPr>
          <w:lang w:val="en-US"/>
        </w:rPr>
        <w:t xml:space="preserve"> J., Sarajlic N., Klein H., Rehfeldt S., Hallmann H., </w:t>
      </w:r>
      <w:proofErr w:type="spellStart"/>
      <w:r w:rsidRPr="005C714D">
        <w:rPr>
          <w:lang w:val="en-US"/>
        </w:rPr>
        <w:t>Knösche</w:t>
      </w:r>
      <w:proofErr w:type="spellEnd"/>
      <w:r w:rsidRPr="005C714D">
        <w:rPr>
          <w:lang w:val="en-US"/>
        </w:rPr>
        <w:t xml:space="preserve"> C., </w:t>
      </w:r>
      <w:proofErr w:type="spellStart"/>
      <w:r w:rsidRPr="005C714D">
        <w:rPr>
          <w:lang w:val="en-US"/>
        </w:rPr>
        <w:t>Grützner</w:t>
      </w:r>
      <w:proofErr w:type="spellEnd"/>
      <w:r w:rsidRPr="005C714D">
        <w:rPr>
          <w:lang w:val="en-US"/>
        </w:rPr>
        <w:t xml:space="preserve"> T., 2021, Flexible distillation test rig on a laboratory scale for characterization of additively manufactured packings, AIChE Journal, 67, e17381, doi.org/10.1002/aic.17381.</w:t>
      </w:r>
    </w:p>
    <w:p w14:paraId="283B69ED" w14:textId="77777777" w:rsidR="00F26AAB" w:rsidRPr="005C714D" w:rsidRDefault="00F26AAB" w:rsidP="00F26AAB">
      <w:pPr>
        <w:pStyle w:val="CETReferencetext"/>
        <w:rPr>
          <w:lang w:val="en-US"/>
        </w:rPr>
      </w:pPr>
      <w:proofErr w:type="spellStart"/>
      <w:r w:rsidRPr="005C714D">
        <w:rPr>
          <w:lang w:val="en-US"/>
        </w:rPr>
        <w:t>Neukäufer</w:t>
      </w:r>
      <w:proofErr w:type="spellEnd"/>
      <w:r w:rsidRPr="005C714D">
        <w:rPr>
          <w:lang w:val="en-US"/>
        </w:rPr>
        <w:t xml:space="preserve"> J., Ashour M.A., Sarajlic N., Klein H., Rehfeldt S., Hallmann H., </w:t>
      </w:r>
      <w:proofErr w:type="spellStart"/>
      <w:r w:rsidRPr="005C714D">
        <w:rPr>
          <w:lang w:val="en-US"/>
        </w:rPr>
        <w:t>Meinicke</w:t>
      </w:r>
      <w:proofErr w:type="spellEnd"/>
      <w:r w:rsidRPr="005C714D">
        <w:rPr>
          <w:lang w:val="en-US"/>
        </w:rPr>
        <w:t xml:space="preserve"> S., Paschold J., </w:t>
      </w:r>
      <w:proofErr w:type="spellStart"/>
      <w:r w:rsidRPr="005C714D">
        <w:rPr>
          <w:lang w:val="en-US"/>
        </w:rPr>
        <w:t>Knösche</w:t>
      </w:r>
      <w:proofErr w:type="spellEnd"/>
      <w:r w:rsidRPr="005C714D">
        <w:rPr>
          <w:lang w:val="en-US"/>
        </w:rPr>
        <w:t xml:space="preserve"> C., </w:t>
      </w:r>
      <w:proofErr w:type="spellStart"/>
      <w:r w:rsidRPr="005C714D">
        <w:rPr>
          <w:lang w:val="en-US"/>
        </w:rPr>
        <w:t>Grützner</w:t>
      </w:r>
      <w:proofErr w:type="spellEnd"/>
      <w:r w:rsidRPr="005C714D">
        <w:rPr>
          <w:lang w:val="en-US"/>
        </w:rPr>
        <w:t xml:space="preserve"> T., 2023, Development of enhanced three-dimensional printed packings for scale-up of distillation columns: a successful case study, AIChE Journal, 69, e17902, doi.org/10.1002/aic.17902.</w:t>
      </w:r>
    </w:p>
    <w:p w14:paraId="6F7F539D" w14:textId="77777777" w:rsidR="00F26AAB" w:rsidRDefault="00F26AAB" w:rsidP="00F26AAB">
      <w:pPr>
        <w:pStyle w:val="CETReferencetext"/>
        <w:rPr>
          <w:lang w:val="en-US"/>
        </w:rPr>
      </w:pPr>
      <w:r w:rsidRPr="005C714D">
        <w:rPr>
          <w:lang w:val="en-US"/>
        </w:rPr>
        <w:t>Onken U., Arlt W., 1990, Recommended Test Mixtures for Distillation Columns, 2nd ed., Institution of Chemical Engineers, London, UK.</w:t>
      </w:r>
    </w:p>
    <w:p w14:paraId="58B02DD8" w14:textId="77777777" w:rsidR="00F26AAB" w:rsidRDefault="00F26AAB" w:rsidP="00F26AAB">
      <w:pPr>
        <w:pStyle w:val="CETReferencetext"/>
        <w:rPr>
          <w:lang w:val="en-US"/>
        </w:rPr>
      </w:pPr>
      <w:r w:rsidRPr="005C714D">
        <w:rPr>
          <w:lang w:val="en-US"/>
        </w:rPr>
        <w:t xml:space="preserve">Riese J., Reitze A., Grünewald M., 2022, Experimental characterization of 3D printed structured metal packing with an enclosed column wall, Chemie </w:t>
      </w:r>
      <w:proofErr w:type="spellStart"/>
      <w:r w:rsidRPr="005C714D">
        <w:rPr>
          <w:lang w:val="en-US"/>
        </w:rPr>
        <w:t>Ingenieur</w:t>
      </w:r>
      <w:proofErr w:type="spellEnd"/>
      <w:r w:rsidRPr="005C714D">
        <w:rPr>
          <w:lang w:val="en-US"/>
        </w:rPr>
        <w:t xml:space="preserve"> Technik, 94, 993–1001, doi.org/10.1002/cite.202200002.</w:t>
      </w:r>
    </w:p>
    <w:p w14:paraId="0D3D6649" w14:textId="1CC8FFDE" w:rsidR="00F26AAB" w:rsidRPr="005C714D" w:rsidRDefault="00F26AAB" w:rsidP="002E3E91">
      <w:pPr>
        <w:pStyle w:val="CETReferencetext"/>
        <w:rPr>
          <w:lang w:val="en-US"/>
        </w:rPr>
      </w:pPr>
      <w:proofErr w:type="spellStart"/>
      <w:r w:rsidRPr="005C714D">
        <w:rPr>
          <w:lang w:val="en-US"/>
        </w:rPr>
        <w:t>Schoenmakers</w:t>
      </w:r>
      <w:proofErr w:type="spellEnd"/>
      <w:r w:rsidRPr="005C714D">
        <w:rPr>
          <w:lang w:val="en-US"/>
        </w:rPr>
        <w:t xml:space="preserve"> H., Spiegel L., 2014, Laboratory distillation and scale-up, Chapter In: </w:t>
      </w:r>
      <w:proofErr w:type="spellStart"/>
      <w:r w:rsidRPr="005C714D">
        <w:rPr>
          <w:lang w:val="en-US"/>
        </w:rPr>
        <w:t>Górak</w:t>
      </w:r>
      <w:proofErr w:type="spellEnd"/>
      <w:r w:rsidRPr="005C714D">
        <w:rPr>
          <w:lang w:val="en-US"/>
        </w:rPr>
        <w:t xml:space="preserve"> A., Olujić Ž. (Eds.), Distillation: Equipment and Processes, Elsevier, Amsterdam, the Netherlands, 319–339, doi.org/10.1016/b978-0-12-386878-7.00010-3.</w:t>
      </w:r>
    </w:p>
    <w:sectPr w:rsidR="00F26AAB" w:rsidRPr="005C714D"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81AC1" w14:textId="77777777" w:rsidR="00D9618C" w:rsidRDefault="00D9618C" w:rsidP="004F5E36">
      <w:r>
        <w:separator/>
      </w:r>
    </w:p>
  </w:endnote>
  <w:endnote w:type="continuationSeparator" w:id="0">
    <w:p w14:paraId="367FB761" w14:textId="77777777" w:rsidR="00D9618C" w:rsidRDefault="00D9618C"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EC6D1" w14:textId="77777777" w:rsidR="00D9618C" w:rsidRDefault="00D9618C" w:rsidP="004F5E36">
      <w:r>
        <w:separator/>
      </w:r>
    </w:p>
  </w:footnote>
  <w:footnote w:type="continuationSeparator" w:id="0">
    <w:p w14:paraId="300F0590" w14:textId="77777777" w:rsidR="00D9618C" w:rsidRDefault="00D9618C"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9420EAD"/>
    <w:multiLevelType w:val="hybridMultilevel"/>
    <w:tmpl w:val="CECACD84"/>
    <w:lvl w:ilvl="0" w:tplc="00DC4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9"/>
  </w:num>
  <w:num w:numId="15" w16cid:durableId="19162326">
    <w:abstractNumId w:val="21"/>
  </w:num>
  <w:num w:numId="16" w16cid:durableId="1977102699">
    <w:abstractNumId w:val="20"/>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 w:numId="23" w16cid:durableId="16209949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229B"/>
    <w:rsid w:val="0003098F"/>
    <w:rsid w:val="0003148D"/>
    <w:rsid w:val="0003162A"/>
    <w:rsid w:val="00031EEC"/>
    <w:rsid w:val="00044786"/>
    <w:rsid w:val="00050D4E"/>
    <w:rsid w:val="00051566"/>
    <w:rsid w:val="000562A9"/>
    <w:rsid w:val="000606D5"/>
    <w:rsid w:val="00062A9A"/>
    <w:rsid w:val="00065058"/>
    <w:rsid w:val="00086C39"/>
    <w:rsid w:val="00087B21"/>
    <w:rsid w:val="00094D6D"/>
    <w:rsid w:val="000A03B2"/>
    <w:rsid w:val="000B38EA"/>
    <w:rsid w:val="000B4913"/>
    <w:rsid w:val="000D0268"/>
    <w:rsid w:val="000D2271"/>
    <w:rsid w:val="000D34BE"/>
    <w:rsid w:val="000E0F29"/>
    <w:rsid w:val="000E102F"/>
    <w:rsid w:val="000E36F1"/>
    <w:rsid w:val="000E3A73"/>
    <w:rsid w:val="000E3FD8"/>
    <w:rsid w:val="000E414A"/>
    <w:rsid w:val="000E75FD"/>
    <w:rsid w:val="000F093C"/>
    <w:rsid w:val="000F787B"/>
    <w:rsid w:val="001009A5"/>
    <w:rsid w:val="00101F02"/>
    <w:rsid w:val="00113BC3"/>
    <w:rsid w:val="0012091F"/>
    <w:rsid w:val="00124AAD"/>
    <w:rsid w:val="00126BC2"/>
    <w:rsid w:val="00126C08"/>
    <w:rsid w:val="001308B6"/>
    <w:rsid w:val="0013121F"/>
    <w:rsid w:val="00131FE6"/>
    <w:rsid w:val="0013263F"/>
    <w:rsid w:val="001331DF"/>
    <w:rsid w:val="00134DE4"/>
    <w:rsid w:val="0013692C"/>
    <w:rsid w:val="0014034D"/>
    <w:rsid w:val="00140FE3"/>
    <w:rsid w:val="0014228D"/>
    <w:rsid w:val="00144D16"/>
    <w:rsid w:val="00145AE3"/>
    <w:rsid w:val="00150E59"/>
    <w:rsid w:val="00152DE3"/>
    <w:rsid w:val="00153068"/>
    <w:rsid w:val="00164CF9"/>
    <w:rsid w:val="001667A6"/>
    <w:rsid w:val="00170531"/>
    <w:rsid w:val="00180D5C"/>
    <w:rsid w:val="00184AD6"/>
    <w:rsid w:val="001A4A6A"/>
    <w:rsid w:val="001A4AF7"/>
    <w:rsid w:val="001B0349"/>
    <w:rsid w:val="001B1E93"/>
    <w:rsid w:val="001B65C1"/>
    <w:rsid w:val="001B679D"/>
    <w:rsid w:val="001C260F"/>
    <w:rsid w:val="001C33F1"/>
    <w:rsid w:val="001C4786"/>
    <w:rsid w:val="001C684B"/>
    <w:rsid w:val="001D0CFB"/>
    <w:rsid w:val="001D0F30"/>
    <w:rsid w:val="001D21AF"/>
    <w:rsid w:val="001D3628"/>
    <w:rsid w:val="001D53FC"/>
    <w:rsid w:val="001E2890"/>
    <w:rsid w:val="001F42A5"/>
    <w:rsid w:val="001F7B9D"/>
    <w:rsid w:val="00201C93"/>
    <w:rsid w:val="0021094E"/>
    <w:rsid w:val="0021144A"/>
    <w:rsid w:val="00212F4A"/>
    <w:rsid w:val="002224B4"/>
    <w:rsid w:val="002435CD"/>
    <w:rsid w:val="002447EF"/>
    <w:rsid w:val="0024489A"/>
    <w:rsid w:val="00251550"/>
    <w:rsid w:val="0026233B"/>
    <w:rsid w:val="00263B05"/>
    <w:rsid w:val="0027062A"/>
    <w:rsid w:val="0027221A"/>
    <w:rsid w:val="00272860"/>
    <w:rsid w:val="00275B61"/>
    <w:rsid w:val="00280FAF"/>
    <w:rsid w:val="00282656"/>
    <w:rsid w:val="00296B83"/>
    <w:rsid w:val="002B4015"/>
    <w:rsid w:val="002B78CE"/>
    <w:rsid w:val="002C2FB6"/>
    <w:rsid w:val="002C59DE"/>
    <w:rsid w:val="002E3E91"/>
    <w:rsid w:val="002E5FA7"/>
    <w:rsid w:val="002F3309"/>
    <w:rsid w:val="002F34C0"/>
    <w:rsid w:val="002F7A05"/>
    <w:rsid w:val="002F7CFA"/>
    <w:rsid w:val="003008CE"/>
    <w:rsid w:val="003009B7"/>
    <w:rsid w:val="00300E56"/>
    <w:rsid w:val="0030152C"/>
    <w:rsid w:val="0030469C"/>
    <w:rsid w:val="00305B7A"/>
    <w:rsid w:val="00313EC5"/>
    <w:rsid w:val="00314C3E"/>
    <w:rsid w:val="00321CA6"/>
    <w:rsid w:val="00323763"/>
    <w:rsid w:val="00323C5F"/>
    <w:rsid w:val="00327D80"/>
    <w:rsid w:val="00334C09"/>
    <w:rsid w:val="00364F09"/>
    <w:rsid w:val="003723D4"/>
    <w:rsid w:val="003802DD"/>
    <w:rsid w:val="00381905"/>
    <w:rsid w:val="00384CC8"/>
    <w:rsid w:val="00385A1F"/>
    <w:rsid w:val="003871FD"/>
    <w:rsid w:val="0039738D"/>
    <w:rsid w:val="003A13D1"/>
    <w:rsid w:val="003A1E30"/>
    <w:rsid w:val="003A2829"/>
    <w:rsid w:val="003A7D1C"/>
    <w:rsid w:val="003B284E"/>
    <w:rsid w:val="003B2A2F"/>
    <w:rsid w:val="003B304B"/>
    <w:rsid w:val="003B3146"/>
    <w:rsid w:val="003D1E02"/>
    <w:rsid w:val="003D1FF6"/>
    <w:rsid w:val="003E0E2B"/>
    <w:rsid w:val="003E70B1"/>
    <w:rsid w:val="003F015E"/>
    <w:rsid w:val="003F7EB3"/>
    <w:rsid w:val="00400414"/>
    <w:rsid w:val="00406C0F"/>
    <w:rsid w:val="0041446B"/>
    <w:rsid w:val="004228E0"/>
    <w:rsid w:val="00425507"/>
    <w:rsid w:val="00425C71"/>
    <w:rsid w:val="0044071E"/>
    <w:rsid w:val="0044329C"/>
    <w:rsid w:val="00446814"/>
    <w:rsid w:val="00452A4A"/>
    <w:rsid w:val="00453E24"/>
    <w:rsid w:val="00457456"/>
    <w:rsid w:val="004577FE"/>
    <w:rsid w:val="00457B9C"/>
    <w:rsid w:val="0046164A"/>
    <w:rsid w:val="004628D2"/>
    <w:rsid w:val="00462DCD"/>
    <w:rsid w:val="004648AD"/>
    <w:rsid w:val="004703A9"/>
    <w:rsid w:val="00471ACB"/>
    <w:rsid w:val="004760DE"/>
    <w:rsid w:val="004763D7"/>
    <w:rsid w:val="00476F17"/>
    <w:rsid w:val="004A004E"/>
    <w:rsid w:val="004A24CF"/>
    <w:rsid w:val="004A5E57"/>
    <w:rsid w:val="004C194F"/>
    <w:rsid w:val="004C3D1D"/>
    <w:rsid w:val="004C3D84"/>
    <w:rsid w:val="004C6D4C"/>
    <w:rsid w:val="004C7913"/>
    <w:rsid w:val="004E4DD6"/>
    <w:rsid w:val="004F50AA"/>
    <w:rsid w:val="004F5E36"/>
    <w:rsid w:val="00501707"/>
    <w:rsid w:val="00505F4C"/>
    <w:rsid w:val="00507B47"/>
    <w:rsid w:val="00507BEF"/>
    <w:rsid w:val="00507CC9"/>
    <w:rsid w:val="005119A5"/>
    <w:rsid w:val="00517572"/>
    <w:rsid w:val="005258F6"/>
    <w:rsid w:val="005278B7"/>
    <w:rsid w:val="00532016"/>
    <w:rsid w:val="005333D6"/>
    <w:rsid w:val="005346C8"/>
    <w:rsid w:val="00543E7D"/>
    <w:rsid w:val="00547A68"/>
    <w:rsid w:val="00547C84"/>
    <w:rsid w:val="005531C9"/>
    <w:rsid w:val="00570C43"/>
    <w:rsid w:val="00581D8E"/>
    <w:rsid w:val="00583A74"/>
    <w:rsid w:val="00592274"/>
    <w:rsid w:val="005A6D8B"/>
    <w:rsid w:val="005B2110"/>
    <w:rsid w:val="005B61E6"/>
    <w:rsid w:val="005C714D"/>
    <w:rsid w:val="005C77E1"/>
    <w:rsid w:val="005D668A"/>
    <w:rsid w:val="005D6A2F"/>
    <w:rsid w:val="005E0592"/>
    <w:rsid w:val="005E1A82"/>
    <w:rsid w:val="005E794C"/>
    <w:rsid w:val="005F0A28"/>
    <w:rsid w:val="005F0E5E"/>
    <w:rsid w:val="00600535"/>
    <w:rsid w:val="006065EC"/>
    <w:rsid w:val="00610CD6"/>
    <w:rsid w:val="006156C3"/>
    <w:rsid w:val="0061715E"/>
    <w:rsid w:val="00620DEE"/>
    <w:rsid w:val="00621F92"/>
    <w:rsid w:val="0062280A"/>
    <w:rsid w:val="006231E1"/>
    <w:rsid w:val="00625639"/>
    <w:rsid w:val="00631B33"/>
    <w:rsid w:val="0064184D"/>
    <w:rsid w:val="006422CC"/>
    <w:rsid w:val="00646E5C"/>
    <w:rsid w:val="00651D18"/>
    <w:rsid w:val="00660E3E"/>
    <w:rsid w:val="00662BFF"/>
    <w:rsid w:val="00662E74"/>
    <w:rsid w:val="00664F9F"/>
    <w:rsid w:val="00666ECE"/>
    <w:rsid w:val="00676834"/>
    <w:rsid w:val="00680C23"/>
    <w:rsid w:val="00683E23"/>
    <w:rsid w:val="00685ECD"/>
    <w:rsid w:val="00693766"/>
    <w:rsid w:val="006A04F9"/>
    <w:rsid w:val="006A3281"/>
    <w:rsid w:val="006A6353"/>
    <w:rsid w:val="006B42C3"/>
    <w:rsid w:val="006B4888"/>
    <w:rsid w:val="006C2E45"/>
    <w:rsid w:val="006C359C"/>
    <w:rsid w:val="006C5579"/>
    <w:rsid w:val="006D6E8B"/>
    <w:rsid w:val="006D7209"/>
    <w:rsid w:val="006E737D"/>
    <w:rsid w:val="00707DD1"/>
    <w:rsid w:val="00710AF1"/>
    <w:rsid w:val="00711456"/>
    <w:rsid w:val="00713973"/>
    <w:rsid w:val="007164AE"/>
    <w:rsid w:val="00720A24"/>
    <w:rsid w:val="00732386"/>
    <w:rsid w:val="0073514D"/>
    <w:rsid w:val="0074031A"/>
    <w:rsid w:val="00743ADF"/>
    <w:rsid w:val="007447F3"/>
    <w:rsid w:val="00751FF5"/>
    <w:rsid w:val="0075499F"/>
    <w:rsid w:val="00760467"/>
    <w:rsid w:val="007617CC"/>
    <w:rsid w:val="00765DF0"/>
    <w:rsid w:val="007661C8"/>
    <w:rsid w:val="0077098D"/>
    <w:rsid w:val="00776593"/>
    <w:rsid w:val="00781C39"/>
    <w:rsid w:val="00785BF9"/>
    <w:rsid w:val="007915E0"/>
    <w:rsid w:val="00792D9D"/>
    <w:rsid w:val="007931FA"/>
    <w:rsid w:val="007A1FA4"/>
    <w:rsid w:val="007A4861"/>
    <w:rsid w:val="007A498F"/>
    <w:rsid w:val="007A7BBA"/>
    <w:rsid w:val="007B0C50"/>
    <w:rsid w:val="007B48F9"/>
    <w:rsid w:val="007C008F"/>
    <w:rsid w:val="007C1A43"/>
    <w:rsid w:val="007C1A60"/>
    <w:rsid w:val="007D0951"/>
    <w:rsid w:val="007F0901"/>
    <w:rsid w:val="007F27C8"/>
    <w:rsid w:val="0080013E"/>
    <w:rsid w:val="00813288"/>
    <w:rsid w:val="008168FC"/>
    <w:rsid w:val="00826CDE"/>
    <w:rsid w:val="00830996"/>
    <w:rsid w:val="008314D7"/>
    <w:rsid w:val="008345F1"/>
    <w:rsid w:val="00865B07"/>
    <w:rsid w:val="008667EA"/>
    <w:rsid w:val="0087637F"/>
    <w:rsid w:val="00876421"/>
    <w:rsid w:val="0088509D"/>
    <w:rsid w:val="00892AD5"/>
    <w:rsid w:val="008A1512"/>
    <w:rsid w:val="008A227E"/>
    <w:rsid w:val="008A2E79"/>
    <w:rsid w:val="008A3B56"/>
    <w:rsid w:val="008B12A2"/>
    <w:rsid w:val="008B4564"/>
    <w:rsid w:val="008D32B9"/>
    <w:rsid w:val="008D433B"/>
    <w:rsid w:val="008D4A16"/>
    <w:rsid w:val="008E209A"/>
    <w:rsid w:val="008E3EA0"/>
    <w:rsid w:val="008E45BC"/>
    <w:rsid w:val="008E566E"/>
    <w:rsid w:val="008E6AD6"/>
    <w:rsid w:val="008F64E5"/>
    <w:rsid w:val="0090161A"/>
    <w:rsid w:val="00901EB6"/>
    <w:rsid w:val="009041F8"/>
    <w:rsid w:val="00904C62"/>
    <w:rsid w:val="009103CA"/>
    <w:rsid w:val="00915791"/>
    <w:rsid w:val="00922BA8"/>
    <w:rsid w:val="00924DAC"/>
    <w:rsid w:val="00927058"/>
    <w:rsid w:val="0094242D"/>
    <w:rsid w:val="00942750"/>
    <w:rsid w:val="00943080"/>
    <w:rsid w:val="009450CE"/>
    <w:rsid w:val="009459BB"/>
    <w:rsid w:val="00947179"/>
    <w:rsid w:val="0095164B"/>
    <w:rsid w:val="00954090"/>
    <w:rsid w:val="009573E7"/>
    <w:rsid w:val="00963E05"/>
    <w:rsid w:val="009648DF"/>
    <w:rsid w:val="00964A45"/>
    <w:rsid w:val="0096572A"/>
    <w:rsid w:val="00967843"/>
    <w:rsid w:val="00967D54"/>
    <w:rsid w:val="00971028"/>
    <w:rsid w:val="00993B84"/>
    <w:rsid w:val="00996483"/>
    <w:rsid w:val="00996F5A"/>
    <w:rsid w:val="009A20CD"/>
    <w:rsid w:val="009A4559"/>
    <w:rsid w:val="009B041A"/>
    <w:rsid w:val="009C21AD"/>
    <w:rsid w:val="009C37C3"/>
    <w:rsid w:val="009C7C86"/>
    <w:rsid w:val="009D17DF"/>
    <w:rsid w:val="009D2FF7"/>
    <w:rsid w:val="009D5187"/>
    <w:rsid w:val="009E7884"/>
    <w:rsid w:val="009E788A"/>
    <w:rsid w:val="009F0E08"/>
    <w:rsid w:val="009F1CF7"/>
    <w:rsid w:val="00A05D6C"/>
    <w:rsid w:val="00A079AE"/>
    <w:rsid w:val="00A1763D"/>
    <w:rsid w:val="00A17CEC"/>
    <w:rsid w:val="00A26CBB"/>
    <w:rsid w:val="00A27EF0"/>
    <w:rsid w:val="00A42361"/>
    <w:rsid w:val="00A45EDF"/>
    <w:rsid w:val="00A50A60"/>
    <w:rsid w:val="00A50B20"/>
    <w:rsid w:val="00A51390"/>
    <w:rsid w:val="00A60D13"/>
    <w:rsid w:val="00A65668"/>
    <w:rsid w:val="00A716B9"/>
    <w:rsid w:val="00A71E55"/>
    <w:rsid w:val="00A7223D"/>
    <w:rsid w:val="00A72745"/>
    <w:rsid w:val="00A76EFC"/>
    <w:rsid w:val="00A8183B"/>
    <w:rsid w:val="00A87D50"/>
    <w:rsid w:val="00A91010"/>
    <w:rsid w:val="00A9148C"/>
    <w:rsid w:val="00A97F29"/>
    <w:rsid w:val="00AA702E"/>
    <w:rsid w:val="00AA78B3"/>
    <w:rsid w:val="00AA7D26"/>
    <w:rsid w:val="00AB0176"/>
    <w:rsid w:val="00AB0964"/>
    <w:rsid w:val="00AB4058"/>
    <w:rsid w:val="00AB5011"/>
    <w:rsid w:val="00AC7368"/>
    <w:rsid w:val="00AD0278"/>
    <w:rsid w:val="00AD16B9"/>
    <w:rsid w:val="00AD1F7C"/>
    <w:rsid w:val="00AE2C82"/>
    <w:rsid w:val="00AE377D"/>
    <w:rsid w:val="00AF0EBA"/>
    <w:rsid w:val="00AF30F7"/>
    <w:rsid w:val="00B02C8A"/>
    <w:rsid w:val="00B0467B"/>
    <w:rsid w:val="00B06954"/>
    <w:rsid w:val="00B17FBD"/>
    <w:rsid w:val="00B221CC"/>
    <w:rsid w:val="00B3041E"/>
    <w:rsid w:val="00B315A6"/>
    <w:rsid w:val="00B31813"/>
    <w:rsid w:val="00B33365"/>
    <w:rsid w:val="00B43D33"/>
    <w:rsid w:val="00B52D29"/>
    <w:rsid w:val="00B57B36"/>
    <w:rsid w:val="00B57E6F"/>
    <w:rsid w:val="00B71FA9"/>
    <w:rsid w:val="00B8686D"/>
    <w:rsid w:val="00B86B44"/>
    <w:rsid w:val="00B939D3"/>
    <w:rsid w:val="00B93F69"/>
    <w:rsid w:val="00BB1DDC"/>
    <w:rsid w:val="00BB38B4"/>
    <w:rsid w:val="00BC30C9"/>
    <w:rsid w:val="00BD077D"/>
    <w:rsid w:val="00BE3E58"/>
    <w:rsid w:val="00BF357F"/>
    <w:rsid w:val="00C01616"/>
    <w:rsid w:val="00C0162B"/>
    <w:rsid w:val="00C050B7"/>
    <w:rsid w:val="00C068ED"/>
    <w:rsid w:val="00C07D0D"/>
    <w:rsid w:val="00C208E9"/>
    <w:rsid w:val="00C22E0C"/>
    <w:rsid w:val="00C345B1"/>
    <w:rsid w:val="00C40142"/>
    <w:rsid w:val="00C52C3C"/>
    <w:rsid w:val="00C57182"/>
    <w:rsid w:val="00C57863"/>
    <w:rsid w:val="00C6330B"/>
    <w:rsid w:val="00C640AF"/>
    <w:rsid w:val="00C655FD"/>
    <w:rsid w:val="00C75407"/>
    <w:rsid w:val="00C841C6"/>
    <w:rsid w:val="00C843C3"/>
    <w:rsid w:val="00C870A8"/>
    <w:rsid w:val="00C94434"/>
    <w:rsid w:val="00C95B98"/>
    <w:rsid w:val="00CA0D75"/>
    <w:rsid w:val="00CA1C95"/>
    <w:rsid w:val="00CA3201"/>
    <w:rsid w:val="00CA3CA3"/>
    <w:rsid w:val="00CA5A9C"/>
    <w:rsid w:val="00CB2614"/>
    <w:rsid w:val="00CB42D7"/>
    <w:rsid w:val="00CC4C20"/>
    <w:rsid w:val="00CD3517"/>
    <w:rsid w:val="00CD5FE2"/>
    <w:rsid w:val="00CE1426"/>
    <w:rsid w:val="00CE7C68"/>
    <w:rsid w:val="00D01484"/>
    <w:rsid w:val="00D02B4C"/>
    <w:rsid w:val="00D040C4"/>
    <w:rsid w:val="00D07333"/>
    <w:rsid w:val="00D10F1A"/>
    <w:rsid w:val="00D20AD1"/>
    <w:rsid w:val="00D2582C"/>
    <w:rsid w:val="00D3580B"/>
    <w:rsid w:val="00D35891"/>
    <w:rsid w:val="00D3709C"/>
    <w:rsid w:val="00D46B7E"/>
    <w:rsid w:val="00D56AEA"/>
    <w:rsid w:val="00D57C84"/>
    <w:rsid w:val="00D6057D"/>
    <w:rsid w:val="00D62A6C"/>
    <w:rsid w:val="00D66370"/>
    <w:rsid w:val="00D71640"/>
    <w:rsid w:val="00D836C5"/>
    <w:rsid w:val="00D84576"/>
    <w:rsid w:val="00D9618C"/>
    <w:rsid w:val="00DA1399"/>
    <w:rsid w:val="00DA24C6"/>
    <w:rsid w:val="00DA2A0B"/>
    <w:rsid w:val="00DA3691"/>
    <w:rsid w:val="00DA4D7B"/>
    <w:rsid w:val="00DD271C"/>
    <w:rsid w:val="00DD5C31"/>
    <w:rsid w:val="00DD7D24"/>
    <w:rsid w:val="00DE264A"/>
    <w:rsid w:val="00DF0D59"/>
    <w:rsid w:val="00DF5072"/>
    <w:rsid w:val="00DF5255"/>
    <w:rsid w:val="00E027DE"/>
    <w:rsid w:val="00E02D18"/>
    <w:rsid w:val="00E041E7"/>
    <w:rsid w:val="00E23CA1"/>
    <w:rsid w:val="00E31AF5"/>
    <w:rsid w:val="00E31FB9"/>
    <w:rsid w:val="00E409A8"/>
    <w:rsid w:val="00E47D61"/>
    <w:rsid w:val="00E50C12"/>
    <w:rsid w:val="00E539C3"/>
    <w:rsid w:val="00E65B91"/>
    <w:rsid w:val="00E7209D"/>
    <w:rsid w:val="00E72EAD"/>
    <w:rsid w:val="00E7502F"/>
    <w:rsid w:val="00E77223"/>
    <w:rsid w:val="00E84070"/>
    <w:rsid w:val="00E8528B"/>
    <w:rsid w:val="00E85B94"/>
    <w:rsid w:val="00E86726"/>
    <w:rsid w:val="00E94E45"/>
    <w:rsid w:val="00E978D0"/>
    <w:rsid w:val="00EA4613"/>
    <w:rsid w:val="00EA7F91"/>
    <w:rsid w:val="00EB1523"/>
    <w:rsid w:val="00EC0E49"/>
    <w:rsid w:val="00EC101F"/>
    <w:rsid w:val="00EC1D9F"/>
    <w:rsid w:val="00ED14E6"/>
    <w:rsid w:val="00EE0131"/>
    <w:rsid w:val="00EE17B0"/>
    <w:rsid w:val="00EF06D9"/>
    <w:rsid w:val="00EF0982"/>
    <w:rsid w:val="00EF5D25"/>
    <w:rsid w:val="00F1107E"/>
    <w:rsid w:val="00F126A5"/>
    <w:rsid w:val="00F26AAB"/>
    <w:rsid w:val="00F3049E"/>
    <w:rsid w:val="00F309A0"/>
    <w:rsid w:val="00F30C64"/>
    <w:rsid w:val="00F32BA2"/>
    <w:rsid w:val="00F32CDB"/>
    <w:rsid w:val="00F32DA9"/>
    <w:rsid w:val="00F3348F"/>
    <w:rsid w:val="00F3520B"/>
    <w:rsid w:val="00F37280"/>
    <w:rsid w:val="00F41EE4"/>
    <w:rsid w:val="00F565FE"/>
    <w:rsid w:val="00F57F32"/>
    <w:rsid w:val="00F63A70"/>
    <w:rsid w:val="00F63D8C"/>
    <w:rsid w:val="00F7534E"/>
    <w:rsid w:val="00F7579C"/>
    <w:rsid w:val="00F93EDF"/>
    <w:rsid w:val="00FA1802"/>
    <w:rsid w:val="00FA21D0"/>
    <w:rsid w:val="00FA5F5F"/>
    <w:rsid w:val="00FA716F"/>
    <w:rsid w:val="00FB730C"/>
    <w:rsid w:val="00FC2695"/>
    <w:rsid w:val="00FC3AFA"/>
    <w:rsid w:val="00FC3E03"/>
    <w:rsid w:val="00FC3FC1"/>
    <w:rsid w:val="00FD5356"/>
    <w:rsid w:val="00FE5317"/>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C050B7"/>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styleId="UnresolvedMention">
    <w:name w:val="Unresolved Mention"/>
    <w:basedOn w:val="DefaultParagraphFont"/>
    <w:uiPriority w:val="99"/>
    <w:semiHidden/>
    <w:unhideWhenUsed/>
    <w:rsid w:val="00AB0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6</Pages>
  <Words>3312</Words>
  <Characters>18881</Characters>
  <Application>Microsoft Office Word</Application>
  <DocSecurity>0</DocSecurity>
  <Lines>157</Lines>
  <Paragraphs>44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22149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M. A. Ashour</cp:lastModifiedBy>
  <cp:revision>277</cp:revision>
  <cp:lastPrinted>2015-05-12T18:31:00Z</cp:lastPrinted>
  <dcterms:created xsi:type="dcterms:W3CDTF">2026-02-10T10:00:00Z</dcterms:created>
  <dcterms:modified xsi:type="dcterms:W3CDTF">2026-09-22T12:11:00Z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