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332CA4" w14:paraId="2A131A54" w14:textId="77777777" w:rsidTr="002059E8">
        <w:trPr>
          <w:trHeight w:val="852"/>
          <w:jc w:val="center"/>
        </w:trPr>
        <w:tc>
          <w:tcPr>
            <w:tcW w:w="6940" w:type="dxa"/>
            <w:vMerge w:val="restart"/>
            <w:tcBorders>
              <w:right w:val="single" w:sz="4" w:space="0" w:color="auto"/>
            </w:tcBorders>
          </w:tcPr>
          <w:p w14:paraId="38C3D2BA" w14:textId="77777777" w:rsidR="000A03B2" w:rsidRPr="00332CA4" w:rsidRDefault="000A03B2" w:rsidP="00DE264A">
            <w:pPr>
              <w:tabs>
                <w:tab w:val="left" w:pos="-108"/>
              </w:tabs>
              <w:ind w:left="-108"/>
              <w:jc w:val="left"/>
              <w:rPr>
                <w:rFonts w:cs="Arial"/>
                <w:b/>
                <w:bCs/>
                <w:i/>
                <w:iCs/>
                <w:color w:val="000066"/>
                <w:sz w:val="12"/>
                <w:szCs w:val="12"/>
                <w:lang w:eastAsia="it-IT"/>
              </w:rPr>
            </w:pPr>
            <w:bookmarkStart w:id="0" w:name="_Hlk145068772"/>
            <w:r w:rsidRPr="00332CA4">
              <w:rPr>
                <w:rFonts w:ascii="AdvP6960" w:hAnsi="AdvP6960" w:cs="AdvP6960"/>
                <w:noProof/>
                <w:color w:val="241F20"/>
                <w:szCs w:val="18"/>
                <w:lang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332CA4">
              <w:rPr>
                <w:rFonts w:ascii="AdvP6960" w:hAnsi="AdvP6960" w:cs="AdvP6960"/>
                <w:color w:val="241F20"/>
                <w:szCs w:val="18"/>
                <w:lang w:eastAsia="it-IT"/>
              </w:rPr>
              <w:t xml:space="preserve"> </w:t>
            </w:r>
            <w:r w:rsidRPr="00332CA4">
              <w:rPr>
                <w:rFonts w:cs="Arial"/>
                <w:b/>
                <w:bCs/>
                <w:i/>
                <w:iCs/>
                <w:color w:val="000066"/>
                <w:sz w:val="24"/>
                <w:szCs w:val="24"/>
                <w:lang w:eastAsia="it-IT"/>
              </w:rPr>
              <w:t>CHEMICAL ENGINEERING</w:t>
            </w:r>
            <w:r w:rsidRPr="00332CA4">
              <w:rPr>
                <w:rFonts w:cs="Arial"/>
                <w:b/>
                <w:bCs/>
                <w:i/>
                <w:iCs/>
                <w:color w:val="0033FF"/>
                <w:sz w:val="24"/>
                <w:szCs w:val="24"/>
                <w:lang w:eastAsia="it-IT"/>
              </w:rPr>
              <w:t xml:space="preserve"> </w:t>
            </w:r>
            <w:r w:rsidRPr="00332CA4">
              <w:rPr>
                <w:rFonts w:cs="Arial"/>
                <w:b/>
                <w:bCs/>
                <w:i/>
                <w:iCs/>
                <w:color w:val="666666"/>
                <w:sz w:val="24"/>
                <w:szCs w:val="24"/>
                <w:lang w:eastAsia="it-IT"/>
              </w:rPr>
              <w:t>TRANSACTIONS</w:t>
            </w:r>
            <w:r w:rsidRPr="00332CA4">
              <w:rPr>
                <w:color w:val="333333"/>
                <w:sz w:val="24"/>
                <w:szCs w:val="24"/>
                <w:lang w:eastAsia="it-IT"/>
              </w:rPr>
              <w:t xml:space="preserve"> </w:t>
            </w:r>
            <w:r w:rsidRPr="00332CA4">
              <w:rPr>
                <w:rFonts w:cs="Arial"/>
                <w:b/>
                <w:bCs/>
                <w:i/>
                <w:iCs/>
                <w:color w:val="000066"/>
                <w:sz w:val="27"/>
                <w:szCs w:val="27"/>
                <w:lang w:eastAsia="it-IT"/>
              </w:rPr>
              <w:br/>
            </w:r>
          </w:p>
          <w:p w14:paraId="4B780582" w14:textId="753620B8" w:rsidR="000A03B2" w:rsidRPr="00332CA4" w:rsidRDefault="00A76EFC" w:rsidP="001D21AF">
            <w:pPr>
              <w:tabs>
                <w:tab w:val="left" w:pos="-108"/>
              </w:tabs>
              <w:ind w:left="-108"/>
              <w:rPr>
                <w:rFonts w:cs="Arial"/>
                <w:b/>
                <w:bCs/>
                <w:i/>
                <w:iCs/>
                <w:color w:val="000066"/>
                <w:sz w:val="22"/>
                <w:szCs w:val="22"/>
                <w:lang w:eastAsia="it-IT"/>
              </w:rPr>
            </w:pPr>
            <w:r w:rsidRPr="00332CA4">
              <w:rPr>
                <w:rFonts w:cs="Arial"/>
                <w:b/>
                <w:bCs/>
                <w:i/>
                <w:iCs/>
                <w:color w:val="000066"/>
                <w:sz w:val="22"/>
                <w:szCs w:val="22"/>
                <w:lang w:eastAsia="it-IT"/>
              </w:rPr>
              <w:t>VOL.</w:t>
            </w:r>
            <w:r w:rsidR="00785BF9" w:rsidRPr="00332CA4">
              <w:rPr>
                <w:rFonts w:cs="Arial"/>
                <w:b/>
                <w:bCs/>
                <w:i/>
                <w:iCs/>
                <w:color w:val="000066"/>
                <w:sz w:val="22"/>
                <w:szCs w:val="22"/>
                <w:lang w:eastAsia="it-IT"/>
              </w:rPr>
              <w:t xml:space="preserve"> </w:t>
            </w:r>
            <w:r w:rsidR="00AD0278" w:rsidRPr="00332CA4">
              <w:rPr>
                <w:rFonts w:cs="Arial"/>
                <w:b/>
                <w:bCs/>
                <w:i/>
                <w:iCs/>
                <w:color w:val="000066"/>
                <w:sz w:val="22"/>
                <w:szCs w:val="22"/>
                <w:lang w:eastAsia="it-IT"/>
              </w:rPr>
              <w:t>xxx</w:t>
            </w:r>
            <w:r w:rsidR="007B48F9" w:rsidRPr="00332CA4">
              <w:rPr>
                <w:rFonts w:cs="Arial"/>
                <w:b/>
                <w:bCs/>
                <w:i/>
                <w:iCs/>
                <w:color w:val="000066"/>
                <w:sz w:val="22"/>
                <w:szCs w:val="22"/>
                <w:lang w:eastAsia="it-IT"/>
              </w:rPr>
              <w:t>,</w:t>
            </w:r>
            <w:r w:rsidR="00FA5F5F" w:rsidRPr="00332CA4">
              <w:rPr>
                <w:rFonts w:cs="Arial"/>
                <w:b/>
                <w:bCs/>
                <w:i/>
                <w:iCs/>
                <w:color w:val="000066"/>
                <w:sz w:val="22"/>
                <w:szCs w:val="22"/>
                <w:lang w:eastAsia="it-IT"/>
              </w:rPr>
              <w:t xml:space="preserve"> </w:t>
            </w:r>
            <w:r w:rsidR="0030152C" w:rsidRPr="00332CA4">
              <w:rPr>
                <w:rFonts w:cs="Arial"/>
                <w:b/>
                <w:bCs/>
                <w:i/>
                <w:iCs/>
                <w:color w:val="000066"/>
                <w:sz w:val="22"/>
                <w:szCs w:val="22"/>
                <w:lang w:eastAsia="it-IT"/>
              </w:rPr>
              <w:t>202</w:t>
            </w:r>
            <w:r w:rsidR="00AD0278" w:rsidRPr="00332CA4">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56782132" w14:textId="77777777" w:rsidR="000A03B2" w:rsidRPr="00332CA4" w:rsidRDefault="000A03B2" w:rsidP="00CD5FE2">
            <w:pPr>
              <w:spacing w:line="140" w:lineRule="atLeast"/>
              <w:jc w:val="right"/>
              <w:rPr>
                <w:rFonts w:cs="Arial"/>
                <w:sz w:val="14"/>
                <w:szCs w:val="14"/>
              </w:rPr>
            </w:pPr>
            <w:r w:rsidRPr="00332CA4">
              <w:rPr>
                <w:rFonts w:cs="Arial"/>
                <w:sz w:val="14"/>
                <w:szCs w:val="14"/>
              </w:rPr>
              <w:t>A publication of</w:t>
            </w:r>
          </w:p>
          <w:p w14:paraId="599E5441" w14:textId="77777777" w:rsidR="000A03B2" w:rsidRPr="00332CA4" w:rsidRDefault="000A03B2" w:rsidP="00CD5FE2">
            <w:pPr>
              <w:jc w:val="right"/>
            </w:pPr>
            <w:r w:rsidRPr="00332CA4">
              <w:rPr>
                <w:noProof/>
                <w:lang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332CA4" w14:paraId="380FA3CD" w14:textId="77777777" w:rsidTr="002059E8">
        <w:trPr>
          <w:trHeight w:val="567"/>
          <w:jc w:val="center"/>
        </w:trPr>
        <w:tc>
          <w:tcPr>
            <w:tcW w:w="6940" w:type="dxa"/>
            <w:vMerge/>
            <w:tcBorders>
              <w:right w:val="single" w:sz="4" w:space="0" w:color="auto"/>
            </w:tcBorders>
          </w:tcPr>
          <w:p w14:paraId="39E5E4C1" w14:textId="77777777" w:rsidR="000A03B2" w:rsidRPr="00332CA4" w:rsidRDefault="000A03B2" w:rsidP="00CD5FE2">
            <w:pPr>
              <w:tabs>
                <w:tab w:val="left" w:pos="-108"/>
              </w:tabs>
            </w:pPr>
          </w:p>
        </w:tc>
        <w:tc>
          <w:tcPr>
            <w:tcW w:w="1842" w:type="dxa"/>
            <w:tcBorders>
              <w:left w:val="single" w:sz="4" w:space="0" w:color="auto"/>
              <w:bottom w:val="nil"/>
              <w:right w:val="single" w:sz="4" w:space="0" w:color="auto"/>
            </w:tcBorders>
          </w:tcPr>
          <w:p w14:paraId="43858A98" w14:textId="77777777" w:rsidR="000A03B2" w:rsidRPr="00332CA4" w:rsidRDefault="000A03B2" w:rsidP="00CD5FE2">
            <w:pPr>
              <w:spacing w:line="140" w:lineRule="atLeast"/>
              <w:jc w:val="right"/>
              <w:rPr>
                <w:rFonts w:cs="Arial"/>
                <w:sz w:val="14"/>
                <w:szCs w:val="14"/>
              </w:rPr>
            </w:pPr>
            <w:r w:rsidRPr="00332CA4">
              <w:rPr>
                <w:rFonts w:cs="Arial"/>
                <w:sz w:val="14"/>
                <w:szCs w:val="14"/>
              </w:rPr>
              <w:t>The Italian Association</w:t>
            </w:r>
          </w:p>
          <w:p w14:paraId="7522B1D2" w14:textId="77777777" w:rsidR="000A03B2" w:rsidRPr="00332CA4" w:rsidRDefault="000A03B2" w:rsidP="00CD5FE2">
            <w:pPr>
              <w:spacing w:line="140" w:lineRule="atLeast"/>
              <w:jc w:val="right"/>
              <w:rPr>
                <w:rFonts w:cs="Arial"/>
                <w:sz w:val="14"/>
                <w:szCs w:val="14"/>
              </w:rPr>
            </w:pPr>
            <w:r w:rsidRPr="00332CA4">
              <w:rPr>
                <w:rFonts w:cs="Arial"/>
                <w:sz w:val="14"/>
                <w:szCs w:val="14"/>
              </w:rPr>
              <w:t>of Chemical Engineering</w:t>
            </w:r>
          </w:p>
          <w:p w14:paraId="4F0CC5DE" w14:textId="47FDB2FC" w:rsidR="000A03B2" w:rsidRPr="00332CA4" w:rsidRDefault="000D0268" w:rsidP="00CD5FE2">
            <w:pPr>
              <w:spacing w:line="140" w:lineRule="atLeast"/>
              <w:jc w:val="right"/>
              <w:rPr>
                <w:rFonts w:cs="Arial"/>
                <w:sz w:val="13"/>
                <w:szCs w:val="13"/>
              </w:rPr>
            </w:pPr>
            <w:r w:rsidRPr="00332CA4">
              <w:rPr>
                <w:rFonts w:cs="Arial"/>
                <w:sz w:val="13"/>
                <w:szCs w:val="13"/>
              </w:rPr>
              <w:t>Online at www.cetjournal.it</w:t>
            </w:r>
          </w:p>
        </w:tc>
      </w:tr>
      <w:tr w:rsidR="000A03B2" w:rsidRPr="00332CA4" w14:paraId="2D1B7169" w14:textId="77777777" w:rsidTr="002059E8">
        <w:trPr>
          <w:trHeight w:val="68"/>
          <w:jc w:val="center"/>
        </w:trPr>
        <w:tc>
          <w:tcPr>
            <w:tcW w:w="8782" w:type="dxa"/>
            <w:gridSpan w:val="2"/>
          </w:tcPr>
          <w:p w14:paraId="1D8DD3C9" w14:textId="174205F6" w:rsidR="00AA7D26" w:rsidRPr="00332CA4" w:rsidRDefault="004A5E57" w:rsidP="00CB2614">
            <w:pPr>
              <w:ind w:left="-107"/>
              <w:outlineLvl w:val="2"/>
              <w:rPr>
                <w:rFonts w:ascii="Tahoma" w:hAnsi="Tahoma" w:cs="Tahoma"/>
                <w:color w:val="000000"/>
                <w:sz w:val="14"/>
                <w:szCs w:val="14"/>
                <w:shd w:val="clear" w:color="auto" w:fill="FFFFFF"/>
              </w:rPr>
            </w:pPr>
            <w:r w:rsidRPr="00332CA4">
              <w:rPr>
                <w:rFonts w:ascii="Tahoma" w:hAnsi="Tahoma" w:cs="Tahoma"/>
                <w:iCs/>
                <w:color w:val="333333"/>
                <w:sz w:val="14"/>
                <w:szCs w:val="14"/>
                <w:lang w:eastAsia="it-IT"/>
              </w:rPr>
              <w:t>Guest Editors:</w:t>
            </w:r>
            <w:r w:rsidRPr="00332CA4">
              <w:rPr>
                <w:rFonts w:ascii="Tahoma" w:hAnsi="Tahoma" w:cs="Tahoma"/>
                <w:color w:val="000000"/>
                <w:sz w:val="14"/>
                <w:szCs w:val="14"/>
                <w:shd w:val="clear" w:color="auto" w:fill="FFFFFF"/>
              </w:rPr>
              <w:t xml:space="preserve"> </w:t>
            </w:r>
            <w:r w:rsidR="00CB2614" w:rsidRPr="00332CA4">
              <w:rPr>
                <w:rFonts w:ascii="Tahoma" w:hAnsi="Tahoma" w:cs="Tahoma"/>
                <w:color w:val="000000"/>
                <w:sz w:val="14"/>
                <w:szCs w:val="14"/>
                <w:shd w:val="clear" w:color="auto" w:fill="FFFFFF"/>
              </w:rPr>
              <w:t xml:space="preserve">Flavio </w:t>
            </w:r>
            <w:proofErr w:type="spellStart"/>
            <w:r w:rsidR="00CB2614" w:rsidRPr="00332CA4">
              <w:rPr>
                <w:rFonts w:ascii="Tahoma" w:hAnsi="Tahoma" w:cs="Tahoma"/>
                <w:color w:val="000000"/>
                <w:sz w:val="14"/>
                <w:szCs w:val="14"/>
                <w:shd w:val="clear" w:color="auto" w:fill="FFFFFF"/>
              </w:rPr>
              <w:t>Manenti</w:t>
            </w:r>
            <w:proofErr w:type="spellEnd"/>
            <w:r w:rsidR="00CB2614" w:rsidRPr="00332CA4">
              <w:rPr>
                <w:rFonts w:ascii="Tahoma" w:hAnsi="Tahoma" w:cs="Tahoma"/>
                <w:color w:val="000000"/>
                <w:sz w:val="14"/>
                <w:szCs w:val="14"/>
                <w:shd w:val="clear" w:color="auto" w:fill="FFFFFF"/>
              </w:rPr>
              <w:t xml:space="preserve">, </w:t>
            </w:r>
            <w:proofErr w:type="spellStart"/>
            <w:r w:rsidR="00CB2614" w:rsidRPr="00332CA4">
              <w:rPr>
                <w:rFonts w:ascii="Tahoma" w:hAnsi="Tahoma" w:cs="Tahoma"/>
                <w:color w:val="000000"/>
                <w:sz w:val="14"/>
                <w:szCs w:val="14"/>
                <w:shd w:val="clear" w:color="auto" w:fill="FFFFFF"/>
              </w:rPr>
              <w:t>Botir</w:t>
            </w:r>
            <w:proofErr w:type="spellEnd"/>
            <w:r w:rsidR="00CB2614" w:rsidRPr="00332CA4">
              <w:rPr>
                <w:rFonts w:ascii="Tahoma" w:hAnsi="Tahoma" w:cs="Tahoma"/>
                <w:color w:val="000000"/>
                <w:sz w:val="14"/>
                <w:szCs w:val="14"/>
                <w:shd w:val="clear" w:color="auto" w:fill="FFFFFF"/>
              </w:rPr>
              <w:t xml:space="preserve"> </w:t>
            </w:r>
            <w:proofErr w:type="spellStart"/>
            <w:r w:rsidR="00CB2614" w:rsidRPr="00332CA4">
              <w:rPr>
                <w:rFonts w:ascii="Tahoma" w:hAnsi="Tahoma" w:cs="Tahoma"/>
                <w:color w:val="000000"/>
                <w:sz w:val="14"/>
                <w:szCs w:val="14"/>
                <w:shd w:val="clear" w:color="auto" w:fill="FFFFFF"/>
              </w:rPr>
              <w:t>Usmonov</w:t>
            </w:r>
            <w:proofErr w:type="spellEnd"/>
            <w:r w:rsidR="00CB2614" w:rsidRPr="00332CA4">
              <w:rPr>
                <w:rFonts w:ascii="Tahoma" w:hAnsi="Tahoma" w:cs="Tahoma"/>
                <w:color w:val="000000"/>
                <w:sz w:val="14"/>
                <w:szCs w:val="14"/>
                <w:shd w:val="clear" w:color="auto" w:fill="FFFFFF"/>
              </w:rPr>
              <w:t xml:space="preserve">, Alessandro Di </w:t>
            </w:r>
            <w:proofErr w:type="spellStart"/>
            <w:r w:rsidR="00CB2614" w:rsidRPr="00332CA4">
              <w:rPr>
                <w:rFonts w:ascii="Tahoma" w:hAnsi="Tahoma" w:cs="Tahoma"/>
                <w:color w:val="000000"/>
                <w:sz w:val="14"/>
                <w:szCs w:val="14"/>
                <w:shd w:val="clear" w:color="auto" w:fill="FFFFFF"/>
              </w:rPr>
              <w:t>Pretoro</w:t>
            </w:r>
            <w:proofErr w:type="spellEnd"/>
          </w:p>
          <w:p w14:paraId="1B0F1814" w14:textId="710B7B96" w:rsidR="000A03B2" w:rsidRPr="00332CA4" w:rsidRDefault="00AA7D26" w:rsidP="00AA7D26">
            <w:pPr>
              <w:tabs>
                <w:tab w:val="left" w:pos="-108"/>
              </w:tabs>
              <w:spacing w:line="140" w:lineRule="atLeast"/>
              <w:ind w:left="-107"/>
              <w:jc w:val="left"/>
            </w:pPr>
            <w:r w:rsidRPr="00332CA4">
              <w:rPr>
                <w:rFonts w:ascii="Tahoma" w:hAnsi="Tahoma" w:cs="Tahoma"/>
                <w:iCs/>
                <w:color w:val="333333"/>
                <w:sz w:val="14"/>
                <w:szCs w:val="14"/>
                <w:lang w:eastAsia="it-IT"/>
              </w:rPr>
              <w:t>Copyright © 202</w:t>
            </w:r>
            <w:r w:rsidR="00005884" w:rsidRPr="00332CA4">
              <w:rPr>
                <w:rFonts w:ascii="Tahoma" w:hAnsi="Tahoma" w:cs="Tahoma"/>
                <w:iCs/>
                <w:color w:val="333333"/>
                <w:sz w:val="14"/>
                <w:szCs w:val="14"/>
                <w:lang w:eastAsia="it-IT"/>
              </w:rPr>
              <w:t>6</w:t>
            </w:r>
            <w:r w:rsidRPr="00332CA4">
              <w:rPr>
                <w:rFonts w:ascii="Tahoma" w:hAnsi="Tahoma" w:cs="Tahoma"/>
                <w:iCs/>
                <w:color w:val="333333"/>
                <w:sz w:val="14"/>
                <w:szCs w:val="14"/>
                <w:lang w:eastAsia="it-IT"/>
              </w:rPr>
              <w:t xml:space="preserve">, AIDIC </w:t>
            </w:r>
            <w:proofErr w:type="spellStart"/>
            <w:r w:rsidRPr="00332CA4">
              <w:rPr>
                <w:rFonts w:ascii="Tahoma" w:hAnsi="Tahoma" w:cs="Tahoma"/>
                <w:iCs/>
                <w:color w:val="333333"/>
                <w:sz w:val="14"/>
                <w:szCs w:val="14"/>
                <w:lang w:eastAsia="it-IT"/>
              </w:rPr>
              <w:t>Servizi</w:t>
            </w:r>
            <w:proofErr w:type="spellEnd"/>
            <w:r w:rsidRPr="00332CA4">
              <w:rPr>
                <w:rFonts w:ascii="Tahoma" w:hAnsi="Tahoma" w:cs="Tahoma"/>
                <w:iCs/>
                <w:color w:val="333333"/>
                <w:sz w:val="14"/>
                <w:szCs w:val="14"/>
                <w:lang w:eastAsia="it-IT"/>
              </w:rPr>
              <w:t xml:space="preserve"> </w:t>
            </w:r>
            <w:proofErr w:type="spellStart"/>
            <w:r w:rsidRPr="00332CA4">
              <w:rPr>
                <w:rFonts w:ascii="Tahoma" w:hAnsi="Tahoma" w:cs="Tahoma"/>
                <w:iCs/>
                <w:color w:val="333333"/>
                <w:sz w:val="14"/>
                <w:szCs w:val="14"/>
                <w:lang w:eastAsia="it-IT"/>
              </w:rPr>
              <w:t>S.r.l</w:t>
            </w:r>
            <w:proofErr w:type="spellEnd"/>
            <w:r w:rsidRPr="00332CA4">
              <w:rPr>
                <w:rFonts w:ascii="Tahoma" w:hAnsi="Tahoma" w:cs="Tahoma"/>
                <w:iCs/>
                <w:color w:val="333333"/>
                <w:sz w:val="14"/>
                <w:szCs w:val="14"/>
                <w:lang w:eastAsia="it-IT"/>
              </w:rPr>
              <w:t>.</w:t>
            </w:r>
            <w:r w:rsidRPr="00332CA4">
              <w:rPr>
                <w:rFonts w:ascii="Tahoma" w:hAnsi="Tahoma" w:cs="Tahoma"/>
                <w:iCs/>
                <w:color w:val="333333"/>
                <w:sz w:val="14"/>
                <w:szCs w:val="14"/>
                <w:lang w:eastAsia="it-IT"/>
              </w:rPr>
              <w:br/>
            </w:r>
            <w:r w:rsidRPr="00332CA4">
              <w:rPr>
                <w:rFonts w:ascii="Tahoma" w:hAnsi="Tahoma" w:cs="Tahoma"/>
                <w:b/>
                <w:iCs/>
                <w:color w:val="000000"/>
                <w:sz w:val="14"/>
                <w:szCs w:val="14"/>
                <w:lang w:eastAsia="it-IT"/>
              </w:rPr>
              <w:t>ISBN</w:t>
            </w:r>
            <w:r w:rsidRPr="00332CA4">
              <w:rPr>
                <w:rFonts w:ascii="Tahoma" w:hAnsi="Tahoma" w:cs="Tahoma"/>
                <w:iCs/>
                <w:color w:val="000000"/>
                <w:sz w:val="14"/>
                <w:szCs w:val="14"/>
                <w:lang w:eastAsia="it-IT"/>
              </w:rPr>
              <w:t xml:space="preserve"> </w:t>
            </w:r>
            <w:r w:rsidR="00D2582C" w:rsidRPr="00332CA4">
              <w:rPr>
                <w:rFonts w:ascii="Tahoma" w:hAnsi="Tahoma" w:cs="Tahoma"/>
                <w:sz w:val="14"/>
                <w:szCs w:val="14"/>
              </w:rPr>
              <w:t>979-12-81206-</w:t>
            </w:r>
            <w:r w:rsidR="00005884" w:rsidRPr="00332CA4">
              <w:rPr>
                <w:rFonts w:ascii="Tahoma" w:hAnsi="Tahoma" w:cs="Tahoma"/>
                <w:sz w:val="14"/>
                <w:szCs w:val="14"/>
              </w:rPr>
              <w:t>xx</w:t>
            </w:r>
            <w:r w:rsidR="009041F8" w:rsidRPr="00332CA4">
              <w:rPr>
                <w:rFonts w:ascii="Tahoma" w:hAnsi="Tahoma" w:cs="Tahoma"/>
                <w:sz w:val="14"/>
                <w:szCs w:val="14"/>
              </w:rPr>
              <w:t>-</w:t>
            </w:r>
            <w:r w:rsidR="00005884" w:rsidRPr="00332CA4">
              <w:rPr>
                <w:rFonts w:ascii="Tahoma" w:hAnsi="Tahoma" w:cs="Tahoma"/>
                <w:sz w:val="14"/>
                <w:szCs w:val="14"/>
              </w:rPr>
              <w:t>x</w:t>
            </w:r>
            <w:r w:rsidRPr="00332CA4">
              <w:rPr>
                <w:rFonts w:ascii="Tahoma" w:hAnsi="Tahoma" w:cs="Tahoma"/>
                <w:iCs/>
                <w:color w:val="333333"/>
                <w:sz w:val="14"/>
                <w:szCs w:val="14"/>
                <w:lang w:eastAsia="it-IT"/>
              </w:rPr>
              <w:t xml:space="preserve">; </w:t>
            </w:r>
            <w:r w:rsidRPr="00332CA4">
              <w:rPr>
                <w:rFonts w:ascii="Tahoma" w:hAnsi="Tahoma" w:cs="Tahoma"/>
                <w:b/>
                <w:iCs/>
                <w:color w:val="333333"/>
                <w:sz w:val="14"/>
                <w:szCs w:val="14"/>
                <w:lang w:eastAsia="it-IT"/>
              </w:rPr>
              <w:t>ISSN</w:t>
            </w:r>
            <w:r w:rsidRPr="00332CA4">
              <w:rPr>
                <w:rFonts w:ascii="Tahoma" w:hAnsi="Tahoma" w:cs="Tahoma"/>
                <w:iCs/>
                <w:color w:val="333333"/>
                <w:sz w:val="14"/>
                <w:szCs w:val="14"/>
                <w:lang w:eastAsia="it-IT"/>
              </w:rPr>
              <w:t xml:space="preserve"> 2283-9216</w:t>
            </w:r>
          </w:p>
        </w:tc>
      </w:tr>
    </w:tbl>
    <w:bookmarkEnd w:id="0"/>
    <w:p w14:paraId="6A0C85AE" w14:textId="70CBDBFB" w:rsidR="002059E8" w:rsidRPr="00332CA4" w:rsidRDefault="002059E8" w:rsidP="002059E8">
      <w:pPr>
        <w:pStyle w:val="CETTitle"/>
      </w:pPr>
      <w:r w:rsidRPr="00332CA4">
        <w:t xml:space="preserve">Application of Ni, Co, and Mn-based catalysts recovered from spent lithium-ion batteries </w:t>
      </w:r>
      <w:r w:rsidR="0046730F" w:rsidRPr="00332CA4">
        <w:t>for</w:t>
      </w:r>
      <w:r w:rsidRPr="00332CA4">
        <w:t xml:space="preserve"> gasification of waste plastics: investigation of the effect of sulphate and nitrate precursors</w:t>
      </w:r>
    </w:p>
    <w:p w14:paraId="7D7152E0" w14:textId="483596DD" w:rsidR="002059E8" w:rsidRPr="00332CA4" w:rsidRDefault="002059E8" w:rsidP="002059E8">
      <w:pPr>
        <w:pStyle w:val="CETAuthors"/>
      </w:pPr>
      <w:r w:rsidRPr="00332CA4">
        <w:t>Norbert Miskolczi</w:t>
      </w:r>
      <w:r w:rsidRPr="00332CA4">
        <w:rPr>
          <w:szCs w:val="24"/>
          <w:vertAlign w:val="superscript"/>
        </w:rPr>
        <w:t>a</w:t>
      </w:r>
      <w:r w:rsidRPr="00332CA4">
        <w:t>, Viktoria Zsinka</w:t>
      </w:r>
      <w:r w:rsidRPr="00332CA4">
        <w:rPr>
          <w:vertAlign w:val="superscript"/>
        </w:rPr>
        <w:t>a</w:t>
      </w:r>
      <w:r w:rsidRPr="00332CA4">
        <w:t>, Ningbo Gao</w:t>
      </w:r>
      <w:r w:rsidRPr="00332CA4">
        <w:rPr>
          <w:vertAlign w:val="superscript"/>
        </w:rPr>
        <w:t>b</w:t>
      </w:r>
      <w:r w:rsidRPr="00332CA4">
        <w:t>, Cui Quan</w:t>
      </w:r>
      <w:r w:rsidRPr="00332CA4">
        <w:rPr>
          <w:vertAlign w:val="superscript"/>
        </w:rPr>
        <w:t>b</w:t>
      </w:r>
    </w:p>
    <w:p w14:paraId="7F856670" w14:textId="77777777" w:rsidR="002059E8" w:rsidRPr="00332CA4" w:rsidRDefault="002059E8" w:rsidP="002059E8">
      <w:pPr>
        <w:pStyle w:val="CETAddress"/>
      </w:pPr>
      <w:r w:rsidRPr="00332CA4">
        <w:rPr>
          <w:vertAlign w:val="superscript"/>
        </w:rPr>
        <w:t>a</w:t>
      </w:r>
      <w:r w:rsidRPr="00332CA4">
        <w:t xml:space="preserve"> University of Pannonia, Faculty of Engineering, Institute of Chemical Engineering and Process Engineering, H-8200, Veszprém, Egyetem u. 10, Hungary</w:t>
      </w:r>
    </w:p>
    <w:p w14:paraId="3BB7DBB0" w14:textId="77777777" w:rsidR="002059E8" w:rsidRPr="00332CA4" w:rsidRDefault="002059E8" w:rsidP="002059E8">
      <w:pPr>
        <w:pStyle w:val="CETAddress"/>
      </w:pPr>
      <w:r w:rsidRPr="00332CA4">
        <w:rPr>
          <w:vertAlign w:val="superscript"/>
        </w:rPr>
        <w:t>b</w:t>
      </w:r>
      <w:r w:rsidRPr="00332CA4">
        <w:t xml:space="preserve"> Xi'an Jiaotong University, School of Energy and Power Engineering, Xi’an, Xianning West Road No. 28, 710049, P.R. China</w:t>
      </w:r>
    </w:p>
    <w:p w14:paraId="3B86E777" w14:textId="77777777" w:rsidR="002059E8" w:rsidRPr="00332CA4" w:rsidRDefault="002059E8" w:rsidP="00600535">
      <w:pPr>
        <w:pStyle w:val="CETBodytext"/>
        <w:rPr>
          <w:lang w:val="en-GB"/>
        </w:rPr>
      </w:pPr>
    </w:p>
    <w:p w14:paraId="69B13B9D" w14:textId="2D32D405" w:rsidR="002059E8" w:rsidRPr="00332CA4" w:rsidRDefault="002059E8" w:rsidP="00600535">
      <w:pPr>
        <w:pStyle w:val="CETBodytext"/>
        <w:rPr>
          <w:lang w:val="en-GB"/>
        </w:rPr>
      </w:pPr>
      <w:r w:rsidRPr="00332CA4">
        <w:rPr>
          <w:lang w:val="en-GB"/>
        </w:rPr>
        <w:t>The</w:t>
      </w:r>
      <w:r w:rsidR="002C5F28">
        <w:rPr>
          <w:lang w:val="en-GB"/>
        </w:rPr>
        <w:t xml:space="preserve"> </w:t>
      </w:r>
      <w:r w:rsidRPr="00332CA4">
        <w:rPr>
          <w:lang w:val="en-GB"/>
        </w:rPr>
        <w:t>aim of</w:t>
      </w:r>
      <w:r w:rsidR="006D0784">
        <w:rPr>
          <w:lang w:val="en-GB"/>
        </w:rPr>
        <w:t xml:space="preserve"> </w:t>
      </w:r>
      <w:bookmarkStart w:id="1" w:name="_GoBack"/>
      <w:bookmarkEnd w:id="1"/>
      <w:r w:rsidRPr="00332CA4">
        <w:rPr>
          <w:lang w:val="en-GB"/>
        </w:rPr>
        <w:t xml:space="preserve">this research is to develop a circular economy approach that utilizes metals recovered from spent Li-ion battery via hydrometallurgy as catalyst precursors for waste plastics gasification, thereby facilitating </w:t>
      </w:r>
      <w:r w:rsidR="00EE5B53" w:rsidRPr="00332CA4">
        <w:rPr>
          <w:highlight w:val="yellow"/>
          <w:lang w:val="en-GB"/>
        </w:rPr>
        <w:t>the</w:t>
      </w:r>
      <w:r w:rsidR="00EE5B53" w:rsidRPr="00332CA4">
        <w:rPr>
          <w:lang w:val="en-GB"/>
        </w:rPr>
        <w:t xml:space="preserve"> </w:t>
      </w:r>
      <w:r w:rsidRPr="00332CA4">
        <w:rPr>
          <w:lang w:val="en-GB"/>
        </w:rPr>
        <w:t>hydrogen and synthesis gas production.</w:t>
      </w:r>
      <w:r w:rsidR="0046730F" w:rsidRPr="00332CA4">
        <w:rPr>
          <w:lang w:val="en-GB"/>
        </w:rPr>
        <w:t xml:space="preserve"> </w:t>
      </w:r>
      <w:r w:rsidR="00D236B3" w:rsidRPr="00332CA4">
        <w:rPr>
          <w:lang w:val="en-GB"/>
        </w:rPr>
        <w:t>D</w:t>
      </w:r>
      <w:r w:rsidR="0046730F" w:rsidRPr="00332CA4">
        <w:rPr>
          <w:lang w:val="en-GB"/>
        </w:rPr>
        <w:t xml:space="preserve">issolution of </w:t>
      </w:r>
      <w:r w:rsidR="00EE5B53" w:rsidRPr="00332CA4">
        <w:rPr>
          <w:lang w:val="en-GB"/>
        </w:rPr>
        <w:t xml:space="preserve">transition metal sulphates </w:t>
      </w:r>
      <w:r w:rsidR="00EE5B53" w:rsidRPr="00332CA4">
        <w:rPr>
          <w:highlight w:val="yellow"/>
          <w:lang w:val="en-GB"/>
        </w:rPr>
        <w:t>and nitrates obtained by carbonate precipitation followed by nitric acid treatment was used for catalyst preparation.</w:t>
      </w:r>
      <w:r w:rsidR="00EE5B53" w:rsidRPr="00332CA4">
        <w:rPr>
          <w:lang w:val="en-GB"/>
        </w:rPr>
        <w:t xml:space="preserve"> </w:t>
      </w:r>
      <w:r w:rsidRPr="00332CA4">
        <w:rPr>
          <w:lang w:val="en-GB"/>
        </w:rPr>
        <w:t>The activity of the prepared catalysts was evaluated during the high-temperature catalytic gasification of waste plastics. The composition of gas products was investigated by GC-FID and GC-TCD methods. The results demonstrated that the type of metal precursor significantly influence</w:t>
      </w:r>
      <w:r w:rsidR="00246E42" w:rsidRPr="00332CA4">
        <w:rPr>
          <w:lang w:val="en-GB"/>
        </w:rPr>
        <w:t>d</w:t>
      </w:r>
      <w:r w:rsidRPr="00332CA4">
        <w:rPr>
          <w:lang w:val="en-GB"/>
        </w:rPr>
        <w:t xml:space="preserve"> the reforming activity of the catalysts.</w:t>
      </w:r>
      <w:r w:rsidR="00EE5B53" w:rsidRPr="00332CA4">
        <w:rPr>
          <w:lang w:val="en-GB"/>
        </w:rPr>
        <w:t xml:space="preserve"> I</w:t>
      </w:r>
      <w:r w:rsidRPr="00332CA4">
        <w:rPr>
          <w:lang w:val="en-GB"/>
        </w:rPr>
        <w:t>ncreasing metal content enhanced the efficiency of the reforming reactions, resulting in higher yields of hydrogen and synthesis gas</w:t>
      </w:r>
      <w:r w:rsidR="00EE5B53" w:rsidRPr="00332CA4">
        <w:rPr>
          <w:lang w:val="en-GB"/>
        </w:rPr>
        <w:t xml:space="preserve"> </w:t>
      </w:r>
      <w:r w:rsidR="00EE5B53" w:rsidRPr="00332CA4">
        <w:rPr>
          <w:highlight w:val="yellow"/>
          <w:lang w:val="en-GB"/>
        </w:rPr>
        <w:t>for catalysts prepared from nitrate precursors</w:t>
      </w:r>
      <w:r w:rsidRPr="00332CA4">
        <w:rPr>
          <w:lang w:val="en-GB"/>
        </w:rPr>
        <w:t xml:space="preserve">. In contrast, the increasing concentration of metals for catalysts made from sulphate precursors, led to a decline in catalytic performance. This adverse effect is attributed to sulphur-containing compounds remaining on the catalyst surface, because they can poison the reforming reactions by blocking </w:t>
      </w:r>
      <w:r w:rsidR="00246E42" w:rsidRPr="00332CA4">
        <w:rPr>
          <w:lang w:val="en-GB"/>
        </w:rPr>
        <w:t xml:space="preserve">the </w:t>
      </w:r>
      <w:r w:rsidRPr="00332CA4">
        <w:rPr>
          <w:lang w:val="en-GB"/>
        </w:rPr>
        <w:t>active sites, thereby reducing the rate of hydrogen formation.</w:t>
      </w:r>
    </w:p>
    <w:p w14:paraId="69B8F915" w14:textId="110C716C" w:rsidR="002059E8" w:rsidRPr="00332CA4" w:rsidRDefault="002059E8" w:rsidP="002059E8">
      <w:pPr>
        <w:pStyle w:val="CETHeading1"/>
        <w:rPr>
          <w:lang w:val="en-GB"/>
        </w:rPr>
      </w:pPr>
      <w:r w:rsidRPr="00332CA4">
        <w:rPr>
          <w:lang w:val="en-GB"/>
        </w:rPr>
        <w:t>1. Introduction</w:t>
      </w:r>
    </w:p>
    <w:p w14:paraId="6730B946" w14:textId="67DFD81F" w:rsidR="00453619" w:rsidRPr="00332CA4" w:rsidRDefault="00246E42" w:rsidP="00F1403D">
      <w:pPr>
        <w:pStyle w:val="CETBodytext"/>
        <w:rPr>
          <w:lang w:val="en-GB"/>
        </w:rPr>
      </w:pPr>
      <w:r w:rsidRPr="00332CA4">
        <w:rPr>
          <w:lang w:val="en-GB"/>
        </w:rPr>
        <w:t>The g</w:t>
      </w:r>
      <w:r w:rsidR="00F1403D" w:rsidRPr="00332CA4">
        <w:rPr>
          <w:lang w:val="en-GB"/>
        </w:rPr>
        <w:t>lobal consumption of lithium-ion batteries is rising significantly due to the expansion of electromobility and stationary energy storage. Consequently, a s</w:t>
      </w:r>
      <w:r w:rsidRPr="00332CA4">
        <w:rPr>
          <w:lang w:val="en-GB"/>
        </w:rPr>
        <w:t>ignificant</w:t>
      </w:r>
      <w:r w:rsidR="00F1403D" w:rsidRPr="00332CA4">
        <w:rPr>
          <w:lang w:val="en-GB"/>
        </w:rPr>
        <w:t xml:space="preserve"> increase in the </w:t>
      </w:r>
      <w:r w:rsidRPr="00332CA4">
        <w:rPr>
          <w:lang w:val="en-GB"/>
        </w:rPr>
        <w:t xml:space="preserve">amount </w:t>
      </w:r>
      <w:r w:rsidR="00F1403D" w:rsidRPr="00332CA4">
        <w:rPr>
          <w:lang w:val="en-GB"/>
        </w:rPr>
        <w:t xml:space="preserve">of batteries reaching the end of their service life is </w:t>
      </w:r>
      <w:r w:rsidRPr="00332CA4">
        <w:rPr>
          <w:lang w:val="en-GB"/>
        </w:rPr>
        <w:t>predicted</w:t>
      </w:r>
      <w:r w:rsidR="00F1403D" w:rsidRPr="00332CA4">
        <w:rPr>
          <w:lang w:val="en-GB"/>
        </w:rPr>
        <w:t xml:space="preserve"> in the near future. </w:t>
      </w:r>
      <w:r w:rsidRPr="00332CA4">
        <w:rPr>
          <w:lang w:val="en-GB"/>
        </w:rPr>
        <w:t>The r</w:t>
      </w:r>
      <w:r w:rsidR="00F1403D" w:rsidRPr="00332CA4">
        <w:rPr>
          <w:lang w:val="en-GB"/>
        </w:rPr>
        <w:t xml:space="preserve">ecycling </w:t>
      </w:r>
      <w:r w:rsidRPr="00332CA4">
        <w:rPr>
          <w:lang w:val="en-GB"/>
        </w:rPr>
        <w:t xml:space="preserve">of </w:t>
      </w:r>
      <w:r w:rsidR="00F1403D" w:rsidRPr="00332CA4">
        <w:rPr>
          <w:lang w:val="en-GB"/>
        </w:rPr>
        <w:t>spent Li-ion batteries is important not only for environmental reasons</w:t>
      </w:r>
      <w:r w:rsidRPr="00332CA4">
        <w:rPr>
          <w:lang w:val="en-GB"/>
        </w:rPr>
        <w:t>,</w:t>
      </w:r>
      <w:r w:rsidR="00F1403D" w:rsidRPr="00332CA4">
        <w:rPr>
          <w:lang w:val="en-GB"/>
        </w:rPr>
        <w:t xml:space="preserve"> but also because they utilize numerous components that are either in limited supply or of strategic importance </w:t>
      </w:r>
      <w:r w:rsidR="004644EE" w:rsidRPr="004644EE">
        <w:rPr>
          <w:highlight w:val="yellow"/>
          <w:lang w:val="en-GB"/>
        </w:rPr>
        <w:t>(</w:t>
      </w:r>
      <w:r w:rsidR="00045E12" w:rsidRPr="004644EE">
        <w:rPr>
          <w:highlight w:val="yellow"/>
          <w:lang w:val="en-GB"/>
        </w:rPr>
        <w:t>Liu et al. 2020</w:t>
      </w:r>
      <w:r w:rsidR="007F1EB2" w:rsidRPr="004644EE">
        <w:rPr>
          <w:highlight w:val="yellow"/>
          <w:lang w:val="en-GB"/>
        </w:rPr>
        <w:t>, Yang et al. 2020</w:t>
      </w:r>
      <w:r w:rsidR="004644EE" w:rsidRPr="004644EE">
        <w:rPr>
          <w:highlight w:val="yellow"/>
          <w:lang w:val="en-GB"/>
        </w:rPr>
        <w:t>)</w:t>
      </w:r>
      <w:r w:rsidR="00F1403D" w:rsidRPr="00332CA4">
        <w:rPr>
          <w:lang w:val="en-GB"/>
        </w:rPr>
        <w:t>.</w:t>
      </w:r>
      <w:r w:rsidR="00330339" w:rsidRPr="00332CA4">
        <w:rPr>
          <w:lang w:val="en-GB"/>
        </w:rPr>
        <w:t xml:space="preserve"> </w:t>
      </w:r>
      <w:r w:rsidR="00330339" w:rsidRPr="00332CA4">
        <w:rPr>
          <w:highlight w:val="yellow"/>
          <w:lang w:val="en-GB"/>
        </w:rPr>
        <w:t>There are different types of Li-ion batteries, from which the</w:t>
      </w:r>
      <w:r w:rsidR="00F1403D" w:rsidRPr="00332CA4">
        <w:rPr>
          <w:lang w:val="en-GB"/>
        </w:rPr>
        <w:t xml:space="preserve"> NMC</w:t>
      </w:r>
      <w:r w:rsidRPr="00332CA4">
        <w:rPr>
          <w:lang w:val="en-GB"/>
        </w:rPr>
        <w:t xml:space="preserve"> (Nickel Manganese Cobalt)</w:t>
      </w:r>
      <w:r w:rsidR="00F1403D" w:rsidRPr="00332CA4">
        <w:rPr>
          <w:lang w:val="en-GB"/>
        </w:rPr>
        <w:t xml:space="preserve"> </w:t>
      </w:r>
      <w:r w:rsidRPr="00332CA4">
        <w:rPr>
          <w:lang w:val="en-GB"/>
        </w:rPr>
        <w:t xml:space="preserve">type </w:t>
      </w:r>
      <w:r w:rsidR="00F1403D" w:rsidRPr="00332CA4">
        <w:rPr>
          <w:lang w:val="en-GB"/>
        </w:rPr>
        <w:t>are widely used</w:t>
      </w:r>
      <w:r w:rsidRPr="00332CA4">
        <w:rPr>
          <w:lang w:val="en-GB"/>
        </w:rPr>
        <w:t xml:space="preserve"> in different electric devices</w:t>
      </w:r>
      <w:r w:rsidR="00B366A5" w:rsidRPr="00332CA4">
        <w:rPr>
          <w:highlight w:val="yellow"/>
          <w:lang w:val="en-GB"/>
        </w:rPr>
        <w:t>. T</w:t>
      </w:r>
      <w:r w:rsidR="00F1403D" w:rsidRPr="00332CA4">
        <w:rPr>
          <w:highlight w:val="yellow"/>
          <w:lang w:val="en-GB"/>
        </w:rPr>
        <w:t>heir</w:t>
      </w:r>
      <w:r w:rsidR="00F1403D" w:rsidRPr="00332CA4">
        <w:rPr>
          <w:lang w:val="en-GB"/>
        </w:rPr>
        <w:t xml:space="preserve"> cathode </w:t>
      </w:r>
      <w:r w:rsidR="00F1403D" w:rsidRPr="00332CA4">
        <w:rPr>
          <w:rFonts w:cs="Arial"/>
          <w:lang w:val="en-GB"/>
        </w:rPr>
        <w:t>materials contain Li, Ni, Mn, and Co, with a general composition of LiNi</w:t>
      </w:r>
      <w:r w:rsidR="00F1403D" w:rsidRPr="00332CA4">
        <w:rPr>
          <w:rFonts w:cs="Arial"/>
          <w:vertAlign w:val="subscript"/>
          <w:lang w:val="en-GB"/>
        </w:rPr>
        <w:t>x</w:t>
      </w:r>
      <w:r w:rsidR="00F1403D" w:rsidRPr="00332CA4">
        <w:rPr>
          <w:rFonts w:cs="Arial"/>
          <w:lang w:val="en-GB"/>
        </w:rPr>
        <w:t>Mn</w:t>
      </w:r>
      <w:r w:rsidR="00F1403D" w:rsidRPr="00332CA4">
        <w:rPr>
          <w:rFonts w:cs="Arial"/>
          <w:vertAlign w:val="subscript"/>
          <w:lang w:val="en-GB"/>
        </w:rPr>
        <w:t>y</w:t>
      </w:r>
      <w:r w:rsidR="00F1403D" w:rsidRPr="00332CA4">
        <w:rPr>
          <w:rFonts w:cs="Arial"/>
          <w:lang w:val="en-GB"/>
        </w:rPr>
        <w:t>Co</w:t>
      </w:r>
      <w:r w:rsidR="00F1403D" w:rsidRPr="00332CA4">
        <w:rPr>
          <w:rFonts w:cs="Arial"/>
          <w:vertAlign w:val="subscript"/>
          <w:lang w:val="en-GB"/>
        </w:rPr>
        <w:t>z</w:t>
      </w:r>
      <w:r w:rsidR="00F1403D" w:rsidRPr="00332CA4">
        <w:rPr>
          <w:rFonts w:cs="Arial"/>
          <w:lang w:val="en-GB"/>
        </w:rPr>
        <w:t>O</w:t>
      </w:r>
      <w:r w:rsidR="00F1403D" w:rsidRPr="00332CA4">
        <w:rPr>
          <w:rFonts w:cs="Arial"/>
          <w:vertAlign w:val="subscript"/>
          <w:lang w:val="en-GB"/>
        </w:rPr>
        <w:t>2</w:t>
      </w:r>
      <w:r w:rsidR="00F1403D" w:rsidRPr="00332CA4">
        <w:rPr>
          <w:rFonts w:cs="Arial"/>
          <w:lang w:val="en-GB"/>
        </w:rPr>
        <w:t xml:space="preserve"> </w:t>
      </w:r>
      <w:r w:rsidR="004644EE" w:rsidRPr="004644EE">
        <w:rPr>
          <w:rFonts w:cs="Arial"/>
          <w:highlight w:val="yellow"/>
          <w:lang w:val="en-GB"/>
        </w:rPr>
        <w:t>(</w:t>
      </w:r>
      <w:r w:rsidR="00045E12" w:rsidRPr="004644EE">
        <w:rPr>
          <w:rFonts w:cs="Arial"/>
          <w:highlight w:val="yellow"/>
          <w:lang w:val="en-GB"/>
        </w:rPr>
        <w:t>Zhuang et al. 2019</w:t>
      </w:r>
      <w:r w:rsidR="004644EE" w:rsidRPr="004644EE">
        <w:rPr>
          <w:rFonts w:cs="Arial"/>
          <w:highlight w:val="yellow"/>
          <w:lang w:val="en-GB"/>
        </w:rPr>
        <w:t>)</w:t>
      </w:r>
      <w:r w:rsidR="00F1403D" w:rsidRPr="00332CA4">
        <w:rPr>
          <w:rFonts w:cs="Arial"/>
          <w:lang w:val="en-GB"/>
        </w:rPr>
        <w:t xml:space="preserve">. </w:t>
      </w:r>
      <w:r w:rsidR="00D3624E" w:rsidRPr="00332CA4">
        <w:rPr>
          <w:rFonts w:cs="Arial"/>
          <w:highlight w:val="yellow"/>
          <w:lang w:val="en-GB"/>
        </w:rPr>
        <w:t xml:space="preserve">Li-ion batteries can be recycled using mechanical, pyrometallurgical, hydrometallurgical, solvent-based (including ionic liquid-assisted), </w:t>
      </w:r>
      <w:proofErr w:type="spellStart"/>
      <w:r w:rsidR="00D3624E" w:rsidRPr="00332CA4">
        <w:rPr>
          <w:rFonts w:cs="Arial"/>
          <w:highlight w:val="yellow"/>
          <w:lang w:val="en-GB"/>
        </w:rPr>
        <w:t>biohydrometallurgical</w:t>
      </w:r>
      <w:proofErr w:type="spellEnd"/>
      <w:r w:rsidR="00D3624E" w:rsidRPr="00332CA4">
        <w:rPr>
          <w:rFonts w:cs="Arial"/>
          <w:highlight w:val="yellow"/>
          <w:lang w:val="en-GB"/>
        </w:rPr>
        <w:t xml:space="preserve">, electrochemical, and direct recycling or regeneration processes </w:t>
      </w:r>
      <w:r w:rsidR="004644EE">
        <w:rPr>
          <w:rFonts w:cs="Arial"/>
          <w:highlight w:val="yellow"/>
          <w:lang w:val="en-GB"/>
        </w:rPr>
        <w:t>(</w:t>
      </w:r>
      <w:r w:rsidR="00D3624E" w:rsidRPr="00332CA4">
        <w:rPr>
          <w:rFonts w:cs="Arial"/>
          <w:highlight w:val="yellow"/>
          <w:lang w:val="en-GB"/>
        </w:rPr>
        <w:t>Sommerville et al., 2024</w:t>
      </w:r>
      <w:r w:rsidR="004644EE">
        <w:rPr>
          <w:rFonts w:cs="Arial"/>
          <w:highlight w:val="yellow"/>
          <w:lang w:val="en-GB"/>
        </w:rPr>
        <w:t>)</w:t>
      </w:r>
      <w:r w:rsidR="00AD2217" w:rsidRPr="00332CA4">
        <w:rPr>
          <w:rFonts w:cs="Arial"/>
          <w:highlight w:val="yellow"/>
          <w:lang w:val="en-GB"/>
        </w:rPr>
        <w:t xml:space="preserve">. </w:t>
      </w:r>
      <w:r w:rsidR="00D3624E" w:rsidRPr="00332CA4">
        <w:rPr>
          <w:rFonts w:cs="Arial"/>
          <w:highlight w:val="yellow"/>
          <w:lang w:val="en-GB"/>
        </w:rPr>
        <w:t>Hydrometallurgical recycling of Li-ion batteries typically involves the leaching of valuable metals such as Li, Co, Ni, and Mn using inorganic acids (e.g., H</w:t>
      </w:r>
      <w:r w:rsidR="00D3624E" w:rsidRPr="00332CA4">
        <w:rPr>
          <w:rFonts w:cs="Arial"/>
          <w:highlight w:val="yellow"/>
          <w:vertAlign w:val="subscript"/>
          <w:lang w:val="en-GB"/>
        </w:rPr>
        <w:t>2</w:t>
      </w:r>
      <w:r w:rsidR="00D3624E" w:rsidRPr="00332CA4">
        <w:rPr>
          <w:rFonts w:cs="Arial"/>
          <w:highlight w:val="yellow"/>
          <w:lang w:val="en-GB"/>
        </w:rPr>
        <w:t>SO</w:t>
      </w:r>
      <w:r w:rsidR="00D3624E" w:rsidRPr="00332CA4">
        <w:rPr>
          <w:rFonts w:cs="Arial"/>
          <w:highlight w:val="yellow"/>
          <w:vertAlign w:val="subscript"/>
          <w:lang w:val="en-GB"/>
        </w:rPr>
        <w:t>4</w:t>
      </w:r>
      <w:r w:rsidR="00D3624E" w:rsidRPr="00332CA4">
        <w:rPr>
          <w:rFonts w:cs="Arial"/>
          <w:highlight w:val="yellow"/>
          <w:lang w:val="en-GB"/>
        </w:rPr>
        <w:t>, HCl, and HNO</w:t>
      </w:r>
      <w:r w:rsidR="00D3624E" w:rsidRPr="00332CA4">
        <w:rPr>
          <w:rFonts w:cs="Arial"/>
          <w:highlight w:val="yellow"/>
          <w:vertAlign w:val="subscript"/>
          <w:lang w:val="en-GB"/>
        </w:rPr>
        <w:t>3</w:t>
      </w:r>
      <w:r w:rsidR="00D3624E" w:rsidRPr="00332CA4">
        <w:rPr>
          <w:rFonts w:cs="Arial"/>
          <w:highlight w:val="yellow"/>
          <w:lang w:val="en-GB"/>
        </w:rPr>
        <w:t xml:space="preserve">) or organic acids, followed by selective separation and recovery through precipitation, solvent extraction, or ion-exchange processes. Ionic liquids are increasingly investigated as alternative or complementary leaching and extraction media due to their </w:t>
      </w:r>
      <w:proofErr w:type="spellStart"/>
      <w:r w:rsidR="00D3624E" w:rsidRPr="00332CA4">
        <w:rPr>
          <w:rFonts w:cs="Arial"/>
          <w:highlight w:val="yellow"/>
          <w:lang w:val="en-GB"/>
        </w:rPr>
        <w:t>tunable</w:t>
      </w:r>
      <w:proofErr w:type="spellEnd"/>
      <w:r w:rsidR="00D3624E" w:rsidRPr="00332CA4">
        <w:rPr>
          <w:rFonts w:cs="Arial"/>
          <w:highlight w:val="yellow"/>
          <w:lang w:val="en-GB"/>
        </w:rPr>
        <w:t xml:space="preserve"> properties, high selectivity toward metal ions, low volatility, and potential for regeneration and reuse </w:t>
      </w:r>
      <w:r w:rsidR="004644EE">
        <w:rPr>
          <w:rFonts w:cs="Arial"/>
          <w:highlight w:val="yellow"/>
          <w:lang w:val="en-GB"/>
        </w:rPr>
        <w:t>(</w:t>
      </w:r>
      <w:proofErr w:type="spellStart"/>
      <w:r w:rsidR="00D3624E" w:rsidRPr="00332CA4">
        <w:rPr>
          <w:rFonts w:cs="Arial"/>
          <w:highlight w:val="yellow"/>
          <w:lang w:val="en-GB"/>
        </w:rPr>
        <w:t>Latini</w:t>
      </w:r>
      <w:proofErr w:type="spellEnd"/>
      <w:r w:rsidR="00D3624E" w:rsidRPr="00332CA4">
        <w:rPr>
          <w:rFonts w:cs="Arial"/>
          <w:highlight w:val="yellow"/>
          <w:lang w:val="en-GB"/>
        </w:rPr>
        <w:t xml:space="preserve"> et al., 2022, Kovacevic et al.</w:t>
      </w:r>
      <w:r w:rsidR="00AD2217" w:rsidRPr="00332CA4">
        <w:rPr>
          <w:rFonts w:cs="Arial"/>
          <w:highlight w:val="yellow"/>
          <w:lang w:val="en-GB"/>
        </w:rPr>
        <w:t>, 2024</w:t>
      </w:r>
      <w:r w:rsidR="004644EE">
        <w:rPr>
          <w:rFonts w:cs="Arial"/>
          <w:highlight w:val="yellow"/>
          <w:lang w:val="en-GB"/>
        </w:rPr>
        <w:t>)</w:t>
      </w:r>
      <w:r w:rsidR="00D3624E" w:rsidRPr="00332CA4">
        <w:rPr>
          <w:rFonts w:cs="Arial"/>
          <w:highlight w:val="yellow"/>
          <w:lang w:val="en-GB"/>
        </w:rPr>
        <w:t>.</w:t>
      </w:r>
      <w:r w:rsidR="00AD2217" w:rsidRPr="00332CA4">
        <w:rPr>
          <w:rFonts w:cs="Arial"/>
          <w:lang w:val="en-GB"/>
        </w:rPr>
        <w:t xml:space="preserve"> </w:t>
      </w:r>
      <w:r w:rsidR="00F1403D" w:rsidRPr="00332CA4">
        <w:rPr>
          <w:rFonts w:cs="Arial"/>
          <w:lang w:val="en-GB"/>
        </w:rPr>
        <w:t>Sul</w:t>
      </w:r>
      <w:r w:rsidR="00300B99" w:rsidRPr="00332CA4">
        <w:rPr>
          <w:rFonts w:cs="Arial"/>
          <w:lang w:val="en-GB"/>
        </w:rPr>
        <w:t>ph</w:t>
      </w:r>
      <w:r w:rsidR="00F1403D" w:rsidRPr="00332CA4">
        <w:rPr>
          <w:rFonts w:cs="Arial"/>
          <w:lang w:val="en-GB"/>
        </w:rPr>
        <w:t xml:space="preserve">uric acid is </w:t>
      </w:r>
      <w:r w:rsidR="00300B99" w:rsidRPr="00332CA4">
        <w:rPr>
          <w:rFonts w:cs="Arial"/>
          <w:lang w:val="en-GB"/>
        </w:rPr>
        <w:t xml:space="preserve">the </w:t>
      </w:r>
      <w:r w:rsidR="00F1403D" w:rsidRPr="00332CA4">
        <w:rPr>
          <w:rFonts w:cs="Arial"/>
          <w:lang w:val="en-GB"/>
        </w:rPr>
        <w:t xml:space="preserve">most commonly </w:t>
      </w:r>
      <w:r w:rsidR="00B366A5" w:rsidRPr="00332CA4">
        <w:rPr>
          <w:rFonts w:cs="Arial"/>
          <w:highlight w:val="yellow"/>
          <w:lang w:val="en-GB"/>
        </w:rPr>
        <w:t>used</w:t>
      </w:r>
      <w:r w:rsidR="00F1403D" w:rsidRPr="00332CA4">
        <w:rPr>
          <w:rFonts w:cs="Arial"/>
          <w:lang w:val="en-GB"/>
        </w:rPr>
        <w:t xml:space="preserve"> </w:t>
      </w:r>
      <w:r w:rsidR="00300B99" w:rsidRPr="00332CA4">
        <w:rPr>
          <w:rFonts w:cs="Arial"/>
          <w:lang w:val="en-GB"/>
        </w:rPr>
        <w:t xml:space="preserve">acid </w:t>
      </w:r>
      <w:r w:rsidR="00F1403D" w:rsidRPr="00332CA4">
        <w:rPr>
          <w:rFonts w:cs="Arial"/>
          <w:lang w:val="en-GB"/>
        </w:rPr>
        <w:t>for this purpose, usually in combination with a reducing</w:t>
      </w:r>
      <w:r w:rsidR="00F1403D" w:rsidRPr="00332CA4">
        <w:rPr>
          <w:lang w:val="en-GB"/>
        </w:rPr>
        <w:t xml:space="preserve"> agent such as H</w:t>
      </w:r>
      <w:r w:rsidR="00F1403D" w:rsidRPr="00332CA4">
        <w:rPr>
          <w:vertAlign w:val="subscript"/>
          <w:lang w:val="en-GB"/>
        </w:rPr>
        <w:t>2</w:t>
      </w:r>
      <w:r w:rsidR="00F1403D" w:rsidRPr="00332CA4">
        <w:rPr>
          <w:lang w:val="en-GB"/>
        </w:rPr>
        <w:t>O</w:t>
      </w:r>
      <w:r w:rsidR="00F1403D" w:rsidRPr="00332CA4">
        <w:rPr>
          <w:vertAlign w:val="subscript"/>
          <w:lang w:val="en-GB"/>
        </w:rPr>
        <w:t>2</w:t>
      </w:r>
      <w:r w:rsidR="00F1403D" w:rsidRPr="00332CA4">
        <w:rPr>
          <w:lang w:val="en-GB"/>
        </w:rPr>
        <w:t xml:space="preserve"> </w:t>
      </w:r>
      <w:r w:rsidR="004644EE" w:rsidRPr="004644EE">
        <w:rPr>
          <w:highlight w:val="yellow"/>
          <w:lang w:val="en-GB"/>
        </w:rPr>
        <w:t>(</w:t>
      </w:r>
      <w:r w:rsidR="00045E12" w:rsidRPr="004644EE">
        <w:rPr>
          <w:highlight w:val="yellow"/>
          <w:lang w:val="en-GB"/>
        </w:rPr>
        <w:t xml:space="preserve">Liu et al. 2020, </w:t>
      </w:r>
      <w:r w:rsidR="007F1EB2" w:rsidRPr="004644EE">
        <w:rPr>
          <w:highlight w:val="yellow"/>
          <w:lang w:val="en-GB"/>
        </w:rPr>
        <w:t xml:space="preserve">Zhan et al. 2018, </w:t>
      </w:r>
      <w:proofErr w:type="spellStart"/>
      <w:r w:rsidR="00045E12" w:rsidRPr="004644EE">
        <w:rPr>
          <w:highlight w:val="yellow"/>
          <w:lang w:val="en-GB"/>
        </w:rPr>
        <w:t>Zhuamg</w:t>
      </w:r>
      <w:proofErr w:type="spellEnd"/>
      <w:r w:rsidR="00045E12" w:rsidRPr="004644EE">
        <w:rPr>
          <w:highlight w:val="yellow"/>
          <w:lang w:val="en-GB"/>
        </w:rPr>
        <w:t xml:space="preserve"> et al. 2019</w:t>
      </w:r>
      <w:r w:rsidR="004644EE" w:rsidRPr="004644EE">
        <w:rPr>
          <w:highlight w:val="yellow"/>
          <w:lang w:val="en-GB"/>
        </w:rPr>
        <w:t>)</w:t>
      </w:r>
      <w:r w:rsidR="00F1403D" w:rsidRPr="00332CA4">
        <w:rPr>
          <w:lang w:val="en-GB"/>
        </w:rPr>
        <w:t>. The primary objective of hydrometallurg</w:t>
      </w:r>
      <w:r w:rsidR="00300B99" w:rsidRPr="00332CA4">
        <w:rPr>
          <w:lang w:val="en-GB"/>
        </w:rPr>
        <w:t>y</w:t>
      </w:r>
      <w:r w:rsidR="00F1403D" w:rsidRPr="00332CA4">
        <w:rPr>
          <w:lang w:val="en-GB"/>
        </w:rPr>
        <w:t xml:space="preserve"> methods is to separate the metals contained in the cathode material in the form of water-soluble salts, resulting in a multi-component solution containing Li, Ni, Co, and Mn sul</w:t>
      </w:r>
      <w:r w:rsidR="00300B99" w:rsidRPr="00332CA4">
        <w:rPr>
          <w:lang w:val="en-GB"/>
        </w:rPr>
        <w:t>ph</w:t>
      </w:r>
      <w:r w:rsidR="00F1403D" w:rsidRPr="00332CA4">
        <w:rPr>
          <w:lang w:val="en-GB"/>
        </w:rPr>
        <w:t>ates. The main advantages of leaching with sul</w:t>
      </w:r>
      <w:r w:rsidR="00300B99" w:rsidRPr="00332CA4">
        <w:rPr>
          <w:lang w:val="en-GB"/>
        </w:rPr>
        <w:t>ph</w:t>
      </w:r>
      <w:r w:rsidR="00F1403D" w:rsidRPr="00332CA4">
        <w:rPr>
          <w:lang w:val="en-GB"/>
        </w:rPr>
        <w:t xml:space="preserve">uric acid </w:t>
      </w:r>
      <w:r w:rsidR="00300B99" w:rsidRPr="00332CA4">
        <w:rPr>
          <w:lang w:val="en-GB"/>
        </w:rPr>
        <w:t>are the</w:t>
      </w:r>
      <w:r w:rsidR="00F1403D" w:rsidRPr="00332CA4">
        <w:rPr>
          <w:lang w:val="en-GB"/>
        </w:rPr>
        <w:t xml:space="preserve"> relatively low reagent costs, widespread industrial availability, and the fact that, under appropriate conditions, Li, Ni, Co, and Mn can all be brought into solution with high efficiency. The use of H</w:t>
      </w:r>
      <w:r w:rsidR="00F1403D" w:rsidRPr="00332CA4">
        <w:rPr>
          <w:vertAlign w:val="subscript"/>
          <w:lang w:val="en-GB"/>
        </w:rPr>
        <w:t>2</w:t>
      </w:r>
      <w:r w:rsidR="00F1403D" w:rsidRPr="00332CA4">
        <w:rPr>
          <w:lang w:val="en-GB"/>
        </w:rPr>
        <w:t>O</w:t>
      </w:r>
      <w:r w:rsidR="00F1403D" w:rsidRPr="00332CA4">
        <w:rPr>
          <w:vertAlign w:val="subscript"/>
          <w:lang w:val="en-GB"/>
        </w:rPr>
        <w:t>2</w:t>
      </w:r>
      <w:r w:rsidR="00F1403D" w:rsidRPr="00332CA4">
        <w:rPr>
          <w:lang w:val="en-GB"/>
        </w:rPr>
        <w:t xml:space="preserve"> as a reducing agent primarily </w:t>
      </w:r>
      <w:r w:rsidR="00F1403D" w:rsidRPr="00332CA4">
        <w:rPr>
          <w:lang w:val="en-GB"/>
        </w:rPr>
        <w:lastRenderedPageBreak/>
        <w:t xml:space="preserve">facilitates the reduction of Co and Mn compounds in higher oxidation states, thereby increasing their solubility </w:t>
      </w:r>
      <w:r w:rsidR="004644EE" w:rsidRPr="004644EE">
        <w:rPr>
          <w:highlight w:val="yellow"/>
          <w:lang w:val="en-GB"/>
        </w:rPr>
        <w:t>(</w:t>
      </w:r>
      <w:r w:rsidR="007F1EB2" w:rsidRPr="004644EE">
        <w:rPr>
          <w:highlight w:val="yellow"/>
          <w:lang w:val="en-GB"/>
        </w:rPr>
        <w:t xml:space="preserve">Jung et al. 2021, </w:t>
      </w:r>
      <w:r w:rsidR="00045E12" w:rsidRPr="004644EE">
        <w:rPr>
          <w:highlight w:val="yellow"/>
          <w:lang w:val="en-GB"/>
        </w:rPr>
        <w:t xml:space="preserve">Liu et al. 2020, </w:t>
      </w:r>
      <w:r w:rsidR="007F1EB2" w:rsidRPr="004644EE">
        <w:rPr>
          <w:highlight w:val="yellow"/>
          <w:lang w:val="en-GB"/>
        </w:rPr>
        <w:t xml:space="preserve">Shin et al. 2005, </w:t>
      </w:r>
      <w:r w:rsidR="00045E12" w:rsidRPr="004644EE">
        <w:rPr>
          <w:highlight w:val="yellow"/>
          <w:lang w:val="en-GB"/>
        </w:rPr>
        <w:t>Zhuang et al. 2019</w:t>
      </w:r>
      <w:r w:rsidR="004644EE" w:rsidRPr="004644EE">
        <w:rPr>
          <w:highlight w:val="yellow"/>
          <w:lang w:val="en-GB"/>
        </w:rPr>
        <w:t>)</w:t>
      </w:r>
      <w:r w:rsidR="00F1403D" w:rsidRPr="004644EE">
        <w:rPr>
          <w:highlight w:val="yellow"/>
          <w:lang w:val="en-GB"/>
        </w:rPr>
        <w:t xml:space="preserve">. </w:t>
      </w:r>
      <w:r w:rsidR="00B366A5" w:rsidRPr="004644EE">
        <w:rPr>
          <w:highlight w:val="yellow"/>
          <w:lang w:val="en-GB"/>
        </w:rPr>
        <w:t xml:space="preserve">The </w:t>
      </w:r>
      <w:r w:rsidR="00B366A5" w:rsidRPr="00332CA4">
        <w:rPr>
          <w:highlight w:val="yellow"/>
          <w:lang w:val="en-GB"/>
        </w:rPr>
        <w:t xml:space="preserve">use of nitric acid is the another possibility for hydrometallurgy process. </w:t>
      </w:r>
      <w:r w:rsidR="003350CD" w:rsidRPr="00332CA4">
        <w:rPr>
          <w:highlight w:val="yellow"/>
          <w:lang w:val="en-GB"/>
        </w:rPr>
        <w:t>T</w:t>
      </w:r>
      <w:r w:rsidR="00F1403D" w:rsidRPr="00332CA4">
        <w:rPr>
          <w:highlight w:val="yellow"/>
          <w:lang w:val="en-GB"/>
        </w:rPr>
        <w:t>he</w:t>
      </w:r>
      <w:r w:rsidR="00F1403D" w:rsidRPr="00332CA4">
        <w:rPr>
          <w:lang w:val="en-GB"/>
        </w:rPr>
        <w:t xml:space="preserve"> key advantages of leaching the metals with sul</w:t>
      </w:r>
      <w:r w:rsidR="00300B99" w:rsidRPr="00332CA4">
        <w:rPr>
          <w:lang w:val="en-GB"/>
        </w:rPr>
        <w:t>ph</w:t>
      </w:r>
      <w:r w:rsidR="00F1403D" w:rsidRPr="00332CA4">
        <w:rPr>
          <w:lang w:val="en-GB"/>
        </w:rPr>
        <w:t>uric acid are its superior cost-effectiveness and industrial applicability. Sul</w:t>
      </w:r>
      <w:r w:rsidR="00300B99" w:rsidRPr="00332CA4">
        <w:rPr>
          <w:lang w:val="en-GB"/>
        </w:rPr>
        <w:t>ph</w:t>
      </w:r>
      <w:r w:rsidR="00F1403D" w:rsidRPr="00332CA4">
        <w:rPr>
          <w:lang w:val="en-GB"/>
        </w:rPr>
        <w:t>uric acid is a relatively inexpensive</w:t>
      </w:r>
      <w:r w:rsidR="00300B99" w:rsidRPr="00332CA4">
        <w:rPr>
          <w:lang w:val="en-GB"/>
        </w:rPr>
        <w:t xml:space="preserve"> </w:t>
      </w:r>
      <w:r w:rsidR="00F1403D" w:rsidRPr="00332CA4">
        <w:rPr>
          <w:lang w:val="en-GB"/>
        </w:rPr>
        <w:t>industrial chemical</w:t>
      </w:r>
      <w:r w:rsidR="00300B99" w:rsidRPr="00332CA4">
        <w:rPr>
          <w:lang w:val="en-GB"/>
        </w:rPr>
        <w:t>,</w:t>
      </w:r>
      <w:r w:rsidR="00F1403D" w:rsidRPr="00332CA4">
        <w:rPr>
          <w:lang w:val="en-GB"/>
        </w:rPr>
        <w:t xml:space="preserve"> available in large quantities, and the resulting metal sul</w:t>
      </w:r>
      <w:r w:rsidR="00300B99" w:rsidRPr="00332CA4">
        <w:rPr>
          <w:lang w:val="en-GB"/>
        </w:rPr>
        <w:t>ph</w:t>
      </w:r>
      <w:r w:rsidR="00F1403D" w:rsidRPr="00332CA4">
        <w:rPr>
          <w:lang w:val="en-GB"/>
        </w:rPr>
        <w:t xml:space="preserve">ate solutions can be readily integrated into a technological value chain aimed at the remanufacture of Li-ion batteries. In contrast, nitric acid is a strong oxidizing acid; its use imposes stricter requirements regarding corrosion resistance and occupational safety, and the formation of nitrogen oxides must also be </w:t>
      </w:r>
      <w:r w:rsidR="00300B99" w:rsidRPr="00332CA4">
        <w:rPr>
          <w:lang w:val="en-GB"/>
        </w:rPr>
        <w:t>predicted</w:t>
      </w:r>
      <w:r w:rsidR="00F1403D" w:rsidRPr="00332CA4">
        <w:rPr>
          <w:lang w:val="en-GB"/>
        </w:rPr>
        <w:t xml:space="preserve"> under certain conditions. Furthermore, the </w:t>
      </w:r>
      <w:r w:rsidR="00300B99" w:rsidRPr="00332CA4">
        <w:rPr>
          <w:lang w:val="en-GB"/>
        </w:rPr>
        <w:t>dis</w:t>
      </w:r>
      <w:r w:rsidR="00F1403D" w:rsidRPr="00332CA4">
        <w:rPr>
          <w:lang w:val="en-GB"/>
        </w:rPr>
        <w:t xml:space="preserve">solution </w:t>
      </w:r>
      <w:r w:rsidR="00300B99" w:rsidRPr="00332CA4">
        <w:rPr>
          <w:lang w:val="en-GB"/>
        </w:rPr>
        <w:t xml:space="preserve">process </w:t>
      </w:r>
      <w:r w:rsidR="00F1403D" w:rsidRPr="00332CA4">
        <w:rPr>
          <w:lang w:val="en-GB"/>
        </w:rPr>
        <w:t xml:space="preserve">and </w:t>
      </w:r>
      <w:r w:rsidR="00300B99" w:rsidRPr="00332CA4">
        <w:rPr>
          <w:lang w:val="en-GB"/>
        </w:rPr>
        <w:t xml:space="preserve">treatment of </w:t>
      </w:r>
      <w:r w:rsidR="00F1403D" w:rsidRPr="00332CA4">
        <w:rPr>
          <w:lang w:val="en-GB"/>
        </w:rPr>
        <w:t xml:space="preserve">wastewaters containing nitrates requires special attention </w:t>
      </w:r>
      <w:r w:rsidR="004644EE" w:rsidRPr="004644EE">
        <w:rPr>
          <w:highlight w:val="yellow"/>
          <w:lang w:val="en-GB"/>
        </w:rPr>
        <w:t>(</w:t>
      </w:r>
      <w:proofErr w:type="spellStart"/>
      <w:r w:rsidR="007F1EB2" w:rsidRPr="004644EE">
        <w:rPr>
          <w:highlight w:val="yellow"/>
          <w:lang w:val="en-GB"/>
        </w:rPr>
        <w:t>Jin</w:t>
      </w:r>
      <w:proofErr w:type="spellEnd"/>
      <w:r w:rsidR="007F1EB2" w:rsidRPr="004644EE">
        <w:rPr>
          <w:highlight w:val="yellow"/>
          <w:lang w:val="en-GB"/>
        </w:rPr>
        <w:t xml:space="preserve"> et al. 2024, Lee at al. 2025, </w:t>
      </w:r>
      <w:proofErr w:type="spellStart"/>
      <w:r w:rsidR="00317872" w:rsidRPr="004644EE">
        <w:rPr>
          <w:highlight w:val="yellow"/>
          <w:lang w:val="en-GB"/>
        </w:rPr>
        <w:t>Meshram</w:t>
      </w:r>
      <w:proofErr w:type="spellEnd"/>
      <w:r w:rsidR="00317872" w:rsidRPr="004644EE">
        <w:rPr>
          <w:highlight w:val="yellow"/>
          <w:lang w:val="en-GB"/>
        </w:rPr>
        <w:t xml:space="preserve"> et al. 2015</w:t>
      </w:r>
      <w:r w:rsidR="004644EE" w:rsidRPr="004644EE">
        <w:rPr>
          <w:highlight w:val="yellow"/>
          <w:lang w:val="en-GB"/>
        </w:rPr>
        <w:t>)</w:t>
      </w:r>
      <w:r w:rsidR="00F1403D" w:rsidRPr="004644EE">
        <w:rPr>
          <w:highlight w:val="yellow"/>
          <w:lang w:val="en-GB"/>
        </w:rPr>
        <w:t>.</w:t>
      </w:r>
      <w:r w:rsidR="00453619" w:rsidRPr="004644EE">
        <w:rPr>
          <w:highlight w:val="yellow"/>
          <w:lang w:val="en-GB"/>
        </w:rPr>
        <w:t xml:space="preserve"> </w:t>
      </w:r>
      <w:r w:rsidR="003350CD" w:rsidRPr="004644EE">
        <w:rPr>
          <w:highlight w:val="yellow"/>
          <w:lang w:val="en-GB"/>
        </w:rPr>
        <w:t>One</w:t>
      </w:r>
      <w:r w:rsidR="003350CD" w:rsidRPr="00332CA4">
        <w:rPr>
          <w:highlight w:val="yellow"/>
          <w:lang w:val="en-GB"/>
        </w:rPr>
        <w:t xml:space="preserve"> of the most disadvantages of the hydrometallurgy process, that the metals can be recovered in a multi-component dissolution, which further application is difficult. The separation of multi component dissolution into individual metals is difficult and the process feasibility is limited. </w:t>
      </w:r>
      <w:r w:rsidR="005A5CE8" w:rsidRPr="00332CA4">
        <w:rPr>
          <w:highlight w:val="yellow"/>
          <w:lang w:val="en-GB"/>
        </w:rPr>
        <w:t xml:space="preserve">Majority of the research activities are focussing to the re-application of hydrometallurgy sourced dissolution </w:t>
      </w:r>
      <w:r w:rsidR="00532E96" w:rsidRPr="00332CA4">
        <w:rPr>
          <w:highlight w:val="yellow"/>
          <w:lang w:val="en-GB"/>
        </w:rPr>
        <w:t xml:space="preserve">for production of batteries again. </w:t>
      </w:r>
      <w:r w:rsidR="000E294B" w:rsidRPr="00332CA4">
        <w:rPr>
          <w:highlight w:val="yellow"/>
          <w:lang w:val="en-GB"/>
        </w:rPr>
        <w:t xml:space="preserve">However, there are some other possibilities, where the multi elemental dissolution has alternative for its value added utilization </w:t>
      </w:r>
      <w:r w:rsidR="004644EE">
        <w:rPr>
          <w:highlight w:val="yellow"/>
          <w:lang w:val="en-GB"/>
        </w:rPr>
        <w:t>(</w:t>
      </w:r>
      <w:proofErr w:type="spellStart"/>
      <w:r w:rsidR="00AD2217" w:rsidRPr="00332CA4">
        <w:rPr>
          <w:rFonts w:cs="Arial"/>
          <w:highlight w:val="yellow"/>
          <w:lang w:val="en-GB"/>
        </w:rPr>
        <w:t>Latini</w:t>
      </w:r>
      <w:proofErr w:type="spellEnd"/>
      <w:r w:rsidR="00AD2217" w:rsidRPr="00332CA4">
        <w:rPr>
          <w:rFonts w:cs="Arial"/>
          <w:highlight w:val="yellow"/>
          <w:lang w:val="en-GB"/>
        </w:rPr>
        <w:t xml:space="preserve"> et al., 2022, Sommerville et al., 2024</w:t>
      </w:r>
      <w:r w:rsidR="004644EE">
        <w:rPr>
          <w:highlight w:val="yellow"/>
          <w:lang w:val="en-GB"/>
        </w:rPr>
        <w:t>)</w:t>
      </w:r>
      <w:r w:rsidR="000E294B" w:rsidRPr="00332CA4">
        <w:rPr>
          <w:highlight w:val="yellow"/>
          <w:lang w:val="en-GB"/>
        </w:rPr>
        <w:t>.</w:t>
      </w:r>
      <w:r w:rsidR="00AD2217" w:rsidRPr="00332CA4">
        <w:rPr>
          <w:highlight w:val="yellow"/>
          <w:lang w:val="en-GB"/>
        </w:rPr>
        <w:t xml:space="preserve"> </w:t>
      </w:r>
      <w:r w:rsidR="00453619" w:rsidRPr="00332CA4">
        <w:rPr>
          <w:highlight w:val="yellow"/>
          <w:lang w:val="en-GB"/>
        </w:rPr>
        <w:t xml:space="preserve">Waste polymers can converted into valuable products by their high temperature process (e.g. pyrolysis, gasification). The yield of valuable products can enhance by the application of different catalysts containing transition metals. For hydrogen and syngas production nickel, cobalt or manganese have advantageous properties (e.g. high selectivity, high product yield, resistance against contaminants) </w:t>
      </w:r>
      <w:r w:rsidR="004644EE">
        <w:rPr>
          <w:highlight w:val="yellow"/>
          <w:lang w:val="en-GB"/>
        </w:rPr>
        <w:t>(</w:t>
      </w:r>
      <w:proofErr w:type="spellStart"/>
      <w:r w:rsidR="00AD2217" w:rsidRPr="00AD2217">
        <w:rPr>
          <w:rFonts w:cs="Arial"/>
          <w:highlight w:val="yellow"/>
          <w:lang w:val="en-GB"/>
        </w:rPr>
        <w:t>Ayuso</w:t>
      </w:r>
      <w:proofErr w:type="spellEnd"/>
      <w:r w:rsidR="00AD2217" w:rsidRPr="00AD2217">
        <w:rPr>
          <w:rFonts w:cs="Arial"/>
          <w:highlight w:val="yellow"/>
          <w:lang w:val="en-GB"/>
        </w:rPr>
        <w:t>-Díaz</w:t>
      </w:r>
      <w:r w:rsidR="00AD2217" w:rsidRPr="00332CA4">
        <w:rPr>
          <w:rFonts w:cs="Arial"/>
          <w:highlight w:val="yellow"/>
          <w:lang w:val="en-GB"/>
        </w:rPr>
        <w:t xml:space="preserve"> et al., 2025</w:t>
      </w:r>
      <w:r w:rsidR="004644EE">
        <w:rPr>
          <w:highlight w:val="yellow"/>
          <w:lang w:val="en-GB"/>
        </w:rPr>
        <w:t>)</w:t>
      </w:r>
      <w:r w:rsidR="00453619" w:rsidRPr="00332CA4">
        <w:rPr>
          <w:highlight w:val="yellow"/>
          <w:lang w:val="en-GB"/>
        </w:rPr>
        <w:t xml:space="preserve">. </w:t>
      </w:r>
    </w:p>
    <w:p w14:paraId="532C1DF1" w14:textId="08CFFC65" w:rsidR="00E30E81" w:rsidRPr="00332CA4" w:rsidRDefault="00F1403D" w:rsidP="001914D3">
      <w:pPr>
        <w:pStyle w:val="CETBodytext"/>
        <w:rPr>
          <w:lang w:val="en-GB"/>
        </w:rPr>
      </w:pPr>
      <w:r w:rsidRPr="00332CA4">
        <w:rPr>
          <w:lang w:val="en-GB"/>
        </w:rPr>
        <w:t xml:space="preserve">The aim of this research is to recover metals from spent Li-ion batteries using metal salt </w:t>
      </w:r>
      <w:r w:rsidR="00300B99" w:rsidRPr="00332CA4">
        <w:rPr>
          <w:lang w:val="en-GB"/>
        </w:rPr>
        <w:t>dis</w:t>
      </w:r>
      <w:r w:rsidRPr="00332CA4">
        <w:rPr>
          <w:lang w:val="en-GB"/>
        </w:rPr>
        <w:t>solutions and to utilize them in a value-added manner for the production of catalysts</w:t>
      </w:r>
      <w:r w:rsidR="00300B99" w:rsidRPr="00332CA4">
        <w:rPr>
          <w:lang w:val="en-GB"/>
        </w:rPr>
        <w:t>. T</w:t>
      </w:r>
      <w:r w:rsidRPr="00332CA4">
        <w:rPr>
          <w:lang w:val="en-GB"/>
        </w:rPr>
        <w:t xml:space="preserve">hese catalysts are intended for use in the pyrolysis-gasification of </w:t>
      </w:r>
      <w:r w:rsidR="009A2230" w:rsidRPr="00332CA4">
        <w:rPr>
          <w:highlight w:val="yellow"/>
          <w:lang w:val="en-GB"/>
        </w:rPr>
        <w:t>plastic</w:t>
      </w:r>
      <w:r w:rsidR="009A2230" w:rsidRPr="00332CA4">
        <w:rPr>
          <w:lang w:val="en-GB"/>
        </w:rPr>
        <w:t xml:space="preserve"> </w:t>
      </w:r>
      <w:r w:rsidRPr="00332CA4">
        <w:rPr>
          <w:lang w:val="en-GB"/>
        </w:rPr>
        <w:t xml:space="preserve">waste to </w:t>
      </w:r>
      <w:r w:rsidR="00300B99" w:rsidRPr="00332CA4">
        <w:rPr>
          <w:lang w:val="en-GB"/>
        </w:rPr>
        <w:t>obtained</w:t>
      </w:r>
      <w:r w:rsidRPr="00332CA4">
        <w:rPr>
          <w:lang w:val="en-GB"/>
        </w:rPr>
        <w:t xml:space="preserve"> hydrogen-rich products. </w:t>
      </w:r>
      <w:r w:rsidR="009A2230" w:rsidRPr="00332CA4">
        <w:rPr>
          <w:highlight w:val="yellow"/>
          <w:lang w:val="en-GB"/>
        </w:rPr>
        <w:t>It is known, that</w:t>
      </w:r>
      <w:r w:rsidR="009A2230" w:rsidRPr="00332CA4">
        <w:rPr>
          <w:lang w:val="en-GB"/>
        </w:rPr>
        <w:t xml:space="preserve"> </w:t>
      </w:r>
      <w:r w:rsidRPr="00332CA4">
        <w:rPr>
          <w:lang w:val="en-GB"/>
        </w:rPr>
        <w:t xml:space="preserve">metal nitrate </w:t>
      </w:r>
      <w:r w:rsidR="00300B99" w:rsidRPr="00332CA4">
        <w:rPr>
          <w:lang w:val="en-GB"/>
        </w:rPr>
        <w:t>dis</w:t>
      </w:r>
      <w:r w:rsidRPr="00332CA4">
        <w:rPr>
          <w:lang w:val="en-GB"/>
        </w:rPr>
        <w:t xml:space="preserve">solutions offer </w:t>
      </w:r>
      <w:r w:rsidR="009A2230" w:rsidRPr="00332CA4">
        <w:rPr>
          <w:highlight w:val="yellow"/>
          <w:lang w:val="en-GB"/>
        </w:rPr>
        <w:t>lots of</w:t>
      </w:r>
      <w:r w:rsidR="009A2230" w:rsidRPr="00332CA4">
        <w:rPr>
          <w:lang w:val="en-GB"/>
        </w:rPr>
        <w:t xml:space="preserve"> </w:t>
      </w:r>
      <w:r w:rsidRPr="00332CA4">
        <w:rPr>
          <w:lang w:val="en-GB"/>
        </w:rPr>
        <w:t xml:space="preserve">advantages </w:t>
      </w:r>
      <w:r w:rsidR="00300B99" w:rsidRPr="00332CA4">
        <w:rPr>
          <w:lang w:val="en-GB"/>
        </w:rPr>
        <w:t>compared to</w:t>
      </w:r>
      <w:r w:rsidRPr="00332CA4">
        <w:rPr>
          <w:lang w:val="en-GB"/>
        </w:rPr>
        <w:t xml:space="preserve"> metal sul</w:t>
      </w:r>
      <w:r w:rsidR="00300B99" w:rsidRPr="00332CA4">
        <w:rPr>
          <w:lang w:val="en-GB"/>
        </w:rPr>
        <w:t>ph</w:t>
      </w:r>
      <w:r w:rsidRPr="00332CA4">
        <w:rPr>
          <w:lang w:val="en-GB"/>
        </w:rPr>
        <w:t xml:space="preserve">ate </w:t>
      </w:r>
      <w:r w:rsidR="00300B99" w:rsidRPr="00332CA4">
        <w:rPr>
          <w:lang w:val="en-GB"/>
        </w:rPr>
        <w:t>dis</w:t>
      </w:r>
      <w:r w:rsidRPr="00332CA4">
        <w:rPr>
          <w:lang w:val="en-GB"/>
        </w:rPr>
        <w:t xml:space="preserve">solutions </w:t>
      </w:r>
      <w:r w:rsidR="009A2230" w:rsidRPr="00332CA4">
        <w:rPr>
          <w:highlight w:val="yellow"/>
          <w:lang w:val="en-GB"/>
        </w:rPr>
        <w:t xml:space="preserve">for multifunctional catalysts preparation via wet impregnation, </w:t>
      </w:r>
      <w:r w:rsidRPr="00332CA4">
        <w:rPr>
          <w:lang w:val="en-GB"/>
        </w:rPr>
        <w:t xml:space="preserve">because they convert more readily into metal oxides during </w:t>
      </w:r>
      <w:r w:rsidR="00300B99" w:rsidRPr="00332CA4">
        <w:rPr>
          <w:lang w:val="en-GB"/>
        </w:rPr>
        <w:t xml:space="preserve">the </w:t>
      </w:r>
      <w:r w:rsidRPr="00332CA4">
        <w:rPr>
          <w:lang w:val="en-GB"/>
        </w:rPr>
        <w:t xml:space="preserve">calcination. </w:t>
      </w:r>
      <w:r w:rsidR="009A2230" w:rsidRPr="00332CA4">
        <w:rPr>
          <w:highlight w:val="yellow"/>
          <w:lang w:val="en-GB"/>
        </w:rPr>
        <w:t>Therefore</w:t>
      </w:r>
      <w:r w:rsidRPr="00332CA4">
        <w:rPr>
          <w:highlight w:val="yellow"/>
          <w:lang w:val="en-GB"/>
        </w:rPr>
        <w:t xml:space="preserve"> </w:t>
      </w:r>
      <w:r w:rsidR="009A2230" w:rsidRPr="00332CA4">
        <w:rPr>
          <w:highlight w:val="yellow"/>
          <w:lang w:val="en-GB"/>
        </w:rPr>
        <w:t xml:space="preserve">this </w:t>
      </w:r>
      <w:r w:rsidR="00300B99" w:rsidRPr="00332CA4">
        <w:rPr>
          <w:highlight w:val="yellow"/>
          <w:lang w:val="en-GB"/>
        </w:rPr>
        <w:t>work also</w:t>
      </w:r>
      <w:r w:rsidRPr="00332CA4">
        <w:rPr>
          <w:highlight w:val="yellow"/>
          <w:lang w:val="en-GB"/>
        </w:rPr>
        <w:t xml:space="preserve"> investigate</w:t>
      </w:r>
      <w:r w:rsidR="009A2230" w:rsidRPr="00332CA4">
        <w:rPr>
          <w:highlight w:val="yellow"/>
          <w:lang w:val="en-GB"/>
        </w:rPr>
        <w:t>s</w:t>
      </w:r>
      <w:r w:rsidRPr="00332CA4">
        <w:rPr>
          <w:lang w:val="en-GB"/>
        </w:rPr>
        <w:t xml:space="preserve"> the use of both metal sul</w:t>
      </w:r>
      <w:r w:rsidR="00480D55" w:rsidRPr="00332CA4">
        <w:rPr>
          <w:lang w:val="en-GB"/>
        </w:rPr>
        <w:t>ph</w:t>
      </w:r>
      <w:r w:rsidRPr="00332CA4">
        <w:rPr>
          <w:lang w:val="en-GB"/>
        </w:rPr>
        <w:t xml:space="preserve">ate and metal nitrate </w:t>
      </w:r>
      <w:r w:rsidR="00480D55" w:rsidRPr="00332CA4">
        <w:rPr>
          <w:lang w:val="en-GB"/>
        </w:rPr>
        <w:t>dis</w:t>
      </w:r>
      <w:r w:rsidRPr="00332CA4">
        <w:rPr>
          <w:lang w:val="en-GB"/>
        </w:rPr>
        <w:t xml:space="preserve">solutions in the synthesis of multifunctional ZSM-5 catalysts. </w:t>
      </w:r>
      <w:r w:rsidR="009A2230" w:rsidRPr="00332CA4">
        <w:rPr>
          <w:highlight w:val="yellow"/>
          <w:lang w:val="en-GB"/>
        </w:rPr>
        <w:t xml:space="preserve">To eliminate the disadvantages of </w:t>
      </w:r>
      <w:r w:rsidR="001914D3" w:rsidRPr="00332CA4">
        <w:rPr>
          <w:highlight w:val="yellow"/>
          <w:lang w:val="en-GB"/>
        </w:rPr>
        <w:t>leaching process by nitric acid, the</w:t>
      </w:r>
      <w:r w:rsidR="001914D3" w:rsidRPr="00332CA4">
        <w:rPr>
          <w:lang w:val="en-GB"/>
        </w:rPr>
        <w:t xml:space="preserve"> m</w:t>
      </w:r>
      <w:r w:rsidRPr="00332CA4">
        <w:rPr>
          <w:lang w:val="en-GB"/>
        </w:rPr>
        <w:t xml:space="preserve">etal </w:t>
      </w:r>
      <w:r w:rsidR="00480D55" w:rsidRPr="00332CA4">
        <w:rPr>
          <w:lang w:val="en-GB"/>
        </w:rPr>
        <w:t>nitrates</w:t>
      </w:r>
      <w:r w:rsidRPr="00332CA4">
        <w:rPr>
          <w:lang w:val="en-GB"/>
        </w:rPr>
        <w:t xml:space="preserve"> were </w:t>
      </w:r>
      <w:r w:rsidR="00480D55" w:rsidRPr="00332CA4">
        <w:rPr>
          <w:lang w:val="en-GB"/>
        </w:rPr>
        <w:t>obtained</w:t>
      </w:r>
      <w:r w:rsidRPr="00332CA4">
        <w:rPr>
          <w:lang w:val="en-GB"/>
        </w:rPr>
        <w:t xml:space="preserve"> from the</w:t>
      </w:r>
      <w:r w:rsidR="00480D55" w:rsidRPr="00332CA4">
        <w:rPr>
          <w:lang w:val="en-GB"/>
        </w:rPr>
        <w:t xml:space="preserve"> dissolution of Li</w:t>
      </w:r>
      <w:r w:rsidR="00480D55" w:rsidRPr="00332CA4">
        <w:rPr>
          <w:vertAlign w:val="subscript"/>
          <w:lang w:val="en-GB"/>
        </w:rPr>
        <w:t>2</w:t>
      </w:r>
      <w:r w:rsidR="00480D55" w:rsidRPr="00332CA4">
        <w:rPr>
          <w:lang w:val="en-GB"/>
        </w:rPr>
        <w:t>SO</w:t>
      </w:r>
      <w:r w:rsidR="00480D55" w:rsidRPr="00332CA4">
        <w:rPr>
          <w:vertAlign w:val="subscript"/>
          <w:lang w:val="en-GB"/>
        </w:rPr>
        <w:t>4</w:t>
      </w:r>
      <w:r w:rsidR="00480D55" w:rsidRPr="00332CA4">
        <w:rPr>
          <w:lang w:val="en-GB"/>
        </w:rPr>
        <w:t>, NiSO</w:t>
      </w:r>
      <w:r w:rsidR="00480D55" w:rsidRPr="00332CA4">
        <w:rPr>
          <w:vertAlign w:val="subscript"/>
          <w:lang w:val="en-GB"/>
        </w:rPr>
        <w:t>4</w:t>
      </w:r>
      <w:r w:rsidR="00480D55" w:rsidRPr="00332CA4">
        <w:rPr>
          <w:lang w:val="en-GB"/>
        </w:rPr>
        <w:t>, CoSO</w:t>
      </w:r>
      <w:r w:rsidR="00480D55" w:rsidRPr="00332CA4">
        <w:rPr>
          <w:vertAlign w:val="subscript"/>
          <w:lang w:val="en-GB"/>
        </w:rPr>
        <w:t>4</w:t>
      </w:r>
      <w:r w:rsidR="00480D55" w:rsidRPr="00332CA4">
        <w:rPr>
          <w:lang w:val="en-GB"/>
        </w:rPr>
        <w:t>, and MnSO</w:t>
      </w:r>
      <w:r w:rsidR="00480D55" w:rsidRPr="00332CA4">
        <w:rPr>
          <w:vertAlign w:val="subscript"/>
          <w:lang w:val="en-GB"/>
        </w:rPr>
        <w:t>4</w:t>
      </w:r>
      <w:r w:rsidRPr="00332CA4">
        <w:rPr>
          <w:lang w:val="en-GB"/>
        </w:rPr>
        <w:t xml:space="preserve"> via carbonate precipitation</w:t>
      </w:r>
      <w:r w:rsidR="00480D55" w:rsidRPr="00332CA4">
        <w:rPr>
          <w:lang w:val="en-GB"/>
        </w:rPr>
        <w:t xml:space="preserve"> followed by nitric acid treatment. </w:t>
      </w:r>
      <w:r w:rsidRPr="00332CA4">
        <w:rPr>
          <w:lang w:val="en-GB"/>
        </w:rPr>
        <w:t>This approach can combine the economic and technological advantages of sul</w:t>
      </w:r>
      <w:r w:rsidR="00480D55" w:rsidRPr="00332CA4">
        <w:rPr>
          <w:lang w:val="en-GB"/>
        </w:rPr>
        <w:t>ph</w:t>
      </w:r>
      <w:r w:rsidRPr="00332CA4">
        <w:rPr>
          <w:lang w:val="en-GB"/>
        </w:rPr>
        <w:t>uric acid-based hydrometallurg</w:t>
      </w:r>
      <w:r w:rsidR="00480D55" w:rsidRPr="00332CA4">
        <w:rPr>
          <w:lang w:val="en-GB"/>
        </w:rPr>
        <w:t>y</w:t>
      </w:r>
      <w:r w:rsidRPr="00332CA4">
        <w:rPr>
          <w:lang w:val="en-GB"/>
        </w:rPr>
        <w:t xml:space="preserve"> metal recovery with the more </w:t>
      </w:r>
      <w:r w:rsidR="00480D55" w:rsidRPr="00332CA4">
        <w:rPr>
          <w:lang w:val="en-GB"/>
        </w:rPr>
        <w:t>favourable</w:t>
      </w:r>
      <w:r w:rsidRPr="00332CA4">
        <w:rPr>
          <w:lang w:val="en-GB"/>
        </w:rPr>
        <w:t xml:space="preserve"> properties of nitrates as catalyst precursors.</w:t>
      </w:r>
    </w:p>
    <w:p w14:paraId="49867D56" w14:textId="77777777" w:rsidR="002059E8" w:rsidRPr="00332CA4" w:rsidRDefault="002059E8" w:rsidP="002059E8">
      <w:pPr>
        <w:pStyle w:val="CETHeading1"/>
        <w:numPr>
          <w:ilvl w:val="1"/>
          <w:numId w:val="23"/>
        </w:numPr>
        <w:rPr>
          <w:color w:val="000000" w:themeColor="text1"/>
          <w:lang w:val="en-GB"/>
        </w:rPr>
      </w:pPr>
      <w:r w:rsidRPr="00332CA4">
        <w:rPr>
          <w:color w:val="000000" w:themeColor="text1"/>
          <w:lang w:val="en-GB"/>
        </w:rPr>
        <w:t>Materials &amp; methods</w:t>
      </w:r>
    </w:p>
    <w:p w14:paraId="478319F1" w14:textId="19BE1A8C" w:rsidR="002059E8" w:rsidRPr="00332CA4" w:rsidRDefault="002059E8" w:rsidP="002059E8">
      <w:pPr>
        <w:pStyle w:val="CETheadingx"/>
        <w:numPr>
          <w:ilvl w:val="2"/>
          <w:numId w:val="1"/>
        </w:numPr>
        <w:spacing w:before="240"/>
        <w:rPr>
          <w:lang w:val="en-GB"/>
        </w:rPr>
      </w:pPr>
      <w:r w:rsidRPr="00332CA4">
        <w:rPr>
          <w:lang w:val="en-GB"/>
        </w:rPr>
        <w:t>Raw material</w:t>
      </w:r>
    </w:p>
    <w:p w14:paraId="147E3A12" w14:textId="46F457FD" w:rsidR="002059E8" w:rsidRPr="00332CA4" w:rsidRDefault="002059E8" w:rsidP="002059E8">
      <w:pPr>
        <w:pStyle w:val="CETBodytext"/>
        <w:rPr>
          <w:lang w:val="en-GB"/>
        </w:rPr>
      </w:pPr>
      <w:r w:rsidRPr="00332CA4">
        <w:rPr>
          <w:lang w:val="en-GB"/>
        </w:rPr>
        <w:t xml:space="preserve">Polyethylene waste obtained from packaging sector was used as raw material for pyrolysis-gasification experiments. The polyolefin waste contained 1.5% ash, 97.9% volatiles and 0.6% humidity. </w:t>
      </w:r>
      <w:r w:rsidR="00641B76" w:rsidRPr="00332CA4">
        <w:rPr>
          <w:lang w:val="en-GB"/>
        </w:rPr>
        <w:t>Its</w:t>
      </w:r>
      <w:r w:rsidRPr="00332CA4">
        <w:rPr>
          <w:lang w:val="en-GB"/>
        </w:rPr>
        <w:t xml:space="preserve"> carbon content was 84.9%, while the hydrogen content was 15.1%.</w:t>
      </w:r>
    </w:p>
    <w:p w14:paraId="52BE0B18" w14:textId="12E339CC" w:rsidR="000C6F3D" w:rsidRPr="00332CA4" w:rsidRDefault="000C6F3D" w:rsidP="000C6F3D">
      <w:pPr>
        <w:pStyle w:val="CETheadingx"/>
        <w:numPr>
          <w:ilvl w:val="2"/>
          <w:numId w:val="1"/>
        </w:numPr>
        <w:spacing w:before="240"/>
        <w:rPr>
          <w:lang w:val="en-GB"/>
        </w:rPr>
      </w:pPr>
      <w:r w:rsidRPr="00332CA4">
        <w:rPr>
          <w:lang w:val="en-GB"/>
        </w:rPr>
        <w:t>Catalyst preparation</w:t>
      </w:r>
    </w:p>
    <w:p w14:paraId="46AD76B7" w14:textId="4E9FFC1F" w:rsidR="0081776C" w:rsidRPr="00332CA4" w:rsidRDefault="00641B76" w:rsidP="002059E8">
      <w:pPr>
        <w:pStyle w:val="CETBodytext"/>
        <w:rPr>
          <w:lang w:val="en-GB"/>
        </w:rPr>
      </w:pPr>
      <w:r w:rsidRPr="00332CA4">
        <w:rPr>
          <w:lang w:val="en-GB"/>
        </w:rPr>
        <w:t>Diss</w:t>
      </w:r>
      <w:r w:rsidR="00F1403D" w:rsidRPr="00332CA4">
        <w:rPr>
          <w:lang w:val="en-GB"/>
        </w:rPr>
        <w:t>olutions containing Li</w:t>
      </w:r>
      <w:r w:rsidR="00F1403D" w:rsidRPr="00332CA4">
        <w:rPr>
          <w:vertAlign w:val="subscript"/>
          <w:lang w:val="en-GB"/>
        </w:rPr>
        <w:t>2</w:t>
      </w:r>
      <w:r w:rsidR="00F1403D" w:rsidRPr="00332CA4">
        <w:rPr>
          <w:lang w:val="en-GB"/>
        </w:rPr>
        <w:t>SO</w:t>
      </w:r>
      <w:r w:rsidR="00F1403D" w:rsidRPr="00332CA4">
        <w:rPr>
          <w:vertAlign w:val="subscript"/>
          <w:lang w:val="en-GB"/>
        </w:rPr>
        <w:t>4</w:t>
      </w:r>
      <w:r w:rsidR="00F1403D" w:rsidRPr="00332CA4">
        <w:rPr>
          <w:lang w:val="en-GB"/>
        </w:rPr>
        <w:t>, NiSO</w:t>
      </w:r>
      <w:r w:rsidR="00F1403D" w:rsidRPr="00332CA4">
        <w:rPr>
          <w:vertAlign w:val="subscript"/>
          <w:lang w:val="en-GB"/>
        </w:rPr>
        <w:t>4</w:t>
      </w:r>
      <w:r w:rsidR="00F1403D" w:rsidRPr="00332CA4">
        <w:rPr>
          <w:lang w:val="en-GB"/>
        </w:rPr>
        <w:t>, CoSO</w:t>
      </w:r>
      <w:r w:rsidR="00F1403D" w:rsidRPr="00332CA4">
        <w:rPr>
          <w:vertAlign w:val="subscript"/>
          <w:lang w:val="en-GB"/>
        </w:rPr>
        <w:t>4</w:t>
      </w:r>
      <w:r w:rsidR="00F1403D" w:rsidRPr="00332CA4">
        <w:rPr>
          <w:lang w:val="en-GB"/>
        </w:rPr>
        <w:t>, and MnSO</w:t>
      </w:r>
      <w:r w:rsidR="00F1403D" w:rsidRPr="00332CA4">
        <w:rPr>
          <w:vertAlign w:val="subscript"/>
          <w:lang w:val="en-GB"/>
        </w:rPr>
        <w:t>4</w:t>
      </w:r>
      <w:r w:rsidR="00F1403D" w:rsidRPr="00332CA4">
        <w:rPr>
          <w:lang w:val="en-GB"/>
        </w:rPr>
        <w:t xml:space="preserve"> at various concentrations (0.1, 0.5, and 1.0 M) were used for catalyst preparation. A portion of these solutions was used to impregnate ZSM-5 catalyst. The preparation method for the catalysts using the sul</w:t>
      </w:r>
      <w:r w:rsidR="00AF7513" w:rsidRPr="00332CA4">
        <w:rPr>
          <w:lang w:val="en-GB"/>
        </w:rPr>
        <w:t>ph</w:t>
      </w:r>
      <w:r w:rsidR="00F1403D" w:rsidRPr="00332CA4">
        <w:rPr>
          <w:lang w:val="en-GB"/>
        </w:rPr>
        <w:t>ate-salt solutions is shown in Figure 1/a.</w:t>
      </w:r>
    </w:p>
    <w:p w14:paraId="3E13BD88" w14:textId="77777777" w:rsidR="00F1403D" w:rsidRPr="00332CA4" w:rsidRDefault="00F1403D" w:rsidP="002059E8">
      <w:pPr>
        <w:pStyle w:val="CETBodytext"/>
        <w:rPr>
          <w:lang w:val="en-GB"/>
        </w:rPr>
      </w:pPr>
    </w:p>
    <w:p w14:paraId="4D2CDAED" w14:textId="5BF82203" w:rsidR="0081776C" w:rsidRPr="00332CA4" w:rsidRDefault="0098080F" w:rsidP="002059E8">
      <w:pPr>
        <w:pStyle w:val="CETBodytext"/>
        <w:rPr>
          <w:sz w:val="16"/>
          <w:szCs w:val="16"/>
          <w:lang w:val="en-GB"/>
        </w:rPr>
      </w:pPr>
      <w:r w:rsidRPr="00332CA4">
        <w:rPr>
          <w:noProof/>
          <w:lang w:val="en-GB"/>
        </w:rPr>
        <w:drawing>
          <wp:inline distT="0" distB="0" distL="0" distR="0" wp14:anchorId="204AACAC" wp14:editId="72450D11">
            <wp:extent cx="5579745" cy="672709"/>
            <wp:effectExtent l="0" t="0" r="1905"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79745" cy="672709"/>
                    </a:xfrm>
                    <a:prstGeom prst="rect">
                      <a:avLst/>
                    </a:prstGeom>
                    <a:noFill/>
                    <a:ln>
                      <a:noFill/>
                    </a:ln>
                  </pic:spPr>
                </pic:pic>
              </a:graphicData>
            </a:graphic>
          </wp:inline>
        </w:drawing>
      </w:r>
    </w:p>
    <w:p w14:paraId="7D3EF1F6" w14:textId="197941EA" w:rsidR="0081776C" w:rsidRPr="00332CA4" w:rsidRDefault="0081776C" w:rsidP="0081776C">
      <w:pPr>
        <w:pStyle w:val="CETBodytext"/>
        <w:jc w:val="center"/>
        <w:rPr>
          <w:sz w:val="16"/>
          <w:szCs w:val="16"/>
          <w:lang w:val="en-GB"/>
        </w:rPr>
      </w:pPr>
      <w:r w:rsidRPr="00332CA4">
        <w:rPr>
          <w:sz w:val="16"/>
          <w:szCs w:val="16"/>
          <w:lang w:val="en-GB"/>
        </w:rPr>
        <w:t>a)</w:t>
      </w:r>
    </w:p>
    <w:p w14:paraId="0472DABD" w14:textId="4B819665" w:rsidR="0081776C" w:rsidRPr="00332CA4" w:rsidRDefault="0098080F" w:rsidP="002059E8">
      <w:pPr>
        <w:pStyle w:val="CETBodytext"/>
        <w:rPr>
          <w:sz w:val="16"/>
          <w:szCs w:val="16"/>
          <w:lang w:val="en-GB"/>
        </w:rPr>
      </w:pPr>
      <w:r w:rsidRPr="00332CA4">
        <w:rPr>
          <w:noProof/>
          <w:lang w:val="en-GB"/>
        </w:rPr>
        <w:drawing>
          <wp:inline distT="0" distB="0" distL="0" distR="0" wp14:anchorId="4573823F" wp14:editId="499EB6BC">
            <wp:extent cx="5579745" cy="1016635"/>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79745" cy="1016635"/>
                    </a:xfrm>
                    <a:prstGeom prst="rect">
                      <a:avLst/>
                    </a:prstGeom>
                    <a:noFill/>
                    <a:ln>
                      <a:noFill/>
                    </a:ln>
                  </pic:spPr>
                </pic:pic>
              </a:graphicData>
            </a:graphic>
          </wp:inline>
        </w:drawing>
      </w:r>
    </w:p>
    <w:p w14:paraId="15F96CC6" w14:textId="61E2C28B" w:rsidR="0081776C" w:rsidRPr="00332CA4" w:rsidRDefault="0081776C" w:rsidP="0081776C">
      <w:pPr>
        <w:pStyle w:val="CETBodytext"/>
        <w:jc w:val="center"/>
        <w:rPr>
          <w:sz w:val="16"/>
          <w:szCs w:val="16"/>
          <w:lang w:val="en-GB"/>
        </w:rPr>
      </w:pPr>
      <w:r w:rsidRPr="00332CA4">
        <w:rPr>
          <w:sz w:val="16"/>
          <w:szCs w:val="16"/>
          <w:lang w:val="en-GB"/>
        </w:rPr>
        <w:t>b)</w:t>
      </w:r>
    </w:p>
    <w:p w14:paraId="1D62549B" w14:textId="7D995CA3" w:rsidR="0081776C" w:rsidRPr="00332CA4" w:rsidRDefault="0081776C" w:rsidP="0081776C">
      <w:pPr>
        <w:pStyle w:val="CETReferencetext"/>
        <w:rPr>
          <w:i/>
        </w:rPr>
      </w:pPr>
      <w:r w:rsidRPr="00332CA4">
        <w:rPr>
          <w:i/>
        </w:rPr>
        <w:t>Figure 1: Preparation of sulphate-based ZSM-5 (a) and nitrate-based ZSM-5 (b) catalysts</w:t>
      </w:r>
    </w:p>
    <w:p w14:paraId="28000456" w14:textId="6E82333F" w:rsidR="00573A2B" w:rsidRPr="00332CA4" w:rsidRDefault="00D236B3" w:rsidP="002059E8">
      <w:pPr>
        <w:pStyle w:val="CETBodytext"/>
        <w:rPr>
          <w:lang w:val="en-GB"/>
        </w:rPr>
      </w:pPr>
      <w:r w:rsidRPr="00332CA4">
        <w:rPr>
          <w:lang w:val="en-GB"/>
        </w:rPr>
        <w:lastRenderedPageBreak/>
        <w:t xml:space="preserve">During </w:t>
      </w:r>
      <w:r w:rsidR="00F0531B" w:rsidRPr="00332CA4">
        <w:rPr>
          <w:highlight w:val="yellow"/>
          <w:lang w:val="en-GB"/>
        </w:rPr>
        <w:t>the</w:t>
      </w:r>
      <w:r w:rsidR="00F0531B" w:rsidRPr="00332CA4">
        <w:rPr>
          <w:lang w:val="en-GB"/>
        </w:rPr>
        <w:t xml:space="preserve"> </w:t>
      </w:r>
      <w:r w:rsidRPr="00332CA4">
        <w:rPr>
          <w:lang w:val="en-GB"/>
        </w:rPr>
        <w:t xml:space="preserve">impregnation, </w:t>
      </w:r>
      <w:r w:rsidR="00F0531B" w:rsidRPr="00332CA4">
        <w:rPr>
          <w:highlight w:val="yellow"/>
          <w:lang w:val="en-GB"/>
        </w:rPr>
        <w:t>1:50 ratio of</w:t>
      </w:r>
      <w:r w:rsidRPr="00332CA4">
        <w:rPr>
          <w:highlight w:val="yellow"/>
          <w:lang w:val="en-GB"/>
        </w:rPr>
        <w:t xml:space="preserve"> ZSM-5 zeolite catalyst</w:t>
      </w:r>
      <w:r w:rsidR="00F0531B" w:rsidRPr="00332CA4">
        <w:rPr>
          <w:highlight w:val="yellow"/>
          <w:lang w:val="en-GB"/>
        </w:rPr>
        <w:t xml:space="preserve"> and </w:t>
      </w:r>
      <w:r w:rsidRPr="00332CA4">
        <w:rPr>
          <w:highlight w:val="yellow"/>
          <w:lang w:val="en-GB"/>
        </w:rPr>
        <w:t>metal-sulphate dissolution</w:t>
      </w:r>
      <w:r w:rsidR="00F0531B" w:rsidRPr="00332CA4">
        <w:rPr>
          <w:highlight w:val="yellow"/>
          <w:lang w:val="en-GB"/>
        </w:rPr>
        <w:t xml:space="preserve"> was used</w:t>
      </w:r>
      <w:r w:rsidRPr="00332CA4">
        <w:rPr>
          <w:lang w:val="en-GB"/>
        </w:rPr>
        <w:t xml:space="preserve">. </w:t>
      </w:r>
      <w:r w:rsidR="00F0531B" w:rsidRPr="00332CA4">
        <w:rPr>
          <w:lang w:val="en-GB"/>
        </w:rPr>
        <w:t>T</w:t>
      </w:r>
      <w:r w:rsidRPr="00332CA4">
        <w:rPr>
          <w:lang w:val="en-GB"/>
        </w:rPr>
        <w:t>he impregnated catalysts were filtered and washed until neutral</w:t>
      </w:r>
      <w:r w:rsidR="00F0531B" w:rsidRPr="00332CA4">
        <w:rPr>
          <w:lang w:val="en-GB"/>
        </w:rPr>
        <w:t xml:space="preserve">, </w:t>
      </w:r>
      <w:r w:rsidRPr="00332CA4">
        <w:rPr>
          <w:lang w:val="en-GB"/>
        </w:rPr>
        <w:t xml:space="preserve">dried at 110°C for 6 hours, then calcined at 600°C for 1 hour. </w:t>
      </w:r>
      <w:r w:rsidR="00F0531B" w:rsidRPr="00332CA4">
        <w:rPr>
          <w:highlight w:val="yellow"/>
          <w:lang w:val="en-GB"/>
        </w:rPr>
        <w:t>D</w:t>
      </w:r>
      <w:r w:rsidR="00AF7513" w:rsidRPr="00332CA4">
        <w:rPr>
          <w:highlight w:val="yellow"/>
          <w:lang w:val="en-GB"/>
        </w:rPr>
        <w:t>is</w:t>
      </w:r>
      <w:r w:rsidR="00F1403D" w:rsidRPr="00332CA4">
        <w:rPr>
          <w:highlight w:val="yellow"/>
          <w:lang w:val="en-GB"/>
        </w:rPr>
        <w:t>solution</w:t>
      </w:r>
      <w:r w:rsidR="00AF7513" w:rsidRPr="00332CA4">
        <w:rPr>
          <w:highlight w:val="yellow"/>
          <w:lang w:val="en-GB"/>
        </w:rPr>
        <w:t>s</w:t>
      </w:r>
      <w:r w:rsidR="00F1403D" w:rsidRPr="00332CA4">
        <w:rPr>
          <w:lang w:val="en-GB"/>
        </w:rPr>
        <w:t xml:space="preserve"> containing </w:t>
      </w:r>
      <w:r w:rsidR="00AF7513" w:rsidRPr="00332CA4">
        <w:rPr>
          <w:lang w:val="en-GB"/>
        </w:rPr>
        <w:t>metal-</w:t>
      </w:r>
      <w:r w:rsidR="00F1403D" w:rsidRPr="00332CA4">
        <w:rPr>
          <w:lang w:val="en-GB"/>
        </w:rPr>
        <w:t>sul</w:t>
      </w:r>
      <w:r w:rsidR="00AF7513" w:rsidRPr="00332CA4">
        <w:rPr>
          <w:lang w:val="en-GB"/>
        </w:rPr>
        <w:t>ph</w:t>
      </w:r>
      <w:r w:rsidR="00F1403D" w:rsidRPr="00332CA4">
        <w:rPr>
          <w:lang w:val="en-GB"/>
        </w:rPr>
        <w:t>ate salts w</w:t>
      </w:r>
      <w:r w:rsidR="00AF7513" w:rsidRPr="00332CA4">
        <w:rPr>
          <w:lang w:val="en-GB"/>
        </w:rPr>
        <w:t>ere</w:t>
      </w:r>
      <w:r w:rsidR="00F1403D" w:rsidRPr="00332CA4">
        <w:rPr>
          <w:lang w:val="en-GB"/>
        </w:rPr>
        <w:t xml:space="preserve"> </w:t>
      </w:r>
      <w:r w:rsidR="00F0531B" w:rsidRPr="00332CA4">
        <w:rPr>
          <w:highlight w:val="yellow"/>
          <w:lang w:val="en-GB"/>
        </w:rPr>
        <w:t>also</w:t>
      </w:r>
      <w:r w:rsidR="00F0531B" w:rsidRPr="00332CA4">
        <w:rPr>
          <w:lang w:val="en-GB"/>
        </w:rPr>
        <w:t xml:space="preserve"> </w:t>
      </w:r>
      <w:r w:rsidR="00F1403D" w:rsidRPr="00332CA4">
        <w:rPr>
          <w:lang w:val="en-GB"/>
        </w:rPr>
        <w:t>converted into metal nitrates via carbonate precipitation followed by nitric acid treatment. In this process, the sul</w:t>
      </w:r>
      <w:r w:rsidR="00AF7513" w:rsidRPr="00332CA4">
        <w:rPr>
          <w:lang w:val="en-GB"/>
        </w:rPr>
        <w:t>ph</w:t>
      </w:r>
      <w:r w:rsidR="00F1403D" w:rsidRPr="00332CA4">
        <w:rPr>
          <w:lang w:val="en-GB"/>
        </w:rPr>
        <w:t>ate-containing solution was first reacted with an Na</w:t>
      </w:r>
      <w:r w:rsidR="00F1403D" w:rsidRPr="00332CA4">
        <w:rPr>
          <w:vertAlign w:val="subscript"/>
          <w:lang w:val="en-GB"/>
        </w:rPr>
        <w:t>2</w:t>
      </w:r>
      <w:r w:rsidR="00F1403D" w:rsidRPr="00332CA4">
        <w:rPr>
          <w:lang w:val="en-GB"/>
        </w:rPr>
        <w:t>CO</w:t>
      </w:r>
      <w:r w:rsidR="00F1403D" w:rsidRPr="00332CA4">
        <w:rPr>
          <w:vertAlign w:val="subscript"/>
          <w:lang w:val="en-GB"/>
        </w:rPr>
        <w:t>3</w:t>
      </w:r>
      <w:r w:rsidR="00516D5F" w:rsidRPr="00332CA4">
        <w:rPr>
          <w:lang w:val="en-GB"/>
        </w:rPr>
        <w:t xml:space="preserve">, </w:t>
      </w:r>
      <w:r w:rsidR="00516D5F" w:rsidRPr="00332CA4">
        <w:rPr>
          <w:highlight w:val="yellow"/>
          <w:lang w:val="en-GB"/>
        </w:rPr>
        <w:t>and t</w:t>
      </w:r>
      <w:r w:rsidR="00F1403D" w:rsidRPr="00332CA4">
        <w:rPr>
          <w:highlight w:val="yellow"/>
          <w:lang w:val="en-GB"/>
        </w:rPr>
        <w:t>he</w:t>
      </w:r>
      <w:r w:rsidR="00F1403D" w:rsidRPr="00332CA4">
        <w:rPr>
          <w:lang w:val="en-GB"/>
        </w:rPr>
        <w:t xml:space="preserve"> precipitated metal carbonates were separated by filtration and subsequently purified by washing. </w:t>
      </w:r>
      <w:r w:rsidR="00AF7513" w:rsidRPr="00332CA4">
        <w:rPr>
          <w:lang w:val="en-GB"/>
        </w:rPr>
        <w:t>Then t</w:t>
      </w:r>
      <w:r w:rsidR="00F1403D" w:rsidRPr="00332CA4">
        <w:rPr>
          <w:lang w:val="en-GB"/>
        </w:rPr>
        <w:t>he precipitate was reacted with nitric acid. ZSM-5 catalyst w</w:t>
      </w:r>
      <w:r w:rsidR="00AF7513" w:rsidRPr="00332CA4">
        <w:rPr>
          <w:lang w:val="en-GB"/>
        </w:rPr>
        <w:t>as</w:t>
      </w:r>
      <w:r w:rsidR="00F1403D" w:rsidRPr="00332CA4">
        <w:rPr>
          <w:lang w:val="en-GB"/>
        </w:rPr>
        <w:t xml:space="preserve"> impregnated with the resulting metal</w:t>
      </w:r>
      <w:r w:rsidR="00AF7513" w:rsidRPr="00332CA4">
        <w:rPr>
          <w:lang w:val="en-GB"/>
        </w:rPr>
        <w:t>-</w:t>
      </w:r>
      <w:r w:rsidR="00F1403D" w:rsidRPr="00332CA4">
        <w:rPr>
          <w:lang w:val="en-GB"/>
        </w:rPr>
        <w:t xml:space="preserve">nitrate </w:t>
      </w:r>
      <w:r w:rsidR="00AF7513" w:rsidRPr="00332CA4">
        <w:rPr>
          <w:lang w:val="en-GB"/>
        </w:rPr>
        <w:t>dis</w:t>
      </w:r>
      <w:r w:rsidR="00F1403D" w:rsidRPr="00332CA4">
        <w:rPr>
          <w:lang w:val="en-GB"/>
        </w:rPr>
        <w:t xml:space="preserve">solutions using the method previously described. </w:t>
      </w:r>
      <w:r w:rsidR="00F1403D" w:rsidRPr="00332CA4">
        <w:rPr>
          <w:highlight w:val="yellow"/>
          <w:lang w:val="en-GB"/>
        </w:rPr>
        <w:t>The main characteristics of the catalysts are summarized in Table 1</w:t>
      </w:r>
      <w:r w:rsidR="00F1403D" w:rsidRPr="00332CA4">
        <w:rPr>
          <w:lang w:val="en-GB"/>
        </w:rPr>
        <w:t>.</w:t>
      </w:r>
    </w:p>
    <w:p w14:paraId="3112E1E8" w14:textId="048E676C" w:rsidR="00B113BE" w:rsidRPr="00332CA4" w:rsidRDefault="00B113BE" w:rsidP="00B113BE">
      <w:pPr>
        <w:keepNext/>
        <w:tabs>
          <w:tab w:val="clear" w:pos="7100"/>
        </w:tabs>
        <w:spacing w:before="240" w:after="80" w:line="240" w:lineRule="exact"/>
        <w:jc w:val="left"/>
        <w:rPr>
          <w:i/>
          <w:color w:val="000000" w:themeColor="text1"/>
        </w:rPr>
      </w:pPr>
      <w:r w:rsidRPr="00332CA4">
        <w:rPr>
          <w:i/>
          <w:color w:val="000000" w:themeColor="text1"/>
        </w:rPr>
        <w:t xml:space="preserve">Table </w:t>
      </w:r>
      <w:r w:rsidR="00F1403D" w:rsidRPr="00332CA4">
        <w:rPr>
          <w:i/>
          <w:color w:val="000000" w:themeColor="text1"/>
        </w:rPr>
        <w:t>1</w:t>
      </w:r>
      <w:r w:rsidRPr="00332CA4">
        <w:rPr>
          <w:i/>
          <w:color w:val="000000" w:themeColor="text1"/>
        </w:rPr>
        <w:t xml:space="preserve">: </w:t>
      </w:r>
      <w:r w:rsidR="00F1403D" w:rsidRPr="00332CA4">
        <w:rPr>
          <w:i/>
          <w:color w:val="000000" w:themeColor="text1"/>
        </w:rPr>
        <w:t>The main properties of catalysts</w:t>
      </w:r>
    </w:p>
    <w:tbl>
      <w:tblPr>
        <w:tblW w:w="7174" w:type="dxa"/>
        <w:jc w:val="center"/>
        <w:tblBorders>
          <w:top w:val="single" w:sz="12" w:space="0" w:color="008000"/>
          <w:bottom w:val="single" w:sz="12" w:space="0" w:color="008000"/>
        </w:tblBorders>
        <w:tblCellMar>
          <w:left w:w="0" w:type="dxa"/>
          <w:right w:w="0" w:type="dxa"/>
        </w:tblCellMar>
        <w:tblLook w:val="00A0" w:firstRow="1" w:lastRow="0" w:firstColumn="1" w:lastColumn="0" w:noHBand="0" w:noVBand="0"/>
      </w:tblPr>
      <w:tblGrid>
        <w:gridCol w:w="1555"/>
        <w:gridCol w:w="887"/>
        <w:gridCol w:w="887"/>
        <w:gridCol w:w="891"/>
        <w:gridCol w:w="285"/>
        <w:gridCol w:w="889"/>
        <w:gridCol w:w="889"/>
        <w:gridCol w:w="891"/>
      </w:tblGrid>
      <w:tr w:rsidR="00F1403D" w:rsidRPr="00332CA4" w14:paraId="3DF610DE" w14:textId="77777777" w:rsidTr="00F1403D">
        <w:trPr>
          <w:trHeight w:val="329"/>
          <w:jc w:val="center"/>
        </w:trPr>
        <w:tc>
          <w:tcPr>
            <w:tcW w:w="1555" w:type="dxa"/>
            <w:tcBorders>
              <w:top w:val="single" w:sz="12" w:space="0" w:color="006C31"/>
              <w:bottom w:val="single" w:sz="6" w:space="0" w:color="008000"/>
            </w:tcBorders>
            <w:shd w:val="clear" w:color="auto" w:fill="auto"/>
          </w:tcPr>
          <w:p w14:paraId="3C715737" w14:textId="77777777" w:rsidR="00F1403D" w:rsidRPr="00332CA4" w:rsidRDefault="00F1403D" w:rsidP="00B014BB">
            <w:pPr>
              <w:jc w:val="center"/>
              <w:rPr>
                <w:b/>
                <w:color w:val="000000" w:themeColor="text1"/>
              </w:rPr>
            </w:pPr>
          </w:p>
        </w:tc>
        <w:tc>
          <w:tcPr>
            <w:tcW w:w="2665" w:type="dxa"/>
            <w:gridSpan w:val="3"/>
            <w:tcBorders>
              <w:top w:val="single" w:sz="12" w:space="0" w:color="006C31"/>
              <w:bottom w:val="single" w:sz="6" w:space="0" w:color="008000"/>
            </w:tcBorders>
            <w:shd w:val="clear" w:color="auto" w:fill="auto"/>
          </w:tcPr>
          <w:p w14:paraId="122700AC" w14:textId="6C952279" w:rsidR="00F1403D" w:rsidRPr="00332CA4" w:rsidRDefault="00F1403D" w:rsidP="00B014BB">
            <w:pPr>
              <w:jc w:val="center"/>
              <w:rPr>
                <w:b/>
                <w:color w:val="000000" w:themeColor="text1"/>
              </w:rPr>
            </w:pPr>
            <w:r w:rsidRPr="00332CA4">
              <w:rPr>
                <w:b/>
                <w:color w:val="000000" w:themeColor="text1"/>
              </w:rPr>
              <w:t>Sulphate-based catalysts</w:t>
            </w:r>
          </w:p>
        </w:tc>
        <w:tc>
          <w:tcPr>
            <w:tcW w:w="285" w:type="dxa"/>
            <w:tcBorders>
              <w:top w:val="single" w:sz="12" w:space="0" w:color="006C31"/>
              <w:bottom w:val="nil"/>
            </w:tcBorders>
            <w:shd w:val="clear" w:color="auto" w:fill="auto"/>
          </w:tcPr>
          <w:p w14:paraId="1E2607B0" w14:textId="77777777" w:rsidR="00F1403D" w:rsidRPr="00332CA4" w:rsidRDefault="00F1403D" w:rsidP="00B014BB">
            <w:pPr>
              <w:jc w:val="center"/>
              <w:rPr>
                <w:b/>
                <w:color w:val="000000" w:themeColor="text1"/>
              </w:rPr>
            </w:pPr>
          </w:p>
        </w:tc>
        <w:tc>
          <w:tcPr>
            <w:tcW w:w="2669" w:type="dxa"/>
            <w:gridSpan w:val="3"/>
            <w:tcBorders>
              <w:top w:val="single" w:sz="12" w:space="0" w:color="006C31"/>
              <w:bottom w:val="single" w:sz="6" w:space="0" w:color="008000"/>
            </w:tcBorders>
            <w:shd w:val="clear" w:color="auto" w:fill="auto"/>
          </w:tcPr>
          <w:p w14:paraId="62F8CF7C" w14:textId="48F99C97" w:rsidR="00F1403D" w:rsidRPr="00332CA4" w:rsidRDefault="00F1403D" w:rsidP="00B014BB">
            <w:pPr>
              <w:jc w:val="center"/>
              <w:rPr>
                <w:b/>
                <w:color w:val="000000" w:themeColor="text1"/>
              </w:rPr>
            </w:pPr>
            <w:r w:rsidRPr="00332CA4">
              <w:rPr>
                <w:b/>
                <w:color w:val="000000" w:themeColor="text1"/>
              </w:rPr>
              <w:t>Nitrate-based catalysts</w:t>
            </w:r>
          </w:p>
        </w:tc>
      </w:tr>
      <w:tr w:rsidR="00F1403D" w:rsidRPr="00332CA4" w14:paraId="1D89F5E8" w14:textId="77777777" w:rsidTr="00F1403D">
        <w:trPr>
          <w:trHeight w:val="329"/>
          <w:jc w:val="center"/>
        </w:trPr>
        <w:tc>
          <w:tcPr>
            <w:tcW w:w="1555" w:type="dxa"/>
            <w:tcBorders>
              <w:top w:val="single" w:sz="6" w:space="0" w:color="008000"/>
              <w:bottom w:val="single" w:sz="6" w:space="0" w:color="008000"/>
            </w:tcBorders>
            <w:shd w:val="clear" w:color="auto" w:fill="FFFFFF"/>
          </w:tcPr>
          <w:p w14:paraId="23F1F83B" w14:textId="748956C5" w:rsidR="00F1403D" w:rsidRPr="00332CA4" w:rsidRDefault="00F1403D" w:rsidP="00F1403D">
            <w:pPr>
              <w:rPr>
                <w:b/>
                <w:color w:val="000000" w:themeColor="text1"/>
              </w:rPr>
            </w:pPr>
            <w:r w:rsidRPr="00332CA4">
              <w:rPr>
                <w:b/>
                <w:color w:val="000000" w:themeColor="text1"/>
              </w:rPr>
              <w:t>Concentration, M</w:t>
            </w:r>
          </w:p>
        </w:tc>
        <w:tc>
          <w:tcPr>
            <w:tcW w:w="887" w:type="dxa"/>
            <w:tcBorders>
              <w:top w:val="single" w:sz="6" w:space="0" w:color="008000"/>
              <w:bottom w:val="single" w:sz="6" w:space="0" w:color="008000"/>
            </w:tcBorders>
            <w:shd w:val="clear" w:color="auto" w:fill="FFFFFF"/>
          </w:tcPr>
          <w:p w14:paraId="14CCB246" w14:textId="296C9D6F" w:rsidR="00F1403D" w:rsidRPr="00332CA4" w:rsidRDefault="00F1403D" w:rsidP="00F1403D">
            <w:pPr>
              <w:jc w:val="center"/>
              <w:rPr>
                <w:b/>
                <w:color w:val="000000" w:themeColor="text1"/>
              </w:rPr>
            </w:pPr>
            <w:r w:rsidRPr="00332CA4">
              <w:rPr>
                <w:b/>
                <w:color w:val="000000" w:themeColor="text1"/>
              </w:rPr>
              <w:t>0.1</w:t>
            </w:r>
          </w:p>
        </w:tc>
        <w:tc>
          <w:tcPr>
            <w:tcW w:w="887" w:type="dxa"/>
            <w:tcBorders>
              <w:top w:val="single" w:sz="6" w:space="0" w:color="008000"/>
              <w:bottom w:val="single" w:sz="6" w:space="0" w:color="008000"/>
            </w:tcBorders>
            <w:shd w:val="clear" w:color="auto" w:fill="FFFFFF"/>
          </w:tcPr>
          <w:p w14:paraId="0BDFDBCF" w14:textId="74C20598" w:rsidR="00F1403D" w:rsidRPr="00332CA4" w:rsidRDefault="00F1403D" w:rsidP="00F1403D">
            <w:pPr>
              <w:jc w:val="center"/>
              <w:rPr>
                <w:b/>
                <w:color w:val="000000" w:themeColor="text1"/>
              </w:rPr>
            </w:pPr>
            <w:r w:rsidRPr="00332CA4">
              <w:rPr>
                <w:b/>
                <w:color w:val="000000" w:themeColor="text1"/>
              </w:rPr>
              <w:t>0.5</w:t>
            </w:r>
          </w:p>
        </w:tc>
        <w:tc>
          <w:tcPr>
            <w:tcW w:w="891" w:type="dxa"/>
            <w:tcBorders>
              <w:top w:val="single" w:sz="6" w:space="0" w:color="008000"/>
              <w:bottom w:val="single" w:sz="6" w:space="0" w:color="008000"/>
            </w:tcBorders>
            <w:shd w:val="clear" w:color="auto" w:fill="FFFFFF"/>
          </w:tcPr>
          <w:p w14:paraId="26004667" w14:textId="69992C5F" w:rsidR="00F1403D" w:rsidRPr="00332CA4" w:rsidRDefault="00F1403D" w:rsidP="00F1403D">
            <w:pPr>
              <w:jc w:val="center"/>
              <w:rPr>
                <w:b/>
                <w:color w:val="000000" w:themeColor="text1"/>
              </w:rPr>
            </w:pPr>
            <w:r w:rsidRPr="00332CA4">
              <w:rPr>
                <w:b/>
                <w:color w:val="000000" w:themeColor="text1"/>
              </w:rPr>
              <w:t>1.0</w:t>
            </w:r>
          </w:p>
        </w:tc>
        <w:tc>
          <w:tcPr>
            <w:tcW w:w="285" w:type="dxa"/>
            <w:tcBorders>
              <w:top w:val="nil"/>
              <w:bottom w:val="single" w:sz="6" w:space="0" w:color="008000"/>
            </w:tcBorders>
            <w:shd w:val="clear" w:color="auto" w:fill="FFFFFF"/>
          </w:tcPr>
          <w:p w14:paraId="695D8490" w14:textId="77777777" w:rsidR="00F1403D" w:rsidRPr="00332CA4" w:rsidRDefault="00F1403D" w:rsidP="00F1403D">
            <w:pPr>
              <w:jc w:val="center"/>
              <w:rPr>
                <w:b/>
                <w:color w:val="000000" w:themeColor="text1"/>
              </w:rPr>
            </w:pPr>
          </w:p>
        </w:tc>
        <w:tc>
          <w:tcPr>
            <w:tcW w:w="889" w:type="dxa"/>
            <w:tcBorders>
              <w:top w:val="single" w:sz="6" w:space="0" w:color="008000"/>
              <w:bottom w:val="single" w:sz="6" w:space="0" w:color="008000"/>
            </w:tcBorders>
            <w:shd w:val="clear" w:color="auto" w:fill="FFFFFF"/>
          </w:tcPr>
          <w:p w14:paraId="43B37688" w14:textId="49CE5F7C" w:rsidR="00F1403D" w:rsidRPr="00332CA4" w:rsidRDefault="00F1403D" w:rsidP="00F1403D">
            <w:pPr>
              <w:jc w:val="center"/>
              <w:rPr>
                <w:b/>
                <w:color w:val="000000" w:themeColor="text1"/>
              </w:rPr>
            </w:pPr>
            <w:r w:rsidRPr="00332CA4">
              <w:rPr>
                <w:b/>
                <w:color w:val="000000" w:themeColor="text1"/>
              </w:rPr>
              <w:t>0.1</w:t>
            </w:r>
          </w:p>
        </w:tc>
        <w:tc>
          <w:tcPr>
            <w:tcW w:w="889" w:type="dxa"/>
            <w:tcBorders>
              <w:top w:val="single" w:sz="6" w:space="0" w:color="008000"/>
              <w:bottom w:val="single" w:sz="6" w:space="0" w:color="008000"/>
            </w:tcBorders>
            <w:shd w:val="clear" w:color="auto" w:fill="FFFFFF"/>
          </w:tcPr>
          <w:p w14:paraId="56D720A9" w14:textId="0D31FF60" w:rsidR="00F1403D" w:rsidRPr="00332CA4" w:rsidRDefault="00F1403D" w:rsidP="00F1403D">
            <w:pPr>
              <w:jc w:val="center"/>
              <w:rPr>
                <w:b/>
                <w:color w:val="000000" w:themeColor="text1"/>
              </w:rPr>
            </w:pPr>
            <w:r w:rsidRPr="00332CA4">
              <w:rPr>
                <w:b/>
                <w:color w:val="000000" w:themeColor="text1"/>
              </w:rPr>
              <w:t>0.5</w:t>
            </w:r>
          </w:p>
        </w:tc>
        <w:tc>
          <w:tcPr>
            <w:tcW w:w="891" w:type="dxa"/>
            <w:tcBorders>
              <w:top w:val="single" w:sz="6" w:space="0" w:color="008000"/>
              <w:bottom w:val="single" w:sz="6" w:space="0" w:color="008000"/>
            </w:tcBorders>
            <w:shd w:val="clear" w:color="auto" w:fill="FFFFFF"/>
          </w:tcPr>
          <w:p w14:paraId="160CEAC2" w14:textId="521ECBDB" w:rsidR="00F1403D" w:rsidRPr="00332CA4" w:rsidRDefault="00F1403D" w:rsidP="00F1403D">
            <w:pPr>
              <w:jc w:val="center"/>
              <w:rPr>
                <w:b/>
                <w:color w:val="000000" w:themeColor="text1"/>
              </w:rPr>
            </w:pPr>
            <w:r w:rsidRPr="00332CA4">
              <w:rPr>
                <w:b/>
                <w:color w:val="000000" w:themeColor="text1"/>
              </w:rPr>
              <w:t>1.0</w:t>
            </w:r>
          </w:p>
        </w:tc>
      </w:tr>
      <w:tr w:rsidR="00F1403D" w:rsidRPr="00332CA4" w14:paraId="50BDF91F" w14:textId="77777777" w:rsidTr="00F1403D">
        <w:trPr>
          <w:trHeight w:val="259"/>
          <w:jc w:val="center"/>
        </w:trPr>
        <w:tc>
          <w:tcPr>
            <w:tcW w:w="1555" w:type="dxa"/>
            <w:tcBorders>
              <w:top w:val="single" w:sz="4" w:space="0" w:color="006C31"/>
              <w:bottom w:val="nil"/>
            </w:tcBorders>
            <w:shd w:val="clear" w:color="auto" w:fill="FFFFFF"/>
          </w:tcPr>
          <w:p w14:paraId="50AB8DA9" w14:textId="29792209" w:rsidR="00F1403D" w:rsidRPr="00332CA4" w:rsidRDefault="00F1403D" w:rsidP="00F1403D">
            <w:pPr>
              <w:rPr>
                <w:b/>
                <w:color w:val="000000" w:themeColor="text1"/>
              </w:rPr>
            </w:pPr>
            <w:r w:rsidRPr="00332CA4">
              <w:rPr>
                <w:b/>
                <w:color w:val="000000" w:themeColor="text1"/>
              </w:rPr>
              <w:t>BET surface, m</w:t>
            </w:r>
            <w:r w:rsidRPr="00332CA4">
              <w:rPr>
                <w:b/>
                <w:color w:val="000000" w:themeColor="text1"/>
                <w:vertAlign w:val="superscript"/>
              </w:rPr>
              <w:t>2</w:t>
            </w:r>
            <w:r w:rsidRPr="00332CA4">
              <w:rPr>
                <w:b/>
                <w:color w:val="000000" w:themeColor="text1"/>
              </w:rPr>
              <w:t>/g</w:t>
            </w:r>
          </w:p>
        </w:tc>
        <w:tc>
          <w:tcPr>
            <w:tcW w:w="887" w:type="dxa"/>
            <w:tcBorders>
              <w:top w:val="single" w:sz="4" w:space="0" w:color="006C31"/>
              <w:bottom w:val="nil"/>
            </w:tcBorders>
            <w:shd w:val="clear" w:color="auto" w:fill="FFFFFF"/>
            <w:vAlign w:val="center"/>
          </w:tcPr>
          <w:p w14:paraId="60667811" w14:textId="36190884" w:rsidR="00F1403D" w:rsidRPr="00332CA4" w:rsidRDefault="0064308F" w:rsidP="00F1403D">
            <w:pPr>
              <w:ind w:right="-1"/>
              <w:jc w:val="center"/>
              <w:rPr>
                <w:rFonts w:cs="Arial"/>
                <w:color w:val="000000" w:themeColor="text1"/>
                <w:szCs w:val="18"/>
              </w:rPr>
            </w:pPr>
            <w:r w:rsidRPr="00332CA4">
              <w:rPr>
                <w:rFonts w:cs="Arial"/>
                <w:color w:val="000000" w:themeColor="text1"/>
                <w:szCs w:val="18"/>
              </w:rPr>
              <w:t>380</w:t>
            </w:r>
          </w:p>
        </w:tc>
        <w:tc>
          <w:tcPr>
            <w:tcW w:w="887" w:type="dxa"/>
            <w:tcBorders>
              <w:top w:val="single" w:sz="4" w:space="0" w:color="006C31"/>
              <w:bottom w:val="nil"/>
            </w:tcBorders>
            <w:shd w:val="clear" w:color="auto" w:fill="FFFFFF"/>
            <w:vAlign w:val="center"/>
          </w:tcPr>
          <w:p w14:paraId="5618FEB0" w14:textId="02C375FA" w:rsidR="00F1403D" w:rsidRPr="00332CA4" w:rsidRDefault="0064308F" w:rsidP="00F1403D">
            <w:pPr>
              <w:jc w:val="center"/>
              <w:rPr>
                <w:rFonts w:cs="Arial"/>
                <w:color w:val="000000" w:themeColor="text1"/>
                <w:szCs w:val="18"/>
              </w:rPr>
            </w:pPr>
            <w:r w:rsidRPr="00332CA4">
              <w:rPr>
                <w:rFonts w:cs="Arial"/>
                <w:color w:val="000000" w:themeColor="text1"/>
                <w:szCs w:val="18"/>
              </w:rPr>
              <w:t>362</w:t>
            </w:r>
          </w:p>
        </w:tc>
        <w:tc>
          <w:tcPr>
            <w:tcW w:w="891" w:type="dxa"/>
            <w:tcBorders>
              <w:top w:val="single" w:sz="4" w:space="0" w:color="006C31"/>
              <w:bottom w:val="nil"/>
            </w:tcBorders>
            <w:shd w:val="clear" w:color="auto" w:fill="FFFFFF"/>
            <w:vAlign w:val="center"/>
          </w:tcPr>
          <w:p w14:paraId="17EF8FF7" w14:textId="4D7BA186" w:rsidR="00F1403D" w:rsidRPr="00332CA4" w:rsidRDefault="0064308F" w:rsidP="00F1403D">
            <w:pPr>
              <w:jc w:val="center"/>
              <w:rPr>
                <w:rFonts w:cs="Arial"/>
                <w:color w:val="000000" w:themeColor="text1"/>
                <w:szCs w:val="18"/>
              </w:rPr>
            </w:pPr>
            <w:r w:rsidRPr="00332CA4">
              <w:rPr>
                <w:rFonts w:cs="Arial"/>
                <w:color w:val="000000" w:themeColor="text1"/>
                <w:szCs w:val="18"/>
              </w:rPr>
              <w:t>335</w:t>
            </w:r>
          </w:p>
        </w:tc>
        <w:tc>
          <w:tcPr>
            <w:tcW w:w="285" w:type="dxa"/>
            <w:tcBorders>
              <w:top w:val="single" w:sz="4" w:space="0" w:color="006C31"/>
              <w:bottom w:val="nil"/>
            </w:tcBorders>
            <w:shd w:val="clear" w:color="auto" w:fill="FFFFFF"/>
            <w:vAlign w:val="center"/>
          </w:tcPr>
          <w:p w14:paraId="36182381" w14:textId="77777777" w:rsidR="00F1403D" w:rsidRPr="00332CA4" w:rsidRDefault="00F1403D" w:rsidP="00F1403D">
            <w:pPr>
              <w:jc w:val="center"/>
              <w:rPr>
                <w:rFonts w:cs="Arial"/>
                <w:color w:val="000000" w:themeColor="text1"/>
                <w:szCs w:val="18"/>
              </w:rPr>
            </w:pPr>
          </w:p>
        </w:tc>
        <w:tc>
          <w:tcPr>
            <w:tcW w:w="889" w:type="dxa"/>
            <w:tcBorders>
              <w:top w:val="single" w:sz="4" w:space="0" w:color="006C31"/>
              <w:bottom w:val="nil"/>
            </w:tcBorders>
            <w:shd w:val="clear" w:color="auto" w:fill="FFFFFF"/>
            <w:vAlign w:val="center"/>
          </w:tcPr>
          <w:p w14:paraId="5716DE49" w14:textId="4D544668" w:rsidR="00F1403D" w:rsidRPr="00332CA4" w:rsidRDefault="0064308F" w:rsidP="00F1403D">
            <w:pPr>
              <w:jc w:val="center"/>
              <w:rPr>
                <w:rFonts w:cs="Arial"/>
                <w:color w:val="000000" w:themeColor="text1"/>
                <w:szCs w:val="18"/>
              </w:rPr>
            </w:pPr>
            <w:r w:rsidRPr="00332CA4">
              <w:rPr>
                <w:rFonts w:cs="Arial"/>
                <w:color w:val="000000" w:themeColor="text1"/>
                <w:szCs w:val="18"/>
              </w:rPr>
              <w:t>351</w:t>
            </w:r>
          </w:p>
        </w:tc>
        <w:tc>
          <w:tcPr>
            <w:tcW w:w="889" w:type="dxa"/>
            <w:tcBorders>
              <w:top w:val="single" w:sz="4" w:space="0" w:color="006C31"/>
              <w:bottom w:val="nil"/>
            </w:tcBorders>
            <w:shd w:val="clear" w:color="auto" w:fill="FFFFFF"/>
            <w:vAlign w:val="center"/>
          </w:tcPr>
          <w:p w14:paraId="235A68DE" w14:textId="54542E37" w:rsidR="00F1403D" w:rsidRPr="00332CA4" w:rsidRDefault="0064308F" w:rsidP="00F1403D">
            <w:pPr>
              <w:jc w:val="center"/>
              <w:rPr>
                <w:rFonts w:cs="Arial"/>
                <w:color w:val="000000" w:themeColor="text1"/>
                <w:szCs w:val="18"/>
              </w:rPr>
            </w:pPr>
            <w:r w:rsidRPr="00332CA4">
              <w:rPr>
                <w:rFonts w:cs="Arial"/>
                <w:color w:val="000000" w:themeColor="text1"/>
                <w:szCs w:val="18"/>
              </w:rPr>
              <w:t>324</w:t>
            </w:r>
          </w:p>
        </w:tc>
        <w:tc>
          <w:tcPr>
            <w:tcW w:w="891" w:type="dxa"/>
            <w:tcBorders>
              <w:top w:val="single" w:sz="4" w:space="0" w:color="006C31"/>
              <w:bottom w:val="nil"/>
            </w:tcBorders>
            <w:shd w:val="clear" w:color="auto" w:fill="FFFFFF"/>
            <w:vAlign w:val="center"/>
          </w:tcPr>
          <w:p w14:paraId="5E75D806" w14:textId="153D09FE" w:rsidR="00F1403D" w:rsidRPr="00332CA4" w:rsidRDefault="0064308F" w:rsidP="00F1403D">
            <w:pPr>
              <w:jc w:val="center"/>
              <w:rPr>
                <w:rFonts w:cs="Arial"/>
                <w:color w:val="000000" w:themeColor="text1"/>
                <w:szCs w:val="18"/>
              </w:rPr>
            </w:pPr>
            <w:r w:rsidRPr="00332CA4">
              <w:rPr>
                <w:rFonts w:cs="Arial"/>
                <w:color w:val="000000" w:themeColor="text1"/>
                <w:szCs w:val="18"/>
              </w:rPr>
              <w:t>316</w:t>
            </w:r>
          </w:p>
        </w:tc>
      </w:tr>
      <w:tr w:rsidR="00F1403D" w:rsidRPr="00332CA4" w14:paraId="3F1463D6" w14:textId="77777777" w:rsidTr="00F1403D">
        <w:trPr>
          <w:trHeight w:val="259"/>
          <w:jc w:val="center"/>
        </w:trPr>
        <w:tc>
          <w:tcPr>
            <w:tcW w:w="1555" w:type="dxa"/>
            <w:tcBorders>
              <w:top w:val="nil"/>
              <w:bottom w:val="nil"/>
            </w:tcBorders>
            <w:shd w:val="clear" w:color="auto" w:fill="FFFFFF"/>
          </w:tcPr>
          <w:p w14:paraId="230AECE9" w14:textId="271B6B18" w:rsidR="00F1403D" w:rsidRPr="00332CA4" w:rsidRDefault="00F1403D" w:rsidP="00F1403D">
            <w:pPr>
              <w:rPr>
                <w:b/>
                <w:color w:val="000000" w:themeColor="text1"/>
              </w:rPr>
            </w:pPr>
            <w:r w:rsidRPr="00332CA4">
              <w:rPr>
                <w:b/>
                <w:color w:val="000000" w:themeColor="text1"/>
              </w:rPr>
              <w:t>BJH surface, m</w:t>
            </w:r>
            <w:r w:rsidRPr="00332CA4">
              <w:rPr>
                <w:b/>
                <w:color w:val="000000" w:themeColor="text1"/>
                <w:vertAlign w:val="superscript"/>
              </w:rPr>
              <w:t>2</w:t>
            </w:r>
            <w:r w:rsidRPr="00332CA4">
              <w:rPr>
                <w:b/>
                <w:color w:val="000000" w:themeColor="text1"/>
              </w:rPr>
              <w:t>/g</w:t>
            </w:r>
          </w:p>
        </w:tc>
        <w:tc>
          <w:tcPr>
            <w:tcW w:w="887" w:type="dxa"/>
            <w:tcBorders>
              <w:top w:val="nil"/>
              <w:bottom w:val="nil"/>
            </w:tcBorders>
            <w:shd w:val="clear" w:color="auto" w:fill="FFFFFF"/>
            <w:vAlign w:val="center"/>
          </w:tcPr>
          <w:p w14:paraId="752F6788" w14:textId="1C8A3497" w:rsidR="00F1403D" w:rsidRPr="00332CA4" w:rsidRDefault="0064308F" w:rsidP="00F1403D">
            <w:pPr>
              <w:ind w:right="-1"/>
              <w:jc w:val="center"/>
              <w:rPr>
                <w:rFonts w:cs="Arial"/>
                <w:color w:val="000000" w:themeColor="text1"/>
                <w:szCs w:val="18"/>
              </w:rPr>
            </w:pPr>
            <w:r w:rsidRPr="00332CA4">
              <w:rPr>
                <w:rFonts w:cs="Arial"/>
                <w:color w:val="000000" w:themeColor="text1"/>
                <w:szCs w:val="18"/>
              </w:rPr>
              <w:t>86</w:t>
            </w:r>
          </w:p>
        </w:tc>
        <w:tc>
          <w:tcPr>
            <w:tcW w:w="887" w:type="dxa"/>
            <w:tcBorders>
              <w:top w:val="nil"/>
              <w:bottom w:val="nil"/>
            </w:tcBorders>
            <w:shd w:val="clear" w:color="auto" w:fill="FFFFFF"/>
            <w:vAlign w:val="center"/>
          </w:tcPr>
          <w:p w14:paraId="36A3B1C9" w14:textId="74506F66" w:rsidR="00F1403D" w:rsidRPr="00332CA4" w:rsidRDefault="0064308F" w:rsidP="00F1403D">
            <w:pPr>
              <w:jc w:val="center"/>
              <w:rPr>
                <w:rFonts w:cs="Arial"/>
                <w:color w:val="000000" w:themeColor="text1"/>
                <w:szCs w:val="18"/>
              </w:rPr>
            </w:pPr>
            <w:r w:rsidRPr="00332CA4">
              <w:rPr>
                <w:rFonts w:cs="Arial"/>
                <w:color w:val="000000" w:themeColor="text1"/>
                <w:szCs w:val="18"/>
              </w:rPr>
              <w:t>73</w:t>
            </w:r>
          </w:p>
        </w:tc>
        <w:tc>
          <w:tcPr>
            <w:tcW w:w="891" w:type="dxa"/>
            <w:tcBorders>
              <w:top w:val="nil"/>
              <w:bottom w:val="nil"/>
            </w:tcBorders>
            <w:shd w:val="clear" w:color="auto" w:fill="FFFFFF"/>
            <w:vAlign w:val="center"/>
          </w:tcPr>
          <w:p w14:paraId="40E83CB8" w14:textId="2BEEB181" w:rsidR="00F1403D" w:rsidRPr="00332CA4" w:rsidRDefault="0064308F" w:rsidP="00F1403D">
            <w:pPr>
              <w:jc w:val="center"/>
              <w:rPr>
                <w:rFonts w:cs="Arial"/>
                <w:color w:val="000000" w:themeColor="text1"/>
                <w:szCs w:val="18"/>
              </w:rPr>
            </w:pPr>
            <w:r w:rsidRPr="00332CA4">
              <w:rPr>
                <w:rFonts w:cs="Arial"/>
                <w:color w:val="000000" w:themeColor="text1"/>
                <w:szCs w:val="18"/>
              </w:rPr>
              <w:t>62</w:t>
            </w:r>
          </w:p>
        </w:tc>
        <w:tc>
          <w:tcPr>
            <w:tcW w:w="285" w:type="dxa"/>
            <w:tcBorders>
              <w:top w:val="nil"/>
              <w:bottom w:val="nil"/>
            </w:tcBorders>
            <w:shd w:val="clear" w:color="auto" w:fill="FFFFFF"/>
            <w:vAlign w:val="center"/>
          </w:tcPr>
          <w:p w14:paraId="255C5BF3" w14:textId="77777777" w:rsidR="00F1403D" w:rsidRPr="00332CA4" w:rsidRDefault="00F1403D" w:rsidP="00F1403D">
            <w:pPr>
              <w:jc w:val="center"/>
              <w:rPr>
                <w:rFonts w:cs="Arial"/>
                <w:color w:val="000000" w:themeColor="text1"/>
                <w:szCs w:val="18"/>
              </w:rPr>
            </w:pPr>
          </w:p>
        </w:tc>
        <w:tc>
          <w:tcPr>
            <w:tcW w:w="889" w:type="dxa"/>
            <w:tcBorders>
              <w:top w:val="nil"/>
              <w:bottom w:val="nil"/>
            </w:tcBorders>
            <w:shd w:val="clear" w:color="auto" w:fill="FFFFFF"/>
            <w:vAlign w:val="center"/>
          </w:tcPr>
          <w:p w14:paraId="63404028" w14:textId="3026EAD6" w:rsidR="00F1403D" w:rsidRPr="00332CA4" w:rsidRDefault="0064308F" w:rsidP="00F1403D">
            <w:pPr>
              <w:jc w:val="center"/>
              <w:rPr>
                <w:rFonts w:cs="Arial"/>
                <w:color w:val="000000" w:themeColor="text1"/>
                <w:szCs w:val="18"/>
              </w:rPr>
            </w:pPr>
            <w:r w:rsidRPr="00332CA4">
              <w:rPr>
                <w:rFonts w:cs="Arial"/>
                <w:color w:val="000000" w:themeColor="text1"/>
                <w:szCs w:val="18"/>
              </w:rPr>
              <w:t>75</w:t>
            </w:r>
          </w:p>
        </w:tc>
        <w:tc>
          <w:tcPr>
            <w:tcW w:w="889" w:type="dxa"/>
            <w:tcBorders>
              <w:top w:val="nil"/>
              <w:bottom w:val="nil"/>
            </w:tcBorders>
            <w:shd w:val="clear" w:color="auto" w:fill="FFFFFF"/>
            <w:vAlign w:val="center"/>
          </w:tcPr>
          <w:p w14:paraId="32EA384A" w14:textId="46C25EFA" w:rsidR="00F1403D" w:rsidRPr="00332CA4" w:rsidRDefault="0064308F" w:rsidP="00F1403D">
            <w:pPr>
              <w:jc w:val="center"/>
              <w:rPr>
                <w:rFonts w:cs="Arial"/>
                <w:color w:val="000000" w:themeColor="text1"/>
                <w:szCs w:val="18"/>
              </w:rPr>
            </w:pPr>
            <w:r w:rsidRPr="00332CA4">
              <w:rPr>
                <w:rFonts w:cs="Arial"/>
                <w:color w:val="000000" w:themeColor="text1"/>
                <w:szCs w:val="18"/>
              </w:rPr>
              <w:t>61</w:t>
            </w:r>
          </w:p>
        </w:tc>
        <w:tc>
          <w:tcPr>
            <w:tcW w:w="891" w:type="dxa"/>
            <w:tcBorders>
              <w:top w:val="nil"/>
              <w:bottom w:val="nil"/>
            </w:tcBorders>
            <w:shd w:val="clear" w:color="auto" w:fill="FFFFFF"/>
            <w:vAlign w:val="center"/>
          </w:tcPr>
          <w:p w14:paraId="5E7E4F17" w14:textId="22D0B445" w:rsidR="00F1403D" w:rsidRPr="00332CA4" w:rsidRDefault="0064308F" w:rsidP="00F1403D">
            <w:pPr>
              <w:jc w:val="center"/>
              <w:rPr>
                <w:rFonts w:cs="Arial"/>
                <w:color w:val="000000" w:themeColor="text1"/>
                <w:szCs w:val="18"/>
              </w:rPr>
            </w:pPr>
            <w:r w:rsidRPr="00332CA4">
              <w:rPr>
                <w:rFonts w:cs="Arial"/>
                <w:color w:val="000000" w:themeColor="text1"/>
                <w:szCs w:val="18"/>
              </w:rPr>
              <w:t>52</w:t>
            </w:r>
          </w:p>
        </w:tc>
      </w:tr>
      <w:tr w:rsidR="00F1403D" w:rsidRPr="00332CA4" w14:paraId="2BBA6556" w14:textId="77777777" w:rsidTr="00F1403D">
        <w:trPr>
          <w:trHeight w:val="259"/>
          <w:jc w:val="center"/>
        </w:trPr>
        <w:tc>
          <w:tcPr>
            <w:tcW w:w="1555" w:type="dxa"/>
            <w:tcBorders>
              <w:top w:val="nil"/>
              <w:bottom w:val="nil"/>
            </w:tcBorders>
            <w:shd w:val="clear" w:color="auto" w:fill="FFFFFF"/>
          </w:tcPr>
          <w:p w14:paraId="0C46D074" w14:textId="6D2B8066" w:rsidR="00F1403D" w:rsidRPr="00332CA4" w:rsidRDefault="00F1403D" w:rsidP="00F1403D">
            <w:pPr>
              <w:rPr>
                <w:b/>
                <w:color w:val="000000" w:themeColor="text1"/>
              </w:rPr>
            </w:pPr>
            <w:r w:rsidRPr="00332CA4">
              <w:rPr>
                <w:b/>
                <w:color w:val="000000" w:themeColor="text1"/>
              </w:rPr>
              <w:t>Si/Al</w:t>
            </w:r>
          </w:p>
        </w:tc>
        <w:tc>
          <w:tcPr>
            <w:tcW w:w="887" w:type="dxa"/>
            <w:tcBorders>
              <w:top w:val="nil"/>
              <w:bottom w:val="nil"/>
            </w:tcBorders>
            <w:shd w:val="clear" w:color="auto" w:fill="FFFFFF"/>
            <w:vAlign w:val="center"/>
          </w:tcPr>
          <w:p w14:paraId="13B79F1A" w14:textId="0FC3A978" w:rsidR="00F1403D" w:rsidRPr="00332CA4" w:rsidRDefault="0064308F" w:rsidP="00F1403D">
            <w:pPr>
              <w:ind w:right="-1"/>
              <w:jc w:val="center"/>
              <w:rPr>
                <w:rFonts w:cs="Arial"/>
                <w:color w:val="000000" w:themeColor="text1"/>
                <w:szCs w:val="18"/>
              </w:rPr>
            </w:pPr>
            <w:r w:rsidRPr="00332CA4">
              <w:rPr>
                <w:rFonts w:cs="Arial"/>
                <w:color w:val="000000" w:themeColor="text1"/>
                <w:szCs w:val="18"/>
              </w:rPr>
              <w:t>23</w:t>
            </w:r>
          </w:p>
        </w:tc>
        <w:tc>
          <w:tcPr>
            <w:tcW w:w="887" w:type="dxa"/>
            <w:tcBorders>
              <w:top w:val="nil"/>
              <w:bottom w:val="nil"/>
            </w:tcBorders>
            <w:shd w:val="clear" w:color="auto" w:fill="FFFFFF"/>
            <w:vAlign w:val="center"/>
          </w:tcPr>
          <w:p w14:paraId="065F5B53" w14:textId="71C9E339" w:rsidR="00F1403D" w:rsidRPr="00332CA4" w:rsidRDefault="0064308F" w:rsidP="00F1403D">
            <w:pPr>
              <w:jc w:val="center"/>
              <w:rPr>
                <w:rFonts w:cs="Arial"/>
                <w:color w:val="000000" w:themeColor="text1"/>
                <w:szCs w:val="18"/>
              </w:rPr>
            </w:pPr>
            <w:r w:rsidRPr="00332CA4">
              <w:rPr>
                <w:rFonts w:cs="Arial"/>
                <w:color w:val="000000" w:themeColor="text1"/>
                <w:szCs w:val="18"/>
              </w:rPr>
              <w:t>22</w:t>
            </w:r>
          </w:p>
        </w:tc>
        <w:tc>
          <w:tcPr>
            <w:tcW w:w="891" w:type="dxa"/>
            <w:tcBorders>
              <w:top w:val="nil"/>
              <w:bottom w:val="nil"/>
            </w:tcBorders>
            <w:shd w:val="clear" w:color="auto" w:fill="FFFFFF"/>
            <w:vAlign w:val="center"/>
          </w:tcPr>
          <w:p w14:paraId="133F3F72" w14:textId="61604A04" w:rsidR="00F1403D" w:rsidRPr="00332CA4" w:rsidRDefault="0064308F" w:rsidP="00F1403D">
            <w:pPr>
              <w:jc w:val="center"/>
              <w:rPr>
                <w:rFonts w:cs="Arial"/>
                <w:color w:val="000000" w:themeColor="text1"/>
                <w:szCs w:val="18"/>
              </w:rPr>
            </w:pPr>
            <w:r w:rsidRPr="00332CA4">
              <w:rPr>
                <w:rFonts w:cs="Arial"/>
                <w:color w:val="000000" w:themeColor="text1"/>
                <w:szCs w:val="18"/>
              </w:rPr>
              <w:t>22</w:t>
            </w:r>
          </w:p>
        </w:tc>
        <w:tc>
          <w:tcPr>
            <w:tcW w:w="285" w:type="dxa"/>
            <w:tcBorders>
              <w:top w:val="nil"/>
              <w:bottom w:val="nil"/>
            </w:tcBorders>
            <w:shd w:val="clear" w:color="auto" w:fill="FFFFFF"/>
            <w:vAlign w:val="center"/>
          </w:tcPr>
          <w:p w14:paraId="2EFBE597" w14:textId="77777777" w:rsidR="00F1403D" w:rsidRPr="00332CA4" w:rsidRDefault="00F1403D" w:rsidP="00F1403D">
            <w:pPr>
              <w:jc w:val="center"/>
              <w:rPr>
                <w:rFonts w:cs="Arial"/>
                <w:color w:val="000000" w:themeColor="text1"/>
                <w:szCs w:val="18"/>
              </w:rPr>
            </w:pPr>
          </w:p>
        </w:tc>
        <w:tc>
          <w:tcPr>
            <w:tcW w:w="889" w:type="dxa"/>
            <w:tcBorders>
              <w:top w:val="nil"/>
              <w:bottom w:val="nil"/>
            </w:tcBorders>
            <w:shd w:val="clear" w:color="auto" w:fill="FFFFFF"/>
            <w:vAlign w:val="center"/>
          </w:tcPr>
          <w:p w14:paraId="10A3936C" w14:textId="3281EACD" w:rsidR="00F1403D" w:rsidRPr="00332CA4" w:rsidRDefault="0064308F" w:rsidP="00F1403D">
            <w:pPr>
              <w:jc w:val="center"/>
              <w:rPr>
                <w:rFonts w:cs="Arial"/>
                <w:color w:val="000000" w:themeColor="text1"/>
                <w:szCs w:val="18"/>
              </w:rPr>
            </w:pPr>
            <w:r w:rsidRPr="00332CA4">
              <w:rPr>
                <w:rFonts w:cs="Arial"/>
                <w:color w:val="000000" w:themeColor="text1"/>
                <w:szCs w:val="18"/>
              </w:rPr>
              <w:t>22</w:t>
            </w:r>
          </w:p>
        </w:tc>
        <w:tc>
          <w:tcPr>
            <w:tcW w:w="889" w:type="dxa"/>
            <w:tcBorders>
              <w:top w:val="nil"/>
              <w:bottom w:val="nil"/>
            </w:tcBorders>
            <w:shd w:val="clear" w:color="auto" w:fill="FFFFFF"/>
            <w:vAlign w:val="center"/>
          </w:tcPr>
          <w:p w14:paraId="6E5B473C" w14:textId="1A446843" w:rsidR="00F1403D" w:rsidRPr="00332CA4" w:rsidRDefault="0064308F" w:rsidP="00F1403D">
            <w:pPr>
              <w:jc w:val="center"/>
              <w:rPr>
                <w:rFonts w:cs="Arial"/>
                <w:color w:val="000000" w:themeColor="text1"/>
                <w:szCs w:val="18"/>
              </w:rPr>
            </w:pPr>
            <w:r w:rsidRPr="00332CA4">
              <w:rPr>
                <w:rFonts w:cs="Arial"/>
                <w:color w:val="000000" w:themeColor="text1"/>
                <w:szCs w:val="18"/>
              </w:rPr>
              <w:t>22</w:t>
            </w:r>
          </w:p>
        </w:tc>
        <w:tc>
          <w:tcPr>
            <w:tcW w:w="891" w:type="dxa"/>
            <w:tcBorders>
              <w:top w:val="nil"/>
              <w:bottom w:val="nil"/>
            </w:tcBorders>
            <w:shd w:val="clear" w:color="auto" w:fill="FFFFFF"/>
            <w:vAlign w:val="center"/>
          </w:tcPr>
          <w:p w14:paraId="3EC8C10F" w14:textId="0CA10197" w:rsidR="00F1403D" w:rsidRPr="00332CA4" w:rsidRDefault="0064308F" w:rsidP="00F1403D">
            <w:pPr>
              <w:jc w:val="center"/>
              <w:rPr>
                <w:rFonts w:cs="Arial"/>
                <w:color w:val="000000" w:themeColor="text1"/>
                <w:szCs w:val="18"/>
              </w:rPr>
            </w:pPr>
            <w:r w:rsidRPr="00332CA4">
              <w:rPr>
                <w:rFonts w:cs="Arial"/>
                <w:color w:val="000000" w:themeColor="text1"/>
                <w:szCs w:val="18"/>
              </w:rPr>
              <w:t>22</w:t>
            </w:r>
          </w:p>
        </w:tc>
      </w:tr>
      <w:tr w:rsidR="00F1403D" w:rsidRPr="00332CA4" w14:paraId="65932113" w14:textId="77777777" w:rsidTr="00F1403D">
        <w:trPr>
          <w:trHeight w:val="259"/>
          <w:jc w:val="center"/>
        </w:trPr>
        <w:tc>
          <w:tcPr>
            <w:tcW w:w="1555" w:type="dxa"/>
            <w:tcBorders>
              <w:top w:val="nil"/>
              <w:bottom w:val="nil"/>
            </w:tcBorders>
            <w:shd w:val="clear" w:color="auto" w:fill="FFFFFF"/>
          </w:tcPr>
          <w:p w14:paraId="0122D92D" w14:textId="211D0DCB" w:rsidR="00F1403D" w:rsidRPr="00332CA4" w:rsidRDefault="00F1403D" w:rsidP="00F1403D">
            <w:pPr>
              <w:rPr>
                <w:b/>
                <w:color w:val="000000" w:themeColor="text1"/>
              </w:rPr>
            </w:pPr>
            <w:r w:rsidRPr="00332CA4">
              <w:rPr>
                <w:b/>
                <w:color w:val="000000" w:themeColor="text1"/>
              </w:rPr>
              <w:t>Elements, %</w:t>
            </w:r>
          </w:p>
        </w:tc>
        <w:tc>
          <w:tcPr>
            <w:tcW w:w="887" w:type="dxa"/>
            <w:tcBorders>
              <w:top w:val="nil"/>
              <w:bottom w:val="nil"/>
            </w:tcBorders>
            <w:shd w:val="clear" w:color="auto" w:fill="FFFFFF"/>
            <w:vAlign w:val="center"/>
          </w:tcPr>
          <w:p w14:paraId="30F24553" w14:textId="77777777" w:rsidR="00F1403D" w:rsidRPr="00332CA4" w:rsidRDefault="00F1403D" w:rsidP="00F1403D">
            <w:pPr>
              <w:ind w:right="-1"/>
              <w:jc w:val="center"/>
              <w:rPr>
                <w:rFonts w:cs="Arial"/>
                <w:color w:val="000000" w:themeColor="text1"/>
                <w:szCs w:val="18"/>
              </w:rPr>
            </w:pPr>
          </w:p>
        </w:tc>
        <w:tc>
          <w:tcPr>
            <w:tcW w:w="887" w:type="dxa"/>
            <w:tcBorders>
              <w:top w:val="nil"/>
              <w:bottom w:val="nil"/>
            </w:tcBorders>
            <w:shd w:val="clear" w:color="auto" w:fill="FFFFFF"/>
            <w:vAlign w:val="center"/>
          </w:tcPr>
          <w:p w14:paraId="595A60E9" w14:textId="77777777" w:rsidR="00F1403D" w:rsidRPr="00332CA4" w:rsidRDefault="00F1403D" w:rsidP="00F1403D">
            <w:pPr>
              <w:jc w:val="center"/>
              <w:rPr>
                <w:rFonts w:cs="Arial"/>
                <w:color w:val="000000" w:themeColor="text1"/>
                <w:szCs w:val="18"/>
              </w:rPr>
            </w:pPr>
          </w:p>
        </w:tc>
        <w:tc>
          <w:tcPr>
            <w:tcW w:w="891" w:type="dxa"/>
            <w:tcBorders>
              <w:top w:val="nil"/>
              <w:bottom w:val="nil"/>
            </w:tcBorders>
            <w:shd w:val="clear" w:color="auto" w:fill="FFFFFF"/>
            <w:vAlign w:val="center"/>
          </w:tcPr>
          <w:p w14:paraId="7B44B53A" w14:textId="77777777" w:rsidR="00F1403D" w:rsidRPr="00332CA4" w:rsidRDefault="00F1403D" w:rsidP="00F1403D">
            <w:pPr>
              <w:jc w:val="center"/>
              <w:rPr>
                <w:rFonts w:cs="Arial"/>
                <w:color w:val="000000" w:themeColor="text1"/>
                <w:szCs w:val="18"/>
              </w:rPr>
            </w:pPr>
          </w:p>
        </w:tc>
        <w:tc>
          <w:tcPr>
            <w:tcW w:w="285" w:type="dxa"/>
            <w:tcBorders>
              <w:top w:val="nil"/>
              <w:bottom w:val="nil"/>
            </w:tcBorders>
            <w:shd w:val="clear" w:color="auto" w:fill="FFFFFF"/>
            <w:vAlign w:val="center"/>
          </w:tcPr>
          <w:p w14:paraId="15E96DDB" w14:textId="77777777" w:rsidR="00F1403D" w:rsidRPr="00332CA4" w:rsidRDefault="00F1403D" w:rsidP="00F1403D">
            <w:pPr>
              <w:jc w:val="center"/>
              <w:rPr>
                <w:rFonts w:cs="Arial"/>
                <w:color w:val="000000" w:themeColor="text1"/>
                <w:szCs w:val="18"/>
              </w:rPr>
            </w:pPr>
          </w:p>
        </w:tc>
        <w:tc>
          <w:tcPr>
            <w:tcW w:w="889" w:type="dxa"/>
            <w:tcBorders>
              <w:top w:val="nil"/>
              <w:bottom w:val="nil"/>
            </w:tcBorders>
            <w:shd w:val="clear" w:color="auto" w:fill="FFFFFF"/>
            <w:vAlign w:val="center"/>
          </w:tcPr>
          <w:p w14:paraId="372820BC" w14:textId="77777777" w:rsidR="00F1403D" w:rsidRPr="00332CA4" w:rsidRDefault="00F1403D" w:rsidP="00F1403D">
            <w:pPr>
              <w:jc w:val="center"/>
              <w:rPr>
                <w:rFonts w:cs="Arial"/>
                <w:color w:val="000000" w:themeColor="text1"/>
                <w:szCs w:val="18"/>
              </w:rPr>
            </w:pPr>
          </w:p>
        </w:tc>
        <w:tc>
          <w:tcPr>
            <w:tcW w:w="889" w:type="dxa"/>
            <w:tcBorders>
              <w:top w:val="nil"/>
              <w:bottom w:val="nil"/>
            </w:tcBorders>
            <w:shd w:val="clear" w:color="auto" w:fill="FFFFFF"/>
            <w:vAlign w:val="center"/>
          </w:tcPr>
          <w:p w14:paraId="197C8C4A" w14:textId="77777777" w:rsidR="00F1403D" w:rsidRPr="00332CA4" w:rsidRDefault="00F1403D" w:rsidP="00F1403D">
            <w:pPr>
              <w:jc w:val="center"/>
              <w:rPr>
                <w:rFonts w:cs="Arial"/>
                <w:color w:val="000000" w:themeColor="text1"/>
                <w:szCs w:val="18"/>
              </w:rPr>
            </w:pPr>
          </w:p>
        </w:tc>
        <w:tc>
          <w:tcPr>
            <w:tcW w:w="891" w:type="dxa"/>
            <w:tcBorders>
              <w:top w:val="nil"/>
              <w:bottom w:val="nil"/>
            </w:tcBorders>
            <w:shd w:val="clear" w:color="auto" w:fill="FFFFFF"/>
            <w:vAlign w:val="center"/>
          </w:tcPr>
          <w:p w14:paraId="5A1EAB01" w14:textId="77777777" w:rsidR="00F1403D" w:rsidRPr="00332CA4" w:rsidRDefault="00F1403D" w:rsidP="00F1403D">
            <w:pPr>
              <w:jc w:val="center"/>
              <w:rPr>
                <w:rFonts w:cs="Arial"/>
                <w:color w:val="000000" w:themeColor="text1"/>
                <w:szCs w:val="18"/>
              </w:rPr>
            </w:pPr>
          </w:p>
        </w:tc>
      </w:tr>
      <w:tr w:rsidR="00EE5B53" w:rsidRPr="00332CA4" w14:paraId="20D65B86" w14:textId="77777777" w:rsidTr="00F1403D">
        <w:trPr>
          <w:trHeight w:val="259"/>
          <w:jc w:val="center"/>
        </w:trPr>
        <w:tc>
          <w:tcPr>
            <w:tcW w:w="1555" w:type="dxa"/>
            <w:tcBorders>
              <w:top w:val="nil"/>
              <w:bottom w:val="nil"/>
            </w:tcBorders>
            <w:shd w:val="clear" w:color="auto" w:fill="FFFFFF"/>
          </w:tcPr>
          <w:p w14:paraId="3E0035BF" w14:textId="5A81E6F7" w:rsidR="00EE5B53" w:rsidRPr="00332CA4" w:rsidRDefault="00EE5B53" w:rsidP="00EE5B53">
            <w:pPr>
              <w:ind w:left="284"/>
              <w:rPr>
                <w:b/>
                <w:color w:val="000000" w:themeColor="text1"/>
                <w:highlight w:val="yellow"/>
              </w:rPr>
            </w:pPr>
            <w:r w:rsidRPr="00332CA4">
              <w:rPr>
                <w:b/>
                <w:i/>
                <w:color w:val="000000" w:themeColor="text1"/>
                <w:highlight w:val="yellow"/>
              </w:rPr>
              <w:t>S</w:t>
            </w:r>
          </w:p>
        </w:tc>
        <w:tc>
          <w:tcPr>
            <w:tcW w:w="887" w:type="dxa"/>
            <w:tcBorders>
              <w:top w:val="nil"/>
              <w:bottom w:val="nil"/>
            </w:tcBorders>
            <w:shd w:val="clear" w:color="auto" w:fill="FFFFFF"/>
            <w:vAlign w:val="center"/>
          </w:tcPr>
          <w:p w14:paraId="291AA4F3" w14:textId="32F2BDF1" w:rsidR="00EE5B53" w:rsidRPr="00332CA4" w:rsidRDefault="0080207F" w:rsidP="00F1403D">
            <w:pPr>
              <w:ind w:right="-1"/>
              <w:jc w:val="center"/>
              <w:rPr>
                <w:rFonts w:cs="Arial"/>
                <w:color w:val="000000" w:themeColor="text1"/>
                <w:szCs w:val="18"/>
                <w:highlight w:val="yellow"/>
              </w:rPr>
            </w:pPr>
            <w:r>
              <w:rPr>
                <w:rFonts w:cs="Arial"/>
                <w:color w:val="000000" w:themeColor="text1"/>
                <w:szCs w:val="18"/>
                <w:highlight w:val="yellow"/>
              </w:rPr>
              <w:t>0.8</w:t>
            </w:r>
          </w:p>
        </w:tc>
        <w:tc>
          <w:tcPr>
            <w:tcW w:w="887" w:type="dxa"/>
            <w:tcBorders>
              <w:top w:val="nil"/>
              <w:bottom w:val="nil"/>
            </w:tcBorders>
            <w:shd w:val="clear" w:color="auto" w:fill="FFFFFF"/>
            <w:vAlign w:val="center"/>
          </w:tcPr>
          <w:p w14:paraId="7E36B978" w14:textId="47B28FCA" w:rsidR="00EE5B53" w:rsidRPr="00332CA4" w:rsidRDefault="0080207F" w:rsidP="00F1403D">
            <w:pPr>
              <w:jc w:val="center"/>
              <w:rPr>
                <w:rFonts w:cs="Arial"/>
                <w:color w:val="000000" w:themeColor="text1"/>
                <w:szCs w:val="18"/>
                <w:highlight w:val="yellow"/>
              </w:rPr>
            </w:pPr>
            <w:r>
              <w:rPr>
                <w:rFonts w:cs="Arial"/>
                <w:color w:val="000000" w:themeColor="text1"/>
                <w:szCs w:val="18"/>
                <w:highlight w:val="yellow"/>
              </w:rPr>
              <w:t>1.5</w:t>
            </w:r>
          </w:p>
        </w:tc>
        <w:tc>
          <w:tcPr>
            <w:tcW w:w="891" w:type="dxa"/>
            <w:tcBorders>
              <w:top w:val="nil"/>
              <w:bottom w:val="nil"/>
            </w:tcBorders>
            <w:shd w:val="clear" w:color="auto" w:fill="FFFFFF"/>
            <w:vAlign w:val="center"/>
          </w:tcPr>
          <w:p w14:paraId="14761D78" w14:textId="594C52B2" w:rsidR="00EE5B53" w:rsidRPr="00332CA4" w:rsidRDefault="0080207F" w:rsidP="00F1403D">
            <w:pPr>
              <w:jc w:val="center"/>
              <w:rPr>
                <w:rFonts w:cs="Arial"/>
                <w:color w:val="000000" w:themeColor="text1"/>
                <w:szCs w:val="18"/>
                <w:highlight w:val="yellow"/>
              </w:rPr>
            </w:pPr>
            <w:r>
              <w:rPr>
                <w:rFonts w:cs="Arial"/>
                <w:color w:val="000000" w:themeColor="text1"/>
                <w:szCs w:val="18"/>
                <w:highlight w:val="yellow"/>
              </w:rPr>
              <w:t>2</w:t>
            </w:r>
            <w:r w:rsidR="00335811" w:rsidRPr="00332CA4">
              <w:rPr>
                <w:rFonts w:cs="Arial"/>
                <w:color w:val="000000" w:themeColor="text1"/>
                <w:szCs w:val="18"/>
                <w:highlight w:val="yellow"/>
              </w:rPr>
              <w:t>.</w:t>
            </w:r>
            <w:r>
              <w:rPr>
                <w:rFonts w:cs="Arial"/>
                <w:color w:val="000000" w:themeColor="text1"/>
                <w:szCs w:val="18"/>
                <w:highlight w:val="yellow"/>
              </w:rPr>
              <w:t>9</w:t>
            </w:r>
          </w:p>
        </w:tc>
        <w:tc>
          <w:tcPr>
            <w:tcW w:w="285" w:type="dxa"/>
            <w:tcBorders>
              <w:top w:val="nil"/>
              <w:bottom w:val="nil"/>
            </w:tcBorders>
            <w:shd w:val="clear" w:color="auto" w:fill="FFFFFF"/>
            <w:vAlign w:val="center"/>
          </w:tcPr>
          <w:p w14:paraId="1255353A" w14:textId="77777777" w:rsidR="00EE5B53" w:rsidRPr="00332CA4" w:rsidRDefault="00EE5B53" w:rsidP="00F1403D">
            <w:pPr>
              <w:jc w:val="center"/>
              <w:rPr>
                <w:rFonts w:cs="Arial"/>
                <w:color w:val="000000" w:themeColor="text1"/>
                <w:szCs w:val="18"/>
                <w:highlight w:val="yellow"/>
              </w:rPr>
            </w:pPr>
          </w:p>
        </w:tc>
        <w:tc>
          <w:tcPr>
            <w:tcW w:w="889" w:type="dxa"/>
            <w:tcBorders>
              <w:top w:val="nil"/>
              <w:bottom w:val="nil"/>
            </w:tcBorders>
            <w:shd w:val="clear" w:color="auto" w:fill="FFFFFF"/>
            <w:vAlign w:val="center"/>
          </w:tcPr>
          <w:p w14:paraId="69E7A120" w14:textId="413CBEB4" w:rsidR="00EE5B53" w:rsidRPr="00332CA4" w:rsidRDefault="00335811" w:rsidP="00F1403D">
            <w:pPr>
              <w:jc w:val="center"/>
              <w:rPr>
                <w:rFonts w:cs="Arial"/>
                <w:color w:val="000000" w:themeColor="text1"/>
                <w:szCs w:val="18"/>
                <w:highlight w:val="yellow"/>
              </w:rPr>
            </w:pPr>
            <w:r w:rsidRPr="00332CA4">
              <w:rPr>
                <w:rFonts w:cs="Arial"/>
                <w:color w:val="000000" w:themeColor="text1"/>
                <w:szCs w:val="18"/>
                <w:highlight w:val="yellow"/>
              </w:rPr>
              <w:t>-</w:t>
            </w:r>
          </w:p>
        </w:tc>
        <w:tc>
          <w:tcPr>
            <w:tcW w:w="889" w:type="dxa"/>
            <w:tcBorders>
              <w:top w:val="nil"/>
              <w:bottom w:val="nil"/>
            </w:tcBorders>
            <w:shd w:val="clear" w:color="auto" w:fill="FFFFFF"/>
            <w:vAlign w:val="center"/>
          </w:tcPr>
          <w:p w14:paraId="761D2529" w14:textId="526CD914" w:rsidR="00EE5B53" w:rsidRPr="00332CA4" w:rsidRDefault="00335811" w:rsidP="00F1403D">
            <w:pPr>
              <w:jc w:val="center"/>
              <w:rPr>
                <w:rFonts w:cs="Arial"/>
                <w:color w:val="000000" w:themeColor="text1"/>
                <w:szCs w:val="18"/>
                <w:highlight w:val="yellow"/>
              </w:rPr>
            </w:pPr>
            <w:r w:rsidRPr="00332CA4">
              <w:rPr>
                <w:rFonts w:cs="Arial"/>
                <w:color w:val="000000" w:themeColor="text1"/>
                <w:szCs w:val="18"/>
                <w:highlight w:val="yellow"/>
              </w:rPr>
              <w:t>-</w:t>
            </w:r>
          </w:p>
        </w:tc>
        <w:tc>
          <w:tcPr>
            <w:tcW w:w="891" w:type="dxa"/>
            <w:tcBorders>
              <w:top w:val="nil"/>
              <w:bottom w:val="nil"/>
            </w:tcBorders>
            <w:shd w:val="clear" w:color="auto" w:fill="FFFFFF"/>
            <w:vAlign w:val="center"/>
          </w:tcPr>
          <w:p w14:paraId="57277C3F" w14:textId="34D0BE5D" w:rsidR="00EE5B53" w:rsidRPr="00332CA4" w:rsidRDefault="00335811" w:rsidP="00F1403D">
            <w:pPr>
              <w:jc w:val="center"/>
              <w:rPr>
                <w:rFonts w:cs="Arial"/>
                <w:color w:val="000000" w:themeColor="text1"/>
                <w:szCs w:val="18"/>
              </w:rPr>
            </w:pPr>
            <w:r w:rsidRPr="00332CA4">
              <w:rPr>
                <w:rFonts w:cs="Arial"/>
                <w:color w:val="000000" w:themeColor="text1"/>
                <w:szCs w:val="18"/>
                <w:highlight w:val="yellow"/>
              </w:rPr>
              <w:t>-</w:t>
            </w:r>
          </w:p>
        </w:tc>
      </w:tr>
      <w:tr w:rsidR="00F1403D" w:rsidRPr="00332CA4" w14:paraId="37CAD407" w14:textId="77777777" w:rsidTr="00F1403D">
        <w:trPr>
          <w:trHeight w:val="259"/>
          <w:jc w:val="center"/>
        </w:trPr>
        <w:tc>
          <w:tcPr>
            <w:tcW w:w="1555" w:type="dxa"/>
            <w:tcBorders>
              <w:top w:val="nil"/>
              <w:bottom w:val="nil"/>
            </w:tcBorders>
            <w:shd w:val="clear" w:color="auto" w:fill="FFFFFF"/>
          </w:tcPr>
          <w:p w14:paraId="427A4AE8" w14:textId="450DC7F8" w:rsidR="00F1403D" w:rsidRPr="00332CA4" w:rsidRDefault="00F1403D" w:rsidP="00F1403D">
            <w:pPr>
              <w:ind w:left="284"/>
              <w:rPr>
                <w:b/>
                <w:i/>
                <w:color w:val="000000" w:themeColor="text1"/>
              </w:rPr>
            </w:pPr>
            <w:r w:rsidRPr="00332CA4">
              <w:rPr>
                <w:b/>
                <w:i/>
                <w:color w:val="000000" w:themeColor="text1"/>
              </w:rPr>
              <w:t>Li</w:t>
            </w:r>
          </w:p>
        </w:tc>
        <w:tc>
          <w:tcPr>
            <w:tcW w:w="887" w:type="dxa"/>
            <w:tcBorders>
              <w:top w:val="nil"/>
              <w:bottom w:val="nil"/>
            </w:tcBorders>
            <w:shd w:val="clear" w:color="auto" w:fill="FFFFFF"/>
            <w:vAlign w:val="center"/>
          </w:tcPr>
          <w:p w14:paraId="689887D6" w14:textId="6D16AD51" w:rsidR="00F1403D" w:rsidRPr="00332CA4" w:rsidRDefault="00645210" w:rsidP="00F1403D">
            <w:pPr>
              <w:ind w:right="-1"/>
              <w:jc w:val="center"/>
              <w:rPr>
                <w:rFonts w:cs="Arial"/>
                <w:color w:val="000000" w:themeColor="text1"/>
                <w:szCs w:val="18"/>
              </w:rPr>
            </w:pPr>
            <w:r w:rsidRPr="00332CA4">
              <w:rPr>
                <w:rFonts w:cs="Arial"/>
                <w:color w:val="000000" w:themeColor="text1"/>
                <w:szCs w:val="18"/>
              </w:rPr>
              <w:t>0.</w:t>
            </w:r>
            <w:r w:rsidR="00335811" w:rsidRPr="00332CA4">
              <w:rPr>
                <w:rFonts w:cs="Arial"/>
                <w:color w:val="000000" w:themeColor="text1"/>
                <w:szCs w:val="18"/>
              </w:rPr>
              <w:t>3</w:t>
            </w:r>
          </w:p>
        </w:tc>
        <w:tc>
          <w:tcPr>
            <w:tcW w:w="887" w:type="dxa"/>
            <w:tcBorders>
              <w:top w:val="nil"/>
              <w:bottom w:val="nil"/>
            </w:tcBorders>
            <w:shd w:val="clear" w:color="auto" w:fill="FFFFFF"/>
            <w:vAlign w:val="center"/>
          </w:tcPr>
          <w:p w14:paraId="3EA0099D" w14:textId="5DD95ED9" w:rsidR="00F1403D" w:rsidRPr="00332CA4" w:rsidRDefault="00645210" w:rsidP="00F1403D">
            <w:pPr>
              <w:jc w:val="center"/>
              <w:rPr>
                <w:rFonts w:cs="Arial"/>
                <w:color w:val="000000" w:themeColor="text1"/>
                <w:szCs w:val="18"/>
              </w:rPr>
            </w:pPr>
            <w:r w:rsidRPr="00332CA4">
              <w:rPr>
                <w:rFonts w:cs="Arial"/>
                <w:color w:val="000000" w:themeColor="text1"/>
                <w:szCs w:val="18"/>
              </w:rPr>
              <w:t>0.4</w:t>
            </w:r>
          </w:p>
        </w:tc>
        <w:tc>
          <w:tcPr>
            <w:tcW w:w="891" w:type="dxa"/>
            <w:tcBorders>
              <w:top w:val="nil"/>
              <w:bottom w:val="nil"/>
            </w:tcBorders>
            <w:shd w:val="clear" w:color="auto" w:fill="FFFFFF"/>
            <w:vAlign w:val="center"/>
          </w:tcPr>
          <w:p w14:paraId="1C9DA2F4" w14:textId="41927796" w:rsidR="00F1403D" w:rsidRPr="00332CA4" w:rsidRDefault="00645210" w:rsidP="00F1403D">
            <w:pPr>
              <w:jc w:val="center"/>
              <w:rPr>
                <w:rFonts w:cs="Arial"/>
                <w:color w:val="000000" w:themeColor="text1"/>
                <w:szCs w:val="18"/>
              </w:rPr>
            </w:pPr>
            <w:r w:rsidRPr="00332CA4">
              <w:rPr>
                <w:rFonts w:cs="Arial"/>
                <w:color w:val="000000" w:themeColor="text1"/>
                <w:szCs w:val="18"/>
              </w:rPr>
              <w:t>0.</w:t>
            </w:r>
            <w:r w:rsidR="00335811" w:rsidRPr="00332CA4">
              <w:rPr>
                <w:rFonts w:cs="Arial"/>
                <w:color w:val="000000" w:themeColor="text1"/>
                <w:szCs w:val="18"/>
              </w:rPr>
              <w:t>8</w:t>
            </w:r>
          </w:p>
        </w:tc>
        <w:tc>
          <w:tcPr>
            <w:tcW w:w="285" w:type="dxa"/>
            <w:tcBorders>
              <w:top w:val="nil"/>
              <w:bottom w:val="nil"/>
            </w:tcBorders>
            <w:shd w:val="clear" w:color="auto" w:fill="FFFFFF"/>
            <w:vAlign w:val="center"/>
          </w:tcPr>
          <w:p w14:paraId="66813917" w14:textId="77777777" w:rsidR="00F1403D" w:rsidRPr="00332CA4" w:rsidRDefault="00F1403D" w:rsidP="00F1403D">
            <w:pPr>
              <w:jc w:val="center"/>
              <w:rPr>
                <w:rFonts w:cs="Arial"/>
                <w:color w:val="000000" w:themeColor="text1"/>
                <w:szCs w:val="18"/>
              </w:rPr>
            </w:pPr>
          </w:p>
        </w:tc>
        <w:tc>
          <w:tcPr>
            <w:tcW w:w="889" w:type="dxa"/>
            <w:tcBorders>
              <w:top w:val="nil"/>
              <w:bottom w:val="nil"/>
            </w:tcBorders>
            <w:shd w:val="clear" w:color="auto" w:fill="FFFFFF"/>
            <w:vAlign w:val="center"/>
          </w:tcPr>
          <w:p w14:paraId="06780804" w14:textId="0A59BE7A" w:rsidR="00F1403D" w:rsidRPr="00332CA4" w:rsidRDefault="00335811" w:rsidP="00F1403D">
            <w:pPr>
              <w:jc w:val="center"/>
              <w:rPr>
                <w:rFonts w:cs="Arial"/>
                <w:color w:val="000000" w:themeColor="text1"/>
                <w:szCs w:val="18"/>
              </w:rPr>
            </w:pPr>
            <w:r w:rsidRPr="00332CA4">
              <w:rPr>
                <w:rFonts w:cs="Arial"/>
                <w:color w:val="000000" w:themeColor="text1"/>
                <w:szCs w:val="18"/>
              </w:rPr>
              <w:t>&lt;0.1</w:t>
            </w:r>
          </w:p>
        </w:tc>
        <w:tc>
          <w:tcPr>
            <w:tcW w:w="889" w:type="dxa"/>
            <w:tcBorders>
              <w:top w:val="nil"/>
              <w:bottom w:val="nil"/>
            </w:tcBorders>
            <w:shd w:val="clear" w:color="auto" w:fill="FFFFFF"/>
            <w:vAlign w:val="center"/>
          </w:tcPr>
          <w:p w14:paraId="45D84111" w14:textId="3461A5CA" w:rsidR="00F1403D" w:rsidRPr="00332CA4" w:rsidRDefault="00645210" w:rsidP="00F1403D">
            <w:pPr>
              <w:jc w:val="center"/>
              <w:rPr>
                <w:rFonts w:cs="Arial"/>
                <w:color w:val="000000" w:themeColor="text1"/>
                <w:szCs w:val="18"/>
              </w:rPr>
            </w:pPr>
            <w:r w:rsidRPr="00332CA4">
              <w:rPr>
                <w:rFonts w:cs="Arial"/>
                <w:color w:val="000000" w:themeColor="text1"/>
                <w:szCs w:val="18"/>
              </w:rPr>
              <w:t>0.</w:t>
            </w:r>
            <w:r w:rsidR="00335811" w:rsidRPr="00332CA4">
              <w:rPr>
                <w:rFonts w:cs="Arial"/>
                <w:color w:val="000000" w:themeColor="text1"/>
                <w:szCs w:val="18"/>
              </w:rPr>
              <w:t>1</w:t>
            </w:r>
          </w:p>
        </w:tc>
        <w:tc>
          <w:tcPr>
            <w:tcW w:w="891" w:type="dxa"/>
            <w:tcBorders>
              <w:top w:val="nil"/>
              <w:bottom w:val="nil"/>
            </w:tcBorders>
            <w:shd w:val="clear" w:color="auto" w:fill="FFFFFF"/>
            <w:vAlign w:val="center"/>
          </w:tcPr>
          <w:p w14:paraId="14450B2F" w14:textId="0876143E" w:rsidR="00F1403D" w:rsidRPr="00332CA4" w:rsidRDefault="00645210" w:rsidP="00F1403D">
            <w:pPr>
              <w:jc w:val="center"/>
              <w:rPr>
                <w:rFonts w:cs="Arial"/>
                <w:color w:val="000000" w:themeColor="text1"/>
                <w:szCs w:val="18"/>
              </w:rPr>
            </w:pPr>
            <w:r w:rsidRPr="00332CA4">
              <w:rPr>
                <w:rFonts w:cs="Arial"/>
                <w:color w:val="000000" w:themeColor="text1"/>
                <w:szCs w:val="18"/>
              </w:rPr>
              <w:t>0.</w:t>
            </w:r>
            <w:r w:rsidR="00335811" w:rsidRPr="00332CA4">
              <w:rPr>
                <w:rFonts w:cs="Arial"/>
                <w:color w:val="000000" w:themeColor="text1"/>
                <w:szCs w:val="18"/>
              </w:rPr>
              <w:t>2</w:t>
            </w:r>
          </w:p>
        </w:tc>
      </w:tr>
      <w:tr w:rsidR="00F1403D" w:rsidRPr="00332CA4" w14:paraId="018BFAED" w14:textId="77777777" w:rsidTr="00F1403D">
        <w:trPr>
          <w:trHeight w:val="259"/>
          <w:jc w:val="center"/>
        </w:trPr>
        <w:tc>
          <w:tcPr>
            <w:tcW w:w="1555" w:type="dxa"/>
            <w:tcBorders>
              <w:top w:val="nil"/>
              <w:bottom w:val="nil"/>
            </w:tcBorders>
            <w:shd w:val="clear" w:color="auto" w:fill="FFFFFF"/>
            <w:vAlign w:val="center"/>
          </w:tcPr>
          <w:p w14:paraId="28CE5D00" w14:textId="4533BC60" w:rsidR="00F1403D" w:rsidRPr="00332CA4" w:rsidRDefault="00F1403D" w:rsidP="00F1403D">
            <w:pPr>
              <w:ind w:left="284"/>
              <w:jc w:val="left"/>
              <w:rPr>
                <w:b/>
                <w:i/>
                <w:color w:val="000000" w:themeColor="text1"/>
              </w:rPr>
            </w:pPr>
            <w:r w:rsidRPr="00332CA4">
              <w:rPr>
                <w:b/>
                <w:i/>
                <w:color w:val="000000" w:themeColor="text1"/>
              </w:rPr>
              <w:t>Ni</w:t>
            </w:r>
          </w:p>
        </w:tc>
        <w:tc>
          <w:tcPr>
            <w:tcW w:w="887" w:type="dxa"/>
            <w:tcBorders>
              <w:top w:val="nil"/>
              <w:bottom w:val="nil"/>
            </w:tcBorders>
            <w:shd w:val="clear" w:color="auto" w:fill="FFFFFF"/>
            <w:vAlign w:val="center"/>
          </w:tcPr>
          <w:p w14:paraId="0FD28ACA" w14:textId="2181B1F8" w:rsidR="00F1403D" w:rsidRPr="00332CA4" w:rsidRDefault="00645210" w:rsidP="00F1403D">
            <w:pPr>
              <w:ind w:right="-1"/>
              <w:jc w:val="center"/>
              <w:rPr>
                <w:rFonts w:cs="Arial"/>
                <w:color w:val="000000" w:themeColor="text1"/>
                <w:szCs w:val="18"/>
              </w:rPr>
            </w:pPr>
            <w:r w:rsidRPr="00332CA4">
              <w:rPr>
                <w:rFonts w:cs="Arial"/>
                <w:color w:val="000000" w:themeColor="text1"/>
                <w:szCs w:val="18"/>
              </w:rPr>
              <w:t>0.</w:t>
            </w:r>
            <w:r w:rsidR="00335811" w:rsidRPr="00332CA4">
              <w:rPr>
                <w:rFonts w:cs="Arial"/>
                <w:color w:val="000000" w:themeColor="text1"/>
                <w:szCs w:val="18"/>
              </w:rPr>
              <w:t>5</w:t>
            </w:r>
          </w:p>
        </w:tc>
        <w:tc>
          <w:tcPr>
            <w:tcW w:w="887" w:type="dxa"/>
            <w:tcBorders>
              <w:top w:val="nil"/>
              <w:bottom w:val="nil"/>
            </w:tcBorders>
            <w:shd w:val="clear" w:color="auto" w:fill="FFFFFF"/>
            <w:vAlign w:val="center"/>
          </w:tcPr>
          <w:p w14:paraId="1B232D4B" w14:textId="53CD29C0" w:rsidR="00F1403D" w:rsidRPr="00332CA4" w:rsidRDefault="00645210" w:rsidP="00F1403D">
            <w:pPr>
              <w:jc w:val="center"/>
              <w:rPr>
                <w:rFonts w:cs="Arial"/>
                <w:color w:val="000000" w:themeColor="text1"/>
                <w:szCs w:val="18"/>
              </w:rPr>
            </w:pPr>
            <w:r w:rsidRPr="00332CA4">
              <w:rPr>
                <w:rFonts w:cs="Arial"/>
                <w:color w:val="000000" w:themeColor="text1"/>
                <w:szCs w:val="18"/>
              </w:rPr>
              <w:t>1.</w:t>
            </w:r>
            <w:r w:rsidR="00335811" w:rsidRPr="00332CA4">
              <w:rPr>
                <w:rFonts w:cs="Arial"/>
                <w:color w:val="000000" w:themeColor="text1"/>
                <w:szCs w:val="18"/>
              </w:rPr>
              <w:t>4</w:t>
            </w:r>
          </w:p>
        </w:tc>
        <w:tc>
          <w:tcPr>
            <w:tcW w:w="891" w:type="dxa"/>
            <w:tcBorders>
              <w:top w:val="nil"/>
              <w:bottom w:val="nil"/>
            </w:tcBorders>
            <w:shd w:val="clear" w:color="auto" w:fill="FFFFFF"/>
            <w:vAlign w:val="center"/>
          </w:tcPr>
          <w:p w14:paraId="2F8D5BC8" w14:textId="2B0284EB" w:rsidR="00F1403D" w:rsidRPr="00332CA4" w:rsidRDefault="00B271DB" w:rsidP="00F1403D">
            <w:pPr>
              <w:jc w:val="center"/>
              <w:rPr>
                <w:rFonts w:cs="Arial"/>
                <w:color w:val="000000" w:themeColor="text1"/>
                <w:szCs w:val="18"/>
              </w:rPr>
            </w:pPr>
            <w:r w:rsidRPr="00332CA4">
              <w:rPr>
                <w:rFonts w:cs="Arial"/>
                <w:color w:val="000000" w:themeColor="text1"/>
                <w:szCs w:val="18"/>
              </w:rPr>
              <w:t>1.9</w:t>
            </w:r>
          </w:p>
        </w:tc>
        <w:tc>
          <w:tcPr>
            <w:tcW w:w="285" w:type="dxa"/>
            <w:tcBorders>
              <w:top w:val="nil"/>
              <w:bottom w:val="nil"/>
            </w:tcBorders>
            <w:shd w:val="clear" w:color="auto" w:fill="FFFFFF"/>
            <w:vAlign w:val="center"/>
          </w:tcPr>
          <w:p w14:paraId="6981B3C6" w14:textId="77777777" w:rsidR="00F1403D" w:rsidRPr="00332CA4" w:rsidRDefault="00F1403D" w:rsidP="00F1403D">
            <w:pPr>
              <w:jc w:val="center"/>
              <w:rPr>
                <w:rFonts w:cs="Arial"/>
                <w:color w:val="000000" w:themeColor="text1"/>
                <w:szCs w:val="18"/>
              </w:rPr>
            </w:pPr>
          </w:p>
        </w:tc>
        <w:tc>
          <w:tcPr>
            <w:tcW w:w="889" w:type="dxa"/>
            <w:tcBorders>
              <w:top w:val="nil"/>
              <w:bottom w:val="nil"/>
            </w:tcBorders>
            <w:shd w:val="clear" w:color="auto" w:fill="FFFFFF"/>
            <w:vAlign w:val="center"/>
          </w:tcPr>
          <w:p w14:paraId="2FDAB515" w14:textId="34F34EF6" w:rsidR="00F1403D" w:rsidRPr="00332CA4" w:rsidRDefault="00645210" w:rsidP="00F1403D">
            <w:pPr>
              <w:jc w:val="center"/>
              <w:rPr>
                <w:rFonts w:cs="Arial"/>
                <w:color w:val="000000" w:themeColor="text1"/>
                <w:szCs w:val="18"/>
              </w:rPr>
            </w:pPr>
            <w:r w:rsidRPr="00332CA4">
              <w:rPr>
                <w:rFonts w:cs="Arial"/>
                <w:color w:val="000000" w:themeColor="text1"/>
                <w:szCs w:val="18"/>
              </w:rPr>
              <w:t>0.4</w:t>
            </w:r>
          </w:p>
        </w:tc>
        <w:tc>
          <w:tcPr>
            <w:tcW w:w="889" w:type="dxa"/>
            <w:tcBorders>
              <w:top w:val="nil"/>
              <w:bottom w:val="nil"/>
            </w:tcBorders>
            <w:shd w:val="clear" w:color="auto" w:fill="FFFFFF"/>
            <w:vAlign w:val="center"/>
          </w:tcPr>
          <w:p w14:paraId="7461ADA8" w14:textId="0A1F01B7" w:rsidR="00F1403D" w:rsidRPr="00332CA4" w:rsidRDefault="00B271DB" w:rsidP="00F1403D">
            <w:pPr>
              <w:jc w:val="center"/>
              <w:rPr>
                <w:rFonts w:cs="Arial"/>
                <w:color w:val="000000" w:themeColor="text1"/>
                <w:szCs w:val="18"/>
              </w:rPr>
            </w:pPr>
            <w:r w:rsidRPr="00332CA4">
              <w:rPr>
                <w:rFonts w:cs="Arial"/>
                <w:color w:val="000000" w:themeColor="text1"/>
                <w:szCs w:val="18"/>
              </w:rPr>
              <w:t>1.</w:t>
            </w:r>
            <w:r w:rsidR="00335811" w:rsidRPr="00332CA4">
              <w:rPr>
                <w:rFonts w:cs="Arial"/>
                <w:color w:val="000000" w:themeColor="text1"/>
                <w:szCs w:val="18"/>
              </w:rPr>
              <w:t>1</w:t>
            </w:r>
          </w:p>
        </w:tc>
        <w:tc>
          <w:tcPr>
            <w:tcW w:w="891" w:type="dxa"/>
            <w:tcBorders>
              <w:top w:val="nil"/>
              <w:bottom w:val="nil"/>
            </w:tcBorders>
            <w:shd w:val="clear" w:color="auto" w:fill="FFFFFF"/>
            <w:vAlign w:val="center"/>
          </w:tcPr>
          <w:p w14:paraId="62500DBA" w14:textId="26B11963" w:rsidR="00F1403D" w:rsidRPr="00332CA4" w:rsidRDefault="00B271DB" w:rsidP="00F1403D">
            <w:pPr>
              <w:jc w:val="center"/>
              <w:rPr>
                <w:rFonts w:cs="Arial"/>
                <w:color w:val="000000" w:themeColor="text1"/>
                <w:szCs w:val="18"/>
              </w:rPr>
            </w:pPr>
            <w:r w:rsidRPr="00332CA4">
              <w:rPr>
                <w:rFonts w:cs="Arial"/>
                <w:color w:val="000000" w:themeColor="text1"/>
                <w:szCs w:val="18"/>
              </w:rPr>
              <w:t>1.7</w:t>
            </w:r>
          </w:p>
        </w:tc>
      </w:tr>
      <w:tr w:rsidR="00F1403D" w:rsidRPr="00332CA4" w14:paraId="3ABC8DD0" w14:textId="77777777" w:rsidTr="00F1403D">
        <w:trPr>
          <w:trHeight w:val="259"/>
          <w:jc w:val="center"/>
        </w:trPr>
        <w:tc>
          <w:tcPr>
            <w:tcW w:w="1555" w:type="dxa"/>
            <w:tcBorders>
              <w:top w:val="nil"/>
              <w:bottom w:val="nil"/>
            </w:tcBorders>
            <w:shd w:val="clear" w:color="auto" w:fill="FFFFFF"/>
            <w:vAlign w:val="center"/>
          </w:tcPr>
          <w:p w14:paraId="108EEA45" w14:textId="4510D773" w:rsidR="00F1403D" w:rsidRPr="00332CA4" w:rsidRDefault="00F1403D" w:rsidP="00F1403D">
            <w:pPr>
              <w:ind w:left="284"/>
              <w:jc w:val="left"/>
              <w:rPr>
                <w:b/>
                <w:i/>
                <w:color w:val="000000" w:themeColor="text1"/>
              </w:rPr>
            </w:pPr>
            <w:r w:rsidRPr="00332CA4">
              <w:rPr>
                <w:b/>
                <w:i/>
                <w:color w:val="000000" w:themeColor="text1"/>
              </w:rPr>
              <w:t>Mn</w:t>
            </w:r>
          </w:p>
        </w:tc>
        <w:tc>
          <w:tcPr>
            <w:tcW w:w="887" w:type="dxa"/>
            <w:tcBorders>
              <w:top w:val="nil"/>
              <w:bottom w:val="nil"/>
            </w:tcBorders>
            <w:shd w:val="clear" w:color="auto" w:fill="FFFFFF"/>
            <w:vAlign w:val="center"/>
          </w:tcPr>
          <w:p w14:paraId="55BE1276" w14:textId="015B0B88" w:rsidR="00F1403D" w:rsidRPr="00332CA4" w:rsidRDefault="00645210" w:rsidP="00F1403D">
            <w:pPr>
              <w:ind w:right="-1"/>
              <w:jc w:val="center"/>
              <w:rPr>
                <w:rFonts w:cs="Arial"/>
                <w:color w:val="000000" w:themeColor="text1"/>
                <w:szCs w:val="18"/>
              </w:rPr>
            </w:pPr>
            <w:r w:rsidRPr="00332CA4">
              <w:rPr>
                <w:rFonts w:cs="Arial"/>
                <w:color w:val="000000" w:themeColor="text1"/>
                <w:szCs w:val="18"/>
              </w:rPr>
              <w:t>0.</w:t>
            </w:r>
            <w:r w:rsidR="00335811" w:rsidRPr="00332CA4">
              <w:rPr>
                <w:rFonts w:cs="Arial"/>
                <w:color w:val="000000" w:themeColor="text1"/>
                <w:szCs w:val="18"/>
              </w:rPr>
              <w:t>6</w:t>
            </w:r>
          </w:p>
        </w:tc>
        <w:tc>
          <w:tcPr>
            <w:tcW w:w="887" w:type="dxa"/>
            <w:tcBorders>
              <w:top w:val="nil"/>
              <w:bottom w:val="nil"/>
            </w:tcBorders>
            <w:shd w:val="clear" w:color="auto" w:fill="FFFFFF"/>
            <w:vAlign w:val="center"/>
          </w:tcPr>
          <w:p w14:paraId="77D717F3" w14:textId="0EF7362D" w:rsidR="00F1403D" w:rsidRPr="00332CA4" w:rsidRDefault="00B271DB" w:rsidP="00F1403D">
            <w:pPr>
              <w:jc w:val="center"/>
              <w:rPr>
                <w:rFonts w:cs="Arial"/>
                <w:color w:val="000000" w:themeColor="text1"/>
                <w:szCs w:val="18"/>
              </w:rPr>
            </w:pPr>
            <w:r w:rsidRPr="00332CA4">
              <w:rPr>
                <w:rFonts w:cs="Arial"/>
                <w:color w:val="000000" w:themeColor="text1"/>
                <w:szCs w:val="18"/>
              </w:rPr>
              <w:t>0.</w:t>
            </w:r>
            <w:r w:rsidR="00335811" w:rsidRPr="00332CA4">
              <w:rPr>
                <w:rFonts w:cs="Arial"/>
                <w:color w:val="000000" w:themeColor="text1"/>
                <w:szCs w:val="18"/>
              </w:rPr>
              <w:t>9</w:t>
            </w:r>
          </w:p>
        </w:tc>
        <w:tc>
          <w:tcPr>
            <w:tcW w:w="891" w:type="dxa"/>
            <w:tcBorders>
              <w:top w:val="nil"/>
              <w:bottom w:val="nil"/>
            </w:tcBorders>
            <w:shd w:val="clear" w:color="auto" w:fill="FFFFFF"/>
            <w:vAlign w:val="center"/>
          </w:tcPr>
          <w:p w14:paraId="11BEB260" w14:textId="1AB1F388" w:rsidR="00F1403D" w:rsidRPr="00332CA4" w:rsidRDefault="00645210" w:rsidP="00F1403D">
            <w:pPr>
              <w:jc w:val="center"/>
              <w:rPr>
                <w:rFonts w:cs="Arial"/>
                <w:color w:val="000000" w:themeColor="text1"/>
                <w:szCs w:val="18"/>
              </w:rPr>
            </w:pPr>
            <w:r w:rsidRPr="00332CA4">
              <w:rPr>
                <w:rFonts w:cs="Arial"/>
                <w:color w:val="000000" w:themeColor="text1"/>
                <w:szCs w:val="18"/>
              </w:rPr>
              <w:t>1.</w:t>
            </w:r>
            <w:r w:rsidR="00B271DB" w:rsidRPr="00332CA4">
              <w:rPr>
                <w:rFonts w:cs="Arial"/>
                <w:color w:val="000000" w:themeColor="text1"/>
                <w:szCs w:val="18"/>
              </w:rPr>
              <w:t>6</w:t>
            </w:r>
          </w:p>
        </w:tc>
        <w:tc>
          <w:tcPr>
            <w:tcW w:w="285" w:type="dxa"/>
            <w:tcBorders>
              <w:top w:val="nil"/>
              <w:bottom w:val="nil"/>
            </w:tcBorders>
            <w:shd w:val="clear" w:color="auto" w:fill="FFFFFF"/>
            <w:vAlign w:val="center"/>
          </w:tcPr>
          <w:p w14:paraId="5BCDD255" w14:textId="77777777" w:rsidR="00F1403D" w:rsidRPr="00332CA4" w:rsidRDefault="00F1403D" w:rsidP="00F1403D">
            <w:pPr>
              <w:jc w:val="center"/>
              <w:rPr>
                <w:rFonts w:cs="Arial"/>
                <w:color w:val="000000" w:themeColor="text1"/>
                <w:szCs w:val="18"/>
              </w:rPr>
            </w:pPr>
          </w:p>
        </w:tc>
        <w:tc>
          <w:tcPr>
            <w:tcW w:w="889" w:type="dxa"/>
            <w:tcBorders>
              <w:top w:val="nil"/>
              <w:bottom w:val="nil"/>
            </w:tcBorders>
            <w:shd w:val="clear" w:color="auto" w:fill="FFFFFF"/>
            <w:vAlign w:val="center"/>
          </w:tcPr>
          <w:p w14:paraId="020AEF55" w14:textId="0B0FB8D5" w:rsidR="00F1403D" w:rsidRPr="00332CA4" w:rsidRDefault="00645210" w:rsidP="00F1403D">
            <w:pPr>
              <w:jc w:val="center"/>
              <w:rPr>
                <w:rFonts w:cs="Arial"/>
                <w:color w:val="000000" w:themeColor="text1"/>
                <w:szCs w:val="18"/>
              </w:rPr>
            </w:pPr>
            <w:r w:rsidRPr="00332CA4">
              <w:rPr>
                <w:rFonts w:cs="Arial"/>
                <w:color w:val="000000" w:themeColor="text1"/>
                <w:szCs w:val="18"/>
              </w:rPr>
              <w:t>0.</w:t>
            </w:r>
            <w:r w:rsidR="00335811" w:rsidRPr="00332CA4">
              <w:rPr>
                <w:rFonts w:cs="Arial"/>
                <w:color w:val="000000" w:themeColor="text1"/>
                <w:szCs w:val="18"/>
              </w:rPr>
              <w:t>6</w:t>
            </w:r>
          </w:p>
        </w:tc>
        <w:tc>
          <w:tcPr>
            <w:tcW w:w="889" w:type="dxa"/>
            <w:tcBorders>
              <w:top w:val="nil"/>
              <w:bottom w:val="nil"/>
            </w:tcBorders>
            <w:shd w:val="clear" w:color="auto" w:fill="FFFFFF"/>
            <w:vAlign w:val="center"/>
          </w:tcPr>
          <w:p w14:paraId="788C4B4B" w14:textId="4682B41D" w:rsidR="00F1403D" w:rsidRPr="00332CA4" w:rsidRDefault="00B271DB" w:rsidP="00F1403D">
            <w:pPr>
              <w:jc w:val="center"/>
              <w:rPr>
                <w:rFonts w:cs="Arial"/>
                <w:color w:val="000000" w:themeColor="text1"/>
                <w:szCs w:val="18"/>
              </w:rPr>
            </w:pPr>
            <w:r w:rsidRPr="00332CA4">
              <w:rPr>
                <w:rFonts w:cs="Arial"/>
                <w:color w:val="000000" w:themeColor="text1"/>
                <w:szCs w:val="18"/>
              </w:rPr>
              <w:t>0.</w:t>
            </w:r>
            <w:r w:rsidR="00335811" w:rsidRPr="00332CA4">
              <w:rPr>
                <w:rFonts w:cs="Arial"/>
                <w:color w:val="000000" w:themeColor="text1"/>
                <w:szCs w:val="18"/>
              </w:rPr>
              <w:t>7</w:t>
            </w:r>
          </w:p>
        </w:tc>
        <w:tc>
          <w:tcPr>
            <w:tcW w:w="891" w:type="dxa"/>
            <w:tcBorders>
              <w:top w:val="nil"/>
              <w:bottom w:val="nil"/>
            </w:tcBorders>
            <w:shd w:val="clear" w:color="auto" w:fill="FFFFFF"/>
            <w:vAlign w:val="center"/>
          </w:tcPr>
          <w:p w14:paraId="39317E06" w14:textId="6CE10A72" w:rsidR="00F1403D" w:rsidRPr="00332CA4" w:rsidRDefault="00645210" w:rsidP="00F1403D">
            <w:pPr>
              <w:jc w:val="center"/>
              <w:rPr>
                <w:rFonts w:cs="Arial"/>
                <w:color w:val="000000" w:themeColor="text1"/>
                <w:szCs w:val="18"/>
              </w:rPr>
            </w:pPr>
            <w:r w:rsidRPr="00332CA4">
              <w:rPr>
                <w:rFonts w:cs="Arial"/>
                <w:color w:val="000000" w:themeColor="text1"/>
                <w:szCs w:val="18"/>
              </w:rPr>
              <w:t>1.</w:t>
            </w:r>
            <w:r w:rsidR="00335811" w:rsidRPr="00332CA4">
              <w:rPr>
                <w:rFonts w:cs="Arial"/>
                <w:color w:val="000000" w:themeColor="text1"/>
                <w:szCs w:val="18"/>
              </w:rPr>
              <w:t>5</w:t>
            </w:r>
          </w:p>
        </w:tc>
      </w:tr>
      <w:tr w:rsidR="00F1403D" w:rsidRPr="00332CA4" w14:paraId="02A979CF" w14:textId="77777777" w:rsidTr="00F1403D">
        <w:trPr>
          <w:trHeight w:val="259"/>
          <w:jc w:val="center"/>
        </w:trPr>
        <w:tc>
          <w:tcPr>
            <w:tcW w:w="1555" w:type="dxa"/>
            <w:tcBorders>
              <w:top w:val="nil"/>
              <w:bottom w:val="single" w:sz="12" w:space="0" w:color="006C31"/>
            </w:tcBorders>
            <w:shd w:val="clear" w:color="auto" w:fill="FFFFFF"/>
          </w:tcPr>
          <w:p w14:paraId="7225F8F0" w14:textId="7E07305C" w:rsidR="00F1403D" w:rsidRPr="00332CA4" w:rsidRDefault="00F1403D" w:rsidP="00F1403D">
            <w:pPr>
              <w:ind w:left="284" w:right="-1"/>
              <w:rPr>
                <w:rFonts w:cs="Arial"/>
                <w:b/>
                <w:i/>
                <w:color w:val="000000" w:themeColor="text1"/>
                <w:szCs w:val="18"/>
              </w:rPr>
            </w:pPr>
            <w:r w:rsidRPr="00332CA4">
              <w:rPr>
                <w:rFonts w:cs="Arial"/>
                <w:b/>
                <w:i/>
                <w:color w:val="000000" w:themeColor="text1"/>
                <w:szCs w:val="18"/>
              </w:rPr>
              <w:t>Co</w:t>
            </w:r>
          </w:p>
        </w:tc>
        <w:tc>
          <w:tcPr>
            <w:tcW w:w="887" w:type="dxa"/>
            <w:tcBorders>
              <w:top w:val="nil"/>
              <w:bottom w:val="single" w:sz="12" w:space="0" w:color="006C31"/>
            </w:tcBorders>
            <w:shd w:val="clear" w:color="auto" w:fill="FFFFFF"/>
            <w:vAlign w:val="center"/>
          </w:tcPr>
          <w:p w14:paraId="35CBFAC9" w14:textId="1CD621BF" w:rsidR="00F1403D" w:rsidRPr="00332CA4" w:rsidRDefault="00645210" w:rsidP="00F1403D">
            <w:pPr>
              <w:ind w:right="-1"/>
              <w:jc w:val="center"/>
              <w:rPr>
                <w:rFonts w:cs="Arial"/>
                <w:color w:val="000000" w:themeColor="text1"/>
                <w:szCs w:val="18"/>
              </w:rPr>
            </w:pPr>
            <w:r w:rsidRPr="00332CA4">
              <w:rPr>
                <w:rFonts w:cs="Arial"/>
                <w:color w:val="000000" w:themeColor="text1"/>
                <w:szCs w:val="18"/>
              </w:rPr>
              <w:t>0.6</w:t>
            </w:r>
          </w:p>
        </w:tc>
        <w:tc>
          <w:tcPr>
            <w:tcW w:w="887" w:type="dxa"/>
            <w:tcBorders>
              <w:top w:val="nil"/>
              <w:bottom w:val="single" w:sz="12" w:space="0" w:color="006C31"/>
            </w:tcBorders>
            <w:shd w:val="clear" w:color="auto" w:fill="FFFFFF"/>
            <w:vAlign w:val="center"/>
          </w:tcPr>
          <w:p w14:paraId="6D60D01A" w14:textId="678E4421" w:rsidR="00F1403D" w:rsidRPr="00332CA4" w:rsidRDefault="00645210" w:rsidP="00F1403D">
            <w:pPr>
              <w:jc w:val="center"/>
              <w:rPr>
                <w:rFonts w:cs="Arial"/>
                <w:color w:val="000000" w:themeColor="text1"/>
                <w:szCs w:val="18"/>
              </w:rPr>
            </w:pPr>
            <w:r w:rsidRPr="00332CA4">
              <w:rPr>
                <w:rFonts w:cs="Arial"/>
                <w:color w:val="000000" w:themeColor="text1"/>
                <w:szCs w:val="18"/>
              </w:rPr>
              <w:t>1.</w:t>
            </w:r>
            <w:r w:rsidR="00335811" w:rsidRPr="00332CA4">
              <w:rPr>
                <w:rFonts w:cs="Arial"/>
                <w:color w:val="000000" w:themeColor="text1"/>
                <w:szCs w:val="18"/>
              </w:rPr>
              <w:t>1</w:t>
            </w:r>
          </w:p>
        </w:tc>
        <w:tc>
          <w:tcPr>
            <w:tcW w:w="891" w:type="dxa"/>
            <w:tcBorders>
              <w:top w:val="nil"/>
              <w:bottom w:val="single" w:sz="12" w:space="0" w:color="006C31"/>
            </w:tcBorders>
            <w:shd w:val="clear" w:color="auto" w:fill="FFFFFF"/>
            <w:vAlign w:val="center"/>
          </w:tcPr>
          <w:p w14:paraId="361C628B" w14:textId="38E195CD" w:rsidR="00F1403D" w:rsidRPr="00332CA4" w:rsidRDefault="00B271DB" w:rsidP="00F1403D">
            <w:pPr>
              <w:jc w:val="center"/>
              <w:rPr>
                <w:rFonts w:cs="Arial"/>
                <w:color w:val="000000" w:themeColor="text1"/>
                <w:szCs w:val="18"/>
              </w:rPr>
            </w:pPr>
            <w:r w:rsidRPr="00332CA4">
              <w:rPr>
                <w:rFonts w:cs="Arial"/>
                <w:color w:val="000000" w:themeColor="text1"/>
                <w:szCs w:val="18"/>
              </w:rPr>
              <w:t>1.</w:t>
            </w:r>
            <w:r w:rsidR="00335811" w:rsidRPr="00332CA4">
              <w:rPr>
                <w:rFonts w:cs="Arial"/>
                <w:color w:val="000000" w:themeColor="text1"/>
                <w:szCs w:val="18"/>
              </w:rPr>
              <w:t>9</w:t>
            </w:r>
          </w:p>
        </w:tc>
        <w:tc>
          <w:tcPr>
            <w:tcW w:w="285" w:type="dxa"/>
            <w:tcBorders>
              <w:top w:val="nil"/>
              <w:bottom w:val="single" w:sz="12" w:space="0" w:color="006C31"/>
            </w:tcBorders>
            <w:shd w:val="clear" w:color="auto" w:fill="FFFFFF"/>
            <w:vAlign w:val="center"/>
          </w:tcPr>
          <w:p w14:paraId="01BF0018" w14:textId="77777777" w:rsidR="00F1403D" w:rsidRPr="00332CA4" w:rsidRDefault="00F1403D" w:rsidP="00F1403D">
            <w:pPr>
              <w:jc w:val="center"/>
              <w:rPr>
                <w:rFonts w:cs="Arial"/>
                <w:color w:val="000000" w:themeColor="text1"/>
                <w:szCs w:val="18"/>
              </w:rPr>
            </w:pPr>
          </w:p>
        </w:tc>
        <w:tc>
          <w:tcPr>
            <w:tcW w:w="889" w:type="dxa"/>
            <w:tcBorders>
              <w:top w:val="nil"/>
              <w:bottom w:val="single" w:sz="12" w:space="0" w:color="006C31"/>
            </w:tcBorders>
            <w:shd w:val="clear" w:color="auto" w:fill="FFFFFF"/>
            <w:vAlign w:val="center"/>
          </w:tcPr>
          <w:p w14:paraId="1773544A" w14:textId="75327B46" w:rsidR="00F1403D" w:rsidRPr="00332CA4" w:rsidRDefault="00645210" w:rsidP="00F1403D">
            <w:pPr>
              <w:jc w:val="center"/>
              <w:rPr>
                <w:rFonts w:cs="Arial"/>
                <w:color w:val="000000" w:themeColor="text1"/>
                <w:szCs w:val="18"/>
              </w:rPr>
            </w:pPr>
            <w:r w:rsidRPr="00332CA4">
              <w:rPr>
                <w:rFonts w:cs="Arial"/>
                <w:color w:val="000000" w:themeColor="text1"/>
                <w:szCs w:val="18"/>
              </w:rPr>
              <w:t>0.</w:t>
            </w:r>
            <w:r w:rsidR="00B271DB" w:rsidRPr="00332CA4">
              <w:rPr>
                <w:rFonts w:cs="Arial"/>
                <w:color w:val="000000" w:themeColor="text1"/>
                <w:szCs w:val="18"/>
              </w:rPr>
              <w:t>5</w:t>
            </w:r>
          </w:p>
        </w:tc>
        <w:tc>
          <w:tcPr>
            <w:tcW w:w="889" w:type="dxa"/>
            <w:tcBorders>
              <w:top w:val="nil"/>
              <w:bottom w:val="single" w:sz="12" w:space="0" w:color="006C31"/>
            </w:tcBorders>
            <w:shd w:val="clear" w:color="auto" w:fill="FFFFFF"/>
            <w:vAlign w:val="center"/>
          </w:tcPr>
          <w:p w14:paraId="3E755DDF" w14:textId="1F449FBF" w:rsidR="00F1403D" w:rsidRPr="00332CA4" w:rsidRDefault="00B271DB" w:rsidP="00F1403D">
            <w:pPr>
              <w:jc w:val="center"/>
              <w:rPr>
                <w:rFonts w:cs="Arial"/>
                <w:color w:val="000000" w:themeColor="text1"/>
                <w:szCs w:val="18"/>
              </w:rPr>
            </w:pPr>
            <w:r w:rsidRPr="00332CA4">
              <w:rPr>
                <w:rFonts w:cs="Arial"/>
                <w:color w:val="000000" w:themeColor="text1"/>
                <w:szCs w:val="18"/>
              </w:rPr>
              <w:t>0.8</w:t>
            </w:r>
          </w:p>
        </w:tc>
        <w:tc>
          <w:tcPr>
            <w:tcW w:w="891" w:type="dxa"/>
            <w:tcBorders>
              <w:top w:val="nil"/>
              <w:bottom w:val="single" w:sz="12" w:space="0" w:color="006C31"/>
            </w:tcBorders>
            <w:shd w:val="clear" w:color="auto" w:fill="FFFFFF"/>
            <w:vAlign w:val="center"/>
          </w:tcPr>
          <w:p w14:paraId="379F0D54" w14:textId="6587C1D4" w:rsidR="00F1403D" w:rsidRPr="00332CA4" w:rsidRDefault="00645210" w:rsidP="00F1403D">
            <w:pPr>
              <w:jc w:val="center"/>
              <w:rPr>
                <w:rFonts w:cs="Arial"/>
                <w:color w:val="000000" w:themeColor="text1"/>
                <w:szCs w:val="18"/>
              </w:rPr>
            </w:pPr>
            <w:r w:rsidRPr="00332CA4">
              <w:rPr>
                <w:rFonts w:cs="Arial"/>
                <w:color w:val="000000" w:themeColor="text1"/>
                <w:szCs w:val="18"/>
              </w:rPr>
              <w:t>1.</w:t>
            </w:r>
            <w:r w:rsidR="00335811" w:rsidRPr="00332CA4">
              <w:rPr>
                <w:rFonts w:cs="Arial"/>
                <w:color w:val="000000" w:themeColor="text1"/>
                <w:szCs w:val="18"/>
              </w:rPr>
              <w:t>7</w:t>
            </w:r>
          </w:p>
        </w:tc>
      </w:tr>
    </w:tbl>
    <w:p w14:paraId="257445A3" w14:textId="77777777" w:rsidR="00B113BE" w:rsidRPr="00332CA4" w:rsidRDefault="00B113BE" w:rsidP="002059E8">
      <w:pPr>
        <w:pStyle w:val="CETBodytext"/>
        <w:rPr>
          <w:lang w:val="en-GB"/>
        </w:rPr>
      </w:pPr>
    </w:p>
    <w:p w14:paraId="46EC7396" w14:textId="781B1901" w:rsidR="0063664A" w:rsidRPr="0063664A" w:rsidRDefault="00F1403D" w:rsidP="0063664A">
      <w:pPr>
        <w:pStyle w:val="CETBodytext"/>
        <w:rPr>
          <w:highlight w:val="yellow"/>
          <w:lang w:val="en-GB"/>
        </w:rPr>
      </w:pPr>
      <w:r w:rsidRPr="00332CA4">
        <w:rPr>
          <w:lang w:val="en-GB"/>
        </w:rPr>
        <w:t xml:space="preserve">The data in the table clearly show that </w:t>
      </w:r>
      <w:r w:rsidR="00516D5F" w:rsidRPr="00332CA4">
        <w:rPr>
          <w:highlight w:val="yellow"/>
          <w:lang w:val="en-GB"/>
        </w:rPr>
        <w:t>S,</w:t>
      </w:r>
      <w:r w:rsidR="00516D5F" w:rsidRPr="00332CA4">
        <w:rPr>
          <w:lang w:val="en-GB"/>
        </w:rPr>
        <w:t xml:space="preserve"> </w:t>
      </w:r>
      <w:r w:rsidRPr="00332CA4">
        <w:rPr>
          <w:lang w:val="en-GB"/>
        </w:rPr>
        <w:t>Li, Ni, Mn, and Co were detectable in the sul</w:t>
      </w:r>
      <w:r w:rsidR="003E6577" w:rsidRPr="00332CA4">
        <w:rPr>
          <w:lang w:val="en-GB"/>
        </w:rPr>
        <w:t>ph</w:t>
      </w:r>
      <w:r w:rsidRPr="00332CA4">
        <w:rPr>
          <w:lang w:val="en-GB"/>
        </w:rPr>
        <w:t>ate-containing solutions, whereas the Li content was significantly lower in the solutions containing metal</w:t>
      </w:r>
      <w:r w:rsidR="003E6577" w:rsidRPr="00332CA4">
        <w:rPr>
          <w:lang w:val="en-GB"/>
        </w:rPr>
        <w:t>-</w:t>
      </w:r>
      <w:r w:rsidRPr="00332CA4">
        <w:rPr>
          <w:lang w:val="en-GB"/>
        </w:rPr>
        <w:t xml:space="preserve">nitrates. </w:t>
      </w:r>
      <w:r w:rsidR="003E6577" w:rsidRPr="00332CA4">
        <w:rPr>
          <w:lang w:val="en-GB"/>
        </w:rPr>
        <w:t>For this reason,</w:t>
      </w:r>
      <w:r w:rsidRPr="00332CA4">
        <w:rPr>
          <w:lang w:val="en-GB"/>
        </w:rPr>
        <w:t xml:space="preserve"> the </w:t>
      </w:r>
      <w:r w:rsidR="003E6577" w:rsidRPr="00332CA4">
        <w:rPr>
          <w:lang w:val="en-GB"/>
        </w:rPr>
        <w:t xml:space="preserve">better </w:t>
      </w:r>
      <w:r w:rsidRPr="00332CA4">
        <w:rPr>
          <w:lang w:val="en-GB"/>
        </w:rPr>
        <w:t>solubility of Li</w:t>
      </w:r>
      <w:r w:rsidRPr="00332CA4">
        <w:rPr>
          <w:vertAlign w:val="subscript"/>
          <w:lang w:val="en-GB"/>
        </w:rPr>
        <w:t>2</w:t>
      </w:r>
      <w:r w:rsidRPr="00332CA4">
        <w:rPr>
          <w:lang w:val="en-GB"/>
        </w:rPr>
        <w:t>CO</w:t>
      </w:r>
      <w:r w:rsidRPr="00332CA4">
        <w:rPr>
          <w:vertAlign w:val="subscript"/>
          <w:lang w:val="en-GB"/>
        </w:rPr>
        <w:t>3</w:t>
      </w:r>
      <w:r w:rsidRPr="00332CA4">
        <w:rPr>
          <w:lang w:val="en-GB"/>
        </w:rPr>
        <w:t xml:space="preserve"> </w:t>
      </w:r>
      <w:r w:rsidR="003E6577" w:rsidRPr="00332CA4">
        <w:rPr>
          <w:lang w:val="en-GB"/>
        </w:rPr>
        <w:t>can be blamed compared by</w:t>
      </w:r>
      <w:r w:rsidRPr="00332CA4">
        <w:rPr>
          <w:lang w:val="en-GB"/>
        </w:rPr>
        <w:t xml:space="preserve"> that of the other metal carbonates.</w:t>
      </w:r>
      <w:r w:rsidR="00516D5F" w:rsidRPr="00332CA4">
        <w:rPr>
          <w:lang w:val="en-GB"/>
        </w:rPr>
        <w:t xml:space="preserve"> </w:t>
      </w:r>
      <w:r w:rsidRPr="00332CA4">
        <w:rPr>
          <w:lang w:val="en-GB"/>
        </w:rPr>
        <w:t xml:space="preserve">Consequently, following filtration after carbonate formation, the precipitate becomes enriched in Ni, Mn, and Co, while its Li content is lower, as the majority of the Li remains in the </w:t>
      </w:r>
      <w:r w:rsidR="003E6577" w:rsidRPr="00332CA4">
        <w:rPr>
          <w:lang w:val="en-GB"/>
        </w:rPr>
        <w:t>filtrate</w:t>
      </w:r>
      <w:r w:rsidRPr="00332CA4">
        <w:rPr>
          <w:lang w:val="en-GB"/>
        </w:rPr>
        <w:t xml:space="preserve"> due to the higher solubility of Li</w:t>
      </w:r>
      <w:r w:rsidR="0098542B" w:rsidRPr="00332CA4">
        <w:rPr>
          <w:vertAlign w:val="subscript"/>
          <w:lang w:val="en-GB"/>
        </w:rPr>
        <w:t>2</w:t>
      </w:r>
      <w:r w:rsidRPr="00332CA4">
        <w:rPr>
          <w:lang w:val="en-GB"/>
        </w:rPr>
        <w:t>CO</w:t>
      </w:r>
      <w:r w:rsidR="0098542B" w:rsidRPr="00332CA4">
        <w:rPr>
          <w:vertAlign w:val="subscript"/>
          <w:lang w:val="en-GB"/>
        </w:rPr>
        <w:t>3</w:t>
      </w:r>
      <w:r w:rsidRPr="00332CA4">
        <w:rPr>
          <w:lang w:val="en-GB"/>
        </w:rPr>
        <w:t>.</w:t>
      </w:r>
      <w:r w:rsidR="00250278" w:rsidRPr="00332CA4">
        <w:rPr>
          <w:lang w:val="en-GB"/>
        </w:rPr>
        <w:t xml:space="preserve"> </w:t>
      </w:r>
      <w:r w:rsidR="00250278" w:rsidRPr="00332CA4">
        <w:rPr>
          <w:highlight w:val="yellow"/>
          <w:lang w:val="en-GB"/>
        </w:rPr>
        <w:t xml:space="preserve">The sulphate-based catalysts also contained 1.5-3.9% sulphur, which was most likely attributed to the presence of surface sulphate compounds. </w:t>
      </w:r>
      <w:r w:rsidR="00250278" w:rsidRPr="00250278">
        <w:rPr>
          <w:highlight w:val="yellow"/>
          <w:lang w:val="en-GB"/>
        </w:rPr>
        <w:t xml:space="preserve">During impregnation, Ni, Mn, and Co ions interact with the ion-exchange and adsorption sites of the zeolite, while the subsequent washing removes most of the unbound metal and sulphate </w:t>
      </w:r>
      <w:r w:rsidR="00250278" w:rsidRPr="00332CA4">
        <w:rPr>
          <w:highlight w:val="yellow"/>
          <w:lang w:val="en-GB"/>
        </w:rPr>
        <w:t>compounds</w:t>
      </w:r>
      <w:r w:rsidR="00250278" w:rsidRPr="00250278">
        <w:rPr>
          <w:highlight w:val="yellow"/>
          <w:lang w:val="en-GB"/>
        </w:rPr>
        <w:t xml:space="preserve">. However, a fraction of the sulphate species can remain strongly adsorbed or chemically bound to the metal-containing surface sites and may persist after calcination at 600 °C as thermally stable surface sulphate </w:t>
      </w:r>
      <w:r w:rsidR="00250278" w:rsidRPr="00332CA4">
        <w:rPr>
          <w:highlight w:val="yellow"/>
          <w:lang w:val="en-GB"/>
        </w:rPr>
        <w:t xml:space="preserve">compounds. </w:t>
      </w:r>
      <w:r w:rsidR="003E6577" w:rsidRPr="00332CA4">
        <w:rPr>
          <w:lang w:val="en-GB"/>
        </w:rPr>
        <w:t>The BET surface area of the catalysts was in the range of 316-380m</w:t>
      </w:r>
      <w:r w:rsidR="003E6577" w:rsidRPr="00332CA4">
        <w:rPr>
          <w:vertAlign w:val="superscript"/>
          <w:lang w:val="en-GB"/>
        </w:rPr>
        <w:t>2</w:t>
      </w:r>
      <w:r w:rsidR="003E6577" w:rsidRPr="00332CA4">
        <w:rPr>
          <w:lang w:val="en-GB"/>
        </w:rPr>
        <w:t>/g, while that of BJH surface area 52-86m</w:t>
      </w:r>
      <w:r w:rsidR="003E6577" w:rsidRPr="00332CA4">
        <w:rPr>
          <w:vertAlign w:val="superscript"/>
          <w:lang w:val="en-GB"/>
        </w:rPr>
        <w:t>2</w:t>
      </w:r>
      <w:r w:rsidR="003E6577" w:rsidRPr="00332CA4">
        <w:rPr>
          <w:lang w:val="en-GB"/>
        </w:rPr>
        <w:t xml:space="preserve">/g. In both cases, the surfaces areas decreased as function of metal-salt concentration. Regarding the Si/Al ratio, no </w:t>
      </w:r>
      <w:r w:rsidR="003E6577" w:rsidRPr="00332CA4">
        <w:rPr>
          <w:color w:val="000000" w:themeColor="text1"/>
          <w:lang w:val="en-GB"/>
        </w:rPr>
        <w:t>significant differences was observed, which refers that the main structure of zeolite does not changed during the treatment.</w:t>
      </w:r>
      <w:r w:rsidR="0063664A" w:rsidRPr="0063664A">
        <w:rPr>
          <w:lang w:val="en-GB"/>
        </w:rPr>
        <w:t xml:space="preserve"> </w:t>
      </w:r>
      <w:r w:rsidR="0063664A" w:rsidRPr="0063664A">
        <w:rPr>
          <w:highlight w:val="yellow"/>
          <w:lang w:val="en-GB"/>
        </w:rPr>
        <w:t>The XRD results of the catalysts are presented in Figure 2. The results indicate that, after calcination, sulphur-containing species, primarily transition-metal compounds associated with sulphate groups, were present on the sulphate-based catalysts. In contrast, the transition metals in the nitrate-based catalysts were predominantly present in their oxide forms.</w:t>
      </w:r>
    </w:p>
    <w:p w14:paraId="1DCDBE15" w14:textId="7901EE89" w:rsidR="008A57E4" w:rsidRPr="0063664A" w:rsidRDefault="008A57E4" w:rsidP="002059E8">
      <w:pPr>
        <w:pStyle w:val="CETBodytext"/>
        <w:rPr>
          <w:highlight w:val="yellow"/>
          <w:lang w:val="en-GB"/>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394"/>
      </w:tblGrid>
      <w:tr w:rsidR="006061D0" w:rsidRPr="0063664A" w14:paraId="06330175" w14:textId="77777777" w:rsidTr="0063664A">
        <w:tc>
          <w:tcPr>
            <w:tcW w:w="4388" w:type="dxa"/>
          </w:tcPr>
          <w:p w14:paraId="40FAD3E1" w14:textId="326E4CE1" w:rsidR="006061D0" w:rsidRPr="0063664A" w:rsidRDefault="008D6B5A" w:rsidP="002059E8">
            <w:pPr>
              <w:pStyle w:val="CETBodytext"/>
              <w:rPr>
                <w:color w:val="FF0000"/>
                <w:highlight w:val="yellow"/>
                <w:lang w:val="en-GB"/>
              </w:rPr>
            </w:pPr>
            <w:r w:rsidRPr="0063664A">
              <w:rPr>
                <w:noProof/>
                <w:highlight w:val="yellow"/>
              </w:rPr>
              <w:drawing>
                <wp:inline distT="0" distB="0" distL="0" distR="0" wp14:anchorId="4C881CCB" wp14:editId="3C51A165">
                  <wp:extent cx="2700000" cy="1260000"/>
                  <wp:effectExtent l="0" t="0" r="5715" b="0"/>
                  <wp:docPr id="8" name="Kép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12"/>
                          <a:stretch>
                            <a:fillRect/>
                          </a:stretch>
                        </pic:blipFill>
                        <pic:spPr>
                          <a:xfrm>
                            <a:off x="0" y="0"/>
                            <a:ext cx="2700000" cy="1260000"/>
                          </a:xfrm>
                          <a:prstGeom prst="rect">
                            <a:avLst/>
                          </a:prstGeom>
                        </pic:spPr>
                      </pic:pic>
                    </a:graphicData>
                  </a:graphic>
                </wp:inline>
              </w:drawing>
            </w:r>
          </w:p>
        </w:tc>
        <w:tc>
          <w:tcPr>
            <w:tcW w:w="4389" w:type="dxa"/>
          </w:tcPr>
          <w:p w14:paraId="719F4550" w14:textId="40ACAB0E" w:rsidR="006061D0" w:rsidRPr="0063664A" w:rsidRDefault="006061D0" w:rsidP="002059E8">
            <w:pPr>
              <w:pStyle w:val="CETBodytext"/>
              <w:rPr>
                <w:color w:val="FF0000"/>
                <w:highlight w:val="yellow"/>
                <w:lang w:val="en-GB"/>
              </w:rPr>
            </w:pPr>
            <w:r w:rsidRPr="0063664A">
              <w:rPr>
                <w:noProof/>
                <w:highlight w:val="yellow"/>
              </w:rPr>
              <w:drawing>
                <wp:inline distT="0" distB="0" distL="0" distR="0" wp14:anchorId="3B2B1A64" wp14:editId="67FFDAF9">
                  <wp:extent cx="2700000" cy="1260000"/>
                  <wp:effectExtent l="0" t="0" r="5715" b="0"/>
                  <wp:docPr id="7" name="Kép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13"/>
                          <a:stretch>
                            <a:fillRect/>
                          </a:stretch>
                        </pic:blipFill>
                        <pic:spPr>
                          <a:xfrm>
                            <a:off x="0" y="0"/>
                            <a:ext cx="2700000" cy="1260000"/>
                          </a:xfrm>
                          <a:prstGeom prst="rect">
                            <a:avLst/>
                          </a:prstGeom>
                        </pic:spPr>
                      </pic:pic>
                    </a:graphicData>
                  </a:graphic>
                </wp:inline>
              </w:drawing>
            </w:r>
          </w:p>
        </w:tc>
      </w:tr>
      <w:tr w:rsidR="0063664A" w:rsidRPr="0063664A" w14:paraId="16641068" w14:textId="77777777" w:rsidTr="0063664A">
        <w:tc>
          <w:tcPr>
            <w:tcW w:w="4388" w:type="dxa"/>
          </w:tcPr>
          <w:p w14:paraId="6DCB8E7D" w14:textId="42462E6F" w:rsidR="006061D0" w:rsidRPr="0063664A" w:rsidRDefault="0063664A" w:rsidP="0063664A">
            <w:pPr>
              <w:pStyle w:val="CETBodytext"/>
              <w:jc w:val="center"/>
              <w:rPr>
                <w:color w:val="000000" w:themeColor="text1"/>
                <w:highlight w:val="yellow"/>
                <w:lang w:val="en-GB"/>
              </w:rPr>
            </w:pPr>
            <w:r w:rsidRPr="0063664A">
              <w:rPr>
                <w:color w:val="000000" w:themeColor="text1"/>
                <w:highlight w:val="yellow"/>
                <w:lang w:val="en-GB"/>
              </w:rPr>
              <w:t>a)</w:t>
            </w:r>
          </w:p>
        </w:tc>
        <w:tc>
          <w:tcPr>
            <w:tcW w:w="4389" w:type="dxa"/>
          </w:tcPr>
          <w:p w14:paraId="352638F6" w14:textId="7EC8B7DE" w:rsidR="006061D0" w:rsidRPr="0063664A" w:rsidRDefault="0063664A" w:rsidP="0063664A">
            <w:pPr>
              <w:pStyle w:val="CETBodytext"/>
              <w:jc w:val="center"/>
              <w:rPr>
                <w:color w:val="000000" w:themeColor="text1"/>
                <w:highlight w:val="yellow"/>
                <w:lang w:val="en-GB"/>
              </w:rPr>
            </w:pPr>
            <w:r w:rsidRPr="0063664A">
              <w:rPr>
                <w:color w:val="000000" w:themeColor="text1"/>
                <w:highlight w:val="yellow"/>
                <w:lang w:val="en-GB"/>
              </w:rPr>
              <w:t>b)</w:t>
            </w:r>
          </w:p>
        </w:tc>
      </w:tr>
    </w:tbl>
    <w:p w14:paraId="5A570509" w14:textId="27090B10" w:rsidR="008A57E4" w:rsidRPr="00332CA4" w:rsidRDefault="008A57E4" w:rsidP="008A57E4">
      <w:pPr>
        <w:pStyle w:val="CETReferencetext"/>
        <w:rPr>
          <w:i/>
        </w:rPr>
      </w:pPr>
      <w:r w:rsidRPr="0063664A">
        <w:rPr>
          <w:i/>
          <w:highlight w:val="yellow"/>
        </w:rPr>
        <w:t>Figure 2: XRD result of sulphate-based ZSM-5 (a) and nitrate-based ZSM-5 (b) catalysts</w:t>
      </w:r>
    </w:p>
    <w:p w14:paraId="66AAB119" w14:textId="3797BE94" w:rsidR="0064308F" w:rsidRPr="00332CA4" w:rsidRDefault="0064308F" w:rsidP="0064308F">
      <w:pPr>
        <w:pStyle w:val="CETheadingx"/>
        <w:numPr>
          <w:ilvl w:val="2"/>
          <w:numId w:val="1"/>
        </w:numPr>
        <w:spacing w:before="240"/>
        <w:rPr>
          <w:color w:val="000000" w:themeColor="text1"/>
          <w:lang w:val="en-GB"/>
        </w:rPr>
      </w:pPr>
      <w:r w:rsidRPr="00332CA4">
        <w:rPr>
          <w:color w:val="000000" w:themeColor="text1"/>
          <w:lang w:val="en-GB"/>
        </w:rPr>
        <w:t>Pyrolysis-gasification</w:t>
      </w:r>
      <w:r w:rsidR="00483534" w:rsidRPr="00332CA4">
        <w:rPr>
          <w:color w:val="000000" w:themeColor="text1"/>
          <w:lang w:val="en-GB"/>
        </w:rPr>
        <w:t xml:space="preserve"> process and product analysis</w:t>
      </w:r>
    </w:p>
    <w:p w14:paraId="601E069B" w14:textId="4664597E" w:rsidR="00250278" w:rsidRPr="00332CA4" w:rsidRDefault="003E6577" w:rsidP="00250278">
      <w:pPr>
        <w:pStyle w:val="CETReferencetext"/>
        <w:ind w:left="0" w:firstLine="0"/>
        <w:rPr>
          <w:color w:val="000000" w:themeColor="text1"/>
          <w:highlight w:val="yellow"/>
        </w:rPr>
      </w:pPr>
      <w:r w:rsidRPr="00332CA4">
        <w:rPr>
          <w:color w:val="000000" w:themeColor="text1"/>
        </w:rPr>
        <w:t xml:space="preserve">Polyethylene waste </w:t>
      </w:r>
      <w:r w:rsidR="0064308F" w:rsidRPr="00332CA4">
        <w:rPr>
          <w:color w:val="000000" w:themeColor="text1"/>
        </w:rPr>
        <w:t xml:space="preserve">have been decomposed by pyrolysis-gasification in a tubular reactor </w:t>
      </w:r>
      <w:r w:rsidR="00213FBC" w:rsidRPr="00213FBC">
        <w:rPr>
          <w:color w:val="000000" w:themeColor="text1"/>
          <w:highlight w:val="yellow"/>
        </w:rPr>
        <w:t>at</w:t>
      </w:r>
      <w:r w:rsidR="0064308F" w:rsidRPr="00332CA4">
        <w:rPr>
          <w:color w:val="000000" w:themeColor="text1"/>
        </w:rPr>
        <w:t xml:space="preserve"> 500°C during the pyrolysis</w:t>
      </w:r>
      <w:r w:rsidRPr="00332CA4">
        <w:rPr>
          <w:color w:val="000000" w:themeColor="text1"/>
        </w:rPr>
        <w:t xml:space="preserve"> and 800</w:t>
      </w:r>
      <w:r w:rsidR="0064308F" w:rsidRPr="00332CA4">
        <w:rPr>
          <w:color w:val="000000" w:themeColor="text1"/>
        </w:rPr>
        <w:t>°C during the gasification.</w:t>
      </w:r>
      <w:r w:rsidRPr="00332CA4">
        <w:rPr>
          <w:color w:val="000000" w:themeColor="text1"/>
        </w:rPr>
        <w:t xml:space="preserve"> </w:t>
      </w:r>
      <w:r w:rsidR="0064308F" w:rsidRPr="00332CA4">
        <w:rPr>
          <w:color w:val="000000" w:themeColor="text1"/>
        </w:rPr>
        <w:t xml:space="preserve">In order to increase the hydrogen content of the gas product, steam </w:t>
      </w:r>
      <w:r w:rsidR="0064308F" w:rsidRPr="00332CA4">
        <w:rPr>
          <w:color w:val="000000" w:themeColor="text1"/>
        </w:rPr>
        <w:lastRenderedPageBreak/>
        <w:t xml:space="preserve">was </w:t>
      </w:r>
      <w:r w:rsidRPr="00332CA4">
        <w:rPr>
          <w:color w:val="000000" w:themeColor="text1"/>
        </w:rPr>
        <w:t xml:space="preserve">also </w:t>
      </w:r>
      <w:r w:rsidR="0064308F" w:rsidRPr="00332CA4">
        <w:rPr>
          <w:color w:val="000000" w:themeColor="text1"/>
        </w:rPr>
        <w:t xml:space="preserve">added to the catalyst bed at </w:t>
      </w:r>
      <w:r w:rsidRPr="00332CA4">
        <w:rPr>
          <w:color w:val="000000" w:themeColor="text1"/>
        </w:rPr>
        <w:t>80</w:t>
      </w:r>
      <w:r w:rsidR="0064308F" w:rsidRPr="00332CA4">
        <w:rPr>
          <w:color w:val="000000" w:themeColor="text1"/>
        </w:rPr>
        <w:t>0°C at a flow rate of 5dm</w:t>
      </w:r>
      <w:r w:rsidR="0064308F" w:rsidRPr="00332CA4">
        <w:rPr>
          <w:color w:val="000000" w:themeColor="text1"/>
          <w:vertAlign w:val="superscript"/>
        </w:rPr>
        <w:t>3</w:t>
      </w:r>
      <w:r w:rsidR="0064308F" w:rsidRPr="00332CA4">
        <w:rPr>
          <w:color w:val="000000" w:themeColor="text1"/>
        </w:rPr>
        <w:t>/h.</w:t>
      </w:r>
      <w:r w:rsidR="00522465" w:rsidRPr="00332CA4">
        <w:rPr>
          <w:color w:val="000000" w:themeColor="text1"/>
        </w:rPr>
        <w:t xml:space="preserve"> </w:t>
      </w:r>
      <w:r w:rsidR="00522465" w:rsidRPr="00332CA4">
        <w:rPr>
          <w:color w:val="000000" w:themeColor="text1"/>
          <w:highlight w:val="yellow"/>
        </w:rPr>
        <w:t xml:space="preserve">The raw material catalyst ratio was </w:t>
      </w:r>
      <w:r w:rsidR="00483534" w:rsidRPr="00332CA4">
        <w:rPr>
          <w:color w:val="000000" w:themeColor="text1"/>
          <w:highlight w:val="yellow"/>
        </w:rPr>
        <w:t>2:1.</w:t>
      </w:r>
      <w:r w:rsidR="0064308F" w:rsidRPr="00332CA4">
        <w:rPr>
          <w:color w:val="000000" w:themeColor="text1"/>
        </w:rPr>
        <w:t xml:space="preserve"> The gas products formed in the reaction were collected in a </w:t>
      </w:r>
      <w:proofErr w:type="spellStart"/>
      <w:r w:rsidR="0064308F" w:rsidRPr="00332CA4">
        <w:rPr>
          <w:color w:val="000000" w:themeColor="text1"/>
        </w:rPr>
        <w:t>Tedlar</w:t>
      </w:r>
      <w:proofErr w:type="spellEnd"/>
      <w:r w:rsidR="0064308F" w:rsidRPr="00332CA4">
        <w:rPr>
          <w:color w:val="000000" w:themeColor="text1"/>
        </w:rPr>
        <w:t xml:space="preserve"> bag for further analysis.</w:t>
      </w:r>
      <w:r w:rsidR="00250278" w:rsidRPr="00332CA4">
        <w:rPr>
          <w:color w:val="000000" w:themeColor="text1"/>
        </w:rPr>
        <w:t xml:space="preserve"> </w:t>
      </w:r>
      <w:r w:rsidR="0064308F" w:rsidRPr="00332CA4">
        <w:rPr>
          <w:color w:val="000000" w:themeColor="text1"/>
        </w:rPr>
        <w:t xml:space="preserve">The gas composition was investigated by DANI GC gas-chromatograph. The instrument was fitted with FID and TCD detectors, the used columns were an Rtx-1 PONA type (100 m long with an internal diameter of 0.25 mm and film thickness of 0.5 </w:t>
      </w:r>
      <w:proofErr w:type="spellStart"/>
      <w:r w:rsidR="0064308F" w:rsidRPr="00332CA4">
        <w:rPr>
          <w:color w:val="000000" w:themeColor="text1"/>
        </w:rPr>
        <w:t>μm</w:t>
      </w:r>
      <w:proofErr w:type="spellEnd"/>
      <w:r w:rsidR="0064308F" w:rsidRPr="00332CA4">
        <w:rPr>
          <w:color w:val="000000" w:themeColor="text1"/>
        </w:rPr>
        <w:t xml:space="preserve">) and a </w:t>
      </w:r>
      <w:proofErr w:type="spellStart"/>
      <w:r w:rsidR="0064308F" w:rsidRPr="00332CA4">
        <w:rPr>
          <w:color w:val="000000" w:themeColor="text1"/>
        </w:rPr>
        <w:t>CarboxenTM</w:t>
      </w:r>
      <w:proofErr w:type="spellEnd"/>
      <w:r w:rsidR="0064308F" w:rsidRPr="00332CA4">
        <w:rPr>
          <w:color w:val="000000" w:themeColor="text1"/>
        </w:rPr>
        <w:t xml:space="preserve"> 1006 PLOT column (30 m long and 0.53 mm internal diameter). Clarity software was used to evaluate the chromatograms.</w:t>
      </w:r>
      <w:r w:rsidR="00250278" w:rsidRPr="00332CA4">
        <w:rPr>
          <w:color w:val="000000" w:themeColor="text1"/>
        </w:rPr>
        <w:t xml:space="preserve"> </w:t>
      </w:r>
      <w:r w:rsidR="00483534" w:rsidRPr="00332CA4">
        <w:rPr>
          <w:color w:val="000000" w:themeColor="text1"/>
          <w:highlight w:val="yellow"/>
        </w:rPr>
        <w:t>The repeatability (RSD%) of the pyrolysis-gasification process, based on three parallel measurements, was 1.9-2.5% for the product yields, while the individual repeatability of the components determined by gas chromatographic analysis was 2.3-2.9%.</w:t>
      </w:r>
    </w:p>
    <w:p w14:paraId="2580B369" w14:textId="77777777" w:rsidR="00573A2B" w:rsidRPr="00332CA4" w:rsidRDefault="00573A2B" w:rsidP="00573A2B">
      <w:pPr>
        <w:pStyle w:val="CETHeading1"/>
        <w:numPr>
          <w:ilvl w:val="1"/>
          <w:numId w:val="23"/>
        </w:numPr>
        <w:rPr>
          <w:color w:val="000000" w:themeColor="text1"/>
          <w:lang w:val="en-GB"/>
        </w:rPr>
      </w:pPr>
      <w:r w:rsidRPr="00332CA4">
        <w:rPr>
          <w:color w:val="000000" w:themeColor="text1"/>
          <w:lang w:val="en-GB"/>
        </w:rPr>
        <w:t>Result and discussion</w:t>
      </w:r>
    </w:p>
    <w:p w14:paraId="556F787E" w14:textId="77777777" w:rsidR="00573A2B" w:rsidRPr="00332CA4" w:rsidRDefault="00573A2B" w:rsidP="00573A2B">
      <w:pPr>
        <w:pStyle w:val="CETheadingx"/>
        <w:numPr>
          <w:ilvl w:val="2"/>
          <w:numId w:val="1"/>
        </w:numPr>
        <w:spacing w:before="240"/>
        <w:rPr>
          <w:lang w:val="en-GB"/>
        </w:rPr>
      </w:pPr>
      <w:r w:rsidRPr="00332CA4">
        <w:rPr>
          <w:lang w:val="en-GB"/>
        </w:rPr>
        <w:t>Product yields</w:t>
      </w:r>
    </w:p>
    <w:p w14:paraId="495AC9E0" w14:textId="37AFA800" w:rsidR="009A3458" w:rsidRPr="00332CA4" w:rsidRDefault="003A7A7E" w:rsidP="002059E8">
      <w:pPr>
        <w:pStyle w:val="CETBodytext"/>
        <w:rPr>
          <w:lang w:val="en-GB"/>
        </w:rPr>
      </w:pPr>
      <w:r w:rsidRPr="00332CA4">
        <w:rPr>
          <w:lang w:val="en-GB"/>
        </w:rPr>
        <w:t xml:space="preserve">The product yield of pyrolysis-gasification is summarized in Figure </w:t>
      </w:r>
      <w:r w:rsidR="00213FBC" w:rsidRPr="00213FBC">
        <w:rPr>
          <w:highlight w:val="yellow"/>
          <w:lang w:val="en-GB"/>
        </w:rPr>
        <w:t>3</w:t>
      </w:r>
      <w:r w:rsidRPr="00332CA4">
        <w:rPr>
          <w:lang w:val="en-GB"/>
        </w:rPr>
        <w:t xml:space="preserve">. </w:t>
      </w:r>
      <w:r w:rsidR="00213FBC" w:rsidRPr="00213FBC">
        <w:rPr>
          <w:highlight w:val="yellow"/>
          <w:lang w:val="en-GB"/>
        </w:rPr>
        <w:t>I</w:t>
      </w:r>
      <w:r w:rsidRPr="00213FBC">
        <w:rPr>
          <w:highlight w:val="yellow"/>
          <w:lang w:val="en-GB"/>
        </w:rPr>
        <w:t>t</w:t>
      </w:r>
      <w:r w:rsidRPr="00332CA4">
        <w:rPr>
          <w:lang w:val="en-GB"/>
        </w:rPr>
        <w:t xml:space="preserve"> is clearly seen that the amount of </w:t>
      </w:r>
      <w:proofErr w:type="spellStart"/>
      <w:r w:rsidRPr="00332CA4">
        <w:rPr>
          <w:lang w:val="en-GB"/>
        </w:rPr>
        <w:t>water+liquid</w:t>
      </w:r>
      <w:proofErr w:type="spellEnd"/>
      <w:r w:rsidRPr="00332CA4">
        <w:rPr>
          <w:lang w:val="en-GB"/>
        </w:rPr>
        <w:t xml:space="preserve"> hydrocarbon</w:t>
      </w:r>
      <w:r w:rsidR="00646FF2" w:rsidRPr="00332CA4">
        <w:rPr>
          <w:lang w:val="en-GB"/>
        </w:rPr>
        <w:t xml:space="preserve"> was higher, while that of</w:t>
      </w:r>
      <w:r w:rsidRPr="00332CA4">
        <w:rPr>
          <w:lang w:val="en-GB"/>
        </w:rPr>
        <w:t xml:space="preserve"> gaseous products was </w:t>
      </w:r>
      <w:r w:rsidR="00646FF2" w:rsidRPr="00332CA4">
        <w:rPr>
          <w:lang w:val="en-GB"/>
        </w:rPr>
        <w:t xml:space="preserve">less </w:t>
      </w:r>
      <w:r w:rsidRPr="00332CA4">
        <w:rPr>
          <w:lang w:val="en-GB"/>
        </w:rPr>
        <w:t>in case of the ZSM-5 catalyst impregnated with a metal sul</w:t>
      </w:r>
      <w:r w:rsidR="00646FF2" w:rsidRPr="00332CA4">
        <w:rPr>
          <w:lang w:val="en-GB"/>
        </w:rPr>
        <w:t>ph</w:t>
      </w:r>
      <w:r w:rsidRPr="00332CA4">
        <w:rPr>
          <w:lang w:val="en-GB"/>
        </w:rPr>
        <w:t xml:space="preserve">ate-containing solution. This </w:t>
      </w:r>
      <w:r w:rsidR="00646FF2" w:rsidRPr="00332CA4">
        <w:rPr>
          <w:lang w:val="en-GB"/>
        </w:rPr>
        <w:t>phenomen</w:t>
      </w:r>
      <w:r w:rsidR="00213FBC">
        <w:rPr>
          <w:lang w:val="en-GB"/>
        </w:rPr>
        <w:t xml:space="preserve">on </w:t>
      </w:r>
      <w:r w:rsidR="00213FBC" w:rsidRPr="00213FBC">
        <w:rPr>
          <w:highlight w:val="yellow"/>
          <w:lang w:val="en-GB"/>
        </w:rPr>
        <w:t>is</w:t>
      </w:r>
      <w:r w:rsidR="00213FBC">
        <w:rPr>
          <w:lang w:val="en-GB"/>
        </w:rPr>
        <w:t xml:space="preserve"> </w:t>
      </w:r>
      <w:r w:rsidR="00646FF2" w:rsidRPr="00332CA4">
        <w:rPr>
          <w:lang w:val="en-GB"/>
        </w:rPr>
        <w:t>explained by the</w:t>
      </w:r>
      <w:r w:rsidRPr="00332CA4">
        <w:rPr>
          <w:lang w:val="en-GB"/>
        </w:rPr>
        <w:t xml:space="preserve"> sul</w:t>
      </w:r>
      <w:r w:rsidR="00646FF2" w:rsidRPr="00332CA4">
        <w:rPr>
          <w:lang w:val="en-GB"/>
        </w:rPr>
        <w:t>ph</w:t>
      </w:r>
      <w:r w:rsidRPr="00332CA4">
        <w:rPr>
          <w:lang w:val="en-GB"/>
        </w:rPr>
        <w:t xml:space="preserve">ur-containing components remain after </w:t>
      </w:r>
      <w:r w:rsidR="00646FF2" w:rsidRPr="00332CA4">
        <w:rPr>
          <w:lang w:val="en-GB"/>
        </w:rPr>
        <w:t xml:space="preserve">the </w:t>
      </w:r>
      <w:r w:rsidRPr="00332CA4">
        <w:rPr>
          <w:lang w:val="en-GB"/>
        </w:rPr>
        <w:t>calcination from the sul</w:t>
      </w:r>
      <w:r w:rsidR="00646FF2" w:rsidRPr="00332CA4">
        <w:rPr>
          <w:lang w:val="en-GB"/>
        </w:rPr>
        <w:t>ph</w:t>
      </w:r>
      <w:r w:rsidRPr="00332CA4">
        <w:rPr>
          <w:lang w:val="en-GB"/>
        </w:rPr>
        <w:t xml:space="preserve">ate ions, which could block the active </w:t>
      </w:r>
      <w:r w:rsidR="00646FF2" w:rsidRPr="00332CA4">
        <w:rPr>
          <w:lang w:val="en-GB"/>
        </w:rPr>
        <w:t>centres</w:t>
      </w:r>
      <w:r w:rsidRPr="00332CA4">
        <w:rPr>
          <w:lang w:val="en-GB"/>
        </w:rPr>
        <w:t xml:space="preserve"> of the catalyst. Furthermore, the larger size of the </w:t>
      </w:r>
      <w:r w:rsidR="00646FF2" w:rsidRPr="00332CA4">
        <w:rPr>
          <w:lang w:val="en-GB"/>
        </w:rPr>
        <w:t>sulphate</w:t>
      </w:r>
      <w:r w:rsidRPr="00332CA4">
        <w:rPr>
          <w:lang w:val="en-GB"/>
        </w:rPr>
        <w:t xml:space="preserve"> ions could significantly </w:t>
      </w:r>
      <w:r w:rsidR="00646FF2" w:rsidRPr="00332CA4">
        <w:rPr>
          <w:lang w:val="en-GB"/>
        </w:rPr>
        <w:t>deteriorate</w:t>
      </w:r>
      <w:r w:rsidRPr="00332CA4">
        <w:rPr>
          <w:lang w:val="en-GB"/>
        </w:rPr>
        <w:t xml:space="preserve"> the advantageous shape selectivity of the ZSM-5 catalyst during pyrolysis-gasification. This is also supported by the observation that the amount of </w:t>
      </w:r>
      <w:proofErr w:type="spellStart"/>
      <w:r w:rsidRPr="00332CA4">
        <w:rPr>
          <w:lang w:val="en-GB"/>
        </w:rPr>
        <w:t>water+liquid</w:t>
      </w:r>
      <w:proofErr w:type="spellEnd"/>
      <w:r w:rsidRPr="00332CA4">
        <w:rPr>
          <w:lang w:val="en-GB"/>
        </w:rPr>
        <w:t xml:space="preserve"> hydrocarbon increased with increasing the concentration of the </w:t>
      </w:r>
      <w:r w:rsidR="00646FF2" w:rsidRPr="00332CA4">
        <w:rPr>
          <w:lang w:val="en-GB"/>
        </w:rPr>
        <w:t>sulphate</w:t>
      </w:r>
      <w:r w:rsidRPr="00332CA4">
        <w:rPr>
          <w:lang w:val="en-GB"/>
        </w:rPr>
        <w:t xml:space="preserve">-containing solution. </w:t>
      </w:r>
      <w:r w:rsidR="00213FBC" w:rsidRPr="00213FBC">
        <w:rPr>
          <w:highlight w:val="yellow"/>
          <w:lang w:val="en-GB"/>
        </w:rPr>
        <w:t>The higher liquid product yields observed with metal sulphate-containing solutions, as well as their increase with increasing solution concentration, can also be attributed to the reduced conversion of water introduced into the reactor, resulting from the inhibitory effect of sulphur-containing species on gasification reactions.</w:t>
      </w:r>
      <w:r w:rsidR="00646FF2" w:rsidRPr="00332CA4">
        <w:rPr>
          <w:lang w:val="en-GB"/>
        </w:rPr>
        <w:t xml:space="preserve"> Sulphur</w:t>
      </w:r>
      <w:r w:rsidRPr="00332CA4">
        <w:rPr>
          <w:lang w:val="en-GB"/>
        </w:rPr>
        <w:t xml:space="preserve">-containing components are strong catalyst poisons. In particular, they </w:t>
      </w:r>
      <w:r w:rsidR="00646FF2" w:rsidRPr="00332CA4">
        <w:rPr>
          <w:lang w:val="en-GB"/>
        </w:rPr>
        <w:t>degrade</w:t>
      </w:r>
      <w:r w:rsidRPr="00332CA4">
        <w:rPr>
          <w:lang w:val="en-GB"/>
        </w:rPr>
        <w:t xml:space="preserve"> the </w:t>
      </w:r>
      <w:r w:rsidR="00646FF2" w:rsidRPr="00332CA4">
        <w:rPr>
          <w:lang w:val="en-GB"/>
        </w:rPr>
        <w:t>favourable</w:t>
      </w:r>
      <w:r w:rsidRPr="00332CA4">
        <w:rPr>
          <w:lang w:val="en-GB"/>
        </w:rPr>
        <w:t xml:space="preserve"> properties observed in the reduction of C</w:t>
      </w:r>
      <w:r w:rsidRPr="00332CA4">
        <w:rPr>
          <w:vertAlign w:val="subscript"/>
          <w:lang w:val="en-GB"/>
        </w:rPr>
        <w:t>5+</w:t>
      </w:r>
      <w:r w:rsidRPr="00332CA4">
        <w:rPr>
          <w:lang w:val="en-GB"/>
        </w:rPr>
        <w:t xml:space="preserve"> hydrocarbons of Ni and Co</w:t>
      </w:r>
      <w:r w:rsidR="00980AFF" w:rsidRPr="00332CA4">
        <w:rPr>
          <w:lang w:val="en-GB"/>
        </w:rPr>
        <w:t xml:space="preserve"> transition metals</w:t>
      </w:r>
      <w:r w:rsidRPr="00332CA4">
        <w:rPr>
          <w:lang w:val="en-GB"/>
        </w:rPr>
        <w:t xml:space="preserve">. In case of Mn and Li, their properties </w:t>
      </w:r>
      <w:r w:rsidR="00980AFF" w:rsidRPr="00332CA4">
        <w:rPr>
          <w:lang w:val="en-GB"/>
        </w:rPr>
        <w:t xml:space="preserve">to </w:t>
      </w:r>
      <w:r w:rsidRPr="00332CA4">
        <w:rPr>
          <w:lang w:val="en-GB"/>
        </w:rPr>
        <w:t xml:space="preserve">reducing </w:t>
      </w:r>
      <w:r w:rsidR="00980AFF" w:rsidRPr="00332CA4">
        <w:rPr>
          <w:lang w:val="en-GB"/>
        </w:rPr>
        <w:t xml:space="preserve">the </w:t>
      </w:r>
      <w:r w:rsidRPr="00332CA4">
        <w:rPr>
          <w:lang w:val="en-GB"/>
        </w:rPr>
        <w:t>coke formation were</w:t>
      </w:r>
      <w:r w:rsidR="00980AFF" w:rsidRPr="00332CA4">
        <w:rPr>
          <w:lang w:val="en-GB"/>
        </w:rPr>
        <w:t xml:space="preserve"> also</w:t>
      </w:r>
      <w:r w:rsidRPr="00332CA4">
        <w:rPr>
          <w:lang w:val="en-GB"/>
        </w:rPr>
        <w:t xml:space="preserve"> reduced. As a result, the amount of coke on the catalyst surface also increased.</w:t>
      </w:r>
      <w:r w:rsidR="009A3458">
        <w:rPr>
          <w:lang w:val="en-GB"/>
        </w:rPr>
        <w:t xml:space="preserve"> </w:t>
      </w:r>
      <w:r w:rsidR="009A3458" w:rsidRPr="009A3458">
        <w:rPr>
          <w:highlight w:val="yellow"/>
          <w:lang w:val="en-GB"/>
        </w:rPr>
        <w:t xml:space="preserve">On the other hand, coke deposition on catalyst surface was also observed after the pyrolysis-gasification, which was explained by the aromatisation </w:t>
      </w:r>
      <w:r w:rsidR="009A3458" w:rsidRPr="009A3458">
        <w:rPr>
          <w:rFonts w:cs="Arial"/>
          <w:highlight w:val="yellow"/>
          <w:lang w:val="en-GB"/>
        </w:rPr>
        <w:t xml:space="preserve">→ </w:t>
      </w:r>
      <w:r w:rsidR="009A3458" w:rsidRPr="009A3458">
        <w:rPr>
          <w:highlight w:val="yellow"/>
          <w:lang w:val="en-GB"/>
        </w:rPr>
        <w:t xml:space="preserve">polymerisation </w:t>
      </w:r>
      <w:r w:rsidR="009A3458" w:rsidRPr="009A3458">
        <w:rPr>
          <w:rFonts w:cs="Arial"/>
          <w:highlight w:val="yellow"/>
          <w:lang w:val="en-GB"/>
        </w:rPr>
        <w:t xml:space="preserve">→ </w:t>
      </w:r>
      <w:r w:rsidR="009A3458" w:rsidRPr="009A3458">
        <w:rPr>
          <w:highlight w:val="yellow"/>
          <w:lang w:val="en-GB"/>
        </w:rPr>
        <w:t>coke formation reactions.</w:t>
      </w:r>
    </w:p>
    <w:p w14:paraId="6B0FCACB" w14:textId="77777777" w:rsidR="003A7A7E" w:rsidRPr="00332CA4" w:rsidRDefault="003A7A7E" w:rsidP="002059E8">
      <w:pPr>
        <w:pStyle w:val="CETBodytext"/>
        <w:rPr>
          <w:lang w:val="en-GB"/>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8"/>
        <w:gridCol w:w="4389"/>
      </w:tblGrid>
      <w:tr w:rsidR="00573A2B" w:rsidRPr="00332CA4" w14:paraId="763BAFDC" w14:textId="77777777" w:rsidTr="00980AFF">
        <w:tc>
          <w:tcPr>
            <w:tcW w:w="4388" w:type="dxa"/>
          </w:tcPr>
          <w:p w14:paraId="41DD9707" w14:textId="1E8E90E1" w:rsidR="00573A2B" w:rsidRPr="00332CA4" w:rsidRDefault="00573A2B" w:rsidP="002059E8">
            <w:pPr>
              <w:pStyle w:val="CETBodytext"/>
              <w:rPr>
                <w:lang w:val="en-GB"/>
              </w:rPr>
            </w:pPr>
            <w:r w:rsidRPr="00332CA4">
              <w:rPr>
                <w:noProof/>
                <w:lang w:val="en-GB"/>
              </w:rPr>
              <w:drawing>
                <wp:inline distT="0" distB="0" distL="0" distR="0" wp14:anchorId="48F9E826" wp14:editId="2257F8FD">
                  <wp:extent cx="2160000" cy="1620000"/>
                  <wp:effectExtent l="0" t="0" r="0" b="0"/>
                  <wp:docPr id="3" name="Kép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60000" cy="1620000"/>
                          </a:xfrm>
                          <a:prstGeom prst="rect">
                            <a:avLst/>
                          </a:prstGeom>
                          <a:noFill/>
                          <a:ln>
                            <a:noFill/>
                          </a:ln>
                        </pic:spPr>
                      </pic:pic>
                    </a:graphicData>
                  </a:graphic>
                </wp:inline>
              </w:drawing>
            </w:r>
          </w:p>
        </w:tc>
        <w:tc>
          <w:tcPr>
            <w:tcW w:w="4389" w:type="dxa"/>
          </w:tcPr>
          <w:p w14:paraId="6CF7B730" w14:textId="2674CB54" w:rsidR="00573A2B" w:rsidRPr="00332CA4" w:rsidRDefault="00573A2B" w:rsidP="002059E8">
            <w:pPr>
              <w:pStyle w:val="CETBodytext"/>
              <w:rPr>
                <w:lang w:val="en-GB"/>
              </w:rPr>
            </w:pPr>
            <w:r w:rsidRPr="00332CA4">
              <w:rPr>
                <w:noProof/>
                <w:lang w:val="en-GB"/>
              </w:rPr>
              <w:drawing>
                <wp:inline distT="0" distB="0" distL="0" distR="0" wp14:anchorId="014494E6" wp14:editId="353941B0">
                  <wp:extent cx="2160000" cy="1620000"/>
                  <wp:effectExtent l="0" t="0" r="0" b="0"/>
                  <wp:docPr id="4" name="Kép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60000" cy="1620000"/>
                          </a:xfrm>
                          <a:prstGeom prst="rect">
                            <a:avLst/>
                          </a:prstGeom>
                          <a:noFill/>
                          <a:ln>
                            <a:noFill/>
                          </a:ln>
                        </pic:spPr>
                      </pic:pic>
                    </a:graphicData>
                  </a:graphic>
                </wp:inline>
              </w:drawing>
            </w:r>
          </w:p>
        </w:tc>
      </w:tr>
      <w:tr w:rsidR="00573A2B" w:rsidRPr="00332CA4" w14:paraId="29C4E740" w14:textId="77777777" w:rsidTr="00980AFF">
        <w:tc>
          <w:tcPr>
            <w:tcW w:w="4388" w:type="dxa"/>
          </w:tcPr>
          <w:p w14:paraId="6AD67BD6" w14:textId="432A8D07" w:rsidR="00573A2B" w:rsidRPr="0063664A" w:rsidRDefault="0063664A" w:rsidP="00FB45C6">
            <w:pPr>
              <w:pStyle w:val="CETBodytext"/>
              <w:jc w:val="center"/>
              <w:rPr>
                <w:highlight w:val="yellow"/>
                <w:lang w:val="en-GB"/>
              </w:rPr>
            </w:pPr>
            <w:r w:rsidRPr="0063664A">
              <w:rPr>
                <w:highlight w:val="yellow"/>
                <w:lang w:val="en-GB"/>
              </w:rPr>
              <w:t>a)</w:t>
            </w:r>
          </w:p>
        </w:tc>
        <w:tc>
          <w:tcPr>
            <w:tcW w:w="4389" w:type="dxa"/>
          </w:tcPr>
          <w:p w14:paraId="4159B6C1" w14:textId="5957BE11" w:rsidR="00573A2B" w:rsidRPr="00332CA4" w:rsidRDefault="0063664A" w:rsidP="00FB45C6">
            <w:pPr>
              <w:pStyle w:val="CETBodytext"/>
              <w:jc w:val="center"/>
              <w:rPr>
                <w:lang w:val="en-GB"/>
              </w:rPr>
            </w:pPr>
            <w:r w:rsidRPr="0063664A">
              <w:rPr>
                <w:highlight w:val="yellow"/>
                <w:lang w:val="en-GB"/>
              </w:rPr>
              <w:t>b)</w:t>
            </w:r>
          </w:p>
        </w:tc>
      </w:tr>
    </w:tbl>
    <w:p w14:paraId="7173A886" w14:textId="24E86F03" w:rsidR="00573A2B" w:rsidRPr="00332CA4" w:rsidRDefault="00573A2B" w:rsidP="00573A2B">
      <w:pPr>
        <w:pStyle w:val="CETReferencetext"/>
        <w:rPr>
          <w:i/>
        </w:rPr>
      </w:pPr>
      <w:r w:rsidRPr="00332CA4">
        <w:rPr>
          <w:i/>
        </w:rPr>
        <w:t xml:space="preserve">Figure </w:t>
      </w:r>
      <w:r w:rsidR="00C90F49" w:rsidRPr="00C90F49">
        <w:rPr>
          <w:i/>
          <w:highlight w:val="yellow"/>
        </w:rPr>
        <w:t>3</w:t>
      </w:r>
      <w:r w:rsidRPr="00332CA4">
        <w:rPr>
          <w:i/>
        </w:rPr>
        <w:t>: The yields of products</w:t>
      </w:r>
      <w:r w:rsidR="0063664A">
        <w:rPr>
          <w:i/>
        </w:rPr>
        <w:t xml:space="preserve"> (</w:t>
      </w:r>
      <w:r w:rsidR="0063664A" w:rsidRPr="0063664A">
        <w:rPr>
          <w:i/>
          <w:highlight w:val="yellow"/>
        </w:rPr>
        <w:t>sulphate-based ZSM-5 (a) and nitrate-based ZSM-5 (b) catalysts</w:t>
      </w:r>
      <w:r w:rsidR="0063664A">
        <w:rPr>
          <w:i/>
        </w:rPr>
        <w:t>)</w:t>
      </w:r>
    </w:p>
    <w:p w14:paraId="58812435" w14:textId="617FF79E" w:rsidR="000D3A76" w:rsidRPr="00332CA4" w:rsidRDefault="002B4D6D" w:rsidP="000D3A76">
      <w:pPr>
        <w:pStyle w:val="CETheadingx"/>
        <w:numPr>
          <w:ilvl w:val="2"/>
          <w:numId w:val="1"/>
        </w:numPr>
        <w:spacing w:before="240"/>
        <w:rPr>
          <w:lang w:val="en-GB"/>
        </w:rPr>
      </w:pPr>
      <w:r w:rsidRPr="00332CA4">
        <w:rPr>
          <w:lang w:val="en-GB"/>
        </w:rPr>
        <w:t>Gases</w:t>
      </w:r>
    </w:p>
    <w:p w14:paraId="67A20E65" w14:textId="6D21A8E4" w:rsidR="0005251D" w:rsidRPr="00332CA4" w:rsidRDefault="0005251D" w:rsidP="002059E8">
      <w:pPr>
        <w:pStyle w:val="CETBodytext"/>
        <w:rPr>
          <w:lang w:val="en-GB"/>
        </w:rPr>
      </w:pPr>
      <w:r w:rsidRPr="00332CA4">
        <w:rPr>
          <w:lang w:val="en-GB"/>
        </w:rPr>
        <w:t xml:space="preserve">The composition of gaseous product are shown in Figure </w:t>
      </w:r>
      <w:r w:rsidR="00C90F49" w:rsidRPr="00C90F49">
        <w:rPr>
          <w:highlight w:val="yellow"/>
          <w:lang w:val="en-GB"/>
        </w:rPr>
        <w:t>4</w:t>
      </w:r>
      <w:r w:rsidRPr="00332CA4">
        <w:rPr>
          <w:lang w:val="en-GB"/>
        </w:rPr>
        <w:t xml:space="preserve">. The results </w:t>
      </w:r>
      <w:r w:rsidR="00980AFF" w:rsidRPr="00332CA4">
        <w:rPr>
          <w:lang w:val="en-GB"/>
        </w:rPr>
        <w:t>well demonstrate</w:t>
      </w:r>
      <w:r w:rsidRPr="00332CA4">
        <w:rPr>
          <w:lang w:val="en-GB"/>
        </w:rPr>
        <w:t xml:space="preserve"> that the effect of catalysts prepared with </w:t>
      </w:r>
      <w:r w:rsidR="00980AFF" w:rsidRPr="00332CA4">
        <w:rPr>
          <w:lang w:val="en-GB"/>
        </w:rPr>
        <w:t>sulphate</w:t>
      </w:r>
      <w:r w:rsidRPr="00332CA4">
        <w:rPr>
          <w:lang w:val="en-GB"/>
        </w:rPr>
        <w:t xml:space="preserve">-containing solutions and nitrate-containing solutions on the composition of gaseous products was significantly different. In case of </w:t>
      </w:r>
      <w:r w:rsidR="00980AFF" w:rsidRPr="00332CA4">
        <w:rPr>
          <w:lang w:val="en-GB"/>
        </w:rPr>
        <w:t>sulphate</w:t>
      </w:r>
      <w:r w:rsidRPr="00332CA4">
        <w:rPr>
          <w:lang w:val="en-GB"/>
        </w:rPr>
        <w:t>-containing solutions, the hydrogen and CO content of the gaseous products decreased significantly, while the CO</w:t>
      </w:r>
      <w:r w:rsidRPr="00332CA4">
        <w:rPr>
          <w:vertAlign w:val="subscript"/>
          <w:lang w:val="en-GB"/>
        </w:rPr>
        <w:t>2</w:t>
      </w:r>
      <w:r w:rsidRPr="00332CA4">
        <w:rPr>
          <w:lang w:val="en-GB"/>
        </w:rPr>
        <w:t>, methane and C</w:t>
      </w:r>
      <w:r w:rsidRPr="00332CA4">
        <w:rPr>
          <w:vertAlign w:val="subscript"/>
          <w:lang w:val="en-GB"/>
        </w:rPr>
        <w:t>2</w:t>
      </w:r>
      <w:r w:rsidRPr="00332CA4">
        <w:rPr>
          <w:lang w:val="en-GB"/>
        </w:rPr>
        <w:t>-C</w:t>
      </w:r>
      <w:r w:rsidRPr="00332CA4">
        <w:rPr>
          <w:vertAlign w:val="subscript"/>
          <w:lang w:val="en-GB"/>
        </w:rPr>
        <w:t>5</w:t>
      </w:r>
      <w:r w:rsidRPr="00332CA4">
        <w:rPr>
          <w:lang w:val="en-GB"/>
        </w:rPr>
        <w:t xml:space="preserve"> contents increased with the concentration of the solutions. However, in case of catalysts prepared with nitrate-containing solutions, the hydrogen content of the gaseous products increased significantly, while the CO</w:t>
      </w:r>
      <w:r w:rsidRPr="00332CA4">
        <w:rPr>
          <w:vertAlign w:val="subscript"/>
          <w:lang w:val="en-GB"/>
        </w:rPr>
        <w:t>2</w:t>
      </w:r>
      <w:r w:rsidRPr="00332CA4">
        <w:rPr>
          <w:lang w:val="en-GB"/>
        </w:rPr>
        <w:t>, methane and C</w:t>
      </w:r>
      <w:r w:rsidRPr="00332CA4">
        <w:rPr>
          <w:vertAlign w:val="subscript"/>
          <w:lang w:val="en-GB"/>
        </w:rPr>
        <w:t>2</w:t>
      </w:r>
      <w:r w:rsidRPr="00332CA4">
        <w:rPr>
          <w:lang w:val="en-GB"/>
        </w:rPr>
        <w:t>-C</w:t>
      </w:r>
      <w:r w:rsidRPr="00332CA4">
        <w:rPr>
          <w:vertAlign w:val="subscript"/>
          <w:lang w:val="en-GB"/>
        </w:rPr>
        <w:t>5</w:t>
      </w:r>
      <w:r w:rsidRPr="00332CA4">
        <w:rPr>
          <w:lang w:val="en-GB"/>
        </w:rPr>
        <w:t xml:space="preserve"> hydrocarbons concentrations decreased with the </w:t>
      </w:r>
      <w:r w:rsidR="00980AFF" w:rsidRPr="00332CA4">
        <w:rPr>
          <w:lang w:val="en-GB"/>
        </w:rPr>
        <w:t xml:space="preserve">salt </w:t>
      </w:r>
      <w:r w:rsidRPr="00332CA4">
        <w:rPr>
          <w:lang w:val="en-GB"/>
        </w:rPr>
        <w:t>concentration. The CO content of the gaseous products did not change significantly.</w:t>
      </w:r>
      <w:r w:rsidR="00C90F49">
        <w:rPr>
          <w:lang w:val="en-GB"/>
        </w:rPr>
        <w:t xml:space="preserve"> </w:t>
      </w:r>
      <w:r w:rsidRPr="00332CA4">
        <w:rPr>
          <w:lang w:val="en-GB"/>
        </w:rPr>
        <w:t xml:space="preserve">The observed differences were caused primarily by the distinct thermal </w:t>
      </w:r>
      <w:r w:rsidR="00980AFF" w:rsidRPr="00332CA4">
        <w:rPr>
          <w:lang w:val="en-GB"/>
        </w:rPr>
        <w:t>behaviour</w:t>
      </w:r>
      <w:r w:rsidRPr="00332CA4">
        <w:rPr>
          <w:lang w:val="en-GB"/>
        </w:rPr>
        <w:t xml:space="preserve"> of the metal precursors, the varying catalytic activities of the Li-, Ni-, Mn-, and Co-containing components, and the catalytic inhibitory effect of residual groups derived from </w:t>
      </w:r>
      <w:r w:rsidR="00980AFF" w:rsidRPr="00332CA4">
        <w:rPr>
          <w:lang w:val="en-GB"/>
        </w:rPr>
        <w:t>sulphate</w:t>
      </w:r>
      <w:r w:rsidRPr="00332CA4">
        <w:rPr>
          <w:lang w:val="en-GB"/>
        </w:rPr>
        <w:t xml:space="preserve"> ions. In case of nitrate-based solutions, the metals were present in oxide form on the catalyst surface following calcination. </w:t>
      </w:r>
      <w:r w:rsidR="00C90F49" w:rsidRPr="00C90F49">
        <w:rPr>
          <w:highlight w:val="yellow"/>
          <w:lang w:val="en-GB"/>
        </w:rPr>
        <w:t>In contrast, catalysts impregnated with sulphate-containing solutions retained residual sulphate species on their surface, while the decomposition of sulphates resulted in the formation of additional sulphur-containing species. The abundance of these surface sulphur species increased with increasing concentration of the impregnating solution.</w:t>
      </w:r>
      <w:r w:rsidR="00C90F49">
        <w:rPr>
          <w:lang w:val="en-GB"/>
        </w:rPr>
        <w:t xml:space="preserve"> </w:t>
      </w:r>
      <w:r w:rsidRPr="00332CA4">
        <w:rPr>
          <w:lang w:val="en-GB"/>
        </w:rPr>
        <w:t xml:space="preserve">These </w:t>
      </w:r>
      <w:r w:rsidR="00980AFF" w:rsidRPr="00332CA4">
        <w:rPr>
          <w:lang w:val="en-GB"/>
        </w:rPr>
        <w:lastRenderedPageBreak/>
        <w:t>sulphur</w:t>
      </w:r>
      <w:r w:rsidRPr="00332CA4">
        <w:rPr>
          <w:lang w:val="en-GB"/>
        </w:rPr>
        <w:t xml:space="preserve">-containing components could modify the metal-support interaction, impair the reducibility of the metal compounds, and block the active sites of the ZSM-5 catalyst. Furthermore, they could influence the </w:t>
      </w:r>
      <w:proofErr w:type="spellStart"/>
      <w:r w:rsidRPr="00332CA4">
        <w:rPr>
          <w:lang w:val="en-GB"/>
        </w:rPr>
        <w:t>Brønsted</w:t>
      </w:r>
      <w:proofErr w:type="spellEnd"/>
      <w:r w:rsidRPr="00332CA4">
        <w:rPr>
          <w:lang w:val="en-GB"/>
        </w:rPr>
        <w:t xml:space="preserve"> and Lewis acidity of the catalyst. This resulted in a significant loss of catalytic activity, particularly for Ni, as Ni is highly sensitive to </w:t>
      </w:r>
      <w:r w:rsidR="00980AFF" w:rsidRPr="00332CA4">
        <w:rPr>
          <w:lang w:val="en-GB"/>
        </w:rPr>
        <w:t>sulphur</w:t>
      </w:r>
      <w:r w:rsidRPr="00332CA4">
        <w:rPr>
          <w:lang w:val="en-GB"/>
        </w:rPr>
        <w:t xml:space="preserve">-containing impurities; even small amounts of </w:t>
      </w:r>
      <w:r w:rsidR="00980AFF" w:rsidRPr="00332CA4">
        <w:rPr>
          <w:lang w:val="en-GB"/>
        </w:rPr>
        <w:t>sulphur</w:t>
      </w:r>
      <w:r w:rsidRPr="00332CA4">
        <w:rPr>
          <w:lang w:val="en-GB"/>
        </w:rPr>
        <w:t xml:space="preserve"> significantly impair the catalytic activity of Ni.</w:t>
      </w:r>
    </w:p>
    <w:p w14:paraId="77028360" w14:textId="77777777" w:rsidR="00980AFF" w:rsidRPr="00332CA4" w:rsidRDefault="00980AFF" w:rsidP="002059E8">
      <w:pPr>
        <w:pStyle w:val="CETBodytext"/>
        <w:rPr>
          <w:lang w:val="en-GB"/>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8"/>
        <w:gridCol w:w="4389"/>
      </w:tblGrid>
      <w:tr w:rsidR="00980AFF" w:rsidRPr="00332CA4" w14:paraId="57DF06B2" w14:textId="77777777" w:rsidTr="00980AFF">
        <w:tc>
          <w:tcPr>
            <w:tcW w:w="4388" w:type="dxa"/>
          </w:tcPr>
          <w:p w14:paraId="4C858BB7" w14:textId="77777777" w:rsidR="00980AFF" w:rsidRPr="00332CA4" w:rsidRDefault="00980AFF" w:rsidP="00075735">
            <w:pPr>
              <w:pStyle w:val="CETBodytext"/>
              <w:rPr>
                <w:lang w:val="en-GB"/>
              </w:rPr>
            </w:pPr>
            <w:r w:rsidRPr="00332CA4">
              <w:rPr>
                <w:noProof/>
                <w:lang w:val="en-GB"/>
              </w:rPr>
              <w:drawing>
                <wp:inline distT="0" distB="0" distL="0" distR="0" wp14:anchorId="795D52B7" wp14:editId="47500C56">
                  <wp:extent cx="2160000" cy="1620000"/>
                  <wp:effectExtent l="0" t="0" r="0" b="0"/>
                  <wp:docPr id="9" name="Kép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60000" cy="1620000"/>
                          </a:xfrm>
                          <a:prstGeom prst="rect">
                            <a:avLst/>
                          </a:prstGeom>
                          <a:noFill/>
                          <a:ln>
                            <a:noFill/>
                          </a:ln>
                        </pic:spPr>
                      </pic:pic>
                    </a:graphicData>
                  </a:graphic>
                </wp:inline>
              </w:drawing>
            </w:r>
          </w:p>
        </w:tc>
        <w:tc>
          <w:tcPr>
            <w:tcW w:w="4389" w:type="dxa"/>
          </w:tcPr>
          <w:p w14:paraId="3A4DDB33" w14:textId="77777777" w:rsidR="00980AFF" w:rsidRPr="00332CA4" w:rsidRDefault="00980AFF" w:rsidP="00075735">
            <w:pPr>
              <w:pStyle w:val="CETBodytext"/>
              <w:rPr>
                <w:lang w:val="en-GB"/>
              </w:rPr>
            </w:pPr>
            <w:r w:rsidRPr="00332CA4">
              <w:rPr>
                <w:noProof/>
                <w:lang w:val="en-GB"/>
              </w:rPr>
              <w:drawing>
                <wp:inline distT="0" distB="0" distL="0" distR="0" wp14:anchorId="572943D5" wp14:editId="237ACAE3">
                  <wp:extent cx="2160000" cy="1620000"/>
                  <wp:effectExtent l="0" t="0" r="0" b="0"/>
                  <wp:docPr id="10" name="Kép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60000" cy="1620000"/>
                          </a:xfrm>
                          <a:prstGeom prst="rect">
                            <a:avLst/>
                          </a:prstGeom>
                          <a:noFill/>
                          <a:ln>
                            <a:noFill/>
                          </a:ln>
                        </pic:spPr>
                      </pic:pic>
                    </a:graphicData>
                  </a:graphic>
                </wp:inline>
              </w:drawing>
            </w:r>
          </w:p>
        </w:tc>
      </w:tr>
      <w:tr w:rsidR="00980AFF" w:rsidRPr="0063664A" w14:paraId="16EC0C65" w14:textId="77777777" w:rsidTr="00980AFF">
        <w:tc>
          <w:tcPr>
            <w:tcW w:w="4388" w:type="dxa"/>
          </w:tcPr>
          <w:p w14:paraId="2210CC55" w14:textId="7FAA05EC" w:rsidR="00980AFF" w:rsidRPr="0063664A" w:rsidRDefault="0063664A" w:rsidP="00075735">
            <w:pPr>
              <w:pStyle w:val="CETBodytext"/>
              <w:jc w:val="center"/>
              <w:rPr>
                <w:highlight w:val="yellow"/>
                <w:lang w:val="en-GB"/>
              </w:rPr>
            </w:pPr>
            <w:r w:rsidRPr="0063664A">
              <w:rPr>
                <w:highlight w:val="yellow"/>
                <w:lang w:val="en-GB"/>
              </w:rPr>
              <w:t>a)</w:t>
            </w:r>
          </w:p>
        </w:tc>
        <w:tc>
          <w:tcPr>
            <w:tcW w:w="4389" w:type="dxa"/>
          </w:tcPr>
          <w:p w14:paraId="797BA168" w14:textId="2449FB2F" w:rsidR="00980AFF" w:rsidRPr="0063664A" w:rsidRDefault="0063664A" w:rsidP="00075735">
            <w:pPr>
              <w:pStyle w:val="CETBodytext"/>
              <w:jc w:val="center"/>
              <w:rPr>
                <w:highlight w:val="yellow"/>
                <w:lang w:val="en-GB"/>
              </w:rPr>
            </w:pPr>
            <w:r w:rsidRPr="0063664A">
              <w:rPr>
                <w:highlight w:val="yellow"/>
                <w:lang w:val="en-GB"/>
              </w:rPr>
              <w:t>b)</w:t>
            </w:r>
          </w:p>
        </w:tc>
      </w:tr>
    </w:tbl>
    <w:p w14:paraId="4D05FA3A" w14:textId="54FE33B5" w:rsidR="00980AFF" w:rsidRPr="00332CA4" w:rsidRDefault="00980AFF" w:rsidP="0063664A">
      <w:pPr>
        <w:pStyle w:val="CETReferencetext"/>
        <w:rPr>
          <w:i/>
        </w:rPr>
      </w:pPr>
      <w:r w:rsidRPr="0063664A">
        <w:rPr>
          <w:i/>
          <w:highlight w:val="yellow"/>
        </w:rPr>
        <w:t xml:space="preserve">Figure </w:t>
      </w:r>
      <w:r w:rsidR="00C90F49" w:rsidRPr="0063664A">
        <w:rPr>
          <w:i/>
          <w:highlight w:val="yellow"/>
        </w:rPr>
        <w:t>4</w:t>
      </w:r>
      <w:r w:rsidRPr="0063664A">
        <w:rPr>
          <w:i/>
          <w:highlight w:val="yellow"/>
        </w:rPr>
        <w:t>: The composition of gaseous products</w:t>
      </w:r>
      <w:r w:rsidR="0063664A" w:rsidRPr="0063664A">
        <w:rPr>
          <w:i/>
          <w:highlight w:val="yellow"/>
        </w:rPr>
        <w:t xml:space="preserve"> (sulphate-based ZSM-5 (a) and nitrate-based ZSM-5 (b) catalysts</w:t>
      </w:r>
      <w:r w:rsidR="0063664A">
        <w:rPr>
          <w:i/>
        </w:rPr>
        <w:t>)</w:t>
      </w:r>
    </w:p>
    <w:p w14:paraId="28A929D8" w14:textId="77777777" w:rsidR="00980AFF" w:rsidRPr="00332CA4" w:rsidRDefault="00980AFF" w:rsidP="002059E8">
      <w:pPr>
        <w:pStyle w:val="CETBodytext"/>
        <w:rPr>
          <w:lang w:val="en-GB"/>
        </w:rPr>
      </w:pPr>
    </w:p>
    <w:p w14:paraId="36155254" w14:textId="6B748C93" w:rsidR="002B4D6D" w:rsidRPr="00332CA4" w:rsidRDefault="00BC3AE1" w:rsidP="002059E8">
      <w:pPr>
        <w:pStyle w:val="CETBodytext"/>
        <w:rPr>
          <w:lang w:val="en-GB"/>
        </w:rPr>
      </w:pPr>
      <w:r>
        <w:rPr>
          <w:highlight w:val="yellow"/>
          <w:lang w:val="en-GB"/>
        </w:rPr>
        <w:t>D</w:t>
      </w:r>
      <w:r w:rsidR="00C90F49" w:rsidRPr="00BC3AE1">
        <w:rPr>
          <w:highlight w:val="yellow"/>
          <w:lang w:val="en-GB"/>
        </w:rPr>
        <w:t>uring pyrolysis</w:t>
      </w:r>
      <w:r w:rsidRPr="00BC3AE1">
        <w:rPr>
          <w:highlight w:val="yellow"/>
          <w:lang w:val="en-GB"/>
        </w:rPr>
        <w:t>-</w:t>
      </w:r>
      <w:r w:rsidR="00C90F49" w:rsidRPr="00BC3AE1">
        <w:rPr>
          <w:highlight w:val="yellow"/>
          <w:lang w:val="en-GB"/>
        </w:rPr>
        <w:t xml:space="preserve">gasification, metal oxides formed upon calcination of nitrate-impregnated catalysts were reduced in situ by the generated hydrogen, forming catalytically active metallic species. Increasing the impregnation concentration therefore increased the metal loading and promoted cracking and gasification reactions, resulting in enhanced </w:t>
      </w:r>
      <w:r w:rsidRPr="00BC3AE1">
        <w:rPr>
          <w:highlight w:val="yellow"/>
          <w:lang w:val="en-GB"/>
        </w:rPr>
        <w:t>H</w:t>
      </w:r>
      <w:r w:rsidRPr="00BC3AE1">
        <w:rPr>
          <w:highlight w:val="yellow"/>
          <w:vertAlign w:val="subscript"/>
          <w:lang w:val="en-GB"/>
        </w:rPr>
        <w:t>2</w:t>
      </w:r>
      <w:r w:rsidR="00C90F49" w:rsidRPr="00BC3AE1">
        <w:rPr>
          <w:highlight w:val="yellow"/>
          <w:lang w:val="en-GB"/>
        </w:rPr>
        <w:t xml:space="preserve"> production and reduced </w:t>
      </w:r>
      <w:r w:rsidRPr="00BC3AE1">
        <w:rPr>
          <w:highlight w:val="yellow"/>
          <w:lang w:val="en-GB"/>
        </w:rPr>
        <w:t>CH</w:t>
      </w:r>
      <w:r w:rsidRPr="00BC3AE1">
        <w:rPr>
          <w:highlight w:val="yellow"/>
          <w:vertAlign w:val="subscript"/>
          <w:lang w:val="en-GB"/>
        </w:rPr>
        <w:t>4</w:t>
      </w:r>
      <w:r w:rsidR="00C90F49" w:rsidRPr="00BC3AE1">
        <w:rPr>
          <w:highlight w:val="yellow"/>
          <w:lang w:val="en-GB"/>
        </w:rPr>
        <w:t xml:space="preserve"> and </w:t>
      </w:r>
      <w:r w:rsidRPr="00BC3AE1">
        <w:rPr>
          <w:highlight w:val="yellow"/>
          <w:lang w:val="en-GB"/>
        </w:rPr>
        <w:t>C</w:t>
      </w:r>
      <w:r w:rsidRPr="00BC3AE1">
        <w:rPr>
          <w:highlight w:val="yellow"/>
          <w:vertAlign w:val="subscript"/>
          <w:lang w:val="en-GB"/>
        </w:rPr>
        <w:t>2</w:t>
      </w:r>
      <w:r w:rsidRPr="00BC3AE1">
        <w:rPr>
          <w:highlight w:val="yellow"/>
          <w:lang w:val="en-GB"/>
        </w:rPr>
        <w:t>-C</w:t>
      </w:r>
      <w:r w:rsidRPr="00BC3AE1">
        <w:rPr>
          <w:highlight w:val="yellow"/>
          <w:vertAlign w:val="subscript"/>
          <w:lang w:val="en-GB"/>
        </w:rPr>
        <w:t>5</w:t>
      </w:r>
      <w:r w:rsidR="00C90F49" w:rsidRPr="00BC3AE1">
        <w:rPr>
          <w:highlight w:val="yellow"/>
          <w:lang w:val="en-GB"/>
        </w:rPr>
        <w:t xml:space="preserve"> hydrocarbon yields. The nearly constant CO concentration likely reflects the competing effects of steam/dry reforming, which generate CO, and the water</w:t>
      </w:r>
      <w:r w:rsidRPr="00BC3AE1">
        <w:rPr>
          <w:rFonts w:cs="Arial"/>
          <w:highlight w:val="yellow"/>
          <w:lang w:val="en-GB"/>
        </w:rPr>
        <w:t>-</w:t>
      </w:r>
      <w:r w:rsidR="00C90F49" w:rsidRPr="00BC3AE1">
        <w:rPr>
          <w:highlight w:val="yellow"/>
          <w:lang w:val="en-GB"/>
        </w:rPr>
        <w:t>gas shift reaction, which consumes it.</w:t>
      </w:r>
      <w:r w:rsidRPr="00BC3AE1">
        <w:rPr>
          <w:lang w:val="en-GB"/>
        </w:rPr>
        <w:t xml:space="preserve"> </w:t>
      </w:r>
      <w:r w:rsidR="0005251D" w:rsidRPr="00332CA4">
        <w:rPr>
          <w:lang w:val="en-GB"/>
        </w:rPr>
        <w:t>The decrease in CO</w:t>
      </w:r>
      <w:r w:rsidR="0005251D" w:rsidRPr="00332CA4">
        <w:rPr>
          <w:vertAlign w:val="subscript"/>
          <w:lang w:val="en-GB"/>
        </w:rPr>
        <w:t>2</w:t>
      </w:r>
      <w:r w:rsidR="0005251D" w:rsidRPr="00332CA4">
        <w:rPr>
          <w:lang w:val="en-GB"/>
        </w:rPr>
        <w:t xml:space="preserve"> levels was primarily a result of hydrocarbon dry reforming reactions. The significant increase in hydrogen production, coupled with the reduction in CO</w:t>
      </w:r>
      <w:r w:rsidR="0005251D" w:rsidRPr="00332CA4">
        <w:rPr>
          <w:vertAlign w:val="subscript"/>
          <w:lang w:val="en-GB"/>
        </w:rPr>
        <w:t>2</w:t>
      </w:r>
      <w:r w:rsidR="0005251D" w:rsidRPr="00332CA4">
        <w:rPr>
          <w:lang w:val="en-GB"/>
        </w:rPr>
        <w:t xml:space="preserve"> and hydrocarbon concentrations, indicates that the catalyst </w:t>
      </w:r>
      <w:r w:rsidR="000A0D5A" w:rsidRPr="00332CA4">
        <w:rPr>
          <w:lang w:val="en-GB"/>
        </w:rPr>
        <w:t xml:space="preserve">activity in </w:t>
      </w:r>
      <w:r w:rsidR="0005251D" w:rsidRPr="00332CA4">
        <w:rPr>
          <w:lang w:val="en-GB"/>
        </w:rPr>
        <w:t>secondary reforming was substantially enhanced as the nitrate content increased.</w:t>
      </w:r>
      <w:r>
        <w:rPr>
          <w:lang w:val="en-GB"/>
        </w:rPr>
        <w:t xml:space="preserve"> </w:t>
      </w:r>
      <w:r w:rsidR="00980AFF" w:rsidRPr="00332CA4">
        <w:rPr>
          <w:lang w:val="en-GB"/>
        </w:rPr>
        <w:t>I</w:t>
      </w:r>
      <w:r w:rsidR="0005251D" w:rsidRPr="00332CA4">
        <w:rPr>
          <w:lang w:val="en-GB"/>
        </w:rPr>
        <w:t xml:space="preserve">n case of catalysts prepared using </w:t>
      </w:r>
      <w:r w:rsidR="000A0D5A" w:rsidRPr="00332CA4">
        <w:rPr>
          <w:lang w:val="en-GB"/>
        </w:rPr>
        <w:t>sulphate</w:t>
      </w:r>
      <w:r w:rsidR="0005251D" w:rsidRPr="00332CA4">
        <w:rPr>
          <w:lang w:val="en-GB"/>
        </w:rPr>
        <w:t xml:space="preserve">-containing solutions, increasing the concentration of the impregnating solution allowed a nominally larger amount of metal to bind to the catalyst surface; however, this also resulted in a higher quantity of </w:t>
      </w:r>
      <w:r w:rsidR="000A0D5A" w:rsidRPr="00332CA4">
        <w:rPr>
          <w:lang w:val="en-GB"/>
        </w:rPr>
        <w:t>sulphur</w:t>
      </w:r>
      <w:r w:rsidR="0005251D" w:rsidRPr="00332CA4">
        <w:rPr>
          <w:lang w:val="en-GB"/>
        </w:rPr>
        <w:t xml:space="preserve">-containing agents. Due to the increased loading caused by </w:t>
      </w:r>
      <w:r w:rsidR="000A0D5A" w:rsidRPr="00332CA4">
        <w:rPr>
          <w:lang w:val="en-GB"/>
        </w:rPr>
        <w:t>sulphate</w:t>
      </w:r>
      <w:r w:rsidR="0005251D" w:rsidRPr="00332CA4">
        <w:rPr>
          <w:lang w:val="en-GB"/>
        </w:rPr>
        <w:t xml:space="preserve"> and other </w:t>
      </w:r>
      <w:r w:rsidR="000A0D5A" w:rsidRPr="00332CA4">
        <w:rPr>
          <w:lang w:val="en-GB"/>
        </w:rPr>
        <w:t>sulphur</w:t>
      </w:r>
      <w:r w:rsidR="0005251D" w:rsidRPr="00332CA4">
        <w:rPr>
          <w:lang w:val="en-GB"/>
        </w:rPr>
        <w:t xml:space="preserve">-containing groups, the </w:t>
      </w:r>
      <w:r w:rsidR="000A0D5A" w:rsidRPr="00332CA4">
        <w:rPr>
          <w:lang w:val="en-GB"/>
        </w:rPr>
        <w:t>probability</w:t>
      </w:r>
      <w:r w:rsidR="0005251D" w:rsidRPr="00332CA4">
        <w:rPr>
          <w:lang w:val="en-GB"/>
        </w:rPr>
        <w:t xml:space="preserve"> of steam reforming and other hydrogen-producing reactions occurring was significantly reduced. Consequently, less hydrocarbon was converted into hydrogen and CO. The increase in CO</w:t>
      </w:r>
      <w:r w:rsidR="000A0D5A" w:rsidRPr="00332CA4">
        <w:rPr>
          <w:vertAlign w:val="subscript"/>
          <w:lang w:val="en-GB"/>
        </w:rPr>
        <w:t>2</w:t>
      </w:r>
      <w:r w:rsidR="000A0D5A" w:rsidRPr="00332CA4">
        <w:rPr>
          <w:rFonts w:ascii="Cambria Math" w:hAnsi="Cambria Math" w:cs="Cambria Math"/>
          <w:lang w:val="en-GB"/>
        </w:rPr>
        <w:t xml:space="preserve"> </w:t>
      </w:r>
      <w:r w:rsidR="0005251D" w:rsidRPr="00332CA4">
        <w:rPr>
          <w:lang w:val="en-GB"/>
        </w:rPr>
        <w:t>concentration was primarily the result of the suppression of dry reforming reactions.</w:t>
      </w:r>
    </w:p>
    <w:p w14:paraId="53D598DD" w14:textId="1F1E7C62" w:rsidR="00E864A2" w:rsidRPr="00332CA4" w:rsidRDefault="0005251D" w:rsidP="002059E8">
      <w:pPr>
        <w:pStyle w:val="CETBodytext"/>
        <w:rPr>
          <w:lang w:val="en-GB"/>
        </w:rPr>
      </w:pPr>
      <w:r w:rsidRPr="00332CA4">
        <w:rPr>
          <w:lang w:val="en-GB"/>
        </w:rPr>
        <w:t xml:space="preserve">Figure </w:t>
      </w:r>
      <w:r w:rsidR="00BC3AE1" w:rsidRPr="00BC3AE1">
        <w:rPr>
          <w:highlight w:val="yellow"/>
          <w:lang w:val="en-GB"/>
        </w:rPr>
        <w:t>5</w:t>
      </w:r>
      <w:r w:rsidRPr="00332CA4">
        <w:rPr>
          <w:lang w:val="en-GB"/>
        </w:rPr>
        <w:t xml:space="preserve"> summarizes the synthesis gas yields of the gaseous products. Based on the data, the synthesis gas yield (</w:t>
      </w:r>
      <w:r w:rsidR="000A0D5A" w:rsidRPr="00332CA4">
        <w:rPr>
          <w:lang w:val="en-GB"/>
        </w:rPr>
        <w:t>on the base of</w:t>
      </w:r>
      <w:r w:rsidRPr="00332CA4">
        <w:rPr>
          <w:lang w:val="en-GB"/>
        </w:rPr>
        <w:t xml:space="preserve"> the feedstock) showed a decreasing trend for catalysts prepared with </w:t>
      </w:r>
      <w:r w:rsidR="000A0D5A" w:rsidRPr="00332CA4">
        <w:rPr>
          <w:lang w:val="en-GB"/>
        </w:rPr>
        <w:t>sulphate</w:t>
      </w:r>
      <w:r w:rsidRPr="00332CA4">
        <w:rPr>
          <w:lang w:val="en-GB"/>
        </w:rPr>
        <w:t>-containing impregnating solutions, whereas it showed an increasing trend for those prepared with nitrate-containing solutions.</w:t>
      </w:r>
    </w:p>
    <w:p w14:paraId="49E427C6" w14:textId="77777777" w:rsidR="0005251D" w:rsidRPr="00332CA4" w:rsidRDefault="0005251D" w:rsidP="002059E8">
      <w:pPr>
        <w:pStyle w:val="CETBodytext"/>
        <w:rPr>
          <w:lang w:val="en-GB"/>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8"/>
        <w:gridCol w:w="4389"/>
      </w:tblGrid>
      <w:tr w:rsidR="00B60913" w:rsidRPr="00332CA4" w14:paraId="3977BCAB" w14:textId="77777777" w:rsidTr="000A0D5A">
        <w:tc>
          <w:tcPr>
            <w:tcW w:w="4388" w:type="dxa"/>
          </w:tcPr>
          <w:p w14:paraId="2A15B3A8" w14:textId="732483A3" w:rsidR="00B60913" w:rsidRPr="00332CA4" w:rsidRDefault="00B60913" w:rsidP="00B014BB">
            <w:pPr>
              <w:pStyle w:val="CETBodytext"/>
              <w:rPr>
                <w:lang w:val="en-GB"/>
              </w:rPr>
            </w:pPr>
            <w:r w:rsidRPr="00332CA4">
              <w:rPr>
                <w:noProof/>
                <w:lang w:val="en-GB"/>
              </w:rPr>
              <w:drawing>
                <wp:inline distT="0" distB="0" distL="0" distR="0" wp14:anchorId="5109C0CF" wp14:editId="051249E0">
                  <wp:extent cx="2160000" cy="1620000"/>
                  <wp:effectExtent l="0" t="0" r="0" b="0"/>
                  <wp:docPr id="13" name="Kép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60000" cy="1620000"/>
                          </a:xfrm>
                          <a:prstGeom prst="rect">
                            <a:avLst/>
                          </a:prstGeom>
                          <a:noFill/>
                          <a:ln>
                            <a:noFill/>
                          </a:ln>
                        </pic:spPr>
                      </pic:pic>
                    </a:graphicData>
                  </a:graphic>
                </wp:inline>
              </w:drawing>
            </w:r>
          </w:p>
        </w:tc>
        <w:tc>
          <w:tcPr>
            <w:tcW w:w="4389" w:type="dxa"/>
          </w:tcPr>
          <w:p w14:paraId="1D9A09D4" w14:textId="4704DE08" w:rsidR="00B60913" w:rsidRPr="00332CA4" w:rsidRDefault="00B60913" w:rsidP="00B014BB">
            <w:pPr>
              <w:pStyle w:val="CETBodytext"/>
              <w:rPr>
                <w:lang w:val="en-GB"/>
              </w:rPr>
            </w:pPr>
            <w:r w:rsidRPr="00332CA4">
              <w:rPr>
                <w:noProof/>
                <w:lang w:val="en-GB"/>
              </w:rPr>
              <w:drawing>
                <wp:inline distT="0" distB="0" distL="0" distR="0" wp14:anchorId="07615853" wp14:editId="29A8CF8C">
                  <wp:extent cx="2160000" cy="1681200"/>
                  <wp:effectExtent l="0" t="0" r="0" b="0"/>
                  <wp:docPr id="14" name="Kép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60000" cy="1681200"/>
                          </a:xfrm>
                          <a:prstGeom prst="rect">
                            <a:avLst/>
                          </a:prstGeom>
                          <a:noFill/>
                          <a:ln>
                            <a:noFill/>
                          </a:ln>
                        </pic:spPr>
                      </pic:pic>
                    </a:graphicData>
                  </a:graphic>
                </wp:inline>
              </w:drawing>
            </w:r>
          </w:p>
        </w:tc>
      </w:tr>
      <w:tr w:rsidR="00B60913" w:rsidRPr="0063664A" w14:paraId="7420ECD4" w14:textId="77777777" w:rsidTr="000A0D5A">
        <w:tc>
          <w:tcPr>
            <w:tcW w:w="4388" w:type="dxa"/>
          </w:tcPr>
          <w:p w14:paraId="418DBDDE" w14:textId="77AC33A2" w:rsidR="00B60913" w:rsidRPr="0063664A" w:rsidRDefault="0063664A" w:rsidP="00B014BB">
            <w:pPr>
              <w:pStyle w:val="CETBodytext"/>
              <w:jc w:val="center"/>
              <w:rPr>
                <w:highlight w:val="yellow"/>
                <w:lang w:val="en-GB"/>
              </w:rPr>
            </w:pPr>
            <w:r w:rsidRPr="0063664A">
              <w:rPr>
                <w:highlight w:val="yellow"/>
                <w:lang w:val="en-GB"/>
              </w:rPr>
              <w:t>a)</w:t>
            </w:r>
          </w:p>
        </w:tc>
        <w:tc>
          <w:tcPr>
            <w:tcW w:w="4389" w:type="dxa"/>
          </w:tcPr>
          <w:p w14:paraId="75B9CE01" w14:textId="25D93702" w:rsidR="00B60913" w:rsidRPr="0063664A" w:rsidRDefault="0063664A" w:rsidP="00B014BB">
            <w:pPr>
              <w:pStyle w:val="CETBodytext"/>
              <w:jc w:val="center"/>
              <w:rPr>
                <w:highlight w:val="yellow"/>
                <w:lang w:val="en-GB"/>
              </w:rPr>
            </w:pPr>
            <w:r w:rsidRPr="0063664A">
              <w:rPr>
                <w:highlight w:val="yellow"/>
                <w:lang w:val="en-GB"/>
              </w:rPr>
              <w:t>b)</w:t>
            </w:r>
          </w:p>
        </w:tc>
      </w:tr>
    </w:tbl>
    <w:p w14:paraId="2DA0EAA1" w14:textId="4516F2D3" w:rsidR="00B60913" w:rsidRPr="00332CA4" w:rsidRDefault="00B60913" w:rsidP="0063664A">
      <w:pPr>
        <w:pStyle w:val="CETReferencetext"/>
        <w:rPr>
          <w:i/>
        </w:rPr>
      </w:pPr>
      <w:r w:rsidRPr="0063664A">
        <w:rPr>
          <w:i/>
          <w:highlight w:val="yellow"/>
        </w:rPr>
        <w:t xml:space="preserve">Figure </w:t>
      </w:r>
      <w:r w:rsidR="00BC3AE1" w:rsidRPr="0063664A">
        <w:rPr>
          <w:i/>
          <w:highlight w:val="yellow"/>
        </w:rPr>
        <w:t>5</w:t>
      </w:r>
      <w:r w:rsidRPr="0063664A">
        <w:rPr>
          <w:i/>
          <w:highlight w:val="yellow"/>
        </w:rPr>
        <w:t xml:space="preserve">: The </w:t>
      </w:r>
      <w:r w:rsidR="000A0D5A" w:rsidRPr="0063664A">
        <w:rPr>
          <w:i/>
          <w:highlight w:val="yellow"/>
        </w:rPr>
        <w:t>yield of synthesis gas</w:t>
      </w:r>
      <w:r w:rsidR="0063664A" w:rsidRPr="0063664A">
        <w:rPr>
          <w:i/>
          <w:highlight w:val="yellow"/>
        </w:rPr>
        <w:t xml:space="preserve"> (sulphate-based ZSM-5 (a) and nitrate-based ZSM-5 (b) catalysts)</w:t>
      </w:r>
    </w:p>
    <w:p w14:paraId="4935A55D" w14:textId="29373B43" w:rsidR="00B60913" w:rsidRPr="00332CA4" w:rsidRDefault="00B60913" w:rsidP="002059E8">
      <w:pPr>
        <w:pStyle w:val="CETBodytext"/>
        <w:rPr>
          <w:lang w:val="en-GB"/>
        </w:rPr>
      </w:pPr>
    </w:p>
    <w:p w14:paraId="7CEA22C1" w14:textId="77777777" w:rsidR="000A0D5A" w:rsidRPr="00332CA4" w:rsidRDefault="000A0D5A" w:rsidP="000A0D5A">
      <w:pPr>
        <w:pStyle w:val="CETBodytext"/>
        <w:rPr>
          <w:lang w:val="en-GB"/>
        </w:rPr>
      </w:pPr>
      <w:r w:rsidRPr="00332CA4">
        <w:rPr>
          <w:lang w:val="en-GB"/>
        </w:rPr>
        <w:t xml:space="preserve">Both the increase and the decrease were primarily driven by significant changes in hydrogen yield. This resulted from the fact that, with the nitrate solution, increasing the metal concentration enhanced the active reforming properties of the Ni/Mn/Co/ZSM-5 catalyst, whereas with the sulphate-containing solution, the increasing </w:t>
      </w:r>
      <w:r w:rsidRPr="00332CA4">
        <w:rPr>
          <w:lang w:val="en-GB"/>
        </w:rPr>
        <w:lastRenderedPageBreak/>
        <w:t>concentration of sulphur-containing precursors reduced this activity. This may have been partly due to the blocking of the catalyst active sites by polyaromatics and coke particles formed during the reaction. It is also worth to mention, that the lithium present in the sulphate solution failed to significantly suppress coke formation.</w:t>
      </w:r>
    </w:p>
    <w:p w14:paraId="5A838C49" w14:textId="77777777" w:rsidR="00645210" w:rsidRPr="00332CA4" w:rsidRDefault="00645210" w:rsidP="00645210">
      <w:pPr>
        <w:pStyle w:val="CETHeading1"/>
        <w:numPr>
          <w:ilvl w:val="1"/>
          <w:numId w:val="1"/>
        </w:numPr>
        <w:tabs>
          <w:tab w:val="num" w:pos="360"/>
        </w:tabs>
        <w:rPr>
          <w:color w:val="000000" w:themeColor="text1"/>
          <w:lang w:val="en-GB"/>
        </w:rPr>
      </w:pPr>
      <w:r w:rsidRPr="00332CA4">
        <w:rPr>
          <w:color w:val="000000" w:themeColor="text1"/>
          <w:lang w:val="en-GB"/>
        </w:rPr>
        <w:t>Conclusions</w:t>
      </w:r>
    </w:p>
    <w:p w14:paraId="04D0D4E2" w14:textId="4433EB50" w:rsidR="00645210" w:rsidRPr="00332CA4" w:rsidRDefault="00BC3AE1" w:rsidP="002059E8">
      <w:pPr>
        <w:pStyle w:val="CETBodytext"/>
        <w:rPr>
          <w:lang w:val="en-GB"/>
        </w:rPr>
      </w:pPr>
      <w:r w:rsidRPr="00BC3AE1">
        <w:rPr>
          <w:highlight w:val="yellow"/>
          <w:lang w:val="en-GB"/>
        </w:rPr>
        <w:t>Metals (Li, Ni, Mn, Co) recovered from waste NMC cathodes can enhance H</w:t>
      </w:r>
      <w:r w:rsidRPr="00BC3AE1">
        <w:rPr>
          <w:rFonts w:ascii="Cambria Math" w:hAnsi="Cambria Math" w:cs="Cambria Math"/>
          <w:highlight w:val="yellow"/>
          <w:lang w:val="en-GB"/>
        </w:rPr>
        <w:t>₂</w:t>
      </w:r>
      <w:r w:rsidRPr="00BC3AE1">
        <w:rPr>
          <w:highlight w:val="yellow"/>
          <w:lang w:val="en-GB"/>
        </w:rPr>
        <w:t xml:space="preserve"> production during plastic pyrolysis</w:t>
      </w:r>
      <w:r>
        <w:rPr>
          <w:rFonts w:cs="Arial"/>
          <w:highlight w:val="yellow"/>
          <w:lang w:val="en-GB"/>
        </w:rPr>
        <w:t>-</w:t>
      </w:r>
      <w:r w:rsidRPr="00BC3AE1">
        <w:rPr>
          <w:highlight w:val="yellow"/>
          <w:lang w:val="en-GB"/>
        </w:rPr>
        <w:t>gasification, although catalytic performance strongly depends on the precursor anion.</w:t>
      </w:r>
      <w:r w:rsidR="009A7C34" w:rsidRPr="00332CA4">
        <w:rPr>
          <w:lang w:val="en-GB"/>
        </w:rPr>
        <w:t xml:space="preserve"> Increasing precursor concentration resulted in a decrease in H</w:t>
      </w:r>
      <w:r w:rsidR="009A7C34" w:rsidRPr="00332CA4">
        <w:rPr>
          <w:vertAlign w:val="subscript"/>
          <w:lang w:val="en-GB"/>
        </w:rPr>
        <w:t>2</w:t>
      </w:r>
      <w:r w:rsidR="009A7C34" w:rsidRPr="00332CA4">
        <w:rPr>
          <w:lang w:val="en-GB"/>
        </w:rPr>
        <w:t xml:space="preserve"> and CO yields using catalysts impregnated with sulphate precursors. In contrast, for catalysts prepared from nitrate precursors -obtained via carbonate precipitation followed by redissolution in nitric acid </w:t>
      </w:r>
      <w:r w:rsidR="00CA5244" w:rsidRPr="00332CA4">
        <w:rPr>
          <w:lang w:val="en-GB"/>
        </w:rPr>
        <w:t>-</w:t>
      </w:r>
      <w:r w:rsidR="009A7C34" w:rsidRPr="00332CA4">
        <w:rPr>
          <w:lang w:val="en-GB"/>
        </w:rPr>
        <w:t xml:space="preserve"> </w:t>
      </w:r>
      <w:r w:rsidR="00CA5244" w:rsidRPr="00332CA4">
        <w:rPr>
          <w:lang w:val="en-GB"/>
        </w:rPr>
        <w:t xml:space="preserve">the </w:t>
      </w:r>
      <w:r w:rsidR="009A7C34" w:rsidRPr="00332CA4">
        <w:rPr>
          <w:lang w:val="en-GB"/>
        </w:rPr>
        <w:t>increasing metal concentration primarily promoted the H</w:t>
      </w:r>
      <w:r w:rsidR="009A7C34" w:rsidRPr="00332CA4">
        <w:rPr>
          <w:vertAlign w:val="subscript"/>
          <w:lang w:val="en-GB"/>
        </w:rPr>
        <w:t>2</w:t>
      </w:r>
      <w:r w:rsidR="009A7C34" w:rsidRPr="00332CA4">
        <w:rPr>
          <w:lang w:val="en-GB"/>
        </w:rPr>
        <w:t xml:space="preserve"> formation and the amount of CO changed only slightly. The concentrations of CO</w:t>
      </w:r>
      <w:r w:rsidR="009A7C34" w:rsidRPr="00332CA4">
        <w:rPr>
          <w:vertAlign w:val="subscript"/>
          <w:lang w:val="en-GB"/>
        </w:rPr>
        <w:t>2</w:t>
      </w:r>
      <w:r w:rsidR="009A7C34" w:rsidRPr="00332CA4">
        <w:rPr>
          <w:lang w:val="en-GB"/>
        </w:rPr>
        <w:t>, CH</w:t>
      </w:r>
      <w:r w:rsidR="009A7C34" w:rsidRPr="00332CA4">
        <w:rPr>
          <w:vertAlign w:val="subscript"/>
          <w:lang w:val="en-GB"/>
        </w:rPr>
        <w:t>4</w:t>
      </w:r>
      <w:r w:rsidR="009A7C34" w:rsidRPr="00332CA4">
        <w:rPr>
          <w:lang w:val="en-GB"/>
        </w:rPr>
        <w:t>, and C</w:t>
      </w:r>
      <w:r w:rsidR="009A7C34" w:rsidRPr="00332CA4">
        <w:rPr>
          <w:vertAlign w:val="subscript"/>
          <w:lang w:val="en-GB"/>
        </w:rPr>
        <w:t>2</w:t>
      </w:r>
      <w:r w:rsidR="009A7C34" w:rsidRPr="00332CA4">
        <w:rPr>
          <w:lang w:val="en-GB"/>
        </w:rPr>
        <w:t>-C</w:t>
      </w:r>
      <w:r w:rsidR="009A7C34" w:rsidRPr="00332CA4">
        <w:rPr>
          <w:vertAlign w:val="subscript"/>
          <w:lang w:val="en-GB"/>
        </w:rPr>
        <w:t>5</w:t>
      </w:r>
      <w:r w:rsidR="009A7C34" w:rsidRPr="00332CA4">
        <w:rPr>
          <w:lang w:val="en-GB"/>
        </w:rPr>
        <w:t xml:space="preserve"> components decreased. </w:t>
      </w:r>
      <w:r w:rsidRPr="00BC3AE1">
        <w:rPr>
          <w:highlight w:val="yellow"/>
          <w:lang w:val="en-GB"/>
        </w:rPr>
        <w:t>The results demonstrate that Li, Ni, Mn, and Co recovered from waste NMC cathode materials can be effectively utilized as catalytic components to enhance H</w:t>
      </w:r>
      <w:r w:rsidRPr="00BC3AE1">
        <w:rPr>
          <w:rFonts w:ascii="Cambria Math" w:hAnsi="Cambria Math" w:cs="Cambria Math"/>
          <w:highlight w:val="yellow"/>
          <w:lang w:val="en-GB"/>
        </w:rPr>
        <w:t>₂</w:t>
      </w:r>
      <w:r w:rsidRPr="00BC3AE1">
        <w:rPr>
          <w:highlight w:val="yellow"/>
          <w:lang w:val="en-GB"/>
        </w:rPr>
        <w:t xml:space="preserve"> production during the pyrolysis</w:t>
      </w:r>
      <w:r w:rsidRPr="00BC3AE1">
        <w:rPr>
          <w:rFonts w:cs="Arial"/>
          <w:highlight w:val="yellow"/>
          <w:lang w:val="en-GB"/>
        </w:rPr>
        <w:t>–</w:t>
      </w:r>
      <w:r w:rsidRPr="00BC3AE1">
        <w:rPr>
          <w:highlight w:val="yellow"/>
          <w:lang w:val="en-GB"/>
        </w:rPr>
        <w:t>gasification of waste plastics, with catalytic performance being strongly influenced by the precursor anion.</w:t>
      </w:r>
      <w:r>
        <w:rPr>
          <w:lang w:val="en-GB"/>
        </w:rPr>
        <w:t xml:space="preserve"> </w:t>
      </w:r>
      <w:r w:rsidR="00CA5244" w:rsidRPr="00332CA4">
        <w:rPr>
          <w:lang w:val="en-GB"/>
        </w:rPr>
        <w:t>Sulphur</w:t>
      </w:r>
      <w:r w:rsidR="009A7C34" w:rsidRPr="00332CA4">
        <w:rPr>
          <w:lang w:val="en-GB"/>
        </w:rPr>
        <w:t>-containing components can inhibit the steam reforming of hydrocarbons and the H</w:t>
      </w:r>
      <w:r w:rsidR="009A7C34" w:rsidRPr="00332CA4">
        <w:rPr>
          <w:vertAlign w:val="subscript"/>
          <w:lang w:val="en-GB"/>
        </w:rPr>
        <w:t>2</w:t>
      </w:r>
      <w:r w:rsidR="009A7C34" w:rsidRPr="00332CA4">
        <w:rPr>
          <w:lang w:val="en-GB"/>
        </w:rPr>
        <w:t xml:space="preserve"> formation associated with the water-gas shift reaction. In contrast, calcination of nitrate precursors can lead to the formation of metal oxide phases that are more </w:t>
      </w:r>
      <w:r w:rsidR="00CA5244" w:rsidRPr="00332CA4">
        <w:rPr>
          <w:lang w:val="en-GB"/>
        </w:rPr>
        <w:t>favourable</w:t>
      </w:r>
      <w:r w:rsidR="009A7C34" w:rsidRPr="00332CA4">
        <w:rPr>
          <w:lang w:val="en-GB"/>
        </w:rPr>
        <w:t xml:space="preserve"> and active in reforming reactions. Carbonate precipitation and redissolution can result in a partial loss of Li; therefore, differences in Li content may also contribute to the distinction between nitrate- and </w:t>
      </w:r>
      <w:r w:rsidR="00CA5244" w:rsidRPr="00332CA4">
        <w:rPr>
          <w:lang w:val="en-GB"/>
        </w:rPr>
        <w:t>sulphate</w:t>
      </w:r>
      <w:r w:rsidR="009A7C34" w:rsidRPr="00332CA4">
        <w:rPr>
          <w:lang w:val="en-GB"/>
        </w:rPr>
        <w:t>-based catalysts.</w:t>
      </w:r>
    </w:p>
    <w:p w14:paraId="2C2359BD" w14:textId="77777777" w:rsidR="00645210" w:rsidRPr="00332CA4" w:rsidRDefault="00645210" w:rsidP="00645210">
      <w:pPr>
        <w:pStyle w:val="CETHeadingxx"/>
        <w:rPr>
          <w:lang w:val="en-GB"/>
        </w:rPr>
      </w:pPr>
      <w:r w:rsidRPr="00332CA4">
        <w:rPr>
          <w:lang w:val="en-GB"/>
        </w:rPr>
        <w:t>Acknowledgments</w:t>
      </w:r>
    </w:p>
    <w:p w14:paraId="6336756F" w14:textId="77777777" w:rsidR="00645210" w:rsidRPr="00332CA4" w:rsidRDefault="00645210" w:rsidP="00645210">
      <w:pPr>
        <w:pStyle w:val="CETBodytext"/>
        <w:rPr>
          <w:lang w:val="en-GB"/>
        </w:rPr>
      </w:pPr>
      <w:r w:rsidRPr="00332CA4">
        <w:rPr>
          <w:lang w:val="en-GB"/>
        </w:rPr>
        <w:t>The project No. 2024-1.2.5-TÉT-2024-00025 was financed by the Ministry of Cultural and Innovation from the National Research Development and Innovation Fund, within the 2024-1.2.5-TET program.</w:t>
      </w:r>
    </w:p>
    <w:p w14:paraId="3B4411FE" w14:textId="77777777" w:rsidR="00645210" w:rsidRPr="00332CA4" w:rsidRDefault="00645210" w:rsidP="00645210">
      <w:pPr>
        <w:pStyle w:val="CETReference"/>
        <w:rPr>
          <w:color w:val="000000" w:themeColor="text1"/>
        </w:rPr>
      </w:pPr>
      <w:r w:rsidRPr="00332CA4">
        <w:rPr>
          <w:color w:val="000000" w:themeColor="text1"/>
        </w:rPr>
        <w:t>References</w:t>
      </w:r>
    </w:p>
    <w:p w14:paraId="5D292EE4" w14:textId="77777777" w:rsidR="00AD2217" w:rsidRPr="00AD2217" w:rsidRDefault="00AD2217" w:rsidP="00AD2217">
      <w:pPr>
        <w:rPr>
          <w:rFonts w:cs="Arial"/>
          <w:highlight w:val="yellow"/>
        </w:rPr>
      </w:pPr>
      <w:proofErr w:type="spellStart"/>
      <w:r w:rsidRPr="00AD2217">
        <w:rPr>
          <w:rFonts w:cs="Arial"/>
          <w:highlight w:val="yellow"/>
        </w:rPr>
        <w:t>Ayuso</w:t>
      </w:r>
      <w:proofErr w:type="spellEnd"/>
      <w:r w:rsidRPr="00AD2217">
        <w:rPr>
          <w:rFonts w:cs="Arial"/>
          <w:highlight w:val="yellow"/>
        </w:rPr>
        <w:t xml:space="preserve">-Díaz I., Perez-Gil S., Lopez G., Santamaria L., </w:t>
      </w:r>
      <w:proofErr w:type="spellStart"/>
      <w:r w:rsidRPr="00AD2217">
        <w:rPr>
          <w:rFonts w:cs="Arial"/>
          <w:highlight w:val="yellow"/>
        </w:rPr>
        <w:t>Antoñanzas</w:t>
      </w:r>
      <w:proofErr w:type="spellEnd"/>
      <w:r w:rsidRPr="00AD2217">
        <w:rPr>
          <w:rFonts w:cs="Arial"/>
          <w:highlight w:val="yellow"/>
        </w:rPr>
        <w:t xml:space="preserve">-González F.J., 2025, Progress on waste plastics gasification process: A review of operating conditions, reactors and catalysts for clean syngas production and tar abatement, </w:t>
      </w:r>
      <w:r w:rsidRPr="00332CA4">
        <w:rPr>
          <w:rFonts w:cs="Arial"/>
          <w:highlight w:val="yellow"/>
        </w:rPr>
        <w:t>International Journal of Hydrogen Energy</w:t>
      </w:r>
      <w:r w:rsidRPr="00AD2217">
        <w:rPr>
          <w:rFonts w:cs="Arial"/>
          <w:highlight w:val="yellow"/>
        </w:rPr>
        <w:t xml:space="preserve"> 148, 150000. </w:t>
      </w:r>
    </w:p>
    <w:p w14:paraId="1783193A" w14:textId="7D997351" w:rsidR="007F1EB2" w:rsidRPr="00332CA4" w:rsidRDefault="007F1EB2" w:rsidP="007F1EB2">
      <w:pPr>
        <w:rPr>
          <w:rFonts w:cs="Arial"/>
        </w:rPr>
      </w:pPr>
      <w:proofErr w:type="spellStart"/>
      <w:r w:rsidRPr="00332CA4">
        <w:rPr>
          <w:rFonts w:cs="Arial"/>
        </w:rPr>
        <w:t>Jin</w:t>
      </w:r>
      <w:proofErr w:type="spellEnd"/>
      <w:r w:rsidRPr="00332CA4">
        <w:rPr>
          <w:rFonts w:cs="Arial"/>
        </w:rPr>
        <w:t xml:space="preserve"> X., Zhang X., Zhang P., </w:t>
      </w:r>
      <w:proofErr w:type="spellStart"/>
      <w:r w:rsidRPr="00332CA4">
        <w:rPr>
          <w:rFonts w:cs="Arial"/>
        </w:rPr>
        <w:t>Rohani</w:t>
      </w:r>
      <w:proofErr w:type="spellEnd"/>
      <w:r w:rsidRPr="00332CA4">
        <w:rPr>
          <w:rFonts w:cs="Arial"/>
        </w:rPr>
        <w:t xml:space="preserve"> S., Li H., He M., Teng L., Liu Q., Liu W., 2024, Efficient extraction of valuable metals from spent LiNi</w:t>
      </w:r>
      <w:r w:rsidRPr="00332CA4">
        <w:rPr>
          <w:rFonts w:ascii="Cambria Math" w:hAnsi="Cambria Math" w:cs="Cambria Math"/>
          <w:vertAlign w:val="subscript"/>
        </w:rPr>
        <w:t>0.5</w:t>
      </w:r>
      <w:r w:rsidRPr="00332CA4">
        <w:rPr>
          <w:rFonts w:cs="Arial"/>
        </w:rPr>
        <w:t>Co</w:t>
      </w:r>
      <w:r w:rsidRPr="00332CA4">
        <w:rPr>
          <w:rFonts w:cs="Arial"/>
          <w:vertAlign w:val="subscript"/>
        </w:rPr>
        <w:t>0.2</w:t>
      </w:r>
      <w:r w:rsidRPr="00332CA4">
        <w:rPr>
          <w:rFonts w:cs="Arial"/>
        </w:rPr>
        <w:t>Mn</w:t>
      </w:r>
      <w:r w:rsidRPr="00332CA4">
        <w:rPr>
          <w:rFonts w:cs="Arial"/>
          <w:vertAlign w:val="subscript"/>
        </w:rPr>
        <w:t>0.3</w:t>
      </w:r>
      <w:r w:rsidRPr="00332CA4">
        <w:rPr>
          <w:rFonts w:cs="Arial"/>
        </w:rPr>
        <w:t>O</w:t>
      </w:r>
      <w:r w:rsidRPr="00332CA4">
        <w:rPr>
          <w:rFonts w:cs="Arial"/>
          <w:vertAlign w:val="subscript"/>
        </w:rPr>
        <w:t>2</w:t>
      </w:r>
      <w:r w:rsidRPr="00332CA4">
        <w:rPr>
          <w:rFonts w:cs="Arial"/>
        </w:rPr>
        <w:t xml:space="preserve"> cathode based on an acid-free leaching process, Hydrometallurgy 224, 106243.</w:t>
      </w:r>
    </w:p>
    <w:p w14:paraId="1B6B88AF" w14:textId="77777777" w:rsidR="007F1EB2" w:rsidRPr="00332CA4" w:rsidRDefault="007F1EB2" w:rsidP="007F1EB2">
      <w:pPr>
        <w:rPr>
          <w:rFonts w:cs="Arial"/>
        </w:rPr>
      </w:pPr>
      <w:r w:rsidRPr="00332CA4">
        <w:rPr>
          <w:rFonts w:cs="Arial"/>
        </w:rPr>
        <w:t>Jung J.C.-Y., Sui P.-C., Zhang J., 2021, A review of recycling spent lithium-ion battery cathode materials using hydrometallurgical treatments, Journal of Energy Storage 35, 102217.</w:t>
      </w:r>
    </w:p>
    <w:p w14:paraId="3F36737A" w14:textId="77777777" w:rsidR="00AD2217" w:rsidRPr="00AD2217" w:rsidRDefault="00AD2217" w:rsidP="00AD2217">
      <w:pPr>
        <w:rPr>
          <w:rFonts w:cs="Arial"/>
          <w:highlight w:val="yellow"/>
        </w:rPr>
      </w:pPr>
      <w:proofErr w:type="spellStart"/>
      <w:r w:rsidRPr="00AD2217">
        <w:rPr>
          <w:rFonts w:cs="Arial"/>
          <w:highlight w:val="yellow"/>
        </w:rPr>
        <w:t>Kovačević</w:t>
      </w:r>
      <w:proofErr w:type="spellEnd"/>
      <w:r w:rsidRPr="00AD2217">
        <w:rPr>
          <w:rFonts w:cs="Arial"/>
          <w:highlight w:val="yellow"/>
        </w:rPr>
        <w:t xml:space="preserve"> A., </w:t>
      </w:r>
      <w:proofErr w:type="spellStart"/>
      <w:r w:rsidRPr="00AD2217">
        <w:rPr>
          <w:rFonts w:cs="Arial"/>
          <w:highlight w:val="yellow"/>
        </w:rPr>
        <w:t>Tolazzi</w:t>
      </w:r>
      <w:proofErr w:type="spellEnd"/>
      <w:r w:rsidRPr="00AD2217">
        <w:rPr>
          <w:rFonts w:cs="Arial"/>
          <w:highlight w:val="yellow"/>
        </w:rPr>
        <w:t xml:space="preserve"> M., </w:t>
      </w:r>
      <w:proofErr w:type="spellStart"/>
      <w:r w:rsidRPr="00AD2217">
        <w:rPr>
          <w:rFonts w:cs="Arial"/>
          <w:highlight w:val="yellow"/>
        </w:rPr>
        <w:t>Sanadar</w:t>
      </w:r>
      <w:proofErr w:type="spellEnd"/>
      <w:r w:rsidRPr="00AD2217">
        <w:rPr>
          <w:rFonts w:cs="Arial"/>
          <w:highlight w:val="yellow"/>
        </w:rPr>
        <w:t xml:space="preserve"> M., Melchior A., 2024, Hydrometallurgical recovery of metals from spent lithium-ion batteries with ionic liquids and deep eutectic solvents, </w:t>
      </w:r>
      <w:r w:rsidRPr="00332CA4">
        <w:rPr>
          <w:rFonts w:cs="Arial"/>
          <w:highlight w:val="yellow"/>
        </w:rPr>
        <w:t>Journal of Environmental Chemical Engineering</w:t>
      </w:r>
      <w:r w:rsidRPr="00AD2217">
        <w:rPr>
          <w:rFonts w:cs="Arial"/>
          <w:highlight w:val="yellow"/>
        </w:rPr>
        <w:t xml:space="preserve"> 12, 113248.</w:t>
      </w:r>
    </w:p>
    <w:p w14:paraId="7D6CF8C8" w14:textId="3B795837" w:rsidR="00AD2217" w:rsidRPr="00AD2217" w:rsidRDefault="00AD2217" w:rsidP="00AD2217">
      <w:pPr>
        <w:rPr>
          <w:rFonts w:cs="Arial"/>
        </w:rPr>
      </w:pPr>
      <w:proofErr w:type="spellStart"/>
      <w:r w:rsidRPr="00AD2217">
        <w:rPr>
          <w:rFonts w:cs="Arial"/>
          <w:highlight w:val="yellow"/>
        </w:rPr>
        <w:t>Latini</w:t>
      </w:r>
      <w:proofErr w:type="spellEnd"/>
      <w:r w:rsidRPr="00AD2217">
        <w:rPr>
          <w:rFonts w:cs="Arial"/>
          <w:highlight w:val="yellow"/>
        </w:rPr>
        <w:t xml:space="preserve"> D., </w:t>
      </w:r>
      <w:proofErr w:type="spellStart"/>
      <w:r w:rsidRPr="00AD2217">
        <w:rPr>
          <w:rFonts w:cs="Arial"/>
          <w:highlight w:val="yellow"/>
        </w:rPr>
        <w:t>Lagnoni</w:t>
      </w:r>
      <w:proofErr w:type="spellEnd"/>
      <w:r w:rsidRPr="00AD2217">
        <w:rPr>
          <w:rFonts w:cs="Arial"/>
          <w:highlight w:val="yellow"/>
        </w:rPr>
        <w:t xml:space="preserve"> M., </w:t>
      </w:r>
      <w:proofErr w:type="spellStart"/>
      <w:r w:rsidRPr="00AD2217">
        <w:rPr>
          <w:rFonts w:cs="Arial"/>
          <w:highlight w:val="yellow"/>
        </w:rPr>
        <w:t>Brunazzi</w:t>
      </w:r>
      <w:proofErr w:type="spellEnd"/>
      <w:r w:rsidRPr="00AD2217">
        <w:rPr>
          <w:rFonts w:cs="Arial"/>
          <w:highlight w:val="yellow"/>
        </w:rPr>
        <w:t xml:space="preserve"> E., Mauri R., </w:t>
      </w:r>
      <w:proofErr w:type="spellStart"/>
      <w:r w:rsidRPr="00AD2217">
        <w:rPr>
          <w:rFonts w:cs="Arial"/>
          <w:highlight w:val="yellow"/>
        </w:rPr>
        <w:t>Nicolella</w:t>
      </w:r>
      <w:proofErr w:type="spellEnd"/>
      <w:r w:rsidRPr="00AD2217">
        <w:rPr>
          <w:rFonts w:cs="Arial"/>
          <w:highlight w:val="yellow"/>
        </w:rPr>
        <w:t xml:space="preserve"> C., Della Posta P., </w:t>
      </w:r>
      <w:proofErr w:type="spellStart"/>
      <w:r w:rsidRPr="00AD2217">
        <w:rPr>
          <w:rFonts w:cs="Arial"/>
          <w:highlight w:val="yellow"/>
        </w:rPr>
        <w:t>Tognotti</w:t>
      </w:r>
      <w:proofErr w:type="spellEnd"/>
      <w:r w:rsidRPr="00AD2217">
        <w:rPr>
          <w:rFonts w:cs="Arial"/>
          <w:highlight w:val="yellow"/>
        </w:rPr>
        <w:t xml:space="preserve"> L., </w:t>
      </w:r>
      <w:proofErr w:type="spellStart"/>
      <w:r w:rsidRPr="00AD2217">
        <w:rPr>
          <w:rFonts w:cs="Arial"/>
          <w:highlight w:val="yellow"/>
        </w:rPr>
        <w:t>Bertei</w:t>
      </w:r>
      <w:proofErr w:type="spellEnd"/>
      <w:r w:rsidRPr="00AD2217">
        <w:rPr>
          <w:rFonts w:cs="Arial"/>
          <w:highlight w:val="yellow"/>
        </w:rPr>
        <w:t xml:space="preserve"> A., 2022, Recycling of Lithium-ion Batteries: Overview of Existing Processes, Analysis and Performance, </w:t>
      </w:r>
      <w:r w:rsidRPr="00332CA4">
        <w:rPr>
          <w:rFonts w:cs="Arial"/>
          <w:highlight w:val="yellow"/>
        </w:rPr>
        <w:t>Chemical Engineering Transactions</w:t>
      </w:r>
      <w:r w:rsidRPr="00AD2217">
        <w:rPr>
          <w:rFonts w:cs="Arial"/>
          <w:highlight w:val="yellow"/>
        </w:rPr>
        <w:t xml:space="preserve"> 96, 25</w:t>
      </w:r>
      <w:r w:rsidRPr="00332CA4">
        <w:rPr>
          <w:rFonts w:cs="Arial"/>
          <w:highlight w:val="yellow"/>
        </w:rPr>
        <w:t>-</w:t>
      </w:r>
      <w:r w:rsidRPr="00AD2217">
        <w:rPr>
          <w:rFonts w:cs="Arial"/>
          <w:highlight w:val="yellow"/>
        </w:rPr>
        <w:t>30.</w:t>
      </w:r>
      <w:r w:rsidRPr="00AD2217">
        <w:rPr>
          <w:rFonts w:cs="Arial"/>
        </w:rPr>
        <w:t xml:space="preserve"> </w:t>
      </w:r>
    </w:p>
    <w:p w14:paraId="07676769" w14:textId="497307A4" w:rsidR="007F1EB2" w:rsidRPr="00332CA4" w:rsidRDefault="007F1EB2" w:rsidP="007F1EB2">
      <w:pPr>
        <w:rPr>
          <w:rFonts w:cs="Arial"/>
        </w:rPr>
      </w:pPr>
      <w:r w:rsidRPr="00332CA4">
        <w:rPr>
          <w:rFonts w:cs="Arial"/>
        </w:rPr>
        <w:t>Lee C., Arby D.S., Kim C., Lim J., Kwon K., Chung E., 2025, Hydrometallurgical process of spent lithium-ion battery recycling Part 1. Chemical leaching of valuable metals from cathode active materials: Review and case study, Hydrometallurgy 235, 106494.</w:t>
      </w:r>
    </w:p>
    <w:p w14:paraId="24F6E5B6" w14:textId="40A88D34" w:rsidR="007F1EB2" w:rsidRPr="00332CA4" w:rsidRDefault="007F1EB2" w:rsidP="007F1EB2">
      <w:pPr>
        <w:rPr>
          <w:rFonts w:ascii="Cambria Math" w:hAnsi="Cambria Math" w:cs="Cambria Math"/>
        </w:rPr>
      </w:pPr>
      <w:r w:rsidRPr="00332CA4">
        <w:rPr>
          <w:rFonts w:cs="Arial"/>
        </w:rPr>
        <w:t>Liu T., Chen J., Li H., Li K., 2020, An integrated process for the separation and recovery of valuable metals from the spent LiNi</w:t>
      </w:r>
      <w:r w:rsidRPr="00332CA4">
        <w:rPr>
          <w:rFonts w:cs="Arial"/>
          <w:vertAlign w:val="subscript"/>
        </w:rPr>
        <w:t>0.5</w:t>
      </w:r>
      <w:r w:rsidRPr="00332CA4">
        <w:rPr>
          <w:rFonts w:cs="Arial"/>
        </w:rPr>
        <w:t>Co</w:t>
      </w:r>
      <w:r w:rsidRPr="00332CA4">
        <w:rPr>
          <w:rFonts w:cs="Arial"/>
          <w:vertAlign w:val="subscript"/>
        </w:rPr>
        <w:t>0.2</w:t>
      </w:r>
      <w:r w:rsidRPr="00332CA4">
        <w:rPr>
          <w:rFonts w:cs="Arial"/>
        </w:rPr>
        <w:t>Mn</w:t>
      </w:r>
      <w:r w:rsidRPr="00332CA4">
        <w:rPr>
          <w:rFonts w:cs="Arial"/>
          <w:vertAlign w:val="subscript"/>
        </w:rPr>
        <w:t>0.3</w:t>
      </w:r>
      <w:r w:rsidRPr="00332CA4">
        <w:rPr>
          <w:rFonts w:cs="Arial"/>
        </w:rPr>
        <w:t>O</w:t>
      </w:r>
      <w:r w:rsidRPr="00332CA4">
        <w:rPr>
          <w:rFonts w:cs="Arial"/>
          <w:vertAlign w:val="subscript"/>
        </w:rPr>
        <w:t>2</w:t>
      </w:r>
      <w:r w:rsidRPr="00332CA4">
        <w:rPr>
          <w:rFonts w:cs="Arial"/>
        </w:rPr>
        <w:t xml:space="preserve"> cathode materials, Separation and Purification Technology 245, 116869.</w:t>
      </w:r>
    </w:p>
    <w:p w14:paraId="2ED7444B" w14:textId="77777777" w:rsidR="007F1EB2" w:rsidRPr="00332CA4" w:rsidRDefault="007F1EB2" w:rsidP="007F1EB2">
      <w:pPr>
        <w:rPr>
          <w:rFonts w:cs="Arial"/>
        </w:rPr>
      </w:pPr>
      <w:proofErr w:type="spellStart"/>
      <w:r w:rsidRPr="00332CA4">
        <w:rPr>
          <w:rFonts w:cs="Arial"/>
        </w:rPr>
        <w:t>Meshram</w:t>
      </w:r>
      <w:proofErr w:type="spellEnd"/>
      <w:r w:rsidRPr="00332CA4">
        <w:rPr>
          <w:rFonts w:cs="Arial"/>
        </w:rPr>
        <w:t xml:space="preserve"> P., Pandey B.D., </w:t>
      </w:r>
      <w:proofErr w:type="spellStart"/>
      <w:r w:rsidRPr="00332CA4">
        <w:rPr>
          <w:rFonts w:cs="Arial"/>
        </w:rPr>
        <w:t>Mankhand</w:t>
      </w:r>
      <w:proofErr w:type="spellEnd"/>
      <w:r w:rsidRPr="00332CA4">
        <w:rPr>
          <w:rFonts w:cs="Arial"/>
        </w:rPr>
        <w:t xml:space="preserve"> T.R., 2015, Hydrometallurgical processing of spent lithium ion batteries (LIBs) in the presence of a reducing agent with emphasis on kinetics of leaching, Chemical Engineering Journal 281, 418-427.</w:t>
      </w:r>
    </w:p>
    <w:p w14:paraId="1363CE89" w14:textId="77777777" w:rsidR="007F1EB2" w:rsidRPr="00332CA4" w:rsidRDefault="007F1EB2" w:rsidP="007F1EB2">
      <w:pPr>
        <w:rPr>
          <w:rFonts w:cs="Arial"/>
        </w:rPr>
      </w:pPr>
      <w:r w:rsidRPr="00332CA4">
        <w:rPr>
          <w:rFonts w:cs="Arial"/>
        </w:rPr>
        <w:t>Shin S.M., Kim N.H., Sohn J.S., Yang D.H., Kim Y.H., 2005, Development of a metal recovery process from Li-ion battery wastes, Hydrometallurgy 79, 172-181.</w:t>
      </w:r>
    </w:p>
    <w:p w14:paraId="7AB40225" w14:textId="64033A48" w:rsidR="00D3624E" w:rsidRPr="00332CA4" w:rsidRDefault="00D3624E" w:rsidP="007F1EB2">
      <w:pPr>
        <w:rPr>
          <w:rFonts w:cs="Arial"/>
        </w:rPr>
      </w:pPr>
      <w:r w:rsidRPr="00332CA4">
        <w:rPr>
          <w:highlight w:val="yellow"/>
        </w:rPr>
        <w:t xml:space="preserve">Sommerville R., Zhu P., </w:t>
      </w:r>
      <w:proofErr w:type="spellStart"/>
      <w:r w:rsidRPr="00332CA4">
        <w:rPr>
          <w:highlight w:val="yellow"/>
        </w:rPr>
        <w:t>Rajaeifar</w:t>
      </w:r>
      <w:proofErr w:type="spellEnd"/>
      <w:r w:rsidRPr="00332CA4">
        <w:rPr>
          <w:highlight w:val="yellow"/>
        </w:rPr>
        <w:t xml:space="preserve"> M.A., Heidrich O., </w:t>
      </w:r>
      <w:proofErr w:type="spellStart"/>
      <w:r w:rsidRPr="00332CA4">
        <w:rPr>
          <w:highlight w:val="yellow"/>
        </w:rPr>
        <w:t>Goodship</w:t>
      </w:r>
      <w:proofErr w:type="spellEnd"/>
      <w:r w:rsidRPr="00332CA4">
        <w:rPr>
          <w:highlight w:val="yellow"/>
        </w:rPr>
        <w:t xml:space="preserve"> V., Kendrick E., 2024, A comprehensive review of emerging technologies for recycling spent lithium-ion batteries, </w:t>
      </w:r>
      <w:r w:rsidRPr="00332CA4">
        <w:rPr>
          <w:rStyle w:val="Kiemels"/>
          <w:highlight w:val="yellow"/>
        </w:rPr>
        <w:t>Science of the Total Environment</w:t>
      </w:r>
      <w:r w:rsidRPr="00332CA4">
        <w:rPr>
          <w:highlight w:val="yellow"/>
        </w:rPr>
        <w:t xml:space="preserve"> 910, 168543.</w:t>
      </w:r>
    </w:p>
    <w:p w14:paraId="76F716B6" w14:textId="4F6898A0" w:rsidR="007F1EB2" w:rsidRPr="00332CA4" w:rsidRDefault="007F1EB2" w:rsidP="007F1EB2">
      <w:pPr>
        <w:rPr>
          <w:rFonts w:cs="Arial"/>
        </w:rPr>
      </w:pPr>
      <w:r w:rsidRPr="00332CA4">
        <w:rPr>
          <w:rFonts w:cs="Arial"/>
        </w:rPr>
        <w:t>Zhuang L., Sun C., Zhou T., Li H., Dai A., 2019, Recovery of valuable metals from LiNi</w:t>
      </w:r>
      <w:r w:rsidRPr="00332CA4">
        <w:rPr>
          <w:rFonts w:cs="Arial"/>
          <w:vertAlign w:val="subscript"/>
        </w:rPr>
        <w:t>0.5</w:t>
      </w:r>
      <w:r w:rsidRPr="00332CA4">
        <w:rPr>
          <w:rFonts w:cs="Arial"/>
        </w:rPr>
        <w:t>Co</w:t>
      </w:r>
      <w:r w:rsidRPr="00332CA4">
        <w:rPr>
          <w:rFonts w:cs="Arial"/>
          <w:vertAlign w:val="subscript"/>
        </w:rPr>
        <w:t>0.2</w:t>
      </w:r>
      <w:r w:rsidRPr="00332CA4">
        <w:rPr>
          <w:rFonts w:cs="Arial"/>
        </w:rPr>
        <w:t>Mn</w:t>
      </w:r>
      <w:r w:rsidRPr="00332CA4">
        <w:rPr>
          <w:rFonts w:cs="Arial"/>
          <w:vertAlign w:val="subscript"/>
        </w:rPr>
        <w:t>0.3</w:t>
      </w:r>
      <w:r w:rsidRPr="00332CA4">
        <w:rPr>
          <w:rFonts w:cs="Arial"/>
        </w:rPr>
        <w:t>O</w:t>
      </w:r>
      <w:r w:rsidRPr="00332CA4">
        <w:rPr>
          <w:rFonts w:cs="Arial"/>
          <w:vertAlign w:val="subscript"/>
        </w:rPr>
        <w:t>2</w:t>
      </w:r>
      <w:r w:rsidRPr="00332CA4">
        <w:rPr>
          <w:rFonts w:cs="Arial"/>
        </w:rPr>
        <w:t xml:space="preserve"> cathode materials of spent Li-ion batteries using mild mixed acid as </w:t>
      </w:r>
      <w:proofErr w:type="spellStart"/>
      <w:r w:rsidRPr="00332CA4">
        <w:rPr>
          <w:rFonts w:cs="Arial"/>
        </w:rPr>
        <w:t>leachant</w:t>
      </w:r>
      <w:proofErr w:type="spellEnd"/>
      <w:r w:rsidRPr="00332CA4">
        <w:rPr>
          <w:rFonts w:cs="Arial"/>
        </w:rPr>
        <w:t>, Waste Management 85, 175-185.</w:t>
      </w:r>
    </w:p>
    <w:p w14:paraId="002F461F" w14:textId="77777777" w:rsidR="007F1EB2" w:rsidRPr="00332CA4" w:rsidRDefault="007F1EB2" w:rsidP="007F1EB2">
      <w:pPr>
        <w:rPr>
          <w:rFonts w:cs="Arial"/>
        </w:rPr>
      </w:pPr>
      <w:r w:rsidRPr="00332CA4">
        <w:rPr>
          <w:rFonts w:cs="Arial"/>
        </w:rPr>
        <w:t>Yang Y., Lei S., Song S., Sun W., Wang L., 2020, Stepwise recycling of valuable metals from Ni-rich cathode material of spent lithium-ion batteries, Waste Management 102, 131-138.</w:t>
      </w:r>
    </w:p>
    <w:p w14:paraId="575E860F" w14:textId="0831622B" w:rsidR="00BC3AE1" w:rsidRPr="00BC3AE1" w:rsidRDefault="007F1EB2" w:rsidP="00BC3AE1">
      <w:pPr>
        <w:rPr>
          <w:rFonts w:cs="Arial"/>
          <w:color w:val="000000" w:themeColor="text1"/>
          <w:szCs w:val="18"/>
          <w:lang w:eastAsia="hu-HU"/>
        </w:rPr>
      </w:pPr>
      <w:r w:rsidRPr="00332CA4">
        <w:rPr>
          <w:rFonts w:cs="Arial"/>
          <w:color w:val="000000" w:themeColor="text1"/>
          <w:szCs w:val="18"/>
          <w:lang w:eastAsia="hu-HU"/>
        </w:rPr>
        <w:t>Zhan C., Wu T., Lu J., Amine K., 2018, Dissolution, migration, and deposition of transition metal ions in Li-ion batteries exemplified by Mn-based cathodes - A critical review. Energy Environmental Science 11, 243-257.</w:t>
      </w:r>
    </w:p>
    <w:sectPr w:rsidR="00BC3AE1" w:rsidRPr="00BC3AE1"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94B401" w14:textId="77777777" w:rsidR="009A6841" w:rsidRDefault="009A6841" w:rsidP="004F5E36">
      <w:r>
        <w:separator/>
      </w:r>
    </w:p>
  </w:endnote>
  <w:endnote w:type="continuationSeparator" w:id="0">
    <w:p w14:paraId="133330E1" w14:textId="77777777" w:rsidR="009A6841" w:rsidRDefault="009A6841"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dvP6960">
    <w:altName w:val="Cambria"/>
    <w:charset w:val="00"/>
    <w:family w:val="roman"/>
    <w:pitch w:val="variable"/>
  </w:font>
  <w:font w:name="Cambria Math">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24DB1E" w14:textId="77777777" w:rsidR="009A6841" w:rsidRDefault="009A6841" w:rsidP="004F5E36">
      <w:r>
        <w:separator/>
      </w:r>
    </w:p>
  </w:footnote>
  <w:footnote w:type="continuationSeparator" w:id="0">
    <w:p w14:paraId="1ECBF358" w14:textId="77777777" w:rsidR="009A6841" w:rsidRDefault="009A6841"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58AF15E"/>
    <w:lvl w:ilvl="0">
      <w:start w:val="1"/>
      <w:numFmt w:val="decimal"/>
      <w:pStyle w:val="Szmozottlista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Szmozottlista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Szmozottlista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Szmozottlista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Felsorol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Felsorol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Felsorol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Felsorol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Szmozottlist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Felsorols"/>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7"/>
  </w:num>
  <w:num w:numId="13">
    <w:abstractNumId w:val="12"/>
  </w:num>
  <w:num w:numId="14">
    <w:abstractNumId w:val="18"/>
  </w:num>
  <w:num w:numId="15">
    <w:abstractNumId w:val="20"/>
  </w:num>
  <w:num w:numId="16">
    <w:abstractNumId w:val="19"/>
  </w:num>
  <w:num w:numId="17">
    <w:abstractNumId w:val="11"/>
  </w:num>
  <w:num w:numId="18">
    <w:abstractNumId w:val="12"/>
    <w:lvlOverride w:ilvl="0">
      <w:startOverride w:val="1"/>
    </w:lvlOverride>
  </w:num>
  <w:num w:numId="19">
    <w:abstractNumId w:val="16"/>
  </w:num>
  <w:num w:numId="20">
    <w:abstractNumId w:val="15"/>
  </w:num>
  <w:num w:numId="21">
    <w:abstractNumId w:val="14"/>
  </w:num>
  <w:num w:numId="22">
    <w:abstractNumId w:val="13"/>
  </w:num>
  <w:num w:numId="23">
    <w:abstractNumId w:val="10"/>
    <w:lvlOverride w:ilvl="0">
      <w:startOverride w:val="1"/>
    </w:lvlOverride>
    <w:lvlOverride w:ilvl="1">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73F9"/>
    <w:rsid w:val="0003148D"/>
    <w:rsid w:val="00031EEC"/>
    <w:rsid w:val="00045E12"/>
    <w:rsid w:val="00051566"/>
    <w:rsid w:val="0005251D"/>
    <w:rsid w:val="000562A9"/>
    <w:rsid w:val="00061793"/>
    <w:rsid w:val="00062A9A"/>
    <w:rsid w:val="00065058"/>
    <w:rsid w:val="00086C39"/>
    <w:rsid w:val="000A03B2"/>
    <w:rsid w:val="000A0D5A"/>
    <w:rsid w:val="000C6F3D"/>
    <w:rsid w:val="000D0268"/>
    <w:rsid w:val="000D34BE"/>
    <w:rsid w:val="000D3A76"/>
    <w:rsid w:val="000E102F"/>
    <w:rsid w:val="000E294B"/>
    <w:rsid w:val="000E36F1"/>
    <w:rsid w:val="000E3A73"/>
    <w:rsid w:val="000E414A"/>
    <w:rsid w:val="000E75FD"/>
    <w:rsid w:val="000F093C"/>
    <w:rsid w:val="000F787B"/>
    <w:rsid w:val="00101F02"/>
    <w:rsid w:val="0012091F"/>
    <w:rsid w:val="0012450C"/>
    <w:rsid w:val="00124AAD"/>
    <w:rsid w:val="00126BC2"/>
    <w:rsid w:val="001308B6"/>
    <w:rsid w:val="0013121F"/>
    <w:rsid w:val="00131FE6"/>
    <w:rsid w:val="0013263F"/>
    <w:rsid w:val="001331DF"/>
    <w:rsid w:val="00134DE4"/>
    <w:rsid w:val="0014034D"/>
    <w:rsid w:val="00140FE3"/>
    <w:rsid w:val="00144D16"/>
    <w:rsid w:val="00150E59"/>
    <w:rsid w:val="00152DE3"/>
    <w:rsid w:val="00164CF9"/>
    <w:rsid w:val="001667A6"/>
    <w:rsid w:val="00184AD6"/>
    <w:rsid w:val="001914D3"/>
    <w:rsid w:val="001A4AF7"/>
    <w:rsid w:val="001B0349"/>
    <w:rsid w:val="001B1E93"/>
    <w:rsid w:val="001B65C1"/>
    <w:rsid w:val="001C260F"/>
    <w:rsid w:val="001C33F1"/>
    <w:rsid w:val="001C684B"/>
    <w:rsid w:val="001D0CFB"/>
    <w:rsid w:val="001D21AF"/>
    <w:rsid w:val="001D53FC"/>
    <w:rsid w:val="001D72B9"/>
    <w:rsid w:val="001F42A5"/>
    <w:rsid w:val="001F7B9D"/>
    <w:rsid w:val="00201C93"/>
    <w:rsid w:val="002059E8"/>
    <w:rsid w:val="00213FBC"/>
    <w:rsid w:val="002224B4"/>
    <w:rsid w:val="00223CD4"/>
    <w:rsid w:val="002326FE"/>
    <w:rsid w:val="002447EF"/>
    <w:rsid w:val="00246E42"/>
    <w:rsid w:val="00250278"/>
    <w:rsid w:val="00251550"/>
    <w:rsid w:val="00263B05"/>
    <w:rsid w:val="00265975"/>
    <w:rsid w:val="0027221A"/>
    <w:rsid w:val="00275B61"/>
    <w:rsid w:val="00280FAF"/>
    <w:rsid w:val="00282656"/>
    <w:rsid w:val="00296B83"/>
    <w:rsid w:val="002B110E"/>
    <w:rsid w:val="002B4015"/>
    <w:rsid w:val="002B4D6D"/>
    <w:rsid w:val="002B78CE"/>
    <w:rsid w:val="002C2FB6"/>
    <w:rsid w:val="002C5F28"/>
    <w:rsid w:val="002E5FA7"/>
    <w:rsid w:val="002F3309"/>
    <w:rsid w:val="003008CE"/>
    <w:rsid w:val="003009B7"/>
    <w:rsid w:val="00300B99"/>
    <w:rsid w:val="00300E56"/>
    <w:rsid w:val="0030152C"/>
    <w:rsid w:val="0030469C"/>
    <w:rsid w:val="00317872"/>
    <w:rsid w:val="00321CA6"/>
    <w:rsid w:val="00323763"/>
    <w:rsid w:val="00323C5F"/>
    <w:rsid w:val="00330339"/>
    <w:rsid w:val="00332CA4"/>
    <w:rsid w:val="00334C09"/>
    <w:rsid w:val="003350CD"/>
    <w:rsid w:val="00335811"/>
    <w:rsid w:val="003723D4"/>
    <w:rsid w:val="00381905"/>
    <w:rsid w:val="00384CC8"/>
    <w:rsid w:val="003871FD"/>
    <w:rsid w:val="003A1E30"/>
    <w:rsid w:val="003A2829"/>
    <w:rsid w:val="003A7A7E"/>
    <w:rsid w:val="003A7D1C"/>
    <w:rsid w:val="003B304B"/>
    <w:rsid w:val="003B3146"/>
    <w:rsid w:val="003B6967"/>
    <w:rsid w:val="003D1E02"/>
    <w:rsid w:val="003E6577"/>
    <w:rsid w:val="003F015E"/>
    <w:rsid w:val="00400414"/>
    <w:rsid w:val="0041446B"/>
    <w:rsid w:val="0044071E"/>
    <w:rsid w:val="0044329C"/>
    <w:rsid w:val="00453619"/>
    <w:rsid w:val="00453E24"/>
    <w:rsid w:val="00457456"/>
    <w:rsid w:val="004577FE"/>
    <w:rsid w:val="00457B9C"/>
    <w:rsid w:val="0046164A"/>
    <w:rsid w:val="004628D2"/>
    <w:rsid w:val="00462DCD"/>
    <w:rsid w:val="004644EE"/>
    <w:rsid w:val="004648AD"/>
    <w:rsid w:val="0046730F"/>
    <w:rsid w:val="00467919"/>
    <w:rsid w:val="004703A9"/>
    <w:rsid w:val="004760DE"/>
    <w:rsid w:val="004763D7"/>
    <w:rsid w:val="00480D55"/>
    <w:rsid w:val="00483534"/>
    <w:rsid w:val="004A004E"/>
    <w:rsid w:val="004A24CF"/>
    <w:rsid w:val="004A5E57"/>
    <w:rsid w:val="004A67F3"/>
    <w:rsid w:val="004C194F"/>
    <w:rsid w:val="004C3D1D"/>
    <w:rsid w:val="004C3D84"/>
    <w:rsid w:val="004C7913"/>
    <w:rsid w:val="004E4DD6"/>
    <w:rsid w:val="004F5E36"/>
    <w:rsid w:val="0050794F"/>
    <w:rsid w:val="00507B47"/>
    <w:rsid w:val="00507BEF"/>
    <w:rsid w:val="00507CC9"/>
    <w:rsid w:val="005119A5"/>
    <w:rsid w:val="00516D5F"/>
    <w:rsid w:val="00522465"/>
    <w:rsid w:val="005278B7"/>
    <w:rsid w:val="00532016"/>
    <w:rsid w:val="00532E96"/>
    <w:rsid w:val="005346C8"/>
    <w:rsid w:val="00543E7D"/>
    <w:rsid w:val="005448A3"/>
    <w:rsid w:val="00547A68"/>
    <w:rsid w:val="005531C9"/>
    <w:rsid w:val="00570C43"/>
    <w:rsid w:val="00573A2B"/>
    <w:rsid w:val="00592274"/>
    <w:rsid w:val="005A5CE8"/>
    <w:rsid w:val="005B2110"/>
    <w:rsid w:val="005B61E6"/>
    <w:rsid w:val="005C77E1"/>
    <w:rsid w:val="005D1AEC"/>
    <w:rsid w:val="005D668A"/>
    <w:rsid w:val="005D6A2F"/>
    <w:rsid w:val="005E0592"/>
    <w:rsid w:val="005E1A82"/>
    <w:rsid w:val="005E794C"/>
    <w:rsid w:val="005F0A28"/>
    <w:rsid w:val="005F0E5E"/>
    <w:rsid w:val="00600535"/>
    <w:rsid w:val="006061D0"/>
    <w:rsid w:val="00610CD6"/>
    <w:rsid w:val="00620DEE"/>
    <w:rsid w:val="00621F92"/>
    <w:rsid w:val="0062280A"/>
    <w:rsid w:val="006231E1"/>
    <w:rsid w:val="00625639"/>
    <w:rsid w:val="00631B33"/>
    <w:rsid w:val="0063664A"/>
    <w:rsid w:val="0064184D"/>
    <w:rsid w:val="00641B76"/>
    <w:rsid w:val="006422CC"/>
    <w:rsid w:val="0064308F"/>
    <w:rsid w:val="00645210"/>
    <w:rsid w:val="00645B05"/>
    <w:rsid w:val="00646FF2"/>
    <w:rsid w:val="0064787A"/>
    <w:rsid w:val="00651D18"/>
    <w:rsid w:val="00656A3C"/>
    <w:rsid w:val="00660E3E"/>
    <w:rsid w:val="00662E74"/>
    <w:rsid w:val="00664F9F"/>
    <w:rsid w:val="00680C23"/>
    <w:rsid w:val="00683E23"/>
    <w:rsid w:val="00686FD6"/>
    <w:rsid w:val="00693766"/>
    <w:rsid w:val="006A3281"/>
    <w:rsid w:val="006B4888"/>
    <w:rsid w:val="006C2E45"/>
    <w:rsid w:val="006C359C"/>
    <w:rsid w:val="006C5579"/>
    <w:rsid w:val="006D0784"/>
    <w:rsid w:val="006D6E8B"/>
    <w:rsid w:val="006D7209"/>
    <w:rsid w:val="006E737D"/>
    <w:rsid w:val="00707DD1"/>
    <w:rsid w:val="00713973"/>
    <w:rsid w:val="00720A24"/>
    <w:rsid w:val="00732386"/>
    <w:rsid w:val="00734F87"/>
    <w:rsid w:val="0073514D"/>
    <w:rsid w:val="007447F3"/>
    <w:rsid w:val="0075499F"/>
    <w:rsid w:val="007617CC"/>
    <w:rsid w:val="00765DF0"/>
    <w:rsid w:val="007661C8"/>
    <w:rsid w:val="0077098D"/>
    <w:rsid w:val="00785BF9"/>
    <w:rsid w:val="007931FA"/>
    <w:rsid w:val="007A4861"/>
    <w:rsid w:val="007A7BBA"/>
    <w:rsid w:val="007B0C50"/>
    <w:rsid w:val="007B46AD"/>
    <w:rsid w:val="007B48F9"/>
    <w:rsid w:val="007C1A43"/>
    <w:rsid w:val="007D0951"/>
    <w:rsid w:val="007F1EB2"/>
    <w:rsid w:val="007F27C8"/>
    <w:rsid w:val="0080013E"/>
    <w:rsid w:val="0080207F"/>
    <w:rsid w:val="00813288"/>
    <w:rsid w:val="008168FC"/>
    <w:rsid w:val="0081776C"/>
    <w:rsid w:val="00830996"/>
    <w:rsid w:val="008314D7"/>
    <w:rsid w:val="008345F1"/>
    <w:rsid w:val="0083777D"/>
    <w:rsid w:val="00865B07"/>
    <w:rsid w:val="008667EA"/>
    <w:rsid w:val="0087637F"/>
    <w:rsid w:val="00892AD5"/>
    <w:rsid w:val="008A1512"/>
    <w:rsid w:val="008A57E4"/>
    <w:rsid w:val="008D32B9"/>
    <w:rsid w:val="008D433B"/>
    <w:rsid w:val="008D4A16"/>
    <w:rsid w:val="008D6B5A"/>
    <w:rsid w:val="008E209A"/>
    <w:rsid w:val="008E45BC"/>
    <w:rsid w:val="008E566E"/>
    <w:rsid w:val="008E5BDC"/>
    <w:rsid w:val="0090161A"/>
    <w:rsid w:val="00901EB6"/>
    <w:rsid w:val="009041F8"/>
    <w:rsid w:val="00904C62"/>
    <w:rsid w:val="00922BA8"/>
    <w:rsid w:val="00924DAC"/>
    <w:rsid w:val="00927058"/>
    <w:rsid w:val="00942750"/>
    <w:rsid w:val="009450CE"/>
    <w:rsid w:val="009459BB"/>
    <w:rsid w:val="00947179"/>
    <w:rsid w:val="0095164B"/>
    <w:rsid w:val="00952C7D"/>
    <w:rsid w:val="00954090"/>
    <w:rsid w:val="009573E7"/>
    <w:rsid w:val="00963E05"/>
    <w:rsid w:val="00964A45"/>
    <w:rsid w:val="00967843"/>
    <w:rsid w:val="00967D54"/>
    <w:rsid w:val="00971028"/>
    <w:rsid w:val="0098080F"/>
    <w:rsid w:val="00980AFF"/>
    <w:rsid w:val="0098542B"/>
    <w:rsid w:val="00993B84"/>
    <w:rsid w:val="00996483"/>
    <w:rsid w:val="00996F5A"/>
    <w:rsid w:val="009A2230"/>
    <w:rsid w:val="009A3458"/>
    <w:rsid w:val="009A6841"/>
    <w:rsid w:val="009A7C34"/>
    <w:rsid w:val="009B041A"/>
    <w:rsid w:val="009C37C3"/>
    <w:rsid w:val="009C7C86"/>
    <w:rsid w:val="009D2FF7"/>
    <w:rsid w:val="009E7884"/>
    <w:rsid w:val="009E788A"/>
    <w:rsid w:val="009F0E08"/>
    <w:rsid w:val="00A079AE"/>
    <w:rsid w:val="00A13C5E"/>
    <w:rsid w:val="00A1763D"/>
    <w:rsid w:val="00A17CEC"/>
    <w:rsid w:val="00A26CBB"/>
    <w:rsid w:val="00A27EF0"/>
    <w:rsid w:val="00A30FC1"/>
    <w:rsid w:val="00A42361"/>
    <w:rsid w:val="00A50B20"/>
    <w:rsid w:val="00A51390"/>
    <w:rsid w:val="00A60D13"/>
    <w:rsid w:val="00A7223D"/>
    <w:rsid w:val="00A72745"/>
    <w:rsid w:val="00A76EFC"/>
    <w:rsid w:val="00A87D50"/>
    <w:rsid w:val="00A91010"/>
    <w:rsid w:val="00A97F29"/>
    <w:rsid w:val="00AA702E"/>
    <w:rsid w:val="00AA7D26"/>
    <w:rsid w:val="00AB0964"/>
    <w:rsid w:val="00AB5011"/>
    <w:rsid w:val="00AC7368"/>
    <w:rsid w:val="00AD0278"/>
    <w:rsid w:val="00AD16B9"/>
    <w:rsid w:val="00AD2217"/>
    <w:rsid w:val="00AE377D"/>
    <w:rsid w:val="00AF0EBA"/>
    <w:rsid w:val="00AF7513"/>
    <w:rsid w:val="00B02C8A"/>
    <w:rsid w:val="00B113BE"/>
    <w:rsid w:val="00B1750B"/>
    <w:rsid w:val="00B17FBD"/>
    <w:rsid w:val="00B271DB"/>
    <w:rsid w:val="00B315A6"/>
    <w:rsid w:val="00B31813"/>
    <w:rsid w:val="00B33365"/>
    <w:rsid w:val="00B33B5F"/>
    <w:rsid w:val="00B34189"/>
    <w:rsid w:val="00B366A5"/>
    <w:rsid w:val="00B57B36"/>
    <w:rsid w:val="00B57E6F"/>
    <w:rsid w:val="00B60913"/>
    <w:rsid w:val="00B8686D"/>
    <w:rsid w:val="00B93F69"/>
    <w:rsid w:val="00BB1DDC"/>
    <w:rsid w:val="00BC30C9"/>
    <w:rsid w:val="00BC3AE1"/>
    <w:rsid w:val="00BD077D"/>
    <w:rsid w:val="00BE3E58"/>
    <w:rsid w:val="00C01616"/>
    <w:rsid w:val="00C0162B"/>
    <w:rsid w:val="00C068ED"/>
    <w:rsid w:val="00C208E9"/>
    <w:rsid w:val="00C22E0C"/>
    <w:rsid w:val="00C345B1"/>
    <w:rsid w:val="00C40142"/>
    <w:rsid w:val="00C52C3C"/>
    <w:rsid w:val="00C57182"/>
    <w:rsid w:val="00C57863"/>
    <w:rsid w:val="00C640AF"/>
    <w:rsid w:val="00C655FD"/>
    <w:rsid w:val="00C75407"/>
    <w:rsid w:val="00C841C6"/>
    <w:rsid w:val="00C870A8"/>
    <w:rsid w:val="00C90F49"/>
    <w:rsid w:val="00C94434"/>
    <w:rsid w:val="00CA0D75"/>
    <w:rsid w:val="00CA1C95"/>
    <w:rsid w:val="00CA5244"/>
    <w:rsid w:val="00CA5A9C"/>
    <w:rsid w:val="00CB2614"/>
    <w:rsid w:val="00CC4C20"/>
    <w:rsid w:val="00CD2544"/>
    <w:rsid w:val="00CD3517"/>
    <w:rsid w:val="00CD5FE2"/>
    <w:rsid w:val="00CE7C68"/>
    <w:rsid w:val="00D02B4C"/>
    <w:rsid w:val="00D040C4"/>
    <w:rsid w:val="00D20AD1"/>
    <w:rsid w:val="00D236B3"/>
    <w:rsid w:val="00D2582C"/>
    <w:rsid w:val="00D3624E"/>
    <w:rsid w:val="00D46B7E"/>
    <w:rsid w:val="00D57C84"/>
    <w:rsid w:val="00D6057D"/>
    <w:rsid w:val="00D64A1E"/>
    <w:rsid w:val="00D71640"/>
    <w:rsid w:val="00D836C5"/>
    <w:rsid w:val="00D84576"/>
    <w:rsid w:val="00DA1399"/>
    <w:rsid w:val="00DA24C6"/>
    <w:rsid w:val="00DA4D7B"/>
    <w:rsid w:val="00DB0A35"/>
    <w:rsid w:val="00DD271C"/>
    <w:rsid w:val="00DD2AD5"/>
    <w:rsid w:val="00DE264A"/>
    <w:rsid w:val="00DF42B9"/>
    <w:rsid w:val="00DF5072"/>
    <w:rsid w:val="00E02D18"/>
    <w:rsid w:val="00E041E7"/>
    <w:rsid w:val="00E065AB"/>
    <w:rsid w:val="00E23CA1"/>
    <w:rsid w:val="00E30E81"/>
    <w:rsid w:val="00E366FB"/>
    <w:rsid w:val="00E409A8"/>
    <w:rsid w:val="00E47D61"/>
    <w:rsid w:val="00E50C12"/>
    <w:rsid w:val="00E65B91"/>
    <w:rsid w:val="00E7209D"/>
    <w:rsid w:val="00E72EAD"/>
    <w:rsid w:val="00E77223"/>
    <w:rsid w:val="00E8528B"/>
    <w:rsid w:val="00E85B94"/>
    <w:rsid w:val="00E864A2"/>
    <w:rsid w:val="00E971FB"/>
    <w:rsid w:val="00E978D0"/>
    <w:rsid w:val="00EA4613"/>
    <w:rsid w:val="00EA7F91"/>
    <w:rsid w:val="00EB1523"/>
    <w:rsid w:val="00EB692B"/>
    <w:rsid w:val="00EC0E49"/>
    <w:rsid w:val="00EC101F"/>
    <w:rsid w:val="00EC1D9F"/>
    <w:rsid w:val="00EE0131"/>
    <w:rsid w:val="00EE17B0"/>
    <w:rsid w:val="00EE5B53"/>
    <w:rsid w:val="00EF06D9"/>
    <w:rsid w:val="00EF0982"/>
    <w:rsid w:val="00EF4D54"/>
    <w:rsid w:val="00F0531B"/>
    <w:rsid w:val="00F126A5"/>
    <w:rsid w:val="00F1403D"/>
    <w:rsid w:val="00F3049E"/>
    <w:rsid w:val="00F30C64"/>
    <w:rsid w:val="00F32BA2"/>
    <w:rsid w:val="00F32CDB"/>
    <w:rsid w:val="00F3348F"/>
    <w:rsid w:val="00F37280"/>
    <w:rsid w:val="00F41EE4"/>
    <w:rsid w:val="00F565FE"/>
    <w:rsid w:val="00F63A70"/>
    <w:rsid w:val="00F63D8C"/>
    <w:rsid w:val="00F7534E"/>
    <w:rsid w:val="00F93EDF"/>
    <w:rsid w:val="00FA1802"/>
    <w:rsid w:val="00FA21D0"/>
    <w:rsid w:val="00FA5F5F"/>
    <w:rsid w:val="00FB45C6"/>
    <w:rsid w:val="00FB730C"/>
    <w:rsid w:val="00FC2695"/>
    <w:rsid w:val="00FC3E03"/>
    <w:rsid w:val="00FC3FC1"/>
    <w:rsid w:val="00FD7737"/>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Cmsor1">
    <w:name w:val="heading 1"/>
    <w:basedOn w:val="CETHeading1"/>
    <w:next w:val="Norml"/>
    <w:link w:val="Cmsor1Char"/>
    <w:uiPriority w:val="9"/>
    <w:rsid w:val="004F5E36"/>
    <w:pPr>
      <w:tabs>
        <w:tab w:val="right" w:pos="7100"/>
      </w:tabs>
      <w:jc w:val="both"/>
      <w:outlineLvl w:val="0"/>
    </w:pPr>
    <w:rPr>
      <w:lang w:val="en-GB"/>
    </w:rPr>
  </w:style>
  <w:style w:type="paragraph" w:styleId="Cmsor2">
    <w:name w:val="heading 2"/>
    <w:basedOn w:val="Norml"/>
    <w:next w:val="Norml"/>
    <w:link w:val="Cmsor2Char"/>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Cmsor9">
    <w:name w:val="heading 9"/>
    <w:basedOn w:val="Norml"/>
    <w:next w:val="Norml"/>
    <w:link w:val="Cmsor9Char"/>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Egyszertblzat1">
    <w:name w:val="Table Simple 1"/>
    <w:basedOn w:val="Normltblzat"/>
    <w:semiHidden/>
    <w:rsid w:val="000E414A"/>
    <w:p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Jegyzethivatkozs">
    <w:name w:val="annotation reference"/>
    <w:basedOn w:val="Bekezdsalapbettpusa"/>
    <w:uiPriority w:val="99"/>
    <w:semiHidden/>
    <w:unhideWhenUsed/>
    <w:rsid w:val="004577FE"/>
    <w:rPr>
      <w:sz w:val="16"/>
      <w:szCs w:val="16"/>
    </w:rPr>
  </w:style>
  <w:style w:type="paragraph" w:styleId="Buborkszveg">
    <w:name w:val="Balloon Text"/>
    <w:basedOn w:val="Norml"/>
    <w:link w:val="BuborkszvegChar"/>
    <w:uiPriority w:val="99"/>
    <w:semiHidden/>
    <w:unhideWhenUsed/>
    <w:rsid w:val="000D34BE"/>
    <w:pPr>
      <w:spacing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0D34BE"/>
    <w:rPr>
      <w:rFonts w:ascii="Tahoma" w:hAnsi="Tahoma" w:cs="Tahoma"/>
      <w:sz w:val="16"/>
      <w:szCs w:val="16"/>
    </w:rPr>
  </w:style>
  <w:style w:type="paragraph" w:styleId="Irodalomjegyzk">
    <w:name w:val="Bibliography"/>
    <w:basedOn w:val="CETReferencetext"/>
    <w:uiPriority w:val="37"/>
    <w:unhideWhenUsed/>
    <w:rsid w:val="00631B33"/>
    <w:pPr>
      <w:spacing w:line="240" w:lineRule="auto"/>
      <w:ind w:left="720" w:hanging="720"/>
    </w:pPr>
  </w:style>
  <w:style w:type="paragraph" w:styleId="Szvegtrzs2">
    <w:name w:val="Body Text 2"/>
    <w:basedOn w:val="Norml"/>
    <w:link w:val="Szvegtrzs2Char"/>
    <w:uiPriority w:val="99"/>
    <w:semiHidden/>
    <w:unhideWhenUsed/>
    <w:rsid w:val="0003148D"/>
    <w:pPr>
      <w:spacing w:after="120" w:line="480" w:lineRule="auto"/>
    </w:pPr>
  </w:style>
  <w:style w:type="character" w:customStyle="1" w:styleId="Szvegtrzs2Char">
    <w:name w:val="Szövegtörzs 2 Char"/>
    <w:basedOn w:val="Bekezdsalapbettpusa"/>
    <w:link w:val="Szvegtrzs2"/>
    <w:uiPriority w:val="99"/>
    <w:semiHidden/>
    <w:rsid w:val="0003148D"/>
  </w:style>
  <w:style w:type="paragraph" w:styleId="Szvegtrzs3">
    <w:name w:val="Body Text 3"/>
    <w:basedOn w:val="Norml"/>
    <w:link w:val="Szvegtrzs3Char"/>
    <w:uiPriority w:val="99"/>
    <w:semiHidden/>
    <w:unhideWhenUsed/>
    <w:rsid w:val="0003148D"/>
    <w:pPr>
      <w:spacing w:after="120"/>
    </w:pPr>
    <w:rPr>
      <w:sz w:val="16"/>
      <w:szCs w:val="16"/>
    </w:rPr>
  </w:style>
  <w:style w:type="character" w:customStyle="1" w:styleId="Szvegtrzs3Char">
    <w:name w:val="Szövegtörzs 3 Char"/>
    <w:basedOn w:val="Bekezdsalapbettpusa"/>
    <w:link w:val="Szvegtrzs3"/>
    <w:uiPriority w:val="99"/>
    <w:semiHidden/>
    <w:rsid w:val="0003148D"/>
    <w:rPr>
      <w:sz w:val="16"/>
      <w:szCs w:val="16"/>
    </w:rPr>
  </w:style>
  <w:style w:type="paragraph" w:styleId="Szvegtrzs">
    <w:name w:val="Body Text"/>
    <w:basedOn w:val="Norml"/>
    <w:link w:val="SzvegtrzsChar"/>
    <w:uiPriority w:val="99"/>
    <w:semiHidden/>
    <w:unhideWhenUsed/>
    <w:rsid w:val="0003148D"/>
    <w:pPr>
      <w:spacing w:after="120"/>
    </w:pPr>
  </w:style>
  <w:style w:type="character" w:customStyle="1" w:styleId="SzvegtrzsChar">
    <w:name w:val="Szövegtörzs Char"/>
    <w:basedOn w:val="Bekezdsalapbettpusa"/>
    <w:link w:val="Szvegtrzs"/>
    <w:uiPriority w:val="99"/>
    <w:semiHidden/>
    <w:rsid w:val="0003148D"/>
  </w:style>
  <w:style w:type="paragraph" w:styleId="Dtum">
    <w:name w:val="Date"/>
    <w:basedOn w:val="Norml"/>
    <w:next w:val="Norml"/>
    <w:link w:val="DtumChar"/>
    <w:uiPriority w:val="99"/>
    <w:semiHidden/>
    <w:unhideWhenUsed/>
    <w:rsid w:val="0003148D"/>
  </w:style>
  <w:style w:type="character" w:customStyle="1" w:styleId="DtumChar">
    <w:name w:val="Dátum Char"/>
    <w:basedOn w:val="Bekezdsalapbettpusa"/>
    <w:link w:val="Dtum"/>
    <w:uiPriority w:val="99"/>
    <w:semiHidden/>
    <w:rsid w:val="0003148D"/>
  </w:style>
  <w:style w:type="paragraph" w:styleId="Kpalrs">
    <w:name w:val="caption"/>
    <w:basedOn w:val="Norml"/>
    <w:next w:val="Norml"/>
    <w:uiPriority w:val="35"/>
    <w:semiHidden/>
    <w:unhideWhenUsed/>
    <w:qFormat/>
    <w:rsid w:val="0003148D"/>
    <w:pPr>
      <w:spacing w:line="240" w:lineRule="auto"/>
    </w:pPr>
    <w:rPr>
      <w:b/>
      <w:bCs/>
      <w:color w:val="4F81BD" w:themeColor="accent1"/>
      <w:szCs w:val="18"/>
    </w:rPr>
  </w:style>
  <w:style w:type="paragraph" w:styleId="Lista">
    <w:name w:val="List"/>
    <w:basedOn w:val="Norml"/>
    <w:uiPriority w:val="99"/>
    <w:semiHidden/>
    <w:unhideWhenUsed/>
    <w:rsid w:val="0003148D"/>
    <w:pPr>
      <w:ind w:left="283" w:hanging="283"/>
      <w:contextualSpacing/>
    </w:pPr>
  </w:style>
  <w:style w:type="paragraph" w:styleId="Lista2">
    <w:name w:val="List 2"/>
    <w:basedOn w:val="Norml"/>
    <w:uiPriority w:val="99"/>
    <w:semiHidden/>
    <w:unhideWhenUsed/>
    <w:rsid w:val="0003148D"/>
    <w:pPr>
      <w:ind w:left="566" w:hanging="283"/>
      <w:contextualSpacing/>
    </w:pPr>
  </w:style>
  <w:style w:type="paragraph" w:styleId="Lista3">
    <w:name w:val="List 3"/>
    <w:basedOn w:val="Norml"/>
    <w:uiPriority w:val="99"/>
    <w:semiHidden/>
    <w:unhideWhenUsed/>
    <w:rsid w:val="0003148D"/>
    <w:pPr>
      <w:ind w:left="849" w:hanging="283"/>
      <w:contextualSpacing/>
    </w:pPr>
  </w:style>
  <w:style w:type="paragraph" w:styleId="Lista4">
    <w:name w:val="List 4"/>
    <w:basedOn w:val="Norml"/>
    <w:uiPriority w:val="99"/>
    <w:semiHidden/>
    <w:unhideWhenUsed/>
    <w:rsid w:val="0003148D"/>
    <w:pPr>
      <w:ind w:left="1132" w:hanging="283"/>
      <w:contextualSpacing/>
    </w:pPr>
  </w:style>
  <w:style w:type="paragraph" w:styleId="Lista5">
    <w:name w:val="List 5"/>
    <w:basedOn w:val="Norml"/>
    <w:uiPriority w:val="99"/>
    <w:semiHidden/>
    <w:unhideWhenUsed/>
    <w:rsid w:val="0003148D"/>
    <w:pPr>
      <w:ind w:left="1415" w:hanging="283"/>
      <w:contextualSpacing/>
    </w:pPr>
  </w:style>
  <w:style w:type="paragraph" w:styleId="Listafolytatsa">
    <w:name w:val="List Continue"/>
    <w:basedOn w:val="Norml"/>
    <w:uiPriority w:val="99"/>
    <w:semiHidden/>
    <w:unhideWhenUsed/>
    <w:rsid w:val="0003148D"/>
    <w:pPr>
      <w:spacing w:after="120"/>
      <w:ind w:left="283"/>
      <w:contextualSpacing/>
    </w:pPr>
  </w:style>
  <w:style w:type="paragraph" w:styleId="Listafolytatsa2">
    <w:name w:val="List Continue 2"/>
    <w:basedOn w:val="Norml"/>
    <w:uiPriority w:val="99"/>
    <w:semiHidden/>
    <w:unhideWhenUsed/>
    <w:rsid w:val="0003148D"/>
    <w:pPr>
      <w:spacing w:after="120"/>
      <w:ind w:left="566"/>
      <w:contextualSpacing/>
    </w:pPr>
  </w:style>
  <w:style w:type="paragraph" w:styleId="Listafolytatsa3">
    <w:name w:val="List Continue 3"/>
    <w:basedOn w:val="Norml"/>
    <w:uiPriority w:val="99"/>
    <w:semiHidden/>
    <w:unhideWhenUsed/>
    <w:rsid w:val="0003148D"/>
    <w:pPr>
      <w:spacing w:after="120"/>
      <w:ind w:left="849"/>
      <w:contextualSpacing/>
    </w:pPr>
  </w:style>
  <w:style w:type="paragraph" w:styleId="Listafolytatsa4">
    <w:name w:val="List Continue 4"/>
    <w:basedOn w:val="Norml"/>
    <w:uiPriority w:val="99"/>
    <w:semiHidden/>
    <w:unhideWhenUsed/>
    <w:rsid w:val="0003148D"/>
    <w:pPr>
      <w:spacing w:after="120"/>
      <w:ind w:left="1132"/>
      <w:contextualSpacing/>
    </w:pPr>
  </w:style>
  <w:style w:type="paragraph" w:styleId="Listafolytatsa5">
    <w:name w:val="List Continue 5"/>
    <w:basedOn w:val="Norml"/>
    <w:uiPriority w:val="99"/>
    <w:semiHidden/>
    <w:unhideWhenUsed/>
    <w:rsid w:val="0003148D"/>
    <w:pPr>
      <w:spacing w:after="120"/>
      <w:ind w:left="1415"/>
      <w:contextualSpacing/>
    </w:pPr>
  </w:style>
  <w:style w:type="paragraph" w:styleId="Alrs">
    <w:name w:val="Signature"/>
    <w:basedOn w:val="Norml"/>
    <w:link w:val="AlrsChar"/>
    <w:uiPriority w:val="99"/>
    <w:semiHidden/>
    <w:unhideWhenUsed/>
    <w:rsid w:val="0003148D"/>
    <w:pPr>
      <w:spacing w:line="240" w:lineRule="auto"/>
      <w:ind w:left="4252"/>
    </w:pPr>
  </w:style>
  <w:style w:type="character" w:customStyle="1" w:styleId="AlrsChar">
    <w:name w:val="Aláírás Char"/>
    <w:basedOn w:val="Bekezdsalapbettpusa"/>
    <w:link w:val="Alrs"/>
    <w:uiPriority w:val="99"/>
    <w:semiHidden/>
    <w:rsid w:val="0003148D"/>
  </w:style>
  <w:style w:type="paragraph" w:styleId="E-mail-alrs">
    <w:name w:val="E-mail Signature"/>
    <w:basedOn w:val="Norml"/>
    <w:link w:val="E-mail-alrsChar"/>
    <w:uiPriority w:val="99"/>
    <w:semiHidden/>
    <w:unhideWhenUsed/>
    <w:rsid w:val="0003148D"/>
    <w:pPr>
      <w:spacing w:line="240" w:lineRule="auto"/>
    </w:pPr>
  </w:style>
  <w:style w:type="character" w:customStyle="1" w:styleId="E-mail-alrsChar">
    <w:name w:val="E-mail-aláírás Char"/>
    <w:basedOn w:val="Bekezdsalapbettpusa"/>
    <w:link w:val="E-mail-alrs"/>
    <w:uiPriority w:val="99"/>
    <w:semiHidden/>
    <w:rsid w:val="0003148D"/>
  </w:style>
  <w:style w:type="paragraph" w:styleId="Megszlts">
    <w:name w:val="Salutation"/>
    <w:basedOn w:val="Norml"/>
    <w:next w:val="Norml"/>
    <w:link w:val="MegszltsChar"/>
    <w:uiPriority w:val="99"/>
    <w:semiHidden/>
    <w:unhideWhenUsed/>
    <w:rsid w:val="0003148D"/>
  </w:style>
  <w:style w:type="character" w:customStyle="1" w:styleId="MegszltsChar">
    <w:name w:val="Megszólítás Char"/>
    <w:basedOn w:val="Bekezdsalapbettpusa"/>
    <w:link w:val="Megszlts"/>
    <w:uiPriority w:val="99"/>
    <w:semiHidden/>
    <w:rsid w:val="0003148D"/>
  </w:style>
  <w:style w:type="paragraph" w:styleId="Befejezs">
    <w:name w:val="Closing"/>
    <w:basedOn w:val="Norml"/>
    <w:link w:val="BefejezsChar"/>
    <w:uiPriority w:val="99"/>
    <w:semiHidden/>
    <w:unhideWhenUsed/>
    <w:rsid w:val="0003148D"/>
    <w:pPr>
      <w:spacing w:line="240" w:lineRule="auto"/>
      <w:ind w:left="4252"/>
    </w:pPr>
  </w:style>
  <w:style w:type="character" w:customStyle="1" w:styleId="BefejezsChar">
    <w:name w:val="Befejezés Char"/>
    <w:basedOn w:val="Bekezdsalapbettpusa"/>
    <w:link w:val="Befejezs"/>
    <w:uiPriority w:val="99"/>
    <w:semiHidden/>
    <w:rsid w:val="0003148D"/>
  </w:style>
  <w:style w:type="paragraph" w:styleId="Trgymutat1">
    <w:name w:val="index 1"/>
    <w:basedOn w:val="Norml"/>
    <w:next w:val="Norml"/>
    <w:autoRedefine/>
    <w:uiPriority w:val="99"/>
    <w:semiHidden/>
    <w:unhideWhenUsed/>
    <w:rsid w:val="0003148D"/>
    <w:pPr>
      <w:spacing w:line="240" w:lineRule="auto"/>
      <w:ind w:left="220" w:hanging="220"/>
    </w:pPr>
  </w:style>
  <w:style w:type="paragraph" w:styleId="Trgymutat2">
    <w:name w:val="index 2"/>
    <w:basedOn w:val="Norml"/>
    <w:next w:val="Norml"/>
    <w:autoRedefine/>
    <w:uiPriority w:val="99"/>
    <w:semiHidden/>
    <w:unhideWhenUsed/>
    <w:rsid w:val="0003148D"/>
    <w:pPr>
      <w:spacing w:line="240" w:lineRule="auto"/>
      <w:ind w:left="440" w:hanging="220"/>
    </w:pPr>
  </w:style>
  <w:style w:type="paragraph" w:styleId="Trgymutat3">
    <w:name w:val="index 3"/>
    <w:basedOn w:val="Norml"/>
    <w:next w:val="Norml"/>
    <w:autoRedefine/>
    <w:uiPriority w:val="99"/>
    <w:semiHidden/>
    <w:unhideWhenUsed/>
    <w:rsid w:val="0003148D"/>
    <w:pPr>
      <w:spacing w:line="240" w:lineRule="auto"/>
      <w:ind w:left="660" w:hanging="220"/>
    </w:pPr>
  </w:style>
  <w:style w:type="paragraph" w:styleId="Trgymutat4">
    <w:name w:val="index 4"/>
    <w:basedOn w:val="Norml"/>
    <w:next w:val="Norml"/>
    <w:autoRedefine/>
    <w:uiPriority w:val="99"/>
    <w:semiHidden/>
    <w:unhideWhenUsed/>
    <w:rsid w:val="0003148D"/>
    <w:pPr>
      <w:spacing w:line="240" w:lineRule="auto"/>
      <w:ind w:left="880" w:hanging="220"/>
    </w:pPr>
  </w:style>
  <w:style w:type="paragraph" w:styleId="Trgymutat5">
    <w:name w:val="index 5"/>
    <w:basedOn w:val="Norml"/>
    <w:next w:val="Norml"/>
    <w:autoRedefine/>
    <w:uiPriority w:val="99"/>
    <w:semiHidden/>
    <w:unhideWhenUsed/>
    <w:rsid w:val="0003148D"/>
    <w:pPr>
      <w:spacing w:line="240" w:lineRule="auto"/>
      <w:ind w:left="1100" w:hanging="220"/>
    </w:pPr>
  </w:style>
  <w:style w:type="paragraph" w:styleId="Trgymutat6">
    <w:name w:val="index 6"/>
    <w:basedOn w:val="Norml"/>
    <w:next w:val="Norml"/>
    <w:autoRedefine/>
    <w:uiPriority w:val="99"/>
    <w:semiHidden/>
    <w:unhideWhenUsed/>
    <w:rsid w:val="0003148D"/>
    <w:pPr>
      <w:spacing w:line="240" w:lineRule="auto"/>
      <w:ind w:left="1320" w:hanging="220"/>
    </w:pPr>
  </w:style>
  <w:style w:type="paragraph" w:styleId="Trgymutat7">
    <w:name w:val="index 7"/>
    <w:basedOn w:val="Norml"/>
    <w:next w:val="Norml"/>
    <w:autoRedefine/>
    <w:uiPriority w:val="99"/>
    <w:semiHidden/>
    <w:unhideWhenUsed/>
    <w:rsid w:val="0003148D"/>
    <w:pPr>
      <w:spacing w:line="240" w:lineRule="auto"/>
      <w:ind w:left="1540" w:hanging="220"/>
    </w:pPr>
  </w:style>
  <w:style w:type="paragraph" w:styleId="Trgymutat8">
    <w:name w:val="index 8"/>
    <w:basedOn w:val="Norml"/>
    <w:next w:val="Norml"/>
    <w:autoRedefine/>
    <w:uiPriority w:val="99"/>
    <w:semiHidden/>
    <w:unhideWhenUsed/>
    <w:rsid w:val="0003148D"/>
    <w:pPr>
      <w:spacing w:line="240" w:lineRule="auto"/>
      <w:ind w:left="1760" w:hanging="220"/>
    </w:pPr>
  </w:style>
  <w:style w:type="paragraph" w:styleId="Trgymutat9">
    <w:name w:val="index 9"/>
    <w:basedOn w:val="Norml"/>
    <w:next w:val="Norml"/>
    <w:autoRedefine/>
    <w:uiPriority w:val="99"/>
    <w:semiHidden/>
    <w:unhideWhenUsed/>
    <w:rsid w:val="0003148D"/>
    <w:pPr>
      <w:spacing w:line="240" w:lineRule="auto"/>
      <w:ind w:left="1980" w:hanging="220"/>
    </w:pPr>
  </w:style>
  <w:style w:type="paragraph" w:styleId="brajegyzk">
    <w:name w:val="table of figures"/>
    <w:basedOn w:val="Norml"/>
    <w:next w:val="Norml"/>
    <w:uiPriority w:val="99"/>
    <w:semiHidden/>
    <w:unhideWhenUsed/>
    <w:rsid w:val="0003148D"/>
  </w:style>
  <w:style w:type="paragraph" w:styleId="Hivatkozsjegyzk">
    <w:name w:val="table of authorities"/>
    <w:basedOn w:val="Norml"/>
    <w:next w:val="Norml"/>
    <w:uiPriority w:val="99"/>
    <w:semiHidden/>
    <w:unhideWhenUsed/>
    <w:rsid w:val="0003148D"/>
    <w:pPr>
      <w:ind w:left="220" w:hanging="220"/>
    </w:pPr>
  </w:style>
  <w:style w:type="paragraph" w:styleId="Bortkcm">
    <w:name w:val="envelope address"/>
    <w:basedOn w:val="Norml"/>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cm">
    <w:name w:val="HTML Address"/>
    <w:basedOn w:val="Norml"/>
    <w:link w:val="HTML-cmChar"/>
    <w:uiPriority w:val="99"/>
    <w:semiHidden/>
    <w:unhideWhenUsed/>
    <w:rsid w:val="0003148D"/>
    <w:pPr>
      <w:spacing w:line="240" w:lineRule="auto"/>
    </w:pPr>
    <w:rPr>
      <w:i/>
      <w:iCs/>
    </w:rPr>
  </w:style>
  <w:style w:type="character" w:customStyle="1" w:styleId="HTML-cmChar">
    <w:name w:val="HTML-cím Char"/>
    <w:basedOn w:val="Bekezdsalapbettpusa"/>
    <w:link w:val="HTML-cm"/>
    <w:uiPriority w:val="99"/>
    <w:semiHidden/>
    <w:rsid w:val="0003148D"/>
    <w:rPr>
      <w:i/>
      <w:iCs/>
    </w:rPr>
  </w:style>
  <w:style w:type="paragraph" w:styleId="Feladcmebortkon">
    <w:name w:val="envelope return"/>
    <w:basedOn w:val="Norml"/>
    <w:uiPriority w:val="99"/>
    <w:semiHidden/>
    <w:unhideWhenUsed/>
    <w:rsid w:val="0003148D"/>
    <w:pPr>
      <w:spacing w:line="240" w:lineRule="auto"/>
    </w:pPr>
    <w:rPr>
      <w:rFonts w:asciiTheme="majorHAnsi" w:eastAsiaTheme="majorEastAsia" w:hAnsiTheme="majorHAnsi" w:cstheme="majorBidi"/>
    </w:rPr>
  </w:style>
  <w:style w:type="paragraph" w:styleId="zenetfej">
    <w:name w:val="Message Header"/>
    <w:basedOn w:val="Norml"/>
    <w:link w:val="zenetfejChar"/>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zenetfejChar">
    <w:name w:val="Üzenetfej Char"/>
    <w:basedOn w:val="Bekezdsalapbettpusa"/>
    <w:link w:val="zenetfej"/>
    <w:uiPriority w:val="99"/>
    <w:semiHidden/>
    <w:rsid w:val="0003148D"/>
    <w:rPr>
      <w:rFonts w:asciiTheme="majorHAnsi" w:eastAsiaTheme="majorEastAsia" w:hAnsiTheme="majorHAnsi" w:cstheme="majorBidi"/>
      <w:sz w:val="24"/>
      <w:szCs w:val="24"/>
      <w:shd w:val="pct20" w:color="auto" w:fill="auto"/>
    </w:rPr>
  </w:style>
  <w:style w:type="paragraph" w:styleId="Megjegyzsfej">
    <w:name w:val="Note Heading"/>
    <w:basedOn w:val="Norml"/>
    <w:next w:val="Norml"/>
    <w:link w:val="MegjegyzsfejChar"/>
    <w:uiPriority w:val="99"/>
    <w:semiHidden/>
    <w:unhideWhenUsed/>
    <w:rsid w:val="0003148D"/>
    <w:pPr>
      <w:spacing w:line="240" w:lineRule="auto"/>
    </w:pPr>
  </w:style>
  <w:style w:type="character" w:customStyle="1" w:styleId="MegjegyzsfejChar">
    <w:name w:val="Megjegyzésfej Char"/>
    <w:basedOn w:val="Bekezdsalapbettpusa"/>
    <w:link w:val="Megjegyzsfej"/>
    <w:uiPriority w:val="99"/>
    <w:semiHidden/>
    <w:rsid w:val="0003148D"/>
  </w:style>
  <w:style w:type="paragraph" w:styleId="Dokumentumtrkp">
    <w:name w:val="Document Map"/>
    <w:basedOn w:val="Norml"/>
    <w:link w:val="DokumentumtrkpChar"/>
    <w:uiPriority w:val="99"/>
    <w:semiHidden/>
    <w:unhideWhenUsed/>
    <w:rsid w:val="0003148D"/>
    <w:pPr>
      <w:spacing w:line="240" w:lineRule="auto"/>
    </w:pPr>
    <w:rPr>
      <w:rFonts w:ascii="Tahoma" w:hAnsi="Tahoma" w:cs="Tahoma"/>
      <w:sz w:val="16"/>
      <w:szCs w:val="16"/>
    </w:rPr>
  </w:style>
  <w:style w:type="character" w:customStyle="1" w:styleId="DokumentumtrkpChar">
    <w:name w:val="Dokumentumtérkép Char"/>
    <w:basedOn w:val="Bekezdsalapbettpusa"/>
    <w:link w:val="Dokumentumtrkp"/>
    <w:uiPriority w:val="99"/>
    <w:semiHidden/>
    <w:rsid w:val="0003148D"/>
    <w:rPr>
      <w:rFonts w:ascii="Tahoma" w:hAnsi="Tahoma" w:cs="Tahoma"/>
      <w:sz w:val="16"/>
      <w:szCs w:val="16"/>
    </w:rPr>
  </w:style>
  <w:style w:type="paragraph" w:styleId="NormlWeb">
    <w:name w:val="Normal (Web)"/>
    <w:basedOn w:val="Norml"/>
    <w:uiPriority w:val="99"/>
    <w:semiHidden/>
    <w:unhideWhenUsed/>
    <w:rsid w:val="0003148D"/>
    <w:rPr>
      <w:sz w:val="24"/>
      <w:szCs w:val="24"/>
    </w:rPr>
  </w:style>
  <w:style w:type="paragraph" w:styleId="Szmozottlista">
    <w:name w:val="List Number"/>
    <w:basedOn w:val="Norml"/>
    <w:uiPriority w:val="99"/>
    <w:semiHidden/>
    <w:unhideWhenUsed/>
    <w:rsid w:val="0003148D"/>
    <w:pPr>
      <w:numPr>
        <w:numId w:val="2"/>
      </w:numPr>
      <w:contextualSpacing/>
    </w:pPr>
  </w:style>
  <w:style w:type="paragraph" w:styleId="Szmozottlista2">
    <w:name w:val="List Number 2"/>
    <w:basedOn w:val="Norml"/>
    <w:uiPriority w:val="99"/>
    <w:semiHidden/>
    <w:unhideWhenUsed/>
    <w:rsid w:val="0003148D"/>
    <w:pPr>
      <w:numPr>
        <w:numId w:val="3"/>
      </w:numPr>
      <w:contextualSpacing/>
    </w:pPr>
  </w:style>
  <w:style w:type="paragraph" w:styleId="Szmozottlista3">
    <w:name w:val="List Number 3"/>
    <w:basedOn w:val="Norml"/>
    <w:uiPriority w:val="99"/>
    <w:semiHidden/>
    <w:unhideWhenUsed/>
    <w:rsid w:val="0003148D"/>
    <w:pPr>
      <w:numPr>
        <w:numId w:val="4"/>
      </w:numPr>
      <w:contextualSpacing/>
    </w:pPr>
  </w:style>
  <w:style w:type="paragraph" w:styleId="Szmozottlista4">
    <w:name w:val="List Number 4"/>
    <w:basedOn w:val="Norml"/>
    <w:uiPriority w:val="99"/>
    <w:semiHidden/>
    <w:unhideWhenUsed/>
    <w:rsid w:val="0003148D"/>
    <w:pPr>
      <w:numPr>
        <w:numId w:val="5"/>
      </w:numPr>
      <w:contextualSpacing/>
    </w:pPr>
  </w:style>
  <w:style w:type="paragraph" w:styleId="Szmozottlista5">
    <w:name w:val="List Number 5"/>
    <w:basedOn w:val="Norml"/>
    <w:uiPriority w:val="99"/>
    <w:semiHidden/>
    <w:unhideWhenUsed/>
    <w:rsid w:val="0003148D"/>
    <w:pPr>
      <w:numPr>
        <w:numId w:val="6"/>
      </w:numPr>
      <w:contextualSpacing/>
    </w:pPr>
  </w:style>
  <w:style w:type="paragraph" w:styleId="HTML-kntformzott">
    <w:name w:val="HTML Preformatted"/>
    <w:basedOn w:val="Norml"/>
    <w:link w:val="HTML-kntformzottChar"/>
    <w:uiPriority w:val="99"/>
    <w:semiHidden/>
    <w:unhideWhenUsed/>
    <w:rsid w:val="0003148D"/>
    <w:pPr>
      <w:spacing w:line="240" w:lineRule="auto"/>
    </w:pPr>
    <w:rPr>
      <w:rFonts w:ascii="Consolas" w:hAnsi="Consolas" w:cs="Consolas"/>
    </w:rPr>
  </w:style>
  <w:style w:type="character" w:customStyle="1" w:styleId="HTML-kntformzottChar">
    <w:name w:val="HTML-ként formázott Char"/>
    <w:basedOn w:val="Bekezdsalapbettpusa"/>
    <w:link w:val="HTML-kntformzott"/>
    <w:uiPriority w:val="99"/>
    <w:semiHidden/>
    <w:rsid w:val="0003148D"/>
    <w:rPr>
      <w:rFonts w:ascii="Consolas" w:hAnsi="Consolas" w:cs="Consolas"/>
      <w:sz w:val="20"/>
      <w:szCs w:val="20"/>
    </w:rPr>
  </w:style>
  <w:style w:type="paragraph" w:styleId="Szvegtrzselssora">
    <w:name w:val="Body Text First Indent"/>
    <w:basedOn w:val="Szvegtrzs"/>
    <w:link w:val="SzvegtrzselssoraChar"/>
    <w:uiPriority w:val="99"/>
    <w:semiHidden/>
    <w:unhideWhenUsed/>
    <w:rsid w:val="0003148D"/>
    <w:pPr>
      <w:spacing w:after="200"/>
      <w:ind w:firstLine="360"/>
    </w:pPr>
  </w:style>
  <w:style w:type="character" w:customStyle="1" w:styleId="SzvegtrzselssoraChar">
    <w:name w:val="Szövegtörzs első sora Char"/>
    <w:basedOn w:val="SzvegtrzsChar"/>
    <w:link w:val="Szvegtrzselssora"/>
    <w:uiPriority w:val="99"/>
    <w:semiHidden/>
    <w:rsid w:val="0003148D"/>
  </w:style>
  <w:style w:type="paragraph" w:styleId="Szvegtrzsbehzssal">
    <w:name w:val="Body Text Indent"/>
    <w:basedOn w:val="Norml"/>
    <w:link w:val="SzvegtrzsbehzssalChar"/>
    <w:uiPriority w:val="99"/>
    <w:semiHidden/>
    <w:unhideWhenUsed/>
    <w:rsid w:val="0003148D"/>
    <w:pPr>
      <w:spacing w:after="120"/>
      <w:ind w:left="283"/>
    </w:pPr>
  </w:style>
  <w:style w:type="character" w:customStyle="1" w:styleId="SzvegtrzsbehzssalChar">
    <w:name w:val="Szövegtörzs behúzással Char"/>
    <w:basedOn w:val="Bekezdsalapbettpusa"/>
    <w:link w:val="Szvegtrzsbehzssal"/>
    <w:uiPriority w:val="99"/>
    <w:semiHidden/>
    <w:rsid w:val="0003148D"/>
  </w:style>
  <w:style w:type="paragraph" w:styleId="Szvegtrzselssora2">
    <w:name w:val="Body Text First Indent 2"/>
    <w:basedOn w:val="Szvegtrzsbehzssal"/>
    <w:link w:val="Szvegtrzselssora2Char"/>
    <w:uiPriority w:val="99"/>
    <w:semiHidden/>
    <w:unhideWhenUsed/>
    <w:rsid w:val="0003148D"/>
    <w:pPr>
      <w:spacing w:after="200"/>
      <w:ind w:left="360" w:firstLine="360"/>
    </w:pPr>
  </w:style>
  <w:style w:type="character" w:customStyle="1" w:styleId="Szvegtrzselssora2Char">
    <w:name w:val="Szövegtörzs első sora 2 Char"/>
    <w:basedOn w:val="SzvegtrzsbehzssalChar"/>
    <w:link w:val="Szvegtrzselssora2"/>
    <w:uiPriority w:val="99"/>
    <w:semiHidden/>
    <w:rsid w:val="0003148D"/>
  </w:style>
  <w:style w:type="paragraph" w:styleId="Felsorols">
    <w:name w:val="List Bullet"/>
    <w:basedOn w:val="Norml"/>
    <w:uiPriority w:val="99"/>
    <w:semiHidden/>
    <w:unhideWhenUsed/>
    <w:rsid w:val="0003148D"/>
    <w:pPr>
      <w:numPr>
        <w:numId w:val="7"/>
      </w:numPr>
      <w:contextualSpacing/>
    </w:pPr>
  </w:style>
  <w:style w:type="paragraph" w:styleId="Felsorols2">
    <w:name w:val="List Bullet 2"/>
    <w:basedOn w:val="Norml"/>
    <w:uiPriority w:val="99"/>
    <w:semiHidden/>
    <w:unhideWhenUsed/>
    <w:rsid w:val="0003148D"/>
    <w:pPr>
      <w:numPr>
        <w:numId w:val="8"/>
      </w:numPr>
      <w:contextualSpacing/>
    </w:pPr>
  </w:style>
  <w:style w:type="paragraph" w:styleId="Felsorols3">
    <w:name w:val="List Bullet 3"/>
    <w:basedOn w:val="Norml"/>
    <w:uiPriority w:val="99"/>
    <w:semiHidden/>
    <w:unhideWhenUsed/>
    <w:rsid w:val="0003148D"/>
    <w:pPr>
      <w:numPr>
        <w:numId w:val="9"/>
      </w:numPr>
      <w:contextualSpacing/>
    </w:pPr>
  </w:style>
  <w:style w:type="paragraph" w:styleId="Felsorols4">
    <w:name w:val="List Bullet 4"/>
    <w:basedOn w:val="Norml"/>
    <w:uiPriority w:val="99"/>
    <w:semiHidden/>
    <w:unhideWhenUsed/>
    <w:rsid w:val="0003148D"/>
    <w:pPr>
      <w:numPr>
        <w:numId w:val="10"/>
      </w:numPr>
      <w:contextualSpacing/>
    </w:pPr>
  </w:style>
  <w:style w:type="paragraph" w:styleId="Felsorols5">
    <w:name w:val="List Bullet 5"/>
    <w:basedOn w:val="Norml"/>
    <w:uiPriority w:val="99"/>
    <w:semiHidden/>
    <w:unhideWhenUsed/>
    <w:rsid w:val="0003148D"/>
    <w:pPr>
      <w:numPr>
        <w:numId w:val="11"/>
      </w:numPr>
      <w:contextualSpacing/>
    </w:pPr>
  </w:style>
  <w:style w:type="paragraph" w:styleId="Szvegtrzsbehzssal2">
    <w:name w:val="Body Text Indent 2"/>
    <w:basedOn w:val="Norml"/>
    <w:link w:val="Szvegtrzsbehzssal2Char"/>
    <w:uiPriority w:val="99"/>
    <w:semiHidden/>
    <w:unhideWhenUsed/>
    <w:rsid w:val="0003148D"/>
    <w:pPr>
      <w:spacing w:after="120" w:line="480" w:lineRule="auto"/>
      <w:ind w:left="283"/>
    </w:pPr>
  </w:style>
  <w:style w:type="character" w:customStyle="1" w:styleId="Szvegtrzsbehzssal2Char">
    <w:name w:val="Szövegtörzs behúzással 2 Char"/>
    <w:basedOn w:val="Bekezdsalapbettpusa"/>
    <w:link w:val="Szvegtrzsbehzssal2"/>
    <w:uiPriority w:val="99"/>
    <w:semiHidden/>
    <w:rsid w:val="0003148D"/>
  </w:style>
  <w:style w:type="paragraph" w:styleId="Szvegtrzsbehzssal3">
    <w:name w:val="Body Text Indent 3"/>
    <w:basedOn w:val="Norml"/>
    <w:link w:val="Szvegtrzsbehzssal3Char"/>
    <w:uiPriority w:val="99"/>
    <w:semiHidden/>
    <w:unhideWhenUsed/>
    <w:rsid w:val="0003148D"/>
    <w:pPr>
      <w:spacing w:after="120"/>
      <w:ind w:left="283"/>
    </w:pPr>
    <w:rPr>
      <w:sz w:val="16"/>
      <w:szCs w:val="16"/>
    </w:rPr>
  </w:style>
  <w:style w:type="character" w:customStyle="1" w:styleId="Szvegtrzsbehzssal3Char">
    <w:name w:val="Szövegtörzs behúzással 3 Char"/>
    <w:basedOn w:val="Bekezdsalapbettpusa"/>
    <w:link w:val="Szvegtrzsbehzssal3"/>
    <w:uiPriority w:val="99"/>
    <w:semiHidden/>
    <w:rsid w:val="0003148D"/>
    <w:rPr>
      <w:sz w:val="16"/>
      <w:szCs w:val="16"/>
    </w:rPr>
  </w:style>
  <w:style w:type="paragraph" w:styleId="Normlbehzs">
    <w:name w:val="Normal Indent"/>
    <w:basedOn w:val="Norml"/>
    <w:uiPriority w:val="99"/>
    <w:semiHidden/>
    <w:unhideWhenUsed/>
    <w:rsid w:val="0003148D"/>
    <w:pPr>
      <w:ind w:left="720"/>
    </w:pPr>
  </w:style>
  <w:style w:type="paragraph" w:styleId="Jegyzetszveg">
    <w:name w:val="annotation text"/>
    <w:basedOn w:val="Norml"/>
    <w:link w:val="JegyzetszvegChar"/>
    <w:uiPriority w:val="99"/>
    <w:unhideWhenUsed/>
    <w:rsid w:val="0003148D"/>
    <w:pPr>
      <w:spacing w:line="240" w:lineRule="auto"/>
    </w:pPr>
  </w:style>
  <w:style w:type="character" w:customStyle="1" w:styleId="JegyzetszvegChar">
    <w:name w:val="Jegyzetszöveg Char"/>
    <w:basedOn w:val="Bekezdsalapbettpusa"/>
    <w:link w:val="Jegyzetszveg"/>
    <w:uiPriority w:val="99"/>
    <w:rsid w:val="0003148D"/>
    <w:rPr>
      <w:sz w:val="20"/>
      <w:szCs w:val="20"/>
    </w:rPr>
  </w:style>
  <w:style w:type="paragraph" w:styleId="Megjegyzstrgya">
    <w:name w:val="annotation subject"/>
    <w:basedOn w:val="Jegyzetszveg"/>
    <w:next w:val="Jegyzetszveg"/>
    <w:link w:val="MegjegyzstrgyaChar"/>
    <w:uiPriority w:val="99"/>
    <w:semiHidden/>
    <w:unhideWhenUsed/>
    <w:rsid w:val="0003148D"/>
    <w:rPr>
      <w:b/>
      <w:bCs/>
    </w:rPr>
  </w:style>
  <w:style w:type="character" w:customStyle="1" w:styleId="MegjegyzstrgyaChar">
    <w:name w:val="Megjegyzés tárgya Char"/>
    <w:basedOn w:val="JegyzetszvegChar"/>
    <w:link w:val="Megjegyzstrgya"/>
    <w:uiPriority w:val="99"/>
    <w:semiHidden/>
    <w:rsid w:val="0003148D"/>
    <w:rPr>
      <w:b/>
      <w:bCs/>
      <w:sz w:val="20"/>
      <w:szCs w:val="20"/>
    </w:rPr>
  </w:style>
  <w:style w:type="paragraph" w:styleId="TJ1">
    <w:name w:val="toc 1"/>
    <w:basedOn w:val="Norml"/>
    <w:next w:val="Norml"/>
    <w:autoRedefine/>
    <w:uiPriority w:val="39"/>
    <w:semiHidden/>
    <w:unhideWhenUsed/>
    <w:rsid w:val="0003148D"/>
    <w:pPr>
      <w:spacing w:after="100"/>
    </w:pPr>
  </w:style>
  <w:style w:type="paragraph" w:styleId="TJ2">
    <w:name w:val="toc 2"/>
    <w:basedOn w:val="Norml"/>
    <w:next w:val="Norml"/>
    <w:autoRedefine/>
    <w:uiPriority w:val="39"/>
    <w:semiHidden/>
    <w:unhideWhenUsed/>
    <w:rsid w:val="0003148D"/>
    <w:pPr>
      <w:spacing w:after="100"/>
      <w:ind w:left="220"/>
    </w:pPr>
  </w:style>
  <w:style w:type="paragraph" w:styleId="TJ3">
    <w:name w:val="toc 3"/>
    <w:basedOn w:val="Norml"/>
    <w:next w:val="Norml"/>
    <w:autoRedefine/>
    <w:uiPriority w:val="39"/>
    <w:semiHidden/>
    <w:unhideWhenUsed/>
    <w:rsid w:val="0003148D"/>
    <w:pPr>
      <w:spacing w:after="100"/>
      <w:ind w:left="440"/>
    </w:pPr>
  </w:style>
  <w:style w:type="paragraph" w:styleId="TJ4">
    <w:name w:val="toc 4"/>
    <w:basedOn w:val="Norml"/>
    <w:next w:val="Norml"/>
    <w:autoRedefine/>
    <w:uiPriority w:val="39"/>
    <w:semiHidden/>
    <w:unhideWhenUsed/>
    <w:rsid w:val="0003148D"/>
    <w:pPr>
      <w:spacing w:after="100"/>
      <w:ind w:left="660"/>
    </w:pPr>
  </w:style>
  <w:style w:type="paragraph" w:styleId="TJ5">
    <w:name w:val="toc 5"/>
    <w:basedOn w:val="Norml"/>
    <w:next w:val="Norml"/>
    <w:autoRedefine/>
    <w:uiPriority w:val="39"/>
    <w:semiHidden/>
    <w:unhideWhenUsed/>
    <w:rsid w:val="0003148D"/>
    <w:pPr>
      <w:spacing w:after="100"/>
      <w:ind w:left="880"/>
    </w:pPr>
  </w:style>
  <w:style w:type="paragraph" w:styleId="TJ6">
    <w:name w:val="toc 6"/>
    <w:basedOn w:val="Norml"/>
    <w:next w:val="Norml"/>
    <w:autoRedefine/>
    <w:uiPriority w:val="39"/>
    <w:semiHidden/>
    <w:unhideWhenUsed/>
    <w:rsid w:val="0003148D"/>
    <w:pPr>
      <w:spacing w:after="100"/>
      <w:ind w:left="1100"/>
    </w:pPr>
  </w:style>
  <w:style w:type="paragraph" w:styleId="TJ7">
    <w:name w:val="toc 7"/>
    <w:basedOn w:val="Norml"/>
    <w:next w:val="Norml"/>
    <w:autoRedefine/>
    <w:uiPriority w:val="39"/>
    <w:semiHidden/>
    <w:unhideWhenUsed/>
    <w:rsid w:val="0003148D"/>
    <w:pPr>
      <w:spacing w:after="100"/>
      <w:ind w:left="1320"/>
    </w:pPr>
  </w:style>
  <w:style w:type="paragraph" w:styleId="TJ8">
    <w:name w:val="toc 8"/>
    <w:basedOn w:val="Norml"/>
    <w:next w:val="Norml"/>
    <w:autoRedefine/>
    <w:uiPriority w:val="39"/>
    <w:semiHidden/>
    <w:unhideWhenUsed/>
    <w:rsid w:val="0003148D"/>
    <w:pPr>
      <w:spacing w:after="100"/>
      <w:ind w:left="1540"/>
    </w:pPr>
  </w:style>
  <w:style w:type="paragraph" w:styleId="TJ9">
    <w:name w:val="toc 9"/>
    <w:basedOn w:val="Norml"/>
    <w:next w:val="Norml"/>
    <w:autoRedefine/>
    <w:uiPriority w:val="39"/>
    <w:semiHidden/>
    <w:unhideWhenUsed/>
    <w:rsid w:val="0003148D"/>
    <w:pPr>
      <w:spacing w:after="100"/>
      <w:ind w:left="1760"/>
    </w:pPr>
  </w:style>
  <w:style w:type="paragraph" w:styleId="Szvegblokk">
    <w:name w:val="Block Text"/>
    <w:basedOn w:val="Norml"/>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Makrszvege">
    <w:name w:val="macro"/>
    <w:link w:val="MakrszvegeChar"/>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krszvegeChar">
    <w:name w:val="Makró szövege Char"/>
    <w:basedOn w:val="Bekezdsalapbettpusa"/>
    <w:link w:val="Makrszvege"/>
    <w:uiPriority w:val="99"/>
    <w:semiHidden/>
    <w:rsid w:val="0003148D"/>
    <w:rPr>
      <w:rFonts w:ascii="Consolas" w:hAnsi="Consolas" w:cs="Consolas"/>
      <w:sz w:val="20"/>
      <w:szCs w:val="20"/>
    </w:rPr>
  </w:style>
  <w:style w:type="paragraph" w:styleId="Csakszveg">
    <w:name w:val="Plain Text"/>
    <w:basedOn w:val="Norml"/>
    <w:link w:val="CsakszvegChar"/>
    <w:uiPriority w:val="99"/>
    <w:semiHidden/>
    <w:unhideWhenUsed/>
    <w:rsid w:val="0003148D"/>
    <w:pPr>
      <w:spacing w:line="240" w:lineRule="auto"/>
    </w:pPr>
    <w:rPr>
      <w:rFonts w:ascii="Consolas" w:hAnsi="Consolas" w:cs="Consolas"/>
      <w:sz w:val="21"/>
      <w:szCs w:val="21"/>
    </w:rPr>
  </w:style>
  <w:style w:type="character" w:customStyle="1" w:styleId="CsakszvegChar">
    <w:name w:val="Csak szöveg Char"/>
    <w:basedOn w:val="Bekezdsalapbettpusa"/>
    <w:link w:val="Csakszveg"/>
    <w:uiPriority w:val="99"/>
    <w:semiHidden/>
    <w:rsid w:val="0003148D"/>
    <w:rPr>
      <w:rFonts w:ascii="Consolas" w:hAnsi="Consolas" w:cs="Consolas"/>
      <w:sz w:val="21"/>
      <w:szCs w:val="21"/>
    </w:rPr>
  </w:style>
  <w:style w:type="paragraph" w:styleId="Lbjegyzetszveg">
    <w:name w:val="footnote text"/>
    <w:basedOn w:val="Norml"/>
    <w:link w:val="LbjegyzetszvegChar"/>
    <w:uiPriority w:val="99"/>
    <w:semiHidden/>
    <w:unhideWhenUsed/>
    <w:rsid w:val="0003148D"/>
    <w:pPr>
      <w:spacing w:line="240" w:lineRule="auto"/>
    </w:pPr>
  </w:style>
  <w:style w:type="character" w:customStyle="1" w:styleId="LbjegyzetszvegChar">
    <w:name w:val="Lábjegyzetszöveg Char"/>
    <w:basedOn w:val="Bekezdsalapbettpusa"/>
    <w:link w:val="Lbjegyzetszveg"/>
    <w:uiPriority w:val="99"/>
    <w:semiHidden/>
    <w:rsid w:val="0003148D"/>
    <w:rPr>
      <w:sz w:val="20"/>
      <w:szCs w:val="20"/>
    </w:rPr>
  </w:style>
  <w:style w:type="paragraph" w:styleId="Vgjegyzetszvege">
    <w:name w:val="endnote text"/>
    <w:basedOn w:val="Norml"/>
    <w:link w:val="VgjegyzetszvegeChar"/>
    <w:uiPriority w:val="99"/>
    <w:semiHidden/>
    <w:unhideWhenUsed/>
    <w:rsid w:val="0003148D"/>
    <w:pPr>
      <w:spacing w:line="240" w:lineRule="auto"/>
    </w:pPr>
  </w:style>
  <w:style w:type="character" w:customStyle="1" w:styleId="VgjegyzetszvegeChar">
    <w:name w:val="Végjegyzet szövege Char"/>
    <w:basedOn w:val="Bekezdsalapbettpusa"/>
    <w:link w:val="Vgjegyzetszvege"/>
    <w:uiPriority w:val="99"/>
    <w:semiHidden/>
    <w:rsid w:val="0003148D"/>
    <w:rPr>
      <w:sz w:val="20"/>
      <w:szCs w:val="20"/>
    </w:rPr>
  </w:style>
  <w:style w:type="character" w:customStyle="1" w:styleId="Cmsor1Char">
    <w:name w:val="Címsor 1 Char"/>
    <w:basedOn w:val="Bekezdsalapbettpusa"/>
    <w:link w:val="Cmsor1"/>
    <w:uiPriority w:val="9"/>
    <w:rsid w:val="004F5E36"/>
    <w:rPr>
      <w:rFonts w:ascii="Arial" w:eastAsia="Times New Roman" w:hAnsi="Arial" w:cs="Times New Roman"/>
      <w:b/>
      <w:sz w:val="20"/>
      <w:szCs w:val="20"/>
      <w:lang w:val="en-GB"/>
    </w:rPr>
  </w:style>
  <w:style w:type="character" w:customStyle="1" w:styleId="Cmsor2Char">
    <w:name w:val="Címsor 2 Char"/>
    <w:basedOn w:val="Bekezdsalapbettpusa"/>
    <w:link w:val="Cmsor2"/>
    <w:uiPriority w:val="9"/>
    <w:semiHidden/>
    <w:rsid w:val="0003148D"/>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semiHidden/>
    <w:rsid w:val="0003148D"/>
    <w:rPr>
      <w:rFonts w:asciiTheme="majorHAnsi" w:eastAsiaTheme="majorEastAsia" w:hAnsiTheme="majorHAnsi" w:cstheme="majorBidi"/>
      <w:b/>
      <w:bCs/>
      <w:color w:val="4F81BD" w:themeColor="accent1"/>
    </w:rPr>
  </w:style>
  <w:style w:type="character" w:customStyle="1" w:styleId="Cmsor4Char">
    <w:name w:val="Címsor 4 Char"/>
    <w:basedOn w:val="Bekezdsalapbettpusa"/>
    <w:link w:val="Cmsor4"/>
    <w:uiPriority w:val="9"/>
    <w:semiHidden/>
    <w:rsid w:val="0003148D"/>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03148D"/>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03148D"/>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03148D"/>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Cmsor9Char">
    <w:name w:val="Címsor 9 Char"/>
    <w:basedOn w:val="Bekezdsalapbettpusa"/>
    <w:link w:val="Cmsor9"/>
    <w:uiPriority w:val="9"/>
    <w:semiHidden/>
    <w:rsid w:val="0003148D"/>
    <w:rPr>
      <w:rFonts w:asciiTheme="majorHAnsi" w:eastAsiaTheme="majorEastAsia" w:hAnsiTheme="majorHAnsi" w:cstheme="majorBidi"/>
      <w:i/>
      <w:iCs/>
      <w:color w:val="404040" w:themeColor="text1" w:themeTint="BF"/>
      <w:sz w:val="20"/>
      <w:szCs w:val="20"/>
    </w:rPr>
  </w:style>
  <w:style w:type="paragraph" w:styleId="Trgymutatcm">
    <w:name w:val="index heading"/>
    <w:basedOn w:val="Norml"/>
    <w:next w:val="Trgymutat1"/>
    <w:uiPriority w:val="99"/>
    <w:semiHidden/>
    <w:unhideWhenUsed/>
    <w:rsid w:val="0003148D"/>
    <w:rPr>
      <w:rFonts w:asciiTheme="majorHAnsi" w:eastAsiaTheme="majorEastAsia" w:hAnsiTheme="majorHAnsi" w:cstheme="majorBidi"/>
      <w:b/>
      <w:bCs/>
    </w:rPr>
  </w:style>
  <w:style w:type="paragraph" w:styleId="Hivatkozsjegyzk-fej">
    <w:name w:val="toa heading"/>
    <w:basedOn w:val="Norml"/>
    <w:next w:val="Norml"/>
    <w:uiPriority w:val="99"/>
    <w:semiHidden/>
    <w:unhideWhenUsed/>
    <w:rsid w:val="0003148D"/>
    <w:pPr>
      <w:spacing w:before="120"/>
    </w:pPr>
    <w:rPr>
      <w:rFonts w:asciiTheme="majorHAnsi" w:eastAsiaTheme="majorEastAsia" w:hAnsiTheme="majorHAnsi" w:cstheme="majorBidi"/>
      <w:b/>
      <w:bCs/>
      <w:sz w:val="24"/>
      <w:szCs w:val="24"/>
    </w:rPr>
  </w:style>
  <w:style w:type="paragraph" w:styleId="Tartalomjegyzkcmsora">
    <w:name w:val="TOC Heading"/>
    <w:basedOn w:val="Cmsor1"/>
    <w:next w:val="Norml"/>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Bekezdsalapbettpusa"/>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lfej">
    <w:name w:val="header"/>
    <w:basedOn w:val="Norml"/>
    <w:link w:val="lfejChar"/>
    <w:uiPriority w:val="99"/>
    <w:unhideWhenUsed/>
    <w:rsid w:val="005278B7"/>
    <w:pPr>
      <w:tabs>
        <w:tab w:val="clear" w:pos="7100"/>
        <w:tab w:val="center" w:pos="4819"/>
        <w:tab w:val="right" w:pos="9638"/>
      </w:tabs>
      <w:spacing w:line="240" w:lineRule="auto"/>
    </w:pPr>
  </w:style>
  <w:style w:type="character" w:customStyle="1" w:styleId="lfejChar">
    <w:name w:val="Élőfej Char"/>
    <w:basedOn w:val="Bekezdsalapbettpusa"/>
    <w:link w:val="lfej"/>
    <w:uiPriority w:val="99"/>
    <w:rsid w:val="005278B7"/>
    <w:rPr>
      <w:rFonts w:ascii="Arial" w:eastAsia="Times New Roman" w:hAnsi="Arial" w:cs="Times New Roman"/>
      <w:sz w:val="18"/>
      <w:szCs w:val="20"/>
      <w:lang w:val="en-GB"/>
    </w:rPr>
  </w:style>
  <w:style w:type="paragraph" w:styleId="llb">
    <w:name w:val="footer"/>
    <w:basedOn w:val="Norml"/>
    <w:link w:val="llbChar"/>
    <w:uiPriority w:val="99"/>
    <w:unhideWhenUsed/>
    <w:rsid w:val="005278B7"/>
    <w:pPr>
      <w:tabs>
        <w:tab w:val="clear" w:pos="7100"/>
        <w:tab w:val="center" w:pos="4819"/>
        <w:tab w:val="right" w:pos="9638"/>
      </w:tabs>
      <w:spacing w:line="240" w:lineRule="auto"/>
    </w:pPr>
  </w:style>
  <w:style w:type="character" w:customStyle="1" w:styleId="llbChar">
    <w:name w:val="Élőláb Char"/>
    <w:basedOn w:val="Bekezdsalapbettpusa"/>
    <w:link w:val="llb"/>
    <w:uiPriority w:val="99"/>
    <w:rsid w:val="005278B7"/>
    <w:rPr>
      <w:rFonts w:ascii="Arial" w:eastAsia="Times New Roman" w:hAnsi="Arial" w:cs="Times New Roman"/>
      <w:sz w:val="18"/>
      <w:szCs w:val="20"/>
      <w:lang w:val="en-GB"/>
    </w:rPr>
  </w:style>
  <w:style w:type="table" w:styleId="Rcsostblzat">
    <w:name w:val="Table Grid"/>
    <w:basedOn w:val="Normltblzat"/>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unhideWhenUsed/>
    <w:rsid w:val="00904C62"/>
    <w:rPr>
      <w:color w:val="0000FF" w:themeColor="hyperlink"/>
      <w:u w:val="single"/>
    </w:rPr>
  </w:style>
  <w:style w:type="character" w:customStyle="1" w:styleId="eudoraheader">
    <w:name w:val="eudoraheader"/>
    <w:basedOn w:val="Bekezdsalapbettpusa"/>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Listaszerbekezds">
    <w:name w:val="List Paragraph"/>
    <w:basedOn w:val="Norml"/>
    <w:uiPriority w:val="34"/>
    <w:rsid w:val="00280FAF"/>
    <w:pPr>
      <w:ind w:left="720"/>
      <w:contextualSpacing/>
    </w:pPr>
  </w:style>
  <w:style w:type="character" w:customStyle="1" w:styleId="gmail-apple-converted-space">
    <w:name w:val="gmail-apple-converted-space"/>
    <w:basedOn w:val="Bekezdsalapbettpusa"/>
    <w:rsid w:val="00005A19"/>
  </w:style>
  <w:style w:type="paragraph" w:customStyle="1" w:styleId="pdq2pgselectionanchorcontainer">
    <w:name w:val="pdq2pg_selectionanchorcontainer"/>
    <w:basedOn w:val="Norml"/>
    <w:rsid w:val="00E30E81"/>
    <w:pPr>
      <w:tabs>
        <w:tab w:val="clear" w:pos="7100"/>
      </w:tabs>
      <w:spacing w:before="100" w:beforeAutospacing="1" w:after="100" w:afterAutospacing="1" w:line="240" w:lineRule="auto"/>
      <w:jc w:val="left"/>
    </w:pPr>
    <w:rPr>
      <w:rFonts w:ascii="Times New Roman" w:hAnsi="Times New Roman"/>
      <w:sz w:val="24"/>
      <w:szCs w:val="24"/>
      <w:lang w:val="hu-HU" w:eastAsia="hu-HU"/>
    </w:rPr>
  </w:style>
  <w:style w:type="character" w:customStyle="1" w:styleId="mord">
    <w:name w:val="mord"/>
    <w:basedOn w:val="Bekezdsalapbettpusa"/>
    <w:rsid w:val="00E30E81"/>
  </w:style>
  <w:style w:type="character" w:customStyle="1" w:styleId="vlist-s">
    <w:name w:val="vlist-s"/>
    <w:basedOn w:val="Bekezdsalapbettpusa"/>
    <w:rsid w:val="00E30E81"/>
  </w:style>
  <w:style w:type="character" w:styleId="Kiemels2">
    <w:name w:val="Strong"/>
    <w:basedOn w:val="Bekezdsalapbettpusa"/>
    <w:uiPriority w:val="22"/>
    <w:qFormat/>
    <w:rsid w:val="00E30E81"/>
    <w:rPr>
      <w:b/>
      <w:bCs/>
    </w:rPr>
  </w:style>
  <w:style w:type="character" w:styleId="Kiemels">
    <w:name w:val="Emphasis"/>
    <w:basedOn w:val="Bekezdsalapbettpusa"/>
    <w:uiPriority w:val="20"/>
    <w:qFormat/>
    <w:rsid w:val="00734F8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644435">
      <w:bodyDiv w:val="1"/>
      <w:marLeft w:val="0"/>
      <w:marRight w:val="0"/>
      <w:marTop w:val="0"/>
      <w:marBottom w:val="0"/>
      <w:divBdr>
        <w:top w:val="none" w:sz="0" w:space="0" w:color="auto"/>
        <w:left w:val="none" w:sz="0" w:space="0" w:color="auto"/>
        <w:bottom w:val="none" w:sz="0" w:space="0" w:color="auto"/>
        <w:right w:val="none" w:sz="0" w:space="0" w:color="auto"/>
      </w:divBdr>
    </w:div>
    <w:div w:id="1332761462">
      <w:bodyDiv w:val="1"/>
      <w:marLeft w:val="0"/>
      <w:marRight w:val="0"/>
      <w:marTop w:val="0"/>
      <w:marBottom w:val="0"/>
      <w:divBdr>
        <w:top w:val="none" w:sz="0" w:space="0" w:color="auto"/>
        <w:left w:val="none" w:sz="0" w:space="0" w:color="auto"/>
        <w:bottom w:val="none" w:sz="0" w:space="0" w:color="auto"/>
        <w:right w:val="none" w:sz="0" w:space="0" w:color="auto"/>
      </w:divBdr>
      <w:divsChild>
        <w:div w:id="1163550639">
          <w:marLeft w:val="0"/>
          <w:marRight w:val="0"/>
          <w:marTop w:val="0"/>
          <w:marBottom w:val="0"/>
          <w:divBdr>
            <w:top w:val="none" w:sz="0" w:space="0" w:color="auto"/>
            <w:left w:val="none" w:sz="0" w:space="0" w:color="auto"/>
            <w:bottom w:val="none" w:sz="0" w:space="0" w:color="auto"/>
            <w:right w:val="none" w:sz="0" w:space="0" w:color="auto"/>
          </w:divBdr>
          <w:divsChild>
            <w:div w:id="117142841">
              <w:marLeft w:val="0"/>
              <w:marRight w:val="0"/>
              <w:marTop w:val="0"/>
              <w:marBottom w:val="0"/>
              <w:divBdr>
                <w:top w:val="none" w:sz="0" w:space="0" w:color="auto"/>
                <w:left w:val="none" w:sz="0" w:space="0" w:color="auto"/>
                <w:bottom w:val="none" w:sz="0" w:space="0" w:color="auto"/>
                <w:right w:val="none" w:sz="0" w:space="0" w:color="auto"/>
              </w:divBdr>
              <w:divsChild>
                <w:div w:id="1571816051">
                  <w:marLeft w:val="0"/>
                  <w:marRight w:val="0"/>
                  <w:marTop w:val="0"/>
                  <w:marBottom w:val="0"/>
                  <w:divBdr>
                    <w:top w:val="none" w:sz="0" w:space="0" w:color="auto"/>
                    <w:left w:val="none" w:sz="0" w:space="0" w:color="auto"/>
                    <w:bottom w:val="none" w:sz="0" w:space="0" w:color="auto"/>
                    <w:right w:val="none" w:sz="0" w:space="0" w:color="auto"/>
                  </w:divBdr>
                  <w:divsChild>
                    <w:div w:id="1231887037">
                      <w:marLeft w:val="0"/>
                      <w:marRight w:val="0"/>
                      <w:marTop w:val="0"/>
                      <w:marBottom w:val="0"/>
                      <w:divBdr>
                        <w:top w:val="none" w:sz="0" w:space="0" w:color="auto"/>
                        <w:left w:val="none" w:sz="0" w:space="0" w:color="auto"/>
                        <w:bottom w:val="none" w:sz="0" w:space="0" w:color="auto"/>
                        <w:right w:val="none" w:sz="0" w:space="0" w:color="auto"/>
                      </w:divBdr>
                      <w:divsChild>
                        <w:div w:id="257103912">
                          <w:marLeft w:val="0"/>
                          <w:marRight w:val="0"/>
                          <w:marTop w:val="0"/>
                          <w:marBottom w:val="0"/>
                          <w:divBdr>
                            <w:top w:val="none" w:sz="0" w:space="0" w:color="auto"/>
                            <w:left w:val="none" w:sz="0" w:space="0" w:color="auto"/>
                            <w:bottom w:val="none" w:sz="0" w:space="0" w:color="auto"/>
                            <w:right w:val="none" w:sz="0" w:space="0" w:color="auto"/>
                          </w:divBdr>
                          <w:divsChild>
                            <w:div w:id="410154963">
                              <w:marLeft w:val="0"/>
                              <w:marRight w:val="0"/>
                              <w:marTop w:val="0"/>
                              <w:marBottom w:val="0"/>
                              <w:divBdr>
                                <w:top w:val="none" w:sz="0" w:space="0" w:color="auto"/>
                                <w:left w:val="none" w:sz="0" w:space="0" w:color="auto"/>
                                <w:bottom w:val="none" w:sz="0" w:space="0" w:color="auto"/>
                                <w:right w:val="none" w:sz="0" w:space="0" w:color="auto"/>
                              </w:divBdr>
                              <w:divsChild>
                                <w:div w:id="103850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15006338">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536285">
      <w:bodyDiv w:val="1"/>
      <w:marLeft w:val="0"/>
      <w:marRight w:val="0"/>
      <w:marTop w:val="0"/>
      <w:marBottom w:val="0"/>
      <w:divBdr>
        <w:top w:val="none" w:sz="0" w:space="0" w:color="auto"/>
        <w:left w:val="none" w:sz="0" w:space="0" w:color="auto"/>
        <w:bottom w:val="none" w:sz="0" w:space="0" w:color="auto"/>
        <w:right w:val="none" w:sz="0" w:space="0" w:color="auto"/>
      </w:divBdr>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D189CD-93B5-4120-90DD-EB6078F31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TotalTime>
  <Pages>6</Pages>
  <Words>3012</Words>
  <Characters>20785</Characters>
  <Application>Microsoft Office Word</Application>
  <DocSecurity>0</DocSecurity>
  <Lines>173</Lines>
  <Paragraphs>47</Paragraphs>
  <ScaleCrop>false</ScaleCrop>
  <HeadingPairs>
    <vt:vector size="6" baseType="variant">
      <vt:variant>
        <vt:lpstr>Cím</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23750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Dr. Miskolczi Norbert</cp:lastModifiedBy>
  <cp:revision>19</cp:revision>
  <cp:lastPrinted>2015-05-12T18:31:00Z</cp:lastPrinted>
  <dcterms:created xsi:type="dcterms:W3CDTF">2026-09-02T07:42:00Z</dcterms:created>
  <dcterms:modified xsi:type="dcterms:W3CDTF">2026-09-16T09:15:00Z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