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A03B2" w:rsidRPr="00B57B36" w14:paraId="2A131A54" w14:textId="77777777" w:rsidTr="009825A1">
        <w:trPr>
          <w:trHeight w:val="852"/>
          <w:jc w:val="center"/>
        </w:trPr>
        <w:tc>
          <w:tcPr>
            <w:tcW w:w="6940" w:type="dxa"/>
            <w:vMerge w:val="restart"/>
            <w:tcBorders>
              <w:right w:val="single" w:sz="4" w:space="0" w:color="auto"/>
            </w:tcBorders>
          </w:tcPr>
          <w:p w14:paraId="38C3D2BA" w14:textId="77777777" w:rsidR="000A03B2" w:rsidRPr="00B57B36" w:rsidRDefault="000A03B2" w:rsidP="00DE264A">
            <w:pPr>
              <w:tabs>
                <w:tab w:val="left" w:pos="-108"/>
              </w:tabs>
              <w:ind w:left="-108"/>
              <w:jc w:val="left"/>
              <w:rPr>
                <w:rFonts w:cs="Arial"/>
                <w:b/>
                <w:bCs/>
                <w:i/>
                <w:iCs/>
                <w:color w:val="000066"/>
                <w:sz w:val="12"/>
                <w:szCs w:val="12"/>
                <w:lang w:eastAsia="it-IT"/>
              </w:rPr>
            </w:pPr>
            <w:bookmarkStart w:id="0" w:name="_Hlk145068772"/>
            <w:r w:rsidRPr="00B57B36">
              <w:rPr>
                <w:rFonts w:ascii="AdvP6960" w:hAnsi="AdvP6960" w:cs="AdvP6960"/>
                <w:noProof/>
                <w:color w:val="241F20"/>
                <w:szCs w:val="18"/>
                <w:lang w:val="it-IT" w:eastAsia="it-IT"/>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B57B36">
              <w:rPr>
                <w:rFonts w:ascii="AdvP6960" w:hAnsi="AdvP6960" w:cs="AdvP6960"/>
                <w:color w:val="241F20"/>
                <w:szCs w:val="18"/>
                <w:lang w:eastAsia="it-IT"/>
              </w:rPr>
              <w:t xml:space="preserve"> </w:t>
            </w:r>
            <w:r w:rsidRPr="00B57B36">
              <w:rPr>
                <w:rFonts w:cs="Arial"/>
                <w:b/>
                <w:bCs/>
                <w:i/>
                <w:iCs/>
                <w:color w:val="000066"/>
                <w:sz w:val="24"/>
                <w:szCs w:val="24"/>
                <w:lang w:eastAsia="it-IT"/>
              </w:rPr>
              <w:t>CHEMICAL ENGINEERING</w:t>
            </w:r>
            <w:r w:rsidRPr="00B57B36">
              <w:rPr>
                <w:rFonts w:cs="Arial"/>
                <w:b/>
                <w:bCs/>
                <w:i/>
                <w:iCs/>
                <w:color w:val="0033FF"/>
                <w:sz w:val="24"/>
                <w:szCs w:val="24"/>
                <w:lang w:eastAsia="it-IT"/>
              </w:rPr>
              <w:t xml:space="preserve"> </w:t>
            </w:r>
            <w:r w:rsidRPr="00B57B36">
              <w:rPr>
                <w:rFonts w:cs="Arial"/>
                <w:b/>
                <w:bCs/>
                <w:i/>
                <w:iCs/>
                <w:color w:val="666666"/>
                <w:sz w:val="24"/>
                <w:szCs w:val="24"/>
                <w:lang w:eastAsia="it-IT"/>
              </w:rPr>
              <w:t>TRANSACTIONS</w:t>
            </w:r>
            <w:r w:rsidRPr="00B57B36">
              <w:rPr>
                <w:color w:val="333333"/>
                <w:sz w:val="24"/>
                <w:szCs w:val="24"/>
                <w:lang w:eastAsia="it-IT"/>
              </w:rPr>
              <w:t xml:space="preserve"> </w:t>
            </w:r>
            <w:r w:rsidRPr="00B57B36">
              <w:rPr>
                <w:rFonts w:cs="Arial"/>
                <w:b/>
                <w:bCs/>
                <w:i/>
                <w:iCs/>
                <w:color w:val="000066"/>
                <w:sz w:val="27"/>
                <w:szCs w:val="27"/>
                <w:lang w:eastAsia="it-IT"/>
              </w:rPr>
              <w:br/>
            </w:r>
          </w:p>
          <w:p w14:paraId="4B780582" w14:textId="753620B8" w:rsidR="000A03B2" w:rsidRPr="00B57B36" w:rsidRDefault="00A76EFC" w:rsidP="001D21AF">
            <w:pPr>
              <w:tabs>
                <w:tab w:val="left" w:pos="-108"/>
              </w:tabs>
              <w:ind w:left="-108"/>
              <w:rPr>
                <w:rFonts w:cs="Arial"/>
                <w:b/>
                <w:bCs/>
                <w:i/>
                <w:iCs/>
                <w:color w:val="000066"/>
                <w:sz w:val="22"/>
                <w:szCs w:val="22"/>
                <w:lang w:eastAsia="it-IT"/>
              </w:rPr>
            </w:pPr>
            <w:r w:rsidRPr="00B57B36">
              <w:rPr>
                <w:rFonts w:cs="Arial"/>
                <w:b/>
                <w:bCs/>
                <w:i/>
                <w:iCs/>
                <w:color w:val="000066"/>
                <w:sz w:val="22"/>
                <w:szCs w:val="22"/>
                <w:lang w:eastAsia="it-IT"/>
              </w:rPr>
              <w:t>VOL.</w:t>
            </w:r>
            <w:r w:rsidR="00785BF9">
              <w:rPr>
                <w:rFonts w:cs="Arial"/>
                <w:b/>
                <w:bCs/>
                <w:i/>
                <w:iCs/>
                <w:color w:val="000066"/>
                <w:sz w:val="22"/>
                <w:szCs w:val="22"/>
                <w:lang w:eastAsia="it-IT"/>
              </w:rPr>
              <w:t xml:space="preserve"> </w:t>
            </w:r>
            <w:r w:rsidR="00AD0278">
              <w:rPr>
                <w:rFonts w:cs="Arial"/>
                <w:b/>
                <w:bCs/>
                <w:i/>
                <w:iCs/>
                <w:color w:val="000066"/>
                <w:sz w:val="22"/>
                <w:szCs w:val="22"/>
                <w:lang w:eastAsia="it-IT"/>
              </w:rPr>
              <w:t>xxx</w:t>
            </w:r>
            <w:r w:rsidR="007B48F9">
              <w:rPr>
                <w:rFonts w:cs="Arial"/>
                <w:b/>
                <w:bCs/>
                <w:i/>
                <w:iCs/>
                <w:color w:val="000066"/>
                <w:sz w:val="22"/>
                <w:szCs w:val="22"/>
                <w:lang w:eastAsia="it-IT"/>
              </w:rPr>
              <w:t>,</w:t>
            </w:r>
            <w:r w:rsidR="00FA5F5F">
              <w:rPr>
                <w:rFonts w:cs="Arial"/>
                <w:b/>
                <w:bCs/>
                <w:i/>
                <w:iCs/>
                <w:color w:val="000066"/>
                <w:sz w:val="22"/>
                <w:szCs w:val="22"/>
                <w:lang w:eastAsia="it-IT"/>
              </w:rPr>
              <w:t xml:space="preserve"> </w:t>
            </w:r>
            <w:r w:rsidR="0030152C">
              <w:rPr>
                <w:rFonts w:cs="Arial"/>
                <w:b/>
                <w:bCs/>
                <w:i/>
                <w:iCs/>
                <w:color w:val="000066"/>
                <w:sz w:val="22"/>
                <w:szCs w:val="22"/>
                <w:lang w:eastAsia="it-IT"/>
              </w:rPr>
              <w:t>202</w:t>
            </w:r>
            <w:r w:rsidR="00AD0278">
              <w:rPr>
                <w:rFonts w:cs="Arial"/>
                <w:b/>
                <w:bCs/>
                <w:i/>
                <w:iCs/>
                <w:color w:val="000066"/>
                <w:sz w:val="22"/>
                <w:szCs w:val="22"/>
                <w:lang w:eastAsia="it-IT"/>
              </w:rPr>
              <w:t>6</w:t>
            </w:r>
          </w:p>
        </w:tc>
        <w:tc>
          <w:tcPr>
            <w:tcW w:w="1842" w:type="dxa"/>
            <w:tcBorders>
              <w:left w:val="single" w:sz="4" w:space="0" w:color="auto"/>
              <w:bottom w:val="nil"/>
              <w:right w:val="single" w:sz="4" w:space="0" w:color="auto"/>
            </w:tcBorders>
          </w:tcPr>
          <w:p w14:paraId="56782132" w14:textId="77777777" w:rsidR="000A03B2" w:rsidRPr="00B57B36" w:rsidRDefault="000A03B2" w:rsidP="00CD5FE2">
            <w:pPr>
              <w:spacing w:line="140" w:lineRule="atLeast"/>
              <w:jc w:val="right"/>
              <w:rPr>
                <w:rFonts w:cs="Arial"/>
                <w:sz w:val="14"/>
                <w:szCs w:val="14"/>
              </w:rPr>
            </w:pPr>
            <w:r w:rsidRPr="00B57B36">
              <w:rPr>
                <w:rFonts w:cs="Arial"/>
                <w:sz w:val="14"/>
                <w:szCs w:val="14"/>
              </w:rPr>
              <w:t>A publication of</w:t>
            </w:r>
          </w:p>
          <w:p w14:paraId="599E5441" w14:textId="77777777" w:rsidR="000A03B2" w:rsidRPr="00B57B36" w:rsidRDefault="000A03B2" w:rsidP="00CD5FE2">
            <w:pPr>
              <w:jc w:val="right"/>
            </w:pPr>
            <w:r w:rsidRPr="00B57B36">
              <w:rPr>
                <w:noProof/>
                <w:lang w:val="it-IT" w:eastAsia="it-IT"/>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B57B36" w14:paraId="380FA3CD" w14:textId="77777777" w:rsidTr="009825A1">
        <w:trPr>
          <w:trHeight w:val="567"/>
          <w:jc w:val="center"/>
        </w:trPr>
        <w:tc>
          <w:tcPr>
            <w:tcW w:w="6940" w:type="dxa"/>
            <w:vMerge/>
            <w:tcBorders>
              <w:right w:val="single" w:sz="4" w:space="0" w:color="auto"/>
            </w:tcBorders>
          </w:tcPr>
          <w:p w14:paraId="39E5E4C1" w14:textId="77777777" w:rsidR="000A03B2" w:rsidRPr="00B57B36" w:rsidRDefault="000A03B2" w:rsidP="00CD5FE2">
            <w:pPr>
              <w:tabs>
                <w:tab w:val="left" w:pos="-108"/>
              </w:tabs>
            </w:pPr>
          </w:p>
        </w:tc>
        <w:tc>
          <w:tcPr>
            <w:tcW w:w="1842" w:type="dxa"/>
            <w:tcBorders>
              <w:left w:val="single" w:sz="4" w:space="0" w:color="auto"/>
              <w:bottom w:val="nil"/>
              <w:right w:val="single" w:sz="4" w:space="0" w:color="auto"/>
            </w:tcBorders>
          </w:tcPr>
          <w:p w14:paraId="43858A98" w14:textId="77777777" w:rsidR="000A03B2" w:rsidRPr="00B57B36" w:rsidRDefault="000A03B2" w:rsidP="00CD5FE2">
            <w:pPr>
              <w:spacing w:line="140" w:lineRule="atLeast"/>
              <w:jc w:val="right"/>
              <w:rPr>
                <w:rFonts w:cs="Arial"/>
                <w:sz w:val="14"/>
                <w:szCs w:val="14"/>
              </w:rPr>
            </w:pPr>
            <w:r w:rsidRPr="00B57B36">
              <w:rPr>
                <w:rFonts w:cs="Arial"/>
                <w:sz w:val="14"/>
                <w:szCs w:val="14"/>
              </w:rPr>
              <w:t>The Italian Association</w:t>
            </w:r>
          </w:p>
          <w:p w14:paraId="7522B1D2" w14:textId="77777777" w:rsidR="000A03B2" w:rsidRPr="00B57B36" w:rsidRDefault="000A03B2" w:rsidP="00CD5FE2">
            <w:pPr>
              <w:spacing w:line="140" w:lineRule="atLeast"/>
              <w:jc w:val="right"/>
              <w:rPr>
                <w:rFonts w:cs="Arial"/>
                <w:sz w:val="14"/>
                <w:szCs w:val="14"/>
              </w:rPr>
            </w:pPr>
            <w:r w:rsidRPr="00B57B36">
              <w:rPr>
                <w:rFonts w:cs="Arial"/>
                <w:sz w:val="14"/>
                <w:szCs w:val="14"/>
              </w:rPr>
              <w:t>of Chemical Engineering</w:t>
            </w:r>
          </w:p>
          <w:p w14:paraId="4F0CC5DE" w14:textId="47FDB2FC" w:rsidR="000A03B2" w:rsidRPr="000D0268" w:rsidRDefault="000D0268" w:rsidP="00CD5FE2">
            <w:pPr>
              <w:spacing w:line="140" w:lineRule="atLeast"/>
              <w:jc w:val="right"/>
              <w:rPr>
                <w:rFonts w:cs="Arial"/>
                <w:sz w:val="13"/>
                <w:szCs w:val="13"/>
              </w:rPr>
            </w:pPr>
            <w:r w:rsidRPr="000D0268">
              <w:rPr>
                <w:rFonts w:cs="Arial"/>
                <w:sz w:val="13"/>
                <w:szCs w:val="13"/>
              </w:rPr>
              <w:t>Online at www.cetjournal.it</w:t>
            </w:r>
          </w:p>
        </w:tc>
      </w:tr>
      <w:tr w:rsidR="000A03B2" w:rsidRPr="00B57B36" w14:paraId="2D1B7169" w14:textId="77777777" w:rsidTr="009825A1">
        <w:trPr>
          <w:trHeight w:val="68"/>
          <w:jc w:val="center"/>
        </w:trPr>
        <w:tc>
          <w:tcPr>
            <w:tcW w:w="8782" w:type="dxa"/>
            <w:gridSpan w:val="2"/>
          </w:tcPr>
          <w:p w14:paraId="1D8DD3C9" w14:textId="174205F6" w:rsidR="00AA7D26" w:rsidRPr="00CB2614" w:rsidRDefault="004A5E57" w:rsidP="00CB2614">
            <w:pPr>
              <w:ind w:left="-107"/>
              <w:outlineLvl w:val="2"/>
              <w:rPr>
                <w:rFonts w:ascii="Tahoma" w:hAnsi="Tahoma" w:cs="Tahoma"/>
                <w:color w:val="000000"/>
                <w:sz w:val="14"/>
                <w:szCs w:val="14"/>
                <w:shd w:val="clear" w:color="auto" w:fill="FFFFFF"/>
                <w:lang w:val="it-IT"/>
              </w:rPr>
            </w:pPr>
            <w:r w:rsidRPr="00CB2614">
              <w:rPr>
                <w:rFonts w:ascii="Tahoma" w:hAnsi="Tahoma" w:cs="Tahoma"/>
                <w:iCs/>
                <w:color w:val="333333"/>
                <w:sz w:val="14"/>
                <w:szCs w:val="14"/>
                <w:lang w:val="it-IT" w:eastAsia="it-IT"/>
              </w:rPr>
              <w:t>Guest Editors:</w:t>
            </w:r>
            <w:r w:rsidRPr="00CB2614">
              <w:rPr>
                <w:rFonts w:ascii="Tahoma" w:hAnsi="Tahoma" w:cs="Tahoma"/>
                <w:color w:val="000000"/>
                <w:sz w:val="14"/>
                <w:szCs w:val="14"/>
                <w:shd w:val="clear" w:color="auto" w:fill="FFFFFF"/>
                <w:lang w:val="it-IT"/>
              </w:rPr>
              <w:t xml:space="preserve"> </w:t>
            </w:r>
            <w:r w:rsidR="00CB2614" w:rsidRPr="00CB2614">
              <w:rPr>
                <w:rFonts w:ascii="Tahoma" w:hAnsi="Tahoma" w:cs="Tahoma"/>
                <w:color w:val="000000"/>
                <w:sz w:val="14"/>
                <w:szCs w:val="14"/>
                <w:shd w:val="clear" w:color="auto" w:fill="FFFFFF"/>
                <w:lang w:val="it-IT"/>
              </w:rPr>
              <w:t xml:space="preserve">Flavio Manenti, </w:t>
            </w:r>
            <w:proofErr w:type="spellStart"/>
            <w:r w:rsidR="00CB2614" w:rsidRPr="00CB2614">
              <w:rPr>
                <w:rFonts w:ascii="Tahoma" w:hAnsi="Tahoma" w:cs="Tahoma"/>
                <w:color w:val="000000"/>
                <w:sz w:val="14"/>
                <w:szCs w:val="14"/>
                <w:shd w:val="clear" w:color="auto" w:fill="FFFFFF"/>
                <w:lang w:val="it-IT"/>
              </w:rPr>
              <w:t>Botir</w:t>
            </w:r>
            <w:proofErr w:type="spellEnd"/>
            <w:r w:rsidR="00CB2614" w:rsidRPr="00CB2614">
              <w:rPr>
                <w:rFonts w:ascii="Tahoma" w:hAnsi="Tahoma" w:cs="Tahoma"/>
                <w:color w:val="000000"/>
                <w:sz w:val="14"/>
                <w:szCs w:val="14"/>
                <w:shd w:val="clear" w:color="auto" w:fill="FFFFFF"/>
                <w:lang w:val="it-IT"/>
              </w:rPr>
              <w:t xml:space="preserve"> </w:t>
            </w:r>
            <w:proofErr w:type="spellStart"/>
            <w:r w:rsidR="00CB2614" w:rsidRPr="00CB2614">
              <w:rPr>
                <w:rFonts w:ascii="Tahoma" w:hAnsi="Tahoma" w:cs="Tahoma"/>
                <w:color w:val="000000"/>
                <w:sz w:val="14"/>
                <w:szCs w:val="14"/>
                <w:shd w:val="clear" w:color="auto" w:fill="FFFFFF"/>
                <w:lang w:val="it-IT"/>
              </w:rPr>
              <w:t>Usmonov</w:t>
            </w:r>
            <w:proofErr w:type="spellEnd"/>
            <w:r w:rsidR="00CB2614" w:rsidRPr="00CB2614">
              <w:rPr>
                <w:rFonts w:ascii="Tahoma" w:hAnsi="Tahoma" w:cs="Tahoma"/>
                <w:color w:val="000000"/>
                <w:sz w:val="14"/>
                <w:szCs w:val="14"/>
                <w:shd w:val="clear" w:color="auto" w:fill="FFFFFF"/>
                <w:lang w:val="it-IT"/>
              </w:rPr>
              <w:t>, Alessandro Di Pretoro</w:t>
            </w:r>
          </w:p>
          <w:p w14:paraId="1B0F1814" w14:textId="710B7B96" w:rsidR="000A03B2" w:rsidRPr="00B57B36" w:rsidRDefault="00AA7D26" w:rsidP="00AA7D26">
            <w:pPr>
              <w:tabs>
                <w:tab w:val="left" w:pos="-108"/>
              </w:tabs>
              <w:spacing w:line="140" w:lineRule="atLeast"/>
              <w:ind w:left="-107"/>
              <w:jc w:val="left"/>
            </w:pPr>
            <w:r>
              <w:rPr>
                <w:rFonts w:ascii="Tahoma" w:hAnsi="Tahoma" w:cs="Tahoma"/>
                <w:iCs/>
                <w:color w:val="333333"/>
                <w:sz w:val="14"/>
                <w:szCs w:val="14"/>
                <w:lang w:eastAsia="it-IT"/>
              </w:rPr>
              <w:t>Copyright © 202</w:t>
            </w:r>
            <w:r w:rsidR="00005884">
              <w:rPr>
                <w:rFonts w:ascii="Tahoma" w:hAnsi="Tahoma" w:cs="Tahoma"/>
                <w:iCs/>
                <w:color w:val="333333"/>
                <w:sz w:val="14"/>
                <w:szCs w:val="14"/>
                <w:lang w:eastAsia="it-IT"/>
              </w:rPr>
              <w:t>6</w:t>
            </w:r>
            <w:r w:rsidRPr="00B57B36">
              <w:rPr>
                <w:rFonts w:ascii="Tahoma" w:hAnsi="Tahoma" w:cs="Tahoma"/>
                <w:iCs/>
                <w:color w:val="333333"/>
                <w:sz w:val="14"/>
                <w:szCs w:val="14"/>
                <w:lang w:eastAsia="it-IT"/>
              </w:rPr>
              <w:t xml:space="preserve">, AIDIC Servizi </w:t>
            </w:r>
            <w:proofErr w:type="spellStart"/>
            <w:r w:rsidRPr="00B57B36">
              <w:rPr>
                <w:rFonts w:ascii="Tahoma" w:hAnsi="Tahoma" w:cs="Tahoma"/>
                <w:iCs/>
                <w:color w:val="333333"/>
                <w:sz w:val="14"/>
                <w:szCs w:val="14"/>
                <w:lang w:eastAsia="it-IT"/>
              </w:rPr>
              <w:t>S.r.l</w:t>
            </w:r>
            <w:proofErr w:type="spellEnd"/>
            <w:r w:rsidRPr="00B57B36">
              <w:rPr>
                <w:rFonts w:ascii="Tahoma" w:hAnsi="Tahoma" w:cs="Tahoma"/>
                <w:iCs/>
                <w:color w:val="333333"/>
                <w:sz w:val="14"/>
                <w:szCs w:val="14"/>
                <w:lang w:eastAsia="it-IT"/>
              </w:rPr>
              <w:t>.</w:t>
            </w:r>
            <w:r w:rsidRPr="00B57B36">
              <w:rPr>
                <w:rFonts w:ascii="Tahoma" w:hAnsi="Tahoma" w:cs="Tahoma"/>
                <w:iCs/>
                <w:color w:val="333333"/>
                <w:sz w:val="14"/>
                <w:szCs w:val="14"/>
                <w:lang w:eastAsia="it-IT"/>
              </w:rPr>
              <w:br/>
            </w:r>
            <w:r w:rsidRPr="00B57B36">
              <w:rPr>
                <w:rFonts w:ascii="Tahoma" w:hAnsi="Tahoma" w:cs="Tahoma"/>
                <w:b/>
                <w:iCs/>
                <w:color w:val="000000"/>
                <w:sz w:val="14"/>
                <w:szCs w:val="14"/>
                <w:lang w:eastAsia="it-IT"/>
              </w:rPr>
              <w:t>ISBN</w:t>
            </w:r>
            <w:r w:rsidRPr="00B57B36">
              <w:rPr>
                <w:rFonts w:ascii="Tahoma" w:hAnsi="Tahoma" w:cs="Tahoma"/>
                <w:iCs/>
                <w:color w:val="000000"/>
                <w:sz w:val="14"/>
                <w:szCs w:val="14"/>
                <w:lang w:eastAsia="it-IT"/>
              </w:rPr>
              <w:t xml:space="preserve"> </w:t>
            </w:r>
            <w:r w:rsidR="00D2582C" w:rsidRPr="000562A9">
              <w:rPr>
                <w:rFonts w:ascii="Tahoma" w:hAnsi="Tahoma" w:cs="Tahoma"/>
                <w:sz w:val="14"/>
                <w:szCs w:val="14"/>
              </w:rPr>
              <w:t>97</w:t>
            </w:r>
            <w:r w:rsidR="00D2582C">
              <w:rPr>
                <w:rFonts w:ascii="Tahoma" w:hAnsi="Tahoma" w:cs="Tahoma"/>
                <w:sz w:val="14"/>
                <w:szCs w:val="14"/>
              </w:rPr>
              <w:t>9</w:t>
            </w:r>
            <w:r w:rsidR="00D2582C" w:rsidRPr="000562A9">
              <w:rPr>
                <w:rFonts w:ascii="Tahoma" w:hAnsi="Tahoma" w:cs="Tahoma"/>
                <w:sz w:val="14"/>
                <w:szCs w:val="14"/>
              </w:rPr>
              <w:t>-</w:t>
            </w:r>
            <w:r w:rsidR="00D2582C">
              <w:rPr>
                <w:rFonts w:ascii="Tahoma" w:hAnsi="Tahoma" w:cs="Tahoma"/>
                <w:sz w:val="14"/>
                <w:szCs w:val="14"/>
              </w:rPr>
              <w:t>12</w:t>
            </w:r>
            <w:r w:rsidR="00D2582C" w:rsidRPr="000562A9">
              <w:rPr>
                <w:rFonts w:ascii="Tahoma" w:hAnsi="Tahoma" w:cs="Tahoma"/>
                <w:sz w:val="14"/>
                <w:szCs w:val="14"/>
              </w:rPr>
              <w:t>-</w:t>
            </w:r>
            <w:r w:rsidR="00D2582C">
              <w:rPr>
                <w:rFonts w:ascii="Tahoma" w:hAnsi="Tahoma" w:cs="Tahoma"/>
                <w:sz w:val="14"/>
                <w:szCs w:val="14"/>
              </w:rPr>
              <w:t>81206-</w:t>
            </w:r>
            <w:r w:rsidR="00005884">
              <w:rPr>
                <w:rFonts w:ascii="Tahoma" w:hAnsi="Tahoma" w:cs="Tahoma"/>
                <w:sz w:val="14"/>
                <w:szCs w:val="14"/>
              </w:rPr>
              <w:t>xx</w:t>
            </w:r>
            <w:r w:rsidR="009041F8">
              <w:rPr>
                <w:rFonts w:ascii="Tahoma" w:hAnsi="Tahoma" w:cs="Tahoma"/>
                <w:sz w:val="14"/>
                <w:szCs w:val="14"/>
              </w:rPr>
              <w:t>-</w:t>
            </w:r>
            <w:r w:rsidR="00005884">
              <w:rPr>
                <w:rFonts w:ascii="Tahoma" w:hAnsi="Tahoma" w:cs="Tahoma"/>
                <w:sz w:val="14"/>
                <w:szCs w:val="14"/>
              </w:rPr>
              <w:t>x</w:t>
            </w:r>
            <w:r w:rsidRPr="00EF06D9">
              <w:rPr>
                <w:rFonts w:ascii="Tahoma" w:hAnsi="Tahoma" w:cs="Tahoma"/>
                <w:iCs/>
                <w:color w:val="333333"/>
                <w:sz w:val="14"/>
                <w:szCs w:val="14"/>
                <w:lang w:eastAsia="it-IT"/>
              </w:rPr>
              <w:t>;</w:t>
            </w:r>
            <w:r w:rsidRPr="00B57B36">
              <w:rPr>
                <w:rFonts w:ascii="Tahoma" w:hAnsi="Tahoma" w:cs="Tahoma"/>
                <w:iCs/>
                <w:color w:val="333333"/>
                <w:sz w:val="14"/>
                <w:szCs w:val="14"/>
                <w:lang w:eastAsia="it-IT"/>
              </w:rPr>
              <w:t xml:space="preserve"> </w:t>
            </w:r>
            <w:r w:rsidRPr="00B57B36">
              <w:rPr>
                <w:rFonts w:ascii="Tahoma" w:hAnsi="Tahoma" w:cs="Tahoma"/>
                <w:b/>
                <w:iCs/>
                <w:color w:val="333333"/>
                <w:sz w:val="14"/>
                <w:szCs w:val="14"/>
                <w:lang w:eastAsia="it-IT"/>
              </w:rPr>
              <w:t>ISSN</w:t>
            </w:r>
            <w:r w:rsidRPr="00B57B36">
              <w:rPr>
                <w:rFonts w:ascii="Tahoma" w:hAnsi="Tahoma" w:cs="Tahoma"/>
                <w:iCs/>
                <w:color w:val="333333"/>
                <w:sz w:val="14"/>
                <w:szCs w:val="14"/>
                <w:lang w:eastAsia="it-IT"/>
              </w:rPr>
              <w:t xml:space="preserve"> 2283-9216</w:t>
            </w:r>
          </w:p>
        </w:tc>
      </w:tr>
    </w:tbl>
    <w:bookmarkEnd w:id="0"/>
    <w:p w14:paraId="2E667253" w14:textId="55E1DDB6" w:rsidR="00E978D0" w:rsidRPr="00B57B36" w:rsidRDefault="004720E1" w:rsidP="004720E1">
      <w:pPr>
        <w:pStyle w:val="CETTitle"/>
      </w:pPr>
      <w:r>
        <w:t>Acid Gas to Methanol</w:t>
      </w:r>
      <w:r w:rsidR="00AF4E67" w:rsidRPr="00AF4E67">
        <w:t>:</w:t>
      </w:r>
      <w:r>
        <w:t xml:space="preserve"> </w:t>
      </w:r>
      <w:r w:rsidR="00064EB5">
        <w:t xml:space="preserve">a </w:t>
      </w:r>
      <w:r>
        <w:t>New Process for</w:t>
      </w:r>
      <w:r w:rsidR="00AF4E67" w:rsidRPr="00AF4E67">
        <w:t xml:space="preserve"> </w:t>
      </w:r>
      <w:r w:rsidR="00AF4E67">
        <w:t>L</w:t>
      </w:r>
      <w:r w:rsidR="00AF4E67" w:rsidRPr="00AF4E67">
        <w:t xml:space="preserve">ow-carbon </w:t>
      </w:r>
      <w:r w:rsidR="00AF4E67">
        <w:t>F</w:t>
      </w:r>
      <w:r w:rsidR="00AF4E67" w:rsidRPr="00AF4E67">
        <w:t>uel</w:t>
      </w:r>
      <w:r>
        <w:t xml:space="preserve"> Synthesis</w:t>
      </w:r>
    </w:p>
    <w:p w14:paraId="0488FED2" w14:textId="303C34C6" w:rsidR="00B57E6F" w:rsidRPr="00AF4E67" w:rsidRDefault="009825A1" w:rsidP="00B57E6F">
      <w:pPr>
        <w:pStyle w:val="CETAuthors"/>
        <w:rPr>
          <w:lang w:val="it-IT"/>
        </w:rPr>
      </w:pPr>
      <w:r w:rsidRPr="00AF4E67">
        <w:rPr>
          <w:lang w:val="it-IT"/>
        </w:rPr>
        <w:t>Flavio Manenti</w:t>
      </w:r>
      <w:r w:rsidR="00064EB5">
        <w:rPr>
          <w:lang w:val="it-IT"/>
        </w:rPr>
        <w:t>*</w:t>
      </w:r>
      <w:r w:rsidR="000019DF">
        <w:rPr>
          <w:lang w:val="it-IT"/>
        </w:rPr>
        <w:t>, Simone Colombo, Giulia L. Bozzano</w:t>
      </w:r>
    </w:p>
    <w:p w14:paraId="6B2D21B3" w14:textId="19BF21F8" w:rsidR="00B57E6F" w:rsidRPr="009825A1" w:rsidRDefault="009825A1" w:rsidP="00B57E6F">
      <w:pPr>
        <w:pStyle w:val="CETAddress"/>
        <w:rPr>
          <w:lang w:val="it-IT"/>
        </w:rPr>
      </w:pPr>
      <w:r w:rsidRPr="009825A1">
        <w:rPr>
          <w:lang w:val="it-IT"/>
        </w:rPr>
        <w:t>Politecnico di Milano, CMIC Dept. „Giulio Natta“, Piazza Leonardo da Vinci 32, 20133 Milano, Italy</w:t>
      </w:r>
    </w:p>
    <w:p w14:paraId="73F1267A" w14:textId="1EBEF87F" w:rsidR="00B57E6F" w:rsidRPr="00B57B36" w:rsidRDefault="00064EB5" w:rsidP="00B57E6F">
      <w:pPr>
        <w:pStyle w:val="CETemail"/>
      </w:pPr>
      <w:r>
        <w:t xml:space="preserve">* </w:t>
      </w:r>
      <w:hyperlink r:id="rId10" w:history="1">
        <w:r w:rsidRPr="001F776C">
          <w:rPr>
            <w:rStyle w:val="Collegamentoipertestuale"/>
          </w:rPr>
          <w:t>flavio.manenti@polimi.it</w:t>
        </w:r>
      </w:hyperlink>
    </w:p>
    <w:p w14:paraId="504EB074" w14:textId="7135D022" w:rsidR="0097118B" w:rsidRPr="0097118B" w:rsidRDefault="0097118B" w:rsidP="0097118B">
      <w:pPr>
        <w:pStyle w:val="CETBodytext"/>
        <w:rPr>
          <w:lang w:val="en-GB"/>
        </w:rPr>
      </w:pPr>
      <w:r w:rsidRPr="0097118B">
        <w:rPr>
          <w:lang w:val="en-GB"/>
        </w:rPr>
        <w:t>The neutralization of acid gases represents one of the main challenges both in fossil and bio-processes such as refining, natural gas processing, and gasification industries. AG2S™ (Acid Gas to Syngas</w:t>
      </w:r>
      <w:r>
        <w:rPr>
          <w:lang w:val="en-GB"/>
        </w:rPr>
        <w:t>™</w:t>
      </w:r>
      <w:r w:rsidRPr="0097118B">
        <w:rPr>
          <w:lang w:val="en-GB"/>
        </w:rPr>
        <w:t xml:space="preserve">), developed at </w:t>
      </w:r>
      <w:proofErr w:type="spellStart"/>
      <w:r w:rsidRPr="0097118B">
        <w:rPr>
          <w:lang w:val="en-GB"/>
        </w:rPr>
        <w:t>Politecnico</w:t>
      </w:r>
      <w:proofErr w:type="spellEnd"/>
      <w:r w:rsidRPr="0097118B">
        <w:rPr>
          <w:lang w:val="en-GB"/>
        </w:rPr>
        <w:t xml:space="preserve"> di Milano proposes a paradigm shift by transforming H</w:t>
      </w:r>
      <w:r w:rsidRPr="0097118B">
        <w:rPr>
          <w:rFonts w:ascii="Cambria Math" w:hAnsi="Cambria Math" w:cs="Cambria Math"/>
          <w:lang w:val="en-GB"/>
        </w:rPr>
        <w:t>₂</w:t>
      </w:r>
      <w:r w:rsidRPr="0097118B">
        <w:rPr>
          <w:lang w:val="en-GB"/>
        </w:rPr>
        <w:t>S and CO</w:t>
      </w:r>
      <w:r w:rsidRPr="0097118B">
        <w:rPr>
          <w:rFonts w:ascii="Cambria Math" w:hAnsi="Cambria Math" w:cs="Cambria Math"/>
          <w:lang w:val="en-GB"/>
        </w:rPr>
        <w:t>₂</w:t>
      </w:r>
      <w:r w:rsidRPr="0097118B">
        <w:rPr>
          <w:lang w:val="en-GB"/>
        </w:rPr>
        <w:t xml:space="preserve"> from by-products requiring treatment into valuable feedstocks for syngas production.</w:t>
      </w:r>
    </w:p>
    <w:p w14:paraId="75D4211D" w14:textId="28D964F6" w:rsidR="0097118B" w:rsidRPr="0097118B" w:rsidRDefault="0097118B" w:rsidP="0097118B">
      <w:pPr>
        <w:pStyle w:val="CETBodytext"/>
        <w:rPr>
          <w:lang w:val="en-GB"/>
        </w:rPr>
      </w:pPr>
      <w:r w:rsidRPr="0097118B">
        <w:rPr>
          <w:lang w:val="en-GB"/>
        </w:rPr>
        <w:t>The core of the process is a regenerative thermal reactor in which the</w:t>
      </w:r>
      <w:r>
        <w:rPr>
          <w:lang w:val="en-GB"/>
        </w:rPr>
        <w:t xml:space="preserve"> new </w:t>
      </w:r>
      <w:r w:rsidRPr="0097118B">
        <w:rPr>
          <w:lang w:val="en-GB"/>
        </w:rPr>
        <w:t>overall reaction 2 H</w:t>
      </w:r>
      <w:r w:rsidRPr="0097118B">
        <w:rPr>
          <w:rFonts w:ascii="Cambria Math" w:hAnsi="Cambria Math" w:cs="Cambria Math"/>
          <w:lang w:val="en-GB"/>
        </w:rPr>
        <w:t>₂</w:t>
      </w:r>
      <w:r w:rsidRPr="0097118B">
        <w:rPr>
          <w:lang w:val="en-GB"/>
        </w:rPr>
        <w:t>S + CO</w:t>
      </w:r>
      <w:r w:rsidRPr="0097118B">
        <w:rPr>
          <w:rFonts w:ascii="Cambria Math" w:hAnsi="Cambria Math" w:cs="Cambria Math"/>
          <w:lang w:val="en-GB"/>
        </w:rPr>
        <w:t>₂</w:t>
      </w:r>
      <w:r w:rsidRPr="0097118B">
        <w:rPr>
          <w:lang w:val="en-GB"/>
        </w:rPr>
        <w:t xml:space="preserve"> </w:t>
      </w:r>
      <w:r w:rsidRPr="0097118B">
        <w:rPr>
          <w:rFonts w:cs="Arial"/>
          <w:lang w:val="en-GB"/>
        </w:rPr>
        <w:t>→</w:t>
      </w:r>
      <w:r w:rsidRPr="0097118B">
        <w:rPr>
          <w:lang w:val="en-GB"/>
        </w:rPr>
        <w:t xml:space="preserve"> H</w:t>
      </w:r>
      <w:r w:rsidRPr="0097118B">
        <w:rPr>
          <w:rFonts w:ascii="Cambria Math" w:hAnsi="Cambria Math" w:cs="Cambria Math"/>
          <w:lang w:val="en-GB"/>
        </w:rPr>
        <w:t>₂</w:t>
      </w:r>
      <w:r w:rsidRPr="0097118B">
        <w:rPr>
          <w:lang w:val="en-GB"/>
        </w:rPr>
        <w:t xml:space="preserve"> + CO + S</w:t>
      </w:r>
      <w:r w:rsidRPr="0097118B">
        <w:rPr>
          <w:rFonts w:ascii="Cambria Math" w:hAnsi="Cambria Math" w:cs="Cambria Math"/>
          <w:lang w:val="en-GB"/>
        </w:rPr>
        <w:t>₂</w:t>
      </w:r>
      <w:r w:rsidRPr="0097118B">
        <w:rPr>
          <w:lang w:val="en-GB"/>
        </w:rPr>
        <w:t xml:space="preserve"> + H</w:t>
      </w:r>
      <w:r w:rsidRPr="0097118B">
        <w:rPr>
          <w:rFonts w:ascii="Cambria Math" w:hAnsi="Cambria Math" w:cs="Cambria Math"/>
          <w:lang w:val="en-GB"/>
        </w:rPr>
        <w:t>₂</w:t>
      </w:r>
      <w:r w:rsidRPr="0097118B">
        <w:rPr>
          <w:lang w:val="en-GB"/>
        </w:rPr>
        <w:t xml:space="preserve">O takes place. A limited oxygen supply provides the heat required by the </w:t>
      </w:r>
      <w:r w:rsidR="009858DE">
        <w:rPr>
          <w:lang w:val="en-GB"/>
        </w:rPr>
        <w:t xml:space="preserve">endothermic nature of </w:t>
      </w:r>
      <w:r w:rsidRPr="0097118B">
        <w:rPr>
          <w:lang w:val="en-GB"/>
        </w:rPr>
        <w:t xml:space="preserve">reaction, while the separation and recycling of unconverted reactants increase the overall conversion efficiency. Integration with existing Claus units makes AG2S™ process suitable for plant revamping, reducing the environmental impact while simultaneously </w:t>
      </w:r>
      <w:proofErr w:type="spellStart"/>
      <w:r w:rsidRPr="0097118B">
        <w:rPr>
          <w:lang w:val="en-GB"/>
        </w:rPr>
        <w:t>valorizing</w:t>
      </w:r>
      <w:proofErr w:type="spellEnd"/>
      <w:r w:rsidRPr="0097118B">
        <w:rPr>
          <w:lang w:val="en-GB"/>
        </w:rPr>
        <w:t xml:space="preserve"> carbon and </w:t>
      </w:r>
      <w:proofErr w:type="spellStart"/>
      <w:r w:rsidRPr="0097118B">
        <w:rPr>
          <w:lang w:val="en-GB"/>
        </w:rPr>
        <w:t>sulfur</w:t>
      </w:r>
      <w:proofErr w:type="spellEnd"/>
      <w:r w:rsidRPr="0097118B">
        <w:rPr>
          <w:lang w:val="en-GB"/>
        </w:rPr>
        <w:t>. The resulting syngas can be used for the downstream production of hydrogen, methanol,</w:t>
      </w:r>
      <w:r w:rsidR="009858DE">
        <w:rPr>
          <w:lang w:val="en-GB"/>
        </w:rPr>
        <w:t xml:space="preserve"> Sustainable Aviation Fuel (SAF)</w:t>
      </w:r>
      <w:r w:rsidRPr="0097118B">
        <w:rPr>
          <w:lang w:val="en-GB"/>
        </w:rPr>
        <w:t xml:space="preserve"> or other </w:t>
      </w:r>
      <w:r w:rsidR="009858DE">
        <w:rPr>
          <w:lang w:val="en-GB"/>
        </w:rPr>
        <w:t xml:space="preserve">fuels and </w:t>
      </w:r>
      <w:r w:rsidRPr="0097118B">
        <w:rPr>
          <w:lang w:val="en-GB"/>
        </w:rPr>
        <w:t>chemicals, promoting the integration of emission treatment and energy-carrier production.</w:t>
      </w:r>
    </w:p>
    <w:p w14:paraId="60E241E3" w14:textId="4FF92191" w:rsidR="009825A1" w:rsidRDefault="0097118B" w:rsidP="0097118B">
      <w:pPr>
        <w:pStyle w:val="CETBodytext"/>
        <w:rPr>
          <w:lang w:val="en-GB"/>
        </w:rPr>
      </w:pPr>
      <w:r w:rsidRPr="0097118B">
        <w:rPr>
          <w:lang w:val="en-GB"/>
        </w:rPr>
        <w:t>This contribution presents the chemical</w:t>
      </w:r>
      <w:r>
        <w:rPr>
          <w:lang w:val="en-GB"/>
        </w:rPr>
        <w:t xml:space="preserve"> </w:t>
      </w:r>
      <w:r w:rsidRPr="0097118B">
        <w:rPr>
          <w:lang w:val="en-GB"/>
        </w:rPr>
        <w:t>engineering fundamentals of the technology, its main process</w:t>
      </w:r>
      <w:r>
        <w:rPr>
          <w:lang w:val="en-GB"/>
        </w:rPr>
        <w:t xml:space="preserve"> </w:t>
      </w:r>
      <w:r w:rsidRPr="0097118B">
        <w:rPr>
          <w:lang w:val="en-GB"/>
        </w:rPr>
        <w:t xml:space="preserve">design features, and the </w:t>
      </w:r>
      <w:r w:rsidR="009858DE">
        <w:rPr>
          <w:lang w:val="en-GB"/>
        </w:rPr>
        <w:t xml:space="preserve">preliminary </w:t>
      </w:r>
      <w:r w:rsidRPr="0097118B">
        <w:rPr>
          <w:lang w:val="en-GB"/>
        </w:rPr>
        <w:t xml:space="preserve">results of techno-economic feasibility studies, highlighting its potential application in </w:t>
      </w:r>
      <w:r>
        <w:rPr>
          <w:lang w:val="en-GB"/>
        </w:rPr>
        <w:t xml:space="preserve">the production of </w:t>
      </w:r>
      <w:r w:rsidR="000019DF">
        <w:rPr>
          <w:lang w:val="en-GB"/>
        </w:rPr>
        <w:t>l</w:t>
      </w:r>
      <w:r>
        <w:rPr>
          <w:lang w:val="en-GB"/>
        </w:rPr>
        <w:t>ow-carbon fuels by</w:t>
      </w:r>
      <w:r w:rsidRPr="0097118B">
        <w:rPr>
          <w:lang w:val="en-GB"/>
        </w:rPr>
        <w:t xml:space="preserve"> processing </w:t>
      </w:r>
      <w:proofErr w:type="spellStart"/>
      <w:r w:rsidRPr="0097118B">
        <w:rPr>
          <w:lang w:val="en-GB"/>
        </w:rPr>
        <w:t>sulfur</w:t>
      </w:r>
      <w:proofErr w:type="spellEnd"/>
      <w:r w:rsidRPr="0097118B">
        <w:rPr>
          <w:lang w:val="en-GB"/>
        </w:rPr>
        <w:t>-containing feedstocks.</w:t>
      </w:r>
      <w:r>
        <w:rPr>
          <w:lang w:val="en-GB"/>
        </w:rPr>
        <w:t xml:space="preserve"> The case of methanol synthesis and purification at IMPCA standard grade is </w:t>
      </w:r>
      <w:r w:rsidR="009858DE">
        <w:rPr>
          <w:lang w:val="en-GB"/>
        </w:rPr>
        <w:t xml:space="preserve">briefly </w:t>
      </w:r>
      <w:r>
        <w:rPr>
          <w:lang w:val="en-GB"/>
        </w:rPr>
        <w:t>described</w:t>
      </w:r>
      <w:r w:rsidR="009858DE">
        <w:rPr>
          <w:lang w:val="en-GB"/>
        </w:rPr>
        <w:t xml:space="preserve"> and adopted as ideal case-study</w:t>
      </w:r>
      <w:r w:rsidR="000019DF">
        <w:rPr>
          <w:lang w:val="en-GB"/>
        </w:rPr>
        <w:t xml:space="preserve"> to demonstrate the feasibility of acid gas emissions to syngas and, thus, to methanol ad low-carbon fuel</w:t>
      </w:r>
      <w:r>
        <w:rPr>
          <w:lang w:val="en-GB"/>
        </w:rPr>
        <w:t>.</w:t>
      </w:r>
    </w:p>
    <w:p w14:paraId="476B2F2E" w14:textId="77777777" w:rsidR="00600535" w:rsidRPr="00B57B36" w:rsidRDefault="00600535" w:rsidP="00600535">
      <w:pPr>
        <w:pStyle w:val="CETHeading1"/>
        <w:rPr>
          <w:lang w:val="en-GB"/>
        </w:rPr>
      </w:pPr>
      <w:r w:rsidRPr="00B57B36">
        <w:rPr>
          <w:lang w:val="en-GB"/>
        </w:rPr>
        <w:t>Introduction</w:t>
      </w:r>
    </w:p>
    <w:p w14:paraId="1244ADEF" w14:textId="25C6CACE" w:rsidR="00200C65" w:rsidRDefault="00AF4E67" w:rsidP="00AF4E67">
      <w:pPr>
        <w:pStyle w:val="CETListbullets"/>
        <w:ind w:left="0" w:firstLine="0"/>
      </w:pPr>
      <w:r>
        <w:t xml:space="preserve">Hydrogen </w:t>
      </w:r>
      <w:proofErr w:type="spellStart"/>
      <w:r>
        <w:t>sulfide</w:t>
      </w:r>
      <w:proofErr w:type="spellEnd"/>
      <w:r>
        <w:t xml:space="preserve"> is </w:t>
      </w:r>
      <w:r w:rsidR="00200C65">
        <w:t xml:space="preserve">a natural compound in gas fields and anaerobic basins as well as </w:t>
      </w:r>
      <w:r>
        <w:t>an unavoidable</w:t>
      </w:r>
      <w:r w:rsidR="009858DE">
        <w:t xml:space="preserve"> synthetic</w:t>
      </w:r>
      <w:r>
        <w:t xml:space="preserve"> by-product of hydrodesulfurization </w:t>
      </w:r>
      <w:r w:rsidR="00200C65">
        <w:t xml:space="preserve">(of both fossil and bio resources) </w:t>
      </w:r>
      <w:r>
        <w:t>and acid-gas treatment</w:t>
      </w:r>
      <w:r w:rsidR="00D26E65">
        <w:t xml:space="preserve"> (Gupta et al., 2016)</w:t>
      </w:r>
      <w:r>
        <w:t xml:space="preserve">. Conventional </w:t>
      </w:r>
      <w:proofErr w:type="spellStart"/>
      <w:r>
        <w:t>sulfur</w:t>
      </w:r>
      <w:proofErr w:type="spellEnd"/>
      <w:r>
        <w:t xml:space="preserve"> recovery converts H</w:t>
      </w:r>
      <w:r w:rsidRPr="0097118B">
        <w:rPr>
          <w:vertAlign w:val="subscript"/>
        </w:rPr>
        <w:t>2</w:t>
      </w:r>
      <w:r>
        <w:t xml:space="preserve">S into elemental </w:t>
      </w:r>
      <w:proofErr w:type="spellStart"/>
      <w:r>
        <w:t>sulfur</w:t>
      </w:r>
      <w:proofErr w:type="spellEnd"/>
      <w:r w:rsidR="00200C65">
        <w:t xml:space="preserve"> adopting a partial combustion</w:t>
      </w:r>
      <w:r w:rsidR="00F271BD">
        <w:t xml:space="preserve"> (reaction 1) in the order of</w:t>
      </w:r>
      <w:r w:rsidR="00200C65">
        <w:t xml:space="preserve"> one third of the total, within an in-line refractory chamber and </w:t>
      </w:r>
      <w:r w:rsidR="00F271BD">
        <w:t xml:space="preserve">the </w:t>
      </w:r>
      <w:r w:rsidR="00200C65">
        <w:t xml:space="preserve">Claus </w:t>
      </w:r>
      <w:r w:rsidR="00F271BD">
        <w:t xml:space="preserve">synthesis (reaction 2) </w:t>
      </w:r>
      <w:r w:rsidR="00200C65">
        <w:t xml:space="preserve">in a series of catalytic converters according to the </w:t>
      </w:r>
      <w:proofErr w:type="spellStart"/>
      <w:r w:rsidR="00200C65">
        <w:t>sulfur</w:t>
      </w:r>
      <w:proofErr w:type="spellEnd"/>
      <w:r w:rsidR="00200C65">
        <w:t xml:space="preserve"> removal </w:t>
      </w:r>
      <w:r w:rsidR="00F271BD">
        <w:t>target</w:t>
      </w:r>
      <w:r w:rsidR="00860BAF">
        <w:t xml:space="preserve"> (</w:t>
      </w:r>
      <w:proofErr w:type="spellStart"/>
      <w:r w:rsidR="003F7BEE">
        <w:t>Towler</w:t>
      </w:r>
      <w:proofErr w:type="spellEnd"/>
      <w:r w:rsidR="003F7BEE">
        <w:t xml:space="preserve"> and Lynn, 1993; </w:t>
      </w:r>
      <w:r w:rsidR="00860BAF">
        <w:t>Manenti et al., 2014)</w:t>
      </w:r>
      <w:r w:rsidR="00200C65">
        <w:t>:</w:t>
      </w:r>
    </w:p>
    <w:p w14:paraId="51537DD9" w14:textId="77777777" w:rsidR="00200C65" w:rsidRDefault="00200C65" w:rsidP="00AF4E67">
      <w:pPr>
        <w:pStyle w:val="CETListbullets"/>
        <w:ind w:left="0" w:firstLine="0"/>
      </w:pPr>
    </w:p>
    <w:p w14:paraId="7612F2AC" w14:textId="0F9B077D" w:rsidR="00200C65" w:rsidRPr="00200C65" w:rsidRDefault="00200C65" w:rsidP="00AF4E67">
      <w:pPr>
        <w:pStyle w:val="CETListbullets"/>
        <w:ind w:left="0" w:firstLine="0"/>
        <w:rPr>
          <w:i/>
          <w:iCs/>
        </w:rPr>
      </w:pPr>
      <w:r w:rsidRPr="00200C65">
        <w:rPr>
          <w:i/>
          <w:iCs/>
        </w:rPr>
        <w:t xml:space="preserve">(Hydrogen </w:t>
      </w:r>
      <w:proofErr w:type="spellStart"/>
      <w:r w:rsidRPr="00200C65">
        <w:rPr>
          <w:i/>
          <w:iCs/>
        </w:rPr>
        <w:t>sulfide</w:t>
      </w:r>
      <w:proofErr w:type="spellEnd"/>
      <w:r w:rsidRPr="00200C65">
        <w:rPr>
          <w:i/>
          <w:iCs/>
        </w:rPr>
        <w:t xml:space="preserve"> combustion)</w:t>
      </w:r>
    </w:p>
    <w:p w14:paraId="1E460923" w14:textId="77777777" w:rsidR="00200C65" w:rsidRDefault="00200C65" w:rsidP="00200C65">
      <w:pPr>
        <w:pStyle w:val="CETListbullets"/>
        <w:ind w:left="0" w:firstLine="0"/>
      </w:pPr>
      <w:r>
        <w:t>H</w:t>
      </w:r>
      <w:r w:rsidRPr="0097118B">
        <w:rPr>
          <w:vertAlign w:val="subscript"/>
        </w:rPr>
        <w:t>2</w:t>
      </w:r>
      <w:r>
        <w:t>S + 1.5 O</w:t>
      </w:r>
      <w:r w:rsidRPr="0097118B">
        <w:rPr>
          <w:vertAlign w:val="subscript"/>
        </w:rPr>
        <w:t>2</w:t>
      </w:r>
      <w:r>
        <w:t xml:space="preserve"> = SO</w:t>
      </w:r>
      <w:r w:rsidRPr="0097118B">
        <w:rPr>
          <w:vertAlign w:val="subscript"/>
        </w:rPr>
        <w:t>2</w:t>
      </w:r>
      <w:r>
        <w:t xml:space="preserve"> + H</w:t>
      </w:r>
      <w:r w:rsidRPr="0097118B">
        <w:rPr>
          <w:vertAlign w:val="subscript"/>
        </w:rPr>
        <w:t>2</w:t>
      </w:r>
      <w:r>
        <w:t>O</w:t>
      </w:r>
      <w:r>
        <w:tab/>
      </w:r>
      <w:r>
        <w:tab/>
      </w:r>
      <w:r>
        <w:tab/>
      </w:r>
      <w:r>
        <w:tab/>
      </w:r>
      <w:r>
        <w:tab/>
      </w:r>
      <w:r>
        <w:tab/>
      </w:r>
      <w:r>
        <w:tab/>
      </w:r>
      <w:r>
        <w:tab/>
      </w:r>
      <w:r>
        <w:tab/>
      </w:r>
      <w:r>
        <w:tab/>
        <w:t>(1)</w:t>
      </w:r>
    </w:p>
    <w:p w14:paraId="7E9F3382" w14:textId="77777777" w:rsidR="00200C65" w:rsidRDefault="00200C65" w:rsidP="00AF4E67">
      <w:pPr>
        <w:pStyle w:val="CETListbullets"/>
        <w:ind w:left="0" w:firstLine="0"/>
      </w:pPr>
    </w:p>
    <w:p w14:paraId="59242B51" w14:textId="1F00A2BE" w:rsidR="00200C65" w:rsidRPr="00200C65" w:rsidRDefault="00200C65" w:rsidP="00AF4E67">
      <w:pPr>
        <w:pStyle w:val="CETListbullets"/>
        <w:ind w:left="0" w:firstLine="0"/>
        <w:rPr>
          <w:i/>
          <w:iCs/>
        </w:rPr>
      </w:pPr>
      <w:r w:rsidRPr="00200C65">
        <w:rPr>
          <w:i/>
          <w:iCs/>
        </w:rPr>
        <w:t>(Claus reaction</w:t>
      </w:r>
      <w:r w:rsidR="00F271BD">
        <w:rPr>
          <w:i/>
          <w:iCs/>
        </w:rPr>
        <w:t>, S</w:t>
      </w:r>
      <w:r w:rsidR="00F271BD" w:rsidRPr="00F271BD">
        <w:rPr>
          <w:i/>
          <w:iCs/>
          <w:vertAlign w:val="subscript"/>
        </w:rPr>
        <w:t>2</w:t>
      </w:r>
      <w:r w:rsidR="00F271BD">
        <w:rPr>
          <w:i/>
          <w:iCs/>
        </w:rPr>
        <w:t xml:space="preserve"> allotrope only has been considered for the sake of simplicity</w:t>
      </w:r>
      <w:r w:rsidRPr="00200C65">
        <w:rPr>
          <w:i/>
          <w:iCs/>
        </w:rPr>
        <w:t>)</w:t>
      </w:r>
    </w:p>
    <w:p w14:paraId="4A862BB7" w14:textId="682E7EC7" w:rsidR="00200C65" w:rsidRDefault="00200C65" w:rsidP="00AF4E67">
      <w:pPr>
        <w:pStyle w:val="CETListbullets"/>
        <w:ind w:left="0" w:firstLine="0"/>
      </w:pPr>
      <w:r>
        <w:t>2 H</w:t>
      </w:r>
      <w:r w:rsidRPr="00200C65">
        <w:rPr>
          <w:vertAlign w:val="subscript"/>
        </w:rPr>
        <w:t>2</w:t>
      </w:r>
      <w:r>
        <w:t>S + SO</w:t>
      </w:r>
      <w:r w:rsidRPr="00200C65">
        <w:rPr>
          <w:vertAlign w:val="subscript"/>
        </w:rPr>
        <w:t>2</w:t>
      </w:r>
      <w:r>
        <w:t xml:space="preserve"> = 1.5 S</w:t>
      </w:r>
      <w:r w:rsidRPr="00200C65">
        <w:rPr>
          <w:vertAlign w:val="subscript"/>
        </w:rPr>
        <w:t>2</w:t>
      </w:r>
      <w:r>
        <w:t xml:space="preserve"> + 2 H</w:t>
      </w:r>
      <w:r w:rsidRPr="00200C65">
        <w:rPr>
          <w:vertAlign w:val="subscript"/>
        </w:rPr>
        <w:t>2</w:t>
      </w:r>
      <w:r>
        <w:t>O</w:t>
      </w:r>
      <w:r>
        <w:tab/>
      </w:r>
      <w:r>
        <w:tab/>
      </w:r>
      <w:r>
        <w:tab/>
      </w:r>
      <w:r>
        <w:tab/>
      </w:r>
      <w:r>
        <w:tab/>
      </w:r>
      <w:r>
        <w:tab/>
      </w:r>
      <w:r>
        <w:tab/>
      </w:r>
      <w:r>
        <w:tab/>
      </w:r>
      <w:r>
        <w:tab/>
        <w:t>(2)</w:t>
      </w:r>
    </w:p>
    <w:p w14:paraId="4795D5EF" w14:textId="77777777" w:rsidR="00200C65" w:rsidRDefault="00200C65" w:rsidP="00AF4E67">
      <w:pPr>
        <w:pStyle w:val="CETListbullets"/>
        <w:ind w:left="0" w:firstLine="0"/>
      </w:pPr>
    </w:p>
    <w:p w14:paraId="4E78C442" w14:textId="20E7ECE4" w:rsidR="00AF4E67" w:rsidRDefault="00200C65" w:rsidP="00AF4E67">
      <w:pPr>
        <w:pStyle w:val="CETListbullets"/>
        <w:ind w:left="0" w:firstLine="0"/>
      </w:pPr>
      <w:r>
        <w:t>Unfortunately, by doing so,</w:t>
      </w:r>
      <w:r w:rsidR="00AF4E67">
        <w:t xml:space="preserve"> the hydrogen fraction of the molecule is not </w:t>
      </w:r>
      <w:proofErr w:type="spellStart"/>
      <w:r w:rsidR="00AF4E67">
        <w:t>valorized</w:t>
      </w:r>
      <w:proofErr w:type="spellEnd"/>
      <w:r w:rsidR="00F271BD">
        <w:t xml:space="preserve"> and it is fully converted to water</w:t>
      </w:r>
      <w:r w:rsidR="00AF4E67">
        <w:t>. This limitation becomes increasingly relevant as sour feedstocks are processed and as hydrogen efficiency acquires greater economic and environmental importance</w:t>
      </w:r>
      <w:r w:rsidR="00F271BD">
        <w:t xml:space="preserve"> as per energy and environmental transition times</w:t>
      </w:r>
      <w:r w:rsidR="00AF4E67">
        <w:t>. The AG2S</w:t>
      </w:r>
      <w:r w:rsidR="0097118B">
        <w:t>™</w:t>
      </w:r>
      <w:r w:rsidR="00AF4E67">
        <w:t xml:space="preserve"> </w:t>
      </w:r>
      <w:r w:rsidR="00F271BD">
        <w:t>process</w:t>
      </w:r>
      <w:r w:rsidR="00AF4E67">
        <w:t xml:space="preserve"> addresses this issue by using H</w:t>
      </w:r>
      <w:r w:rsidR="00AF4E67" w:rsidRPr="0097118B">
        <w:rPr>
          <w:vertAlign w:val="subscript"/>
        </w:rPr>
        <w:t>2</w:t>
      </w:r>
      <w:r w:rsidR="00AF4E67">
        <w:t xml:space="preserve">S as both a hydrogen source and a </w:t>
      </w:r>
      <w:r w:rsidR="0097118B">
        <w:t xml:space="preserve">(free) </w:t>
      </w:r>
      <w:r w:rsidR="00AF4E67">
        <w:t>reducing agent for CO</w:t>
      </w:r>
      <w:r w:rsidR="00AF4E67" w:rsidRPr="0097118B">
        <w:rPr>
          <w:vertAlign w:val="subscript"/>
        </w:rPr>
        <w:t>2</w:t>
      </w:r>
      <w:r w:rsidR="00AF4E67">
        <w:t xml:space="preserve">, </w:t>
      </w:r>
      <w:r>
        <w:t xml:space="preserve">which is very often co-present in acid gas streams, </w:t>
      </w:r>
      <w:r w:rsidR="00AF4E67">
        <w:t>producing synthesis gas</w:t>
      </w:r>
      <w:r w:rsidR="00F271BD">
        <w:t xml:space="preserve"> (namely, syngas)</w:t>
      </w:r>
      <w:r w:rsidR="00AF4E67">
        <w:t xml:space="preserve"> together with recoverable </w:t>
      </w:r>
      <w:proofErr w:type="spellStart"/>
      <w:r w:rsidR="00AF4E67">
        <w:t>sulfur</w:t>
      </w:r>
      <w:proofErr w:type="spellEnd"/>
      <w:r w:rsidR="00F271BD">
        <w:t xml:space="preserve"> and water</w:t>
      </w:r>
      <w:r w:rsidR="00AF4E67">
        <w:t>.</w:t>
      </w:r>
    </w:p>
    <w:p w14:paraId="5EB054FE" w14:textId="57D48AC1" w:rsidR="00F314FE" w:rsidRDefault="00F271BD" w:rsidP="00AF4E67">
      <w:pPr>
        <w:pStyle w:val="CETListbullets"/>
        <w:ind w:left="0" w:firstLine="0"/>
      </w:pPr>
      <w:r>
        <w:t>AG2S™ process</w:t>
      </w:r>
      <w:r w:rsidR="00AF4E67">
        <w:t xml:space="preserve"> differs from the conventional </w:t>
      </w:r>
      <w:proofErr w:type="spellStart"/>
      <w:r w:rsidR="0097118B">
        <w:t>Sulfur</w:t>
      </w:r>
      <w:proofErr w:type="spellEnd"/>
      <w:r w:rsidR="0097118B">
        <w:t xml:space="preserve"> Recovery Units (SRUs), mainly </w:t>
      </w:r>
      <w:r>
        <w:t xml:space="preserve">implemented as </w:t>
      </w:r>
      <w:r w:rsidR="00AF4E67">
        <w:t>Claus</w:t>
      </w:r>
      <w:r w:rsidR="0097118B">
        <w:t xml:space="preserve"> processes, </w:t>
      </w:r>
      <w:r w:rsidR="00AF4E67">
        <w:t xml:space="preserve">because the target is not only </w:t>
      </w:r>
      <w:proofErr w:type="spellStart"/>
      <w:r w:rsidR="00AF4E67">
        <w:t>sulfur</w:t>
      </w:r>
      <w:proofErr w:type="spellEnd"/>
      <w:r w:rsidR="00AF4E67">
        <w:t xml:space="preserve"> recovery. A controlled fraction of H</w:t>
      </w:r>
      <w:r w:rsidR="00AF4E67" w:rsidRPr="0097118B">
        <w:rPr>
          <w:vertAlign w:val="subscript"/>
        </w:rPr>
        <w:t>2</w:t>
      </w:r>
      <w:r w:rsidR="00AF4E67">
        <w:t xml:space="preserve">S is </w:t>
      </w:r>
      <w:r w:rsidR="00200C65">
        <w:t xml:space="preserve">still </w:t>
      </w:r>
      <w:r w:rsidR="00AF4E67">
        <w:t>oxidized</w:t>
      </w:r>
      <w:r w:rsidR="00200C65">
        <w:t xml:space="preserve"> as per </w:t>
      </w:r>
      <w:r w:rsidR="00200C65">
        <w:lastRenderedPageBreak/>
        <w:t>Claus process</w:t>
      </w:r>
      <w:r w:rsidR="00D26E65">
        <w:t xml:space="preserve"> (reaction 1)</w:t>
      </w:r>
      <w:r w:rsidR="00200C65">
        <w:t xml:space="preserve">, but </w:t>
      </w:r>
      <w:r w:rsidR="00D26E65">
        <w:t xml:space="preserve">using pure oxygen rather than combustion air and </w:t>
      </w:r>
      <w:r>
        <w:t xml:space="preserve">using a smaller </w:t>
      </w:r>
      <w:r w:rsidR="00D26E65">
        <w:t xml:space="preserve">amount of </w:t>
      </w:r>
      <w:r w:rsidR="00F314FE">
        <w:t>oxygen</w:t>
      </w:r>
      <w:r w:rsidR="00D26E65">
        <w:t xml:space="preserve"> </w:t>
      </w:r>
      <w:r>
        <w:t xml:space="preserve">with respect to the stoichiometric </w:t>
      </w:r>
      <w:r w:rsidR="00D26E65">
        <w:t>one third</w:t>
      </w:r>
      <w:r>
        <w:t xml:space="preserve"> adopted in traditional processes</w:t>
      </w:r>
      <w:r w:rsidR="00D26E65">
        <w:t>. Typical amount of oxygen</w:t>
      </w:r>
      <w:r>
        <w:t>, in fact,</w:t>
      </w:r>
      <w:r w:rsidR="00D26E65">
        <w:t xml:space="preserve"> varies between 5-25%v</w:t>
      </w:r>
      <w:r>
        <w:t xml:space="preserve"> and the optimal injection varies</w:t>
      </w:r>
      <w:r w:rsidR="00D26E65">
        <w:t xml:space="preserve"> according to </w:t>
      </w:r>
      <w:r>
        <w:t xml:space="preserve">different compositions of the </w:t>
      </w:r>
      <w:r w:rsidR="00D26E65">
        <w:t>feedstock</w:t>
      </w:r>
      <w:r>
        <w:t xml:space="preserve"> (</w:t>
      </w:r>
      <w:r w:rsidRPr="00F271BD">
        <w:rPr>
          <w:i/>
          <w:iCs/>
        </w:rPr>
        <w:t>e.g.</w:t>
      </w:r>
      <w:r>
        <w:t>, presence of ammonia) and, therefore,</w:t>
      </w:r>
      <w:r w:rsidR="00D26E65">
        <w:t xml:space="preserve"> the </w:t>
      </w:r>
      <w:r>
        <w:t>o</w:t>
      </w:r>
      <w:r w:rsidR="00D26E65">
        <w:t>ptimal temperature to be achieved in the thermal chamber</w:t>
      </w:r>
      <w:r>
        <w:t xml:space="preserve"> to destroy all the impur</w:t>
      </w:r>
      <w:r w:rsidR="001239B2">
        <w:t>i</w:t>
      </w:r>
      <w:r>
        <w:t>t</w:t>
      </w:r>
      <w:r w:rsidR="001239B2">
        <w:t>i</w:t>
      </w:r>
      <w:r>
        <w:t>es</w:t>
      </w:r>
      <w:r w:rsidR="001239B2">
        <w:t xml:space="preserve"> and simultaneously providing the appropriate</w:t>
      </w:r>
      <w:r w:rsidR="00D26E65">
        <w:t xml:space="preserve"> heat</w:t>
      </w:r>
      <w:r w:rsidR="00AF4E67">
        <w:t xml:space="preserve"> required by endothermic H</w:t>
      </w:r>
      <w:r w:rsidR="00AF4E67" w:rsidRPr="0097118B">
        <w:rPr>
          <w:vertAlign w:val="subscript"/>
        </w:rPr>
        <w:t>2</w:t>
      </w:r>
      <w:r w:rsidR="00AF4E67">
        <w:t>S splitting and CO</w:t>
      </w:r>
      <w:r w:rsidR="00AF4E67" w:rsidRPr="0097118B">
        <w:rPr>
          <w:vertAlign w:val="subscript"/>
        </w:rPr>
        <w:t>2</w:t>
      </w:r>
      <w:r w:rsidR="00AF4E67">
        <w:t xml:space="preserve"> reduction</w:t>
      </w:r>
      <w:r w:rsidR="00D26E65">
        <w:t xml:space="preserve"> of the overall AG2S™ reaction</w:t>
      </w:r>
      <w:r w:rsidR="00F314FE">
        <w:t>:</w:t>
      </w:r>
    </w:p>
    <w:p w14:paraId="418DB47F" w14:textId="77777777" w:rsidR="00F314FE" w:rsidRDefault="00F314FE" w:rsidP="00AF4E67">
      <w:pPr>
        <w:pStyle w:val="CETListbullets"/>
        <w:ind w:left="0" w:firstLine="0"/>
      </w:pPr>
    </w:p>
    <w:p w14:paraId="117BEEB4" w14:textId="1030FCDB" w:rsidR="00F314FE" w:rsidRPr="00F314FE" w:rsidRDefault="00F314FE" w:rsidP="00AF4E67">
      <w:pPr>
        <w:pStyle w:val="CETListbullets"/>
        <w:ind w:left="0" w:firstLine="0"/>
        <w:rPr>
          <w:i/>
          <w:iCs/>
        </w:rPr>
      </w:pPr>
      <w:r w:rsidRPr="00F314FE">
        <w:rPr>
          <w:i/>
          <w:iCs/>
        </w:rPr>
        <w:t>(Overall AG2S™ reaction replacing Claus thermal step)</w:t>
      </w:r>
    </w:p>
    <w:p w14:paraId="42611CA6" w14:textId="0F12D4C0" w:rsidR="00F314FE" w:rsidRDefault="00F314FE" w:rsidP="00AF4E67">
      <w:pPr>
        <w:pStyle w:val="CETListbullets"/>
        <w:ind w:left="0" w:firstLine="0"/>
      </w:pPr>
      <w:r>
        <w:t>2 H</w:t>
      </w:r>
      <w:r w:rsidRPr="00F314FE">
        <w:rPr>
          <w:vertAlign w:val="subscript"/>
        </w:rPr>
        <w:t>2</w:t>
      </w:r>
      <w:r>
        <w:t>S + CO</w:t>
      </w:r>
      <w:r w:rsidRPr="00F314FE">
        <w:rPr>
          <w:vertAlign w:val="subscript"/>
        </w:rPr>
        <w:t>2</w:t>
      </w:r>
      <w:r>
        <w:t xml:space="preserve"> = H</w:t>
      </w:r>
      <w:r w:rsidRPr="00F314FE">
        <w:rPr>
          <w:vertAlign w:val="subscript"/>
        </w:rPr>
        <w:t>2</w:t>
      </w:r>
      <w:r>
        <w:t xml:space="preserve"> + CO + S</w:t>
      </w:r>
      <w:r w:rsidRPr="00F314FE">
        <w:rPr>
          <w:vertAlign w:val="subscript"/>
        </w:rPr>
        <w:t>2</w:t>
      </w:r>
      <w:r>
        <w:t xml:space="preserve"> + H</w:t>
      </w:r>
      <w:r w:rsidRPr="00F314FE">
        <w:rPr>
          <w:vertAlign w:val="subscript"/>
        </w:rPr>
        <w:t>2</w:t>
      </w:r>
      <w:r>
        <w:t>O</w:t>
      </w:r>
      <w:r>
        <w:tab/>
      </w:r>
      <w:r>
        <w:tab/>
      </w:r>
      <w:r>
        <w:tab/>
      </w:r>
      <w:r>
        <w:tab/>
      </w:r>
      <w:r>
        <w:tab/>
      </w:r>
      <w:r>
        <w:tab/>
      </w:r>
      <w:r>
        <w:tab/>
      </w:r>
      <w:r>
        <w:tab/>
      </w:r>
      <w:r>
        <w:tab/>
        <w:t>(</w:t>
      </w:r>
      <w:r w:rsidR="00D26E65">
        <w:t>3</w:t>
      </w:r>
      <w:r>
        <w:t>)</w:t>
      </w:r>
    </w:p>
    <w:p w14:paraId="2AA447F9" w14:textId="278D2A2A" w:rsidR="00F314FE" w:rsidRDefault="00F314FE" w:rsidP="00AF4E67">
      <w:pPr>
        <w:pStyle w:val="CETListbullets"/>
        <w:ind w:left="0" w:firstLine="0"/>
      </w:pPr>
    </w:p>
    <w:p w14:paraId="0A0DF1E5" w14:textId="5FF6FB21" w:rsidR="00AF4E67" w:rsidRDefault="00D14CDC" w:rsidP="00AF4E67">
      <w:pPr>
        <w:pStyle w:val="CETListbullets"/>
        <w:ind w:left="0" w:firstLine="0"/>
      </w:pPr>
      <w:r>
        <w:t xml:space="preserve">Reaction (3) </w:t>
      </w:r>
      <w:r w:rsidR="001239B2">
        <w:t xml:space="preserve">condenses the </w:t>
      </w:r>
      <w:r>
        <w:t>neutraliz</w:t>
      </w:r>
      <w:r w:rsidR="001239B2">
        <w:t>ation of</w:t>
      </w:r>
      <w:r>
        <w:t xml:space="preserve"> H</w:t>
      </w:r>
      <w:r w:rsidRPr="00D14CDC">
        <w:rPr>
          <w:vertAlign w:val="subscript"/>
        </w:rPr>
        <w:t>2</w:t>
      </w:r>
      <w:r>
        <w:t xml:space="preserve">S and </w:t>
      </w:r>
      <w:r w:rsidR="001239B2">
        <w:t xml:space="preserve">the reduction of </w:t>
      </w:r>
      <w:r>
        <w:t>CO</w:t>
      </w:r>
      <w:r w:rsidRPr="00D14CDC">
        <w:rPr>
          <w:vertAlign w:val="subscript"/>
        </w:rPr>
        <w:t>2</w:t>
      </w:r>
      <w:r>
        <w:t xml:space="preserve"> without any exploitation of </w:t>
      </w:r>
      <w:r w:rsidR="001239B2">
        <w:t>re</w:t>
      </w:r>
      <w:r>
        <w:t>sources and consuming a minor injection of oxygen for energy self-sustainability</w:t>
      </w:r>
      <w:r w:rsidR="001239B2">
        <w:t xml:space="preserve"> according to the exothermic nature of reaction 1</w:t>
      </w:r>
      <w:r>
        <w:t xml:space="preserve">. </w:t>
      </w:r>
      <w:r w:rsidR="00AF4E67">
        <w:t xml:space="preserve">The resulting </w:t>
      </w:r>
      <w:r>
        <w:t>syngas (</w:t>
      </w:r>
      <w:r w:rsidR="00AF4E67">
        <w:t>H</w:t>
      </w:r>
      <w:r w:rsidR="00AF4E67" w:rsidRPr="00D14CDC">
        <w:rPr>
          <w:vertAlign w:val="subscript"/>
        </w:rPr>
        <w:t>2</w:t>
      </w:r>
      <w:r w:rsidR="00AF4E67">
        <w:t xml:space="preserve"> and CO</w:t>
      </w:r>
      <w:r w:rsidR="001239B2">
        <w:t xml:space="preserve"> mixture</w:t>
      </w:r>
      <w:r>
        <w:t>)</w:t>
      </w:r>
      <w:r w:rsidR="00AF4E67">
        <w:t xml:space="preserve"> can subsequently be used as intermediate for fuels</w:t>
      </w:r>
      <w:r>
        <w:t xml:space="preserve"> or</w:t>
      </w:r>
      <w:r w:rsidR="00AF4E67">
        <w:t xml:space="preserve"> chemical</w:t>
      </w:r>
      <w:r>
        <w:t xml:space="preserve"> syntheses apart from conditioning and cleaning by shift reaction and carbon capture technologies</w:t>
      </w:r>
      <w:r w:rsidR="00AF4E67">
        <w:t xml:space="preserve">. Previous </w:t>
      </w:r>
      <w:r w:rsidR="001239B2">
        <w:t xml:space="preserve">studies on </w:t>
      </w:r>
      <w:r w:rsidR="00AF4E67">
        <w:t>AG2S</w:t>
      </w:r>
      <w:r>
        <w:t>™</w:t>
      </w:r>
      <w:r w:rsidR="00AF4E67">
        <w:t xml:space="preserve"> </w:t>
      </w:r>
      <w:r w:rsidR="001239B2">
        <w:t>process confirmed</w:t>
      </w:r>
      <w:r w:rsidR="00AF4E67">
        <w:t xml:space="preserve"> feasibility</w:t>
      </w:r>
      <w:r w:rsidR="001239B2">
        <w:t xml:space="preserve"> and appeal</w:t>
      </w:r>
      <w:r w:rsidR="00AF4E67">
        <w:t xml:space="preserve"> of its integration with </w:t>
      </w:r>
      <w:proofErr w:type="spellStart"/>
      <w:r w:rsidR="00AF4E67">
        <w:t>sulfur</w:t>
      </w:r>
      <w:proofErr w:type="spellEnd"/>
      <w:r w:rsidR="00AF4E67">
        <w:t xml:space="preserve"> chemistry</w:t>
      </w:r>
      <w:r w:rsidR="001239B2">
        <w:t>,</w:t>
      </w:r>
      <w:r>
        <w:t xml:space="preserve"> pilot tests and industrial campaigns</w:t>
      </w:r>
      <w:r w:rsidR="001239B2">
        <w:t>,</w:t>
      </w:r>
      <w:r>
        <w:t xml:space="preserve"> demonstrat</w:t>
      </w:r>
      <w:r w:rsidR="001239B2">
        <w:t>ing</w:t>
      </w:r>
      <w:r>
        <w:t xml:space="preserve"> technology robustness</w:t>
      </w:r>
      <w:r w:rsidR="001239B2">
        <w:t xml:space="preserve"> and readiness for industrial deployment</w:t>
      </w:r>
      <w:r w:rsidR="00AF4E67">
        <w:t>.</w:t>
      </w:r>
    </w:p>
    <w:p w14:paraId="5E9C7518" w14:textId="328CF4F7" w:rsidR="009825A1" w:rsidRDefault="00AF4E67" w:rsidP="00AF4E67">
      <w:pPr>
        <w:pStyle w:val="CETListbullets"/>
        <w:ind w:left="0" w:firstLine="0"/>
      </w:pPr>
      <w:r>
        <w:t>The objective of this contribution is consequently twofold: to provide a compact description of the AG2S</w:t>
      </w:r>
      <w:r w:rsidR="001239B2">
        <w:t>™</w:t>
      </w:r>
      <w:r>
        <w:t xml:space="preserve"> </w:t>
      </w:r>
      <w:r w:rsidR="001239B2">
        <w:t xml:space="preserve">process </w:t>
      </w:r>
      <w:r>
        <w:t xml:space="preserve">operating window and </w:t>
      </w:r>
      <w:r w:rsidR="001239B2">
        <w:t xml:space="preserve">approach </w:t>
      </w:r>
      <w:r w:rsidR="00D14CDC">
        <w:t xml:space="preserve">the production of methanol starting from </w:t>
      </w:r>
      <w:r w:rsidR="001239B2">
        <w:t>acid gases</w:t>
      </w:r>
      <w:r>
        <w:t xml:space="preserve">. Particular attention is paid to </w:t>
      </w:r>
      <w:r w:rsidR="001239B2">
        <w:t xml:space="preserve">preliminary </w:t>
      </w:r>
      <w:r>
        <w:t>quantitative operating</w:t>
      </w:r>
      <w:r w:rsidR="00D14CDC">
        <w:t xml:space="preserve"> and economic</w:t>
      </w:r>
      <w:r>
        <w:t xml:space="preserve"> targets.</w:t>
      </w:r>
    </w:p>
    <w:p w14:paraId="5741900F" w14:textId="4309A3FD" w:rsidR="00453E24" w:rsidRDefault="00AF4E67" w:rsidP="00453E24">
      <w:pPr>
        <w:pStyle w:val="CETHeading1"/>
      </w:pPr>
      <w:r>
        <w:t>Process Configuration</w:t>
      </w:r>
    </w:p>
    <w:p w14:paraId="473594AC" w14:textId="083AB229" w:rsidR="009825A1" w:rsidRDefault="001239B2" w:rsidP="00453E24">
      <w:pPr>
        <w:pStyle w:val="CETBodytext"/>
      </w:pPr>
      <w:r>
        <w:t>AG2S™</w:t>
      </w:r>
      <w:r w:rsidR="00AF4E67" w:rsidRPr="00AF4E67">
        <w:t xml:space="preserve"> process is </w:t>
      </w:r>
      <w:r>
        <w:t>focused</w:t>
      </w:r>
      <w:r w:rsidR="00AF4E67" w:rsidRPr="00AF4E67">
        <w:t xml:space="preserve"> on a </w:t>
      </w:r>
      <w:r w:rsidR="00D14CDC">
        <w:t>R</w:t>
      </w:r>
      <w:r w:rsidR="00AF4E67" w:rsidRPr="00AF4E67">
        <w:t xml:space="preserve">egenerative </w:t>
      </w:r>
      <w:r w:rsidR="00D14CDC">
        <w:t>T</w:t>
      </w:r>
      <w:r w:rsidR="00AF4E67" w:rsidRPr="00AF4E67">
        <w:t xml:space="preserve">hermal </w:t>
      </w:r>
      <w:r w:rsidR="00D14CDC">
        <w:t>R</w:t>
      </w:r>
      <w:r w:rsidR="00AF4E67" w:rsidRPr="00AF4E67">
        <w:t>eactor (RTR) comprising feed preheating, a high-temperature combustion zone and rapid heat recovery</w:t>
      </w:r>
      <w:r w:rsidR="00D14CDC">
        <w:t xml:space="preserve"> (Figure 1)</w:t>
      </w:r>
      <w:r w:rsidR="00AF4E67" w:rsidRPr="00AF4E67">
        <w:t>. Acid gas containing H</w:t>
      </w:r>
      <w:r w:rsidR="00AF4E67" w:rsidRPr="00D14CDC">
        <w:rPr>
          <w:vertAlign w:val="subscript"/>
        </w:rPr>
        <w:t>2</w:t>
      </w:r>
      <w:r w:rsidR="00AF4E67" w:rsidRPr="00AF4E67">
        <w:t>S and CO</w:t>
      </w:r>
      <w:r w:rsidR="00AF4E67" w:rsidRPr="00D14CDC">
        <w:rPr>
          <w:vertAlign w:val="subscript"/>
        </w:rPr>
        <w:t>2</w:t>
      </w:r>
      <w:r w:rsidR="00AF4E67" w:rsidRPr="00AF4E67">
        <w:t xml:space="preserve"> is preheated to approximately 700 °C by exchanging heat with the reactor effluent. Oxygen is then introduced to raise the furnace temperature to the 1150–1350 °C range. Partial H</w:t>
      </w:r>
      <w:r w:rsidR="00AF4E67" w:rsidRPr="00D14CDC">
        <w:rPr>
          <w:vertAlign w:val="subscript"/>
        </w:rPr>
        <w:t>2</w:t>
      </w:r>
      <w:r w:rsidR="00AF4E67" w:rsidRPr="00AF4E67">
        <w:t>S oxidation</w:t>
      </w:r>
      <w:r>
        <w:t xml:space="preserve"> (reaction 1)</w:t>
      </w:r>
      <w:r w:rsidR="00AF4E67" w:rsidRPr="00AF4E67">
        <w:t xml:space="preserve"> supplies the thermal duty, while H</w:t>
      </w:r>
      <w:r w:rsidR="00AF4E67" w:rsidRPr="00D14CDC">
        <w:rPr>
          <w:vertAlign w:val="subscript"/>
        </w:rPr>
        <w:t>2</w:t>
      </w:r>
      <w:r w:rsidR="00AF4E67" w:rsidRPr="00AF4E67">
        <w:t xml:space="preserve">S pyrolysis and the global oxy-reduction chemistry generate hydrogen and carbon </w:t>
      </w:r>
      <w:r w:rsidR="00AF4E67" w:rsidRPr="00D14CDC">
        <w:t>monoxide</w:t>
      </w:r>
      <w:r w:rsidR="00D14CDC" w:rsidRPr="00D14CDC">
        <w:t xml:space="preserve"> as per reaction (</w:t>
      </w:r>
      <w:r w:rsidR="00D14CDC">
        <w:t>3</w:t>
      </w:r>
      <w:r w:rsidR="00D14CDC" w:rsidRPr="00D14CDC">
        <w:t>)</w:t>
      </w:r>
      <w:r w:rsidR="00AF4E67" w:rsidRPr="00AF4E67">
        <w:t>. Detailed sulfur kinetics are required because COS, CS</w:t>
      </w:r>
      <w:r w:rsidR="00AF4E67" w:rsidRPr="005141B8">
        <w:rPr>
          <w:vertAlign w:val="subscript"/>
        </w:rPr>
        <w:t>2</w:t>
      </w:r>
      <w:r w:rsidR="00AF4E67" w:rsidRPr="00AF4E67">
        <w:t xml:space="preserve"> and sulfur allotropes influence both conversion and downstream purification (Manenti et al., 2013).</w:t>
      </w:r>
    </w:p>
    <w:p w14:paraId="7562DB9E" w14:textId="70F05B3D" w:rsidR="005141B8" w:rsidRPr="00AF4E67" w:rsidRDefault="005141B8" w:rsidP="005141B8">
      <w:pPr>
        <w:pStyle w:val="CETBodytext"/>
        <w:rPr>
          <w:lang w:val="en-GB"/>
        </w:rPr>
      </w:pPr>
      <w:r w:rsidRPr="00AF4E67">
        <w:rPr>
          <w:lang w:val="en-GB"/>
        </w:rPr>
        <w:t xml:space="preserve">The reactor effluent must be quenched rapidly to approximately 900 °C to suppress </w:t>
      </w:r>
      <w:r>
        <w:rPr>
          <w:lang w:val="en-GB"/>
        </w:rPr>
        <w:t xml:space="preserve">relevant </w:t>
      </w:r>
      <w:r w:rsidRPr="00AF4E67">
        <w:rPr>
          <w:lang w:val="en-GB"/>
        </w:rPr>
        <w:t>recombination of H</w:t>
      </w:r>
      <w:r w:rsidRPr="005141B8">
        <w:rPr>
          <w:vertAlign w:val="subscript"/>
          <w:lang w:val="en-GB"/>
        </w:rPr>
        <w:t>2</w:t>
      </w:r>
      <w:r w:rsidRPr="00AF4E67">
        <w:rPr>
          <w:lang w:val="en-GB"/>
        </w:rPr>
        <w:t xml:space="preserve"> with </w:t>
      </w:r>
      <w:proofErr w:type="spellStart"/>
      <w:r w:rsidRPr="00AF4E67">
        <w:rPr>
          <w:lang w:val="en-GB"/>
        </w:rPr>
        <w:t>sulfur</w:t>
      </w:r>
      <w:proofErr w:type="spellEnd"/>
      <w:r>
        <w:rPr>
          <w:lang w:val="en-GB"/>
        </w:rPr>
        <w:t xml:space="preserve"> to give back H</w:t>
      </w:r>
      <w:r w:rsidRPr="005141B8">
        <w:rPr>
          <w:vertAlign w:val="subscript"/>
          <w:lang w:val="en-GB"/>
        </w:rPr>
        <w:t>2</w:t>
      </w:r>
      <w:r>
        <w:rPr>
          <w:lang w:val="en-GB"/>
        </w:rPr>
        <w:t>S</w:t>
      </w:r>
      <w:r w:rsidRPr="00AF4E67">
        <w:rPr>
          <w:lang w:val="en-GB"/>
        </w:rPr>
        <w:t xml:space="preserve"> and to limit COS formation. Heat is recovered in a waste heat boiler and in the gas/gas exchanger</w:t>
      </w:r>
      <w:r>
        <w:rPr>
          <w:lang w:val="en-GB"/>
        </w:rPr>
        <w:t xml:space="preserve"> acting as energy recuperator</w:t>
      </w:r>
      <w:r w:rsidRPr="00AF4E67">
        <w:rPr>
          <w:lang w:val="en-GB"/>
        </w:rPr>
        <w:t xml:space="preserve">. </w:t>
      </w:r>
      <w:r w:rsidR="001239B2">
        <w:rPr>
          <w:lang w:val="en-GB"/>
        </w:rPr>
        <w:t xml:space="preserve">It is worth noting that the waste heat boiler is </w:t>
      </w:r>
      <w:r w:rsidR="00703CEA">
        <w:rPr>
          <w:lang w:val="en-GB"/>
        </w:rPr>
        <w:t xml:space="preserve">recovering much less duty with respect to traditional processes. </w:t>
      </w:r>
      <w:r w:rsidRPr="00AF4E67">
        <w:rPr>
          <w:lang w:val="en-GB"/>
        </w:rPr>
        <w:t xml:space="preserve">The </w:t>
      </w:r>
      <w:r>
        <w:rPr>
          <w:lang w:val="en-GB"/>
        </w:rPr>
        <w:t xml:space="preserve">produced syngas, must undergo a deep cleaning after </w:t>
      </w:r>
      <w:r w:rsidRPr="00AF4E67">
        <w:rPr>
          <w:lang w:val="en-GB"/>
        </w:rPr>
        <w:t>cool</w:t>
      </w:r>
      <w:r>
        <w:rPr>
          <w:lang w:val="en-GB"/>
        </w:rPr>
        <w:t>ing. A</w:t>
      </w:r>
      <w:r w:rsidRPr="00AF4E67">
        <w:rPr>
          <w:lang w:val="en-GB"/>
        </w:rPr>
        <w:t xml:space="preserve"> catalytic section </w:t>
      </w:r>
      <w:r w:rsidR="00703CEA">
        <w:rPr>
          <w:lang w:val="en-GB"/>
        </w:rPr>
        <w:t>is required for three different targets:</w:t>
      </w:r>
      <w:r w:rsidRPr="00AF4E67">
        <w:rPr>
          <w:lang w:val="en-GB"/>
        </w:rPr>
        <w:t xml:space="preserve"> </w:t>
      </w:r>
      <w:r w:rsidR="00703CEA">
        <w:rPr>
          <w:lang w:val="en-GB"/>
        </w:rPr>
        <w:t xml:space="preserve">the removal of small amount of </w:t>
      </w:r>
      <w:r w:rsidR="00703CEA" w:rsidRPr="00AF4E67">
        <w:rPr>
          <w:lang w:val="en-GB"/>
        </w:rPr>
        <w:t>SO</w:t>
      </w:r>
      <w:r w:rsidR="00703CEA" w:rsidRPr="005141B8">
        <w:rPr>
          <w:vertAlign w:val="subscript"/>
          <w:lang w:val="en-GB"/>
        </w:rPr>
        <w:t>2</w:t>
      </w:r>
      <w:r w:rsidR="00703CEA" w:rsidRPr="00AF4E67">
        <w:rPr>
          <w:lang w:val="en-GB"/>
        </w:rPr>
        <w:t xml:space="preserve"> </w:t>
      </w:r>
      <w:r w:rsidR="00703CEA">
        <w:rPr>
          <w:lang w:val="en-GB"/>
        </w:rPr>
        <w:t xml:space="preserve">generated by oxygen injection; which is possible adopting reaction 2 over alumina filling; the hydrolysis of </w:t>
      </w:r>
      <w:proofErr w:type="spellStart"/>
      <w:r w:rsidRPr="00AF4E67">
        <w:rPr>
          <w:lang w:val="en-GB"/>
        </w:rPr>
        <w:t>sulfur</w:t>
      </w:r>
      <w:proofErr w:type="spellEnd"/>
      <w:r>
        <w:rPr>
          <w:lang w:val="en-GB"/>
        </w:rPr>
        <w:t xml:space="preserve"> and organo-</w:t>
      </w:r>
      <w:proofErr w:type="spellStart"/>
      <w:r>
        <w:rPr>
          <w:lang w:val="en-GB"/>
        </w:rPr>
        <w:t>sulfur</w:t>
      </w:r>
      <w:proofErr w:type="spellEnd"/>
      <w:r w:rsidRPr="00AF4E67">
        <w:rPr>
          <w:lang w:val="en-GB"/>
        </w:rPr>
        <w:t xml:space="preserve"> compounds</w:t>
      </w:r>
      <w:r w:rsidR="00703CEA">
        <w:rPr>
          <w:lang w:val="en-GB"/>
        </w:rPr>
        <w:t xml:space="preserve">, which is possible by means commercial catalysts and dedicated converter; and the removal of persisting </w:t>
      </w:r>
      <w:proofErr w:type="spellStart"/>
      <w:r w:rsidR="00703CEA">
        <w:rPr>
          <w:lang w:val="en-GB"/>
        </w:rPr>
        <w:t>sulfur</w:t>
      </w:r>
      <w:proofErr w:type="spellEnd"/>
      <w:r w:rsidR="00703CEA">
        <w:rPr>
          <w:lang w:val="en-GB"/>
        </w:rPr>
        <w:t xml:space="preserve"> </w:t>
      </w:r>
      <w:proofErr w:type="spellStart"/>
      <w:r w:rsidR="00703CEA">
        <w:rPr>
          <w:lang w:val="en-GB"/>
        </w:rPr>
        <w:t>vapors</w:t>
      </w:r>
      <w:proofErr w:type="spellEnd"/>
      <w:r w:rsidR="00703CEA">
        <w:rPr>
          <w:lang w:val="en-GB"/>
        </w:rPr>
        <w:t xml:space="preserve"> by means of hydrogenation step, which is also well-</w:t>
      </w:r>
      <w:proofErr w:type="spellStart"/>
      <w:r w:rsidR="00703CEA">
        <w:rPr>
          <w:lang w:val="en-GB"/>
        </w:rPr>
        <w:t>know</w:t>
      </w:r>
      <w:proofErr w:type="spellEnd"/>
      <w:r w:rsidR="00703CEA">
        <w:rPr>
          <w:lang w:val="en-GB"/>
        </w:rPr>
        <w:t xml:space="preserve"> step</w:t>
      </w:r>
      <w:r w:rsidRPr="00AF4E67">
        <w:rPr>
          <w:lang w:val="en-GB"/>
        </w:rPr>
        <w:t xml:space="preserve">. Condensation separates water and </w:t>
      </w:r>
      <w:proofErr w:type="spellStart"/>
      <w:r w:rsidRPr="00AF4E67">
        <w:rPr>
          <w:lang w:val="en-GB"/>
        </w:rPr>
        <w:t>sulfur</w:t>
      </w:r>
      <w:proofErr w:type="spellEnd"/>
      <w:r>
        <w:rPr>
          <w:lang w:val="en-GB"/>
        </w:rPr>
        <w:t xml:space="preserve"> from syngas, wh</w:t>
      </w:r>
      <w:r w:rsidR="00703CEA">
        <w:rPr>
          <w:lang w:val="en-GB"/>
        </w:rPr>
        <w:t>ereas</w:t>
      </w:r>
      <w:r>
        <w:rPr>
          <w:lang w:val="en-GB"/>
        </w:rPr>
        <w:t xml:space="preserve"> r</w:t>
      </w:r>
      <w:r w:rsidRPr="00AF4E67">
        <w:rPr>
          <w:lang w:val="en-GB"/>
        </w:rPr>
        <w:t>esidual H</w:t>
      </w:r>
      <w:r w:rsidRPr="005141B8">
        <w:rPr>
          <w:vertAlign w:val="subscript"/>
          <w:lang w:val="en-GB"/>
        </w:rPr>
        <w:t>2</w:t>
      </w:r>
      <w:r w:rsidRPr="00AF4E67">
        <w:rPr>
          <w:lang w:val="en-GB"/>
        </w:rPr>
        <w:t>S and CO</w:t>
      </w:r>
      <w:r w:rsidRPr="005141B8">
        <w:rPr>
          <w:vertAlign w:val="subscript"/>
          <w:lang w:val="en-GB"/>
        </w:rPr>
        <w:t>2</w:t>
      </w:r>
      <w:r w:rsidRPr="00AF4E67">
        <w:rPr>
          <w:lang w:val="en-GB"/>
        </w:rPr>
        <w:t xml:space="preserve"> </w:t>
      </w:r>
      <w:r w:rsidR="00703CEA">
        <w:rPr>
          <w:lang w:val="en-GB"/>
        </w:rPr>
        <w:t xml:space="preserve">still affecting the syngas </w:t>
      </w:r>
      <w:r w:rsidRPr="00AF4E67">
        <w:rPr>
          <w:lang w:val="en-GB"/>
        </w:rPr>
        <w:t>are finally removed and recycled</w:t>
      </w:r>
      <w:r>
        <w:rPr>
          <w:lang w:val="en-GB"/>
        </w:rPr>
        <w:t xml:space="preserve"> </w:t>
      </w:r>
      <w:r w:rsidR="00703CEA">
        <w:rPr>
          <w:lang w:val="en-GB"/>
        </w:rPr>
        <w:t xml:space="preserve">back to RTR </w:t>
      </w:r>
      <w:r>
        <w:rPr>
          <w:lang w:val="en-GB"/>
        </w:rPr>
        <w:t>by means of conventional sweetening processes (</w:t>
      </w:r>
      <w:r w:rsidRPr="00703CEA">
        <w:rPr>
          <w:i/>
          <w:iCs/>
          <w:lang w:val="en-GB"/>
        </w:rPr>
        <w:t>e.g.</w:t>
      </w:r>
      <w:r>
        <w:rPr>
          <w:lang w:val="en-GB"/>
        </w:rPr>
        <w:t>, amine washing)</w:t>
      </w:r>
      <w:r w:rsidRPr="00AF4E67">
        <w:rPr>
          <w:lang w:val="en-GB"/>
        </w:rPr>
        <w:t>, with a purge preventing accumulation of non-reactive species.</w:t>
      </w:r>
    </w:p>
    <w:p w14:paraId="241CEDA5" w14:textId="04D58C57" w:rsidR="00AF4E67" w:rsidRPr="005141B8" w:rsidRDefault="00AF4E67" w:rsidP="00453E24">
      <w:pPr>
        <w:pStyle w:val="CETBodytext"/>
        <w:rPr>
          <w:lang w:val="en-GB"/>
        </w:rPr>
      </w:pPr>
    </w:p>
    <w:p w14:paraId="0F759E54" w14:textId="4D44EB31" w:rsidR="00AF4E67" w:rsidRDefault="005B0FBC" w:rsidP="00200C65">
      <w:pPr>
        <w:pStyle w:val="CETBodytext"/>
        <w:jc w:val="center"/>
      </w:pPr>
      <w:r>
        <w:rPr>
          <w:noProof/>
        </w:rPr>
        <w:drawing>
          <wp:inline distT="0" distB="0" distL="0" distR="0" wp14:anchorId="29B7E410" wp14:editId="2F99382C">
            <wp:extent cx="4610100" cy="2027287"/>
            <wp:effectExtent l="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92419" cy="2063487"/>
                    </a:xfrm>
                    <a:prstGeom prst="rect">
                      <a:avLst/>
                    </a:prstGeom>
                    <a:noFill/>
                  </pic:spPr>
                </pic:pic>
              </a:graphicData>
            </a:graphic>
          </wp:inline>
        </w:drawing>
      </w:r>
    </w:p>
    <w:p w14:paraId="23E7BE63" w14:textId="076E9EA5" w:rsidR="00AF4E67" w:rsidRPr="00BD077D" w:rsidRDefault="00AF4E67" w:rsidP="00AF4E67">
      <w:pPr>
        <w:pStyle w:val="CETCaption"/>
      </w:pPr>
      <w:r w:rsidRPr="00AF4E67">
        <w:rPr>
          <w:rStyle w:val="CETCaptionCarattere"/>
          <w:i/>
        </w:rPr>
        <w:t xml:space="preserve">Figure 1: </w:t>
      </w:r>
      <w:r w:rsidR="005141B8">
        <w:rPr>
          <w:rStyle w:val="CETCaptionCarattere"/>
          <w:i/>
        </w:rPr>
        <w:t>R</w:t>
      </w:r>
      <w:r w:rsidRPr="00AF4E67">
        <w:rPr>
          <w:rStyle w:val="CETCaptionCarattere"/>
          <w:i/>
        </w:rPr>
        <w:t>epresentation of the AG2S</w:t>
      </w:r>
      <w:r w:rsidR="005141B8">
        <w:rPr>
          <w:rStyle w:val="CETCaptionCarattere"/>
          <w:i/>
        </w:rPr>
        <w:t>™</w:t>
      </w:r>
      <w:r w:rsidRPr="00AF4E67">
        <w:rPr>
          <w:rStyle w:val="CETCaptionCarattere"/>
          <w:i/>
        </w:rPr>
        <w:t xml:space="preserve"> </w:t>
      </w:r>
      <w:r w:rsidR="005141B8">
        <w:rPr>
          <w:rStyle w:val="CETCaptionCarattere"/>
          <w:i/>
        </w:rPr>
        <w:t>thermal section</w:t>
      </w:r>
      <w:r w:rsidR="001B7AEB">
        <w:rPr>
          <w:rStyle w:val="CETCaptionCarattere"/>
          <w:i/>
        </w:rPr>
        <w:t xml:space="preserve"> named Regenerative Thermal Reactor (RTR)</w:t>
      </w:r>
      <w:r w:rsidRPr="00AF4E67">
        <w:rPr>
          <w:rStyle w:val="CETCaptionCarattere"/>
          <w:i/>
        </w:rPr>
        <w:t>. The diagram emphasizes energy integration</w:t>
      </w:r>
      <w:r w:rsidR="005141B8">
        <w:rPr>
          <w:rStyle w:val="CETCaptionCarattere"/>
          <w:i/>
        </w:rPr>
        <w:t xml:space="preserve"> and</w:t>
      </w:r>
      <w:r w:rsidRPr="00AF4E67">
        <w:rPr>
          <w:rStyle w:val="CETCaptionCarattere"/>
          <w:i/>
        </w:rPr>
        <w:t xml:space="preserve"> reaction quench</w:t>
      </w:r>
      <w:r w:rsidR="005141B8">
        <w:rPr>
          <w:rStyle w:val="CETCaptionCarattere"/>
          <w:i/>
        </w:rPr>
        <w:t>ing</w:t>
      </w:r>
      <w:r w:rsidRPr="00AF4E67">
        <w:rPr>
          <w:rStyle w:val="CETCaptionCarattere"/>
          <w:i/>
        </w:rPr>
        <w:t>.</w:t>
      </w:r>
    </w:p>
    <w:p w14:paraId="7AF01B84" w14:textId="0FF62CFD" w:rsidR="005141B8" w:rsidRDefault="005141B8" w:rsidP="005141B8">
      <w:pPr>
        <w:pStyle w:val="CETheadingx"/>
      </w:pPr>
      <w:r>
        <w:lastRenderedPageBreak/>
        <w:t>Multi-scale process modelling</w:t>
      </w:r>
    </w:p>
    <w:p w14:paraId="7358D8DA" w14:textId="6C952325" w:rsidR="005141B8" w:rsidRPr="00C81253" w:rsidRDefault="005141B8" w:rsidP="00C81253">
      <w:pPr>
        <w:rPr>
          <w:i/>
          <w:iCs/>
        </w:rPr>
      </w:pPr>
      <w:r w:rsidRPr="00C81253">
        <w:rPr>
          <w:i/>
          <w:iCs/>
        </w:rPr>
        <w:t>Kinetic scale</w:t>
      </w:r>
    </w:p>
    <w:p w14:paraId="685C8399" w14:textId="1523E951" w:rsidR="005141B8" w:rsidRDefault="005141B8" w:rsidP="005141B8">
      <w:pPr>
        <w:pStyle w:val="CETBodytext"/>
      </w:pPr>
      <w:r>
        <w:t xml:space="preserve">A detailed kinetic package developed at </w:t>
      </w:r>
      <w:proofErr w:type="spellStart"/>
      <w:r>
        <w:t>Politecnico</w:t>
      </w:r>
      <w:proofErr w:type="spellEnd"/>
      <w:r>
        <w:t xml:space="preserve"> di Milano was </w:t>
      </w:r>
      <w:r w:rsidR="001B7AEB">
        <w:t>adopted</w:t>
      </w:r>
      <w:r>
        <w:t xml:space="preserve"> as modelling basis (</w:t>
      </w:r>
      <w:r w:rsidR="001B7AEB">
        <w:t>Manenti et al., 2013</w:t>
      </w:r>
      <w:r>
        <w:t>)</w:t>
      </w:r>
      <w:r w:rsidR="001B7AEB">
        <w:t xml:space="preserve">; a reduced model has been </w:t>
      </w:r>
      <w:r w:rsidR="00703CEA">
        <w:t>also</w:t>
      </w:r>
      <w:r w:rsidR="001B7AEB">
        <w:t xml:space="preserve"> proposed</w:t>
      </w:r>
      <w:r w:rsidR="00703CEA">
        <w:t xml:space="preserve"> in the literature</w:t>
      </w:r>
      <w:r w:rsidR="001B7AEB">
        <w:t xml:space="preserve"> for reasonably simplified </w:t>
      </w:r>
      <w:r w:rsidR="00C623EB">
        <w:t xml:space="preserve">multi-scale </w:t>
      </w:r>
      <w:r w:rsidR="001B7AEB">
        <w:t>process simulations (Andoglu et al., 2019)</w:t>
      </w:r>
      <w:r>
        <w:t>. The broader mechanism contains more than 500 species and about 20000 reactions and had previously been validated for industrial acid gas combustion</w:t>
      </w:r>
      <w:r w:rsidR="00C623EB">
        <w:t xml:space="preserve"> processes</w:t>
      </w:r>
      <w:r>
        <w:t>. The kinetic</w:t>
      </w:r>
      <w:r w:rsidR="00C623EB">
        <w:t xml:space="preserve"> model</w:t>
      </w:r>
      <w:r>
        <w:t xml:space="preserve"> is embedded in non-ideal reactor models and linked to process simulator</w:t>
      </w:r>
      <w:r w:rsidR="00C623EB">
        <w:t xml:space="preserve"> in a</w:t>
      </w:r>
      <w:r w:rsidR="000019DF">
        <w:t>n</w:t>
      </w:r>
      <w:r w:rsidR="00C623EB">
        <w:t xml:space="preserve"> integrated multi-scale modeling approach</w:t>
      </w:r>
      <w:r>
        <w:t>. This is essential because equilibrium calculations alone cannot describe the short residence times and recombination phenomena that govern H</w:t>
      </w:r>
      <w:r w:rsidRPr="001B7AEB">
        <w:rPr>
          <w:vertAlign w:val="subscript"/>
        </w:rPr>
        <w:t>2</w:t>
      </w:r>
      <w:r>
        <w:t>, CO and sulfur-species yields.</w:t>
      </w:r>
    </w:p>
    <w:p w14:paraId="0F4BB349" w14:textId="14FF23EC" w:rsidR="001B7AEB" w:rsidRDefault="005141B8" w:rsidP="005141B8">
      <w:pPr>
        <w:pStyle w:val="CETBodytext"/>
      </w:pPr>
      <w:r>
        <w:t>The RTR combines a regenerative heat-exchange section with a high-temperature reaction zone</w:t>
      </w:r>
      <w:r w:rsidR="00C623EB">
        <w:t xml:space="preserve"> and its feedstock</w:t>
      </w:r>
      <w:r>
        <w:t xml:space="preserve"> is </w:t>
      </w:r>
      <w:r w:rsidR="001B7AEB">
        <w:t>split in two streams:</w:t>
      </w:r>
    </w:p>
    <w:p w14:paraId="73D76206" w14:textId="77777777" w:rsidR="00C623EB" w:rsidRDefault="00C623EB" w:rsidP="005141B8">
      <w:pPr>
        <w:pStyle w:val="CETBodytext"/>
      </w:pPr>
    </w:p>
    <w:p w14:paraId="2034567A" w14:textId="7D3508AA" w:rsidR="00C623EB" w:rsidRDefault="00C623EB" w:rsidP="00C623EB">
      <w:pPr>
        <w:pStyle w:val="CETBodytext"/>
        <w:numPr>
          <w:ilvl w:val="0"/>
          <w:numId w:val="34"/>
        </w:numPr>
      </w:pPr>
      <w:r>
        <w:t>the main stream to preheat the rest of acid gas to approximately 700 °C by the hot reactor effluent;</w:t>
      </w:r>
    </w:p>
    <w:p w14:paraId="20426B49" w14:textId="1A037F42" w:rsidR="001B7AEB" w:rsidRDefault="00C623EB" w:rsidP="00C623EB">
      <w:pPr>
        <w:pStyle w:val="CETBodytext"/>
        <w:numPr>
          <w:ilvl w:val="0"/>
          <w:numId w:val="34"/>
        </w:numPr>
      </w:pPr>
      <w:r>
        <w:t xml:space="preserve">the secondary stream to </w:t>
      </w:r>
      <w:r w:rsidR="001B7AEB">
        <w:t>supply the oxy-burner at low temperature (</w:t>
      </w:r>
      <w:r w:rsidR="005141B8">
        <w:t>near 250 °C</w:t>
      </w:r>
      <w:r w:rsidR="001B7AEB">
        <w:t>)</w:t>
      </w:r>
      <w:r>
        <w:t>.</w:t>
      </w:r>
    </w:p>
    <w:p w14:paraId="395E1608" w14:textId="77777777" w:rsidR="00C623EB" w:rsidRDefault="00C623EB" w:rsidP="005141B8">
      <w:pPr>
        <w:pStyle w:val="CETBodytext"/>
      </w:pPr>
    </w:p>
    <w:p w14:paraId="43338D8F" w14:textId="1C121B28" w:rsidR="005141B8" w:rsidRDefault="005141B8" w:rsidP="005141B8">
      <w:pPr>
        <w:pStyle w:val="CETBodytext"/>
      </w:pPr>
      <w:r>
        <w:t xml:space="preserve">A limited amount of oxygen </w:t>
      </w:r>
      <w:r w:rsidR="00C623EB">
        <w:t xml:space="preserve">combined with the secondary stream </w:t>
      </w:r>
      <w:r>
        <w:t>supplies the heat required to</w:t>
      </w:r>
      <w:r w:rsidR="00C623EB">
        <w:t xml:space="preserve"> raise the temperature of RTR and</w:t>
      </w:r>
      <w:r>
        <w:t xml:space="preserve"> sustain the conversion</w:t>
      </w:r>
      <w:r w:rsidR="00C623EB">
        <w:t xml:space="preserve"> (reaction 3)</w:t>
      </w:r>
      <w:r>
        <w:t xml:space="preserve">. The reference design pressure </w:t>
      </w:r>
      <w:r w:rsidR="001B7AEB">
        <w:t xml:space="preserve">is in the range of </w:t>
      </w:r>
      <w:r>
        <w:t>1.2</w:t>
      </w:r>
      <w:r w:rsidR="001B7AEB">
        <w:t>-</w:t>
      </w:r>
      <w:r>
        <w:t>1.5 bar</w:t>
      </w:r>
      <w:r w:rsidR="001B7AEB">
        <w:t>a</w:t>
      </w:r>
      <w:r>
        <w:t xml:space="preserve">, residence time </w:t>
      </w:r>
      <w:r w:rsidR="001B7AEB">
        <w:t>is</w:t>
      </w:r>
      <w:r>
        <w:t xml:space="preserve"> roughly 0.4 s and reaction temperatures </w:t>
      </w:r>
      <w:r w:rsidR="001B7AEB">
        <w:t xml:space="preserve">are </w:t>
      </w:r>
      <w:r>
        <w:t>up to 1</w:t>
      </w:r>
      <w:r w:rsidR="00C623EB">
        <w:t>50</w:t>
      </w:r>
      <w:r>
        <w:t>0 °C. The hot product gas must then be cooled rapidly</w:t>
      </w:r>
      <w:r w:rsidR="00C623EB">
        <w:t xml:space="preserve"> down to 900 °C in the waste heat boiler</w:t>
      </w:r>
      <w:r>
        <w:t xml:space="preserve"> to limit recombination reactions and preserve the generated syngas.</w:t>
      </w:r>
    </w:p>
    <w:p w14:paraId="13353C05" w14:textId="77777777" w:rsidR="001B7AEB" w:rsidRDefault="001B7AEB" w:rsidP="005141B8">
      <w:pPr>
        <w:pStyle w:val="CETBodytext"/>
      </w:pPr>
    </w:p>
    <w:p w14:paraId="1BC14DD6" w14:textId="2EBED75A" w:rsidR="001B7AEB" w:rsidRPr="005141B8" w:rsidRDefault="001B7AEB" w:rsidP="00C81253">
      <w:pPr>
        <w:rPr>
          <w:i/>
          <w:iCs/>
        </w:rPr>
      </w:pPr>
      <w:r>
        <w:rPr>
          <w:i/>
          <w:iCs/>
        </w:rPr>
        <w:t>Process scale</w:t>
      </w:r>
    </w:p>
    <w:p w14:paraId="1259DB74" w14:textId="6669B2C7" w:rsidR="005141B8" w:rsidRDefault="005141B8" w:rsidP="005141B8">
      <w:pPr>
        <w:pStyle w:val="CETBodytext"/>
      </w:pPr>
      <w:r>
        <w:t>The reactor calculations demonstrate the strong effect of temperature on reactant conversion and syngas formation</w:t>
      </w:r>
      <w:r w:rsidR="001B7AEB">
        <w:t xml:space="preserve"> (Table 1)</w:t>
      </w:r>
      <w:r>
        <w:t>. For a</w:t>
      </w:r>
      <w:r w:rsidR="00C623EB">
        <w:t>n ideal</w:t>
      </w:r>
      <w:r>
        <w:t xml:space="preserve"> basis of 10 </w:t>
      </w:r>
      <w:proofErr w:type="spellStart"/>
      <w:r>
        <w:t>kmol</w:t>
      </w:r>
      <w:proofErr w:type="spellEnd"/>
      <w:r>
        <w:t xml:space="preserve"> CO</w:t>
      </w:r>
      <w:r w:rsidRPr="001B7AEB">
        <w:rPr>
          <w:vertAlign w:val="subscript"/>
        </w:rPr>
        <w:t>2</w:t>
      </w:r>
      <w:r>
        <w:t xml:space="preserve"> and 30 </w:t>
      </w:r>
      <w:proofErr w:type="spellStart"/>
      <w:r>
        <w:t>kmol</w:t>
      </w:r>
      <w:proofErr w:type="spellEnd"/>
      <w:r>
        <w:t xml:space="preserve"> H</w:t>
      </w:r>
      <w:r w:rsidRPr="001B7AEB">
        <w:rPr>
          <w:vertAlign w:val="subscript"/>
        </w:rPr>
        <w:t>2</w:t>
      </w:r>
      <w:r>
        <w:t xml:space="preserve">S, the high-temperature case uses 9.19 </w:t>
      </w:r>
      <w:proofErr w:type="spellStart"/>
      <w:r>
        <w:t>kmol</w:t>
      </w:r>
      <w:proofErr w:type="spellEnd"/>
      <w:r>
        <w:t xml:space="preserve"> O</w:t>
      </w:r>
      <w:r w:rsidRPr="001B7AEB">
        <w:rPr>
          <w:vertAlign w:val="subscript"/>
        </w:rPr>
        <w:t>2</w:t>
      </w:r>
      <w:r>
        <w:t xml:space="preserve"> and reaches 1500 °C. The calculated outlet contains 4.47 </w:t>
      </w:r>
      <w:proofErr w:type="spellStart"/>
      <w:r>
        <w:t>kmol</w:t>
      </w:r>
      <w:proofErr w:type="spellEnd"/>
      <w:r>
        <w:t xml:space="preserve"> CO</w:t>
      </w:r>
      <w:r w:rsidRPr="001B7AEB">
        <w:rPr>
          <w:vertAlign w:val="subscript"/>
        </w:rPr>
        <w:t>2</w:t>
      </w:r>
      <w:r>
        <w:t xml:space="preserve">, 4.32 </w:t>
      </w:r>
      <w:proofErr w:type="spellStart"/>
      <w:r>
        <w:t>kmol</w:t>
      </w:r>
      <w:proofErr w:type="spellEnd"/>
      <w:r>
        <w:t xml:space="preserve"> H</w:t>
      </w:r>
      <w:r w:rsidRPr="001B7AEB">
        <w:rPr>
          <w:vertAlign w:val="subscript"/>
        </w:rPr>
        <w:t>2</w:t>
      </w:r>
      <w:r>
        <w:t xml:space="preserve">S, 11.25 </w:t>
      </w:r>
      <w:proofErr w:type="spellStart"/>
      <w:r>
        <w:t>kmol</w:t>
      </w:r>
      <w:proofErr w:type="spellEnd"/>
      <w:r>
        <w:t xml:space="preserve"> S</w:t>
      </w:r>
      <w:r w:rsidRPr="001B7AEB">
        <w:rPr>
          <w:vertAlign w:val="subscript"/>
        </w:rPr>
        <w:t>2</w:t>
      </w:r>
      <w:r>
        <w:t xml:space="preserve">, 6.32 </w:t>
      </w:r>
      <w:proofErr w:type="spellStart"/>
      <w:r>
        <w:t>kmol</w:t>
      </w:r>
      <w:proofErr w:type="spellEnd"/>
      <w:r>
        <w:t xml:space="preserve"> H</w:t>
      </w:r>
      <w:r w:rsidRPr="001B7AEB">
        <w:rPr>
          <w:vertAlign w:val="subscript"/>
        </w:rPr>
        <w:t>2</w:t>
      </w:r>
      <w:r>
        <w:t xml:space="preserve"> and 5.40 </w:t>
      </w:r>
      <w:proofErr w:type="spellStart"/>
      <w:r>
        <w:t>kmol</w:t>
      </w:r>
      <w:proofErr w:type="spellEnd"/>
      <w:r>
        <w:t xml:space="preserve"> CO. At 1000 °C, with 3.47 </w:t>
      </w:r>
      <w:proofErr w:type="spellStart"/>
      <w:r>
        <w:t>kmol</w:t>
      </w:r>
      <w:proofErr w:type="spellEnd"/>
      <w:r>
        <w:t xml:space="preserve"> O</w:t>
      </w:r>
      <w:r w:rsidRPr="001B7AEB">
        <w:rPr>
          <w:vertAlign w:val="subscript"/>
        </w:rPr>
        <w:t>2</w:t>
      </w:r>
      <w:r>
        <w:t xml:space="preserve">, the residual reactants increase to 7.44 </w:t>
      </w:r>
      <w:proofErr w:type="spellStart"/>
      <w:r>
        <w:t>kmol</w:t>
      </w:r>
      <w:proofErr w:type="spellEnd"/>
      <w:r>
        <w:t xml:space="preserve"> CO</w:t>
      </w:r>
      <w:r w:rsidRPr="001B7AEB">
        <w:rPr>
          <w:vertAlign w:val="subscript"/>
        </w:rPr>
        <w:t>2</w:t>
      </w:r>
      <w:r>
        <w:t xml:space="preserve"> and 19.79 </w:t>
      </w:r>
      <w:proofErr w:type="spellStart"/>
      <w:r>
        <w:t>kmol</w:t>
      </w:r>
      <w:proofErr w:type="spellEnd"/>
      <w:r>
        <w:t xml:space="preserve"> H</w:t>
      </w:r>
      <w:r w:rsidRPr="001B7AEB">
        <w:rPr>
          <w:vertAlign w:val="subscript"/>
        </w:rPr>
        <w:t>2</w:t>
      </w:r>
      <w:r>
        <w:t>S, while H</w:t>
      </w:r>
      <w:r w:rsidRPr="001B7AEB">
        <w:rPr>
          <w:vertAlign w:val="subscript"/>
        </w:rPr>
        <w:t>2</w:t>
      </w:r>
      <w:r>
        <w:t xml:space="preserve"> and CO decrease to 3.99 and 2.23 </w:t>
      </w:r>
      <w:proofErr w:type="spellStart"/>
      <w:r>
        <w:t>kmol</w:t>
      </w:r>
      <w:proofErr w:type="spellEnd"/>
      <w:r>
        <w:t>, respectively. These results confirm that high temperature is a key driver for H</w:t>
      </w:r>
      <w:r w:rsidRPr="001B7AEB">
        <w:rPr>
          <w:vertAlign w:val="subscript"/>
        </w:rPr>
        <w:t>2</w:t>
      </w:r>
      <w:r>
        <w:t>S activation and CO</w:t>
      </w:r>
      <w:r w:rsidRPr="001B7AEB">
        <w:rPr>
          <w:vertAlign w:val="subscript"/>
        </w:rPr>
        <w:t>2</w:t>
      </w:r>
      <w:r>
        <w:t xml:space="preserve"> reduction, although oxygen dosage must be controlled because excessive oxidation would consume the </w:t>
      </w:r>
      <w:r w:rsidR="001B7AEB">
        <w:t xml:space="preserve">generated </w:t>
      </w:r>
      <w:r>
        <w:t>hydrogen.</w:t>
      </w:r>
      <w:r w:rsidR="00C623EB">
        <w:t xml:space="preserve"> In any case, a process optimization selecting the best operating condition balancing the optimal temperature (then, the optimal amount of oxygen) and the size of recycle stream of unreacted acid gas is possible and scheduled for future developments.</w:t>
      </w:r>
    </w:p>
    <w:p w14:paraId="0838AC50" w14:textId="01372E6A" w:rsidR="005B0FBC" w:rsidRPr="00B57B36" w:rsidRDefault="00D95D43" w:rsidP="00D95D43">
      <w:pPr>
        <w:pStyle w:val="CETTabletitle"/>
      </w:pPr>
      <w:r w:rsidRPr="00D95D43">
        <w:t xml:space="preserve">Table 1. </w:t>
      </w:r>
      <w:r>
        <w:t>Boundary</w:t>
      </w:r>
      <w:r w:rsidRPr="00D95D43">
        <w:t xml:space="preserve"> </w:t>
      </w:r>
      <w:r>
        <w:t>operating conditions and</w:t>
      </w:r>
      <w:r w:rsidR="00C9117D">
        <w:t xml:space="preserve"> effluents for RTR with</w:t>
      </w:r>
      <w:r>
        <w:t xml:space="preserve"> related quantity and quality of syngas </w:t>
      </w:r>
      <w:r w:rsidRPr="00D95D43">
        <w:t xml:space="preserve">for feeds of 30 </w:t>
      </w:r>
      <w:proofErr w:type="spellStart"/>
      <w:r w:rsidRPr="00D95D43">
        <w:t>kmol</w:t>
      </w:r>
      <w:proofErr w:type="spellEnd"/>
      <w:r w:rsidRPr="00D95D43">
        <w:t xml:space="preserve"> H</w:t>
      </w:r>
      <w:r w:rsidRPr="00D95D43">
        <w:rPr>
          <w:vertAlign w:val="subscript"/>
        </w:rPr>
        <w:t>2</w:t>
      </w:r>
      <w:r w:rsidRPr="00D95D43">
        <w:t xml:space="preserve">S and 10 </w:t>
      </w:r>
      <w:proofErr w:type="spellStart"/>
      <w:r w:rsidRPr="00D95D43">
        <w:t>kmol</w:t>
      </w:r>
      <w:proofErr w:type="spellEnd"/>
      <w:r w:rsidRPr="00D95D43">
        <w:t xml:space="preserve"> CO</w:t>
      </w:r>
      <w:r w:rsidRPr="00D95D43">
        <w:rPr>
          <w:vertAlign w:val="subscript"/>
        </w:rPr>
        <w:t>2</w:t>
      </w:r>
      <w:r w:rsidRPr="00D95D43">
        <w:t>.</w:t>
      </w:r>
    </w:p>
    <w:tbl>
      <w:tblPr>
        <w:tblW w:w="0" w:type="auto"/>
        <w:jc w:val="center"/>
        <w:tblBorders>
          <w:top w:val="single" w:sz="12" w:space="0" w:color="008000"/>
          <w:bottom w:val="single" w:sz="12" w:space="0" w:color="008000"/>
        </w:tblBorders>
        <w:shd w:val="clear" w:color="auto" w:fill="FFFFFF"/>
        <w:tblCellMar>
          <w:left w:w="0" w:type="dxa"/>
          <w:right w:w="0" w:type="dxa"/>
        </w:tblCellMar>
        <w:tblLook w:val="00A0" w:firstRow="1" w:lastRow="0" w:firstColumn="1" w:lastColumn="0" w:noHBand="0" w:noVBand="0"/>
      </w:tblPr>
      <w:tblGrid>
        <w:gridCol w:w="1134"/>
        <w:gridCol w:w="1134"/>
        <w:gridCol w:w="1134"/>
        <w:gridCol w:w="1134"/>
        <w:gridCol w:w="1134"/>
        <w:gridCol w:w="1134"/>
        <w:gridCol w:w="1134"/>
      </w:tblGrid>
      <w:tr w:rsidR="00C9117D" w:rsidRPr="00B57B36" w14:paraId="56A0B1EE" w14:textId="77777777" w:rsidTr="006348BA">
        <w:trPr>
          <w:jc w:val="center"/>
        </w:trPr>
        <w:tc>
          <w:tcPr>
            <w:tcW w:w="1134" w:type="dxa"/>
            <w:tcBorders>
              <w:top w:val="single" w:sz="12" w:space="0" w:color="008000"/>
              <w:bottom w:val="single" w:sz="6" w:space="0" w:color="008000"/>
            </w:tcBorders>
            <w:shd w:val="clear" w:color="auto" w:fill="FFFFFF"/>
            <w:vAlign w:val="center"/>
          </w:tcPr>
          <w:p w14:paraId="67B0C4AD" w14:textId="09DD5925" w:rsidR="00C9117D" w:rsidRPr="00B57B36" w:rsidRDefault="00C9117D" w:rsidP="00C9117D">
            <w:pPr>
              <w:pStyle w:val="CETBodytext"/>
              <w:jc w:val="center"/>
              <w:rPr>
                <w:lang w:val="en-GB"/>
              </w:rPr>
            </w:pPr>
            <w:r>
              <w:rPr>
                <w:sz w:val="16"/>
              </w:rPr>
              <w:t>Case</w:t>
            </w:r>
          </w:p>
        </w:tc>
        <w:tc>
          <w:tcPr>
            <w:tcW w:w="1134" w:type="dxa"/>
            <w:tcBorders>
              <w:top w:val="single" w:sz="12" w:space="0" w:color="008000"/>
              <w:bottom w:val="single" w:sz="6" w:space="0" w:color="008000"/>
            </w:tcBorders>
            <w:shd w:val="clear" w:color="auto" w:fill="FFFFFF"/>
            <w:vAlign w:val="center"/>
          </w:tcPr>
          <w:p w14:paraId="03761F8E" w14:textId="37142994" w:rsidR="00C9117D" w:rsidRPr="00B57B36" w:rsidRDefault="00C9117D" w:rsidP="00C9117D">
            <w:pPr>
              <w:pStyle w:val="CETBodytext"/>
              <w:jc w:val="center"/>
              <w:rPr>
                <w:lang w:val="en-GB"/>
              </w:rPr>
            </w:pPr>
            <w:r>
              <w:rPr>
                <w:sz w:val="16"/>
              </w:rPr>
              <w:t>RTR T (°C)</w:t>
            </w:r>
          </w:p>
        </w:tc>
        <w:tc>
          <w:tcPr>
            <w:tcW w:w="1134" w:type="dxa"/>
            <w:tcBorders>
              <w:top w:val="single" w:sz="12" w:space="0" w:color="008000"/>
              <w:bottom w:val="single" w:sz="6" w:space="0" w:color="008000"/>
            </w:tcBorders>
            <w:shd w:val="clear" w:color="auto" w:fill="FFFFFF"/>
            <w:vAlign w:val="center"/>
          </w:tcPr>
          <w:p w14:paraId="65A543FB" w14:textId="5FCD6154" w:rsidR="00C9117D" w:rsidRPr="00B57B36" w:rsidRDefault="00C9117D" w:rsidP="00C9117D">
            <w:pPr>
              <w:pStyle w:val="CETBodytext"/>
              <w:jc w:val="center"/>
              <w:rPr>
                <w:lang w:val="en-GB"/>
              </w:rPr>
            </w:pPr>
            <w:r>
              <w:rPr>
                <w:sz w:val="16"/>
              </w:rPr>
              <w:t>H</w:t>
            </w:r>
            <w:r w:rsidRPr="00C9117D">
              <w:rPr>
                <w:sz w:val="16"/>
                <w:vertAlign w:val="subscript"/>
              </w:rPr>
              <w:t>2</w:t>
            </w:r>
            <w:r>
              <w:rPr>
                <w:sz w:val="16"/>
              </w:rPr>
              <w:t xml:space="preserve"> (</w:t>
            </w:r>
            <w:proofErr w:type="spellStart"/>
            <w:r>
              <w:rPr>
                <w:sz w:val="16"/>
              </w:rPr>
              <w:t>kmol</w:t>
            </w:r>
            <w:proofErr w:type="spellEnd"/>
            <w:r>
              <w:rPr>
                <w:sz w:val="16"/>
              </w:rPr>
              <w:t>)</w:t>
            </w:r>
          </w:p>
        </w:tc>
        <w:tc>
          <w:tcPr>
            <w:tcW w:w="1134" w:type="dxa"/>
            <w:tcBorders>
              <w:top w:val="single" w:sz="12" w:space="0" w:color="008000"/>
              <w:bottom w:val="single" w:sz="6" w:space="0" w:color="008000"/>
            </w:tcBorders>
            <w:shd w:val="clear" w:color="auto" w:fill="FFFFFF"/>
            <w:vAlign w:val="center"/>
          </w:tcPr>
          <w:p w14:paraId="74946852" w14:textId="0BA47804" w:rsidR="00C9117D" w:rsidRDefault="00C9117D" w:rsidP="00C9117D">
            <w:pPr>
              <w:pStyle w:val="CETBodytext"/>
              <w:ind w:right="-1"/>
              <w:jc w:val="center"/>
              <w:rPr>
                <w:sz w:val="16"/>
              </w:rPr>
            </w:pPr>
            <w:r>
              <w:rPr>
                <w:sz w:val="16"/>
              </w:rPr>
              <w:t>CO (</w:t>
            </w:r>
            <w:proofErr w:type="spellStart"/>
            <w:r>
              <w:rPr>
                <w:sz w:val="16"/>
              </w:rPr>
              <w:t>kmol</w:t>
            </w:r>
            <w:proofErr w:type="spellEnd"/>
            <w:r>
              <w:rPr>
                <w:sz w:val="16"/>
              </w:rPr>
              <w:t>)</w:t>
            </w:r>
          </w:p>
        </w:tc>
        <w:tc>
          <w:tcPr>
            <w:tcW w:w="1134" w:type="dxa"/>
            <w:tcBorders>
              <w:top w:val="single" w:sz="12" w:space="0" w:color="008000"/>
              <w:bottom w:val="single" w:sz="6" w:space="0" w:color="008000"/>
            </w:tcBorders>
            <w:shd w:val="clear" w:color="auto" w:fill="FFFFFF"/>
            <w:vAlign w:val="center"/>
          </w:tcPr>
          <w:p w14:paraId="0870149F" w14:textId="5C16720A" w:rsidR="00C9117D" w:rsidRDefault="00C9117D" w:rsidP="00C9117D">
            <w:pPr>
              <w:pStyle w:val="CETBodytext"/>
              <w:ind w:right="-1"/>
              <w:jc w:val="center"/>
              <w:rPr>
                <w:sz w:val="16"/>
              </w:rPr>
            </w:pPr>
            <w:r>
              <w:rPr>
                <w:sz w:val="16"/>
              </w:rPr>
              <w:t>O</w:t>
            </w:r>
            <w:r w:rsidRPr="00C9117D">
              <w:rPr>
                <w:sz w:val="16"/>
                <w:vertAlign w:val="subscript"/>
              </w:rPr>
              <w:t>2</w:t>
            </w:r>
            <w:r>
              <w:rPr>
                <w:sz w:val="16"/>
              </w:rPr>
              <w:t xml:space="preserve"> (</w:t>
            </w:r>
            <w:proofErr w:type="spellStart"/>
            <w:r>
              <w:rPr>
                <w:sz w:val="16"/>
              </w:rPr>
              <w:t>kmol</w:t>
            </w:r>
            <w:proofErr w:type="spellEnd"/>
            <w:r>
              <w:rPr>
                <w:sz w:val="16"/>
              </w:rPr>
              <w:t>)</w:t>
            </w:r>
          </w:p>
        </w:tc>
        <w:tc>
          <w:tcPr>
            <w:tcW w:w="1134" w:type="dxa"/>
            <w:tcBorders>
              <w:top w:val="single" w:sz="12" w:space="0" w:color="008000"/>
              <w:bottom w:val="single" w:sz="6" w:space="0" w:color="008000"/>
            </w:tcBorders>
            <w:shd w:val="clear" w:color="auto" w:fill="FFFFFF"/>
            <w:vAlign w:val="center"/>
          </w:tcPr>
          <w:p w14:paraId="4F8DFDD8" w14:textId="2CFF46DC" w:rsidR="00C9117D" w:rsidRDefault="00C9117D" w:rsidP="00C9117D">
            <w:pPr>
              <w:pStyle w:val="CETBodytext"/>
              <w:ind w:right="-1"/>
              <w:jc w:val="center"/>
              <w:rPr>
                <w:sz w:val="16"/>
              </w:rPr>
            </w:pPr>
            <w:r>
              <w:rPr>
                <w:sz w:val="16"/>
              </w:rPr>
              <w:t>CO</w:t>
            </w:r>
            <w:r w:rsidRPr="00C9117D">
              <w:rPr>
                <w:sz w:val="16"/>
                <w:vertAlign w:val="subscript"/>
              </w:rPr>
              <w:t>2</w:t>
            </w:r>
            <w:r>
              <w:rPr>
                <w:sz w:val="16"/>
              </w:rPr>
              <w:t xml:space="preserve"> (</w:t>
            </w:r>
            <w:proofErr w:type="spellStart"/>
            <w:r>
              <w:rPr>
                <w:sz w:val="16"/>
              </w:rPr>
              <w:t>kmol</w:t>
            </w:r>
            <w:proofErr w:type="spellEnd"/>
            <w:r>
              <w:rPr>
                <w:sz w:val="16"/>
              </w:rPr>
              <w:t>)</w:t>
            </w:r>
          </w:p>
        </w:tc>
        <w:tc>
          <w:tcPr>
            <w:tcW w:w="1134" w:type="dxa"/>
            <w:tcBorders>
              <w:top w:val="single" w:sz="12" w:space="0" w:color="008000"/>
              <w:bottom w:val="single" w:sz="6" w:space="0" w:color="008000"/>
            </w:tcBorders>
            <w:shd w:val="clear" w:color="auto" w:fill="FFFFFF"/>
            <w:vAlign w:val="center"/>
          </w:tcPr>
          <w:p w14:paraId="102DD345" w14:textId="036B8C75" w:rsidR="00C9117D" w:rsidRPr="00B57B36" w:rsidRDefault="00C9117D" w:rsidP="00C9117D">
            <w:pPr>
              <w:pStyle w:val="CETBodytext"/>
              <w:ind w:right="-1"/>
              <w:jc w:val="center"/>
              <w:rPr>
                <w:rFonts w:cs="Arial"/>
                <w:szCs w:val="18"/>
                <w:lang w:val="en-GB"/>
              </w:rPr>
            </w:pPr>
            <w:r>
              <w:rPr>
                <w:sz w:val="16"/>
              </w:rPr>
              <w:t>H</w:t>
            </w:r>
            <w:r w:rsidRPr="00C9117D">
              <w:rPr>
                <w:sz w:val="16"/>
                <w:vertAlign w:val="subscript"/>
              </w:rPr>
              <w:t>2</w:t>
            </w:r>
            <w:r>
              <w:rPr>
                <w:sz w:val="16"/>
              </w:rPr>
              <w:t>S (</w:t>
            </w:r>
            <w:proofErr w:type="spellStart"/>
            <w:r>
              <w:rPr>
                <w:sz w:val="16"/>
              </w:rPr>
              <w:t>kmol</w:t>
            </w:r>
            <w:proofErr w:type="spellEnd"/>
            <w:r>
              <w:rPr>
                <w:sz w:val="16"/>
              </w:rPr>
              <w:t>)</w:t>
            </w:r>
          </w:p>
        </w:tc>
      </w:tr>
      <w:tr w:rsidR="00C9117D" w:rsidRPr="00B57B36" w14:paraId="47778C53" w14:textId="77777777" w:rsidTr="006348BA">
        <w:trPr>
          <w:jc w:val="center"/>
        </w:trPr>
        <w:tc>
          <w:tcPr>
            <w:tcW w:w="1134" w:type="dxa"/>
            <w:shd w:val="clear" w:color="auto" w:fill="FFFFFF"/>
            <w:vAlign w:val="center"/>
          </w:tcPr>
          <w:p w14:paraId="6DD6DFE9" w14:textId="58BEA75A" w:rsidR="00C9117D" w:rsidRPr="00B57B36" w:rsidRDefault="00C9117D" w:rsidP="00C9117D">
            <w:pPr>
              <w:pStyle w:val="CETBodytext"/>
              <w:jc w:val="center"/>
              <w:rPr>
                <w:lang w:val="en-GB"/>
              </w:rPr>
            </w:pPr>
            <w:r>
              <w:rPr>
                <w:sz w:val="16"/>
              </w:rPr>
              <w:t>High temperature</w:t>
            </w:r>
          </w:p>
        </w:tc>
        <w:tc>
          <w:tcPr>
            <w:tcW w:w="1134" w:type="dxa"/>
            <w:shd w:val="clear" w:color="auto" w:fill="FFFFFF"/>
            <w:vAlign w:val="center"/>
          </w:tcPr>
          <w:p w14:paraId="6758CF6D" w14:textId="5DB69AE9" w:rsidR="00C9117D" w:rsidRPr="00B57B36" w:rsidRDefault="00C9117D" w:rsidP="00C9117D">
            <w:pPr>
              <w:pStyle w:val="CETBodytext"/>
              <w:jc w:val="center"/>
              <w:rPr>
                <w:lang w:val="en-GB"/>
              </w:rPr>
            </w:pPr>
            <w:r>
              <w:rPr>
                <w:sz w:val="16"/>
              </w:rPr>
              <w:t>1500</w:t>
            </w:r>
          </w:p>
        </w:tc>
        <w:tc>
          <w:tcPr>
            <w:tcW w:w="1134" w:type="dxa"/>
            <w:shd w:val="clear" w:color="auto" w:fill="FFFFFF"/>
            <w:vAlign w:val="center"/>
          </w:tcPr>
          <w:p w14:paraId="551A6416" w14:textId="4161D4FB" w:rsidR="00C9117D" w:rsidRPr="00B57B36" w:rsidRDefault="00C9117D" w:rsidP="00C9117D">
            <w:pPr>
              <w:pStyle w:val="CETBodytext"/>
              <w:jc w:val="center"/>
              <w:rPr>
                <w:lang w:val="en-GB"/>
              </w:rPr>
            </w:pPr>
            <w:r>
              <w:rPr>
                <w:sz w:val="16"/>
              </w:rPr>
              <w:t>6.32</w:t>
            </w:r>
          </w:p>
        </w:tc>
        <w:tc>
          <w:tcPr>
            <w:tcW w:w="1134" w:type="dxa"/>
            <w:shd w:val="clear" w:color="auto" w:fill="FFFFFF"/>
            <w:vAlign w:val="center"/>
          </w:tcPr>
          <w:p w14:paraId="662427FB" w14:textId="3F9CE5D4" w:rsidR="00C9117D" w:rsidRDefault="00C9117D" w:rsidP="00C9117D">
            <w:pPr>
              <w:pStyle w:val="CETBodytext"/>
              <w:ind w:right="-1"/>
              <w:jc w:val="center"/>
              <w:rPr>
                <w:sz w:val="16"/>
              </w:rPr>
            </w:pPr>
            <w:r>
              <w:rPr>
                <w:sz w:val="16"/>
              </w:rPr>
              <w:t>5.40</w:t>
            </w:r>
          </w:p>
        </w:tc>
        <w:tc>
          <w:tcPr>
            <w:tcW w:w="1134" w:type="dxa"/>
            <w:shd w:val="clear" w:color="auto" w:fill="FFFFFF"/>
            <w:vAlign w:val="center"/>
          </w:tcPr>
          <w:p w14:paraId="2BCFEFDD" w14:textId="6421DA19" w:rsidR="00C9117D" w:rsidRDefault="00C9117D" w:rsidP="00C9117D">
            <w:pPr>
              <w:pStyle w:val="CETBodytext"/>
              <w:ind w:right="-1"/>
              <w:jc w:val="center"/>
              <w:rPr>
                <w:sz w:val="16"/>
              </w:rPr>
            </w:pPr>
            <w:r>
              <w:rPr>
                <w:sz w:val="16"/>
              </w:rPr>
              <w:t>9.19</w:t>
            </w:r>
          </w:p>
        </w:tc>
        <w:tc>
          <w:tcPr>
            <w:tcW w:w="1134" w:type="dxa"/>
            <w:shd w:val="clear" w:color="auto" w:fill="FFFFFF"/>
            <w:vAlign w:val="center"/>
          </w:tcPr>
          <w:p w14:paraId="3E963FCF" w14:textId="689E971A" w:rsidR="00C9117D" w:rsidRDefault="00C9117D" w:rsidP="00C9117D">
            <w:pPr>
              <w:pStyle w:val="CETBodytext"/>
              <w:ind w:right="-1"/>
              <w:jc w:val="center"/>
              <w:rPr>
                <w:sz w:val="16"/>
              </w:rPr>
            </w:pPr>
            <w:r>
              <w:rPr>
                <w:sz w:val="16"/>
              </w:rPr>
              <w:t>4.47</w:t>
            </w:r>
          </w:p>
        </w:tc>
        <w:tc>
          <w:tcPr>
            <w:tcW w:w="1134" w:type="dxa"/>
            <w:shd w:val="clear" w:color="auto" w:fill="FFFFFF"/>
            <w:vAlign w:val="center"/>
          </w:tcPr>
          <w:p w14:paraId="707E7183" w14:textId="618FF0D0" w:rsidR="00C9117D" w:rsidRPr="00B57B36" w:rsidRDefault="00C9117D" w:rsidP="00C9117D">
            <w:pPr>
              <w:pStyle w:val="CETBodytext"/>
              <w:ind w:right="-1"/>
              <w:jc w:val="center"/>
              <w:rPr>
                <w:rFonts w:cs="Arial"/>
                <w:szCs w:val="18"/>
                <w:lang w:val="en-GB"/>
              </w:rPr>
            </w:pPr>
            <w:r>
              <w:rPr>
                <w:sz w:val="16"/>
              </w:rPr>
              <w:t>4.32</w:t>
            </w:r>
          </w:p>
        </w:tc>
      </w:tr>
      <w:tr w:rsidR="00C9117D" w:rsidRPr="00B57B36" w14:paraId="753B37F9" w14:textId="77777777" w:rsidTr="006348BA">
        <w:trPr>
          <w:jc w:val="center"/>
        </w:trPr>
        <w:tc>
          <w:tcPr>
            <w:tcW w:w="1134" w:type="dxa"/>
            <w:shd w:val="clear" w:color="auto" w:fill="FFFFFF"/>
            <w:vAlign w:val="center"/>
          </w:tcPr>
          <w:p w14:paraId="504F1E20" w14:textId="5F619DE4" w:rsidR="00C9117D" w:rsidRPr="00B57B36" w:rsidRDefault="00C9117D" w:rsidP="00C9117D">
            <w:pPr>
              <w:pStyle w:val="CETBodytext"/>
              <w:ind w:right="-1"/>
              <w:jc w:val="center"/>
              <w:rPr>
                <w:rFonts w:cs="Arial"/>
                <w:szCs w:val="18"/>
                <w:lang w:val="en-GB"/>
              </w:rPr>
            </w:pPr>
            <w:r>
              <w:rPr>
                <w:sz w:val="16"/>
              </w:rPr>
              <w:t>Low temperature</w:t>
            </w:r>
          </w:p>
        </w:tc>
        <w:tc>
          <w:tcPr>
            <w:tcW w:w="1134" w:type="dxa"/>
            <w:shd w:val="clear" w:color="auto" w:fill="FFFFFF"/>
            <w:vAlign w:val="center"/>
          </w:tcPr>
          <w:p w14:paraId="06438087" w14:textId="6A2E2E8C" w:rsidR="00C9117D" w:rsidRPr="00B57B36" w:rsidRDefault="00C9117D" w:rsidP="00C9117D">
            <w:pPr>
              <w:pStyle w:val="CETBodytext"/>
              <w:ind w:right="-1"/>
              <w:jc w:val="center"/>
              <w:rPr>
                <w:rFonts w:cs="Arial"/>
                <w:szCs w:val="18"/>
                <w:lang w:val="en-GB"/>
              </w:rPr>
            </w:pPr>
            <w:r>
              <w:rPr>
                <w:sz w:val="16"/>
              </w:rPr>
              <w:t>1000</w:t>
            </w:r>
          </w:p>
        </w:tc>
        <w:tc>
          <w:tcPr>
            <w:tcW w:w="1134" w:type="dxa"/>
            <w:shd w:val="clear" w:color="auto" w:fill="FFFFFF"/>
            <w:vAlign w:val="center"/>
          </w:tcPr>
          <w:p w14:paraId="66A678C8" w14:textId="08BC951E" w:rsidR="00C9117D" w:rsidRPr="00B57B36" w:rsidRDefault="00C9117D" w:rsidP="00C9117D">
            <w:pPr>
              <w:pStyle w:val="CETBodytext"/>
              <w:ind w:right="-1"/>
              <w:jc w:val="center"/>
              <w:rPr>
                <w:rFonts w:cs="Arial"/>
                <w:szCs w:val="18"/>
                <w:lang w:val="en-GB"/>
              </w:rPr>
            </w:pPr>
            <w:r>
              <w:rPr>
                <w:sz w:val="16"/>
              </w:rPr>
              <w:t>3.99</w:t>
            </w:r>
          </w:p>
        </w:tc>
        <w:tc>
          <w:tcPr>
            <w:tcW w:w="1134" w:type="dxa"/>
            <w:shd w:val="clear" w:color="auto" w:fill="FFFFFF"/>
            <w:vAlign w:val="center"/>
          </w:tcPr>
          <w:p w14:paraId="78C9F45D" w14:textId="0129CE96" w:rsidR="00C9117D" w:rsidRDefault="00C9117D" w:rsidP="00C9117D">
            <w:pPr>
              <w:pStyle w:val="CETBodytext"/>
              <w:ind w:right="-1"/>
              <w:jc w:val="center"/>
              <w:rPr>
                <w:sz w:val="16"/>
              </w:rPr>
            </w:pPr>
            <w:r>
              <w:rPr>
                <w:sz w:val="16"/>
              </w:rPr>
              <w:t>2.23</w:t>
            </w:r>
          </w:p>
        </w:tc>
        <w:tc>
          <w:tcPr>
            <w:tcW w:w="1134" w:type="dxa"/>
            <w:shd w:val="clear" w:color="auto" w:fill="FFFFFF"/>
            <w:vAlign w:val="center"/>
          </w:tcPr>
          <w:p w14:paraId="0511616B" w14:textId="01B8E394" w:rsidR="00C9117D" w:rsidRDefault="00C9117D" w:rsidP="00C9117D">
            <w:pPr>
              <w:pStyle w:val="CETBodytext"/>
              <w:ind w:right="-1"/>
              <w:jc w:val="center"/>
              <w:rPr>
                <w:sz w:val="16"/>
              </w:rPr>
            </w:pPr>
            <w:r>
              <w:rPr>
                <w:sz w:val="16"/>
              </w:rPr>
              <w:t>3.47</w:t>
            </w:r>
          </w:p>
        </w:tc>
        <w:tc>
          <w:tcPr>
            <w:tcW w:w="1134" w:type="dxa"/>
            <w:shd w:val="clear" w:color="auto" w:fill="FFFFFF"/>
            <w:vAlign w:val="center"/>
          </w:tcPr>
          <w:p w14:paraId="10B212DE" w14:textId="50643830" w:rsidR="00C9117D" w:rsidRDefault="00C9117D" w:rsidP="00C9117D">
            <w:pPr>
              <w:pStyle w:val="CETBodytext"/>
              <w:ind w:right="-1"/>
              <w:jc w:val="center"/>
              <w:rPr>
                <w:sz w:val="16"/>
              </w:rPr>
            </w:pPr>
            <w:r>
              <w:rPr>
                <w:sz w:val="16"/>
              </w:rPr>
              <w:t>7.44</w:t>
            </w:r>
          </w:p>
        </w:tc>
        <w:tc>
          <w:tcPr>
            <w:tcW w:w="1134" w:type="dxa"/>
            <w:shd w:val="clear" w:color="auto" w:fill="FFFFFF"/>
            <w:vAlign w:val="center"/>
          </w:tcPr>
          <w:p w14:paraId="1B748446" w14:textId="5728AE45" w:rsidR="00C9117D" w:rsidRPr="00B57B36" w:rsidRDefault="00C9117D" w:rsidP="00C9117D">
            <w:pPr>
              <w:pStyle w:val="CETBodytext"/>
              <w:ind w:right="-1"/>
              <w:jc w:val="center"/>
              <w:rPr>
                <w:rFonts w:cs="Arial"/>
                <w:szCs w:val="18"/>
                <w:lang w:val="en-GB"/>
              </w:rPr>
            </w:pPr>
            <w:r>
              <w:rPr>
                <w:sz w:val="16"/>
              </w:rPr>
              <w:t>19.79</w:t>
            </w:r>
          </w:p>
        </w:tc>
      </w:tr>
    </w:tbl>
    <w:p w14:paraId="10C21779" w14:textId="010B25DF" w:rsidR="00D95D43" w:rsidRDefault="00D95D43" w:rsidP="005141B8">
      <w:pPr>
        <w:pStyle w:val="CETBodytext"/>
      </w:pPr>
    </w:p>
    <w:p w14:paraId="0C948511" w14:textId="42CDFAF4" w:rsidR="005141B8" w:rsidRDefault="005141B8" w:rsidP="005141B8">
      <w:pPr>
        <w:pStyle w:val="CETBodytext"/>
      </w:pPr>
      <w:r>
        <w:t>The complete process comprises reaction, cooling and separation. Acid gas, CO</w:t>
      </w:r>
      <w:r w:rsidRPr="00C9117D">
        <w:rPr>
          <w:vertAlign w:val="subscript"/>
        </w:rPr>
        <w:t>2</w:t>
      </w:r>
      <w:r>
        <w:t xml:space="preserve"> and a small oxygen stream enter the RTR. The effluent is first </w:t>
      </w:r>
      <w:r w:rsidR="00C9117D">
        <w:t xml:space="preserve">quenched </w:t>
      </w:r>
      <w:r>
        <w:t>in a waste-heat boiler</w:t>
      </w:r>
      <w:r w:rsidR="00C9117D">
        <w:t>, where Medium Pressure Steam (MPS) is generated, and then cooled through the regenerative section</w:t>
      </w:r>
      <w:r>
        <w:t>. Rapid cooling is important to suppress recombination</w:t>
      </w:r>
      <w:r w:rsidR="004A0020">
        <w:t xml:space="preserve"> effects</w:t>
      </w:r>
      <w:r>
        <w:t>. Elemental sulfur is condensed and removed, followed by water separation. Remaining SO</w:t>
      </w:r>
      <w:r w:rsidRPr="004A0020">
        <w:rPr>
          <w:vertAlign w:val="subscript"/>
        </w:rPr>
        <w:t>2</w:t>
      </w:r>
      <w:r>
        <w:t xml:space="preserve"> may be handled through dedicated separation or, more advantageously</w:t>
      </w:r>
      <w:r w:rsidR="004A0020">
        <w:t xml:space="preserve"> especially in case of refurbishing</w:t>
      </w:r>
      <w:r>
        <w:t>, through the catalytic train of a Claus unit. Finally, residual H</w:t>
      </w:r>
      <w:r w:rsidRPr="00C9117D">
        <w:rPr>
          <w:vertAlign w:val="subscript"/>
        </w:rPr>
        <w:t>2</w:t>
      </w:r>
      <w:r>
        <w:t>S and CO</w:t>
      </w:r>
      <w:r w:rsidRPr="00C9117D">
        <w:rPr>
          <w:vertAlign w:val="subscript"/>
        </w:rPr>
        <w:t>2</w:t>
      </w:r>
      <w:r>
        <w:t xml:space="preserve"> are removed from the syngas by an acid-gas separation step such as amine absorption</w:t>
      </w:r>
      <w:r w:rsidR="004A0020">
        <w:t xml:space="preserve"> and regeneration</w:t>
      </w:r>
      <w:r>
        <w:t xml:space="preserve"> and are recycled to the RTR.</w:t>
      </w:r>
    </w:p>
    <w:p w14:paraId="390E2464" w14:textId="24741419" w:rsidR="00C9117D" w:rsidRPr="00F40F48" w:rsidRDefault="00C9117D" w:rsidP="00F40F48">
      <w:pPr>
        <w:pStyle w:val="CETheadingx"/>
      </w:pPr>
      <w:r w:rsidRPr="00F40F48">
        <w:t>Surrogate modeling</w:t>
      </w:r>
    </w:p>
    <w:p w14:paraId="3B32141E" w14:textId="77777777" w:rsidR="005141B8" w:rsidRPr="00C81253" w:rsidRDefault="005141B8" w:rsidP="00C81253">
      <w:pPr>
        <w:rPr>
          <w:i/>
          <w:iCs/>
        </w:rPr>
      </w:pPr>
      <w:r w:rsidRPr="00C81253">
        <w:rPr>
          <w:i/>
          <w:iCs/>
        </w:rPr>
        <w:t>Design variables and performance indicators</w:t>
      </w:r>
    </w:p>
    <w:p w14:paraId="7C2B0064" w14:textId="080ADEF6" w:rsidR="00453E24" w:rsidRDefault="00AF4E67" w:rsidP="00453E24">
      <w:pPr>
        <w:pStyle w:val="CETBodytext"/>
      </w:pPr>
      <w:r w:rsidRPr="00AF4E67">
        <w:t xml:space="preserve">Two dimensionless feed ratios </w:t>
      </w:r>
      <w:r w:rsidR="00F40F48">
        <w:t>have been</w:t>
      </w:r>
      <w:r w:rsidRPr="00AF4E67">
        <w:t xml:space="preserve"> investigated </w:t>
      </w:r>
      <w:r w:rsidR="00F40F48">
        <w:t xml:space="preserve">as </w:t>
      </w:r>
      <w:r w:rsidRPr="00AF4E67">
        <w:t>operating window</w:t>
      </w:r>
      <w:r w:rsidR="004A0020">
        <w:t xml:space="preserve"> for AG2S™ process</w:t>
      </w:r>
      <w:r w:rsidR="00F40F48">
        <w:t xml:space="preserve"> (Caspani et al., 2026)</w:t>
      </w:r>
      <w:r w:rsidRPr="00AF4E67">
        <w:t>: H</w:t>
      </w:r>
      <w:r w:rsidRPr="000D1EAA">
        <w:rPr>
          <w:vertAlign w:val="subscript"/>
        </w:rPr>
        <w:t>2</w:t>
      </w:r>
      <w:r w:rsidRPr="00AF4E67">
        <w:t>S/CO</w:t>
      </w:r>
      <w:r w:rsidRPr="000D1EAA">
        <w:rPr>
          <w:vertAlign w:val="subscript"/>
        </w:rPr>
        <w:t>2</w:t>
      </w:r>
      <w:r w:rsidR="000D1EAA" w:rsidRPr="000D1EAA">
        <w:t xml:space="preserve"> </w:t>
      </w:r>
      <w:r w:rsidR="000D1EAA">
        <w:t>ratio</w:t>
      </w:r>
      <w:r w:rsidRPr="00AF4E67">
        <w:t>, which controls the relative availability of reducing species and carbon oxide, and H</w:t>
      </w:r>
      <w:r w:rsidRPr="000D1EAA">
        <w:rPr>
          <w:vertAlign w:val="subscript"/>
        </w:rPr>
        <w:t>2</w:t>
      </w:r>
      <w:r w:rsidRPr="00AF4E67">
        <w:t>S/O</w:t>
      </w:r>
      <w:r w:rsidRPr="000D1EAA">
        <w:rPr>
          <w:vertAlign w:val="subscript"/>
        </w:rPr>
        <w:t>2</w:t>
      </w:r>
      <w:r w:rsidRPr="00AF4E67">
        <w:t>, which controls oxygen availability and therefore the furnace thermal level. The principal responses are overall single-pass H</w:t>
      </w:r>
      <w:r w:rsidRPr="000D1EAA">
        <w:rPr>
          <w:vertAlign w:val="subscript"/>
        </w:rPr>
        <w:t>2</w:t>
      </w:r>
      <w:r w:rsidRPr="00AF4E67">
        <w:t>S conversion, syngas selectivity, syngas molar flow rate and the H</w:t>
      </w:r>
      <w:r w:rsidRPr="000D1EAA">
        <w:rPr>
          <w:vertAlign w:val="subscript"/>
        </w:rPr>
        <w:t>2</w:t>
      </w:r>
      <w:r w:rsidRPr="00AF4E67">
        <w:t xml:space="preserve">/CO molar ratio. The latter is particularly important because </w:t>
      </w:r>
      <w:r w:rsidR="004A0020">
        <w:t>organic</w:t>
      </w:r>
      <w:r w:rsidRPr="00AF4E67">
        <w:t xml:space="preserve"> synthesis typically require substantially more hydrogen-rich feeds than the raw AG2S</w:t>
      </w:r>
      <w:r w:rsidR="000D1EAA">
        <w:t>™</w:t>
      </w:r>
      <w:r w:rsidRPr="00AF4E67">
        <w:t xml:space="preserve"> product. Furnace temperature and waste-heat-boiler outlet temperature are treated as hard process constraints rather than optimization targets.</w:t>
      </w:r>
    </w:p>
    <w:p w14:paraId="1D9C888F" w14:textId="77777777" w:rsidR="00C81253" w:rsidRDefault="00C81253" w:rsidP="00453E24">
      <w:pPr>
        <w:pStyle w:val="CETBodytext"/>
      </w:pPr>
    </w:p>
    <w:p w14:paraId="18BAFA6F" w14:textId="78D46A40" w:rsidR="00453E24" w:rsidRPr="00C81253" w:rsidRDefault="00AF4E67" w:rsidP="00C81253">
      <w:pPr>
        <w:rPr>
          <w:i/>
          <w:iCs/>
        </w:rPr>
      </w:pPr>
      <w:r w:rsidRPr="00C81253">
        <w:rPr>
          <w:i/>
          <w:iCs/>
        </w:rPr>
        <w:t>Reaction and heat-management implications</w:t>
      </w:r>
    </w:p>
    <w:p w14:paraId="7A4F4195" w14:textId="6AB27953" w:rsidR="00AF4E67" w:rsidRPr="00AF4E67" w:rsidRDefault="00AF4E67" w:rsidP="00AF4E67">
      <w:pPr>
        <w:pStyle w:val="CETBodytext"/>
        <w:rPr>
          <w:lang w:val="en-GB"/>
        </w:rPr>
      </w:pPr>
      <w:r w:rsidRPr="00AF4E67">
        <w:rPr>
          <w:lang w:val="en-GB"/>
        </w:rPr>
        <w:t>At high temperature, H</w:t>
      </w:r>
      <w:r w:rsidRPr="000D1EAA">
        <w:rPr>
          <w:vertAlign w:val="subscript"/>
          <w:lang w:val="en-GB"/>
        </w:rPr>
        <w:t>2</w:t>
      </w:r>
      <w:r w:rsidRPr="00AF4E67">
        <w:rPr>
          <w:lang w:val="en-GB"/>
        </w:rPr>
        <w:t>S splitting forms H</w:t>
      </w:r>
      <w:r w:rsidRPr="000D1EAA">
        <w:rPr>
          <w:vertAlign w:val="subscript"/>
          <w:lang w:val="en-GB"/>
        </w:rPr>
        <w:t>2</w:t>
      </w:r>
      <w:r w:rsidRPr="00AF4E67">
        <w:rPr>
          <w:lang w:val="en-GB"/>
        </w:rPr>
        <w:t xml:space="preserve"> and </w:t>
      </w:r>
      <w:proofErr w:type="spellStart"/>
      <w:r w:rsidRPr="00AF4E67">
        <w:rPr>
          <w:lang w:val="en-GB"/>
        </w:rPr>
        <w:t>sulfur</w:t>
      </w:r>
      <w:proofErr w:type="spellEnd"/>
      <w:r w:rsidRPr="00AF4E67">
        <w:rPr>
          <w:lang w:val="en-GB"/>
        </w:rPr>
        <w:t>, while the reaction</w:t>
      </w:r>
      <w:r w:rsidR="004A0020">
        <w:rPr>
          <w:lang w:val="en-GB"/>
        </w:rPr>
        <w:t xml:space="preserve"> (3)</w:t>
      </w:r>
      <w:r w:rsidRPr="00AF4E67">
        <w:rPr>
          <w:lang w:val="en-GB"/>
        </w:rPr>
        <w:t xml:space="preserve"> with CO</w:t>
      </w:r>
      <w:r w:rsidRPr="000D1EAA">
        <w:rPr>
          <w:vertAlign w:val="subscript"/>
          <w:lang w:val="en-GB"/>
        </w:rPr>
        <w:t>2</w:t>
      </w:r>
      <w:r w:rsidRPr="00AF4E67">
        <w:rPr>
          <w:lang w:val="en-GB"/>
        </w:rPr>
        <w:t xml:space="preserve"> produces CO. Both </w:t>
      </w:r>
      <w:r w:rsidR="004A0020">
        <w:rPr>
          <w:lang w:val="en-GB"/>
        </w:rPr>
        <w:t xml:space="preserve">the splitting </w:t>
      </w:r>
      <w:r w:rsidRPr="00AF4E67">
        <w:rPr>
          <w:lang w:val="en-GB"/>
        </w:rPr>
        <w:t>route</w:t>
      </w:r>
      <w:r w:rsidR="004A0020">
        <w:rPr>
          <w:lang w:val="en-GB"/>
        </w:rPr>
        <w:t xml:space="preserve"> and reaction (3)</w:t>
      </w:r>
      <w:r w:rsidRPr="00AF4E67">
        <w:rPr>
          <w:lang w:val="en-GB"/>
        </w:rPr>
        <w:t xml:space="preserve"> are endothermic and benefit from high temperature. Oxygen addition is therefore necessary, but it creates an intrinsic selectivity penalty because complete H</w:t>
      </w:r>
      <w:r w:rsidRPr="000D1EAA">
        <w:rPr>
          <w:vertAlign w:val="subscript"/>
          <w:lang w:val="en-GB"/>
        </w:rPr>
        <w:t>2</w:t>
      </w:r>
      <w:r w:rsidRPr="00AF4E67">
        <w:rPr>
          <w:lang w:val="en-GB"/>
        </w:rPr>
        <w:t>S oxidation produces SO</w:t>
      </w:r>
      <w:r w:rsidRPr="000D1EAA">
        <w:rPr>
          <w:vertAlign w:val="subscript"/>
          <w:lang w:val="en-GB"/>
        </w:rPr>
        <w:t>2</w:t>
      </w:r>
      <w:r w:rsidRPr="00AF4E67">
        <w:rPr>
          <w:lang w:val="en-GB"/>
        </w:rPr>
        <w:t xml:space="preserve"> and H</w:t>
      </w:r>
      <w:r w:rsidRPr="000D1EAA">
        <w:rPr>
          <w:vertAlign w:val="subscript"/>
          <w:lang w:val="en-GB"/>
        </w:rPr>
        <w:t>2</w:t>
      </w:r>
      <w:r w:rsidRPr="00AF4E67">
        <w:rPr>
          <w:lang w:val="en-GB"/>
        </w:rPr>
        <w:t xml:space="preserve">O instead of syngas. The waste heat boiler has a second function in addition to steam generation: its cooling rate determines how effectively the high-temperature </w:t>
      </w:r>
      <w:proofErr w:type="spellStart"/>
      <w:r w:rsidR="004A0020">
        <w:rPr>
          <w:lang w:val="en-GB"/>
        </w:rPr>
        <w:t>radicalic</w:t>
      </w:r>
      <w:proofErr w:type="spellEnd"/>
      <w:r w:rsidR="004A0020">
        <w:rPr>
          <w:lang w:val="en-GB"/>
        </w:rPr>
        <w:t xml:space="preserve"> pool is extinct</w:t>
      </w:r>
      <w:r w:rsidRPr="00AF4E67">
        <w:rPr>
          <w:lang w:val="en-GB"/>
        </w:rPr>
        <w:t>. Slow cooling favours reassociation of H</w:t>
      </w:r>
      <w:r w:rsidRPr="000D1EAA">
        <w:rPr>
          <w:vertAlign w:val="subscript"/>
          <w:lang w:val="en-GB"/>
        </w:rPr>
        <w:t>2</w:t>
      </w:r>
      <w:r w:rsidRPr="00AF4E67">
        <w:rPr>
          <w:lang w:val="en-GB"/>
        </w:rPr>
        <w:t xml:space="preserve"> with </w:t>
      </w:r>
      <w:proofErr w:type="spellStart"/>
      <w:r w:rsidRPr="00AF4E67">
        <w:rPr>
          <w:lang w:val="en-GB"/>
        </w:rPr>
        <w:t>sulfur</w:t>
      </w:r>
      <w:proofErr w:type="spellEnd"/>
      <w:r w:rsidRPr="00AF4E67">
        <w:rPr>
          <w:lang w:val="en-GB"/>
        </w:rPr>
        <w:t xml:space="preserve"> and the formation of COS, reducing recoverable hydrogen and increasing the burden on the catalytic section.</w:t>
      </w:r>
    </w:p>
    <w:p w14:paraId="54438EB4" w14:textId="4D93FD9E" w:rsidR="009825A1" w:rsidRDefault="00AF4E67" w:rsidP="00AF4E67">
      <w:pPr>
        <w:pStyle w:val="CETBodytext"/>
        <w:rPr>
          <w:lang w:val="en-GB"/>
        </w:rPr>
      </w:pPr>
      <w:r w:rsidRPr="00AF4E67">
        <w:rPr>
          <w:lang w:val="en-GB"/>
        </w:rPr>
        <w:t>This thermal-chemical coupling explains the choice of the two feed ratios as design variables. H</w:t>
      </w:r>
      <w:r w:rsidRPr="000D1EAA">
        <w:rPr>
          <w:vertAlign w:val="subscript"/>
          <w:lang w:val="en-GB"/>
        </w:rPr>
        <w:t>2</w:t>
      </w:r>
      <w:r w:rsidRPr="00AF4E67">
        <w:rPr>
          <w:lang w:val="en-GB"/>
        </w:rPr>
        <w:t>S/O</w:t>
      </w:r>
      <w:r w:rsidRPr="000D1EAA">
        <w:rPr>
          <w:vertAlign w:val="subscript"/>
          <w:lang w:val="en-GB"/>
        </w:rPr>
        <w:t>2</w:t>
      </w:r>
      <w:r w:rsidRPr="00AF4E67">
        <w:rPr>
          <w:lang w:val="en-GB"/>
        </w:rPr>
        <w:t xml:space="preserve"> is a direct proxy for combustion intensity, whereas H</w:t>
      </w:r>
      <w:r w:rsidRPr="000D1EAA">
        <w:rPr>
          <w:vertAlign w:val="subscript"/>
          <w:lang w:val="en-GB"/>
        </w:rPr>
        <w:t>2</w:t>
      </w:r>
      <w:r w:rsidRPr="00AF4E67">
        <w:rPr>
          <w:lang w:val="en-GB"/>
        </w:rPr>
        <w:t>S/CO</w:t>
      </w:r>
      <w:r w:rsidRPr="000D1EAA">
        <w:rPr>
          <w:vertAlign w:val="subscript"/>
          <w:lang w:val="en-GB"/>
        </w:rPr>
        <w:t>2</w:t>
      </w:r>
      <w:r w:rsidRPr="00AF4E67">
        <w:rPr>
          <w:lang w:val="en-GB"/>
        </w:rPr>
        <w:t xml:space="preserve"> changes both reaction stoichiometry and the relative availability of carbon for CO formation. Their interaction cannot be interpreted from stoichiometry alone and motivates the use of the detailed simulation as the data-generating model.</w:t>
      </w:r>
    </w:p>
    <w:p w14:paraId="3EF805CD" w14:textId="44F1F86C" w:rsidR="005B0FBC" w:rsidRPr="00B57B36" w:rsidRDefault="004720E1" w:rsidP="005B0FBC">
      <w:pPr>
        <w:pStyle w:val="CETHeading1"/>
        <w:rPr>
          <w:lang w:val="en-GB"/>
        </w:rPr>
      </w:pPr>
      <w:r>
        <w:rPr>
          <w:lang w:val="en-GB"/>
        </w:rPr>
        <w:t>Syngas c</w:t>
      </w:r>
      <w:r w:rsidR="005B0FBC">
        <w:rPr>
          <w:lang w:val="en-GB"/>
        </w:rPr>
        <w:t xml:space="preserve">onversion </w:t>
      </w:r>
      <w:r>
        <w:rPr>
          <w:lang w:val="en-GB"/>
        </w:rPr>
        <w:t>in</w:t>
      </w:r>
      <w:r w:rsidR="005B0FBC">
        <w:rPr>
          <w:lang w:val="en-GB"/>
        </w:rPr>
        <w:t>to methanol</w:t>
      </w:r>
    </w:p>
    <w:p w14:paraId="071F62CE" w14:textId="55A1FF32" w:rsidR="00BE4B8E" w:rsidRDefault="005B0FBC" w:rsidP="005B0FBC">
      <w:pPr>
        <w:pStyle w:val="CETBodytext"/>
        <w:rPr>
          <w:lang w:val="en-GB"/>
        </w:rPr>
      </w:pPr>
      <w:r>
        <w:rPr>
          <w:lang w:val="en-GB"/>
        </w:rPr>
        <w:t xml:space="preserve">AG2S™ process acts in substitution of syngas generation units such as reformers or gasifiers. Then, whatever syngas-based synthesis is simplified in terms of process layout in case of green or brown fields or the </w:t>
      </w:r>
      <w:r w:rsidR="00EE1A72">
        <w:rPr>
          <w:lang w:val="en-GB"/>
        </w:rPr>
        <w:t>synthesis</w:t>
      </w:r>
      <w:r>
        <w:rPr>
          <w:lang w:val="en-GB"/>
        </w:rPr>
        <w:t xml:space="preserve"> is boosted in case of refurbished fields.</w:t>
      </w:r>
      <w:r w:rsidR="00C81253">
        <w:rPr>
          <w:lang w:val="en-GB"/>
        </w:rPr>
        <w:t xml:space="preserve"> </w:t>
      </w:r>
      <w:r w:rsidR="00EE1A72">
        <w:rPr>
          <w:lang w:val="en-GB"/>
        </w:rPr>
        <w:t>M</w:t>
      </w:r>
      <w:r>
        <w:rPr>
          <w:lang w:val="en-GB"/>
        </w:rPr>
        <w:t>ethanol synthesis</w:t>
      </w:r>
      <w:r w:rsidR="00EE1A72">
        <w:rPr>
          <w:lang w:val="en-GB"/>
        </w:rPr>
        <w:t xml:space="preserve"> is selected as case-study and it is integrated to AG2S™ process as in the B</w:t>
      </w:r>
      <w:r>
        <w:rPr>
          <w:lang w:val="en-GB"/>
        </w:rPr>
        <w:t xml:space="preserve">lock </w:t>
      </w:r>
      <w:r w:rsidR="00EE1A72">
        <w:rPr>
          <w:lang w:val="en-GB"/>
        </w:rPr>
        <w:t>F</w:t>
      </w:r>
      <w:r>
        <w:rPr>
          <w:lang w:val="en-GB"/>
        </w:rPr>
        <w:t xml:space="preserve">low </w:t>
      </w:r>
      <w:r w:rsidR="00EE1A72">
        <w:rPr>
          <w:lang w:val="en-GB"/>
        </w:rPr>
        <w:t>D</w:t>
      </w:r>
      <w:r>
        <w:rPr>
          <w:lang w:val="en-GB"/>
        </w:rPr>
        <w:t>iagram</w:t>
      </w:r>
      <w:r w:rsidR="00EE1A72">
        <w:rPr>
          <w:lang w:val="en-GB"/>
        </w:rPr>
        <w:t xml:space="preserve"> (BFD)</w:t>
      </w:r>
      <w:r>
        <w:rPr>
          <w:lang w:val="en-GB"/>
        </w:rPr>
        <w:t xml:space="preserve"> reported in Figure 2. </w:t>
      </w:r>
      <w:r w:rsidR="00EE1A72">
        <w:rPr>
          <w:lang w:val="en-GB"/>
        </w:rPr>
        <w:t>The s</w:t>
      </w:r>
      <w:r w:rsidR="00BE4B8E">
        <w:rPr>
          <w:lang w:val="en-GB"/>
        </w:rPr>
        <w:t>yngas is purified by:</w:t>
      </w:r>
    </w:p>
    <w:p w14:paraId="7C2459B6" w14:textId="77777777" w:rsidR="001F3AFF" w:rsidRDefault="001F3AFF" w:rsidP="005B0FBC">
      <w:pPr>
        <w:pStyle w:val="CETBodytext"/>
        <w:rPr>
          <w:lang w:val="en-GB"/>
        </w:rPr>
      </w:pPr>
    </w:p>
    <w:p w14:paraId="2D1A603C" w14:textId="7C046F47" w:rsidR="005B0FBC" w:rsidRDefault="00BE4B8E" w:rsidP="00BE4B8E">
      <w:pPr>
        <w:pStyle w:val="CETBodytext"/>
        <w:numPr>
          <w:ilvl w:val="0"/>
          <w:numId w:val="32"/>
        </w:numPr>
        <w:rPr>
          <w:lang w:val="en-GB"/>
        </w:rPr>
      </w:pPr>
      <w:r>
        <w:rPr>
          <w:lang w:val="en-GB"/>
        </w:rPr>
        <w:t>SO</w:t>
      </w:r>
      <w:r w:rsidRPr="00BE4B8E">
        <w:rPr>
          <w:vertAlign w:val="subscript"/>
          <w:lang w:val="en-GB"/>
        </w:rPr>
        <w:t>2</w:t>
      </w:r>
      <w:r>
        <w:rPr>
          <w:lang w:val="en-GB"/>
        </w:rPr>
        <w:t xml:space="preserve"> generated in reaction (1) by means of a single catalytic converter for Claus reaction (2);</w:t>
      </w:r>
    </w:p>
    <w:p w14:paraId="4DFFB8C7" w14:textId="3362EBB2" w:rsidR="00BE4B8E" w:rsidRDefault="00BE4B8E" w:rsidP="00BE4B8E">
      <w:pPr>
        <w:pStyle w:val="CETBodytext"/>
        <w:numPr>
          <w:ilvl w:val="0"/>
          <w:numId w:val="32"/>
        </w:numPr>
        <w:rPr>
          <w:lang w:val="en-GB"/>
        </w:rPr>
      </w:pPr>
      <w:r>
        <w:rPr>
          <w:lang w:val="en-GB"/>
        </w:rPr>
        <w:t>Organo-</w:t>
      </w:r>
      <w:proofErr w:type="spellStart"/>
      <w:r>
        <w:rPr>
          <w:lang w:val="en-GB"/>
        </w:rPr>
        <w:t>sulfur</w:t>
      </w:r>
      <w:proofErr w:type="spellEnd"/>
      <w:r>
        <w:rPr>
          <w:lang w:val="en-GB"/>
        </w:rPr>
        <w:t xml:space="preserve"> species such as COS and CS</w:t>
      </w:r>
      <w:r w:rsidRPr="00DA6240">
        <w:rPr>
          <w:vertAlign w:val="subscript"/>
          <w:lang w:val="en-GB"/>
        </w:rPr>
        <w:t>2</w:t>
      </w:r>
      <w:r>
        <w:rPr>
          <w:lang w:val="en-GB"/>
        </w:rPr>
        <w:t xml:space="preserve"> (tens/hundreds of ppm) by means of catalytic hydrolyser;</w:t>
      </w:r>
    </w:p>
    <w:p w14:paraId="74F8CF19" w14:textId="7F143F14" w:rsidR="00BE4B8E" w:rsidRDefault="00BE4B8E" w:rsidP="00BE4B8E">
      <w:pPr>
        <w:pStyle w:val="CETBodytext"/>
        <w:numPr>
          <w:ilvl w:val="0"/>
          <w:numId w:val="32"/>
        </w:numPr>
        <w:rPr>
          <w:lang w:val="en-GB"/>
        </w:rPr>
      </w:pPr>
      <w:proofErr w:type="spellStart"/>
      <w:r>
        <w:rPr>
          <w:lang w:val="en-GB"/>
        </w:rPr>
        <w:t>Sulfur</w:t>
      </w:r>
      <w:proofErr w:type="spellEnd"/>
      <w:r>
        <w:rPr>
          <w:lang w:val="en-GB"/>
        </w:rPr>
        <w:t xml:space="preserve"> </w:t>
      </w:r>
      <w:proofErr w:type="spellStart"/>
      <w:r>
        <w:rPr>
          <w:lang w:val="en-GB"/>
        </w:rPr>
        <w:t>vapors</w:t>
      </w:r>
      <w:proofErr w:type="spellEnd"/>
      <w:r>
        <w:rPr>
          <w:lang w:val="en-GB"/>
        </w:rPr>
        <w:t xml:space="preserve"> (mainly S</w:t>
      </w:r>
      <w:r w:rsidRPr="00BE4B8E">
        <w:rPr>
          <w:vertAlign w:val="subscript"/>
          <w:lang w:val="en-GB"/>
        </w:rPr>
        <w:t>8</w:t>
      </w:r>
      <w:r>
        <w:rPr>
          <w:lang w:val="en-GB"/>
        </w:rPr>
        <w:t xml:space="preserve"> allotrope, tens of ppm) by means of catalytic hydrogenation</w:t>
      </w:r>
      <w:r w:rsidR="00623CE9">
        <w:rPr>
          <w:lang w:val="en-GB"/>
        </w:rPr>
        <w:t>;</w:t>
      </w:r>
    </w:p>
    <w:p w14:paraId="512DED7B" w14:textId="6DC081A0" w:rsidR="00BE4B8E" w:rsidRDefault="00BE4B8E" w:rsidP="00BE4B8E">
      <w:pPr>
        <w:pStyle w:val="CETBodytext"/>
        <w:numPr>
          <w:ilvl w:val="0"/>
          <w:numId w:val="32"/>
        </w:numPr>
        <w:rPr>
          <w:lang w:val="en-GB"/>
        </w:rPr>
      </w:pPr>
      <w:r>
        <w:rPr>
          <w:lang w:val="en-GB"/>
        </w:rPr>
        <w:t>Non reacted</w:t>
      </w:r>
      <w:r w:rsidR="00623CE9">
        <w:rPr>
          <w:lang w:val="en-GB"/>
        </w:rPr>
        <w:t xml:space="preserve"> H</w:t>
      </w:r>
      <w:r w:rsidR="00623CE9" w:rsidRPr="00623CE9">
        <w:rPr>
          <w:vertAlign w:val="subscript"/>
          <w:lang w:val="en-GB"/>
        </w:rPr>
        <w:t>2</w:t>
      </w:r>
      <w:r w:rsidR="00623CE9">
        <w:rPr>
          <w:lang w:val="en-GB"/>
        </w:rPr>
        <w:t>S and CO</w:t>
      </w:r>
      <w:r w:rsidR="00623CE9" w:rsidRPr="00623CE9">
        <w:rPr>
          <w:vertAlign w:val="subscript"/>
          <w:lang w:val="en-GB"/>
        </w:rPr>
        <w:t>2</w:t>
      </w:r>
      <w:r w:rsidR="00623CE9">
        <w:rPr>
          <w:lang w:val="en-GB"/>
        </w:rPr>
        <w:t xml:space="preserve"> by means of amine washing.</w:t>
      </w:r>
    </w:p>
    <w:p w14:paraId="25FC05F4" w14:textId="77777777" w:rsidR="001F3AFF" w:rsidRDefault="001F3AFF" w:rsidP="005B0FBC">
      <w:pPr>
        <w:pStyle w:val="CETBodytext"/>
        <w:rPr>
          <w:lang w:val="en-GB"/>
        </w:rPr>
      </w:pPr>
    </w:p>
    <w:p w14:paraId="71DE4F3E" w14:textId="5F8769D4" w:rsidR="003C283A" w:rsidRDefault="008F3FF4" w:rsidP="005B0FBC">
      <w:pPr>
        <w:pStyle w:val="CETBodytext"/>
        <w:rPr>
          <w:lang w:val="en-GB"/>
        </w:rPr>
      </w:pPr>
      <w:r>
        <w:rPr>
          <w:lang w:val="en-GB"/>
        </w:rPr>
        <w:t>Syngas conditioning is performed by water-gas shift unit including sequestration of CO</w:t>
      </w:r>
      <w:r w:rsidRPr="008F3FF4">
        <w:rPr>
          <w:vertAlign w:val="subscript"/>
          <w:lang w:val="en-GB"/>
        </w:rPr>
        <w:t>2</w:t>
      </w:r>
      <w:r>
        <w:rPr>
          <w:lang w:val="en-GB"/>
        </w:rPr>
        <w:t xml:space="preserve"> surplus. Methanol synthesis is performed </w:t>
      </w:r>
      <w:r w:rsidR="009E2076">
        <w:rPr>
          <w:lang w:val="en-GB"/>
        </w:rPr>
        <w:t xml:space="preserve">by means of </w:t>
      </w:r>
      <w:proofErr w:type="spellStart"/>
      <w:r w:rsidR="009E2076">
        <w:rPr>
          <w:lang w:val="en-GB"/>
        </w:rPr>
        <w:t>MeOHmax</w:t>
      </w:r>
      <w:proofErr w:type="spellEnd"/>
      <w:r w:rsidR="009E2076">
        <w:rPr>
          <w:lang w:val="en-GB"/>
        </w:rPr>
        <w:t>™ process and DZMR™ reactor (</w:t>
      </w:r>
      <w:r w:rsidR="000805A4">
        <w:rPr>
          <w:lang w:val="en-GB"/>
        </w:rPr>
        <w:t xml:space="preserve">Leonzio et al., 2025; </w:t>
      </w:r>
      <w:r w:rsidR="009E2076">
        <w:rPr>
          <w:lang w:val="en-GB"/>
        </w:rPr>
        <w:t>Manenti and Manenti, 2026). Specifically, a series of two DZMR™ with intermediate product recovery is adopted. At last, purification of methanol/water mixture is performed by means of pre-flash tower to remove dissolved incondensable gases and primary distillation column for methanol/water splitting. No impurities have been considered.</w:t>
      </w:r>
    </w:p>
    <w:p w14:paraId="767E78BE" w14:textId="41DA6194" w:rsidR="005B0FBC" w:rsidRDefault="004720E1" w:rsidP="005B0FBC">
      <w:pPr>
        <w:pStyle w:val="CETBodytext"/>
        <w:rPr>
          <w:lang w:val="en-GB"/>
        </w:rPr>
      </w:pPr>
      <w:r>
        <w:rPr>
          <w:lang w:val="en-GB"/>
        </w:rPr>
        <w:t>A Process Flow Diagram</w:t>
      </w:r>
      <w:r w:rsidR="0044447B">
        <w:rPr>
          <w:lang w:val="en-GB"/>
        </w:rPr>
        <w:t xml:space="preserve"> (PFD)</w:t>
      </w:r>
      <w:r>
        <w:rPr>
          <w:lang w:val="en-GB"/>
        </w:rPr>
        <w:t xml:space="preserve"> implemented using </w:t>
      </w:r>
      <w:proofErr w:type="spellStart"/>
      <w:r>
        <w:rPr>
          <w:lang w:val="en-GB"/>
        </w:rPr>
        <w:t>AspenHysys</w:t>
      </w:r>
      <w:proofErr w:type="spellEnd"/>
      <w:r>
        <w:rPr>
          <w:lang w:val="en-GB"/>
        </w:rPr>
        <w:t xml:space="preserve"> is reported in Figure 3. Syngas coming from AG2S™ unit is compressed to 63 bara using multi-stage intercooled compressor. Gas is further heated up to 250°C before entering DZMR™ reactor.</w:t>
      </w:r>
      <w:r w:rsidR="0044447B">
        <w:rPr>
          <w:lang w:val="en-GB"/>
        </w:rPr>
        <w:t xml:space="preserve"> Vanden </w:t>
      </w:r>
      <w:proofErr w:type="spellStart"/>
      <w:r w:rsidR="0044447B">
        <w:rPr>
          <w:lang w:val="en-GB"/>
        </w:rPr>
        <w:t>Bussche</w:t>
      </w:r>
      <w:proofErr w:type="spellEnd"/>
      <w:r w:rsidR="0044447B">
        <w:rPr>
          <w:lang w:val="en-GB"/>
        </w:rPr>
        <w:t xml:space="preserve"> and </w:t>
      </w:r>
      <w:proofErr w:type="spellStart"/>
      <w:r w:rsidR="0044447B">
        <w:rPr>
          <w:lang w:val="en-GB"/>
        </w:rPr>
        <w:t>Froment</w:t>
      </w:r>
      <w:proofErr w:type="spellEnd"/>
      <w:r w:rsidR="0044447B">
        <w:rPr>
          <w:lang w:val="en-GB"/>
        </w:rPr>
        <w:t xml:space="preserve"> (Vanden </w:t>
      </w:r>
      <w:proofErr w:type="spellStart"/>
      <w:r w:rsidR="0044447B">
        <w:rPr>
          <w:lang w:val="en-GB"/>
        </w:rPr>
        <w:t>Bussche</w:t>
      </w:r>
      <w:proofErr w:type="spellEnd"/>
      <w:r w:rsidR="0044447B">
        <w:rPr>
          <w:lang w:val="en-GB"/>
        </w:rPr>
        <w:t xml:space="preserve"> and </w:t>
      </w:r>
      <w:proofErr w:type="spellStart"/>
      <w:r w:rsidR="0044447B">
        <w:rPr>
          <w:lang w:val="en-GB"/>
        </w:rPr>
        <w:t>Froment</w:t>
      </w:r>
      <w:proofErr w:type="spellEnd"/>
      <w:r w:rsidR="0044447B">
        <w:rPr>
          <w:lang w:val="en-GB"/>
        </w:rPr>
        <w:t xml:space="preserve">, 1996) kinetics has been adopted and implemented in </w:t>
      </w:r>
      <w:proofErr w:type="spellStart"/>
      <w:r w:rsidR="0044447B">
        <w:rPr>
          <w:lang w:val="en-GB"/>
        </w:rPr>
        <w:t>AspenHysys</w:t>
      </w:r>
      <w:proofErr w:type="spellEnd"/>
      <w:r w:rsidR="0044447B">
        <w:rPr>
          <w:lang w:val="en-GB"/>
        </w:rPr>
        <w:t xml:space="preserve"> according to literature standards (Bisotti et al., 2022).</w:t>
      </w:r>
      <w:r>
        <w:rPr>
          <w:lang w:val="en-GB"/>
        </w:rPr>
        <w:t xml:space="preserve"> Non reacted syngas is recycle</w:t>
      </w:r>
      <w:r w:rsidR="00DA6240">
        <w:rPr>
          <w:lang w:val="en-GB"/>
        </w:rPr>
        <w:t>d</w:t>
      </w:r>
      <w:r>
        <w:rPr>
          <w:lang w:val="en-GB"/>
        </w:rPr>
        <w:t xml:space="preserve"> back to the synthesis by means of a booster, whereas the liquid condensate containing methanol and water is collected and sent to the downstream section. Downstream section consists of a first </w:t>
      </w:r>
      <w:r w:rsidR="00DA6240">
        <w:rPr>
          <w:lang w:val="en-GB"/>
        </w:rPr>
        <w:t xml:space="preserve">low-pressure </w:t>
      </w:r>
      <w:r>
        <w:rPr>
          <w:lang w:val="en-GB"/>
        </w:rPr>
        <w:t xml:space="preserve">vessel </w:t>
      </w:r>
      <w:r w:rsidR="00EE1A72">
        <w:rPr>
          <w:lang w:val="en-GB"/>
        </w:rPr>
        <w:t xml:space="preserve">operating at 3 bara </w:t>
      </w:r>
      <w:r>
        <w:rPr>
          <w:lang w:val="en-GB"/>
        </w:rPr>
        <w:t xml:space="preserve">to remove the majority </w:t>
      </w:r>
      <w:r w:rsidR="00DA6240">
        <w:rPr>
          <w:lang w:val="en-GB"/>
        </w:rPr>
        <w:t>of incondensable gases to be supplied to the flaring line, the pre-flash operating at 1.5 bara and 8 stages</w:t>
      </w:r>
      <w:r w:rsidR="00EE1A72">
        <w:rPr>
          <w:lang w:val="en-GB"/>
        </w:rPr>
        <w:t xml:space="preserve"> to stabilize the liquid product</w:t>
      </w:r>
      <w:r w:rsidR="00DA6240">
        <w:rPr>
          <w:lang w:val="en-GB"/>
        </w:rPr>
        <w:t>,</w:t>
      </w:r>
      <w:r w:rsidR="00EE1A72">
        <w:rPr>
          <w:lang w:val="en-GB"/>
        </w:rPr>
        <w:t xml:space="preserve"> and</w:t>
      </w:r>
      <w:r w:rsidR="00DA6240">
        <w:rPr>
          <w:lang w:val="en-GB"/>
        </w:rPr>
        <w:t xml:space="preserve"> the primary distillation column operating at 3 bara and 40 stages. Without considering any impurity, IMPCA standard grade is achieved with 27 stages; a rough overdesign of 50% have been adopted to account for </w:t>
      </w:r>
      <w:r w:rsidR="00EE1A72">
        <w:rPr>
          <w:lang w:val="en-GB"/>
        </w:rPr>
        <w:t>impurities (</w:t>
      </w:r>
      <w:r w:rsidR="00EE1A72" w:rsidRPr="00EE1A72">
        <w:rPr>
          <w:i/>
          <w:iCs/>
          <w:lang w:val="en-GB"/>
        </w:rPr>
        <w:t>e.g.</w:t>
      </w:r>
      <w:r w:rsidR="00EE1A72">
        <w:rPr>
          <w:lang w:val="en-GB"/>
        </w:rPr>
        <w:t>, ethanol, di-methyl-ether)</w:t>
      </w:r>
      <w:r w:rsidR="00DA6240">
        <w:rPr>
          <w:lang w:val="en-GB"/>
        </w:rPr>
        <w:t>. At last, a methanol storage is modelled at 2.5 bara of operating pressure. Energy integration between AG</w:t>
      </w:r>
      <w:r w:rsidR="00D94EE9">
        <w:rPr>
          <w:lang w:val="en-GB"/>
        </w:rPr>
        <w:t>2</w:t>
      </w:r>
      <w:r w:rsidR="00DA6240">
        <w:rPr>
          <w:lang w:val="en-GB"/>
        </w:rPr>
        <w:t xml:space="preserve">S™ unit and methanol synthesis is also feasible, but not considered </w:t>
      </w:r>
      <w:r w:rsidR="00EE1A72">
        <w:rPr>
          <w:lang w:val="en-GB"/>
        </w:rPr>
        <w:t>for</w:t>
      </w:r>
      <w:r w:rsidR="00DA6240">
        <w:rPr>
          <w:lang w:val="en-GB"/>
        </w:rPr>
        <w:t xml:space="preserve"> the current contribution.</w:t>
      </w:r>
    </w:p>
    <w:p w14:paraId="1C054506" w14:textId="69CB1B40" w:rsidR="00DA6240" w:rsidRPr="00B57B36" w:rsidRDefault="00DA6240" w:rsidP="00DA6240">
      <w:pPr>
        <w:pStyle w:val="CETHeading1"/>
        <w:rPr>
          <w:lang w:val="en-GB"/>
        </w:rPr>
      </w:pPr>
      <w:r>
        <w:rPr>
          <w:lang w:val="en-GB"/>
        </w:rPr>
        <w:t>Process analysis</w:t>
      </w:r>
    </w:p>
    <w:p w14:paraId="73D012D5" w14:textId="4DFEC597" w:rsidR="00D94EE9" w:rsidRDefault="00DA6240" w:rsidP="00DA6240">
      <w:pPr>
        <w:pStyle w:val="CETBodytext"/>
        <w:rPr>
          <w:lang w:val="en-GB"/>
        </w:rPr>
      </w:pPr>
      <w:r>
        <w:rPr>
          <w:lang w:val="en-GB"/>
        </w:rPr>
        <w:t xml:space="preserve">According to Table 1 and to detailed modelling and simulation of Paragraphs 2 and 3, methanol production would ideally range between 1.94 </w:t>
      </w:r>
      <w:r w:rsidR="007C3A56">
        <w:rPr>
          <w:lang w:val="en-GB"/>
        </w:rPr>
        <w:t>–</w:t>
      </w:r>
      <w:r>
        <w:rPr>
          <w:lang w:val="en-GB"/>
        </w:rPr>
        <w:t xml:space="preserve"> </w:t>
      </w:r>
      <w:r w:rsidR="007C3A56">
        <w:rPr>
          <w:lang w:val="en-GB"/>
        </w:rPr>
        <w:t xml:space="preserve">3.67 </w:t>
      </w:r>
      <w:proofErr w:type="spellStart"/>
      <w:r w:rsidR="007C3A56">
        <w:rPr>
          <w:lang w:val="en-GB"/>
        </w:rPr>
        <w:t>kmol</w:t>
      </w:r>
      <w:proofErr w:type="spellEnd"/>
      <w:r w:rsidR="007C3A56">
        <w:rPr>
          <w:lang w:val="en-GB"/>
        </w:rPr>
        <w:t xml:space="preserve"> per unit of time having fixed </w:t>
      </w:r>
      <w:r w:rsidR="00D94EE9">
        <w:rPr>
          <w:lang w:val="en-GB"/>
        </w:rPr>
        <w:t>the following operating specs:</w:t>
      </w:r>
    </w:p>
    <w:p w14:paraId="41EF02C7" w14:textId="77777777" w:rsidR="001F3AFF" w:rsidRDefault="001F3AFF" w:rsidP="00DA6240">
      <w:pPr>
        <w:pStyle w:val="CETBodytext"/>
        <w:rPr>
          <w:lang w:val="en-GB"/>
        </w:rPr>
      </w:pPr>
    </w:p>
    <w:p w14:paraId="1459D054" w14:textId="54954080" w:rsidR="00D94EE9" w:rsidRDefault="007C3A56" w:rsidP="00D94EE9">
      <w:pPr>
        <w:pStyle w:val="CETBodytext"/>
        <w:numPr>
          <w:ilvl w:val="0"/>
          <w:numId w:val="33"/>
        </w:numPr>
        <w:rPr>
          <w:lang w:val="en-GB"/>
        </w:rPr>
      </w:pPr>
      <w:r>
        <w:rPr>
          <w:lang w:val="en-GB"/>
        </w:rPr>
        <w:t xml:space="preserve">5% </w:t>
      </w:r>
      <w:r w:rsidR="00D94EE9">
        <w:rPr>
          <w:lang w:val="en-GB"/>
        </w:rPr>
        <w:t>of</w:t>
      </w:r>
      <w:r>
        <w:rPr>
          <w:lang w:val="en-GB"/>
        </w:rPr>
        <w:t xml:space="preserve"> purge of syngas</w:t>
      </w:r>
      <w:r w:rsidR="00D94EE9">
        <w:rPr>
          <w:lang w:val="en-GB"/>
        </w:rPr>
        <w:t xml:space="preserve"> recycle</w:t>
      </w:r>
      <w:r>
        <w:rPr>
          <w:lang w:val="en-GB"/>
        </w:rPr>
        <w:t xml:space="preserve"> in the methanol synthesis</w:t>
      </w:r>
      <w:r w:rsidR="00D94EE9">
        <w:rPr>
          <w:lang w:val="en-GB"/>
        </w:rPr>
        <w:t>;</w:t>
      </w:r>
    </w:p>
    <w:p w14:paraId="1C090435" w14:textId="77777777" w:rsidR="00D94EE9" w:rsidRDefault="007C3A56" w:rsidP="00D94EE9">
      <w:pPr>
        <w:pStyle w:val="CETBodytext"/>
        <w:numPr>
          <w:ilvl w:val="0"/>
          <w:numId w:val="33"/>
        </w:numPr>
        <w:rPr>
          <w:lang w:val="en-GB"/>
        </w:rPr>
      </w:pPr>
      <w:r>
        <w:rPr>
          <w:lang w:val="en-GB"/>
        </w:rPr>
        <w:t xml:space="preserve">1% </w:t>
      </w:r>
      <w:r w:rsidR="00D94EE9">
        <w:rPr>
          <w:lang w:val="en-GB"/>
        </w:rPr>
        <w:t>of</w:t>
      </w:r>
      <w:r>
        <w:rPr>
          <w:lang w:val="en-GB"/>
        </w:rPr>
        <w:t xml:space="preserve"> methanol fraction </w:t>
      </w:r>
      <w:r w:rsidR="00D94EE9">
        <w:rPr>
          <w:lang w:val="en-GB"/>
        </w:rPr>
        <w:t xml:space="preserve">lost </w:t>
      </w:r>
      <w:r>
        <w:rPr>
          <w:lang w:val="en-GB"/>
        </w:rPr>
        <w:t>at the bottom of the primary distillation unit</w:t>
      </w:r>
      <w:r w:rsidR="00D94EE9">
        <w:rPr>
          <w:lang w:val="en-GB"/>
        </w:rPr>
        <w:t>.</w:t>
      </w:r>
    </w:p>
    <w:p w14:paraId="0739ECA6" w14:textId="77777777" w:rsidR="001F3AFF" w:rsidRDefault="001F3AFF" w:rsidP="00D94EE9">
      <w:pPr>
        <w:pStyle w:val="CETBodytext"/>
        <w:rPr>
          <w:lang w:val="en-GB"/>
        </w:rPr>
      </w:pPr>
    </w:p>
    <w:p w14:paraId="4D7D759E" w14:textId="09BB6915" w:rsidR="00487793" w:rsidRDefault="007C3A56" w:rsidP="00D94EE9">
      <w:pPr>
        <w:pStyle w:val="CETBodytext"/>
        <w:rPr>
          <w:lang w:val="en-GB"/>
        </w:rPr>
      </w:pPr>
      <w:r w:rsidRPr="00D94EE9">
        <w:rPr>
          <w:lang w:val="en-GB"/>
        </w:rPr>
        <w:t xml:space="preserve">Taking into consideration compact and modular processes for methanol synthesis such as </w:t>
      </w:r>
      <w:proofErr w:type="spellStart"/>
      <w:r w:rsidRPr="00D94EE9">
        <w:rPr>
          <w:lang w:val="en-GB"/>
        </w:rPr>
        <w:t>MeOHmax</w:t>
      </w:r>
      <w:proofErr w:type="spellEnd"/>
      <w:r w:rsidRPr="00D94EE9">
        <w:rPr>
          <w:lang w:val="en-GB"/>
        </w:rPr>
        <w:t xml:space="preserve">™, </w:t>
      </w:r>
      <w:r w:rsidR="00487793">
        <w:rPr>
          <w:lang w:val="en-GB"/>
        </w:rPr>
        <w:t xml:space="preserve">reasonable </w:t>
      </w:r>
      <w:proofErr w:type="spellStart"/>
      <w:r w:rsidRPr="00D94EE9">
        <w:rPr>
          <w:lang w:val="en-GB"/>
        </w:rPr>
        <w:t>CapEx</w:t>
      </w:r>
      <w:proofErr w:type="spellEnd"/>
      <w:r w:rsidRPr="00D94EE9">
        <w:rPr>
          <w:lang w:val="en-GB"/>
        </w:rPr>
        <w:t xml:space="preserve"> breakeven</w:t>
      </w:r>
      <w:r w:rsidR="00487793">
        <w:rPr>
          <w:lang w:val="en-GB"/>
        </w:rPr>
        <w:t xml:space="preserve"> based on author experience</w:t>
      </w:r>
      <w:r w:rsidRPr="00D94EE9">
        <w:rPr>
          <w:lang w:val="en-GB"/>
        </w:rPr>
        <w:t xml:space="preserve"> is in the order of 3 kt/y of IMPCA grade methanol production starting from biogas</w:t>
      </w:r>
      <w:r w:rsidR="00D94EE9">
        <w:rPr>
          <w:lang w:val="en-GB"/>
        </w:rPr>
        <w:t>/biomethane</w:t>
      </w:r>
      <w:r w:rsidR="00EE1A72">
        <w:rPr>
          <w:lang w:val="en-GB"/>
        </w:rPr>
        <w:t>/methane</w:t>
      </w:r>
      <w:r w:rsidRPr="00D94EE9">
        <w:rPr>
          <w:lang w:val="en-GB"/>
        </w:rPr>
        <w:t xml:space="preserve">. </w:t>
      </w:r>
      <w:r w:rsidR="00D94EE9">
        <w:rPr>
          <w:lang w:val="en-GB"/>
        </w:rPr>
        <w:t xml:space="preserve">In the case of AG2S™ </w:t>
      </w:r>
      <w:r w:rsidR="00EE1A72">
        <w:rPr>
          <w:lang w:val="en-GB"/>
        </w:rPr>
        <w:t xml:space="preserve">process </w:t>
      </w:r>
      <w:r w:rsidR="00D94EE9">
        <w:rPr>
          <w:lang w:val="en-GB"/>
        </w:rPr>
        <w:t>combined with methanol synthesis,</w:t>
      </w:r>
      <w:r w:rsidR="00487793">
        <w:rPr>
          <w:lang w:val="en-GB"/>
        </w:rPr>
        <w:t xml:space="preserve"> the breakeven would be therefore consistently achieved with 120 </w:t>
      </w:r>
      <w:proofErr w:type="spellStart"/>
      <w:r w:rsidR="00487793">
        <w:rPr>
          <w:lang w:val="en-GB"/>
        </w:rPr>
        <w:t>kmol</w:t>
      </w:r>
      <w:proofErr w:type="spellEnd"/>
      <w:r w:rsidR="00487793">
        <w:rPr>
          <w:lang w:val="en-GB"/>
        </w:rPr>
        <w:t>/h of H</w:t>
      </w:r>
      <w:r w:rsidR="00487793" w:rsidRPr="00487793">
        <w:rPr>
          <w:vertAlign w:val="subscript"/>
          <w:lang w:val="en-GB"/>
        </w:rPr>
        <w:t>2</w:t>
      </w:r>
      <w:r w:rsidR="00487793">
        <w:rPr>
          <w:lang w:val="en-GB"/>
        </w:rPr>
        <w:t xml:space="preserve">S and 40 </w:t>
      </w:r>
      <w:proofErr w:type="spellStart"/>
      <w:r w:rsidR="00487793">
        <w:rPr>
          <w:lang w:val="en-GB"/>
        </w:rPr>
        <w:t>kmol</w:t>
      </w:r>
      <w:proofErr w:type="spellEnd"/>
      <w:r w:rsidR="00487793">
        <w:rPr>
          <w:lang w:val="en-GB"/>
        </w:rPr>
        <w:t>/h of CO</w:t>
      </w:r>
      <w:r w:rsidR="00487793" w:rsidRPr="00487793">
        <w:rPr>
          <w:vertAlign w:val="subscript"/>
          <w:lang w:val="en-GB"/>
        </w:rPr>
        <w:t>2</w:t>
      </w:r>
      <w:r w:rsidR="00487793">
        <w:rPr>
          <w:lang w:val="en-GB"/>
        </w:rPr>
        <w:t>, corresponding to almost 6 t/h of acid gases in molar ratio 3/1, respectively,</w:t>
      </w:r>
      <w:r w:rsidR="00D94EE9">
        <w:rPr>
          <w:lang w:val="en-GB"/>
        </w:rPr>
        <w:t xml:space="preserve"> </w:t>
      </w:r>
      <w:r w:rsidR="00487793">
        <w:rPr>
          <w:lang w:val="en-GB"/>
        </w:rPr>
        <w:t xml:space="preserve">which is largely less than typical </w:t>
      </w:r>
      <w:r w:rsidR="00487793">
        <w:rPr>
          <w:lang w:val="en-GB"/>
        </w:rPr>
        <w:lastRenderedPageBreak/>
        <w:t xml:space="preserve">capacities of acid gas treatment units making the solution applicable everywhere. Moreover, </w:t>
      </w:r>
      <w:proofErr w:type="spellStart"/>
      <w:r w:rsidR="00D94EE9">
        <w:rPr>
          <w:lang w:val="en-GB"/>
        </w:rPr>
        <w:t>CapEx</w:t>
      </w:r>
      <w:proofErr w:type="spellEnd"/>
      <w:r w:rsidR="00D94EE9">
        <w:rPr>
          <w:lang w:val="en-GB"/>
        </w:rPr>
        <w:t xml:space="preserve"> of the reforming unit</w:t>
      </w:r>
      <w:r w:rsidR="0004403E">
        <w:rPr>
          <w:lang w:val="en-GB"/>
        </w:rPr>
        <w:t xml:space="preserve"> and/or gasifi</w:t>
      </w:r>
      <w:r w:rsidR="00487793">
        <w:rPr>
          <w:lang w:val="en-GB"/>
        </w:rPr>
        <w:t>cation</w:t>
      </w:r>
      <w:r w:rsidR="00D94EE9">
        <w:rPr>
          <w:lang w:val="en-GB"/>
        </w:rPr>
        <w:t xml:space="preserve"> </w:t>
      </w:r>
      <w:r w:rsidR="00487793">
        <w:rPr>
          <w:lang w:val="en-GB"/>
        </w:rPr>
        <w:t>unit ha</w:t>
      </w:r>
      <w:r w:rsidR="00D94EE9">
        <w:rPr>
          <w:lang w:val="en-GB"/>
        </w:rPr>
        <w:t>s not to be accounted</w:t>
      </w:r>
      <w:r w:rsidR="00487793">
        <w:rPr>
          <w:lang w:val="en-GB"/>
        </w:rPr>
        <w:t xml:space="preserve"> in the case of AG2S™ technology</w:t>
      </w:r>
      <w:r w:rsidR="00D94EE9">
        <w:rPr>
          <w:lang w:val="en-GB"/>
        </w:rPr>
        <w:t xml:space="preserve"> since the </w:t>
      </w:r>
      <w:proofErr w:type="spellStart"/>
      <w:r w:rsidR="00D94EE9">
        <w:rPr>
          <w:lang w:val="en-GB"/>
        </w:rPr>
        <w:t>sulfur</w:t>
      </w:r>
      <w:proofErr w:type="spellEnd"/>
      <w:r w:rsidR="00D94EE9">
        <w:rPr>
          <w:lang w:val="en-GB"/>
        </w:rPr>
        <w:t xml:space="preserve"> recovery</w:t>
      </w:r>
      <w:r w:rsidR="0004403E">
        <w:rPr>
          <w:lang w:val="en-GB"/>
        </w:rPr>
        <w:t xml:space="preserve"> unit</w:t>
      </w:r>
      <w:r w:rsidR="00D94EE9">
        <w:rPr>
          <w:lang w:val="en-GB"/>
        </w:rPr>
        <w:t>, which already exist</w:t>
      </w:r>
      <w:r w:rsidR="0004403E">
        <w:rPr>
          <w:lang w:val="en-GB"/>
        </w:rPr>
        <w:t>s</w:t>
      </w:r>
      <w:r w:rsidR="00D94EE9">
        <w:rPr>
          <w:lang w:val="en-GB"/>
        </w:rPr>
        <w:t xml:space="preserve"> to neutralize acid gases, is </w:t>
      </w:r>
      <w:r w:rsidR="0004403E">
        <w:rPr>
          <w:lang w:val="en-GB"/>
        </w:rPr>
        <w:t xml:space="preserve">also </w:t>
      </w:r>
      <w:r w:rsidR="00D94EE9">
        <w:rPr>
          <w:lang w:val="en-GB"/>
        </w:rPr>
        <w:t>generating the syngas</w:t>
      </w:r>
      <w:r w:rsidR="0004403E">
        <w:rPr>
          <w:lang w:val="en-GB"/>
        </w:rPr>
        <w:t xml:space="preserve"> for synthesis of fuels</w:t>
      </w:r>
      <w:r w:rsidR="00D94EE9">
        <w:rPr>
          <w:lang w:val="en-GB"/>
        </w:rPr>
        <w:t xml:space="preserve">. </w:t>
      </w:r>
      <w:r w:rsidR="0004403E">
        <w:rPr>
          <w:lang w:val="en-GB"/>
        </w:rPr>
        <w:t xml:space="preserve">It unavoidably means </w:t>
      </w:r>
      <w:r w:rsidR="00487793">
        <w:rPr>
          <w:lang w:val="en-GB"/>
        </w:rPr>
        <w:t xml:space="preserve">that the overall </w:t>
      </w:r>
      <w:proofErr w:type="spellStart"/>
      <w:r w:rsidR="00487793">
        <w:rPr>
          <w:lang w:val="en-GB"/>
        </w:rPr>
        <w:t>CapEx</w:t>
      </w:r>
      <w:proofErr w:type="spellEnd"/>
      <w:r w:rsidR="00487793">
        <w:rPr>
          <w:lang w:val="en-GB"/>
        </w:rPr>
        <w:t xml:space="preserve"> of the proposed process is </w:t>
      </w:r>
      <w:r w:rsidR="00EE1A72">
        <w:rPr>
          <w:lang w:val="en-GB"/>
        </w:rPr>
        <w:t xml:space="preserve">further </w:t>
      </w:r>
      <w:r w:rsidR="00487793">
        <w:rPr>
          <w:lang w:val="en-GB"/>
        </w:rPr>
        <w:t>reduced with respect to biogas/biomethane</w:t>
      </w:r>
      <w:r w:rsidR="00EE1A72">
        <w:rPr>
          <w:lang w:val="en-GB"/>
        </w:rPr>
        <w:t>/methane</w:t>
      </w:r>
      <w:r w:rsidR="00487793">
        <w:rPr>
          <w:lang w:val="en-GB"/>
        </w:rPr>
        <w:t xml:space="preserve"> field applications and the breakeven capacity of 3 kt/y is even halved.</w:t>
      </w:r>
    </w:p>
    <w:p w14:paraId="1135B79F" w14:textId="67EE02AA" w:rsidR="00DA6240" w:rsidRPr="00D94EE9" w:rsidRDefault="00487793" w:rsidP="00D94EE9">
      <w:pPr>
        <w:pStyle w:val="CETBodytext"/>
        <w:rPr>
          <w:lang w:val="en-GB"/>
        </w:rPr>
      </w:pPr>
      <w:r>
        <w:rPr>
          <w:lang w:val="en-GB"/>
        </w:rPr>
        <w:t xml:space="preserve">To what above, for the sake of consistency, it should be considered that </w:t>
      </w:r>
      <w:r w:rsidR="00D94EE9">
        <w:rPr>
          <w:lang w:val="en-GB"/>
        </w:rPr>
        <w:t>no cost</w:t>
      </w:r>
      <w:r>
        <w:rPr>
          <w:lang w:val="en-GB"/>
        </w:rPr>
        <w:t>s</w:t>
      </w:r>
      <w:r w:rsidR="00D94EE9">
        <w:rPr>
          <w:lang w:val="en-GB"/>
        </w:rPr>
        <w:t xml:space="preserve"> </w:t>
      </w:r>
      <w:r>
        <w:rPr>
          <w:lang w:val="en-GB"/>
        </w:rPr>
        <w:t>for re</w:t>
      </w:r>
      <w:r w:rsidR="00D94EE9">
        <w:rPr>
          <w:lang w:val="en-GB"/>
        </w:rPr>
        <w:t>sources</w:t>
      </w:r>
      <w:r>
        <w:rPr>
          <w:lang w:val="en-GB"/>
        </w:rPr>
        <w:t xml:space="preserve"> as input</w:t>
      </w:r>
      <w:r w:rsidR="00D94EE9">
        <w:rPr>
          <w:lang w:val="en-GB"/>
        </w:rPr>
        <w:t xml:space="preserve"> has to be accounted for, since two emissions</w:t>
      </w:r>
      <w:r>
        <w:rPr>
          <w:lang w:val="en-GB"/>
        </w:rPr>
        <w:t xml:space="preserve"> only, namely H</w:t>
      </w:r>
      <w:r w:rsidRPr="00487793">
        <w:rPr>
          <w:vertAlign w:val="subscript"/>
          <w:lang w:val="en-GB"/>
        </w:rPr>
        <w:t>2</w:t>
      </w:r>
      <w:r>
        <w:rPr>
          <w:lang w:val="en-GB"/>
        </w:rPr>
        <w:t>S and CO</w:t>
      </w:r>
      <w:r w:rsidRPr="00487793">
        <w:rPr>
          <w:vertAlign w:val="subscript"/>
          <w:lang w:val="en-GB"/>
        </w:rPr>
        <w:t>2</w:t>
      </w:r>
      <w:r>
        <w:rPr>
          <w:lang w:val="en-GB"/>
        </w:rPr>
        <w:t xml:space="preserve">, </w:t>
      </w:r>
      <w:r w:rsidR="00D94EE9">
        <w:rPr>
          <w:lang w:val="en-GB"/>
        </w:rPr>
        <w:t>are considered as feedstock for methanol synthesis.</w:t>
      </w:r>
      <w:r w:rsidR="003F239F">
        <w:rPr>
          <w:lang w:val="en-GB"/>
        </w:rPr>
        <w:t xml:space="preserve"> On the contrary, whatever other process currently industrially </w:t>
      </w:r>
      <w:r w:rsidR="00CB77E3">
        <w:rPr>
          <w:lang w:val="en-GB"/>
        </w:rPr>
        <w:t>deployed</w:t>
      </w:r>
      <w:r w:rsidR="003F239F">
        <w:rPr>
          <w:lang w:val="en-GB"/>
        </w:rPr>
        <w:t xml:space="preserve"> that utilizes CO</w:t>
      </w:r>
      <w:r w:rsidR="003F239F" w:rsidRPr="003F239F">
        <w:rPr>
          <w:vertAlign w:val="subscript"/>
          <w:lang w:val="en-GB"/>
        </w:rPr>
        <w:t>2</w:t>
      </w:r>
      <w:r w:rsidR="003F239F">
        <w:rPr>
          <w:lang w:val="en-GB"/>
        </w:rPr>
        <w:t xml:space="preserve"> requires</w:t>
      </w:r>
      <w:r w:rsidR="00D94EE9">
        <w:rPr>
          <w:lang w:val="en-GB"/>
        </w:rPr>
        <w:t xml:space="preserve"> </w:t>
      </w:r>
      <w:r w:rsidR="003F239F">
        <w:rPr>
          <w:lang w:val="en-GB"/>
        </w:rPr>
        <w:t>costly molecules (</w:t>
      </w:r>
      <w:r w:rsidR="003F239F" w:rsidRPr="003F239F">
        <w:rPr>
          <w:i/>
          <w:iCs/>
          <w:lang w:val="en-GB"/>
        </w:rPr>
        <w:t>e.g.</w:t>
      </w:r>
      <w:r w:rsidR="003F239F">
        <w:rPr>
          <w:lang w:val="en-GB"/>
        </w:rPr>
        <w:t xml:space="preserve">, methane, hydrogen, ammonia). </w:t>
      </w:r>
      <w:r w:rsidR="00D94EE9">
        <w:rPr>
          <w:lang w:val="en-GB"/>
        </w:rPr>
        <w:t xml:space="preserve">To be precise, </w:t>
      </w:r>
      <w:r>
        <w:rPr>
          <w:lang w:val="en-GB"/>
        </w:rPr>
        <w:t xml:space="preserve">since the process is utilizing </w:t>
      </w:r>
      <w:r w:rsidR="00D94EE9">
        <w:rPr>
          <w:lang w:val="en-GB"/>
        </w:rPr>
        <w:t>CO</w:t>
      </w:r>
      <w:r w:rsidR="00D94EE9" w:rsidRPr="00D94EE9">
        <w:rPr>
          <w:vertAlign w:val="subscript"/>
          <w:lang w:val="en-GB"/>
        </w:rPr>
        <w:t>2</w:t>
      </w:r>
      <w:r w:rsidR="00D94EE9">
        <w:rPr>
          <w:lang w:val="en-GB"/>
        </w:rPr>
        <w:t xml:space="preserve"> as feedstock, </w:t>
      </w:r>
      <w:r w:rsidR="003F239F">
        <w:rPr>
          <w:lang w:val="en-GB"/>
        </w:rPr>
        <w:t xml:space="preserve">local </w:t>
      </w:r>
      <w:r w:rsidR="00D94EE9">
        <w:rPr>
          <w:lang w:val="en-GB"/>
        </w:rPr>
        <w:t xml:space="preserve">incentives </w:t>
      </w:r>
      <w:r>
        <w:rPr>
          <w:lang w:val="en-GB"/>
        </w:rPr>
        <w:t>should be accounted in techno-economic analyses</w:t>
      </w:r>
      <w:r w:rsidR="00D94EE9">
        <w:rPr>
          <w:lang w:val="en-GB"/>
        </w:rPr>
        <w:t>.</w:t>
      </w:r>
      <w:r w:rsidR="0044447B">
        <w:rPr>
          <w:lang w:val="en-GB"/>
        </w:rPr>
        <w:t xml:space="preserve"> The real operational cost in terms of resources is pure oxygen injection, but reduced size of the plant and reduced injection both make less relevant the cost item.</w:t>
      </w:r>
    </w:p>
    <w:p w14:paraId="14D5F8D6" w14:textId="77777777" w:rsidR="001F3AFF" w:rsidRDefault="001F3AFF" w:rsidP="005B0FBC">
      <w:pPr>
        <w:pStyle w:val="CETBodytext"/>
        <w:rPr>
          <w:lang w:val="en-GB"/>
        </w:rPr>
      </w:pPr>
    </w:p>
    <w:p w14:paraId="0E5A4E57" w14:textId="4B76FA0C" w:rsidR="005B0FBC" w:rsidRDefault="0054449A" w:rsidP="0054449A">
      <w:pPr>
        <w:pStyle w:val="CETBodytext"/>
        <w:jc w:val="center"/>
        <w:rPr>
          <w:lang w:val="en-GB"/>
        </w:rPr>
      </w:pPr>
      <w:r>
        <w:rPr>
          <w:noProof/>
          <w:lang w:val="en-GB"/>
        </w:rPr>
        <w:drawing>
          <wp:inline distT="0" distB="0" distL="0" distR="0" wp14:anchorId="174C9551" wp14:editId="7B993C2C">
            <wp:extent cx="4708071" cy="1390182"/>
            <wp:effectExtent l="0" t="0" r="0" b="635"/>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55286" cy="1433651"/>
                    </a:xfrm>
                    <a:prstGeom prst="rect">
                      <a:avLst/>
                    </a:prstGeom>
                    <a:noFill/>
                  </pic:spPr>
                </pic:pic>
              </a:graphicData>
            </a:graphic>
          </wp:inline>
        </w:drawing>
      </w:r>
    </w:p>
    <w:p w14:paraId="55DE2FCE" w14:textId="11F23F18" w:rsidR="00C81253" w:rsidRDefault="00C81253" w:rsidP="00C81253">
      <w:pPr>
        <w:pStyle w:val="CETCaption"/>
        <w:rPr>
          <w:rStyle w:val="CETCaptionCarattere"/>
          <w:i/>
        </w:rPr>
      </w:pPr>
      <w:r w:rsidRPr="00AF4E67">
        <w:rPr>
          <w:rStyle w:val="CETCaptionCarattere"/>
          <w:i/>
        </w:rPr>
        <w:t xml:space="preserve">Figure </w:t>
      </w:r>
      <w:r>
        <w:rPr>
          <w:rStyle w:val="CETCaptionCarattere"/>
          <w:i/>
        </w:rPr>
        <w:t>2</w:t>
      </w:r>
      <w:r w:rsidRPr="00AF4E67">
        <w:rPr>
          <w:rStyle w:val="CETCaptionCarattere"/>
          <w:i/>
        </w:rPr>
        <w:t xml:space="preserve">: </w:t>
      </w:r>
      <w:r>
        <w:rPr>
          <w:rStyle w:val="CETCaptionCarattere"/>
          <w:i/>
        </w:rPr>
        <w:t xml:space="preserve">Integrated </w:t>
      </w:r>
      <w:r w:rsidRPr="00AF4E67">
        <w:rPr>
          <w:rStyle w:val="CETCaptionCarattere"/>
          <w:i/>
        </w:rPr>
        <w:t>AG2S</w:t>
      </w:r>
      <w:r>
        <w:rPr>
          <w:rStyle w:val="CETCaptionCarattere"/>
          <w:i/>
        </w:rPr>
        <w:t>™</w:t>
      </w:r>
      <w:r w:rsidRPr="00AF4E67">
        <w:rPr>
          <w:rStyle w:val="CETCaptionCarattere"/>
          <w:i/>
        </w:rPr>
        <w:t xml:space="preserve"> </w:t>
      </w:r>
      <w:r>
        <w:rPr>
          <w:rStyle w:val="CETCaptionCarattere"/>
          <w:i/>
        </w:rPr>
        <w:t>and methanol synthesis</w:t>
      </w:r>
      <w:r w:rsidR="0044447B">
        <w:rPr>
          <w:rStyle w:val="CETCaptionCarattere"/>
          <w:i/>
        </w:rPr>
        <w:t xml:space="preserve"> using </w:t>
      </w:r>
      <w:proofErr w:type="spellStart"/>
      <w:r w:rsidR="0044447B">
        <w:rPr>
          <w:rStyle w:val="CETCaptionCarattere"/>
          <w:i/>
        </w:rPr>
        <w:t>MeOHmax</w:t>
      </w:r>
      <w:proofErr w:type="spellEnd"/>
      <w:r w:rsidR="0044447B">
        <w:rPr>
          <w:rStyle w:val="CETCaptionCarattere"/>
          <w:i/>
        </w:rPr>
        <w:t>™ process and DZMR™ reactor</w:t>
      </w:r>
      <w:r>
        <w:rPr>
          <w:rStyle w:val="CETCaptionCarattere"/>
          <w:i/>
        </w:rPr>
        <w:t>, Block Flow Diagram</w:t>
      </w:r>
      <w:r w:rsidR="0044447B">
        <w:rPr>
          <w:rStyle w:val="CETCaptionCarattere"/>
          <w:i/>
        </w:rPr>
        <w:t xml:space="preserve"> (BFD)</w:t>
      </w:r>
      <w:r>
        <w:rPr>
          <w:rStyle w:val="CETCaptionCarattere"/>
          <w:i/>
        </w:rPr>
        <w:t>.</w:t>
      </w:r>
    </w:p>
    <w:p w14:paraId="156B3BC9" w14:textId="77777777" w:rsidR="00217868" w:rsidRPr="00BD077D" w:rsidRDefault="00217868" w:rsidP="00C81253">
      <w:pPr>
        <w:pStyle w:val="CETCaption"/>
      </w:pPr>
    </w:p>
    <w:p w14:paraId="407FB1E5" w14:textId="374FA219" w:rsidR="005B0FBC" w:rsidRDefault="008F3FF4" w:rsidP="00BD189A">
      <w:pPr>
        <w:pStyle w:val="CETBodytext"/>
        <w:ind w:left="-851" w:right="-852"/>
        <w:jc w:val="center"/>
        <w:rPr>
          <w:lang w:val="en-GB"/>
        </w:rPr>
      </w:pPr>
      <w:r>
        <w:rPr>
          <w:noProof/>
          <w:lang w:val="en-GB"/>
        </w:rPr>
        <w:drawing>
          <wp:inline distT="0" distB="0" distL="0" distR="0" wp14:anchorId="00A7A6E6" wp14:editId="6CAF99EA">
            <wp:extent cx="6180895" cy="3372859"/>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49496" cy="3464863"/>
                    </a:xfrm>
                    <a:prstGeom prst="rect">
                      <a:avLst/>
                    </a:prstGeom>
                    <a:noFill/>
                  </pic:spPr>
                </pic:pic>
              </a:graphicData>
            </a:graphic>
          </wp:inline>
        </w:drawing>
      </w:r>
    </w:p>
    <w:p w14:paraId="4448E1A4" w14:textId="30E91638" w:rsidR="00C47E0C" w:rsidRDefault="00C47E0C" w:rsidP="00C47E0C">
      <w:pPr>
        <w:pStyle w:val="CETCaption"/>
        <w:rPr>
          <w:rStyle w:val="CETCaptionCarattere"/>
          <w:i/>
        </w:rPr>
      </w:pPr>
      <w:r w:rsidRPr="00AF4E67">
        <w:rPr>
          <w:rStyle w:val="CETCaptionCarattere"/>
          <w:i/>
        </w:rPr>
        <w:t xml:space="preserve">Figure </w:t>
      </w:r>
      <w:r>
        <w:rPr>
          <w:rStyle w:val="CETCaptionCarattere"/>
          <w:i/>
        </w:rPr>
        <w:t>3</w:t>
      </w:r>
      <w:r w:rsidRPr="00AF4E67">
        <w:rPr>
          <w:rStyle w:val="CETCaptionCarattere"/>
          <w:i/>
        </w:rPr>
        <w:t xml:space="preserve">: </w:t>
      </w:r>
      <w:r>
        <w:rPr>
          <w:rStyle w:val="CETCaptionCarattere"/>
          <w:i/>
        </w:rPr>
        <w:t xml:space="preserve">Process Flow Diagram of </w:t>
      </w:r>
      <w:proofErr w:type="spellStart"/>
      <w:r>
        <w:rPr>
          <w:rStyle w:val="CETCaptionCarattere"/>
          <w:i/>
        </w:rPr>
        <w:t>MeOHmax</w:t>
      </w:r>
      <w:proofErr w:type="spellEnd"/>
      <w:r>
        <w:rPr>
          <w:rStyle w:val="CETCaptionCarattere"/>
          <w:i/>
        </w:rPr>
        <w:t xml:space="preserve">™ </w:t>
      </w:r>
      <w:r w:rsidR="0044447B">
        <w:rPr>
          <w:rStyle w:val="CETCaptionCarattere"/>
          <w:i/>
        </w:rPr>
        <w:t xml:space="preserve">process </w:t>
      </w:r>
      <w:r>
        <w:rPr>
          <w:rStyle w:val="CETCaptionCarattere"/>
          <w:i/>
        </w:rPr>
        <w:t xml:space="preserve">and DZMR™ </w:t>
      </w:r>
      <w:r w:rsidR="0044447B">
        <w:rPr>
          <w:rStyle w:val="CETCaptionCarattere"/>
          <w:i/>
        </w:rPr>
        <w:t xml:space="preserve">reactor for </w:t>
      </w:r>
      <w:r>
        <w:rPr>
          <w:rStyle w:val="CETCaptionCarattere"/>
          <w:i/>
        </w:rPr>
        <w:t xml:space="preserve">methanol synthesis developed in </w:t>
      </w:r>
      <w:proofErr w:type="spellStart"/>
      <w:r>
        <w:rPr>
          <w:rStyle w:val="CETCaptionCarattere"/>
          <w:i/>
        </w:rPr>
        <w:t>AspenHysys</w:t>
      </w:r>
      <w:proofErr w:type="spellEnd"/>
      <w:r>
        <w:rPr>
          <w:rStyle w:val="CETCaptionCarattere"/>
          <w:i/>
        </w:rPr>
        <w:t>.</w:t>
      </w:r>
    </w:p>
    <w:p w14:paraId="79062062" w14:textId="22B2D72E" w:rsidR="000805A4" w:rsidRPr="000805A4" w:rsidRDefault="000805A4" w:rsidP="000805A4">
      <w:pPr>
        <w:pStyle w:val="CETBodytext"/>
        <w:rPr>
          <w:lang w:val="en-GB"/>
        </w:rPr>
      </w:pPr>
      <w:r w:rsidRPr="000805A4">
        <w:rPr>
          <w:lang w:val="en-GB"/>
        </w:rPr>
        <w:t xml:space="preserve">The only remaining relevant operational cost is syngas compression between low-pressure AG2S™ and high-pressure </w:t>
      </w:r>
      <w:proofErr w:type="spellStart"/>
      <w:r w:rsidRPr="000805A4">
        <w:rPr>
          <w:lang w:val="en-GB"/>
        </w:rPr>
        <w:t>MeOHmax</w:t>
      </w:r>
      <w:proofErr w:type="spellEnd"/>
      <w:r w:rsidRPr="000805A4">
        <w:rPr>
          <w:lang w:val="en-GB"/>
        </w:rPr>
        <w:t xml:space="preserve">™ units, but </w:t>
      </w:r>
      <w:r>
        <w:rPr>
          <w:lang w:val="en-GB"/>
        </w:rPr>
        <w:t>it is an</w:t>
      </w:r>
      <w:r w:rsidRPr="000805A4">
        <w:rPr>
          <w:lang w:val="en-GB"/>
        </w:rPr>
        <w:t xml:space="preserve"> order of magnitude less </w:t>
      </w:r>
      <w:r>
        <w:rPr>
          <w:lang w:val="en-GB"/>
        </w:rPr>
        <w:t>than the income</w:t>
      </w:r>
      <w:r w:rsidRPr="000805A4">
        <w:rPr>
          <w:lang w:val="en-GB"/>
        </w:rPr>
        <w:t xml:space="preserve"> of produced methanol</w:t>
      </w:r>
      <w:r>
        <w:rPr>
          <w:lang w:val="en-GB"/>
        </w:rPr>
        <w:t xml:space="preserve"> at </w:t>
      </w:r>
      <w:r>
        <w:rPr>
          <w:lang w:val="en-GB"/>
        </w:rPr>
        <w:lastRenderedPageBreak/>
        <w:t>conservative market price</w:t>
      </w:r>
      <w:r w:rsidRPr="000805A4">
        <w:rPr>
          <w:lang w:val="en-GB"/>
        </w:rPr>
        <w:t xml:space="preserve">. Giving </w:t>
      </w:r>
      <w:r>
        <w:rPr>
          <w:lang w:val="en-GB"/>
        </w:rPr>
        <w:t xml:space="preserve">such </w:t>
      </w:r>
      <w:r w:rsidRPr="000805A4">
        <w:rPr>
          <w:lang w:val="en-GB"/>
        </w:rPr>
        <w:t>promising preliminary process data, a detailed sus-techno-economic analysis will be accomplished for future contributions.</w:t>
      </w:r>
    </w:p>
    <w:p w14:paraId="617F80D9" w14:textId="77777777" w:rsidR="004720E1" w:rsidRPr="00B57B36" w:rsidRDefault="004720E1" w:rsidP="004720E1">
      <w:pPr>
        <w:pStyle w:val="CETHeading1"/>
        <w:rPr>
          <w:lang w:val="en-GB"/>
        </w:rPr>
      </w:pPr>
      <w:r w:rsidRPr="00B57B36">
        <w:rPr>
          <w:lang w:val="en-GB"/>
        </w:rPr>
        <w:t>Conclusions</w:t>
      </w:r>
    </w:p>
    <w:p w14:paraId="3CB6EEE6" w14:textId="6549B147" w:rsidR="00E16EA5" w:rsidRDefault="001F3AFF" w:rsidP="004720E1">
      <w:pPr>
        <w:pStyle w:val="CETBodytext"/>
        <w:rPr>
          <w:lang w:val="en-GB"/>
        </w:rPr>
      </w:pPr>
      <w:r>
        <w:rPr>
          <w:lang w:val="en-GB"/>
        </w:rPr>
        <w:t xml:space="preserve">Acid Gas to Syngas™ (AG2S™) </w:t>
      </w:r>
      <w:r w:rsidR="003F239F">
        <w:rPr>
          <w:lang w:val="en-GB"/>
        </w:rPr>
        <w:t>process</w:t>
      </w:r>
      <w:r>
        <w:rPr>
          <w:lang w:val="en-GB"/>
        </w:rPr>
        <w:t xml:space="preserve"> for th</w:t>
      </w:r>
      <w:r w:rsidR="0004403E">
        <w:rPr>
          <w:lang w:val="en-GB"/>
        </w:rPr>
        <w:t xml:space="preserve">e production of low-carbon fuels starting from acid gases has been demonstrated </w:t>
      </w:r>
      <w:r>
        <w:rPr>
          <w:lang w:val="en-GB"/>
        </w:rPr>
        <w:t>as viable route for energy and environmental transition</w:t>
      </w:r>
      <w:r w:rsidR="003F239F">
        <w:rPr>
          <w:lang w:val="en-GB"/>
        </w:rPr>
        <w:t xml:space="preserve"> targets</w:t>
      </w:r>
      <w:r>
        <w:rPr>
          <w:lang w:val="en-GB"/>
        </w:rPr>
        <w:t xml:space="preserve">. </w:t>
      </w:r>
      <w:r w:rsidR="0004403E">
        <w:rPr>
          <w:lang w:val="en-GB"/>
        </w:rPr>
        <w:t>Co-presence of H</w:t>
      </w:r>
      <w:r w:rsidR="0004403E" w:rsidRPr="0004403E">
        <w:rPr>
          <w:vertAlign w:val="subscript"/>
          <w:lang w:val="en-GB"/>
        </w:rPr>
        <w:t>2</w:t>
      </w:r>
      <w:r w:rsidR="0004403E">
        <w:rPr>
          <w:lang w:val="en-GB"/>
        </w:rPr>
        <w:t>S and CO</w:t>
      </w:r>
      <w:r w:rsidR="0004403E" w:rsidRPr="0004403E">
        <w:rPr>
          <w:vertAlign w:val="subscript"/>
          <w:lang w:val="en-GB"/>
        </w:rPr>
        <w:t>2</w:t>
      </w:r>
      <w:r w:rsidR="0004403E">
        <w:rPr>
          <w:lang w:val="en-GB"/>
        </w:rPr>
        <w:t xml:space="preserve"> or an appropriate mixing of these emissions </w:t>
      </w:r>
      <w:r>
        <w:rPr>
          <w:lang w:val="en-GB"/>
        </w:rPr>
        <w:t xml:space="preserve">has been adopted as </w:t>
      </w:r>
      <w:r w:rsidR="0004403E">
        <w:rPr>
          <w:lang w:val="en-GB"/>
        </w:rPr>
        <w:t>feedstock for syngas production</w:t>
      </w:r>
      <w:r>
        <w:rPr>
          <w:lang w:val="en-GB"/>
        </w:rPr>
        <w:t xml:space="preserve"> and methanol synthesis by means of detailed process modelling and process simulation. The coupling of AG2S™ </w:t>
      </w:r>
      <w:r w:rsidR="00217868">
        <w:rPr>
          <w:lang w:val="en-GB"/>
        </w:rPr>
        <w:t xml:space="preserve">technology </w:t>
      </w:r>
      <w:r>
        <w:rPr>
          <w:lang w:val="en-GB"/>
        </w:rPr>
        <w:t xml:space="preserve">with existing and well-established compact </w:t>
      </w:r>
      <w:r w:rsidR="00217868">
        <w:rPr>
          <w:lang w:val="en-GB"/>
        </w:rPr>
        <w:t>processes</w:t>
      </w:r>
      <w:r>
        <w:rPr>
          <w:lang w:val="en-GB"/>
        </w:rPr>
        <w:t xml:space="preserve"> for IMPCA grade methanol production preliminarily demonstrated the economic appeal of such solutions, providing some indications on plant size limiting threshold for </w:t>
      </w:r>
      <w:proofErr w:type="spellStart"/>
      <w:r>
        <w:rPr>
          <w:lang w:val="en-GB"/>
        </w:rPr>
        <w:t>CapEx</w:t>
      </w:r>
      <w:proofErr w:type="spellEnd"/>
      <w:r>
        <w:rPr>
          <w:lang w:val="en-GB"/>
        </w:rPr>
        <w:t xml:space="preserve"> breakeven and major operating cost items to be accounted for more detailed and deterministic process techno-economic analyses and energy-process optimizations. </w:t>
      </w:r>
      <w:r w:rsidR="000019DF">
        <w:rPr>
          <w:lang w:val="en-GB"/>
        </w:rPr>
        <w:t>As the main achievement of the paper and l</w:t>
      </w:r>
      <w:r>
        <w:rPr>
          <w:lang w:val="en-GB"/>
        </w:rPr>
        <w:t>ooking forward to future developments to improve the acid gas to methanol synthesis process, 25%w conversion efficiency has been achieved</w:t>
      </w:r>
      <w:r w:rsidR="003F239F">
        <w:rPr>
          <w:lang w:val="en-GB"/>
        </w:rPr>
        <w:t xml:space="preserve"> with conservative computations</w:t>
      </w:r>
      <w:r>
        <w:rPr>
          <w:lang w:val="en-GB"/>
        </w:rPr>
        <w:t xml:space="preserve">. Removing from performance computing the elemental </w:t>
      </w:r>
      <w:proofErr w:type="spellStart"/>
      <w:r>
        <w:rPr>
          <w:lang w:val="en-GB"/>
        </w:rPr>
        <w:t>sulfur</w:t>
      </w:r>
      <w:proofErr w:type="spellEnd"/>
      <w:r>
        <w:rPr>
          <w:lang w:val="en-GB"/>
        </w:rPr>
        <w:t xml:space="preserve"> production</w:t>
      </w:r>
      <w:r w:rsidR="00217868">
        <w:rPr>
          <w:lang w:val="en-GB"/>
        </w:rPr>
        <w:t xml:space="preserve"> so as to relate the yield to C, H and O chemical elements only,</w:t>
      </w:r>
      <w:r>
        <w:rPr>
          <w:lang w:val="en-GB"/>
        </w:rPr>
        <w:t xml:space="preserve"> full process performance </w:t>
      </w:r>
      <w:r w:rsidR="00217868">
        <w:rPr>
          <w:lang w:val="en-GB"/>
        </w:rPr>
        <w:t>is</w:t>
      </w:r>
      <w:r>
        <w:rPr>
          <w:lang w:val="en-GB"/>
        </w:rPr>
        <w:t xml:space="preserve"> higher than 50%w</w:t>
      </w:r>
      <w:r w:rsidR="00E16EA5">
        <w:rPr>
          <w:lang w:val="en-GB"/>
        </w:rPr>
        <w:t xml:space="preserve"> without any exploitation of (neither fossil nor bio-) resources.</w:t>
      </w:r>
      <w:r w:rsidR="003F239F">
        <w:rPr>
          <w:lang w:val="en-GB"/>
        </w:rPr>
        <w:t xml:space="preserve"> Conversion of acid gases by means of AG2S™ process is viable route also for the synthesis of Sustainable Aviation Fuel (SAF), di-methyl-ether, and synthetic methane to quote a few.</w:t>
      </w:r>
    </w:p>
    <w:p w14:paraId="459D05E6" w14:textId="77777777" w:rsidR="00600535" w:rsidRPr="00B57B36" w:rsidRDefault="00600535" w:rsidP="00600535">
      <w:pPr>
        <w:pStyle w:val="CETAcknowledgementstitle"/>
      </w:pPr>
      <w:r w:rsidRPr="00B57B36">
        <w:t>Acknowledgments</w:t>
      </w:r>
    </w:p>
    <w:p w14:paraId="33F8138F" w14:textId="39937F5C" w:rsidR="00600535" w:rsidRPr="00B57B36" w:rsidRDefault="00D26E65" w:rsidP="00600535">
      <w:pPr>
        <w:pStyle w:val="CETBodytext"/>
        <w:rPr>
          <w:lang w:val="en-GB"/>
        </w:rPr>
      </w:pPr>
      <w:r>
        <w:rPr>
          <w:lang w:val="en-GB"/>
        </w:rPr>
        <w:t xml:space="preserve">Support from Ing. L. Molinari and Ing. G. Manenti </w:t>
      </w:r>
      <w:r w:rsidR="00CB77E3">
        <w:rPr>
          <w:lang w:val="en-GB"/>
        </w:rPr>
        <w:t>is gratefully</w:t>
      </w:r>
      <w:r>
        <w:rPr>
          <w:lang w:val="en-GB"/>
        </w:rPr>
        <w:t xml:space="preserve"> acknowledged for process debottlenecking and thermal design, respectively. Prof. E. Ranzi</w:t>
      </w:r>
      <w:r w:rsidR="00692C18">
        <w:rPr>
          <w:lang w:val="en-GB"/>
        </w:rPr>
        <w:t xml:space="preserve"> is</w:t>
      </w:r>
      <w:r>
        <w:rPr>
          <w:lang w:val="en-GB"/>
        </w:rPr>
        <w:t xml:space="preserve"> also gratefully acknowledge</w:t>
      </w:r>
      <w:r w:rsidR="00CB77E3">
        <w:rPr>
          <w:lang w:val="en-GB"/>
        </w:rPr>
        <w:t>d</w:t>
      </w:r>
      <w:r>
        <w:rPr>
          <w:lang w:val="en-GB"/>
        </w:rPr>
        <w:t xml:space="preserve"> for supporting the implementation of complex kinetics for in-line refractory chamber</w:t>
      </w:r>
      <w:r w:rsidR="00CB77E3">
        <w:rPr>
          <w:lang w:val="en-GB"/>
        </w:rPr>
        <w:t xml:space="preserve"> and reactive waste heat boiler</w:t>
      </w:r>
      <w:r w:rsidR="00217868">
        <w:rPr>
          <w:lang w:val="en-GB"/>
        </w:rPr>
        <w:t xml:space="preserve"> of Acid Gas to Syngas™ </w:t>
      </w:r>
      <w:r w:rsidR="00CB77E3">
        <w:rPr>
          <w:lang w:val="en-GB"/>
        </w:rPr>
        <w:t xml:space="preserve">process </w:t>
      </w:r>
      <w:r w:rsidR="00217868">
        <w:rPr>
          <w:lang w:val="en-GB"/>
        </w:rPr>
        <w:t>technology.</w:t>
      </w:r>
    </w:p>
    <w:p w14:paraId="4F1327F8" w14:textId="77777777" w:rsidR="00600535" w:rsidRPr="00F40F48" w:rsidRDefault="00600535" w:rsidP="00600535">
      <w:pPr>
        <w:pStyle w:val="CETReference"/>
        <w:rPr>
          <w:lang w:val="en-US"/>
        </w:rPr>
      </w:pPr>
      <w:r w:rsidRPr="00F40F48">
        <w:rPr>
          <w:lang w:val="en-US"/>
        </w:rPr>
        <w:t>References</w:t>
      </w:r>
    </w:p>
    <w:p w14:paraId="07D6A7C7" w14:textId="77777777" w:rsidR="00D26E65" w:rsidRPr="00C81253" w:rsidRDefault="00D26E65" w:rsidP="00D26E65">
      <w:pPr>
        <w:pStyle w:val="CETReferencetext"/>
        <w:rPr>
          <w:lang w:val="en-US"/>
        </w:rPr>
      </w:pPr>
      <w:r w:rsidRPr="00C81253">
        <w:rPr>
          <w:lang w:val="en-US"/>
        </w:rPr>
        <w:t xml:space="preserve">Andoglu, E. M., Dell’Angelo, A., Ranzi, E. M., </w:t>
      </w:r>
      <w:proofErr w:type="spellStart"/>
      <w:r w:rsidRPr="00C81253">
        <w:rPr>
          <w:lang w:val="en-US"/>
        </w:rPr>
        <w:t>Kaytakoǧlu</w:t>
      </w:r>
      <w:proofErr w:type="spellEnd"/>
      <w:r w:rsidRPr="00C81253">
        <w:rPr>
          <w:lang w:val="en-US"/>
        </w:rPr>
        <w:t>, S., Manenti, F., Chemical Engineering Transactions, 2019, 74, pp. 649–654.</w:t>
      </w:r>
    </w:p>
    <w:p w14:paraId="009F4F21" w14:textId="77777777" w:rsidR="001F3AFF" w:rsidRDefault="0044447B" w:rsidP="00F40F48">
      <w:pPr>
        <w:pStyle w:val="CETReferencetext"/>
        <w:rPr>
          <w:lang w:val="en-US"/>
        </w:rPr>
      </w:pPr>
      <w:r w:rsidRPr="0044447B">
        <w:rPr>
          <w:lang w:val="en-US"/>
        </w:rPr>
        <w:t>Bisotti,</w:t>
      </w:r>
      <w:r>
        <w:rPr>
          <w:lang w:val="en-US"/>
        </w:rPr>
        <w:t xml:space="preserve"> F.,</w:t>
      </w:r>
      <w:r w:rsidRPr="0044447B">
        <w:rPr>
          <w:lang w:val="en-US"/>
        </w:rPr>
        <w:t xml:space="preserve"> Fedeli,</w:t>
      </w:r>
      <w:r>
        <w:rPr>
          <w:lang w:val="en-US"/>
        </w:rPr>
        <w:t xml:space="preserve"> M.,</w:t>
      </w:r>
      <w:r w:rsidRPr="0044447B">
        <w:rPr>
          <w:lang w:val="en-US"/>
        </w:rPr>
        <w:t xml:space="preserve"> Prifti, </w:t>
      </w:r>
      <w:r>
        <w:rPr>
          <w:lang w:val="en-US"/>
        </w:rPr>
        <w:t xml:space="preserve">K., </w:t>
      </w:r>
      <w:r w:rsidRPr="0044447B">
        <w:rPr>
          <w:lang w:val="en-US"/>
        </w:rPr>
        <w:t xml:space="preserve">Galeazzi, </w:t>
      </w:r>
      <w:r>
        <w:rPr>
          <w:lang w:val="en-US"/>
        </w:rPr>
        <w:t xml:space="preserve">A., </w:t>
      </w:r>
      <w:r w:rsidRPr="0044447B">
        <w:rPr>
          <w:lang w:val="en-US"/>
        </w:rPr>
        <w:t xml:space="preserve">Dell’Angelo, </w:t>
      </w:r>
      <w:r>
        <w:rPr>
          <w:lang w:val="en-US"/>
        </w:rPr>
        <w:t xml:space="preserve">A., </w:t>
      </w:r>
      <w:r w:rsidRPr="0044447B">
        <w:rPr>
          <w:lang w:val="en-US"/>
        </w:rPr>
        <w:t>Manenti</w:t>
      </w:r>
      <w:r>
        <w:rPr>
          <w:lang w:val="en-US"/>
        </w:rPr>
        <w:t>, F.</w:t>
      </w:r>
      <w:r w:rsidRPr="0044447B">
        <w:rPr>
          <w:lang w:val="en-US"/>
        </w:rPr>
        <w:t>; Impact of Kinetic Models on Methanol Synthesis Reactor Predictions: In Silico Assessment and Comparison with Industrial Data</w:t>
      </w:r>
      <w:r>
        <w:rPr>
          <w:lang w:val="en-US"/>
        </w:rPr>
        <w:t>,</w:t>
      </w:r>
      <w:r w:rsidRPr="0044447B">
        <w:rPr>
          <w:lang w:val="en-US"/>
        </w:rPr>
        <w:t xml:space="preserve"> Ind</w:t>
      </w:r>
      <w:r>
        <w:rPr>
          <w:lang w:val="en-US"/>
        </w:rPr>
        <w:t>ustrial</w:t>
      </w:r>
      <w:r w:rsidRPr="0044447B">
        <w:rPr>
          <w:lang w:val="en-US"/>
        </w:rPr>
        <w:t xml:space="preserve"> Eng</w:t>
      </w:r>
      <w:r>
        <w:rPr>
          <w:lang w:val="en-US"/>
        </w:rPr>
        <w:t>ineering</w:t>
      </w:r>
      <w:r w:rsidRPr="0044447B">
        <w:rPr>
          <w:lang w:val="en-US"/>
        </w:rPr>
        <w:t xml:space="preserve"> Chem</w:t>
      </w:r>
      <w:r>
        <w:rPr>
          <w:lang w:val="en-US"/>
        </w:rPr>
        <w:t>istry</w:t>
      </w:r>
      <w:r w:rsidRPr="0044447B">
        <w:rPr>
          <w:lang w:val="en-US"/>
        </w:rPr>
        <w:t xml:space="preserve"> Res</w:t>
      </w:r>
      <w:r>
        <w:rPr>
          <w:lang w:val="en-US"/>
        </w:rPr>
        <w:t>earch,</w:t>
      </w:r>
      <w:r w:rsidRPr="0044447B">
        <w:rPr>
          <w:lang w:val="en-US"/>
        </w:rPr>
        <w:t xml:space="preserve"> 2022</w:t>
      </w:r>
      <w:r>
        <w:rPr>
          <w:lang w:val="en-US"/>
        </w:rPr>
        <w:t>,</w:t>
      </w:r>
      <w:r w:rsidRPr="0044447B">
        <w:rPr>
          <w:lang w:val="en-US"/>
        </w:rPr>
        <w:t xml:space="preserve"> 61 (5)</w:t>
      </w:r>
      <w:r w:rsidR="001F3AFF">
        <w:rPr>
          <w:lang w:val="en-US"/>
        </w:rPr>
        <w:t>,</w:t>
      </w:r>
      <w:r w:rsidRPr="0044447B">
        <w:rPr>
          <w:lang w:val="en-US"/>
        </w:rPr>
        <w:t xml:space="preserve"> </w:t>
      </w:r>
      <w:r w:rsidR="001F3AFF">
        <w:rPr>
          <w:lang w:val="en-US"/>
        </w:rPr>
        <w:t xml:space="preserve">pp. </w:t>
      </w:r>
      <w:r w:rsidRPr="0044447B">
        <w:rPr>
          <w:lang w:val="en-US"/>
        </w:rPr>
        <w:t>2206–2226</w:t>
      </w:r>
      <w:r w:rsidR="001F3AFF">
        <w:rPr>
          <w:lang w:val="en-US"/>
        </w:rPr>
        <w:t>.</w:t>
      </w:r>
    </w:p>
    <w:p w14:paraId="22DCFED4" w14:textId="1DF950D9" w:rsidR="000D1EAA" w:rsidRDefault="00F40F48" w:rsidP="00F40F48">
      <w:pPr>
        <w:pStyle w:val="CETReferencetext"/>
      </w:pPr>
      <w:r w:rsidRPr="000D1EAA">
        <w:rPr>
          <w:lang w:val="en-US"/>
        </w:rPr>
        <w:t>Caspani, S., Sánchez, L. F., Vallerio, M.,</w:t>
      </w:r>
      <w:r w:rsidR="000D1EAA" w:rsidRPr="000D1EAA">
        <w:rPr>
          <w:lang w:val="en-US"/>
        </w:rPr>
        <w:t xml:space="preserve"> </w:t>
      </w:r>
      <w:r w:rsidRPr="000D1EAA">
        <w:rPr>
          <w:lang w:val="en-US"/>
        </w:rPr>
        <w:t>Manenti, F</w:t>
      </w:r>
      <w:r w:rsidR="000D1EAA" w:rsidRPr="000D1EAA">
        <w:rPr>
          <w:lang w:val="en-US"/>
        </w:rPr>
        <w:t xml:space="preserve">., </w:t>
      </w:r>
      <w:r w:rsidR="000D1EAA">
        <w:t xml:space="preserve">Optimal Design of Acid Gas-to-Syngas (AG2S) Technology: Process Optimization and Surrogate </w:t>
      </w:r>
      <w:proofErr w:type="spellStart"/>
      <w:r w:rsidR="000D1EAA">
        <w:t>Modeling</w:t>
      </w:r>
      <w:proofErr w:type="spellEnd"/>
      <w:r w:rsidR="000D1EAA">
        <w:t xml:space="preserve">, </w:t>
      </w:r>
      <w:r>
        <w:t>Industrial and Engineering Chemistry Research, 2026, 65(15), pp. 8006–8016</w:t>
      </w:r>
      <w:r w:rsidR="000D1EAA">
        <w:t>.</w:t>
      </w:r>
    </w:p>
    <w:p w14:paraId="7D19BEC1" w14:textId="60B1DFA1" w:rsidR="00D26E65" w:rsidRPr="00F40F48" w:rsidRDefault="00D26E65" w:rsidP="00F40F48">
      <w:pPr>
        <w:pStyle w:val="CETReferencetext"/>
      </w:pPr>
      <w:r w:rsidRPr="00F40F48">
        <w:t xml:space="preserve">Gupta, A.K., Ibrahim, S., Al </w:t>
      </w:r>
      <w:proofErr w:type="spellStart"/>
      <w:r w:rsidRPr="00F40F48">
        <w:t>Shoaibi</w:t>
      </w:r>
      <w:proofErr w:type="spellEnd"/>
      <w:r w:rsidRPr="00F40F48">
        <w:t xml:space="preserve">, A., Advances in </w:t>
      </w:r>
      <w:proofErr w:type="spellStart"/>
      <w:r w:rsidRPr="00F40F48">
        <w:t>sulfur</w:t>
      </w:r>
      <w:proofErr w:type="spellEnd"/>
      <w:r w:rsidRPr="00F40F48">
        <w:t xml:space="preserve"> chemistry for treatment of acid gases, Progress in Energy and Combustion Science, 2016, 54, pp. 65</w:t>
      </w:r>
      <w:r w:rsidRPr="00F40F48">
        <w:noBreakHyphen/>
        <w:t>92.</w:t>
      </w:r>
    </w:p>
    <w:p w14:paraId="1BA56114" w14:textId="77777777" w:rsidR="009825A1" w:rsidRPr="00F40F48" w:rsidRDefault="009825A1" w:rsidP="009825A1">
      <w:pPr>
        <w:pStyle w:val="CETReferencetext"/>
      </w:pPr>
      <w:r w:rsidRPr="00F40F48">
        <w:rPr>
          <w:lang w:val="it-IT"/>
        </w:rPr>
        <w:t xml:space="preserve">Leonzio, G., Manenti, G., Bozzini, M. M., Baratti, R., &amp; Manenti, F. (2025). </w:t>
      </w:r>
      <w:r w:rsidRPr="00F40F48">
        <w:t>“Analysis of a Methanol Synthesis Reactor Operating in Non-Isothermal Cooling Conditions.” Fuel Processing Technology, 276, 108288. DOI: 10.1016/j.fuproc.2025.108288.</w:t>
      </w:r>
    </w:p>
    <w:p w14:paraId="48E2AAA9" w14:textId="4803ED72" w:rsidR="00CB77E3" w:rsidRDefault="00CB77E3" w:rsidP="00D26E65">
      <w:pPr>
        <w:pStyle w:val="CETReferencetext"/>
        <w:rPr>
          <w:lang w:val="en-US"/>
        </w:rPr>
      </w:pPr>
      <w:r>
        <w:rPr>
          <w:lang w:val="en-US"/>
        </w:rPr>
        <w:t xml:space="preserve">Manenti, F., Manenti, G., </w:t>
      </w:r>
      <w:r w:rsidR="00692C18" w:rsidRPr="00692C18">
        <w:rPr>
          <w:lang w:val="en-US"/>
        </w:rPr>
        <w:t xml:space="preserve">Sustainability Deployment by Modular and Practical Solutions: Biogas to </w:t>
      </w:r>
      <w:proofErr w:type="spellStart"/>
      <w:r w:rsidR="00692C18" w:rsidRPr="00692C18">
        <w:rPr>
          <w:lang w:val="en-US"/>
        </w:rPr>
        <w:t>Biomethanol</w:t>
      </w:r>
      <w:proofErr w:type="spellEnd"/>
      <w:r w:rsidR="00692C18" w:rsidRPr="00692C18">
        <w:rPr>
          <w:lang w:val="en-US"/>
        </w:rPr>
        <w:t xml:space="preserve"> Conversion using </w:t>
      </w:r>
      <w:proofErr w:type="spellStart"/>
      <w:r w:rsidR="00692C18" w:rsidRPr="00692C18">
        <w:rPr>
          <w:lang w:val="en-US"/>
        </w:rPr>
        <w:t>MeOHmax</w:t>
      </w:r>
      <w:proofErr w:type="spellEnd"/>
      <w:r w:rsidR="00692C18" w:rsidRPr="00692C18">
        <w:rPr>
          <w:lang w:val="en-US"/>
        </w:rPr>
        <w:t>™ process and DZMR™ reactor</w:t>
      </w:r>
      <w:r w:rsidR="00692C18">
        <w:rPr>
          <w:lang w:val="en-US"/>
        </w:rPr>
        <w:t xml:space="preserve">, </w:t>
      </w:r>
      <w:r>
        <w:rPr>
          <w:lang w:val="en-US"/>
        </w:rPr>
        <w:t>Chemical Engineering Transactions, 2026</w:t>
      </w:r>
      <w:r w:rsidR="0090771D">
        <w:rPr>
          <w:lang w:val="en-US"/>
        </w:rPr>
        <w:t>, vol. 128.</w:t>
      </w:r>
    </w:p>
    <w:p w14:paraId="036564C9" w14:textId="254450F6" w:rsidR="00D26E65" w:rsidRPr="00F40F48" w:rsidRDefault="00D26E65" w:rsidP="00D26E65">
      <w:pPr>
        <w:pStyle w:val="CETReferencetext"/>
      </w:pPr>
      <w:r w:rsidRPr="00F40F48">
        <w:rPr>
          <w:lang w:val="en-US"/>
        </w:rPr>
        <w:t xml:space="preserve">Manenti, F., </w:t>
      </w:r>
      <w:proofErr w:type="spellStart"/>
      <w:r w:rsidRPr="00F40F48">
        <w:rPr>
          <w:lang w:val="en-US"/>
        </w:rPr>
        <w:t>Papasidero</w:t>
      </w:r>
      <w:proofErr w:type="spellEnd"/>
      <w:r w:rsidRPr="00F40F48">
        <w:rPr>
          <w:lang w:val="en-US"/>
        </w:rPr>
        <w:t xml:space="preserve">, D., Bozzano, G. L., Ranzi, E. M., </w:t>
      </w:r>
      <w:r w:rsidRPr="00F40F48">
        <w:t xml:space="preserve">Model-based optimization of </w:t>
      </w:r>
      <w:proofErr w:type="spellStart"/>
      <w:r w:rsidRPr="00F40F48">
        <w:t>sulfur</w:t>
      </w:r>
      <w:proofErr w:type="spellEnd"/>
      <w:r w:rsidRPr="00F40F48">
        <w:t xml:space="preserve"> recovery units, Computers and Chemical Engineering, 2014, 66, pp. 244–251.</w:t>
      </w:r>
    </w:p>
    <w:p w14:paraId="75FC0B4C" w14:textId="77777777" w:rsidR="00D26E65" w:rsidRDefault="00D26E65" w:rsidP="00D26E65">
      <w:pPr>
        <w:pStyle w:val="CETReferencetext"/>
      </w:pPr>
      <w:r w:rsidRPr="00F40F48">
        <w:rPr>
          <w:lang w:val="en-US"/>
        </w:rPr>
        <w:t xml:space="preserve">Manenti, F., </w:t>
      </w:r>
      <w:proofErr w:type="spellStart"/>
      <w:r w:rsidRPr="00F40F48">
        <w:rPr>
          <w:lang w:val="en-US"/>
        </w:rPr>
        <w:t>Papasidero</w:t>
      </w:r>
      <w:proofErr w:type="spellEnd"/>
      <w:r w:rsidRPr="00F40F48">
        <w:rPr>
          <w:lang w:val="en-US"/>
        </w:rPr>
        <w:t xml:space="preserve">, D., Ranzi, E. M., </w:t>
      </w:r>
      <w:r w:rsidRPr="00F40F48">
        <w:t xml:space="preserve">Revised kinetic scheme for thermal furnace of </w:t>
      </w:r>
      <w:proofErr w:type="spellStart"/>
      <w:r w:rsidRPr="00F40F48">
        <w:t>sulfur</w:t>
      </w:r>
      <w:proofErr w:type="spellEnd"/>
      <w:r w:rsidRPr="00F40F48">
        <w:t xml:space="preserve"> recovery units, Chemical Engineering Transactions, 2013, 32, pp. 1285–1290.</w:t>
      </w:r>
    </w:p>
    <w:p w14:paraId="0FD9EACB" w14:textId="3079F0B9" w:rsidR="003F7BEE" w:rsidRDefault="003F7BEE" w:rsidP="009E2076">
      <w:pPr>
        <w:pStyle w:val="CETReferencetext"/>
      </w:pPr>
      <w:proofErr w:type="spellStart"/>
      <w:r w:rsidRPr="003F7BEE">
        <w:t>Towler</w:t>
      </w:r>
      <w:proofErr w:type="spellEnd"/>
      <w:r w:rsidRPr="003F7BEE">
        <w:t>, G.P. and Lynn, S</w:t>
      </w:r>
      <w:r>
        <w:t>.,</w:t>
      </w:r>
      <w:r w:rsidRPr="003F7BEE">
        <w:t xml:space="preserve"> Development of a zero-emissions </w:t>
      </w:r>
      <w:proofErr w:type="spellStart"/>
      <w:r w:rsidRPr="003F7BEE">
        <w:t>sulfur</w:t>
      </w:r>
      <w:proofErr w:type="spellEnd"/>
      <w:r w:rsidRPr="003F7BEE">
        <w:t xml:space="preserve">-recovery process. 1. Thermochemistry and reaction kinetics of mixtures of hydrogen </w:t>
      </w:r>
      <w:proofErr w:type="spellStart"/>
      <w:r w:rsidRPr="003F7BEE">
        <w:t>sulfide</w:t>
      </w:r>
      <w:proofErr w:type="spellEnd"/>
      <w:r w:rsidRPr="003F7BEE">
        <w:t xml:space="preserve"> and carbon dioxide at high temperature, Industrial &amp; Engineering Chemistry Research</w:t>
      </w:r>
      <w:r>
        <w:t>, 1993</w:t>
      </w:r>
      <w:r w:rsidRPr="003F7BEE">
        <w:t>, 32(11), pp. 2800–2811</w:t>
      </w:r>
      <w:r>
        <w:t>.</w:t>
      </w:r>
    </w:p>
    <w:p w14:paraId="00BA3D4F" w14:textId="353D6860" w:rsidR="00C52C3C" w:rsidRDefault="009E2076" w:rsidP="009E2076">
      <w:pPr>
        <w:pStyle w:val="CETReferencetext"/>
      </w:pPr>
      <w:r>
        <w:t xml:space="preserve">Vanden </w:t>
      </w:r>
      <w:proofErr w:type="spellStart"/>
      <w:r>
        <w:t>Bussche</w:t>
      </w:r>
      <w:proofErr w:type="spellEnd"/>
      <w:r>
        <w:t xml:space="preserve"> K.M., </w:t>
      </w:r>
      <w:proofErr w:type="spellStart"/>
      <w:r>
        <w:t>Froment</w:t>
      </w:r>
      <w:proofErr w:type="spellEnd"/>
      <w:r>
        <w:t xml:space="preserve"> G.F.,</w:t>
      </w:r>
      <w:r w:rsidRPr="009E2076">
        <w:t xml:space="preserve"> </w:t>
      </w:r>
      <w:r>
        <w:t>A steady-state kinetic model for methanol synthesis and the water gas shift reaction on a commercial Cu/</w:t>
      </w:r>
      <w:proofErr w:type="spellStart"/>
      <w:r>
        <w:t>ZnO</w:t>
      </w:r>
      <w:proofErr w:type="spellEnd"/>
      <w:r>
        <w:t>/Al2O3 catalyst, Journal of Catalysis, 1996, 161(1), 0156.</w:t>
      </w:r>
    </w:p>
    <w:p w14:paraId="7AFB6E71" w14:textId="77777777" w:rsidR="00860BAF" w:rsidRDefault="00860BAF" w:rsidP="00860BAF">
      <w:pPr>
        <w:pStyle w:val="CETReferencetext"/>
      </w:pPr>
    </w:p>
    <w:p w14:paraId="28E8379D" w14:textId="77777777" w:rsidR="00C52C3C" w:rsidRDefault="00C52C3C" w:rsidP="00E65B91">
      <w:pPr>
        <w:pStyle w:val="CETReferencetext"/>
      </w:pPr>
    </w:p>
    <w:sectPr w:rsidR="00C52C3C" w:rsidSect="008314D7">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D83E9C" w14:textId="77777777" w:rsidR="000A3461" w:rsidRDefault="000A3461" w:rsidP="004F5E36">
      <w:r>
        <w:separator/>
      </w:r>
    </w:p>
  </w:endnote>
  <w:endnote w:type="continuationSeparator" w:id="0">
    <w:p w14:paraId="5FFB21AC" w14:textId="77777777" w:rsidR="000A3461" w:rsidRDefault="000A3461"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dvP6960">
    <w:altName w:val="Cambria"/>
    <w:charset w:val="00"/>
    <w:family w:val="roman"/>
    <w:pitch w:val="variable"/>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A3AB8A" w14:textId="77777777" w:rsidR="000A3461" w:rsidRDefault="000A3461" w:rsidP="004F5E36">
      <w:r>
        <w:separator/>
      </w:r>
    </w:p>
  </w:footnote>
  <w:footnote w:type="continuationSeparator" w:id="0">
    <w:p w14:paraId="0BDA1F43" w14:textId="77777777" w:rsidR="000A3461" w:rsidRDefault="000A3461" w:rsidP="004F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58AF15E"/>
    <w:lvl w:ilvl="0">
      <w:start w:val="1"/>
      <w:numFmt w:val="decimal"/>
      <w:pStyle w:val="Numeroelenco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Numeroelenco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Numeroelenco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Numeroelenco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Puntoelenco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Puntoelenco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Puntoelenco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Puntoelenco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Numeroelenco"/>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Puntoelenco"/>
      <w:lvlText w:val=""/>
      <w:lvlJc w:val="left"/>
      <w:pPr>
        <w:tabs>
          <w:tab w:val="num" w:pos="360"/>
        </w:tabs>
        <w:ind w:left="360" w:hanging="360"/>
      </w:pPr>
      <w:rPr>
        <w:rFonts w:ascii="Symbol" w:hAnsi="Symbol" w:hint="default"/>
      </w:rPr>
    </w:lvl>
  </w:abstractNum>
  <w:abstractNum w:abstractNumId="10" w15:restartNumberingAfterBreak="0">
    <w:nsid w:val="0C5A105C"/>
    <w:multiLevelType w:val="hybridMultilevel"/>
    <w:tmpl w:val="86F259AC"/>
    <w:lvl w:ilvl="0" w:tplc="04100001">
      <w:start w:val="1"/>
      <w:numFmt w:val="bullet"/>
      <w:lvlText w:val=""/>
      <w:lvlJc w:val="left"/>
      <w:pPr>
        <w:ind w:left="410" w:hanging="360"/>
      </w:pPr>
      <w:rPr>
        <w:rFonts w:ascii="Symbol" w:hAnsi="Symbol" w:hint="default"/>
      </w:rPr>
    </w:lvl>
    <w:lvl w:ilvl="1" w:tplc="04100003" w:tentative="1">
      <w:start w:val="1"/>
      <w:numFmt w:val="bullet"/>
      <w:lvlText w:val="o"/>
      <w:lvlJc w:val="left"/>
      <w:pPr>
        <w:ind w:left="1130" w:hanging="360"/>
      </w:pPr>
      <w:rPr>
        <w:rFonts w:ascii="Courier New" w:hAnsi="Courier New" w:cs="Courier New" w:hint="default"/>
      </w:rPr>
    </w:lvl>
    <w:lvl w:ilvl="2" w:tplc="04100005" w:tentative="1">
      <w:start w:val="1"/>
      <w:numFmt w:val="bullet"/>
      <w:lvlText w:val=""/>
      <w:lvlJc w:val="left"/>
      <w:pPr>
        <w:ind w:left="1850" w:hanging="360"/>
      </w:pPr>
      <w:rPr>
        <w:rFonts w:ascii="Wingdings" w:hAnsi="Wingdings" w:hint="default"/>
      </w:rPr>
    </w:lvl>
    <w:lvl w:ilvl="3" w:tplc="04100001" w:tentative="1">
      <w:start w:val="1"/>
      <w:numFmt w:val="bullet"/>
      <w:lvlText w:val=""/>
      <w:lvlJc w:val="left"/>
      <w:pPr>
        <w:ind w:left="2570" w:hanging="360"/>
      </w:pPr>
      <w:rPr>
        <w:rFonts w:ascii="Symbol" w:hAnsi="Symbol" w:hint="default"/>
      </w:rPr>
    </w:lvl>
    <w:lvl w:ilvl="4" w:tplc="04100003" w:tentative="1">
      <w:start w:val="1"/>
      <w:numFmt w:val="bullet"/>
      <w:lvlText w:val="o"/>
      <w:lvlJc w:val="left"/>
      <w:pPr>
        <w:ind w:left="3290" w:hanging="360"/>
      </w:pPr>
      <w:rPr>
        <w:rFonts w:ascii="Courier New" w:hAnsi="Courier New" w:cs="Courier New" w:hint="default"/>
      </w:rPr>
    </w:lvl>
    <w:lvl w:ilvl="5" w:tplc="04100005" w:tentative="1">
      <w:start w:val="1"/>
      <w:numFmt w:val="bullet"/>
      <w:lvlText w:val=""/>
      <w:lvlJc w:val="left"/>
      <w:pPr>
        <w:ind w:left="4010" w:hanging="360"/>
      </w:pPr>
      <w:rPr>
        <w:rFonts w:ascii="Wingdings" w:hAnsi="Wingdings" w:hint="default"/>
      </w:rPr>
    </w:lvl>
    <w:lvl w:ilvl="6" w:tplc="04100001" w:tentative="1">
      <w:start w:val="1"/>
      <w:numFmt w:val="bullet"/>
      <w:lvlText w:val=""/>
      <w:lvlJc w:val="left"/>
      <w:pPr>
        <w:ind w:left="4730" w:hanging="360"/>
      </w:pPr>
      <w:rPr>
        <w:rFonts w:ascii="Symbol" w:hAnsi="Symbol" w:hint="default"/>
      </w:rPr>
    </w:lvl>
    <w:lvl w:ilvl="7" w:tplc="04100003" w:tentative="1">
      <w:start w:val="1"/>
      <w:numFmt w:val="bullet"/>
      <w:lvlText w:val="o"/>
      <w:lvlJc w:val="left"/>
      <w:pPr>
        <w:ind w:left="5450" w:hanging="360"/>
      </w:pPr>
      <w:rPr>
        <w:rFonts w:ascii="Courier New" w:hAnsi="Courier New" w:cs="Courier New" w:hint="default"/>
      </w:rPr>
    </w:lvl>
    <w:lvl w:ilvl="8" w:tplc="04100005" w:tentative="1">
      <w:start w:val="1"/>
      <w:numFmt w:val="bullet"/>
      <w:lvlText w:val=""/>
      <w:lvlJc w:val="left"/>
      <w:pPr>
        <w:ind w:left="6170" w:hanging="360"/>
      </w:pPr>
      <w:rPr>
        <w:rFonts w:ascii="Wingdings" w:hAnsi="Wingdings" w:hint="default"/>
      </w:rPr>
    </w:lvl>
  </w:abstractNum>
  <w:abstractNum w:abstractNumId="11" w15:restartNumberingAfterBreak="0">
    <w:nsid w:val="1F3E5373"/>
    <w:multiLevelType w:val="hybridMultilevel"/>
    <w:tmpl w:val="5B1E1F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Tabellasemplice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3"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7" w15:restartNumberingAfterBreak="0">
    <w:nsid w:val="4CCF6B46"/>
    <w:multiLevelType w:val="hybridMultilevel"/>
    <w:tmpl w:val="B4CEEA8E"/>
    <w:lvl w:ilvl="0" w:tplc="6ED6837C">
      <w:start w:val="2"/>
      <w:numFmt w:val="bullet"/>
      <w:lvlText w:val="-"/>
      <w:lvlJc w:val="left"/>
      <w:pPr>
        <w:ind w:left="410" w:hanging="360"/>
      </w:pPr>
      <w:rPr>
        <w:rFonts w:ascii="Arial" w:eastAsia="Times New Roman" w:hAnsi="Arial" w:cs="Arial" w:hint="default"/>
      </w:rPr>
    </w:lvl>
    <w:lvl w:ilvl="1" w:tplc="04100003" w:tentative="1">
      <w:start w:val="1"/>
      <w:numFmt w:val="bullet"/>
      <w:lvlText w:val="o"/>
      <w:lvlJc w:val="left"/>
      <w:pPr>
        <w:ind w:left="1130" w:hanging="360"/>
      </w:pPr>
      <w:rPr>
        <w:rFonts w:ascii="Courier New" w:hAnsi="Courier New" w:cs="Courier New" w:hint="default"/>
      </w:rPr>
    </w:lvl>
    <w:lvl w:ilvl="2" w:tplc="04100005" w:tentative="1">
      <w:start w:val="1"/>
      <w:numFmt w:val="bullet"/>
      <w:lvlText w:val=""/>
      <w:lvlJc w:val="left"/>
      <w:pPr>
        <w:ind w:left="1850" w:hanging="360"/>
      </w:pPr>
      <w:rPr>
        <w:rFonts w:ascii="Wingdings" w:hAnsi="Wingdings" w:hint="default"/>
      </w:rPr>
    </w:lvl>
    <w:lvl w:ilvl="3" w:tplc="04100001" w:tentative="1">
      <w:start w:val="1"/>
      <w:numFmt w:val="bullet"/>
      <w:lvlText w:val=""/>
      <w:lvlJc w:val="left"/>
      <w:pPr>
        <w:ind w:left="2570" w:hanging="360"/>
      </w:pPr>
      <w:rPr>
        <w:rFonts w:ascii="Symbol" w:hAnsi="Symbol" w:hint="default"/>
      </w:rPr>
    </w:lvl>
    <w:lvl w:ilvl="4" w:tplc="04100003" w:tentative="1">
      <w:start w:val="1"/>
      <w:numFmt w:val="bullet"/>
      <w:lvlText w:val="o"/>
      <w:lvlJc w:val="left"/>
      <w:pPr>
        <w:ind w:left="3290" w:hanging="360"/>
      </w:pPr>
      <w:rPr>
        <w:rFonts w:ascii="Courier New" w:hAnsi="Courier New" w:cs="Courier New" w:hint="default"/>
      </w:rPr>
    </w:lvl>
    <w:lvl w:ilvl="5" w:tplc="04100005" w:tentative="1">
      <w:start w:val="1"/>
      <w:numFmt w:val="bullet"/>
      <w:lvlText w:val=""/>
      <w:lvlJc w:val="left"/>
      <w:pPr>
        <w:ind w:left="4010" w:hanging="360"/>
      </w:pPr>
      <w:rPr>
        <w:rFonts w:ascii="Wingdings" w:hAnsi="Wingdings" w:hint="default"/>
      </w:rPr>
    </w:lvl>
    <w:lvl w:ilvl="6" w:tplc="04100001" w:tentative="1">
      <w:start w:val="1"/>
      <w:numFmt w:val="bullet"/>
      <w:lvlText w:val=""/>
      <w:lvlJc w:val="left"/>
      <w:pPr>
        <w:ind w:left="4730" w:hanging="360"/>
      </w:pPr>
      <w:rPr>
        <w:rFonts w:ascii="Symbol" w:hAnsi="Symbol" w:hint="default"/>
      </w:rPr>
    </w:lvl>
    <w:lvl w:ilvl="7" w:tplc="04100003" w:tentative="1">
      <w:start w:val="1"/>
      <w:numFmt w:val="bullet"/>
      <w:lvlText w:val="o"/>
      <w:lvlJc w:val="left"/>
      <w:pPr>
        <w:ind w:left="5450" w:hanging="360"/>
      </w:pPr>
      <w:rPr>
        <w:rFonts w:ascii="Courier New" w:hAnsi="Courier New" w:cs="Courier New" w:hint="default"/>
      </w:rPr>
    </w:lvl>
    <w:lvl w:ilvl="8" w:tplc="04100005" w:tentative="1">
      <w:start w:val="1"/>
      <w:numFmt w:val="bullet"/>
      <w:lvlText w:val=""/>
      <w:lvlJc w:val="left"/>
      <w:pPr>
        <w:ind w:left="6170" w:hanging="360"/>
      </w:pPr>
      <w:rPr>
        <w:rFonts w:ascii="Wingdings" w:hAnsi="Wingdings" w:hint="default"/>
      </w:rPr>
    </w:lvl>
  </w:abstractNum>
  <w:abstractNum w:abstractNumId="18"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21" w15:restartNumberingAfterBreak="0">
    <w:nsid w:val="58504C2B"/>
    <w:multiLevelType w:val="hybridMultilevel"/>
    <w:tmpl w:val="988CA706"/>
    <w:lvl w:ilvl="0" w:tplc="04100001">
      <w:start w:val="1"/>
      <w:numFmt w:val="bullet"/>
      <w:lvlText w:val=""/>
      <w:lvlJc w:val="left"/>
      <w:pPr>
        <w:ind w:left="410" w:hanging="360"/>
      </w:pPr>
      <w:rPr>
        <w:rFonts w:ascii="Symbol" w:hAnsi="Symbol" w:hint="default"/>
      </w:rPr>
    </w:lvl>
    <w:lvl w:ilvl="1" w:tplc="04100003" w:tentative="1">
      <w:start w:val="1"/>
      <w:numFmt w:val="bullet"/>
      <w:lvlText w:val="o"/>
      <w:lvlJc w:val="left"/>
      <w:pPr>
        <w:ind w:left="1130" w:hanging="360"/>
      </w:pPr>
      <w:rPr>
        <w:rFonts w:ascii="Courier New" w:hAnsi="Courier New" w:cs="Courier New" w:hint="default"/>
      </w:rPr>
    </w:lvl>
    <w:lvl w:ilvl="2" w:tplc="04100005" w:tentative="1">
      <w:start w:val="1"/>
      <w:numFmt w:val="bullet"/>
      <w:lvlText w:val=""/>
      <w:lvlJc w:val="left"/>
      <w:pPr>
        <w:ind w:left="1850" w:hanging="360"/>
      </w:pPr>
      <w:rPr>
        <w:rFonts w:ascii="Wingdings" w:hAnsi="Wingdings" w:hint="default"/>
      </w:rPr>
    </w:lvl>
    <w:lvl w:ilvl="3" w:tplc="04100001" w:tentative="1">
      <w:start w:val="1"/>
      <w:numFmt w:val="bullet"/>
      <w:lvlText w:val=""/>
      <w:lvlJc w:val="left"/>
      <w:pPr>
        <w:ind w:left="2570" w:hanging="360"/>
      </w:pPr>
      <w:rPr>
        <w:rFonts w:ascii="Symbol" w:hAnsi="Symbol" w:hint="default"/>
      </w:rPr>
    </w:lvl>
    <w:lvl w:ilvl="4" w:tplc="04100003" w:tentative="1">
      <w:start w:val="1"/>
      <w:numFmt w:val="bullet"/>
      <w:lvlText w:val="o"/>
      <w:lvlJc w:val="left"/>
      <w:pPr>
        <w:ind w:left="3290" w:hanging="360"/>
      </w:pPr>
      <w:rPr>
        <w:rFonts w:ascii="Courier New" w:hAnsi="Courier New" w:cs="Courier New" w:hint="default"/>
      </w:rPr>
    </w:lvl>
    <w:lvl w:ilvl="5" w:tplc="04100005" w:tentative="1">
      <w:start w:val="1"/>
      <w:numFmt w:val="bullet"/>
      <w:lvlText w:val=""/>
      <w:lvlJc w:val="left"/>
      <w:pPr>
        <w:ind w:left="4010" w:hanging="360"/>
      </w:pPr>
      <w:rPr>
        <w:rFonts w:ascii="Wingdings" w:hAnsi="Wingdings" w:hint="default"/>
      </w:rPr>
    </w:lvl>
    <w:lvl w:ilvl="6" w:tplc="04100001" w:tentative="1">
      <w:start w:val="1"/>
      <w:numFmt w:val="bullet"/>
      <w:lvlText w:val=""/>
      <w:lvlJc w:val="left"/>
      <w:pPr>
        <w:ind w:left="4730" w:hanging="360"/>
      </w:pPr>
      <w:rPr>
        <w:rFonts w:ascii="Symbol" w:hAnsi="Symbol" w:hint="default"/>
      </w:rPr>
    </w:lvl>
    <w:lvl w:ilvl="7" w:tplc="04100003" w:tentative="1">
      <w:start w:val="1"/>
      <w:numFmt w:val="bullet"/>
      <w:lvlText w:val="o"/>
      <w:lvlJc w:val="left"/>
      <w:pPr>
        <w:ind w:left="5450" w:hanging="360"/>
      </w:pPr>
      <w:rPr>
        <w:rFonts w:ascii="Courier New" w:hAnsi="Courier New" w:cs="Courier New" w:hint="default"/>
      </w:rPr>
    </w:lvl>
    <w:lvl w:ilvl="8" w:tplc="04100005" w:tentative="1">
      <w:start w:val="1"/>
      <w:numFmt w:val="bullet"/>
      <w:lvlText w:val=""/>
      <w:lvlJc w:val="left"/>
      <w:pPr>
        <w:ind w:left="6170" w:hanging="360"/>
      </w:pPr>
      <w:rPr>
        <w:rFonts w:ascii="Wingdings" w:hAnsi="Wingdings" w:hint="default"/>
      </w:rPr>
    </w:lvl>
  </w:abstractNum>
  <w:abstractNum w:abstractNumId="22"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2"/>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20"/>
  </w:num>
  <w:num w:numId="13">
    <w:abstractNumId w:val="14"/>
  </w:num>
  <w:num w:numId="14">
    <w:abstractNumId w:val="22"/>
  </w:num>
  <w:num w:numId="15">
    <w:abstractNumId w:val="24"/>
  </w:num>
  <w:num w:numId="16">
    <w:abstractNumId w:val="23"/>
  </w:num>
  <w:num w:numId="17">
    <w:abstractNumId w:val="13"/>
  </w:num>
  <w:num w:numId="18">
    <w:abstractNumId w:val="14"/>
    <w:lvlOverride w:ilvl="0">
      <w:startOverride w:val="1"/>
    </w:lvlOverride>
  </w:num>
  <w:num w:numId="19">
    <w:abstractNumId w:val="19"/>
  </w:num>
  <w:num w:numId="20">
    <w:abstractNumId w:val="18"/>
  </w:num>
  <w:num w:numId="21">
    <w:abstractNumId w:val="16"/>
  </w:num>
  <w:num w:numId="22">
    <w:abstractNumId w:val="15"/>
  </w:num>
  <w:num w:numId="23">
    <w:abstractNumId w:val="12"/>
  </w:num>
  <w:num w:numId="24">
    <w:abstractNumId w:val="12"/>
  </w:num>
  <w:num w:numId="25">
    <w:abstractNumId w:val="17"/>
  </w:num>
  <w:num w:numId="26">
    <w:abstractNumId w:val="12"/>
  </w:num>
  <w:num w:numId="27">
    <w:abstractNumId w:val="12"/>
  </w:num>
  <w:num w:numId="28">
    <w:abstractNumId w:val="12"/>
  </w:num>
  <w:num w:numId="29">
    <w:abstractNumId w:val="12"/>
  </w:num>
  <w:num w:numId="30">
    <w:abstractNumId w:val="12"/>
  </w:num>
  <w:num w:numId="31">
    <w:abstractNumId w:val="12"/>
  </w:num>
  <w:num w:numId="32">
    <w:abstractNumId w:val="10"/>
  </w:num>
  <w:num w:numId="33">
    <w:abstractNumId w:val="11"/>
  </w:num>
  <w:num w:numId="3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19DF"/>
    <w:rsid w:val="000027C0"/>
    <w:rsid w:val="000052FB"/>
    <w:rsid w:val="00005884"/>
    <w:rsid w:val="00005A19"/>
    <w:rsid w:val="000117CB"/>
    <w:rsid w:val="000173F9"/>
    <w:rsid w:val="0003148D"/>
    <w:rsid w:val="00031EEC"/>
    <w:rsid w:val="0004403E"/>
    <w:rsid w:val="00051566"/>
    <w:rsid w:val="000562A9"/>
    <w:rsid w:val="00062A9A"/>
    <w:rsid w:val="00064EB5"/>
    <w:rsid w:val="00065058"/>
    <w:rsid w:val="000805A4"/>
    <w:rsid w:val="00086C39"/>
    <w:rsid w:val="000A03B2"/>
    <w:rsid w:val="000A3461"/>
    <w:rsid w:val="000D0268"/>
    <w:rsid w:val="000D1EAA"/>
    <w:rsid w:val="000D34BE"/>
    <w:rsid w:val="000E102F"/>
    <w:rsid w:val="000E36F1"/>
    <w:rsid w:val="000E3A73"/>
    <w:rsid w:val="000E414A"/>
    <w:rsid w:val="000E75FD"/>
    <w:rsid w:val="000F093C"/>
    <w:rsid w:val="000F787B"/>
    <w:rsid w:val="00101F02"/>
    <w:rsid w:val="0012091F"/>
    <w:rsid w:val="001239B2"/>
    <w:rsid w:val="00124AAD"/>
    <w:rsid w:val="00126BC2"/>
    <w:rsid w:val="001308B6"/>
    <w:rsid w:val="0013121F"/>
    <w:rsid w:val="00131FE6"/>
    <w:rsid w:val="0013263F"/>
    <w:rsid w:val="001331DF"/>
    <w:rsid w:val="00134DE4"/>
    <w:rsid w:val="0014034D"/>
    <w:rsid w:val="00140FE3"/>
    <w:rsid w:val="00144D16"/>
    <w:rsid w:val="00150E59"/>
    <w:rsid w:val="00152DE3"/>
    <w:rsid w:val="00164CF9"/>
    <w:rsid w:val="001667A6"/>
    <w:rsid w:val="00184AD6"/>
    <w:rsid w:val="001A4AF7"/>
    <w:rsid w:val="001B0349"/>
    <w:rsid w:val="001B1E93"/>
    <w:rsid w:val="001B65C1"/>
    <w:rsid w:val="001B7AEB"/>
    <w:rsid w:val="001C260F"/>
    <w:rsid w:val="001C33F1"/>
    <w:rsid w:val="001C684B"/>
    <w:rsid w:val="001D0CFB"/>
    <w:rsid w:val="001D21AF"/>
    <w:rsid w:val="001D53FC"/>
    <w:rsid w:val="001F3AFF"/>
    <w:rsid w:val="001F42A5"/>
    <w:rsid w:val="001F7B9D"/>
    <w:rsid w:val="00200C65"/>
    <w:rsid w:val="00201C93"/>
    <w:rsid w:val="00217868"/>
    <w:rsid w:val="002224B4"/>
    <w:rsid w:val="002447EF"/>
    <w:rsid w:val="00251550"/>
    <w:rsid w:val="00263B05"/>
    <w:rsid w:val="0027221A"/>
    <w:rsid w:val="00275B61"/>
    <w:rsid w:val="00280FAF"/>
    <w:rsid w:val="00282656"/>
    <w:rsid w:val="00296B83"/>
    <w:rsid w:val="002B4015"/>
    <w:rsid w:val="002B78CE"/>
    <w:rsid w:val="002C2FB6"/>
    <w:rsid w:val="002E5FA7"/>
    <w:rsid w:val="002F3309"/>
    <w:rsid w:val="003008CE"/>
    <w:rsid w:val="003009B7"/>
    <w:rsid w:val="00300E56"/>
    <w:rsid w:val="0030152C"/>
    <w:rsid w:val="0030469C"/>
    <w:rsid w:val="00321CA6"/>
    <w:rsid w:val="00323763"/>
    <w:rsid w:val="00323C5F"/>
    <w:rsid w:val="00334C09"/>
    <w:rsid w:val="003723D4"/>
    <w:rsid w:val="00381905"/>
    <w:rsid w:val="00384CC8"/>
    <w:rsid w:val="003871FD"/>
    <w:rsid w:val="003A1E30"/>
    <w:rsid w:val="003A2829"/>
    <w:rsid w:val="003A7D1C"/>
    <w:rsid w:val="003B304B"/>
    <w:rsid w:val="003B3146"/>
    <w:rsid w:val="003C283A"/>
    <w:rsid w:val="003D1E02"/>
    <w:rsid w:val="003F015E"/>
    <w:rsid w:val="003F239F"/>
    <w:rsid w:val="003F7BEE"/>
    <w:rsid w:val="00400414"/>
    <w:rsid w:val="00414327"/>
    <w:rsid w:val="0041446B"/>
    <w:rsid w:val="0044071E"/>
    <w:rsid w:val="0044329C"/>
    <w:rsid w:val="0044447B"/>
    <w:rsid w:val="00453E24"/>
    <w:rsid w:val="00457456"/>
    <w:rsid w:val="004577FE"/>
    <w:rsid w:val="00457B9C"/>
    <w:rsid w:val="0046164A"/>
    <w:rsid w:val="004628D2"/>
    <w:rsid w:val="00462DCD"/>
    <w:rsid w:val="004648AD"/>
    <w:rsid w:val="004703A9"/>
    <w:rsid w:val="004720E1"/>
    <w:rsid w:val="004760DE"/>
    <w:rsid w:val="004763D7"/>
    <w:rsid w:val="00487793"/>
    <w:rsid w:val="004A0020"/>
    <w:rsid w:val="004A004E"/>
    <w:rsid w:val="004A24CF"/>
    <w:rsid w:val="004A5E57"/>
    <w:rsid w:val="004C194F"/>
    <w:rsid w:val="004C2EDC"/>
    <w:rsid w:val="004C3D1D"/>
    <w:rsid w:val="004C3D84"/>
    <w:rsid w:val="004C7913"/>
    <w:rsid w:val="004E4DD6"/>
    <w:rsid w:val="004F5E36"/>
    <w:rsid w:val="00507B47"/>
    <w:rsid w:val="00507BEF"/>
    <w:rsid w:val="00507CC9"/>
    <w:rsid w:val="005119A5"/>
    <w:rsid w:val="005141B8"/>
    <w:rsid w:val="005278B7"/>
    <w:rsid w:val="00532016"/>
    <w:rsid w:val="005346C8"/>
    <w:rsid w:val="00543E7D"/>
    <w:rsid w:val="0054449A"/>
    <w:rsid w:val="00547A68"/>
    <w:rsid w:val="005531C9"/>
    <w:rsid w:val="00570C43"/>
    <w:rsid w:val="00592274"/>
    <w:rsid w:val="005B0FBC"/>
    <w:rsid w:val="005B2110"/>
    <w:rsid w:val="005B61E6"/>
    <w:rsid w:val="005C77E1"/>
    <w:rsid w:val="005D668A"/>
    <w:rsid w:val="005D6A2F"/>
    <w:rsid w:val="005E0592"/>
    <w:rsid w:val="005E1A82"/>
    <w:rsid w:val="005E794C"/>
    <w:rsid w:val="005F0A28"/>
    <w:rsid w:val="005F0E5E"/>
    <w:rsid w:val="00600535"/>
    <w:rsid w:val="00610CD6"/>
    <w:rsid w:val="00620DEE"/>
    <w:rsid w:val="00621F92"/>
    <w:rsid w:val="0062280A"/>
    <w:rsid w:val="006231E1"/>
    <w:rsid w:val="00623CE9"/>
    <w:rsid w:val="00625639"/>
    <w:rsid w:val="00631B33"/>
    <w:rsid w:val="0064184D"/>
    <w:rsid w:val="006422CC"/>
    <w:rsid w:val="00651D18"/>
    <w:rsid w:val="00660E3E"/>
    <w:rsid w:val="00662E74"/>
    <w:rsid w:val="00664F9F"/>
    <w:rsid w:val="00680C23"/>
    <w:rsid w:val="00683E23"/>
    <w:rsid w:val="00692C18"/>
    <w:rsid w:val="00693766"/>
    <w:rsid w:val="006A3281"/>
    <w:rsid w:val="006B4888"/>
    <w:rsid w:val="006C2E45"/>
    <w:rsid w:val="006C359C"/>
    <w:rsid w:val="006C5579"/>
    <w:rsid w:val="006D6E8B"/>
    <w:rsid w:val="006D7209"/>
    <w:rsid w:val="006E737D"/>
    <w:rsid w:val="00703CEA"/>
    <w:rsid w:val="00707DD1"/>
    <w:rsid w:val="00713973"/>
    <w:rsid w:val="00720A24"/>
    <w:rsid w:val="00732386"/>
    <w:rsid w:val="0073514D"/>
    <w:rsid w:val="007447F3"/>
    <w:rsid w:val="0075499F"/>
    <w:rsid w:val="007617CC"/>
    <w:rsid w:val="00765DF0"/>
    <w:rsid w:val="007661C8"/>
    <w:rsid w:val="0077098D"/>
    <w:rsid w:val="007734FB"/>
    <w:rsid w:val="00785BF9"/>
    <w:rsid w:val="007931FA"/>
    <w:rsid w:val="007A4861"/>
    <w:rsid w:val="007A7BBA"/>
    <w:rsid w:val="007B0C50"/>
    <w:rsid w:val="007B48F9"/>
    <w:rsid w:val="007C1A43"/>
    <w:rsid w:val="007C3A56"/>
    <w:rsid w:val="007D0951"/>
    <w:rsid w:val="007F27C8"/>
    <w:rsid w:val="0080013E"/>
    <w:rsid w:val="00813288"/>
    <w:rsid w:val="008168FC"/>
    <w:rsid w:val="00830996"/>
    <w:rsid w:val="008314D7"/>
    <w:rsid w:val="008345F1"/>
    <w:rsid w:val="00860BAF"/>
    <w:rsid w:val="00865B07"/>
    <w:rsid w:val="008667EA"/>
    <w:rsid w:val="0087637F"/>
    <w:rsid w:val="00892AD5"/>
    <w:rsid w:val="008A1512"/>
    <w:rsid w:val="008D32B9"/>
    <w:rsid w:val="008D433B"/>
    <w:rsid w:val="008D4A16"/>
    <w:rsid w:val="008E209A"/>
    <w:rsid w:val="008E45BC"/>
    <w:rsid w:val="008E566E"/>
    <w:rsid w:val="008F3FF4"/>
    <w:rsid w:val="0090161A"/>
    <w:rsid w:val="00901EB6"/>
    <w:rsid w:val="009041F8"/>
    <w:rsid w:val="00904C62"/>
    <w:rsid w:val="0090771D"/>
    <w:rsid w:val="00922BA8"/>
    <w:rsid w:val="00924DAC"/>
    <w:rsid w:val="00927058"/>
    <w:rsid w:val="00942750"/>
    <w:rsid w:val="009450CE"/>
    <w:rsid w:val="009459BB"/>
    <w:rsid w:val="00947179"/>
    <w:rsid w:val="0095164B"/>
    <w:rsid w:val="00954090"/>
    <w:rsid w:val="009573E7"/>
    <w:rsid w:val="00963E05"/>
    <w:rsid w:val="00964A45"/>
    <w:rsid w:val="00967843"/>
    <w:rsid w:val="00967D54"/>
    <w:rsid w:val="00971028"/>
    <w:rsid w:val="0097118B"/>
    <w:rsid w:val="00975B0A"/>
    <w:rsid w:val="009825A1"/>
    <w:rsid w:val="009858DE"/>
    <w:rsid w:val="00993B84"/>
    <w:rsid w:val="00996483"/>
    <w:rsid w:val="00996F5A"/>
    <w:rsid w:val="009B041A"/>
    <w:rsid w:val="009C37C3"/>
    <w:rsid w:val="009C7C86"/>
    <w:rsid w:val="009D2FF7"/>
    <w:rsid w:val="009E2076"/>
    <w:rsid w:val="009E7884"/>
    <w:rsid w:val="009E788A"/>
    <w:rsid w:val="009F0E08"/>
    <w:rsid w:val="00A079AE"/>
    <w:rsid w:val="00A1763D"/>
    <w:rsid w:val="00A17CEC"/>
    <w:rsid w:val="00A26CBB"/>
    <w:rsid w:val="00A27EF0"/>
    <w:rsid w:val="00A42361"/>
    <w:rsid w:val="00A50B20"/>
    <w:rsid w:val="00A51390"/>
    <w:rsid w:val="00A60D13"/>
    <w:rsid w:val="00A7223D"/>
    <w:rsid w:val="00A72745"/>
    <w:rsid w:val="00A76EFC"/>
    <w:rsid w:val="00A87D50"/>
    <w:rsid w:val="00A91010"/>
    <w:rsid w:val="00A97F29"/>
    <w:rsid w:val="00AA702E"/>
    <w:rsid w:val="00AA7D26"/>
    <w:rsid w:val="00AB0964"/>
    <w:rsid w:val="00AB5011"/>
    <w:rsid w:val="00AC7368"/>
    <w:rsid w:val="00AD0278"/>
    <w:rsid w:val="00AD16B9"/>
    <w:rsid w:val="00AE377D"/>
    <w:rsid w:val="00AF0EBA"/>
    <w:rsid w:val="00AF4E67"/>
    <w:rsid w:val="00B02C8A"/>
    <w:rsid w:val="00B17FBD"/>
    <w:rsid w:val="00B315A6"/>
    <w:rsid w:val="00B31813"/>
    <w:rsid w:val="00B33365"/>
    <w:rsid w:val="00B57B36"/>
    <w:rsid w:val="00B57E6F"/>
    <w:rsid w:val="00B8686D"/>
    <w:rsid w:val="00B93F69"/>
    <w:rsid w:val="00BB1DDC"/>
    <w:rsid w:val="00BC30C9"/>
    <w:rsid w:val="00BD077D"/>
    <w:rsid w:val="00BD189A"/>
    <w:rsid w:val="00BE3E58"/>
    <w:rsid w:val="00BE4B8E"/>
    <w:rsid w:val="00C01616"/>
    <w:rsid w:val="00C0162B"/>
    <w:rsid w:val="00C068ED"/>
    <w:rsid w:val="00C11E25"/>
    <w:rsid w:val="00C208E9"/>
    <w:rsid w:val="00C22E0C"/>
    <w:rsid w:val="00C345B1"/>
    <w:rsid w:val="00C40142"/>
    <w:rsid w:val="00C47E0C"/>
    <w:rsid w:val="00C52C3C"/>
    <w:rsid w:val="00C57182"/>
    <w:rsid w:val="00C57863"/>
    <w:rsid w:val="00C623EB"/>
    <w:rsid w:val="00C640AF"/>
    <w:rsid w:val="00C655FD"/>
    <w:rsid w:val="00C741D0"/>
    <w:rsid w:val="00C75407"/>
    <w:rsid w:val="00C81253"/>
    <w:rsid w:val="00C841C6"/>
    <w:rsid w:val="00C870A8"/>
    <w:rsid w:val="00C9117D"/>
    <w:rsid w:val="00C94434"/>
    <w:rsid w:val="00CA0D75"/>
    <w:rsid w:val="00CA1C95"/>
    <w:rsid w:val="00CA5A9C"/>
    <w:rsid w:val="00CB2614"/>
    <w:rsid w:val="00CB6428"/>
    <w:rsid w:val="00CB77E3"/>
    <w:rsid w:val="00CC4C20"/>
    <w:rsid w:val="00CD3517"/>
    <w:rsid w:val="00CD5FE2"/>
    <w:rsid w:val="00CE7C68"/>
    <w:rsid w:val="00D02B4C"/>
    <w:rsid w:val="00D040C4"/>
    <w:rsid w:val="00D14CDC"/>
    <w:rsid w:val="00D20AD1"/>
    <w:rsid w:val="00D2582C"/>
    <w:rsid w:val="00D26E65"/>
    <w:rsid w:val="00D46B7E"/>
    <w:rsid w:val="00D57C84"/>
    <w:rsid w:val="00D6057D"/>
    <w:rsid w:val="00D71640"/>
    <w:rsid w:val="00D836C5"/>
    <w:rsid w:val="00D84576"/>
    <w:rsid w:val="00D94EE9"/>
    <w:rsid w:val="00D95D43"/>
    <w:rsid w:val="00DA1399"/>
    <w:rsid w:val="00DA24C6"/>
    <w:rsid w:val="00DA4D7B"/>
    <w:rsid w:val="00DA6240"/>
    <w:rsid w:val="00DC539A"/>
    <w:rsid w:val="00DD271C"/>
    <w:rsid w:val="00DE264A"/>
    <w:rsid w:val="00DF5072"/>
    <w:rsid w:val="00E02D18"/>
    <w:rsid w:val="00E041E7"/>
    <w:rsid w:val="00E16EA5"/>
    <w:rsid w:val="00E23CA1"/>
    <w:rsid w:val="00E409A8"/>
    <w:rsid w:val="00E47D61"/>
    <w:rsid w:val="00E50C12"/>
    <w:rsid w:val="00E65B91"/>
    <w:rsid w:val="00E7209D"/>
    <w:rsid w:val="00E72EAD"/>
    <w:rsid w:val="00E77223"/>
    <w:rsid w:val="00E8528B"/>
    <w:rsid w:val="00E85B94"/>
    <w:rsid w:val="00E978D0"/>
    <w:rsid w:val="00EA4613"/>
    <w:rsid w:val="00EA7F91"/>
    <w:rsid w:val="00EB1523"/>
    <w:rsid w:val="00EC0E49"/>
    <w:rsid w:val="00EC101F"/>
    <w:rsid w:val="00EC1D9F"/>
    <w:rsid w:val="00EE0131"/>
    <w:rsid w:val="00EE17B0"/>
    <w:rsid w:val="00EE1A72"/>
    <w:rsid w:val="00EF06D9"/>
    <w:rsid w:val="00EF0982"/>
    <w:rsid w:val="00F126A5"/>
    <w:rsid w:val="00F271BD"/>
    <w:rsid w:val="00F3049E"/>
    <w:rsid w:val="00F30C64"/>
    <w:rsid w:val="00F314FE"/>
    <w:rsid w:val="00F32BA2"/>
    <w:rsid w:val="00F32CDB"/>
    <w:rsid w:val="00F3348F"/>
    <w:rsid w:val="00F37280"/>
    <w:rsid w:val="00F40F48"/>
    <w:rsid w:val="00F41EE4"/>
    <w:rsid w:val="00F565FE"/>
    <w:rsid w:val="00F63A70"/>
    <w:rsid w:val="00F63D8C"/>
    <w:rsid w:val="00F7534E"/>
    <w:rsid w:val="00F93EDF"/>
    <w:rsid w:val="00FA1802"/>
    <w:rsid w:val="00FA21D0"/>
    <w:rsid w:val="00FA5F5F"/>
    <w:rsid w:val="00FB036A"/>
    <w:rsid w:val="00FB730C"/>
    <w:rsid w:val="00FC2695"/>
    <w:rsid w:val="00FC3E03"/>
    <w:rsid w:val="00FC3FC1"/>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E0CC22"/>
  <w14:defaultImageDpi w14:val="330"/>
  <w15:docId w15:val="{0B95FB59-9D38-42B5-B090-D2348EE1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Titolo1">
    <w:name w:val="heading 1"/>
    <w:basedOn w:val="CETHeading1"/>
    <w:next w:val="Normale"/>
    <w:link w:val="Titolo1Carattere"/>
    <w:uiPriority w:val="9"/>
    <w:rsid w:val="004F5E36"/>
    <w:pPr>
      <w:tabs>
        <w:tab w:val="clear" w:pos="360"/>
        <w:tab w:val="right" w:pos="7100"/>
      </w:tabs>
      <w:jc w:val="both"/>
      <w:outlineLvl w:val="0"/>
    </w:pPr>
    <w:rPr>
      <w:lang w:val="en-GB"/>
    </w:rPr>
  </w:style>
  <w:style w:type="paragraph" w:styleId="Titolo2">
    <w:name w:val="heading 2"/>
    <w:basedOn w:val="Normale"/>
    <w:next w:val="Normale"/>
    <w:link w:val="Titolo2Carattere"/>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Titolo9">
    <w:name w:val="heading 9"/>
    <w:basedOn w:val="Normale"/>
    <w:next w:val="Normale"/>
    <w:link w:val="Titolo9Carattere"/>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FA5F5F"/>
    <w:pPr>
      <w:keepNext/>
      <w:numPr>
        <w:ilvl w:val="2"/>
        <w:numId w:val="1"/>
      </w:numPr>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Tabellasemplice1">
    <w:name w:val="Table Simple 1"/>
    <w:basedOn w:val="Tabellanormale"/>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FA5F5F"/>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Rimandocommento">
    <w:name w:val="annotation reference"/>
    <w:basedOn w:val="Carpredefinitoparagrafo"/>
    <w:uiPriority w:val="99"/>
    <w:semiHidden/>
    <w:unhideWhenUsed/>
    <w:rsid w:val="004577FE"/>
    <w:rPr>
      <w:sz w:val="16"/>
      <w:szCs w:val="16"/>
    </w:rPr>
  </w:style>
  <w:style w:type="paragraph" w:styleId="Testofumetto">
    <w:name w:val="Balloon Text"/>
    <w:basedOn w:val="Normale"/>
    <w:link w:val="TestofumettoCarattere"/>
    <w:uiPriority w:val="99"/>
    <w:semiHidden/>
    <w:unhideWhenUsed/>
    <w:rsid w:val="000D34BE"/>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D34BE"/>
    <w:rPr>
      <w:rFonts w:ascii="Tahoma" w:hAnsi="Tahoma" w:cs="Tahoma"/>
      <w:sz w:val="16"/>
      <w:szCs w:val="16"/>
    </w:rPr>
  </w:style>
  <w:style w:type="paragraph" w:styleId="Bibliografia">
    <w:name w:val="Bibliography"/>
    <w:basedOn w:val="CETReferencetext"/>
    <w:uiPriority w:val="37"/>
    <w:unhideWhenUsed/>
    <w:rsid w:val="00631B33"/>
    <w:pPr>
      <w:spacing w:line="240" w:lineRule="auto"/>
      <w:ind w:left="720" w:hanging="720"/>
    </w:pPr>
  </w:style>
  <w:style w:type="paragraph" w:styleId="Corpodeltesto2">
    <w:name w:val="Body Text 2"/>
    <w:basedOn w:val="Normale"/>
    <w:link w:val="Corpodeltesto2Carattere"/>
    <w:uiPriority w:val="99"/>
    <w:semiHidden/>
    <w:unhideWhenUsed/>
    <w:rsid w:val="0003148D"/>
    <w:pPr>
      <w:spacing w:after="120" w:line="480" w:lineRule="auto"/>
    </w:pPr>
  </w:style>
  <w:style w:type="character" w:customStyle="1" w:styleId="Corpodeltesto2Carattere">
    <w:name w:val="Corpo del testo 2 Carattere"/>
    <w:basedOn w:val="Carpredefinitoparagrafo"/>
    <w:link w:val="Corpodeltesto2"/>
    <w:uiPriority w:val="99"/>
    <w:semiHidden/>
    <w:rsid w:val="0003148D"/>
  </w:style>
  <w:style w:type="paragraph" w:styleId="Corpodeltesto3">
    <w:name w:val="Body Text 3"/>
    <w:basedOn w:val="Normale"/>
    <w:link w:val="Corpodeltesto3Carattere"/>
    <w:uiPriority w:val="99"/>
    <w:semiHidden/>
    <w:unhideWhenUsed/>
    <w:rsid w:val="0003148D"/>
    <w:pPr>
      <w:spacing w:after="120"/>
    </w:pPr>
    <w:rPr>
      <w:sz w:val="16"/>
      <w:szCs w:val="16"/>
    </w:rPr>
  </w:style>
  <w:style w:type="character" w:customStyle="1" w:styleId="Corpodeltesto3Carattere">
    <w:name w:val="Corpo del testo 3 Carattere"/>
    <w:basedOn w:val="Carpredefinitoparagrafo"/>
    <w:link w:val="Corpodeltesto3"/>
    <w:uiPriority w:val="99"/>
    <w:semiHidden/>
    <w:rsid w:val="0003148D"/>
    <w:rPr>
      <w:sz w:val="16"/>
      <w:szCs w:val="16"/>
    </w:rPr>
  </w:style>
  <w:style w:type="paragraph" w:styleId="Corpotesto">
    <w:name w:val="Body Text"/>
    <w:basedOn w:val="Normale"/>
    <w:link w:val="CorpotestoCarattere"/>
    <w:uiPriority w:val="99"/>
    <w:semiHidden/>
    <w:unhideWhenUsed/>
    <w:rsid w:val="0003148D"/>
    <w:pPr>
      <w:spacing w:after="120"/>
    </w:pPr>
  </w:style>
  <w:style w:type="character" w:customStyle="1" w:styleId="CorpotestoCarattere">
    <w:name w:val="Corpo testo Carattere"/>
    <w:basedOn w:val="Carpredefinitoparagrafo"/>
    <w:link w:val="Corpotesto"/>
    <w:uiPriority w:val="99"/>
    <w:semiHidden/>
    <w:rsid w:val="0003148D"/>
  </w:style>
  <w:style w:type="paragraph" w:styleId="Data">
    <w:name w:val="Date"/>
    <w:basedOn w:val="Normale"/>
    <w:next w:val="Normale"/>
    <w:link w:val="DataCarattere"/>
    <w:uiPriority w:val="99"/>
    <w:semiHidden/>
    <w:unhideWhenUsed/>
    <w:rsid w:val="0003148D"/>
  </w:style>
  <w:style w:type="character" w:customStyle="1" w:styleId="DataCarattere">
    <w:name w:val="Data Carattere"/>
    <w:basedOn w:val="Carpredefinitoparagrafo"/>
    <w:link w:val="Data"/>
    <w:uiPriority w:val="99"/>
    <w:semiHidden/>
    <w:rsid w:val="0003148D"/>
  </w:style>
  <w:style w:type="paragraph" w:styleId="Didascalia">
    <w:name w:val="caption"/>
    <w:basedOn w:val="Normale"/>
    <w:next w:val="Normale"/>
    <w:uiPriority w:val="35"/>
    <w:semiHidden/>
    <w:unhideWhenUsed/>
    <w:qFormat/>
    <w:rsid w:val="0003148D"/>
    <w:pPr>
      <w:spacing w:line="240" w:lineRule="auto"/>
    </w:pPr>
    <w:rPr>
      <w:b/>
      <w:bCs/>
      <w:color w:val="4F81BD" w:themeColor="accent1"/>
      <w:szCs w:val="18"/>
    </w:rPr>
  </w:style>
  <w:style w:type="paragraph" w:styleId="Elenco">
    <w:name w:val="List"/>
    <w:basedOn w:val="Normale"/>
    <w:uiPriority w:val="99"/>
    <w:semiHidden/>
    <w:unhideWhenUsed/>
    <w:rsid w:val="0003148D"/>
    <w:pPr>
      <w:ind w:left="283" w:hanging="283"/>
      <w:contextualSpacing/>
    </w:pPr>
  </w:style>
  <w:style w:type="paragraph" w:styleId="Elenco2">
    <w:name w:val="List 2"/>
    <w:basedOn w:val="Normale"/>
    <w:uiPriority w:val="99"/>
    <w:semiHidden/>
    <w:unhideWhenUsed/>
    <w:rsid w:val="0003148D"/>
    <w:pPr>
      <w:ind w:left="566" w:hanging="283"/>
      <w:contextualSpacing/>
    </w:pPr>
  </w:style>
  <w:style w:type="paragraph" w:styleId="Elenco3">
    <w:name w:val="List 3"/>
    <w:basedOn w:val="Normale"/>
    <w:uiPriority w:val="99"/>
    <w:semiHidden/>
    <w:unhideWhenUsed/>
    <w:rsid w:val="0003148D"/>
    <w:pPr>
      <w:ind w:left="849" w:hanging="283"/>
      <w:contextualSpacing/>
    </w:pPr>
  </w:style>
  <w:style w:type="paragraph" w:styleId="Elenco4">
    <w:name w:val="List 4"/>
    <w:basedOn w:val="Normale"/>
    <w:uiPriority w:val="99"/>
    <w:semiHidden/>
    <w:unhideWhenUsed/>
    <w:rsid w:val="0003148D"/>
    <w:pPr>
      <w:ind w:left="1132" w:hanging="283"/>
      <w:contextualSpacing/>
    </w:pPr>
  </w:style>
  <w:style w:type="paragraph" w:styleId="Elenco5">
    <w:name w:val="List 5"/>
    <w:basedOn w:val="Normale"/>
    <w:uiPriority w:val="99"/>
    <w:semiHidden/>
    <w:unhideWhenUsed/>
    <w:rsid w:val="0003148D"/>
    <w:pPr>
      <w:ind w:left="1415" w:hanging="283"/>
      <w:contextualSpacing/>
    </w:pPr>
  </w:style>
  <w:style w:type="paragraph" w:styleId="Elencocontinua">
    <w:name w:val="List Continue"/>
    <w:basedOn w:val="Normale"/>
    <w:uiPriority w:val="99"/>
    <w:semiHidden/>
    <w:unhideWhenUsed/>
    <w:rsid w:val="0003148D"/>
    <w:pPr>
      <w:spacing w:after="120"/>
      <w:ind w:left="283"/>
      <w:contextualSpacing/>
    </w:pPr>
  </w:style>
  <w:style w:type="paragraph" w:styleId="Elencocontinua2">
    <w:name w:val="List Continue 2"/>
    <w:basedOn w:val="Normale"/>
    <w:uiPriority w:val="99"/>
    <w:semiHidden/>
    <w:unhideWhenUsed/>
    <w:rsid w:val="0003148D"/>
    <w:pPr>
      <w:spacing w:after="120"/>
      <w:ind w:left="566"/>
      <w:contextualSpacing/>
    </w:pPr>
  </w:style>
  <w:style w:type="paragraph" w:styleId="Elencocontinua3">
    <w:name w:val="List Continue 3"/>
    <w:basedOn w:val="Normale"/>
    <w:uiPriority w:val="99"/>
    <w:semiHidden/>
    <w:unhideWhenUsed/>
    <w:rsid w:val="0003148D"/>
    <w:pPr>
      <w:spacing w:after="120"/>
      <w:ind w:left="849"/>
      <w:contextualSpacing/>
    </w:pPr>
  </w:style>
  <w:style w:type="paragraph" w:styleId="Elencocontinua4">
    <w:name w:val="List Continue 4"/>
    <w:basedOn w:val="Normale"/>
    <w:uiPriority w:val="99"/>
    <w:semiHidden/>
    <w:unhideWhenUsed/>
    <w:rsid w:val="0003148D"/>
    <w:pPr>
      <w:spacing w:after="120"/>
      <w:ind w:left="1132"/>
      <w:contextualSpacing/>
    </w:pPr>
  </w:style>
  <w:style w:type="paragraph" w:styleId="Elencocontinua5">
    <w:name w:val="List Continue 5"/>
    <w:basedOn w:val="Normale"/>
    <w:uiPriority w:val="99"/>
    <w:semiHidden/>
    <w:unhideWhenUsed/>
    <w:rsid w:val="0003148D"/>
    <w:pPr>
      <w:spacing w:after="120"/>
      <w:ind w:left="1415"/>
      <w:contextualSpacing/>
    </w:pPr>
  </w:style>
  <w:style w:type="paragraph" w:styleId="Firma">
    <w:name w:val="Signature"/>
    <w:basedOn w:val="Normale"/>
    <w:link w:val="FirmaCarattere"/>
    <w:uiPriority w:val="99"/>
    <w:semiHidden/>
    <w:unhideWhenUsed/>
    <w:rsid w:val="0003148D"/>
    <w:pPr>
      <w:spacing w:line="240" w:lineRule="auto"/>
      <w:ind w:left="4252"/>
    </w:pPr>
  </w:style>
  <w:style w:type="character" w:customStyle="1" w:styleId="FirmaCarattere">
    <w:name w:val="Firma Carattere"/>
    <w:basedOn w:val="Carpredefinitoparagrafo"/>
    <w:link w:val="Firma"/>
    <w:uiPriority w:val="99"/>
    <w:semiHidden/>
    <w:rsid w:val="0003148D"/>
  </w:style>
  <w:style w:type="paragraph" w:styleId="Firmadipostaelettronica">
    <w:name w:val="E-mail Signature"/>
    <w:basedOn w:val="Normale"/>
    <w:link w:val="FirmadipostaelettronicaCarattere"/>
    <w:uiPriority w:val="99"/>
    <w:semiHidden/>
    <w:unhideWhenUsed/>
    <w:rsid w:val="0003148D"/>
    <w:pPr>
      <w:spacing w:line="240" w:lineRule="auto"/>
    </w:pPr>
  </w:style>
  <w:style w:type="character" w:customStyle="1" w:styleId="FirmadipostaelettronicaCarattere">
    <w:name w:val="Firma di posta elettronica Carattere"/>
    <w:basedOn w:val="Carpredefinitoparagrafo"/>
    <w:link w:val="Firmadipostaelettronica"/>
    <w:uiPriority w:val="99"/>
    <w:semiHidden/>
    <w:rsid w:val="0003148D"/>
  </w:style>
  <w:style w:type="paragraph" w:styleId="Formuladiapertura">
    <w:name w:val="Salutation"/>
    <w:basedOn w:val="Normale"/>
    <w:next w:val="Normale"/>
    <w:link w:val="FormuladiaperturaCarattere"/>
    <w:uiPriority w:val="99"/>
    <w:semiHidden/>
    <w:unhideWhenUsed/>
    <w:rsid w:val="0003148D"/>
  </w:style>
  <w:style w:type="character" w:customStyle="1" w:styleId="FormuladiaperturaCarattere">
    <w:name w:val="Formula di apertura Carattere"/>
    <w:basedOn w:val="Carpredefinitoparagrafo"/>
    <w:link w:val="Formuladiapertura"/>
    <w:uiPriority w:val="99"/>
    <w:semiHidden/>
    <w:rsid w:val="0003148D"/>
  </w:style>
  <w:style w:type="paragraph" w:styleId="Formuladichiusura">
    <w:name w:val="Closing"/>
    <w:basedOn w:val="Normale"/>
    <w:link w:val="FormuladichiusuraCarattere"/>
    <w:uiPriority w:val="99"/>
    <w:semiHidden/>
    <w:unhideWhenUsed/>
    <w:rsid w:val="0003148D"/>
    <w:pPr>
      <w:spacing w:line="240" w:lineRule="auto"/>
      <w:ind w:left="4252"/>
    </w:pPr>
  </w:style>
  <w:style w:type="character" w:customStyle="1" w:styleId="FormuladichiusuraCarattere">
    <w:name w:val="Formula di chiusura Carattere"/>
    <w:basedOn w:val="Carpredefinitoparagrafo"/>
    <w:link w:val="Formuladichiusura"/>
    <w:uiPriority w:val="99"/>
    <w:semiHidden/>
    <w:rsid w:val="0003148D"/>
  </w:style>
  <w:style w:type="paragraph" w:styleId="Indice1">
    <w:name w:val="index 1"/>
    <w:basedOn w:val="Normale"/>
    <w:next w:val="Normale"/>
    <w:autoRedefine/>
    <w:uiPriority w:val="99"/>
    <w:semiHidden/>
    <w:unhideWhenUsed/>
    <w:rsid w:val="0003148D"/>
    <w:pPr>
      <w:spacing w:line="240" w:lineRule="auto"/>
      <w:ind w:left="220" w:hanging="220"/>
    </w:pPr>
  </w:style>
  <w:style w:type="paragraph" w:styleId="Indice2">
    <w:name w:val="index 2"/>
    <w:basedOn w:val="Normale"/>
    <w:next w:val="Normale"/>
    <w:autoRedefine/>
    <w:uiPriority w:val="99"/>
    <w:semiHidden/>
    <w:unhideWhenUsed/>
    <w:rsid w:val="0003148D"/>
    <w:pPr>
      <w:spacing w:line="240" w:lineRule="auto"/>
      <w:ind w:left="440" w:hanging="220"/>
    </w:pPr>
  </w:style>
  <w:style w:type="paragraph" w:styleId="Indice3">
    <w:name w:val="index 3"/>
    <w:basedOn w:val="Normale"/>
    <w:next w:val="Normale"/>
    <w:autoRedefine/>
    <w:uiPriority w:val="99"/>
    <w:semiHidden/>
    <w:unhideWhenUsed/>
    <w:rsid w:val="0003148D"/>
    <w:pPr>
      <w:spacing w:line="240" w:lineRule="auto"/>
      <w:ind w:left="660" w:hanging="220"/>
    </w:pPr>
  </w:style>
  <w:style w:type="paragraph" w:styleId="Indice4">
    <w:name w:val="index 4"/>
    <w:basedOn w:val="Normale"/>
    <w:next w:val="Normale"/>
    <w:autoRedefine/>
    <w:uiPriority w:val="99"/>
    <w:semiHidden/>
    <w:unhideWhenUsed/>
    <w:rsid w:val="0003148D"/>
    <w:pPr>
      <w:spacing w:line="240" w:lineRule="auto"/>
      <w:ind w:left="880" w:hanging="220"/>
    </w:pPr>
  </w:style>
  <w:style w:type="paragraph" w:styleId="Indice5">
    <w:name w:val="index 5"/>
    <w:basedOn w:val="Normale"/>
    <w:next w:val="Normale"/>
    <w:autoRedefine/>
    <w:uiPriority w:val="99"/>
    <w:semiHidden/>
    <w:unhideWhenUsed/>
    <w:rsid w:val="0003148D"/>
    <w:pPr>
      <w:spacing w:line="240" w:lineRule="auto"/>
      <w:ind w:left="1100" w:hanging="220"/>
    </w:pPr>
  </w:style>
  <w:style w:type="paragraph" w:styleId="Indice6">
    <w:name w:val="index 6"/>
    <w:basedOn w:val="Normale"/>
    <w:next w:val="Normale"/>
    <w:autoRedefine/>
    <w:uiPriority w:val="99"/>
    <w:semiHidden/>
    <w:unhideWhenUsed/>
    <w:rsid w:val="0003148D"/>
    <w:pPr>
      <w:spacing w:line="240" w:lineRule="auto"/>
      <w:ind w:left="1320" w:hanging="220"/>
    </w:pPr>
  </w:style>
  <w:style w:type="paragraph" w:styleId="Indice7">
    <w:name w:val="index 7"/>
    <w:basedOn w:val="Normale"/>
    <w:next w:val="Normale"/>
    <w:autoRedefine/>
    <w:uiPriority w:val="99"/>
    <w:semiHidden/>
    <w:unhideWhenUsed/>
    <w:rsid w:val="0003148D"/>
    <w:pPr>
      <w:spacing w:line="240" w:lineRule="auto"/>
      <w:ind w:left="1540" w:hanging="220"/>
    </w:pPr>
  </w:style>
  <w:style w:type="paragraph" w:styleId="Indice8">
    <w:name w:val="index 8"/>
    <w:basedOn w:val="Normale"/>
    <w:next w:val="Normale"/>
    <w:autoRedefine/>
    <w:uiPriority w:val="99"/>
    <w:semiHidden/>
    <w:unhideWhenUsed/>
    <w:rsid w:val="0003148D"/>
    <w:pPr>
      <w:spacing w:line="240" w:lineRule="auto"/>
      <w:ind w:left="1760" w:hanging="220"/>
    </w:pPr>
  </w:style>
  <w:style w:type="paragraph" w:styleId="Indice9">
    <w:name w:val="index 9"/>
    <w:basedOn w:val="Normale"/>
    <w:next w:val="Normale"/>
    <w:autoRedefine/>
    <w:uiPriority w:val="99"/>
    <w:semiHidden/>
    <w:unhideWhenUsed/>
    <w:rsid w:val="0003148D"/>
    <w:pPr>
      <w:spacing w:line="240" w:lineRule="auto"/>
      <w:ind w:left="1980" w:hanging="220"/>
    </w:pPr>
  </w:style>
  <w:style w:type="paragraph" w:styleId="Indicedellefigure">
    <w:name w:val="table of figures"/>
    <w:basedOn w:val="Normale"/>
    <w:next w:val="Normale"/>
    <w:uiPriority w:val="99"/>
    <w:semiHidden/>
    <w:unhideWhenUsed/>
    <w:rsid w:val="0003148D"/>
  </w:style>
  <w:style w:type="paragraph" w:styleId="Indicefonti">
    <w:name w:val="table of authorities"/>
    <w:basedOn w:val="Normale"/>
    <w:next w:val="Normale"/>
    <w:uiPriority w:val="99"/>
    <w:semiHidden/>
    <w:unhideWhenUsed/>
    <w:rsid w:val="0003148D"/>
    <w:pPr>
      <w:ind w:left="220" w:hanging="220"/>
    </w:pPr>
  </w:style>
  <w:style w:type="paragraph" w:styleId="Indirizzodestinatario">
    <w:name w:val="envelope address"/>
    <w:basedOn w:val="Normale"/>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IndirizzoHTML">
    <w:name w:val="HTML Address"/>
    <w:basedOn w:val="Normale"/>
    <w:link w:val="IndirizzoHTMLCarattere"/>
    <w:uiPriority w:val="99"/>
    <w:semiHidden/>
    <w:unhideWhenUsed/>
    <w:rsid w:val="0003148D"/>
    <w:pPr>
      <w:spacing w:line="240" w:lineRule="auto"/>
    </w:pPr>
    <w:rPr>
      <w:i/>
      <w:iCs/>
    </w:rPr>
  </w:style>
  <w:style w:type="character" w:customStyle="1" w:styleId="IndirizzoHTMLCarattere">
    <w:name w:val="Indirizzo HTML Carattere"/>
    <w:basedOn w:val="Carpredefinitoparagrafo"/>
    <w:link w:val="IndirizzoHTML"/>
    <w:uiPriority w:val="99"/>
    <w:semiHidden/>
    <w:rsid w:val="0003148D"/>
    <w:rPr>
      <w:i/>
      <w:iCs/>
    </w:rPr>
  </w:style>
  <w:style w:type="paragraph" w:styleId="Indirizzomittente">
    <w:name w:val="envelope return"/>
    <w:basedOn w:val="Normale"/>
    <w:uiPriority w:val="99"/>
    <w:semiHidden/>
    <w:unhideWhenUsed/>
    <w:rsid w:val="0003148D"/>
    <w:pPr>
      <w:spacing w:line="240" w:lineRule="auto"/>
    </w:pPr>
    <w:rPr>
      <w:rFonts w:asciiTheme="majorHAnsi" w:eastAsiaTheme="majorEastAsia" w:hAnsiTheme="majorHAnsi" w:cstheme="majorBidi"/>
    </w:rPr>
  </w:style>
  <w:style w:type="paragraph" w:styleId="Intestazionemessaggio">
    <w:name w:val="Message Header"/>
    <w:basedOn w:val="Normale"/>
    <w:link w:val="IntestazionemessaggioCarattere"/>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IntestazionemessaggioCarattere">
    <w:name w:val="Intestazione messaggio Carattere"/>
    <w:basedOn w:val="Carpredefinitoparagrafo"/>
    <w:link w:val="Intestazionemessaggio"/>
    <w:uiPriority w:val="99"/>
    <w:semiHidden/>
    <w:rsid w:val="0003148D"/>
    <w:rPr>
      <w:rFonts w:asciiTheme="majorHAnsi" w:eastAsiaTheme="majorEastAsia" w:hAnsiTheme="majorHAnsi" w:cstheme="majorBidi"/>
      <w:sz w:val="24"/>
      <w:szCs w:val="24"/>
      <w:shd w:val="pct20" w:color="auto" w:fill="auto"/>
    </w:rPr>
  </w:style>
  <w:style w:type="paragraph" w:styleId="Intestazionenota">
    <w:name w:val="Note Heading"/>
    <w:basedOn w:val="Normale"/>
    <w:next w:val="Normale"/>
    <w:link w:val="IntestazionenotaCarattere"/>
    <w:uiPriority w:val="99"/>
    <w:semiHidden/>
    <w:unhideWhenUsed/>
    <w:rsid w:val="0003148D"/>
    <w:pPr>
      <w:spacing w:line="240" w:lineRule="auto"/>
    </w:pPr>
  </w:style>
  <w:style w:type="character" w:customStyle="1" w:styleId="IntestazionenotaCarattere">
    <w:name w:val="Intestazione nota Carattere"/>
    <w:basedOn w:val="Carpredefinitoparagrafo"/>
    <w:link w:val="Intestazionenota"/>
    <w:uiPriority w:val="99"/>
    <w:semiHidden/>
    <w:rsid w:val="0003148D"/>
  </w:style>
  <w:style w:type="paragraph" w:styleId="Mappadocumento">
    <w:name w:val="Document Map"/>
    <w:basedOn w:val="Normale"/>
    <w:link w:val="MappadocumentoCarattere"/>
    <w:uiPriority w:val="99"/>
    <w:semiHidden/>
    <w:unhideWhenUsed/>
    <w:rsid w:val="0003148D"/>
    <w:pPr>
      <w:spacing w:line="240" w:lineRule="auto"/>
    </w:pPr>
    <w:rPr>
      <w:rFonts w:ascii="Tahoma" w:hAnsi="Tahoma" w:cs="Tahoma"/>
      <w:sz w:val="16"/>
      <w:szCs w:val="16"/>
    </w:rPr>
  </w:style>
  <w:style w:type="character" w:customStyle="1" w:styleId="MappadocumentoCarattere">
    <w:name w:val="Mappa documento Carattere"/>
    <w:basedOn w:val="Carpredefinitoparagrafo"/>
    <w:link w:val="Mappadocumento"/>
    <w:uiPriority w:val="99"/>
    <w:semiHidden/>
    <w:rsid w:val="0003148D"/>
    <w:rPr>
      <w:rFonts w:ascii="Tahoma" w:hAnsi="Tahoma" w:cs="Tahoma"/>
      <w:sz w:val="16"/>
      <w:szCs w:val="16"/>
    </w:rPr>
  </w:style>
  <w:style w:type="paragraph" w:styleId="NormaleWeb">
    <w:name w:val="Normal (Web)"/>
    <w:basedOn w:val="Normale"/>
    <w:uiPriority w:val="99"/>
    <w:semiHidden/>
    <w:unhideWhenUsed/>
    <w:rsid w:val="0003148D"/>
    <w:rPr>
      <w:sz w:val="24"/>
      <w:szCs w:val="24"/>
    </w:rPr>
  </w:style>
  <w:style w:type="paragraph" w:styleId="Numeroelenco">
    <w:name w:val="List Number"/>
    <w:basedOn w:val="Normale"/>
    <w:uiPriority w:val="99"/>
    <w:semiHidden/>
    <w:unhideWhenUsed/>
    <w:rsid w:val="0003148D"/>
    <w:pPr>
      <w:numPr>
        <w:numId w:val="2"/>
      </w:numPr>
      <w:contextualSpacing/>
    </w:pPr>
  </w:style>
  <w:style w:type="paragraph" w:styleId="Numeroelenco2">
    <w:name w:val="List Number 2"/>
    <w:basedOn w:val="Normale"/>
    <w:uiPriority w:val="99"/>
    <w:semiHidden/>
    <w:unhideWhenUsed/>
    <w:rsid w:val="0003148D"/>
    <w:pPr>
      <w:numPr>
        <w:numId w:val="3"/>
      </w:numPr>
      <w:contextualSpacing/>
    </w:pPr>
  </w:style>
  <w:style w:type="paragraph" w:styleId="Numeroelenco3">
    <w:name w:val="List Number 3"/>
    <w:basedOn w:val="Normale"/>
    <w:uiPriority w:val="99"/>
    <w:semiHidden/>
    <w:unhideWhenUsed/>
    <w:rsid w:val="0003148D"/>
    <w:pPr>
      <w:numPr>
        <w:numId w:val="4"/>
      </w:numPr>
      <w:contextualSpacing/>
    </w:pPr>
  </w:style>
  <w:style w:type="paragraph" w:styleId="Numeroelenco4">
    <w:name w:val="List Number 4"/>
    <w:basedOn w:val="Normale"/>
    <w:uiPriority w:val="99"/>
    <w:semiHidden/>
    <w:unhideWhenUsed/>
    <w:rsid w:val="0003148D"/>
    <w:pPr>
      <w:numPr>
        <w:numId w:val="5"/>
      </w:numPr>
      <w:contextualSpacing/>
    </w:pPr>
  </w:style>
  <w:style w:type="paragraph" w:styleId="Numeroelenco5">
    <w:name w:val="List Number 5"/>
    <w:basedOn w:val="Normale"/>
    <w:uiPriority w:val="99"/>
    <w:semiHidden/>
    <w:unhideWhenUsed/>
    <w:rsid w:val="0003148D"/>
    <w:pPr>
      <w:numPr>
        <w:numId w:val="6"/>
      </w:numPr>
      <w:contextualSpacing/>
    </w:pPr>
  </w:style>
  <w:style w:type="paragraph" w:styleId="PreformattatoHTML">
    <w:name w:val="HTML Preformatted"/>
    <w:basedOn w:val="Normale"/>
    <w:link w:val="PreformattatoHTMLCarattere"/>
    <w:uiPriority w:val="99"/>
    <w:semiHidden/>
    <w:unhideWhenUsed/>
    <w:rsid w:val="0003148D"/>
    <w:pPr>
      <w:spacing w:line="240" w:lineRule="auto"/>
    </w:pPr>
    <w:rPr>
      <w:rFonts w:ascii="Consolas" w:hAnsi="Consolas" w:cs="Consolas"/>
    </w:rPr>
  </w:style>
  <w:style w:type="character" w:customStyle="1" w:styleId="PreformattatoHTMLCarattere">
    <w:name w:val="Preformattato HTML Carattere"/>
    <w:basedOn w:val="Carpredefinitoparagrafo"/>
    <w:link w:val="PreformattatoHTML"/>
    <w:uiPriority w:val="99"/>
    <w:semiHidden/>
    <w:rsid w:val="0003148D"/>
    <w:rPr>
      <w:rFonts w:ascii="Consolas" w:hAnsi="Consolas" w:cs="Consolas"/>
      <w:sz w:val="20"/>
      <w:szCs w:val="20"/>
    </w:rPr>
  </w:style>
  <w:style w:type="paragraph" w:styleId="Primorientrocorpodeltesto">
    <w:name w:val="Body Text First Indent"/>
    <w:basedOn w:val="Corpotesto"/>
    <w:link w:val="PrimorientrocorpodeltestoCarattere"/>
    <w:uiPriority w:val="99"/>
    <w:semiHidden/>
    <w:unhideWhenUsed/>
    <w:rsid w:val="0003148D"/>
    <w:pPr>
      <w:spacing w:after="200"/>
      <w:ind w:firstLine="360"/>
    </w:pPr>
  </w:style>
  <w:style w:type="character" w:customStyle="1" w:styleId="PrimorientrocorpodeltestoCarattere">
    <w:name w:val="Primo rientro corpo del testo Carattere"/>
    <w:basedOn w:val="CorpotestoCarattere"/>
    <w:link w:val="Primorientrocorpodeltesto"/>
    <w:uiPriority w:val="99"/>
    <w:semiHidden/>
    <w:rsid w:val="0003148D"/>
  </w:style>
  <w:style w:type="paragraph" w:styleId="Rientrocorpodeltesto">
    <w:name w:val="Body Text Indent"/>
    <w:basedOn w:val="Normale"/>
    <w:link w:val="RientrocorpodeltestoCarattere"/>
    <w:uiPriority w:val="99"/>
    <w:semiHidden/>
    <w:unhideWhenUsed/>
    <w:rsid w:val="0003148D"/>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03148D"/>
  </w:style>
  <w:style w:type="paragraph" w:styleId="Primorientrocorpodeltesto2">
    <w:name w:val="Body Text First Indent 2"/>
    <w:basedOn w:val="Rientrocorpodeltesto"/>
    <w:link w:val="Primorientrocorpodeltesto2Carattere"/>
    <w:uiPriority w:val="99"/>
    <w:semiHidden/>
    <w:unhideWhenUsed/>
    <w:rsid w:val="0003148D"/>
    <w:pPr>
      <w:spacing w:after="200"/>
      <w:ind w:left="360" w:firstLine="360"/>
    </w:pPr>
  </w:style>
  <w:style w:type="character" w:customStyle="1" w:styleId="Primorientrocorpodeltesto2Carattere">
    <w:name w:val="Primo rientro corpo del testo 2 Carattere"/>
    <w:basedOn w:val="RientrocorpodeltestoCarattere"/>
    <w:link w:val="Primorientrocorpodeltesto2"/>
    <w:uiPriority w:val="99"/>
    <w:semiHidden/>
    <w:rsid w:val="0003148D"/>
  </w:style>
  <w:style w:type="paragraph" w:styleId="Puntoelenco">
    <w:name w:val="List Bullet"/>
    <w:basedOn w:val="Normale"/>
    <w:uiPriority w:val="99"/>
    <w:semiHidden/>
    <w:unhideWhenUsed/>
    <w:rsid w:val="0003148D"/>
    <w:pPr>
      <w:numPr>
        <w:numId w:val="7"/>
      </w:numPr>
      <w:contextualSpacing/>
    </w:pPr>
  </w:style>
  <w:style w:type="paragraph" w:styleId="Puntoelenco2">
    <w:name w:val="List Bullet 2"/>
    <w:basedOn w:val="Normale"/>
    <w:uiPriority w:val="99"/>
    <w:semiHidden/>
    <w:unhideWhenUsed/>
    <w:rsid w:val="0003148D"/>
    <w:pPr>
      <w:numPr>
        <w:numId w:val="8"/>
      </w:numPr>
      <w:contextualSpacing/>
    </w:pPr>
  </w:style>
  <w:style w:type="paragraph" w:styleId="Puntoelenco3">
    <w:name w:val="List Bullet 3"/>
    <w:basedOn w:val="Normale"/>
    <w:uiPriority w:val="99"/>
    <w:semiHidden/>
    <w:unhideWhenUsed/>
    <w:rsid w:val="0003148D"/>
    <w:pPr>
      <w:numPr>
        <w:numId w:val="9"/>
      </w:numPr>
      <w:contextualSpacing/>
    </w:pPr>
  </w:style>
  <w:style w:type="paragraph" w:styleId="Puntoelenco4">
    <w:name w:val="List Bullet 4"/>
    <w:basedOn w:val="Normale"/>
    <w:uiPriority w:val="99"/>
    <w:semiHidden/>
    <w:unhideWhenUsed/>
    <w:rsid w:val="0003148D"/>
    <w:pPr>
      <w:numPr>
        <w:numId w:val="10"/>
      </w:numPr>
      <w:contextualSpacing/>
    </w:pPr>
  </w:style>
  <w:style w:type="paragraph" w:styleId="Puntoelenco5">
    <w:name w:val="List Bullet 5"/>
    <w:basedOn w:val="Normale"/>
    <w:uiPriority w:val="99"/>
    <w:semiHidden/>
    <w:unhideWhenUsed/>
    <w:rsid w:val="0003148D"/>
    <w:pPr>
      <w:numPr>
        <w:numId w:val="11"/>
      </w:numPr>
      <w:contextualSpacing/>
    </w:pPr>
  </w:style>
  <w:style w:type="paragraph" w:styleId="Rientrocorpodeltesto2">
    <w:name w:val="Body Text Indent 2"/>
    <w:basedOn w:val="Normale"/>
    <w:link w:val="Rientrocorpodeltesto2Carattere"/>
    <w:uiPriority w:val="99"/>
    <w:semiHidden/>
    <w:unhideWhenUsed/>
    <w:rsid w:val="0003148D"/>
    <w:pPr>
      <w:spacing w:after="120" w:line="480" w:lineRule="auto"/>
      <w:ind w:left="283"/>
    </w:pPr>
  </w:style>
  <w:style w:type="character" w:customStyle="1" w:styleId="Rientrocorpodeltesto2Carattere">
    <w:name w:val="Rientro corpo del testo 2 Carattere"/>
    <w:basedOn w:val="Carpredefinitoparagrafo"/>
    <w:link w:val="Rientrocorpodeltesto2"/>
    <w:uiPriority w:val="99"/>
    <w:semiHidden/>
    <w:rsid w:val="0003148D"/>
  </w:style>
  <w:style w:type="paragraph" w:styleId="Rientrocorpodeltesto3">
    <w:name w:val="Body Text Indent 3"/>
    <w:basedOn w:val="Normale"/>
    <w:link w:val="Rientrocorpodeltesto3Carattere"/>
    <w:uiPriority w:val="99"/>
    <w:semiHidden/>
    <w:unhideWhenUsed/>
    <w:rsid w:val="0003148D"/>
    <w:pPr>
      <w:spacing w:after="120"/>
      <w:ind w:left="283"/>
    </w:pPr>
    <w:rPr>
      <w:sz w:val="16"/>
      <w:szCs w:val="16"/>
    </w:rPr>
  </w:style>
  <w:style w:type="character" w:customStyle="1" w:styleId="Rientrocorpodeltesto3Carattere">
    <w:name w:val="Rientro corpo del testo 3 Carattere"/>
    <w:basedOn w:val="Carpredefinitoparagrafo"/>
    <w:link w:val="Rientrocorpodeltesto3"/>
    <w:uiPriority w:val="99"/>
    <w:semiHidden/>
    <w:rsid w:val="0003148D"/>
    <w:rPr>
      <w:sz w:val="16"/>
      <w:szCs w:val="16"/>
    </w:rPr>
  </w:style>
  <w:style w:type="paragraph" w:styleId="Rientronormale">
    <w:name w:val="Normal Indent"/>
    <w:basedOn w:val="Normale"/>
    <w:uiPriority w:val="99"/>
    <w:semiHidden/>
    <w:unhideWhenUsed/>
    <w:rsid w:val="0003148D"/>
    <w:pPr>
      <w:ind w:left="720"/>
    </w:pPr>
  </w:style>
  <w:style w:type="paragraph" w:styleId="Testocommento">
    <w:name w:val="annotation text"/>
    <w:basedOn w:val="Normale"/>
    <w:link w:val="TestocommentoCarattere"/>
    <w:uiPriority w:val="99"/>
    <w:unhideWhenUsed/>
    <w:rsid w:val="0003148D"/>
    <w:pPr>
      <w:spacing w:line="240" w:lineRule="auto"/>
    </w:pPr>
  </w:style>
  <w:style w:type="character" w:customStyle="1" w:styleId="TestocommentoCarattere">
    <w:name w:val="Testo commento Carattere"/>
    <w:basedOn w:val="Carpredefinitoparagrafo"/>
    <w:link w:val="Testocommento"/>
    <w:uiPriority w:val="99"/>
    <w:rsid w:val="0003148D"/>
    <w:rPr>
      <w:sz w:val="20"/>
      <w:szCs w:val="20"/>
    </w:rPr>
  </w:style>
  <w:style w:type="paragraph" w:styleId="Soggettocommento">
    <w:name w:val="annotation subject"/>
    <w:basedOn w:val="Testocommento"/>
    <w:next w:val="Testocommento"/>
    <w:link w:val="SoggettocommentoCarattere"/>
    <w:uiPriority w:val="99"/>
    <w:semiHidden/>
    <w:unhideWhenUsed/>
    <w:rsid w:val="0003148D"/>
    <w:rPr>
      <w:b/>
      <w:bCs/>
    </w:rPr>
  </w:style>
  <w:style w:type="character" w:customStyle="1" w:styleId="SoggettocommentoCarattere">
    <w:name w:val="Soggetto commento Carattere"/>
    <w:basedOn w:val="TestocommentoCarattere"/>
    <w:link w:val="Soggettocommento"/>
    <w:uiPriority w:val="99"/>
    <w:semiHidden/>
    <w:rsid w:val="0003148D"/>
    <w:rPr>
      <w:b/>
      <w:bCs/>
      <w:sz w:val="20"/>
      <w:szCs w:val="20"/>
    </w:rPr>
  </w:style>
  <w:style w:type="paragraph" w:styleId="Sommario1">
    <w:name w:val="toc 1"/>
    <w:basedOn w:val="Normale"/>
    <w:next w:val="Normale"/>
    <w:autoRedefine/>
    <w:uiPriority w:val="39"/>
    <w:semiHidden/>
    <w:unhideWhenUsed/>
    <w:rsid w:val="0003148D"/>
    <w:pPr>
      <w:spacing w:after="100"/>
    </w:pPr>
  </w:style>
  <w:style w:type="paragraph" w:styleId="Sommario2">
    <w:name w:val="toc 2"/>
    <w:basedOn w:val="Normale"/>
    <w:next w:val="Normale"/>
    <w:autoRedefine/>
    <w:uiPriority w:val="39"/>
    <w:semiHidden/>
    <w:unhideWhenUsed/>
    <w:rsid w:val="0003148D"/>
    <w:pPr>
      <w:spacing w:after="100"/>
      <w:ind w:left="220"/>
    </w:pPr>
  </w:style>
  <w:style w:type="paragraph" w:styleId="Sommario3">
    <w:name w:val="toc 3"/>
    <w:basedOn w:val="Normale"/>
    <w:next w:val="Normale"/>
    <w:autoRedefine/>
    <w:uiPriority w:val="39"/>
    <w:semiHidden/>
    <w:unhideWhenUsed/>
    <w:rsid w:val="0003148D"/>
    <w:pPr>
      <w:spacing w:after="100"/>
      <w:ind w:left="440"/>
    </w:pPr>
  </w:style>
  <w:style w:type="paragraph" w:styleId="Sommario4">
    <w:name w:val="toc 4"/>
    <w:basedOn w:val="Normale"/>
    <w:next w:val="Normale"/>
    <w:autoRedefine/>
    <w:uiPriority w:val="39"/>
    <w:semiHidden/>
    <w:unhideWhenUsed/>
    <w:rsid w:val="0003148D"/>
    <w:pPr>
      <w:spacing w:after="100"/>
      <w:ind w:left="660"/>
    </w:pPr>
  </w:style>
  <w:style w:type="paragraph" w:styleId="Sommario5">
    <w:name w:val="toc 5"/>
    <w:basedOn w:val="Normale"/>
    <w:next w:val="Normale"/>
    <w:autoRedefine/>
    <w:uiPriority w:val="39"/>
    <w:semiHidden/>
    <w:unhideWhenUsed/>
    <w:rsid w:val="0003148D"/>
    <w:pPr>
      <w:spacing w:after="100"/>
      <w:ind w:left="880"/>
    </w:pPr>
  </w:style>
  <w:style w:type="paragraph" w:styleId="Sommario6">
    <w:name w:val="toc 6"/>
    <w:basedOn w:val="Normale"/>
    <w:next w:val="Normale"/>
    <w:autoRedefine/>
    <w:uiPriority w:val="39"/>
    <w:semiHidden/>
    <w:unhideWhenUsed/>
    <w:rsid w:val="0003148D"/>
    <w:pPr>
      <w:spacing w:after="100"/>
      <w:ind w:left="1100"/>
    </w:pPr>
  </w:style>
  <w:style w:type="paragraph" w:styleId="Sommario7">
    <w:name w:val="toc 7"/>
    <w:basedOn w:val="Normale"/>
    <w:next w:val="Normale"/>
    <w:autoRedefine/>
    <w:uiPriority w:val="39"/>
    <w:semiHidden/>
    <w:unhideWhenUsed/>
    <w:rsid w:val="0003148D"/>
    <w:pPr>
      <w:spacing w:after="100"/>
      <w:ind w:left="1320"/>
    </w:pPr>
  </w:style>
  <w:style w:type="paragraph" w:styleId="Sommario8">
    <w:name w:val="toc 8"/>
    <w:basedOn w:val="Normale"/>
    <w:next w:val="Normale"/>
    <w:autoRedefine/>
    <w:uiPriority w:val="39"/>
    <w:semiHidden/>
    <w:unhideWhenUsed/>
    <w:rsid w:val="0003148D"/>
    <w:pPr>
      <w:spacing w:after="100"/>
      <w:ind w:left="1540"/>
    </w:pPr>
  </w:style>
  <w:style w:type="paragraph" w:styleId="Sommario9">
    <w:name w:val="toc 9"/>
    <w:basedOn w:val="Normale"/>
    <w:next w:val="Normale"/>
    <w:autoRedefine/>
    <w:uiPriority w:val="39"/>
    <w:semiHidden/>
    <w:unhideWhenUsed/>
    <w:rsid w:val="0003148D"/>
    <w:pPr>
      <w:spacing w:after="100"/>
      <w:ind w:left="1760"/>
    </w:pPr>
  </w:style>
  <w:style w:type="paragraph" w:styleId="Testodelblocco">
    <w:name w:val="Block Text"/>
    <w:basedOn w:val="Normale"/>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Testomacro">
    <w:name w:val="macro"/>
    <w:link w:val="TestomacroCarattere"/>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TestomacroCarattere">
    <w:name w:val="Testo macro Carattere"/>
    <w:basedOn w:val="Carpredefinitoparagrafo"/>
    <w:link w:val="Testomacro"/>
    <w:uiPriority w:val="99"/>
    <w:semiHidden/>
    <w:rsid w:val="0003148D"/>
    <w:rPr>
      <w:rFonts w:ascii="Consolas" w:hAnsi="Consolas" w:cs="Consolas"/>
      <w:sz w:val="20"/>
      <w:szCs w:val="20"/>
    </w:rPr>
  </w:style>
  <w:style w:type="paragraph" w:styleId="Testonormale">
    <w:name w:val="Plain Text"/>
    <w:basedOn w:val="Normale"/>
    <w:link w:val="TestonormaleCarattere"/>
    <w:uiPriority w:val="99"/>
    <w:semiHidden/>
    <w:unhideWhenUsed/>
    <w:rsid w:val="0003148D"/>
    <w:pPr>
      <w:spacing w:line="240" w:lineRule="auto"/>
    </w:pPr>
    <w:rPr>
      <w:rFonts w:ascii="Consolas" w:hAnsi="Consolas" w:cs="Consolas"/>
      <w:sz w:val="21"/>
      <w:szCs w:val="21"/>
    </w:rPr>
  </w:style>
  <w:style w:type="character" w:customStyle="1" w:styleId="TestonormaleCarattere">
    <w:name w:val="Testo normale Carattere"/>
    <w:basedOn w:val="Carpredefinitoparagrafo"/>
    <w:link w:val="Testonormale"/>
    <w:uiPriority w:val="99"/>
    <w:semiHidden/>
    <w:rsid w:val="0003148D"/>
    <w:rPr>
      <w:rFonts w:ascii="Consolas" w:hAnsi="Consolas" w:cs="Consolas"/>
      <w:sz w:val="21"/>
      <w:szCs w:val="21"/>
    </w:rPr>
  </w:style>
  <w:style w:type="paragraph" w:styleId="Testonotaapidipagina">
    <w:name w:val="footnote text"/>
    <w:basedOn w:val="Normale"/>
    <w:link w:val="TestonotaapidipaginaCarattere"/>
    <w:uiPriority w:val="99"/>
    <w:semiHidden/>
    <w:unhideWhenUsed/>
    <w:rsid w:val="0003148D"/>
    <w:pPr>
      <w:spacing w:line="240" w:lineRule="auto"/>
    </w:pPr>
  </w:style>
  <w:style w:type="character" w:customStyle="1" w:styleId="TestonotaapidipaginaCarattere">
    <w:name w:val="Testo nota a piè di pagina Carattere"/>
    <w:basedOn w:val="Carpredefinitoparagrafo"/>
    <w:link w:val="Testonotaapidipagina"/>
    <w:uiPriority w:val="99"/>
    <w:semiHidden/>
    <w:rsid w:val="0003148D"/>
    <w:rPr>
      <w:sz w:val="20"/>
      <w:szCs w:val="20"/>
    </w:rPr>
  </w:style>
  <w:style w:type="paragraph" w:styleId="Testonotadichiusura">
    <w:name w:val="endnote text"/>
    <w:basedOn w:val="Normale"/>
    <w:link w:val="TestonotadichiusuraCarattere"/>
    <w:uiPriority w:val="99"/>
    <w:semiHidden/>
    <w:unhideWhenUsed/>
    <w:rsid w:val="0003148D"/>
    <w:pPr>
      <w:spacing w:line="240" w:lineRule="auto"/>
    </w:pPr>
  </w:style>
  <w:style w:type="character" w:customStyle="1" w:styleId="TestonotadichiusuraCarattere">
    <w:name w:val="Testo nota di chiusura Carattere"/>
    <w:basedOn w:val="Carpredefinitoparagrafo"/>
    <w:link w:val="Testonotadichiusura"/>
    <w:uiPriority w:val="99"/>
    <w:semiHidden/>
    <w:rsid w:val="0003148D"/>
    <w:rPr>
      <w:sz w:val="20"/>
      <w:szCs w:val="20"/>
    </w:rPr>
  </w:style>
  <w:style w:type="character" w:customStyle="1" w:styleId="Titolo1Carattere">
    <w:name w:val="Titolo 1 Carattere"/>
    <w:basedOn w:val="Carpredefinitoparagrafo"/>
    <w:link w:val="Titolo1"/>
    <w:uiPriority w:val="9"/>
    <w:rsid w:val="004F5E36"/>
    <w:rPr>
      <w:rFonts w:ascii="Arial" w:eastAsia="Times New Roman" w:hAnsi="Arial" w:cs="Times New Roman"/>
      <w:b/>
      <w:sz w:val="20"/>
      <w:szCs w:val="20"/>
      <w:lang w:val="en-GB"/>
    </w:rPr>
  </w:style>
  <w:style w:type="character" w:customStyle="1" w:styleId="Titolo2Carattere">
    <w:name w:val="Titolo 2 Carattere"/>
    <w:basedOn w:val="Carpredefinitoparagrafo"/>
    <w:link w:val="Titolo2"/>
    <w:uiPriority w:val="9"/>
    <w:semiHidden/>
    <w:rsid w:val="0003148D"/>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semiHidden/>
    <w:rsid w:val="0003148D"/>
    <w:rPr>
      <w:rFonts w:asciiTheme="majorHAnsi" w:eastAsiaTheme="majorEastAsia" w:hAnsiTheme="majorHAnsi" w:cstheme="majorBidi"/>
      <w:b/>
      <w:bCs/>
      <w:color w:val="4F81BD" w:themeColor="accent1"/>
    </w:rPr>
  </w:style>
  <w:style w:type="character" w:customStyle="1" w:styleId="Titolo4Carattere">
    <w:name w:val="Titolo 4 Carattere"/>
    <w:basedOn w:val="Carpredefinitoparagrafo"/>
    <w:link w:val="Titolo4"/>
    <w:uiPriority w:val="9"/>
    <w:semiHidden/>
    <w:rsid w:val="0003148D"/>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03148D"/>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03148D"/>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03148D"/>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Titolo9Carattere">
    <w:name w:val="Titolo 9 Carattere"/>
    <w:basedOn w:val="Carpredefinitoparagrafo"/>
    <w:link w:val="Titolo9"/>
    <w:uiPriority w:val="9"/>
    <w:semiHidden/>
    <w:rsid w:val="0003148D"/>
    <w:rPr>
      <w:rFonts w:asciiTheme="majorHAnsi" w:eastAsiaTheme="majorEastAsia" w:hAnsiTheme="majorHAnsi" w:cstheme="majorBidi"/>
      <w:i/>
      <w:iCs/>
      <w:color w:val="404040" w:themeColor="text1" w:themeTint="BF"/>
      <w:sz w:val="20"/>
      <w:szCs w:val="20"/>
    </w:rPr>
  </w:style>
  <w:style w:type="paragraph" w:styleId="Titoloindice">
    <w:name w:val="index heading"/>
    <w:basedOn w:val="Normale"/>
    <w:next w:val="Indice1"/>
    <w:uiPriority w:val="99"/>
    <w:semiHidden/>
    <w:unhideWhenUsed/>
    <w:rsid w:val="0003148D"/>
    <w:rPr>
      <w:rFonts w:asciiTheme="majorHAnsi" w:eastAsiaTheme="majorEastAsia" w:hAnsiTheme="majorHAnsi" w:cstheme="majorBidi"/>
      <w:b/>
      <w:bCs/>
    </w:rPr>
  </w:style>
  <w:style w:type="paragraph" w:styleId="Titoloindicefonti">
    <w:name w:val="toa heading"/>
    <w:basedOn w:val="Normale"/>
    <w:next w:val="Normale"/>
    <w:uiPriority w:val="99"/>
    <w:semiHidden/>
    <w:unhideWhenUsed/>
    <w:rsid w:val="0003148D"/>
    <w:pPr>
      <w:spacing w:before="120"/>
    </w:pPr>
    <w:rPr>
      <w:rFonts w:asciiTheme="majorHAnsi" w:eastAsiaTheme="majorEastAsia" w:hAnsiTheme="majorHAnsi" w:cstheme="majorBidi"/>
      <w:b/>
      <w:bCs/>
      <w:sz w:val="24"/>
      <w:szCs w:val="24"/>
    </w:rPr>
  </w:style>
  <w:style w:type="paragraph" w:styleId="Titolosommario">
    <w:name w:val="TOC Heading"/>
    <w:basedOn w:val="Titolo1"/>
    <w:next w:val="Normale"/>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Carpredefinitoparagrafo"/>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Intestazione">
    <w:name w:val="header"/>
    <w:basedOn w:val="Normale"/>
    <w:link w:val="IntestazioneCarattere"/>
    <w:uiPriority w:val="99"/>
    <w:unhideWhenUsed/>
    <w:rsid w:val="005278B7"/>
    <w:pPr>
      <w:tabs>
        <w:tab w:val="clear" w:pos="7100"/>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5278B7"/>
    <w:rPr>
      <w:rFonts w:ascii="Arial" w:eastAsia="Times New Roman" w:hAnsi="Arial" w:cs="Times New Roman"/>
      <w:sz w:val="18"/>
      <w:szCs w:val="20"/>
      <w:lang w:val="en-GB"/>
    </w:rPr>
  </w:style>
  <w:style w:type="paragraph" w:styleId="Pidipagina">
    <w:name w:val="footer"/>
    <w:basedOn w:val="Normale"/>
    <w:link w:val="PidipaginaCarattere"/>
    <w:uiPriority w:val="99"/>
    <w:unhideWhenUsed/>
    <w:rsid w:val="005278B7"/>
    <w:pPr>
      <w:tabs>
        <w:tab w:val="clear" w:pos="7100"/>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5278B7"/>
    <w:rPr>
      <w:rFonts w:ascii="Arial" w:eastAsia="Times New Roman" w:hAnsi="Arial" w:cs="Times New Roman"/>
      <w:sz w:val="18"/>
      <w:szCs w:val="20"/>
      <w:lang w:val="en-GB"/>
    </w:rPr>
  </w:style>
  <w:style w:type="table" w:styleId="Grigliatabella">
    <w:name w:val="Table Grid"/>
    <w:basedOn w:val="Tabellanormale"/>
    <w:uiPriority w:val="5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904C62"/>
    <w:rPr>
      <w:color w:val="0000FF" w:themeColor="hyperlink"/>
      <w:u w:val="single"/>
    </w:rPr>
  </w:style>
  <w:style w:type="character" w:customStyle="1" w:styleId="eudoraheader">
    <w:name w:val="eudoraheader"/>
    <w:basedOn w:val="Carpredefinitoparagrafo"/>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Paragrafoelenco">
    <w:name w:val="List Paragraph"/>
    <w:basedOn w:val="Normale"/>
    <w:uiPriority w:val="34"/>
    <w:rsid w:val="00280FAF"/>
    <w:pPr>
      <w:ind w:left="720"/>
      <w:contextualSpacing/>
    </w:pPr>
  </w:style>
  <w:style w:type="character" w:customStyle="1" w:styleId="gmail-apple-converted-space">
    <w:name w:val="gmail-apple-converted-space"/>
    <w:basedOn w:val="Carpredefinitoparagrafo"/>
    <w:rsid w:val="00005A19"/>
  </w:style>
  <w:style w:type="character" w:styleId="Menzionenonrisolta">
    <w:name w:val="Unresolved Mention"/>
    <w:basedOn w:val="Carpredefinitoparagrafo"/>
    <w:uiPriority w:val="99"/>
    <w:semiHidden/>
    <w:unhideWhenUsed/>
    <w:rsid w:val="009825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090838">
      <w:bodyDiv w:val="1"/>
      <w:marLeft w:val="0"/>
      <w:marRight w:val="0"/>
      <w:marTop w:val="0"/>
      <w:marBottom w:val="0"/>
      <w:divBdr>
        <w:top w:val="none" w:sz="0" w:space="0" w:color="auto"/>
        <w:left w:val="none" w:sz="0" w:space="0" w:color="auto"/>
        <w:bottom w:val="none" w:sz="0" w:space="0" w:color="auto"/>
        <w:right w:val="none" w:sz="0" w:space="0" w:color="auto"/>
      </w:divBdr>
      <w:divsChild>
        <w:div w:id="38482462">
          <w:marLeft w:val="0"/>
          <w:marRight w:val="0"/>
          <w:marTop w:val="0"/>
          <w:marBottom w:val="0"/>
          <w:divBdr>
            <w:top w:val="none" w:sz="0" w:space="0" w:color="auto"/>
            <w:left w:val="none" w:sz="0" w:space="0" w:color="auto"/>
            <w:bottom w:val="none" w:sz="0" w:space="0" w:color="auto"/>
            <w:right w:val="none" w:sz="0" w:space="0" w:color="auto"/>
          </w:divBdr>
        </w:div>
        <w:div w:id="1165977449">
          <w:marLeft w:val="0"/>
          <w:marRight w:val="0"/>
          <w:marTop w:val="0"/>
          <w:marBottom w:val="0"/>
          <w:divBdr>
            <w:top w:val="none" w:sz="0" w:space="0" w:color="auto"/>
            <w:left w:val="none" w:sz="0" w:space="0" w:color="auto"/>
            <w:bottom w:val="none" w:sz="0" w:space="0" w:color="auto"/>
            <w:right w:val="none" w:sz="0" w:space="0" w:color="auto"/>
          </w:divBdr>
        </w:div>
      </w:divsChild>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flavio.manenti@polimi.it"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3983C9-6D0A-480C-BF79-A63BD3D99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2609</TotalTime>
  <Pages>6</Pages>
  <Words>3321</Words>
  <Characters>18930</Characters>
  <Application>Microsoft Office Word</Application>
  <DocSecurity>0</DocSecurity>
  <Lines>157</Lines>
  <Paragraphs>44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Dipartimento CMIC - Politecnico di Milano</Company>
  <LinksUpToDate>false</LinksUpToDate>
  <CharactersWithSpaces>22207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raffaella</dc:creator>
  <cp:lastModifiedBy>Flavio Manenti</cp:lastModifiedBy>
  <cp:revision>18</cp:revision>
  <cp:lastPrinted>2015-05-12T18:31:00Z</cp:lastPrinted>
  <dcterms:created xsi:type="dcterms:W3CDTF">2026-02-10T10:00:00Z</dcterms:created>
  <dcterms:modified xsi:type="dcterms:W3CDTF">2026-10-06T07:58:00Z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ies>
</file>