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A14804" w:rsidRPr="00B57B36" w:rsidTr="00502C47">
        <w:trPr>
          <w:trHeight w:val="852"/>
          <w:jc w:val="center"/>
        </w:trPr>
        <w:tc>
          <w:tcPr>
            <w:tcW w:w="6940" w:type="dxa"/>
            <w:vMerge w:val="restart"/>
            <w:tcBorders>
              <w:right w:val="single" w:sz="4" w:space="0" w:color="auto"/>
            </w:tcBorders>
          </w:tcPr>
          <w:p w:rsidR="00A14804" w:rsidRPr="00B57B36" w:rsidRDefault="00A14804" w:rsidP="00502C47">
            <w:pPr>
              <w:tabs>
                <w:tab w:val="left" w:pos="-108"/>
              </w:tabs>
              <w:ind w:left="-108"/>
              <w:jc w:val="left"/>
              <w:rPr>
                <w:rFonts w:cs="Arial"/>
                <w:b/>
                <w:bCs/>
                <w:i/>
                <w:iCs/>
                <w:color w:val="000066"/>
                <w:sz w:val="12"/>
                <w:szCs w:val="12"/>
                <w:lang w:eastAsia="it-IT"/>
              </w:rPr>
            </w:pPr>
            <w:bookmarkStart w:id="0" w:name="_GoBack"/>
            <w:bookmarkEnd w:id="0"/>
            <w:r w:rsidRPr="00B57B36">
              <w:rPr>
                <w:rFonts w:ascii="AdvP6960" w:hAnsi="AdvP6960" w:cs="AdvP6960"/>
                <w:noProof/>
                <w:color w:val="241F20"/>
                <w:szCs w:val="18"/>
                <w:lang w:val="ru-RU" w:eastAsia="ru-RU"/>
              </w:rPr>
              <w:drawing>
                <wp:inline distT="0" distB="0" distL="0" distR="0" wp14:anchorId="69FB3744" wp14:editId="65842BC1">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rsidR="00A14804" w:rsidRPr="00B57B36" w:rsidRDefault="00A14804" w:rsidP="00502C47">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Pr>
                <w:rFonts w:cs="Arial"/>
                <w:b/>
                <w:bCs/>
                <w:i/>
                <w:iCs/>
                <w:color w:val="000066"/>
                <w:sz w:val="22"/>
                <w:szCs w:val="22"/>
                <w:lang w:eastAsia="it-IT"/>
              </w:rPr>
              <w:t xml:space="preserve"> xxx, 2026</w:t>
            </w:r>
          </w:p>
        </w:tc>
        <w:tc>
          <w:tcPr>
            <w:tcW w:w="1842" w:type="dxa"/>
            <w:tcBorders>
              <w:left w:val="single" w:sz="4" w:space="0" w:color="auto"/>
              <w:bottom w:val="nil"/>
              <w:right w:val="single" w:sz="4" w:space="0" w:color="auto"/>
            </w:tcBorders>
          </w:tcPr>
          <w:p w:rsidR="00A14804" w:rsidRPr="00B57B36" w:rsidRDefault="00A14804" w:rsidP="00502C47">
            <w:pPr>
              <w:spacing w:line="140" w:lineRule="atLeast"/>
              <w:jc w:val="right"/>
              <w:rPr>
                <w:rFonts w:cs="Arial"/>
                <w:sz w:val="14"/>
                <w:szCs w:val="14"/>
              </w:rPr>
            </w:pPr>
            <w:r w:rsidRPr="00B57B36">
              <w:rPr>
                <w:rFonts w:cs="Arial"/>
                <w:sz w:val="14"/>
                <w:szCs w:val="14"/>
              </w:rPr>
              <w:t>A publication of</w:t>
            </w:r>
          </w:p>
          <w:p w:rsidR="00A14804" w:rsidRPr="00B57B36" w:rsidRDefault="00A14804" w:rsidP="00502C47">
            <w:pPr>
              <w:jc w:val="right"/>
            </w:pPr>
            <w:r w:rsidRPr="00B57B36">
              <w:rPr>
                <w:noProof/>
                <w:lang w:val="ru-RU" w:eastAsia="ru-RU"/>
              </w:rPr>
              <w:drawing>
                <wp:inline distT="0" distB="0" distL="0" distR="0" wp14:anchorId="1A8F7537" wp14:editId="0C907A41">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A14804" w:rsidRPr="00B57B36" w:rsidTr="00502C47">
        <w:trPr>
          <w:trHeight w:val="567"/>
          <w:jc w:val="center"/>
        </w:trPr>
        <w:tc>
          <w:tcPr>
            <w:tcW w:w="6940" w:type="dxa"/>
            <w:vMerge/>
            <w:tcBorders>
              <w:right w:val="single" w:sz="4" w:space="0" w:color="auto"/>
            </w:tcBorders>
          </w:tcPr>
          <w:p w:rsidR="00A14804" w:rsidRPr="00B57B36" w:rsidRDefault="00A14804" w:rsidP="00502C47">
            <w:pPr>
              <w:tabs>
                <w:tab w:val="left" w:pos="-108"/>
              </w:tabs>
            </w:pPr>
          </w:p>
        </w:tc>
        <w:tc>
          <w:tcPr>
            <w:tcW w:w="1842" w:type="dxa"/>
            <w:tcBorders>
              <w:left w:val="single" w:sz="4" w:space="0" w:color="auto"/>
              <w:bottom w:val="nil"/>
              <w:right w:val="single" w:sz="4" w:space="0" w:color="auto"/>
            </w:tcBorders>
          </w:tcPr>
          <w:p w:rsidR="00A14804" w:rsidRPr="00B57B36" w:rsidRDefault="00A14804" w:rsidP="00502C47">
            <w:pPr>
              <w:spacing w:line="140" w:lineRule="atLeast"/>
              <w:jc w:val="right"/>
              <w:rPr>
                <w:rFonts w:cs="Arial"/>
                <w:sz w:val="14"/>
                <w:szCs w:val="14"/>
              </w:rPr>
            </w:pPr>
            <w:r w:rsidRPr="00B57B36">
              <w:rPr>
                <w:rFonts w:cs="Arial"/>
                <w:sz w:val="14"/>
                <w:szCs w:val="14"/>
              </w:rPr>
              <w:t>The Italian Association</w:t>
            </w:r>
          </w:p>
          <w:p w:rsidR="00A14804" w:rsidRPr="00B57B36" w:rsidRDefault="00A14804" w:rsidP="00502C47">
            <w:pPr>
              <w:spacing w:line="140" w:lineRule="atLeast"/>
              <w:jc w:val="right"/>
              <w:rPr>
                <w:rFonts w:cs="Arial"/>
                <w:sz w:val="14"/>
                <w:szCs w:val="14"/>
              </w:rPr>
            </w:pPr>
            <w:r w:rsidRPr="00B57B36">
              <w:rPr>
                <w:rFonts w:cs="Arial"/>
                <w:sz w:val="14"/>
                <w:szCs w:val="14"/>
              </w:rPr>
              <w:t>of Chemical Engineering</w:t>
            </w:r>
          </w:p>
          <w:p w:rsidR="00A14804" w:rsidRPr="000D0268" w:rsidRDefault="00A14804" w:rsidP="00502C47">
            <w:pPr>
              <w:spacing w:line="140" w:lineRule="atLeast"/>
              <w:jc w:val="right"/>
              <w:rPr>
                <w:rFonts w:cs="Arial"/>
                <w:sz w:val="13"/>
                <w:szCs w:val="13"/>
              </w:rPr>
            </w:pPr>
            <w:r w:rsidRPr="000D0268">
              <w:rPr>
                <w:rFonts w:cs="Arial"/>
                <w:sz w:val="13"/>
                <w:szCs w:val="13"/>
              </w:rPr>
              <w:t>Online at www.cetjournal.it</w:t>
            </w:r>
          </w:p>
        </w:tc>
      </w:tr>
      <w:tr w:rsidR="00A14804" w:rsidRPr="00B57B36" w:rsidTr="00502C47">
        <w:trPr>
          <w:trHeight w:val="68"/>
          <w:jc w:val="center"/>
        </w:trPr>
        <w:tc>
          <w:tcPr>
            <w:tcW w:w="8782" w:type="dxa"/>
            <w:gridSpan w:val="2"/>
          </w:tcPr>
          <w:p w:rsidR="00A14804" w:rsidRPr="00CB2614" w:rsidRDefault="00A14804" w:rsidP="00502C47">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Flavio Manenti, Botir Usmonov, Alessandro Di Pretoro</w:t>
            </w:r>
          </w:p>
          <w:p w:rsidR="00A14804" w:rsidRPr="00B57B36" w:rsidRDefault="00A14804" w:rsidP="00502C47">
            <w:pPr>
              <w:tabs>
                <w:tab w:val="left" w:pos="-108"/>
              </w:tabs>
              <w:spacing w:line="140" w:lineRule="atLeast"/>
              <w:ind w:left="-107"/>
              <w:jc w:val="left"/>
            </w:pPr>
            <w:r>
              <w:rPr>
                <w:rFonts w:ascii="Tahoma" w:hAnsi="Tahoma" w:cs="Tahoma"/>
                <w:iCs/>
                <w:color w:val="333333"/>
                <w:sz w:val="14"/>
                <w:szCs w:val="14"/>
                <w:lang w:eastAsia="it-IT"/>
              </w:rPr>
              <w:t>Copyright © 2026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Pr="000562A9">
              <w:rPr>
                <w:rFonts w:ascii="Tahoma" w:hAnsi="Tahoma" w:cs="Tahoma"/>
                <w:sz w:val="14"/>
                <w:szCs w:val="14"/>
              </w:rPr>
              <w:t>97</w:t>
            </w:r>
            <w:r>
              <w:rPr>
                <w:rFonts w:ascii="Tahoma" w:hAnsi="Tahoma" w:cs="Tahoma"/>
                <w:sz w:val="14"/>
                <w:szCs w:val="14"/>
              </w:rPr>
              <w:t>9</w:t>
            </w:r>
            <w:r w:rsidRPr="000562A9">
              <w:rPr>
                <w:rFonts w:ascii="Tahoma" w:hAnsi="Tahoma" w:cs="Tahoma"/>
                <w:sz w:val="14"/>
                <w:szCs w:val="14"/>
              </w:rPr>
              <w:t>-</w:t>
            </w:r>
            <w:r>
              <w:rPr>
                <w:rFonts w:ascii="Tahoma" w:hAnsi="Tahoma" w:cs="Tahoma"/>
                <w:sz w:val="14"/>
                <w:szCs w:val="14"/>
              </w:rPr>
              <w:t>12</w:t>
            </w:r>
            <w:r w:rsidRPr="000562A9">
              <w:rPr>
                <w:rFonts w:ascii="Tahoma" w:hAnsi="Tahoma" w:cs="Tahoma"/>
                <w:sz w:val="14"/>
                <w:szCs w:val="14"/>
              </w:rPr>
              <w:t>-</w:t>
            </w:r>
            <w:r>
              <w:rPr>
                <w:rFonts w:ascii="Tahoma" w:hAnsi="Tahoma" w:cs="Tahoma"/>
                <w:sz w:val="14"/>
                <w:szCs w:val="14"/>
              </w:rPr>
              <w:t>81206-xx-x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p w:rsidR="00A14804" w:rsidRPr="00A14804" w:rsidRDefault="00A14804" w:rsidP="00A14804"/>
    <w:p w:rsidR="00CF12AA" w:rsidRDefault="00A14804" w:rsidP="00A14804">
      <w:pPr>
        <w:spacing w:before="480" w:after="120"/>
        <w:jc w:val="center"/>
        <w:rPr>
          <w:rFonts w:ascii="Times New Roman" w:hAnsi="Times New Roman"/>
          <w:b/>
          <w:sz w:val="32"/>
          <w:szCs w:val="32"/>
        </w:rPr>
      </w:pPr>
      <w:r w:rsidRPr="00A14804">
        <w:rPr>
          <w:rFonts w:ascii="Times New Roman" w:hAnsi="Times New Roman"/>
          <w:b/>
          <w:sz w:val="32"/>
          <w:szCs w:val="32"/>
        </w:rPr>
        <w:t>Development of a Pneumatic Separation Method, Device, and Control System for Technogenic Waste in a Fluidized Bed</w:t>
      </w:r>
    </w:p>
    <w:p w:rsidR="00CF12AA" w:rsidRPr="00B74E83" w:rsidRDefault="00CF12AA" w:rsidP="00CF12AA">
      <w:pPr>
        <w:pStyle w:val="CETAuthors"/>
        <w:spacing w:after="120" w:line="264" w:lineRule="auto"/>
        <w:jc w:val="both"/>
        <w:rPr>
          <w:vertAlign w:val="baseline"/>
        </w:rPr>
      </w:pPr>
      <w:r>
        <w:rPr>
          <w:vertAlign w:val="baseline"/>
        </w:rPr>
        <w:t>Safarov U</w:t>
      </w:r>
      <w:r w:rsidRPr="00B74E83">
        <w:rPr>
          <w:vertAlign w:val="baseline"/>
        </w:rPr>
        <w:t xml:space="preserve">tkir Juma </w:t>
      </w:r>
      <w:r>
        <w:rPr>
          <w:vertAlign w:val="baseline"/>
        </w:rPr>
        <w:t>ugli</w:t>
      </w:r>
      <w:r w:rsidRPr="00B74E83">
        <w:t>a</w:t>
      </w:r>
      <w:r>
        <w:rPr>
          <w:vertAlign w:val="baseline"/>
        </w:rPr>
        <w:t>,</w:t>
      </w:r>
      <w:r w:rsidR="001E763D">
        <w:rPr>
          <w:vertAlign w:val="baseline"/>
        </w:rPr>
        <w:t xml:space="preserve"> </w:t>
      </w:r>
      <w:r>
        <w:rPr>
          <w:vertAlign w:val="baseline"/>
        </w:rPr>
        <w:t>Yunusov Boxodir Ismatovich</w:t>
      </w:r>
      <w:r>
        <w:t>a</w:t>
      </w:r>
      <w:r>
        <w:rPr>
          <w:vertAlign w:val="baseline"/>
        </w:rPr>
        <w:t>,</w:t>
      </w:r>
      <w:r w:rsidR="001E763D">
        <w:rPr>
          <w:vertAlign w:val="baseline"/>
        </w:rPr>
        <w:t xml:space="preserve"> </w:t>
      </w:r>
      <w:r>
        <w:rPr>
          <w:vertAlign w:val="baseline"/>
        </w:rPr>
        <w:t>Yunusov Ismat Inagamovich</w:t>
      </w:r>
      <w:r>
        <w:t>a</w:t>
      </w:r>
      <w:r>
        <w:rPr>
          <w:vertAlign w:val="baseline"/>
        </w:rPr>
        <w:t xml:space="preserve"> </w:t>
      </w:r>
    </w:p>
    <w:p w:rsidR="00CF12AA" w:rsidRDefault="00CF12AA" w:rsidP="00CF12AA">
      <w:pPr>
        <w:pStyle w:val="CETAddress"/>
      </w:pPr>
      <w:r w:rsidRPr="00622A08">
        <w:rPr>
          <w:vertAlign w:val="superscript"/>
        </w:rPr>
        <w:t>a</w:t>
      </w:r>
      <w:r w:rsidRPr="00622A08">
        <w:t>Tashkent Institute of Chemical Technology, 32 Navoi Stree</w:t>
      </w:r>
      <w:r>
        <w:t xml:space="preserve">t, Tashkent 100011, Uzbekistan </w:t>
      </w:r>
    </w:p>
    <w:p w:rsidR="002339C0" w:rsidRDefault="002339C0" w:rsidP="002339C0">
      <w:pPr>
        <w:pStyle w:val="a3"/>
        <w:spacing w:before="0" w:beforeAutospacing="0" w:after="0" w:afterAutospacing="0"/>
        <w:ind w:firstLine="567"/>
        <w:jc w:val="both"/>
        <w:rPr>
          <w:rStyle w:val="a4"/>
          <w:rFonts w:ascii="Arial" w:hAnsi="Arial" w:cs="Arial"/>
          <w:sz w:val="18"/>
          <w:szCs w:val="18"/>
          <w:lang w:val="en-US"/>
        </w:rPr>
      </w:pPr>
    </w:p>
    <w:p w:rsidR="00A56FFD" w:rsidRPr="00B045CC" w:rsidRDefault="00CF12AA" w:rsidP="00A56FFD">
      <w:pPr>
        <w:pStyle w:val="a3"/>
        <w:spacing w:before="0" w:beforeAutospacing="0" w:after="0" w:afterAutospacing="0"/>
        <w:ind w:firstLine="567"/>
        <w:jc w:val="both"/>
        <w:rPr>
          <w:rStyle w:val="a4"/>
          <w:b w:val="0"/>
          <w:lang w:val="en-US"/>
        </w:rPr>
      </w:pPr>
      <w:r w:rsidRPr="002339C0">
        <w:rPr>
          <w:rStyle w:val="a4"/>
          <w:rFonts w:ascii="Arial" w:hAnsi="Arial" w:cs="Arial"/>
          <w:sz w:val="18"/>
          <w:szCs w:val="18"/>
          <w:lang w:val="en-US"/>
        </w:rPr>
        <w:t>Abstract:</w:t>
      </w:r>
      <w:r w:rsidR="002339C0" w:rsidRPr="002339C0">
        <w:rPr>
          <w:rStyle w:val="a4"/>
          <w:rFonts w:ascii="Arial" w:hAnsi="Arial" w:cs="Arial"/>
          <w:sz w:val="18"/>
          <w:szCs w:val="18"/>
          <w:lang w:val="en-US"/>
        </w:rPr>
        <w:t xml:space="preserve"> </w:t>
      </w:r>
      <w:r w:rsidR="00A56FFD" w:rsidRPr="00A56FFD">
        <w:rPr>
          <w:rStyle w:val="a4"/>
          <w:rFonts w:ascii="Arial" w:hAnsi="Arial" w:cs="Arial"/>
          <w:b w:val="0"/>
          <w:sz w:val="18"/>
          <w:szCs w:val="18"/>
          <w:lang w:val="en-US"/>
        </w:rPr>
        <w:t>This paper presents an efficient method, apparatus, and automatic control system for the pneumatic separation of technogenic waste in a fluidized bed. The separation process was analyzed using mathematical models and computer simulations based on particle size and density. To improve separation efficiency, a fluidized-bed apparatus with an expanded zone and automatic airflow control algorithms were developed. The research results demonstrated the potential for increasing the recovery efficiency of valuable metal particles while reducing energy consumption.</w:t>
      </w:r>
    </w:p>
    <w:p w:rsidR="00CF12AA" w:rsidRPr="002339C0" w:rsidRDefault="00CF12AA" w:rsidP="00A56FFD">
      <w:pPr>
        <w:pStyle w:val="a3"/>
        <w:spacing w:before="0" w:beforeAutospacing="0" w:after="0" w:afterAutospacing="0"/>
        <w:ind w:firstLine="567"/>
        <w:jc w:val="both"/>
        <w:rPr>
          <w:rFonts w:ascii="Arial" w:hAnsi="Arial" w:cs="Arial"/>
          <w:sz w:val="18"/>
          <w:szCs w:val="18"/>
          <w:lang w:val="en-US"/>
        </w:rPr>
      </w:pPr>
      <w:r w:rsidRPr="002339C0">
        <w:rPr>
          <w:rStyle w:val="a4"/>
          <w:rFonts w:ascii="Arial" w:hAnsi="Arial" w:cs="Arial"/>
          <w:sz w:val="18"/>
          <w:szCs w:val="18"/>
          <w:lang w:val="en-US"/>
        </w:rPr>
        <w:t>Keywords:</w:t>
      </w:r>
      <w:r w:rsidRPr="002339C0">
        <w:rPr>
          <w:rFonts w:ascii="Arial" w:hAnsi="Arial" w:cs="Arial"/>
          <w:sz w:val="18"/>
          <w:szCs w:val="18"/>
          <w:lang w:val="en-US"/>
        </w:rPr>
        <w:t xml:space="preserve"> fluidized bed, pneumatic separation, technogenic waste, control algorithms, nomogram.</w:t>
      </w:r>
    </w:p>
    <w:p w:rsidR="002339C0" w:rsidRDefault="002339C0" w:rsidP="002339C0">
      <w:pPr>
        <w:pStyle w:val="CETHeading1"/>
        <w:ind w:left="0"/>
        <w:rPr>
          <w:lang w:val="en-GB"/>
        </w:rPr>
      </w:pPr>
      <w:r w:rsidRPr="00B57B36">
        <w:rPr>
          <w:lang w:val="en-GB"/>
        </w:rPr>
        <w:t>Introduction</w:t>
      </w:r>
    </w:p>
    <w:p w:rsidR="002E1959" w:rsidRDefault="00B056AE" w:rsidP="00B056AE">
      <w:pPr>
        <w:pStyle w:val="CETBodytext"/>
        <w:tabs>
          <w:tab w:val="right" w:pos="7100"/>
        </w:tabs>
        <w:spacing w:after="0" w:line="264" w:lineRule="auto"/>
        <w:rPr>
          <w:rFonts w:eastAsia="Times New Roman" w:cs="Times New Roman"/>
          <w:szCs w:val="20"/>
          <w:lang w:val="en-US" w:eastAsia="ru-RU"/>
        </w:rPr>
      </w:pPr>
      <w:r w:rsidRPr="00B056AE">
        <w:rPr>
          <w:rFonts w:eastAsia="Times New Roman" w:cs="Times New Roman"/>
          <w:szCs w:val="20"/>
          <w:lang w:val="en-US" w:eastAsia="ru-RU"/>
        </w:rPr>
        <w:t xml:space="preserve">Under modern conditions of rapidly increasing volumes of technogenic waste, the issues of its processing, utilization, and recycling have become especially relevant. Waste generated by the mining and metallurgical, construction, electronic, and processing industries contains a significant amount of valuable components suitable for secondary recovery; however, at the same time, it poses serious environmental hazards (Lottermoser, 2026). </w:t>
      </w:r>
    </w:p>
    <w:p w:rsidR="00B056AE" w:rsidRPr="00B056AE" w:rsidRDefault="00B056AE" w:rsidP="00B056AE">
      <w:pPr>
        <w:pStyle w:val="CETBodytext"/>
        <w:tabs>
          <w:tab w:val="right" w:pos="7100"/>
        </w:tabs>
        <w:spacing w:after="0" w:line="264" w:lineRule="auto"/>
        <w:rPr>
          <w:rFonts w:eastAsia="Times New Roman" w:cs="Times New Roman"/>
          <w:szCs w:val="20"/>
          <w:lang w:val="en-US" w:eastAsia="ru-RU"/>
        </w:rPr>
      </w:pPr>
      <w:r w:rsidRPr="00B056AE">
        <w:rPr>
          <w:rFonts w:eastAsia="Times New Roman" w:cs="Times New Roman"/>
          <w:szCs w:val="20"/>
          <w:lang w:val="en-US" w:eastAsia="ru-RU"/>
        </w:rPr>
        <w:t>One of the most promising approaches to the processing of such waste is pneumatic separation in a fluidized bed. According to Li et al. (2024), this method is based on differences in the aerodynamic characteristics of particles and enables efficient separation of materials according to their density, size, and shape. The method is characterized by relatively low energy consumption, high productivity, and the possibility of application in continuous technological processes. In addition, Luo et al. (2017) emphasize that the use of a gas-solid fluidized bed ensures stable separation of multicomponent mixtures and reduces water consumption compared with conventional wet beneficiation methods.</w:t>
      </w:r>
    </w:p>
    <w:p w:rsidR="00B056AE" w:rsidRPr="00B056AE" w:rsidRDefault="00B056AE" w:rsidP="00B056AE">
      <w:pPr>
        <w:pStyle w:val="CETBodytext"/>
        <w:tabs>
          <w:tab w:val="right" w:pos="7100"/>
        </w:tabs>
        <w:spacing w:after="0" w:line="264" w:lineRule="auto"/>
        <w:rPr>
          <w:rFonts w:eastAsia="Times New Roman" w:cs="Times New Roman"/>
          <w:szCs w:val="20"/>
          <w:lang w:val="en-US" w:eastAsia="ru-RU"/>
        </w:rPr>
      </w:pPr>
      <w:r w:rsidRPr="00B056AE">
        <w:rPr>
          <w:rFonts w:eastAsia="Times New Roman" w:cs="Times New Roman"/>
          <w:szCs w:val="20"/>
          <w:lang w:val="en-US" w:eastAsia="ru-RU"/>
        </w:rPr>
        <w:t>The efficiency of pneumatic separation is largely determined by the hydrodynamic characteristics of the fluidized bed. Zhang, Liu, and Wang (2024) established that the distribution of gas flow and bubble dynamics significantly affect the stability of fluidization and the quality of particle separation. Studies by Chew, Hays, and Findlay (2017) demonstrated that the processes of fine particle entrainment and segregation of multicomponent mixtures depend on gas velocity, particle size distribution, and interparticle interactions. In this regard, the development of mathematical models and CFD-DEM simulation methods capable of accounting for the real conditions of gas-solid mixture movement is of great importance.</w:t>
      </w:r>
    </w:p>
    <w:p w:rsidR="00B056AE" w:rsidRPr="00B056AE" w:rsidRDefault="00B056AE" w:rsidP="00B056AE">
      <w:pPr>
        <w:pStyle w:val="CETBodytext"/>
        <w:tabs>
          <w:tab w:val="right" w:pos="7100"/>
        </w:tabs>
        <w:spacing w:after="0" w:line="264" w:lineRule="auto"/>
        <w:rPr>
          <w:rFonts w:eastAsia="Times New Roman" w:cs="Times New Roman"/>
          <w:szCs w:val="20"/>
          <w:lang w:val="en-US" w:eastAsia="ru-RU"/>
        </w:rPr>
      </w:pPr>
      <w:r w:rsidRPr="00B056AE">
        <w:rPr>
          <w:rFonts w:eastAsia="Times New Roman" w:cs="Times New Roman"/>
          <w:szCs w:val="20"/>
          <w:lang w:val="en-US" w:eastAsia="ru-RU"/>
        </w:rPr>
        <w:t>An additional challenge is associated with the processing of construction and electronic waste, which is characterized by a wide range of particle sizes and irregular fragment shapes. Coelho and de Brito (2007) note that construction waste contains multicomponent mixtures of concrete, brick, plastic, metals, and wood, which significantly complicates separation processes. In turn, Cui and Forssberg (2015) emphasize the need for efficient separation of metallic and non-metallic components of waste printed circuit boards for the subsequent recovery of valuable metals.</w:t>
      </w:r>
    </w:p>
    <w:p w:rsidR="00B056AE" w:rsidRPr="00B056AE" w:rsidRDefault="00B056AE" w:rsidP="00B056AE">
      <w:pPr>
        <w:pStyle w:val="CETBodytext"/>
        <w:tabs>
          <w:tab w:val="right" w:pos="7100"/>
        </w:tabs>
        <w:spacing w:after="0" w:line="264" w:lineRule="auto"/>
        <w:rPr>
          <w:rFonts w:eastAsia="Times New Roman" w:cs="Times New Roman"/>
          <w:szCs w:val="20"/>
          <w:lang w:val="en-US" w:eastAsia="ru-RU"/>
        </w:rPr>
      </w:pPr>
      <w:r w:rsidRPr="00B056AE">
        <w:rPr>
          <w:rFonts w:eastAsia="Times New Roman" w:cs="Times New Roman"/>
          <w:szCs w:val="20"/>
          <w:lang w:val="en-US" w:eastAsia="ru-RU"/>
        </w:rPr>
        <w:t xml:space="preserve">The modern development of pneumatic separation technologies is closely connected with the implementation of intelligent process control systems. Rajput and Kumar (2024) highlight that the integration of PLC, DCS, and SCADA systems provides automated control of fluidized bed parameters and improves equipment reliability. Studies by Vargas, Linderholm, and Thunman (2024) demonstrate that the application of Model Predictive </w:t>
      </w:r>
      <w:r w:rsidRPr="00B056AE">
        <w:rPr>
          <w:rFonts w:eastAsia="Times New Roman" w:cs="Times New Roman"/>
          <w:szCs w:val="20"/>
          <w:lang w:val="en-US" w:eastAsia="ru-RU"/>
        </w:rPr>
        <w:lastRenderedPageBreak/>
        <w:t>Control (MPC) methods makes it possible to predict changes in process parameters and adapt operating conditions in real time. Furthermore, Prasad, Mudde, and van Ommen (2024) demonstrate the high efficiency of machine learning methods in the analysis of bubble dynamics and optimization of fluidization processes.</w:t>
      </w:r>
    </w:p>
    <w:p w:rsidR="00B056AE" w:rsidRPr="00B056AE" w:rsidRDefault="00B056AE" w:rsidP="00B056AE">
      <w:pPr>
        <w:pStyle w:val="CETBodytext"/>
        <w:tabs>
          <w:tab w:val="right" w:pos="7100"/>
        </w:tabs>
        <w:spacing w:after="0" w:line="264" w:lineRule="auto"/>
        <w:rPr>
          <w:rFonts w:eastAsia="Times New Roman" w:cs="Times New Roman"/>
          <w:szCs w:val="20"/>
          <w:lang w:val="en-US" w:eastAsia="ru-RU"/>
        </w:rPr>
      </w:pPr>
      <w:r w:rsidRPr="00B056AE">
        <w:rPr>
          <w:rFonts w:eastAsia="Times New Roman" w:cs="Times New Roman"/>
          <w:szCs w:val="20"/>
          <w:lang w:val="en-US" w:eastAsia="ru-RU"/>
        </w:rPr>
        <w:t>Thus, the development of modern methods and equipment for the pneumatic separation of technogenic waste in a fluidized bed represents an important scientific and technological direction aimed at improving the efficiency of secondary resource processing, reducing environmental impact, and creating intelligent energy-efficient technologies for the separation of multicomponent materials.</w:t>
      </w:r>
    </w:p>
    <w:p w:rsidR="002339C0" w:rsidRDefault="002339C0" w:rsidP="002339C0">
      <w:pPr>
        <w:pStyle w:val="CETHeading1"/>
        <w:ind w:left="0"/>
      </w:pPr>
      <w:r>
        <w:t>Research methods</w:t>
      </w:r>
    </w:p>
    <w:p w:rsidR="002339C0" w:rsidRPr="002339C0" w:rsidRDefault="002339C0" w:rsidP="002339C0">
      <w:pPr>
        <w:pStyle w:val="a5"/>
        <w:tabs>
          <w:tab w:val="clear" w:pos="7100"/>
        </w:tabs>
        <w:spacing w:before="100" w:beforeAutospacing="1" w:after="100" w:afterAutospacing="1" w:line="240" w:lineRule="auto"/>
        <w:ind w:left="0"/>
        <w:rPr>
          <w:rFonts w:cs="Arial"/>
          <w:szCs w:val="18"/>
          <w:lang w:val="en-US" w:eastAsia="ru-RU"/>
        </w:rPr>
      </w:pPr>
      <w:r w:rsidRPr="002339C0">
        <w:rPr>
          <w:rFonts w:cs="Arial"/>
          <w:szCs w:val="18"/>
          <w:lang w:val="en-US" w:eastAsia="ru-RU"/>
        </w:rPr>
        <w:t>The research was conducted at the Tashkent Institute of Chemical Technology and the State Unitary Enterprise “Science and Development” under the Tashkent State Technical University named after Islam Karimov.</w:t>
      </w:r>
    </w:p>
    <w:p w:rsidR="002339C0" w:rsidRPr="002339C0" w:rsidRDefault="002339C0" w:rsidP="002339C0">
      <w:pPr>
        <w:pStyle w:val="a5"/>
        <w:tabs>
          <w:tab w:val="clear" w:pos="7100"/>
        </w:tabs>
        <w:spacing w:before="100" w:beforeAutospacing="1" w:after="100" w:afterAutospacing="1" w:line="240" w:lineRule="auto"/>
        <w:ind w:left="0"/>
        <w:rPr>
          <w:rFonts w:cs="Arial"/>
          <w:szCs w:val="18"/>
          <w:lang w:val="en-US" w:eastAsia="ru-RU"/>
        </w:rPr>
      </w:pPr>
      <w:r w:rsidRPr="002339C0">
        <w:rPr>
          <w:rFonts w:cs="Arial"/>
          <w:szCs w:val="18"/>
          <w:lang w:val="en-US" w:eastAsia="ru-RU"/>
        </w:rPr>
        <w:t>This study employed a comprehensive approach, including mathematical modeling, computer simulation, and experimental investigation of the pneumatic separation process in a fluidized bed.</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Within the framework of this study, a comprehensive methodology was applied to evaluate the efficiency of pneumatic separation of technogenic waste in a fluidized bed. Mathematical models for particle separation according to size and density were developed, making it possible to describe the dynamics of particle motion in an airflow.</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Based on these models, computer simulation of the process was carried out, resulting in the development of nomograms showing the dependence of particle terminal velocity on their physical properties. Analysis of these nomograms revealed the relationship between the terminal velocity and the size and density of particles, as well as the necessity for their preliminary classification.</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The material was crushed to a particle size range of 0.030–0.050 mm and separated into narrow-size fractions using sieves. For each fraction, the airflow velocity corresponding to the minimum particle size of the light component was determined from the nomogram and supplied to the fluidized bed. Under these conditions, the light components were carried over into the cyclone, while the heavy components remained in the fluidized bed.</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Subsequently, each fraction was sequentially fed into the fluidized bed apparatus. Based on the nomograms, the optimal airflow velocity was established for each particle group, ensuring the transfer of light components from the fluidized bed apparatus into the cyclone, while the heavy components remained within the fluidized bed.</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The process involves the sequential feeding of individual fractions from different hoppers into the fluidized bed apparatus based on the developed control algorithms. After the processing of a particular fraction is completed, it is replaced by the next fraction with the highest material level. This approach makes it possible to increase separation efficiency, reduce energy consumption, and minimize negative environmental impact (Yusupbekov N.R., Yunusov B.I., 2023).</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A key element of the methodology is the use of a fluidized bed apparatus with an expanded zone. Due to the non-uniform distribution of particles in the fluidized bed, breakthrough airflow channels may occur, causing heavy particles to be carried over into the cyclone. As the particle velocity decreases upon entering the expanded zone, heavy particles return to the working zone. The aerodynamic parameters are controlled through an automated airflow control system depending on the characteristics of individual material fractions.</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To evaluate the efficiency of the process, the degree of particle separation according to density and size was analyzed. In addition, a comparative analysis of the apparatus operating with and without an expanded zone was carried out (Yunusov B.I., Xasanov A.S., Artikov A.A., Yunusov I.I., 2016).</w:t>
      </w:r>
    </w:p>
    <w:p w:rsidR="001726DD" w:rsidRPr="001726DD" w:rsidRDefault="001726DD" w:rsidP="001726DD">
      <w:pPr>
        <w:pStyle w:val="a5"/>
        <w:tabs>
          <w:tab w:val="clear" w:pos="7100"/>
        </w:tabs>
        <w:spacing w:before="100" w:beforeAutospacing="1" w:after="100" w:afterAutospacing="1" w:line="240" w:lineRule="auto"/>
        <w:ind w:left="0"/>
        <w:rPr>
          <w:rFonts w:cs="Arial"/>
          <w:szCs w:val="18"/>
          <w:lang w:val="en-US" w:eastAsia="ru-RU"/>
        </w:rPr>
      </w:pPr>
      <w:r w:rsidRPr="001726DD">
        <w:rPr>
          <w:rFonts w:cs="Arial"/>
          <w:szCs w:val="18"/>
          <w:lang w:val="en-US" w:eastAsia="ru-RU"/>
        </w:rPr>
        <w:t>The methodology includes elements of mathematical modeling of fluidized bed hydrodynamics, as well as the calculation of optimal parameters for the height of the expanded zone and the airflow velocity. The obtained results are used to improve the efficiency of recovering valuable components from technogenic waste (Yusupbekov N.R., Yunusov B.I., 2023).</w:t>
      </w:r>
    </w:p>
    <w:p w:rsidR="00DA72FE" w:rsidRPr="00DA72FE" w:rsidRDefault="00DA72FE" w:rsidP="00DA72FE">
      <w:pPr>
        <w:pStyle w:val="a5"/>
        <w:tabs>
          <w:tab w:val="clear" w:pos="7100"/>
        </w:tabs>
        <w:spacing w:before="100" w:beforeAutospacing="1" w:after="100" w:afterAutospacing="1" w:line="240" w:lineRule="auto"/>
        <w:ind w:left="0"/>
        <w:rPr>
          <w:rFonts w:cs="Arial"/>
          <w:szCs w:val="18"/>
          <w:lang w:val="en-US" w:eastAsia="ru-RU"/>
        </w:rPr>
      </w:pPr>
      <w:r w:rsidRPr="00DA72FE">
        <w:rPr>
          <w:rFonts w:cs="Arial"/>
          <w:szCs w:val="18"/>
          <w:lang w:val="en-US" w:eastAsia="ru-RU"/>
        </w:rPr>
        <w:t>In the development of the automatic process control system, monitoring is carried out using level sensors installed in the hoppers. Control is implemented based on the developed control algorithms. According to the algorithm, the hopper with the highest material level is selected. The airflow rate is adjusted depending on the particle size and density.</w:t>
      </w:r>
    </w:p>
    <w:p w:rsidR="00DA72FE" w:rsidRPr="00DA72FE" w:rsidRDefault="00DA72FE" w:rsidP="00DA72FE">
      <w:pPr>
        <w:pStyle w:val="a5"/>
        <w:tabs>
          <w:tab w:val="clear" w:pos="7100"/>
        </w:tabs>
        <w:spacing w:before="100" w:beforeAutospacing="1" w:after="100" w:afterAutospacing="1" w:line="240" w:lineRule="auto"/>
        <w:ind w:left="0"/>
        <w:rPr>
          <w:rFonts w:cs="Arial"/>
          <w:szCs w:val="18"/>
          <w:lang w:val="en-US" w:eastAsia="ru-RU"/>
        </w:rPr>
      </w:pPr>
      <w:r w:rsidRPr="00DA72FE">
        <w:rPr>
          <w:rFonts w:cs="Arial"/>
          <w:szCs w:val="18"/>
          <w:lang w:val="en-US" w:eastAsia="ru-RU"/>
        </w:rPr>
        <w:t>The software implementation was carried out in the CODESYS using the Structured Text (ST) programming language (Yunusov B.I., 2018).</w:t>
      </w:r>
    </w:p>
    <w:p w:rsidR="00DA72FE" w:rsidRDefault="00DA72FE" w:rsidP="00DA72FE">
      <w:pPr>
        <w:pStyle w:val="CETHeading1"/>
        <w:tabs>
          <w:tab w:val="clear" w:pos="360"/>
          <w:tab w:val="right" w:pos="7100"/>
        </w:tabs>
        <w:ind w:left="0"/>
        <w:jc w:val="both"/>
        <w:rPr>
          <w:lang w:val="en-GB"/>
        </w:rPr>
      </w:pPr>
      <w:r>
        <w:rPr>
          <w:lang w:val="en-GB"/>
        </w:rPr>
        <w:t>Research Results</w:t>
      </w:r>
    </w:p>
    <w:p w:rsidR="00DA72FE" w:rsidRPr="00DA72FE" w:rsidRDefault="00DA72FE" w:rsidP="00DA72FE">
      <w:pPr>
        <w:pStyle w:val="a5"/>
        <w:tabs>
          <w:tab w:val="clear" w:pos="7100"/>
        </w:tabs>
        <w:spacing w:before="100" w:beforeAutospacing="1" w:after="100" w:afterAutospacing="1" w:line="240" w:lineRule="auto"/>
        <w:ind w:left="0"/>
        <w:rPr>
          <w:rFonts w:cs="Arial"/>
          <w:szCs w:val="18"/>
          <w:lang w:val="en-US" w:eastAsia="ru-RU"/>
        </w:rPr>
      </w:pPr>
      <w:r w:rsidRPr="00DA72FE">
        <w:rPr>
          <w:rFonts w:cs="Arial"/>
          <w:szCs w:val="18"/>
          <w:lang w:val="en-US" w:eastAsia="ru-RU"/>
        </w:rPr>
        <w:t>Mathematical models of the separation process in a fluidized bed were developed to determine the feasibility of applying pneumatic separation methods for recovering valuable metals from technogenic waste, which require lower energy consumption compared to alternative methods.</w:t>
      </w:r>
    </w:p>
    <w:p w:rsidR="00DA72FE" w:rsidRPr="007C276B" w:rsidRDefault="00DA72FE" w:rsidP="00DA72FE">
      <w:pPr>
        <w:pStyle w:val="a5"/>
        <w:tabs>
          <w:tab w:val="clear" w:pos="7100"/>
        </w:tabs>
        <w:spacing w:before="100" w:beforeAutospacing="1" w:after="100" w:afterAutospacing="1" w:line="240" w:lineRule="auto"/>
        <w:ind w:left="0"/>
        <w:rPr>
          <w:rFonts w:cs="Arial"/>
          <w:szCs w:val="18"/>
          <w:lang w:val="en-US" w:eastAsia="ru-RU"/>
        </w:rPr>
      </w:pPr>
      <w:r w:rsidRPr="00DA72FE">
        <w:rPr>
          <w:rFonts w:cs="Arial"/>
          <w:szCs w:val="18"/>
          <w:lang w:val="en-US" w:eastAsia="ru-RU"/>
        </w:rPr>
        <w:t>The hydrodynamic structure of flows in a fluidized bed can be described using ideal mixing models. In this case, the concentration withi</w:t>
      </w:r>
      <w:r w:rsidRPr="007C276B">
        <w:rPr>
          <w:rFonts w:cs="Arial"/>
          <w:szCs w:val="18"/>
          <w:lang w:val="en-US" w:eastAsia="ru-RU"/>
        </w:rPr>
        <w:t>n the fluidized bed is assumed to be uniform.</w:t>
      </w:r>
    </w:p>
    <w:p w:rsidR="00DA72FE" w:rsidRPr="007C276B" w:rsidRDefault="00DA72FE" w:rsidP="00DA72FE">
      <w:pPr>
        <w:pStyle w:val="a5"/>
        <w:tabs>
          <w:tab w:val="clear" w:pos="7100"/>
        </w:tabs>
        <w:spacing w:before="100" w:beforeAutospacing="1" w:after="100" w:afterAutospacing="1" w:line="240" w:lineRule="auto"/>
        <w:ind w:left="0"/>
        <w:rPr>
          <w:rFonts w:cs="Arial"/>
          <w:szCs w:val="18"/>
          <w:lang w:val="en-US" w:eastAsia="ru-RU"/>
        </w:rPr>
      </w:pPr>
      <w:r w:rsidRPr="007C276B">
        <w:rPr>
          <w:rFonts w:cs="Arial"/>
          <w:szCs w:val="18"/>
          <w:lang w:val="en-US" w:eastAsia="ru-RU"/>
        </w:rPr>
        <w:lastRenderedPageBreak/>
        <w:t>If we assume that each particle of the crushed material is spherical, with identical sizes but different masses, then the task is to separate the light particles from the mixture using an air flow.</w:t>
      </w:r>
    </w:p>
    <w:p w:rsidR="00DA72FE" w:rsidRPr="007C276B" w:rsidRDefault="00DA72FE" w:rsidP="00DA72FE">
      <w:pPr>
        <w:pStyle w:val="a5"/>
        <w:tabs>
          <w:tab w:val="clear" w:pos="7100"/>
        </w:tabs>
        <w:spacing w:before="100" w:beforeAutospacing="1" w:after="100" w:afterAutospacing="1" w:line="240" w:lineRule="auto"/>
        <w:ind w:left="0"/>
        <w:rPr>
          <w:rFonts w:cs="Arial"/>
          <w:szCs w:val="18"/>
          <w:lang w:val="en-US" w:eastAsia="ru-RU"/>
        </w:rPr>
      </w:pPr>
      <w:r w:rsidRPr="007C276B">
        <w:rPr>
          <w:rFonts w:cs="Arial"/>
          <w:szCs w:val="18"/>
          <w:lang w:val="en-US" w:eastAsia="ru-RU"/>
        </w:rPr>
        <w:t>If the gravitational force acting on a spherical particle in the downward direction and the force generated by the air flow lifting the particle upward are equal (F</w:t>
      </w:r>
      <w:r w:rsidRPr="007C276B">
        <w:rPr>
          <w:rFonts w:cs="Arial"/>
          <w:szCs w:val="18"/>
          <w:vertAlign w:val="subscript"/>
          <w:lang w:val="en-US" w:eastAsia="ru-RU"/>
        </w:rPr>
        <w:t>1</w:t>
      </w:r>
      <w:r w:rsidRPr="007C276B">
        <w:rPr>
          <w:rFonts w:cs="Arial"/>
          <w:szCs w:val="18"/>
          <w:lang w:val="en-US" w:eastAsia="ru-RU"/>
        </w:rPr>
        <w:t>=F</w:t>
      </w:r>
      <w:r w:rsidRPr="007C276B">
        <w:rPr>
          <w:rFonts w:cs="Arial"/>
          <w:szCs w:val="18"/>
          <w:vertAlign w:val="subscript"/>
          <w:lang w:val="en-US" w:eastAsia="ru-RU"/>
        </w:rPr>
        <w:t>2</w:t>
      </w:r>
      <w:r w:rsidRPr="007C276B">
        <w:rPr>
          <w:rFonts w:cs="Arial"/>
          <w:szCs w:val="18"/>
          <w:lang w:val="en-US" w:eastAsia="ru-RU"/>
        </w:rPr>
        <w:t>), then the particles are in equilibrium:</w:t>
      </w:r>
    </w:p>
    <w:p w:rsidR="00147E9F" w:rsidRPr="007C276B" w:rsidRDefault="00254139" w:rsidP="00DA72FE">
      <w:pPr>
        <w:pStyle w:val="a5"/>
        <w:tabs>
          <w:tab w:val="clear" w:pos="7100"/>
        </w:tabs>
        <w:spacing w:before="100" w:beforeAutospacing="1" w:after="100" w:afterAutospacing="1" w:line="240" w:lineRule="auto"/>
        <w:ind w:left="0"/>
        <w:rPr>
          <w:rFonts w:cs="Arial"/>
          <w:szCs w:val="18"/>
          <w:lang w:val="en-US" w:eastAsia="ru-RU"/>
        </w:rPr>
      </w:pPr>
      <m:oMathPara>
        <m:oMath>
          <m:sSub>
            <m:sSubPr>
              <m:ctrlPr>
                <w:rPr>
                  <w:rFonts w:ascii="Cambria Math" w:hAnsi="Cambria Math" w:cs="Arial"/>
                  <w:i/>
                  <w:szCs w:val="18"/>
                  <w:lang w:val="en-US" w:eastAsia="ru-RU"/>
                </w:rPr>
              </m:ctrlPr>
            </m:sSubPr>
            <m:e>
              <m:r>
                <w:rPr>
                  <w:rFonts w:ascii="Cambria Math" w:hAnsi="Cambria Math" w:cs="Arial"/>
                  <w:szCs w:val="18"/>
                  <w:lang w:val="en-US" w:eastAsia="ru-RU"/>
                </w:rPr>
                <m:t>p</m:t>
              </m:r>
            </m:e>
            <m:sub>
              <m:r>
                <w:rPr>
                  <w:rFonts w:ascii="Cambria Math" w:hAnsi="Cambria Math" w:cs="Arial"/>
                  <w:szCs w:val="18"/>
                  <w:lang w:val="en-US" w:eastAsia="ru-RU"/>
                </w:rPr>
                <m:t>p</m:t>
              </m:r>
            </m:sub>
          </m:sSub>
          <m:f>
            <m:fPr>
              <m:ctrlPr>
                <w:rPr>
                  <w:rFonts w:ascii="Cambria Math" w:hAnsi="Cambria Math" w:cs="Arial"/>
                  <w:i/>
                  <w:szCs w:val="18"/>
                  <w:lang w:val="en-US" w:eastAsia="ru-RU"/>
                </w:rPr>
              </m:ctrlPr>
            </m:fPr>
            <m:num>
              <m:r>
                <w:rPr>
                  <w:rFonts w:ascii="Cambria Math" w:hAnsi="Cambria Math" w:cs="Arial"/>
                  <w:szCs w:val="18"/>
                  <w:lang w:val="en-US" w:eastAsia="ru-RU"/>
                </w:rPr>
                <m:t>1</m:t>
              </m:r>
            </m:num>
            <m:den>
              <m:r>
                <w:rPr>
                  <w:rFonts w:ascii="Cambria Math" w:hAnsi="Cambria Math" w:cs="Arial"/>
                  <w:szCs w:val="18"/>
                  <w:lang w:val="en-US" w:eastAsia="ru-RU"/>
                </w:rPr>
                <m:t>6</m:t>
              </m:r>
            </m:den>
          </m:f>
          <m:r>
            <w:rPr>
              <w:rFonts w:ascii="Cambria Math" w:hAnsi="Cambria Math" w:cs="Arial"/>
              <w:szCs w:val="18"/>
              <w:lang w:val="en-US" w:eastAsia="ru-RU"/>
            </w:rPr>
            <m:t>π*</m:t>
          </m:r>
          <m:sSup>
            <m:sSupPr>
              <m:ctrlPr>
                <w:rPr>
                  <w:rFonts w:ascii="Cambria Math" w:hAnsi="Cambria Math" w:cs="Arial"/>
                  <w:i/>
                  <w:szCs w:val="18"/>
                  <w:lang w:val="en-US" w:eastAsia="ru-RU"/>
                </w:rPr>
              </m:ctrlPr>
            </m:sSupPr>
            <m:e>
              <m:r>
                <w:rPr>
                  <w:rFonts w:ascii="Cambria Math" w:hAnsi="Cambria Math" w:cs="Arial"/>
                  <w:szCs w:val="18"/>
                  <w:lang w:val="en-US" w:eastAsia="ru-RU"/>
                </w:rPr>
                <m:t>d</m:t>
              </m:r>
            </m:e>
            <m:sup>
              <m:r>
                <w:rPr>
                  <w:rFonts w:ascii="Cambria Math" w:hAnsi="Cambria Math" w:cs="Arial"/>
                  <w:szCs w:val="18"/>
                  <w:lang w:val="en-US" w:eastAsia="ru-RU"/>
                </w:rPr>
                <m:t>3</m:t>
              </m:r>
            </m:sup>
          </m:sSup>
          <m:r>
            <w:rPr>
              <w:rFonts w:ascii="Cambria Math" w:hAnsi="Cambria Math" w:cs="Arial"/>
              <w:szCs w:val="18"/>
              <w:lang w:val="en-US" w:eastAsia="ru-RU"/>
            </w:rPr>
            <m:t>*g=λ*π</m:t>
          </m:r>
          <m:f>
            <m:fPr>
              <m:ctrlPr>
                <w:rPr>
                  <w:rFonts w:ascii="Cambria Math" w:hAnsi="Cambria Math" w:cs="Arial"/>
                  <w:i/>
                  <w:szCs w:val="18"/>
                  <w:lang w:val="en-US" w:eastAsia="ru-RU"/>
                </w:rPr>
              </m:ctrlPr>
            </m:fPr>
            <m:num>
              <m:sSup>
                <m:sSupPr>
                  <m:ctrlPr>
                    <w:rPr>
                      <w:rFonts w:ascii="Cambria Math" w:hAnsi="Cambria Math" w:cs="Arial"/>
                      <w:i/>
                      <w:szCs w:val="18"/>
                      <w:lang w:val="en-US" w:eastAsia="ru-RU"/>
                    </w:rPr>
                  </m:ctrlPr>
                </m:sSupPr>
                <m:e>
                  <m:r>
                    <w:rPr>
                      <w:rFonts w:ascii="Cambria Math" w:hAnsi="Cambria Math" w:cs="Arial"/>
                      <w:szCs w:val="18"/>
                      <w:lang w:val="en-US" w:eastAsia="ru-RU"/>
                    </w:rPr>
                    <m:t>d</m:t>
                  </m:r>
                </m:e>
                <m:sup>
                  <m:r>
                    <w:rPr>
                      <w:rFonts w:ascii="Cambria Math" w:hAnsi="Cambria Math" w:cs="Arial"/>
                      <w:szCs w:val="18"/>
                      <w:lang w:val="en-US" w:eastAsia="ru-RU"/>
                    </w:rPr>
                    <m:t>2</m:t>
                  </m:r>
                </m:sup>
              </m:sSup>
            </m:num>
            <m:den>
              <m:r>
                <w:rPr>
                  <w:rFonts w:ascii="Cambria Math" w:hAnsi="Cambria Math" w:cs="Arial"/>
                  <w:szCs w:val="18"/>
                  <w:lang w:val="en-US" w:eastAsia="ru-RU"/>
                </w:rPr>
                <m:t>4</m:t>
              </m:r>
            </m:den>
          </m:f>
          <m:r>
            <w:rPr>
              <w:rFonts w:ascii="Cambria Math" w:hAnsi="Cambria Math" w:cs="Arial"/>
              <w:szCs w:val="18"/>
              <w:lang w:val="en-US" w:eastAsia="ru-RU"/>
            </w:rPr>
            <m:t>*</m:t>
          </m:r>
          <m:sSub>
            <m:sSubPr>
              <m:ctrlPr>
                <w:rPr>
                  <w:rFonts w:ascii="Cambria Math" w:hAnsi="Cambria Math" w:cs="Arial"/>
                  <w:i/>
                  <w:szCs w:val="18"/>
                  <w:lang w:val="en-US" w:eastAsia="ru-RU"/>
                </w:rPr>
              </m:ctrlPr>
            </m:sSubPr>
            <m:e>
              <m:r>
                <w:rPr>
                  <w:rFonts w:ascii="Cambria Math" w:hAnsi="Cambria Math" w:cs="Arial"/>
                  <w:szCs w:val="18"/>
                  <w:lang w:val="en-US" w:eastAsia="ru-RU"/>
                </w:rPr>
                <m:t>p</m:t>
              </m:r>
            </m:e>
            <m:sub>
              <m:r>
                <w:rPr>
                  <w:rFonts w:ascii="Cambria Math" w:hAnsi="Cambria Math" w:cs="Arial"/>
                  <w:szCs w:val="18"/>
                  <w:lang w:val="en-US" w:eastAsia="ru-RU"/>
                </w:rPr>
                <m:t>a</m:t>
              </m:r>
            </m:sub>
          </m:sSub>
          <m:r>
            <w:rPr>
              <w:rFonts w:ascii="Cambria Math" w:hAnsi="Cambria Math" w:cs="Arial"/>
              <w:szCs w:val="18"/>
              <w:lang w:val="en-US" w:eastAsia="ru-RU"/>
            </w:rPr>
            <m:t>*</m:t>
          </m:r>
          <m:f>
            <m:fPr>
              <m:ctrlPr>
                <w:rPr>
                  <w:rFonts w:ascii="Cambria Math" w:hAnsi="Cambria Math" w:cs="Arial"/>
                  <w:i/>
                  <w:szCs w:val="18"/>
                  <w:lang w:val="en-US" w:eastAsia="ru-RU"/>
                </w:rPr>
              </m:ctrlPr>
            </m:fPr>
            <m:num>
              <m:sSup>
                <m:sSupPr>
                  <m:ctrlPr>
                    <w:rPr>
                      <w:rFonts w:ascii="Cambria Math" w:hAnsi="Cambria Math" w:cs="Arial"/>
                      <w:i/>
                      <w:szCs w:val="18"/>
                      <w:lang w:val="en-US" w:eastAsia="ru-RU"/>
                    </w:rPr>
                  </m:ctrlPr>
                </m:sSupPr>
                <m:e>
                  <m:r>
                    <w:rPr>
                      <w:rFonts w:ascii="Cambria Math" w:hAnsi="Cambria Math" w:cs="Arial"/>
                      <w:szCs w:val="18"/>
                      <w:lang w:val="en-US" w:eastAsia="ru-RU"/>
                    </w:rPr>
                    <m:t>w</m:t>
                  </m:r>
                </m:e>
                <m:sup>
                  <m:r>
                    <w:rPr>
                      <w:rFonts w:ascii="Cambria Math" w:hAnsi="Cambria Math" w:cs="Arial"/>
                      <w:szCs w:val="18"/>
                      <w:lang w:val="en-US" w:eastAsia="ru-RU"/>
                    </w:rPr>
                    <m:t>2</m:t>
                  </m:r>
                </m:sup>
              </m:sSup>
            </m:num>
            <m:den>
              <m:r>
                <w:rPr>
                  <w:rFonts w:ascii="Cambria Math" w:hAnsi="Cambria Math" w:cs="Arial"/>
                  <w:szCs w:val="18"/>
                  <w:lang w:val="en-US" w:eastAsia="ru-RU"/>
                </w:rPr>
                <m:t>2</m:t>
              </m:r>
            </m:den>
          </m:f>
        </m:oMath>
      </m:oMathPara>
    </w:p>
    <w:p w:rsidR="00147E9F" w:rsidRPr="007C276B" w:rsidRDefault="00147E9F" w:rsidP="00931579">
      <w:pPr>
        <w:pStyle w:val="a5"/>
        <w:tabs>
          <w:tab w:val="clear" w:pos="7100"/>
        </w:tabs>
        <w:spacing w:before="100" w:beforeAutospacing="1" w:after="100" w:afterAutospacing="1" w:line="240" w:lineRule="auto"/>
        <w:ind w:left="0"/>
        <w:rPr>
          <w:rFonts w:cs="Arial"/>
          <w:szCs w:val="18"/>
          <w:lang w:val="en-US" w:eastAsia="ru-RU"/>
        </w:rPr>
      </w:pPr>
      <w:r w:rsidRPr="007C276B">
        <w:rPr>
          <w:rFonts w:cs="Arial"/>
          <w:szCs w:val="18"/>
          <w:lang w:val="en-US" w:eastAsia="ru-RU"/>
        </w:rPr>
        <w:t xml:space="preserve">Here, </w:t>
      </w:r>
      <m:oMath>
        <m:r>
          <w:rPr>
            <w:rFonts w:ascii="Cambria Math" w:hAnsi="Cambria Math" w:cs="Arial"/>
            <w:szCs w:val="18"/>
            <w:lang w:val="en-US" w:eastAsia="ru-RU"/>
          </w:rPr>
          <m:t>g-</m:t>
        </m:r>
      </m:oMath>
      <w:r w:rsidRPr="007C276B">
        <w:rPr>
          <w:rFonts w:cs="Arial"/>
          <w:szCs w:val="18"/>
          <w:lang w:val="en-US" w:eastAsia="ru-RU"/>
        </w:rPr>
        <w:t xml:space="preserve">is the acceleration due to gravity, </w:t>
      </w:r>
      <m:oMath>
        <m:r>
          <w:rPr>
            <w:rFonts w:ascii="Cambria Math" w:hAnsi="Cambria Math" w:cs="Arial"/>
            <w:szCs w:val="18"/>
            <w:lang w:val="en-US" w:eastAsia="ru-RU"/>
          </w:rPr>
          <m:t>λ-</m:t>
        </m:r>
      </m:oMath>
      <w:r w:rsidR="00931579" w:rsidRPr="007C276B">
        <w:rPr>
          <w:rFonts w:cs="Arial"/>
          <w:szCs w:val="18"/>
          <w:lang w:val="en-US" w:eastAsia="ru-RU"/>
        </w:rPr>
        <w:t xml:space="preserve"> </w:t>
      </w:r>
      <w:r w:rsidRPr="007C276B">
        <w:rPr>
          <w:rFonts w:cs="Arial"/>
          <w:szCs w:val="18"/>
          <w:lang w:val="en-US" w:eastAsia="ru-RU"/>
        </w:rPr>
        <w:t xml:space="preserve">is a coefficient reflecting whether the flow regime is turbulent or laminar, </w:t>
      </w:r>
      <m:oMath>
        <m:r>
          <w:rPr>
            <w:rFonts w:ascii="Cambria Math" w:hAnsi="Cambria Math" w:cs="Arial"/>
            <w:szCs w:val="18"/>
            <w:lang w:val="en-US" w:eastAsia="ru-RU"/>
          </w:rPr>
          <m:t>w -</m:t>
        </m:r>
      </m:oMath>
      <w:r w:rsidR="00931579" w:rsidRPr="007C276B">
        <w:rPr>
          <w:rFonts w:cs="Arial"/>
          <w:szCs w:val="18"/>
          <w:lang w:val="en-US" w:eastAsia="ru-RU"/>
        </w:rPr>
        <w:t xml:space="preserve"> </w:t>
      </w:r>
      <w:r w:rsidRPr="007C276B">
        <w:rPr>
          <w:rFonts w:cs="Arial"/>
          <w:szCs w:val="18"/>
          <w:lang w:val="en-US" w:eastAsia="ru-RU"/>
        </w:rPr>
        <w:t xml:space="preserve"> is the air velocity, </w:t>
      </w:r>
      <m:oMath>
        <m:sSub>
          <m:sSubPr>
            <m:ctrlPr>
              <w:rPr>
                <w:rFonts w:ascii="Cambria Math" w:hAnsi="Cambria Math" w:cs="Arial"/>
                <w:i/>
                <w:szCs w:val="18"/>
                <w:lang w:val="en-US" w:eastAsia="ru-RU"/>
              </w:rPr>
            </m:ctrlPr>
          </m:sSubPr>
          <m:e>
            <m:r>
              <w:rPr>
                <w:rFonts w:ascii="Cambria Math" w:hAnsi="Cambria Math" w:cs="Arial"/>
                <w:szCs w:val="18"/>
                <w:lang w:val="en-US" w:eastAsia="ru-RU"/>
              </w:rPr>
              <m:t>p</m:t>
            </m:r>
          </m:e>
          <m:sub>
            <m:r>
              <w:rPr>
                <w:rFonts w:ascii="Cambria Math" w:hAnsi="Cambria Math" w:cs="Arial"/>
                <w:szCs w:val="18"/>
                <w:lang w:val="en-US" w:eastAsia="ru-RU"/>
              </w:rPr>
              <m:t>a</m:t>
            </m:r>
          </m:sub>
        </m:sSub>
        <m:r>
          <w:rPr>
            <w:rFonts w:ascii="Cambria Math" w:hAnsi="Cambria Math" w:cs="Arial"/>
            <w:szCs w:val="18"/>
            <w:lang w:val="en-US" w:eastAsia="ru-RU"/>
          </w:rPr>
          <m:t>-</m:t>
        </m:r>
      </m:oMath>
      <w:r w:rsidRPr="007C276B">
        <w:rPr>
          <w:rFonts w:cs="Arial"/>
          <w:szCs w:val="18"/>
          <w:lang w:val="en-US" w:eastAsia="ru-RU"/>
        </w:rPr>
        <w:t xml:space="preserve"> is the air density, </w:t>
      </w:r>
      <m:oMath>
        <m:r>
          <w:rPr>
            <w:rFonts w:ascii="Cambria Math" w:hAnsi="Cambria Math" w:cs="Arial"/>
            <w:szCs w:val="18"/>
            <w:lang w:val="en-US" w:eastAsia="ru-RU"/>
          </w:rPr>
          <m:t>s-</m:t>
        </m:r>
      </m:oMath>
      <w:r w:rsidRPr="007C276B">
        <w:rPr>
          <w:rFonts w:cs="Arial"/>
          <w:szCs w:val="18"/>
          <w:lang w:val="en-US" w:eastAsia="ru-RU"/>
        </w:rPr>
        <w:t xml:space="preserve"> is the surface area of the spherical particle, and </w:t>
      </w:r>
      <m:oMath>
        <m:sSub>
          <m:sSubPr>
            <m:ctrlPr>
              <w:rPr>
                <w:rFonts w:ascii="Cambria Math" w:hAnsi="Cambria Math" w:cs="Arial"/>
                <w:i/>
                <w:szCs w:val="18"/>
                <w:lang w:val="en-US" w:eastAsia="ru-RU"/>
              </w:rPr>
            </m:ctrlPr>
          </m:sSubPr>
          <m:e>
            <m:r>
              <w:rPr>
                <w:rFonts w:ascii="Cambria Math" w:hAnsi="Cambria Math" w:cs="Arial"/>
                <w:szCs w:val="18"/>
                <w:lang w:val="en-US" w:eastAsia="ru-RU"/>
              </w:rPr>
              <m:t>p</m:t>
            </m:r>
          </m:e>
          <m:sub>
            <m:r>
              <w:rPr>
                <w:rFonts w:ascii="Cambria Math" w:hAnsi="Cambria Math" w:cs="Arial"/>
                <w:szCs w:val="18"/>
                <w:lang w:val="en-US" w:eastAsia="ru-RU"/>
              </w:rPr>
              <m:t>p</m:t>
            </m:r>
          </m:sub>
        </m:sSub>
        <m:r>
          <w:rPr>
            <w:rFonts w:ascii="Cambria Math" w:hAnsi="Cambria Math" w:cs="Arial"/>
            <w:szCs w:val="18"/>
            <w:lang w:val="en-US" w:eastAsia="ru-RU"/>
          </w:rPr>
          <m:t>-</m:t>
        </m:r>
      </m:oMath>
      <w:r w:rsidRPr="007C276B">
        <w:rPr>
          <w:rFonts w:cs="Arial"/>
          <w:szCs w:val="18"/>
          <w:lang w:val="en-US" w:eastAsia="ru-RU"/>
        </w:rPr>
        <w:t>is the particle density.</w:t>
      </w:r>
    </w:p>
    <w:p w:rsidR="00147E9F" w:rsidRPr="007C276B" w:rsidRDefault="00147E9F" w:rsidP="00354D36">
      <w:pPr>
        <w:pStyle w:val="a5"/>
        <w:tabs>
          <w:tab w:val="clear" w:pos="7100"/>
        </w:tabs>
        <w:spacing w:line="240" w:lineRule="auto"/>
        <w:ind w:left="0"/>
        <w:rPr>
          <w:rFonts w:cs="Arial"/>
          <w:szCs w:val="18"/>
          <w:lang w:val="en-US" w:eastAsia="ru-RU"/>
        </w:rPr>
      </w:pPr>
      <w:r w:rsidRPr="007C276B">
        <w:rPr>
          <w:rFonts w:cs="Arial"/>
          <w:szCs w:val="18"/>
          <w:lang w:val="en-US" w:eastAsia="ru-RU"/>
        </w:rPr>
        <w:t xml:space="preserve">Solving this equation for the equilibrium velocity </w:t>
      </w:r>
      <m:oMath>
        <m:r>
          <w:rPr>
            <w:rFonts w:ascii="Cambria Math" w:hAnsi="Cambria Math" w:cs="Arial"/>
            <w:szCs w:val="18"/>
            <w:lang w:val="en-US" w:eastAsia="ru-RU"/>
          </w:rPr>
          <m:t>w -</m:t>
        </m:r>
      </m:oMath>
      <w:r w:rsidRPr="007C276B">
        <w:rPr>
          <w:rFonts w:cs="Arial"/>
          <w:szCs w:val="18"/>
          <w:lang w:val="en-US" w:eastAsia="ru-RU"/>
        </w:rPr>
        <w:t xml:space="preserve"> yields the well-known expression.</w:t>
      </w:r>
    </w:p>
    <w:p w:rsidR="00354D36" w:rsidRPr="007C276B" w:rsidRDefault="00354D36" w:rsidP="00354D36">
      <w:pPr>
        <w:pStyle w:val="a5"/>
        <w:tabs>
          <w:tab w:val="clear" w:pos="7100"/>
        </w:tabs>
        <w:spacing w:before="100" w:beforeAutospacing="1" w:after="100" w:afterAutospacing="1" w:line="240" w:lineRule="auto"/>
        <w:ind w:left="0"/>
        <w:rPr>
          <w:rFonts w:cs="Arial"/>
          <w:i/>
          <w:szCs w:val="18"/>
          <w:lang w:val="en-US" w:eastAsia="ru-RU"/>
        </w:rPr>
      </w:pPr>
      <m:oMathPara>
        <m:oMath>
          <m:r>
            <w:rPr>
              <w:rFonts w:ascii="Cambria Math" w:hAnsi="Cambria Math" w:cs="Arial"/>
              <w:szCs w:val="18"/>
              <w:lang w:val="en-US" w:eastAsia="ru-RU"/>
            </w:rPr>
            <m:t>w=</m:t>
          </m:r>
          <m:rad>
            <m:radPr>
              <m:degHide m:val="1"/>
              <m:ctrlPr>
                <w:rPr>
                  <w:rFonts w:ascii="Cambria Math" w:hAnsi="Cambria Math" w:cs="Arial"/>
                  <w:i/>
                  <w:szCs w:val="18"/>
                  <w:lang w:val="en-US" w:eastAsia="ru-RU"/>
                </w:rPr>
              </m:ctrlPr>
            </m:radPr>
            <m:deg/>
            <m:e>
              <m:f>
                <m:fPr>
                  <m:ctrlPr>
                    <w:rPr>
                      <w:rFonts w:ascii="Cambria Math" w:hAnsi="Cambria Math" w:cs="Arial"/>
                      <w:i/>
                      <w:szCs w:val="18"/>
                      <w:lang w:val="en-US" w:eastAsia="ru-RU"/>
                    </w:rPr>
                  </m:ctrlPr>
                </m:fPr>
                <m:num>
                  <m:r>
                    <w:rPr>
                      <w:rFonts w:ascii="Cambria Math" w:hAnsi="Cambria Math" w:cs="Arial"/>
                      <w:szCs w:val="18"/>
                      <w:lang w:val="en-US" w:eastAsia="ru-RU"/>
                    </w:rPr>
                    <m:t>4</m:t>
                  </m:r>
                </m:num>
                <m:den>
                  <m:r>
                    <w:rPr>
                      <w:rFonts w:ascii="Cambria Math" w:hAnsi="Cambria Math" w:cs="Arial"/>
                      <w:szCs w:val="18"/>
                      <w:lang w:val="en-US" w:eastAsia="ru-RU"/>
                    </w:rPr>
                    <m:t>3</m:t>
                  </m:r>
                </m:den>
              </m:f>
              <m:r>
                <w:rPr>
                  <w:rFonts w:ascii="Cambria Math" w:hAnsi="Cambria Math" w:cs="Arial"/>
                  <w:szCs w:val="18"/>
                  <w:lang w:val="en-US" w:eastAsia="ru-RU"/>
                </w:rPr>
                <m:t>*</m:t>
              </m:r>
              <m:f>
                <m:fPr>
                  <m:ctrlPr>
                    <w:rPr>
                      <w:rFonts w:ascii="Cambria Math" w:hAnsi="Cambria Math" w:cs="Arial"/>
                      <w:i/>
                      <w:szCs w:val="18"/>
                      <w:lang w:val="en-US" w:eastAsia="ru-RU"/>
                    </w:rPr>
                  </m:ctrlPr>
                </m:fPr>
                <m:num>
                  <m:sSub>
                    <m:sSubPr>
                      <m:ctrlPr>
                        <w:rPr>
                          <w:rFonts w:ascii="Cambria Math" w:hAnsi="Cambria Math" w:cs="Arial"/>
                          <w:i/>
                          <w:szCs w:val="18"/>
                          <w:lang w:val="en-US" w:eastAsia="ru-RU"/>
                        </w:rPr>
                      </m:ctrlPr>
                    </m:sSubPr>
                    <m:e>
                      <m:r>
                        <w:rPr>
                          <w:rFonts w:ascii="Cambria Math" w:hAnsi="Cambria Math" w:cs="Arial"/>
                          <w:szCs w:val="18"/>
                          <w:lang w:val="en-US" w:eastAsia="ru-RU"/>
                        </w:rPr>
                        <m:t>ρ</m:t>
                      </m:r>
                    </m:e>
                    <m:sub>
                      <m:r>
                        <w:rPr>
                          <w:rFonts w:ascii="Cambria Math" w:hAnsi="Cambria Math" w:cs="Arial"/>
                          <w:szCs w:val="18"/>
                          <w:lang w:val="en-US" w:eastAsia="ru-RU"/>
                        </w:rPr>
                        <m:t>p</m:t>
                      </m:r>
                    </m:sub>
                  </m:sSub>
                  <m:r>
                    <w:rPr>
                      <w:rFonts w:ascii="Cambria Math" w:hAnsi="Cambria Math" w:cs="Arial"/>
                      <w:szCs w:val="18"/>
                      <w:lang w:val="en-US" w:eastAsia="ru-RU"/>
                    </w:rPr>
                    <m:t>*</m:t>
                  </m:r>
                  <m:sSub>
                    <m:sSubPr>
                      <m:ctrlPr>
                        <w:rPr>
                          <w:rFonts w:ascii="Cambria Math" w:hAnsi="Cambria Math" w:cs="Arial"/>
                          <w:i/>
                          <w:szCs w:val="18"/>
                          <w:lang w:val="en-US" w:eastAsia="ru-RU"/>
                        </w:rPr>
                      </m:ctrlPr>
                    </m:sSubPr>
                    <m:e>
                      <m:r>
                        <w:rPr>
                          <w:rFonts w:ascii="Cambria Math" w:hAnsi="Cambria Math" w:cs="Arial"/>
                          <w:szCs w:val="18"/>
                          <w:lang w:val="en-US" w:eastAsia="ru-RU"/>
                        </w:rPr>
                        <m:t>d</m:t>
                      </m:r>
                    </m:e>
                    <m:sub>
                      <m:r>
                        <w:rPr>
                          <w:rFonts w:ascii="Cambria Math" w:hAnsi="Cambria Math" w:cs="Arial"/>
                          <w:szCs w:val="18"/>
                          <w:lang w:val="en-US" w:eastAsia="ru-RU"/>
                        </w:rPr>
                        <m:t>p</m:t>
                      </m:r>
                    </m:sub>
                  </m:sSub>
                  <m:r>
                    <w:rPr>
                      <w:rFonts w:ascii="Cambria Math" w:hAnsi="Cambria Math" w:cs="Arial"/>
                      <w:szCs w:val="18"/>
                      <w:lang w:val="en-US" w:eastAsia="ru-RU"/>
                    </w:rPr>
                    <m:t>*g</m:t>
                  </m:r>
                </m:num>
                <m:den>
                  <m:r>
                    <w:rPr>
                      <w:rFonts w:ascii="Cambria Math" w:hAnsi="Cambria Math" w:cs="Arial"/>
                      <w:szCs w:val="18"/>
                      <w:lang w:val="en-US" w:eastAsia="ru-RU"/>
                    </w:rPr>
                    <m:t>λ*</m:t>
                  </m:r>
                  <m:sSub>
                    <m:sSubPr>
                      <m:ctrlPr>
                        <w:rPr>
                          <w:rFonts w:ascii="Cambria Math" w:hAnsi="Cambria Math" w:cs="Arial"/>
                          <w:i/>
                          <w:szCs w:val="18"/>
                          <w:lang w:val="en-US" w:eastAsia="ru-RU"/>
                        </w:rPr>
                      </m:ctrlPr>
                    </m:sSubPr>
                    <m:e>
                      <m:r>
                        <w:rPr>
                          <w:rFonts w:ascii="Cambria Math" w:hAnsi="Cambria Math" w:cs="Arial"/>
                          <w:szCs w:val="18"/>
                          <w:lang w:val="en-US" w:eastAsia="ru-RU"/>
                        </w:rPr>
                        <m:t>ρ</m:t>
                      </m:r>
                    </m:e>
                    <m:sub>
                      <m:r>
                        <w:rPr>
                          <w:rFonts w:ascii="Cambria Math" w:hAnsi="Cambria Math" w:cs="Arial"/>
                          <w:szCs w:val="18"/>
                          <w:lang w:val="en-US" w:eastAsia="ru-RU"/>
                        </w:rPr>
                        <m:t>a</m:t>
                      </m:r>
                    </m:sub>
                  </m:sSub>
                </m:den>
              </m:f>
            </m:e>
          </m:rad>
        </m:oMath>
      </m:oMathPara>
    </w:p>
    <w:p w:rsidR="00354D36" w:rsidRPr="007C276B" w:rsidRDefault="00354D36" w:rsidP="00354D36">
      <w:pPr>
        <w:pStyle w:val="a5"/>
        <w:tabs>
          <w:tab w:val="clear" w:pos="7100"/>
        </w:tabs>
        <w:spacing w:before="100" w:beforeAutospacing="1" w:after="100" w:afterAutospacing="1" w:line="240" w:lineRule="auto"/>
        <w:ind w:left="0"/>
        <w:rPr>
          <w:rFonts w:cs="Arial"/>
          <w:szCs w:val="18"/>
          <w:lang w:val="en-US" w:eastAsia="ru-RU"/>
        </w:rPr>
      </w:pPr>
      <w:r w:rsidRPr="007C276B">
        <w:rPr>
          <w:rFonts w:cs="Arial"/>
          <w:szCs w:val="18"/>
          <w:lang w:val="en-US" w:eastAsia="ru-RU"/>
        </w:rPr>
        <w:t>Thus, using the equation, the equilibrium flow velocity can be determined at which particles of a given mass remain in a suspended state.</w:t>
      </w:r>
    </w:p>
    <w:p w:rsidR="00354D36" w:rsidRPr="007C276B" w:rsidRDefault="00354D36" w:rsidP="00354D36">
      <w:pPr>
        <w:pStyle w:val="a5"/>
        <w:tabs>
          <w:tab w:val="clear" w:pos="7100"/>
        </w:tabs>
        <w:spacing w:line="240" w:lineRule="auto"/>
        <w:ind w:left="0"/>
        <w:rPr>
          <w:rFonts w:cs="Arial"/>
          <w:szCs w:val="18"/>
          <w:lang w:val="en-US" w:eastAsia="ru-RU"/>
        </w:rPr>
      </w:pPr>
      <w:r w:rsidRPr="007C276B">
        <w:rPr>
          <w:rFonts w:cs="Arial"/>
          <w:szCs w:val="18"/>
          <w:lang w:val="en-US" w:eastAsia="ru-RU"/>
        </w:rPr>
        <w:t xml:space="preserve">For particles of identical size, entrainment from the apparatus depends on </w:t>
      </w:r>
      <w:r w:rsidR="007964E0">
        <w:rPr>
          <w:rFonts w:cs="Arial"/>
          <w:szCs w:val="18"/>
          <w:lang w:val="en-US" w:eastAsia="ru-RU"/>
        </w:rPr>
        <w:t>the particle bulk density. If</w:t>
      </w:r>
    </w:p>
    <w:p w:rsidR="00780467" w:rsidRPr="007C276B" w:rsidRDefault="00354D36" w:rsidP="00354D36">
      <w:pPr>
        <w:rPr>
          <w:lang w:val="en-US" w:eastAsia="ru-RU"/>
        </w:rPr>
      </w:pPr>
      <m:oMathPara>
        <m:oMath>
          <m:r>
            <w:rPr>
              <w:rFonts w:ascii="Cambria Math" w:hAnsi="Cambria Math"/>
              <w:szCs w:val="18"/>
            </w:rPr>
            <m:t>w&gt;</m:t>
          </m:r>
          <m:rad>
            <m:radPr>
              <m:degHide m:val="1"/>
              <m:ctrlPr>
                <w:rPr>
                  <w:rFonts w:ascii="Cambria Math" w:hAnsi="Cambria Math"/>
                  <w:i/>
                  <w:szCs w:val="18"/>
                </w:rPr>
              </m:ctrlPr>
            </m:radPr>
            <m:deg/>
            <m:e>
              <m:f>
                <m:fPr>
                  <m:ctrlPr>
                    <w:rPr>
                      <w:rFonts w:ascii="Cambria Math" w:hAnsi="Cambria Math"/>
                      <w:i/>
                      <w:szCs w:val="18"/>
                    </w:rPr>
                  </m:ctrlPr>
                </m:fPr>
                <m:num>
                  <m:r>
                    <w:rPr>
                      <w:rFonts w:ascii="Cambria Math" w:hAnsi="Cambria Math"/>
                      <w:szCs w:val="18"/>
                    </w:rPr>
                    <m:t>4</m:t>
                  </m:r>
                </m:num>
                <m:den>
                  <m:r>
                    <w:rPr>
                      <w:rFonts w:ascii="Cambria Math" w:hAnsi="Cambria Math"/>
                      <w:szCs w:val="18"/>
                    </w:rPr>
                    <m:t>3</m:t>
                  </m:r>
                </m:den>
              </m:f>
              <m:r>
                <w:rPr>
                  <w:rFonts w:ascii="Cambria Math" w:hAnsi="Cambria Math"/>
                  <w:szCs w:val="18"/>
                </w:rPr>
                <m:t>*</m:t>
              </m:r>
              <m:f>
                <m:fPr>
                  <m:ctrlPr>
                    <w:rPr>
                      <w:rFonts w:ascii="Cambria Math" w:hAnsi="Cambria Math"/>
                      <w:i/>
                      <w:szCs w:val="18"/>
                    </w:rPr>
                  </m:ctrlPr>
                </m:fPr>
                <m:num>
                  <m:sSub>
                    <m:sSubPr>
                      <m:ctrlPr>
                        <w:rPr>
                          <w:rFonts w:ascii="Cambria Math" w:hAnsi="Cambria Math"/>
                          <w:i/>
                          <w:szCs w:val="18"/>
                        </w:rPr>
                      </m:ctrlPr>
                    </m:sSubPr>
                    <m:e>
                      <m:r>
                        <w:rPr>
                          <w:rFonts w:ascii="Cambria Math" w:hAnsi="Cambria Math"/>
                          <w:szCs w:val="18"/>
                        </w:rPr>
                        <m:t>ρ</m:t>
                      </m:r>
                    </m:e>
                    <m:sub>
                      <m:r>
                        <w:rPr>
                          <w:rFonts w:ascii="Cambria Math" w:hAnsi="Cambria Math"/>
                          <w:szCs w:val="18"/>
                        </w:rPr>
                        <m:t>p</m:t>
                      </m:r>
                    </m:sub>
                  </m:sSub>
                  <m:r>
                    <w:rPr>
                      <w:rFonts w:ascii="Cambria Math" w:hAnsi="Cambria Math"/>
                      <w:szCs w:val="18"/>
                    </w:rPr>
                    <m:t>*</m:t>
                  </m:r>
                  <m:sSub>
                    <m:sSubPr>
                      <m:ctrlPr>
                        <w:rPr>
                          <w:rFonts w:ascii="Cambria Math" w:hAnsi="Cambria Math"/>
                          <w:i/>
                          <w:szCs w:val="18"/>
                        </w:rPr>
                      </m:ctrlPr>
                    </m:sSubPr>
                    <m:e>
                      <m:r>
                        <w:rPr>
                          <w:rFonts w:ascii="Cambria Math" w:hAnsi="Cambria Math"/>
                          <w:szCs w:val="18"/>
                          <w:lang w:val="en-US"/>
                        </w:rPr>
                        <m:t>d</m:t>
                      </m:r>
                    </m:e>
                    <m:sub>
                      <m:r>
                        <w:rPr>
                          <w:rFonts w:ascii="Cambria Math" w:hAnsi="Cambria Math"/>
                          <w:szCs w:val="18"/>
                        </w:rPr>
                        <m:t>p</m:t>
                      </m:r>
                    </m:sub>
                  </m:sSub>
                  <m:r>
                    <w:rPr>
                      <w:rFonts w:ascii="Cambria Math" w:hAnsi="Cambria Math"/>
                      <w:szCs w:val="18"/>
                    </w:rPr>
                    <m:t>*</m:t>
                  </m:r>
                  <m:r>
                    <m:rPr>
                      <m:sty m:val="p"/>
                    </m:rPr>
                    <w:rPr>
                      <w:rFonts w:ascii="Cambria Math" w:hAnsi="Cambria Math"/>
                      <w:szCs w:val="18"/>
                      <w:lang w:val="en-US"/>
                    </w:rPr>
                    <m:t>g</m:t>
                  </m:r>
                </m:num>
                <m:den>
                  <m:r>
                    <w:rPr>
                      <w:rFonts w:ascii="Cambria Math" w:hAnsi="Cambria Math"/>
                      <w:szCs w:val="18"/>
                    </w:rPr>
                    <m:t>λ*</m:t>
                  </m:r>
                  <m:sSub>
                    <m:sSubPr>
                      <m:ctrlPr>
                        <w:rPr>
                          <w:rFonts w:ascii="Cambria Math" w:hAnsi="Cambria Math"/>
                          <w:i/>
                          <w:szCs w:val="18"/>
                        </w:rPr>
                      </m:ctrlPr>
                    </m:sSubPr>
                    <m:e>
                      <m:r>
                        <w:rPr>
                          <w:rFonts w:ascii="Cambria Math" w:hAnsi="Cambria Math"/>
                          <w:szCs w:val="18"/>
                        </w:rPr>
                        <m:t>ρ</m:t>
                      </m:r>
                    </m:e>
                    <m:sub>
                      <m:r>
                        <w:rPr>
                          <w:rFonts w:ascii="Cambria Math" w:hAnsi="Cambria Math"/>
                          <w:szCs w:val="18"/>
                        </w:rPr>
                        <m:t>a</m:t>
                      </m:r>
                    </m:sub>
                  </m:sSub>
                </m:den>
              </m:f>
            </m:e>
          </m:rad>
        </m:oMath>
      </m:oMathPara>
    </w:p>
    <w:p w:rsidR="00780467" w:rsidRPr="007C276B" w:rsidRDefault="00780467" w:rsidP="00780467">
      <w:pPr>
        <w:pStyle w:val="a5"/>
        <w:tabs>
          <w:tab w:val="clear" w:pos="7100"/>
        </w:tabs>
        <w:spacing w:line="240" w:lineRule="auto"/>
        <w:ind w:left="0"/>
        <w:rPr>
          <w:rFonts w:cs="Arial"/>
          <w:szCs w:val="18"/>
          <w:lang w:val="en-US" w:eastAsia="ru-RU"/>
        </w:rPr>
      </w:pPr>
      <w:r w:rsidRPr="007C276B">
        <w:rPr>
          <w:rFonts w:cs="Arial"/>
          <w:szCs w:val="18"/>
          <w:lang w:val="en-US" w:eastAsia="ru-RU"/>
        </w:rPr>
        <w:t>then the particles are carried out of the apparatus.</w:t>
      </w:r>
    </w:p>
    <w:p w:rsidR="00780467" w:rsidRPr="007C276B" w:rsidRDefault="00780467" w:rsidP="00780467">
      <w:pPr>
        <w:pStyle w:val="a5"/>
        <w:tabs>
          <w:tab w:val="clear" w:pos="7100"/>
        </w:tabs>
        <w:spacing w:line="240" w:lineRule="auto"/>
        <w:ind w:left="0"/>
        <w:rPr>
          <w:rFonts w:cs="Arial"/>
          <w:szCs w:val="18"/>
          <w:lang w:val="en-US" w:eastAsia="ru-RU"/>
        </w:rPr>
      </w:pPr>
      <w:r w:rsidRPr="007C276B">
        <w:rPr>
          <w:rFonts w:cs="Arial"/>
          <w:szCs w:val="18"/>
          <w:lang w:val="en-US" w:eastAsia="ru-RU"/>
        </w:rPr>
        <w:t>The upper limit of this velocity must not exceed the velocity at which heavy particles would also be entrained and removed from the system.</w:t>
      </w:r>
    </w:p>
    <w:p w:rsidR="00780467" w:rsidRPr="007C276B" w:rsidRDefault="00254139" w:rsidP="00780467">
      <w:pPr>
        <w:jc w:val="center"/>
        <w:rPr>
          <w:lang w:val="en-US" w:eastAsia="ru-RU"/>
        </w:rPr>
      </w:pPr>
      <m:oMathPara>
        <m:oMath>
          <m:sSub>
            <m:sSubPr>
              <m:ctrlPr>
                <w:rPr>
                  <w:rFonts w:ascii="Cambria Math" w:hAnsi="Cambria Math"/>
                  <w:i/>
                  <w:szCs w:val="18"/>
                </w:rPr>
              </m:ctrlPr>
            </m:sSubPr>
            <m:e>
              <m:r>
                <w:rPr>
                  <w:rFonts w:ascii="Cambria Math" w:hAnsi="Cambria Math"/>
                  <w:szCs w:val="18"/>
                  <w:lang w:val="en-US"/>
                </w:rPr>
                <m:t>w</m:t>
              </m:r>
            </m:e>
            <m:sub>
              <m:r>
                <w:rPr>
                  <w:rFonts w:ascii="Cambria Math" w:hAnsi="Cambria Math"/>
                  <w:szCs w:val="18"/>
                </w:rPr>
                <m:t>l</m:t>
              </m:r>
            </m:sub>
          </m:sSub>
          <m:r>
            <w:rPr>
              <w:rFonts w:ascii="Cambria Math" w:hAnsi="Cambria Math"/>
              <w:szCs w:val="18"/>
            </w:rPr>
            <m:t>&lt;w&lt;</m:t>
          </m:r>
          <m:sSub>
            <m:sSubPr>
              <m:ctrlPr>
                <w:rPr>
                  <w:rFonts w:ascii="Cambria Math" w:hAnsi="Cambria Math"/>
                  <w:i/>
                  <w:szCs w:val="18"/>
                </w:rPr>
              </m:ctrlPr>
            </m:sSubPr>
            <m:e>
              <m:r>
                <w:rPr>
                  <w:rFonts w:ascii="Cambria Math" w:hAnsi="Cambria Math"/>
                  <w:szCs w:val="18"/>
                  <w:lang w:val="en-US"/>
                </w:rPr>
                <m:t>w</m:t>
              </m:r>
            </m:e>
            <m:sub>
              <m:r>
                <w:rPr>
                  <w:rFonts w:ascii="Cambria Math" w:hAnsi="Cambria Math"/>
                  <w:szCs w:val="18"/>
                </w:rPr>
                <m:t>h</m:t>
              </m:r>
            </m:sub>
          </m:sSub>
        </m:oMath>
      </m:oMathPara>
    </w:p>
    <w:p w:rsidR="00780467" w:rsidRPr="007C276B" w:rsidRDefault="00780467" w:rsidP="00780467">
      <w:pPr>
        <w:pStyle w:val="a5"/>
        <w:tabs>
          <w:tab w:val="clear" w:pos="7100"/>
        </w:tabs>
        <w:spacing w:line="240" w:lineRule="auto"/>
        <w:ind w:left="0"/>
        <w:rPr>
          <w:rFonts w:cs="Arial"/>
          <w:szCs w:val="18"/>
          <w:lang w:val="en-US" w:eastAsia="ru-RU"/>
        </w:rPr>
      </w:pPr>
      <w:r w:rsidRPr="007C276B">
        <w:rPr>
          <w:rFonts w:cs="Arial"/>
          <w:szCs w:val="18"/>
          <w:lang w:val="en-US" w:eastAsia="ru-RU"/>
        </w:rPr>
        <w:t>Thus, by calculating the velocity for the defined boundary, the pneumatic separation process can be implemented.</w:t>
      </w:r>
    </w:p>
    <w:p w:rsidR="00780467" w:rsidRPr="007C276B" w:rsidRDefault="00780467" w:rsidP="00780467">
      <w:pPr>
        <w:pStyle w:val="a5"/>
        <w:tabs>
          <w:tab w:val="clear" w:pos="7100"/>
        </w:tabs>
        <w:spacing w:line="240" w:lineRule="auto"/>
        <w:ind w:left="0"/>
        <w:rPr>
          <w:rFonts w:cs="Arial"/>
          <w:szCs w:val="18"/>
          <w:lang w:val="en-US" w:eastAsia="ru-RU"/>
        </w:rPr>
      </w:pPr>
      <w:r w:rsidRPr="007C276B">
        <w:rPr>
          <w:rFonts w:cs="Arial"/>
          <w:szCs w:val="18"/>
          <w:lang w:val="en-US" w:eastAsia="ru-RU"/>
        </w:rPr>
        <w:t>A key indicator of the pneumatic separation process of non-ferrous metal ores during beneficiation is the removal of heavy particles from the flow, which is achieved by adjusting the flow velocity.</w:t>
      </w:r>
    </w:p>
    <w:p w:rsidR="00780467" w:rsidRPr="007C276B" w:rsidRDefault="00780467" w:rsidP="00780467">
      <w:pPr>
        <w:pStyle w:val="a5"/>
        <w:tabs>
          <w:tab w:val="clear" w:pos="7100"/>
        </w:tabs>
        <w:spacing w:line="240" w:lineRule="auto"/>
        <w:ind w:left="0"/>
        <w:rPr>
          <w:rFonts w:cs="Arial"/>
          <w:szCs w:val="18"/>
          <w:lang w:val="en-US" w:eastAsia="ru-RU"/>
        </w:rPr>
      </w:pPr>
      <w:r w:rsidRPr="007C276B">
        <w:rPr>
          <w:rFonts w:cs="Arial"/>
          <w:szCs w:val="18"/>
          <w:lang w:val="en-US" w:eastAsia="ru-RU"/>
        </w:rPr>
        <w:t>To determine the velocity of the onset of fluidization, it is necessary to evaluate the Archimedes number:</w:t>
      </w:r>
    </w:p>
    <w:p w:rsidR="002C7C62" w:rsidRPr="007C276B" w:rsidRDefault="00780467" w:rsidP="00780467">
      <w:pPr>
        <w:jc w:val="center"/>
        <w:rPr>
          <w:rFonts w:cs="Arial"/>
          <w:lang w:val="en-US" w:eastAsia="ru-RU"/>
        </w:rPr>
      </w:pPr>
      <m:oMathPara>
        <m:oMath>
          <m:r>
            <w:rPr>
              <w:rFonts w:ascii="Cambria Math" w:hAnsi="Cambria Math" w:cs="Arial"/>
              <w:szCs w:val="18"/>
              <w:lang w:val="uz-Cyrl-UZ"/>
            </w:rPr>
            <m:t>Ar=</m:t>
          </m:r>
          <m:f>
            <m:fPr>
              <m:ctrlPr>
                <w:rPr>
                  <w:rFonts w:ascii="Cambria Math" w:hAnsi="Cambria Math" w:cs="Arial"/>
                  <w:i/>
                  <w:szCs w:val="18"/>
                  <w:lang w:val="uz-Cyrl-UZ"/>
                </w:rPr>
              </m:ctrlPr>
            </m:fPr>
            <m:num>
              <m:sSubSup>
                <m:sSubSupPr>
                  <m:ctrlPr>
                    <w:rPr>
                      <w:rFonts w:ascii="Cambria Math" w:hAnsi="Cambria Math" w:cs="Arial"/>
                      <w:i/>
                      <w:szCs w:val="18"/>
                      <w:lang w:val="uz-Cyrl-UZ"/>
                    </w:rPr>
                  </m:ctrlPr>
                </m:sSubSupPr>
                <m:e>
                  <m:r>
                    <w:rPr>
                      <w:rFonts w:ascii="Cambria Math" w:hAnsi="Cambria Math" w:cs="Arial"/>
                      <w:szCs w:val="18"/>
                      <w:lang w:val="uz-Cyrl-UZ"/>
                    </w:rPr>
                    <m:t>d</m:t>
                  </m:r>
                </m:e>
                <m:sub>
                  <m:r>
                    <w:rPr>
                      <w:rFonts w:ascii="Cambria Math" w:hAnsi="Cambria Math" w:cs="Arial"/>
                      <w:szCs w:val="18"/>
                      <w:lang w:val="uz-Cyrl-UZ"/>
                    </w:rPr>
                    <m:t>e</m:t>
                  </m:r>
                </m:sub>
                <m:sup>
                  <m:r>
                    <w:rPr>
                      <w:rFonts w:ascii="Cambria Math" w:hAnsi="Cambria Math" w:cs="Arial"/>
                      <w:szCs w:val="18"/>
                      <w:lang w:val="uz-Cyrl-UZ"/>
                    </w:rPr>
                    <m:t>3</m:t>
                  </m:r>
                </m:sup>
              </m:sSubSup>
              <m:r>
                <w:rPr>
                  <w:rFonts w:ascii="Cambria Math" w:hAnsi="Cambria Math" w:cs="Arial"/>
                  <w:szCs w:val="18"/>
                  <w:lang w:val="uz-Cyrl-UZ"/>
                </w:rPr>
                <m:t>*</m:t>
              </m:r>
              <m:sSup>
                <m:sSupPr>
                  <m:ctrlPr>
                    <w:rPr>
                      <w:rFonts w:ascii="Cambria Math" w:hAnsi="Cambria Math" w:cs="Arial"/>
                      <w:i/>
                      <w:szCs w:val="18"/>
                      <w:lang w:val="uz-Cyrl-UZ"/>
                    </w:rPr>
                  </m:ctrlPr>
                </m:sSupPr>
                <m:e>
                  <m:r>
                    <w:rPr>
                      <w:rFonts w:ascii="Cambria Math" w:hAnsi="Cambria Math" w:cs="Arial"/>
                      <w:szCs w:val="18"/>
                      <w:lang w:val="uz-Cyrl-UZ"/>
                    </w:rPr>
                    <m:t>p</m:t>
                  </m:r>
                </m:e>
                <m:sup>
                  <m:r>
                    <w:rPr>
                      <w:rFonts w:ascii="Cambria Math" w:hAnsi="Cambria Math" w:cs="Arial"/>
                      <w:szCs w:val="18"/>
                      <w:lang w:val="uz-Cyrl-UZ"/>
                    </w:rPr>
                    <m:t>2</m:t>
                  </m:r>
                </m:sup>
              </m:sSup>
              <m:r>
                <w:rPr>
                  <w:rFonts w:ascii="Cambria Math" w:hAnsi="Cambria Math" w:cs="Arial"/>
                  <w:szCs w:val="18"/>
                  <w:lang w:val="uz-Cyrl-UZ"/>
                </w:rPr>
                <m:t>*</m:t>
              </m:r>
              <m:r>
                <w:rPr>
                  <w:rFonts w:ascii="Cambria Math" w:hAnsi="Cambria Math" w:cs="Arial"/>
                  <w:szCs w:val="18"/>
                  <w:lang w:val="en-US" w:eastAsia="ru-RU"/>
                </w:rPr>
                <m:t>g</m:t>
              </m:r>
            </m:num>
            <m:den>
              <m:sSup>
                <m:sSupPr>
                  <m:ctrlPr>
                    <w:rPr>
                      <w:rFonts w:ascii="Cambria Math" w:hAnsi="Cambria Math" w:cs="Arial"/>
                      <w:i/>
                      <w:szCs w:val="18"/>
                      <w:lang w:val="uz-Cyrl-UZ"/>
                    </w:rPr>
                  </m:ctrlPr>
                </m:sSupPr>
                <m:e>
                  <m:r>
                    <w:rPr>
                      <w:rFonts w:ascii="Cambria Math" w:hAnsi="Cambria Math" w:cs="Arial"/>
                      <w:szCs w:val="18"/>
                      <w:lang w:val="uz-Cyrl-UZ"/>
                    </w:rPr>
                    <m:t>μ</m:t>
                  </m:r>
                </m:e>
                <m:sup>
                  <m:r>
                    <w:rPr>
                      <w:rFonts w:ascii="Cambria Math" w:hAnsi="Cambria Math" w:cs="Arial"/>
                      <w:szCs w:val="18"/>
                      <w:lang w:val="uz-Cyrl-UZ"/>
                    </w:rPr>
                    <m:t>2</m:t>
                  </m:r>
                </m:sup>
              </m:sSup>
            </m:den>
          </m:f>
          <m:r>
            <w:rPr>
              <w:rFonts w:ascii="Cambria Math" w:hAnsi="Cambria Math" w:cs="Arial"/>
              <w:szCs w:val="18"/>
              <w:lang w:val="uz-Cyrl-UZ"/>
            </w:rPr>
            <m:t>*</m:t>
          </m:r>
          <m:f>
            <m:fPr>
              <m:ctrlPr>
                <w:rPr>
                  <w:rFonts w:ascii="Cambria Math" w:hAnsi="Cambria Math" w:cs="Arial"/>
                  <w:i/>
                  <w:szCs w:val="18"/>
                </w:rPr>
              </m:ctrlPr>
            </m:fPr>
            <m:num>
              <m:sSub>
                <m:sSubPr>
                  <m:ctrlPr>
                    <w:rPr>
                      <w:rFonts w:ascii="Cambria Math" w:hAnsi="Cambria Math" w:cs="Arial"/>
                      <w:i/>
                      <w:szCs w:val="18"/>
                    </w:rPr>
                  </m:ctrlPr>
                </m:sSubPr>
                <m:e>
                  <m:r>
                    <w:rPr>
                      <w:rFonts w:ascii="Cambria Math" w:hAnsi="Cambria Math" w:cs="Arial"/>
                      <w:szCs w:val="18"/>
                      <w:lang w:val="uz-Cyrl-UZ"/>
                    </w:rPr>
                    <m:t>ρ</m:t>
                  </m:r>
                </m:e>
                <m:sub>
                  <m:r>
                    <w:rPr>
                      <w:rFonts w:ascii="Cambria Math" w:hAnsi="Cambria Math" w:cs="Arial"/>
                      <w:szCs w:val="18"/>
                      <w:lang w:val="uz-Cyrl-UZ"/>
                    </w:rPr>
                    <m:t>h-ρ</m:t>
                  </m:r>
                </m:sub>
              </m:sSub>
            </m:num>
            <m:den>
              <m:r>
                <w:rPr>
                  <w:rFonts w:ascii="Cambria Math" w:hAnsi="Cambria Math" w:cs="Arial"/>
                  <w:szCs w:val="18"/>
                  <w:lang w:val="uz-Cyrl-UZ"/>
                </w:rPr>
                <m:t>ρ</m:t>
              </m:r>
            </m:den>
          </m:f>
        </m:oMath>
      </m:oMathPara>
    </w:p>
    <w:p w:rsidR="002C7C62" w:rsidRPr="007C276B" w:rsidRDefault="002C7C62" w:rsidP="002C7C62">
      <w:pPr>
        <w:tabs>
          <w:tab w:val="clear" w:pos="7100"/>
        </w:tabs>
        <w:rPr>
          <w:rFonts w:cs="Arial"/>
          <w:lang w:val="en-US" w:eastAsia="ru-RU"/>
        </w:rPr>
      </w:pPr>
      <w:r w:rsidRPr="007C276B">
        <w:t>Knowing this value, the Reynolds number for the fluidized bed can be determined.</w:t>
      </w:r>
    </w:p>
    <w:p w:rsidR="002C7C62" w:rsidRPr="007C276B" w:rsidRDefault="00254139" w:rsidP="002C7C62">
      <w:pPr>
        <w:tabs>
          <w:tab w:val="clear" w:pos="7100"/>
          <w:tab w:val="left" w:pos="1458"/>
        </w:tabs>
        <w:rPr>
          <w:rFonts w:cs="Arial"/>
          <w:szCs w:val="18"/>
          <w:lang w:val="en-US" w:eastAsia="ru-RU"/>
        </w:rPr>
      </w:pPr>
      <m:oMathPara>
        <m:oMath>
          <m:sSub>
            <m:sSubPr>
              <m:ctrlPr>
                <w:rPr>
                  <w:rFonts w:ascii="Cambria Math" w:hAnsi="Cambria Math" w:cs="Arial"/>
                  <w:i/>
                  <w:szCs w:val="18"/>
                  <w:lang w:val="en-US"/>
                </w:rPr>
              </m:ctrlPr>
            </m:sSubPr>
            <m:e>
              <m:r>
                <w:rPr>
                  <w:rFonts w:ascii="Cambria Math" w:hAnsi="Cambria Math" w:cs="Arial"/>
                  <w:szCs w:val="18"/>
                  <w:lang w:val="en-US"/>
                </w:rPr>
                <m:t>Re</m:t>
              </m:r>
            </m:e>
            <m:sub>
              <m:r>
                <w:rPr>
                  <w:rFonts w:ascii="Cambria Math" w:hAnsi="Cambria Math" w:cs="Arial"/>
                  <w:szCs w:val="18"/>
                </w:rPr>
                <m:t>f</m:t>
              </m:r>
            </m:sub>
          </m:sSub>
          <m:r>
            <w:rPr>
              <w:rFonts w:ascii="Cambria Math" w:hAnsi="Cambria Math" w:cs="Arial"/>
              <w:szCs w:val="18"/>
            </w:rPr>
            <m:t>=</m:t>
          </m:r>
          <m:f>
            <m:fPr>
              <m:ctrlPr>
                <w:rPr>
                  <w:rFonts w:ascii="Cambria Math" w:hAnsi="Cambria Math" w:cs="Arial"/>
                  <w:i/>
                  <w:szCs w:val="18"/>
                  <w:lang w:val="en-US"/>
                </w:rPr>
              </m:ctrlPr>
            </m:fPr>
            <m:num>
              <m:r>
                <w:rPr>
                  <w:rFonts w:ascii="Cambria Math" w:hAnsi="Cambria Math" w:cs="Arial"/>
                  <w:szCs w:val="18"/>
                  <w:lang w:val="en-US"/>
                </w:rPr>
                <m:t>Ar</m:t>
              </m:r>
            </m:num>
            <m:den>
              <m:r>
                <w:rPr>
                  <w:rFonts w:ascii="Cambria Math" w:hAnsi="Cambria Math" w:cs="Arial"/>
                  <w:szCs w:val="18"/>
                </w:rPr>
                <m:t>1400+5.22</m:t>
              </m:r>
              <m:rad>
                <m:radPr>
                  <m:degHide m:val="1"/>
                  <m:ctrlPr>
                    <w:rPr>
                      <w:rFonts w:ascii="Cambria Math" w:hAnsi="Cambria Math" w:cs="Arial"/>
                      <w:i/>
                      <w:szCs w:val="18"/>
                      <w:lang w:val="en-US"/>
                    </w:rPr>
                  </m:ctrlPr>
                </m:radPr>
                <m:deg/>
                <m:e>
                  <m:r>
                    <w:rPr>
                      <w:rFonts w:ascii="Cambria Math" w:hAnsi="Cambria Math" w:cs="Arial"/>
                      <w:szCs w:val="18"/>
                      <w:lang w:val="en-US"/>
                    </w:rPr>
                    <m:t>Ar</m:t>
                  </m:r>
                </m:e>
              </m:rad>
            </m:den>
          </m:f>
        </m:oMath>
      </m:oMathPara>
    </w:p>
    <w:p w:rsidR="006F0065" w:rsidRPr="007C276B" w:rsidRDefault="002C7C62" w:rsidP="002C7C62">
      <w:pPr>
        <w:tabs>
          <w:tab w:val="clear" w:pos="7100"/>
        </w:tabs>
        <w:rPr>
          <w:rFonts w:cs="Arial"/>
          <w:szCs w:val="18"/>
          <w:lang w:val="en-US" w:eastAsia="ru-RU"/>
        </w:rPr>
      </w:pPr>
      <w:r w:rsidRPr="007C276B">
        <w:t>The following equation for the Reynolds number is also known for the case of particle suspension.</w:t>
      </w:r>
    </w:p>
    <w:p w:rsidR="003F48EA" w:rsidRPr="007C276B" w:rsidRDefault="00254139" w:rsidP="006F0065">
      <w:pPr>
        <w:tabs>
          <w:tab w:val="clear" w:pos="7100"/>
          <w:tab w:val="left" w:pos="0"/>
        </w:tabs>
        <w:jc w:val="center"/>
        <w:rPr>
          <w:rFonts w:cs="Arial"/>
          <w:szCs w:val="18"/>
          <w:lang w:val="en-US" w:eastAsia="ru-RU"/>
        </w:rPr>
      </w:pPr>
      <m:oMathPara>
        <m:oMath>
          <m:sSub>
            <m:sSubPr>
              <m:ctrlPr>
                <w:rPr>
                  <w:rFonts w:ascii="Cambria Math" w:hAnsi="Cambria Math" w:cs="Arial"/>
                  <w:i/>
                  <w:szCs w:val="18"/>
                </w:rPr>
              </m:ctrlPr>
            </m:sSubPr>
            <m:e>
              <m:r>
                <w:rPr>
                  <w:rFonts w:ascii="Cambria Math" w:hAnsi="Cambria Math" w:cs="Arial"/>
                  <w:szCs w:val="18"/>
                </w:rPr>
                <m:t>Re</m:t>
              </m:r>
            </m:e>
            <m:sub>
              <m:r>
                <w:rPr>
                  <w:rFonts w:ascii="Cambria Math" w:hAnsi="Cambria Math" w:cs="Arial"/>
                  <w:szCs w:val="18"/>
                </w:rPr>
                <m:t>pe</m:t>
              </m:r>
            </m:sub>
          </m:sSub>
          <m:r>
            <w:rPr>
              <w:rFonts w:ascii="Cambria Math" w:hAnsi="Cambria Math" w:cs="Arial"/>
              <w:szCs w:val="18"/>
            </w:rPr>
            <m:t>=</m:t>
          </m:r>
          <m:f>
            <m:fPr>
              <m:ctrlPr>
                <w:rPr>
                  <w:rFonts w:ascii="Cambria Math" w:hAnsi="Cambria Math" w:cs="Arial"/>
                  <w:i/>
                  <w:szCs w:val="18"/>
                </w:rPr>
              </m:ctrlPr>
            </m:fPr>
            <m:num>
              <m:r>
                <w:rPr>
                  <w:rFonts w:ascii="Cambria Math" w:hAnsi="Cambria Math" w:cs="Arial"/>
                  <w:szCs w:val="18"/>
                  <w:lang w:val="en-US"/>
                </w:rPr>
                <m:t>Ar</m:t>
              </m:r>
            </m:num>
            <m:den>
              <m:r>
                <w:rPr>
                  <w:rFonts w:ascii="Cambria Math" w:hAnsi="Cambria Math" w:cs="Arial"/>
                  <w:szCs w:val="18"/>
                </w:rPr>
                <m:t>18+0.575</m:t>
              </m:r>
              <m:rad>
                <m:radPr>
                  <m:degHide m:val="1"/>
                  <m:ctrlPr>
                    <w:rPr>
                      <w:rFonts w:ascii="Cambria Math" w:hAnsi="Cambria Math" w:cs="Arial"/>
                      <w:i/>
                      <w:szCs w:val="18"/>
                    </w:rPr>
                  </m:ctrlPr>
                </m:radPr>
                <m:deg/>
                <m:e>
                  <m:r>
                    <w:rPr>
                      <w:rFonts w:ascii="Cambria Math" w:hAnsi="Cambria Math" w:cs="Arial"/>
                      <w:szCs w:val="18"/>
                    </w:rPr>
                    <m:t>Ar</m:t>
                  </m:r>
                </m:e>
              </m:rad>
            </m:den>
          </m:f>
        </m:oMath>
      </m:oMathPara>
    </w:p>
    <w:p w:rsidR="003F48EA" w:rsidRPr="007C276B" w:rsidRDefault="003F48EA" w:rsidP="003F48EA">
      <w:pPr>
        <w:tabs>
          <w:tab w:val="clear" w:pos="7100"/>
          <w:tab w:val="left" w:pos="0"/>
        </w:tabs>
        <w:rPr>
          <w:rFonts w:cs="Arial"/>
          <w:szCs w:val="18"/>
          <w:lang w:val="en-US" w:eastAsia="ru-RU"/>
        </w:rPr>
      </w:pPr>
      <w:r w:rsidRPr="007C276B">
        <w:t>Taking this equation into account, and using the classical expression for the Reynolds number, it is possible to determine the particle entrainment velocity, i.e., the velocity at which particles are carried out of the system.</w:t>
      </w:r>
    </w:p>
    <w:p w:rsidR="003F48EA" w:rsidRPr="007C276B" w:rsidRDefault="003F48EA" w:rsidP="003F48EA">
      <w:pPr>
        <w:tabs>
          <w:tab w:val="clear" w:pos="7100"/>
          <w:tab w:val="left" w:pos="3894"/>
        </w:tabs>
        <w:rPr>
          <w:rFonts w:cs="Arial"/>
          <w:szCs w:val="18"/>
          <w:lang w:val="en-US" w:eastAsia="ru-RU"/>
        </w:rPr>
      </w:pPr>
      <w:r w:rsidRPr="007C276B">
        <w:rPr>
          <w:rFonts w:cs="Arial"/>
          <w:szCs w:val="18"/>
          <w:lang w:val="en-US" w:eastAsia="ru-RU"/>
        </w:rPr>
        <w:tab/>
      </w:r>
      <m:oMath>
        <m:sSub>
          <m:sSubPr>
            <m:ctrlPr>
              <w:rPr>
                <w:rFonts w:ascii="Cambria Math" w:hAnsi="Cambria Math"/>
                <w:i/>
                <w:szCs w:val="18"/>
                <w:lang w:val="en-US"/>
              </w:rPr>
            </m:ctrlPr>
          </m:sSubPr>
          <m:e>
            <m:r>
              <w:rPr>
                <w:rFonts w:ascii="Cambria Math" w:hAnsi="Cambria Math"/>
                <w:szCs w:val="18"/>
                <w:lang w:val="en-US"/>
              </w:rPr>
              <m:t>ω</m:t>
            </m:r>
          </m:e>
          <m:sub>
            <m:r>
              <w:rPr>
                <w:rFonts w:ascii="Cambria Math" w:hAnsi="Cambria Math"/>
                <w:szCs w:val="18"/>
              </w:rPr>
              <m:t>pe</m:t>
            </m:r>
          </m:sub>
        </m:sSub>
        <m:r>
          <w:rPr>
            <w:rFonts w:ascii="Cambria Math" w:hAnsi="Cambria Math"/>
            <w:szCs w:val="18"/>
          </w:rPr>
          <m:t>=</m:t>
        </m:r>
        <m:f>
          <m:fPr>
            <m:ctrlPr>
              <w:rPr>
                <w:rFonts w:ascii="Cambria Math" w:hAnsi="Cambria Math"/>
                <w:i/>
                <w:szCs w:val="18"/>
                <w:lang w:val="en-US"/>
              </w:rPr>
            </m:ctrlPr>
          </m:fPr>
          <m:num>
            <m:sSub>
              <m:sSubPr>
                <m:ctrlPr>
                  <w:rPr>
                    <w:rFonts w:ascii="Cambria Math" w:hAnsi="Cambria Math"/>
                    <w:i/>
                    <w:szCs w:val="18"/>
                    <w:lang w:val="en-US"/>
                  </w:rPr>
                </m:ctrlPr>
              </m:sSubPr>
              <m:e>
                <m:r>
                  <w:rPr>
                    <w:rFonts w:ascii="Cambria Math" w:hAnsi="Cambria Math"/>
                    <w:szCs w:val="18"/>
                    <w:lang w:val="en-US"/>
                  </w:rPr>
                  <m:t>Re</m:t>
                </m:r>
              </m:e>
              <m:sub>
                <m:r>
                  <w:rPr>
                    <w:rFonts w:ascii="Cambria Math" w:hAnsi="Cambria Math"/>
                    <w:szCs w:val="18"/>
                  </w:rPr>
                  <m:t>pe</m:t>
                </m:r>
              </m:sub>
            </m:sSub>
            <m:r>
              <w:rPr>
                <w:rFonts w:ascii="Cambria Math" w:hAnsi="Cambria Math"/>
                <w:szCs w:val="18"/>
              </w:rPr>
              <m:t>*</m:t>
            </m:r>
            <m:r>
              <w:rPr>
                <w:rFonts w:ascii="Cambria Math" w:hAnsi="Cambria Math"/>
                <w:szCs w:val="18"/>
                <w:lang w:val="en-US"/>
              </w:rPr>
              <m:t>μ</m:t>
            </m:r>
          </m:num>
          <m:den>
            <m:r>
              <w:rPr>
                <w:rFonts w:ascii="Cambria Math" w:hAnsi="Cambria Math"/>
                <w:szCs w:val="18"/>
                <w:lang w:val="en-US"/>
              </w:rPr>
              <m:t>d</m:t>
            </m:r>
            <m:r>
              <w:rPr>
                <w:rFonts w:ascii="Cambria Math" w:hAnsi="Cambria Math"/>
                <w:szCs w:val="18"/>
              </w:rPr>
              <m:t>*</m:t>
            </m:r>
            <m:r>
              <w:rPr>
                <w:rFonts w:ascii="Cambria Math" w:hAnsi="Cambria Math"/>
                <w:szCs w:val="18"/>
                <w:lang w:val="en-US"/>
              </w:rPr>
              <m:t>ρ</m:t>
            </m:r>
          </m:den>
        </m:f>
      </m:oMath>
    </w:p>
    <w:p w:rsidR="003F48EA" w:rsidRPr="007C276B" w:rsidRDefault="003F48EA" w:rsidP="003F48EA">
      <w:pPr>
        <w:pStyle w:val="a3"/>
        <w:spacing w:before="0" w:beforeAutospacing="0" w:after="0" w:afterAutospacing="0"/>
        <w:jc w:val="both"/>
        <w:rPr>
          <w:rFonts w:ascii="Arial" w:hAnsi="Arial" w:cs="Arial"/>
          <w:sz w:val="18"/>
          <w:szCs w:val="18"/>
          <w:lang w:val="en-US"/>
        </w:rPr>
      </w:pPr>
      <w:r w:rsidRPr="007C276B">
        <w:rPr>
          <w:rFonts w:ascii="Arial" w:hAnsi="Arial" w:cs="Arial"/>
          <w:sz w:val="18"/>
          <w:szCs w:val="18"/>
          <w:lang w:val="en-US"/>
        </w:rPr>
        <w:t>This equation makes it possible to determine the gas velocity and flow rate required to achieve fluidization or particle entrainment.</w:t>
      </w:r>
    </w:p>
    <w:p w:rsidR="003F48EA" w:rsidRPr="007C276B" w:rsidRDefault="003F48EA" w:rsidP="003F48EA">
      <w:pPr>
        <w:tabs>
          <w:tab w:val="clear" w:pos="7100"/>
        </w:tabs>
        <w:spacing w:line="240" w:lineRule="auto"/>
        <w:rPr>
          <w:rFonts w:cs="Arial"/>
          <w:szCs w:val="18"/>
          <w:lang w:val="en-US" w:eastAsia="ru-RU"/>
        </w:rPr>
      </w:pPr>
      <w:r w:rsidRPr="007C276B">
        <w:rPr>
          <w:rFonts w:cs="Arial"/>
          <w:szCs w:val="18"/>
          <w:lang w:val="en-US" w:eastAsia="ru-RU"/>
        </w:rPr>
        <w:t>By varying particle diameters, it is possible to determine the gas flow rate for the separation of particles with different densities. Using the equations presented above, the gas flow rate under conditions of fluidization or entrainment can be determined for particles of various sizes as well as different densities. It is also possible to study the pneumatic separation process of particles with different densities in order to determine the boundaries of particle size variation.</w:t>
      </w:r>
    </w:p>
    <w:p w:rsidR="001A62B5" w:rsidRPr="007C276B" w:rsidRDefault="001A62B5" w:rsidP="001A62B5">
      <w:pPr>
        <w:tabs>
          <w:tab w:val="clear" w:pos="7100"/>
        </w:tabs>
        <w:spacing w:line="240" w:lineRule="auto"/>
        <w:rPr>
          <w:rFonts w:cs="Arial"/>
          <w:szCs w:val="18"/>
          <w:lang w:val="en-US" w:eastAsia="ru-RU"/>
        </w:rPr>
      </w:pPr>
      <w:r w:rsidRPr="007C276B">
        <w:rPr>
          <w:rFonts w:cs="Arial"/>
          <w:szCs w:val="18"/>
          <w:lang w:val="en-US" w:eastAsia="ru-RU"/>
        </w:rPr>
        <w:t>Using the well-known Archimedes and Reynolds number equations, the governing expressions for calculating the onset velocities of fluidization and particle entrainment were selected for particles of different densities and sizes. Based on these relationships, a computer model of the pneumatic separation process of solid particles in a fluidized bed was developed using the MATLAB (Fig. 1), which makes it possible to determine the gas velocity required to ensure either fluidization or particle entrainment.</w:t>
      </w:r>
    </w:p>
    <w:p w:rsidR="001A62B5" w:rsidRPr="007C276B" w:rsidRDefault="001A62B5" w:rsidP="001A62B5">
      <w:pPr>
        <w:tabs>
          <w:tab w:val="clear" w:pos="7100"/>
        </w:tabs>
        <w:spacing w:line="240" w:lineRule="auto"/>
        <w:rPr>
          <w:rFonts w:cs="Arial"/>
          <w:szCs w:val="18"/>
          <w:lang w:val="en-US" w:eastAsia="ru-RU"/>
        </w:rPr>
      </w:pPr>
      <w:r w:rsidRPr="007C276B">
        <w:rPr>
          <w:rFonts w:cs="Arial"/>
          <w:szCs w:val="18"/>
          <w:lang w:val="en-US" w:eastAsia="ru-RU"/>
        </w:rPr>
        <w:t>The entrainment limits for both heavy and light particles can be determined. If the particle diameters do not meet the specified requirements, alternative cases are considered by adjusting the gas flow rate and velocity as a function of particle diameter. By selecting particle diameters and their variation ranges, it is possible to find a solution to the separation problem for granular materials of different densities.</w:t>
      </w:r>
    </w:p>
    <w:p w:rsidR="001A62B5" w:rsidRPr="007C276B" w:rsidRDefault="001A62B5" w:rsidP="001A62B5">
      <w:pPr>
        <w:tabs>
          <w:tab w:val="clear" w:pos="7100"/>
        </w:tabs>
        <w:spacing w:line="240" w:lineRule="auto"/>
        <w:rPr>
          <w:rFonts w:cs="Arial"/>
          <w:szCs w:val="18"/>
          <w:lang w:val="en-US" w:eastAsia="ru-RU"/>
        </w:rPr>
      </w:pPr>
      <w:r w:rsidRPr="007C276B">
        <w:rPr>
          <w:rFonts w:cs="Arial"/>
          <w:szCs w:val="18"/>
          <w:lang w:val="en-US" w:eastAsia="ru-RU"/>
        </w:rPr>
        <w:t>Using these models, nomograms were generated through computer simulation to illustrate how particle entrainment velocity varies depending on particle size and density (Fig. 2).</w:t>
      </w:r>
    </w:p>
    <w:p w:rsidR="001A62B5" w:rsidRPr="007C276B" w:rsidRDefault="001A62B5" w:rsidP="001A62B5">
      <w:pPr>
        <w:tabs>
          <w:tab w:val="clear" w:pos="7100"/>
        </w:tabs>
        <w:spacing w:line="240" w:lineRule="auto"/>
        <w:rPr>
          <w:rFonts w:cs="Arial"/>
          <w:szCs w:val="18"/>
          <w:lang w:val="en-US" w:eastAsia="ru-RU"/>
        </w:rPr>
      </w:pPr>
      <w:r w:rsidRPr="007C276B">
        <w:rPr>
          <w:rFonts w:cs="Arial"/>
          <w:szCs w:val="18"/>
          <w:lang w:val="en-US" w:eastAsia="ru-RU"/>
        </w:rPr>
        <w:t>Analysis of the nomograms shows that as particle size increases, the entrainment velocity also increases. Therefore, pneumatic separation of the entire mixture of crushed material is not practical. For example, if the entrainment velocity is set for light components corresponding to a particle size of approximately 0.030 mm, then light particles larger than 0.034 mm will remain in the apparatus (Fig. 2).</w:t>
      </w:r>
    </w:p>
    <w:p w:rsidR="00D91FC4" w:rsidRPr="007C276B" w:rsidRDefault="00D91FC4" w:rsidP="00D91FC4">
      <w:pPr>
        <w:tabs>
          <w:tab w:val="clear" w:pos="7100"/>
        </w:tabs>
        <w:spacing w:line="240" w:lineRule="auto"/>
        <w:rPr>
          <w:rFonts w:cs="Arial"/>
          <w:szCs w:val="18"/>
          <w:lang w:val="en-US" w:eastAsia="ru-RU"/>
        </w:rPr>
      </w:pPr>
      <w:r w:rsidRPr="007C276B">
        <w:rPr>
          <w:rFonts w:cs="Arial"/>
          <w:szCs w:val="18"/>
          <w:lang w:val="en-US" w:eastAsia="ru-RU"/>
        </w:rPr>
        <w:lastRenderedPageBreak/>
        <w:t>A pneumatic separation method for granular materials in a fluidized bed was proposed, which uses a vertically directed upward air flow to separate light fractions from the mixture based on particle size and density, carrying them into a cyclone, while heavy particles remain in the apparatus.</w:t>
      </w:r>
    </w:p>
    <w:p w:rsidR="00D91FC4" w:rsidRPr="007C276B" w:rsidRDefault="00D91FC4" w:rsidP="00D91FC4">
      <w:pPr>
        <w:tabs>
          <w:tab w:val="clear" w:pos="7100"/>
        </w:tabs>
        <w:spacing w:line="240" w:lineRule="auto"/>
        <w:rPr>
          <w:rFonts w:cs="Arial"/>
          <w:szCs w:val="18"/>
          <w:lang w:val="en-US" w:eastAsia="ru-RU"/>
        </w:rPr>
      </w:pPr>
      <w:r w:rsidRPr="007C276B">
        <w:rPr>
          <w:rFonts w:cs="Arial"/>
          <w:szCs w:val="18"/>
          <w:lang w:val="en-US" w:eastAsia="ru-RU"/>
        </w:rPr>
        <w:t>Technogenic waste is first crushed to a particle size range of 0.030–0.050 mm. It is then separated using a set of sieves into defined size fractions, for example: 0.030–0.034 mm, 0.035–0.039 mm, 0.040–0.045 mm, and 0.046–0.050 mm, which are collected in separate storage hoppers.</w:t>
      </w:r>
    </w:p>
    <w:p w:rsidR="001A62B5" w:rsidRPr="007C276B" w:rsidRDefault="001A62B5" w:rsidP="001A62B5">
      <w:pPr>
        <w:rPr>
          <w:rFonts w:cs="Arial"/>
          <w:szCs w:val="18"/>
          <w:lang w:val="en-US" w:eastAsia="ru-RU"/>
        </w:rPr>
      </w:pPr>
    </w:p>
    <w:p w:rsidR="001A62B5" w:rsidRPr="007C276B" w:rsidRDefault="001A62B5" w:rsidP="001A62B5">
      <w:pPr>
        <w:tabs>
          <w:tab w:val="clear" w:pos="7100"/>
        </w:tabs>
        <w:spacing w:line="240" w:lineRule="auto"/>
        <w:jc w:val="center"/>
        <w:rPr>
          <w:rFonts w:cs="Arial"/>
          <w:szCs w:val="18"/>
          <w:lang w:val="ru-RU" w:eastAsia="ru-RU"/>
        </w:rPr>
      </w:pPr>
      <w:r w:rsidRPr="007C276B">
        <w:rPr>
          <w:rFonts w:ascii="Times New Roman" w:hAnsi="Times New Roman"/>
          <w:noProof/>
          <w:color w:val="00B0F0"/>
          <w:szCs w:val="18"/>
          <w:lang w:val="ru-RU" w:eastAsia="ru-RU"/>
        </w:rPr>
        <w:drawing>
          <wp:inline distT="0" distB="0" distL="0" distR="0">
            <wp:extent cx="4543425" cy="26289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9">
                      <a:extLst>
                        <a:ext uri="{28A0092B-C50C-407E-A947-70E740481C1C}">
                          <a14:useLocalDpi xmlns:a14="http://schemas.microsoft.com/office/drawing/2010/main" val="0"/>
                        </a:ext>
                      </a:extLst>
                    </a:blip>
                    <a:srcRect l="13672" t="8812" r="33716" b="41481"/>
                    <a:stretch>
                      <a:fillRect/>
                    </a:stretch>
                  </pic:blipFill>
                  <pic:spPr bwMode="auto">
                    <a:xfrm>
                      <a:off x="0" y="0"/>
                      <a:ext cx="4543425" cy="2628900"/>
                    </a:xfrm>
                    <a:prstGeom prst="rect">
                      <a:avLst/>
                    </a:prstGeom>
                    <a:noFill/>
                    <a:ln>
                      <a:noFill/>
                    </a:ln>
                  </pic:spPr>
                </pic:pic>
              </a:graphicData>
            </a:graphic>
          </wp:inline>
        </w:drawing>
      </w:r>
    </w:p>
    <w:p w:rsidR="001A62B5" w:rsidRPr="001A62B5" w:rsidRDefault="001A62B5" w:rsidP="001A62B5">
      <w:pPr>
        <w:tabs>
          <w:tab w:val="clear" w:pos="7100"/>
        </w:tabs>
        <w:spacing w:line="240" w:lineRule="auto"/>
        <w:jc w:val="center"/>
        <w:rPr>
          <w:rFonts w:cs="Arial"/>
          <w:szCs w:val="18"/>
          <w:lang w:val="en-US" w:eastAsia="ru-RU"/>
        </w:rPr>
      </w:pPr>
      <w:r w:rsidRPr="007C276B">
        <w:t>Fig. 1. Computer model of the pneumatic separation process of solid particles in a fluidized bed</w:t>
      </w:r>
    </w:p>
    <w:p w:rsidR="001A62B5" w:rsidRDefault="001A62B5" w:rsidP="001A62B5">
      <w:pPr>
        <w:tabs>
          <w:tab w:val="clear" w:pos="7100"/>
        </w:tabs>
        <w:spacing w:line="240" w:lineRule="auto"/>
        <w:jc w:val="center"/>
        <w:rPr>
          <w:rFonts w:cs="Arial"/>
          <w:szCs w:val="18"/>
          <w:lang w:val="en-US" w:eastAsia="ru-RU"/>
        </w:rPr>
      </w:pPr>
    </w:p>
    <w:p w:rsidR="00D91FC4" w:rsidRPr="001A62B5" w:rsidRDefault="00D91FC4" w:rsidP="001A62B5">
      <w:pPr>
        <w:tabs>
          <w:tab w:val="clear" w:pos="7100"/>
        </w:tabs>
        <w:spacing w:line="240" w:lineRule="auto"/>
        <w:jc w:val="center"/>
        <w:rPr>
          <w:rFonts w:cs="Arial"/>
          <w:szCs w:val="18"/>
          <w:lang w:val="en-US" w:eastAsia="ru-RU"/>
        </w:rPr>
      </w:pPr>
    </w:p>
    <w:tbl>
      <w:tblPr>
        <w:tblW w:w="8609" w:type="dxa"/>
        <w:jc w:val="center"/>
        <w:tblLayout w:type="fixed"/>
        <w:tblLook w:val="0000" w:firstRow="0" w:lastRow="0" w:firstColumn="0" w:lastColumn="0" w:noHBand="0" w:noVBand="0"/>
      </w:tblPr>
      <w:tblGrid>
        <w:gridCol w:w="450"/>
        <w:gridCol w:w="8159"/>
      </w:tblGrid>
      <w:tr w:rsidR="00D91FC4" w:rsidRPr="00C94AFC" w:rsidTr="00502C47">
        <w:trPr>
          <w:cantSplit/>
          <w:trHeight w:val="1134"/>
          <w:jc w:val="center"/>
        </w:trPr>
        <w:tc>
          <w:tcPr>
            <w:tcW w:w="450" w:type="dxa"/>
            <w:textDirection w:val="btLr"/>
          </w:tcPr>
          <w:p w:rsidR="00D91FC4" w:rsidRPr="00C94AFC" w:rsidRDefault="00D91FC4" w:rsidP="00502C47">
            <w:pPr>
              <w:pStyle w:val="a5"/>
              <w:ind w:left="113" w:right="113"/>
              <w:jc w:val="center"/>
              <w:rPr>
                <w:rFonts w:ascii="Times New Roman" w:hAnsi="Times New Roman"/>
                <w:szCs w:val="18"/>
                <w:lang w:val="en-US"/>
              </w:rPr>
            </w:pPr>
            <w:r>
              <w:t>Entrainment velocity (m/s)</w:t>
            </w:r>
            <w:r w:rsidRPr="00C94AFC">
              <w:rPr>
                <w:rFonts w:ascii="Times New Roman" w:hAnsi="Times New Roman"/>
                <w:szCs w:val="18"/>
                <w:lang w:val="en-US"/>
              </w:rPr>
              <w:t xml:space="preserve">                               </w:t>
            </w:r>
          </w:p>
        </w:tc>
        <w:tc>
          <w:tcPr>
            <w:tcW w:w="8159" w:type="dxa"/>
          </w:tcPr>
          <w:p w:rsidR="00D91FC4" w:rsidRPr="00C94AFC" w:rsidRDefault="00D91FC4" w:rsidP="00502C47">
            <w:pPr>
              <w:pStyle w:val="a5"/>
              <w:ind w:left="0"/>
              <w:jc w:val="center"/>
              <w:rPr>
                <w:rFonts w:ascii="Times New Roman" w:hAnsi="Times New Roman"/>
                <w:szCs w:val="18"/>
              </w:rPr>
            </w:pPr>
            <w:r w:rsidRPr="00C94AFC">
              <w:rPr>
                <w:rFonts w:ascii="Times New Roman" w:hAnsi="Times New Roman"/>
                <w:szCs w:val="18"/>
              </w:rPr>
              <w:object w:dxaOrig="7934" w:dyaOrig="4246">
                <v:shape id="_x0000_i1025" style="width:401.3pt;height:243.55pt" coordsize="" o:spt="100" adj="0,,0" path="" stroked="f">
                  <v:stroke joinstyle="miter"/>
                  <v:imagedata r:id="rId10" o:title=""/>
                  <v:formulas/>
                  <v:path o:connecttype="segments"/>
                </v:shape>
                <o:OLEObject Type="Embed" ProgID="PBrush" ShapeID="_x0000_i1025" DrawAspect="Content" ObjectID="_1843027352" r:id="rId11"/>
              </w:object>
            </w:r>
          </w:p>
        </w:tc>
      </w:tr>
      <w:tr w:rsidR="00D91FC4" w:rsidRPr="00C94AFC" w:rsidTr="00502C47">
        <w:trPr>
          <w:jc w:val="center"/>
        </w:trPr>
        <w:tc>
          <w:tcPr>
            <w:tcW w:w="450" w:type="dxa"/>
          </w:tcPr>
          <w:p w:rsidR="00D91FC4" w:rsidRPr="00C94AFC" w:rsidRDefault="00D91FC4" w:rsidP="00502C47">
            <w:pPr>
              <w:pStyle w:val="a5"/>
              <w:snapToGrid w:val="0"/>
              <w:ind w:left="0"/>
              <w:rPr>
                <w:rFonts w:ascii="Times New Roman" w:hAnsi="Times New Roman"/>
                <w:szCs w:val="18"/>
              </w:rPr>
            </w:pPr>
          </w:p>
        </w:tc>
        <w:tc>
          <w:tcPr>
            <w:tcW w:w="8159" w:type="dxa"/>
          </w:tcPr>
          <w:p w:rsidR="00D91FC4" w:rsidRPr="00C94AFC" w:rsidRDefault="00D91FC4" w:rsidP="00502C47">
            <w:pPr>
              <w:spacing w:line="240" w:lineRule="auto"/>
              <w:jc w:val="center"/>
              <w:rPr>
                <w:rFonts w:ascii="Times New Roman" w:hAnsi="Times New Roman"/>
                <w:szCs w:val="18"/>
              </w:rPr>
            </w:pPr>
            <w:r>
              <w:t>Particle diameter (m)</w:t>
            </w:r>
          </w:p>
        </w:tc>
      </w:tr>
      <w:tr w:rsidR="00D91FC4" w:rsidRPr="00C94AFC" w:rsidTr="00502C47">
        <w:trPr>
          <w:jc w:val="center"/>
        </w:trPr>
        <w:tc>
          <w:tcPr>
            <w:tcW w:w="450" w:type="dxa"/>
          </w:tcPr>
          <w:p w:rsidR="00D91FC4" w:rsidRPr="00C94AFC" w:rsidRDefault="00D91FC4" w:rsidP="00502C47">
            <w:pPr>
              <w:pStyle w:val="a5"/>
              <w:snapToGrid w:val="0"/>
              <w:ind w:left="0"/>
              <w:rPr>
                <w:rFonts w:ascii="Times New Roman" w:hAnsi="Times New Roman"/>
                <w:szCs w:val="18"/>
              </w:rPr>
            </w:pPr>
          </w:p>
        </w:tc>
        <w:tc>
          <w:tcPr>
            <w:tcW w:w="8159" w:type="dxa"/>
          </w:tcPr>
          <w:p w:rsidR="00D91FC4" w:rsidRPr="00C94AFC" w:rsidRDefault="00D91FC4" w:rsidP="00502C47">
            <w:pPr>
              <w:spacing w:line="240" w:lineRule="auto"/>
              <w:jc w:val="center"/>
              <w:rPr>
                <w:rFonts w:ascii="Times New Roman" w:hAnsi="Times New Roman"/>
                <w:szCs w:val="18"/>
                <w:lang w:val="en-US"/>
              </w:rPr>
            </w:pPr>
            <w:r>
              <w:t>Fig. 2. Nomograms showing the variation of particle entrainment velocity depending on particle size and density.</w:t>
            </w:r>
          </w:p>
        </w:tc>
      </w:tr>
    </w:tbl>
    <w:p w:rsidR="00D91FC4" w:rsidRPr="00D91FC4" w:rsidRDefault="00D91FC4" w:rsidP="00D91FC4">
      <w:pPr>
        <w:tabs>
          <w:tab w:val="clear" w:pos="7100"/>
        </w:tabs>
        <w:spacing w:line="240" w:lineRule="auto"/>
        <w:rPr>
          <w:rFonts w:cs="Arial"/>
          <w:szCs w:val="18"/>
          <w:lang w:val="en-US" w:eastAsia="ru-RU"/>
        </w:rPr>
      </w:pPr>
      <w:r w:rsidRPr="00D91FC4">
        <w:rPr>
          <w:rFonts w:cs="Arial"/>
          <w:szCs w:val="18"/>
          <w:lang w:val="en-US" w:eastAsia="ru-RU"/>
        </w:rPr>
        <w:t>For each fraction, the entrainment velocity is determined; for example, for the smallest particle in a given fraction (0.030 mm), the entrainment velocity is obtained from the nomogram (0.086 m/s).</w:t>
      </w:r>
    </w:p>
    <w:p w:rsidR="00D91FC4" w:rsidRPr="00D91FC4" w:rsidRDefault="00D91FC4" w:rsidP="00D91FC4">
      <w:pPr>
        <w:tabs>
          <w:tab w:val="clear" w:pos="7100"/>
        </w:tabs>
        <w:spacing w:line="240" w:lineRule="auto"/>
        <w:rPr>
          <w:rFonts w:cs="Arial"/>
          <w:szCs w:val="18"/>
          <w:lang w:val="en-US" w:eastAsia="ru-RU"/>
        </w:rPr>
      </w:pPr>
      <w:r w:rsidRPr="00D91FC4">
        <w:rPr>
          <w:rFonts w:cs="Arial"/>
          <w:szCs w:val="18"/>
          <w:lang w:val="en-US" w:eastAsia="ru-RU"/>
        </w:rPr>
        <w:t>Subsequently, materials with different size fractions are sequentially fed to the loading hopper using sand pumps. From there, the fractions are delivered through a feeder device to the fluidized bed separation unit.</w:t>
      </w:r>
    </w:p>
    <w:p w:rsidR="00D91FC4" w:rsidRPr="00D91FC4" w:rsidRDefault="00D91FC4" w:rsidP="00837EE0">
      <w:pPr>
        <w:tabs>
          <w:tab w:val="clear" w:pos="7100"/>
        </w:tabs>
        <w:spacing w:line="240" w:lineRule="auto"/>
        <w:rPr>
          <w:rFonts w:cs="Arial"/>
          <w:szCs w:val="18"/>
          <w:lang w:val="en-US" w:eastAsia="ru-RU"/>
        </w:rPr>
      </w:pPr>
      <w:r w:rsidRPr="00D91FC4">
        <w:rPr>
          <w:rFonts w:cs="Arial"/>
          <w:szCs w:val="18"/>
          <w:lang w:val="en-US" w:eastAsia="ru-RU"/>
        </w:rPr>
        <w:lastRenderedPageBreak/>
        <w:t>In the next stage, switching to the processing of the particle size range is carried out by setting the corresponding air flow velocity determined from the nomogram as a function of particle size, which ensures the entrainment of light particles for each specific size fraction.</w:t>
      </w:r>
    </w:p>
    <w:p w:rsidR="00D91FC4" w:rsidRDefault="00D91FC4" w:rsidP="00837EE0">
      <w:pPr>
        <w:tabs>
          <w:tab w:val="clear" w:pos="7100"/>
        </w:tabs>
        <w:spacing w:line="240" w:lineRule="auto"/>
        <w:rPr>
          <w:rFonts w:cs="Arial"/>
          <w:szCs w:val="18"/>
          <w:lang w:val="en-US" w:eastAsia="ru-RU"/>
        </w:rPr>
      </w:pPr>
      <w:r w:rsidRPr="00D91FC4">
        <w:rPr>
          <w:rFonts w:cs="Arial"/>
          <w:szCs w:val="18"/>
          <w:lang w:val="en-US" w:eastAsia="ru-RU"/>
        </w:rPr>
        <w:t>For each fraction, the entrainment velocity is determined; for example, for the smallest particle size in the fraction (0.030 mm), the corresponding entrainment velocity is obtained from the nomogram (0.086 m/s).</w:t>
      </w:r>
    </w:p>
    <w:p w:rsidR="00837EE0" w:rsidRPr="00837EE0" w:rsidRDefault="00837EE0" w:rsidP="00837EE0">
      <w:pPr>
        <w:tabs>
          <w:tab w:val="clear" w:pos="7100"/>
        </w:tabs>
        <w:spacing w:line="240" w:lineRule="auto"/>
        <w:rPr>
          <w:rFonts w:cs="Arial"/>
          <w:szCs w:val="18"/>
          <w:lang w:val="en-US" w:eastAsia="ru-RU"/>
        </w:rPr>
      </w:pPr>
      <w:r w:rsidRPr="00837EE0">
        <w:rPr>
          <w:rFonts w:cs="Arial"/>
          <w:szCs w:val="18"/>
          <w:lang w:val="en-US" w:eastAsia="ru-RU"/>
        </w:rPr>
        <w:t>After the separation of the selected particle size range is completed, the corresponding pump is switched off, and the sand pump supplying the fraction with the highest material level relative to the others is activated.</w:t>
      </w:r>
    </w:p>
    <w:p w:rsidR="00837EE0" w:rsidRPr="00837EE0" w:rsidRDefault="00837EE0" w:rsidP="00837EE0">
      <w:pPr>
        <w:tabs>
          <w:tab w:val="clear" w:pos="7100"/>
        </w:tabs>
        <w:spacing w:line="240" w:lineRule="auto"/>
        <w:rPr>
          <w:rFonts w:cs="Arial"/>
          <w:szCs w:val="18"/>
          <w:lang w:val="en-US" w:eastAsia="ru-RU"/>
        </w:rPr>
      </w:pPr>
      <w:r w:rsidRPr="00837EE0">
        <w:rPr>
          <w:rFonts w:cs="Arial"/>
          <w:szCs w:val="18"/>
          <w:lang w:val="en-US" w:eastAsia="ru-RU"/>
        </w:rPr>
        <w:t>The entrainment velocity obtained from the nomogram describes the dependence of entrainment velocity on particle size and density, and it enables the determination of the airflow rate supplied by the compressor for each size fraction. This ensures the entrainment of light particles into the cyclone for the specified particle size ranges, thereby increasing the separation efficiency.</w:t>
      </w:r>
    </w:p>
    <w:p w:rsidR="00837EE0" w:rsidRPr="00D91FC4" w:rsidRDefault="00837EE0" w:rsidP="00837EE0">
      <w:pPr>
        <w:tabs>
          <w:tab w:val="clear" w:pos="7100"/>
        </w:tabs>
        <w:spacing w:line="240" w:lineRule="auto"/>
        <w:rPr>
          <w:rFonts w:cs="Arial"/>
          <w:szCs w:val="18"/>
          <w:lang w:val="en-US" w:eastAsia="ru-RU"/>
        </w:rPr>
      </w:pPr>
      <w:r>
        <w:t>The conducted studies confirmed the feasibility of efficient beneficiation of technogenic waste generated by mining and metallurgical enterprises using a fluidized-bed cyclone apparatus. The obtained results show that the main parameters determining separation efficiency are particle size, particle density, and gas flow velocity.</w:t>
      </w:r>
    </w:p>
    <w:p w:rsidR="00837EE0" w:rsidRPr="00837EE0" w:rsidRDefault="00837EE0" w:rsidP="00837EE0">
      <w:pPr>
        <w:tabs>
          <w:tab w:val="clear" w:pos="7100"/>
        </w:tabs>
        <w:spacing w:line="240" w:lineRule="auto"/>
        <w:rPr>
          <w:rFonts w:cs="Arial"/>
          <w:szCs w:val="18"/>
          <w:lang w:val="en-US" w:eastAsia="ru-RU"/>
        </w:rPr>
      </w:pPr>
      <w:r w:rsidRPr="00837EE0">
        <w:rPr>
          <w:rFonts w:cs="Arial"/>
          <w:bCs/>
          <w:szCs w:val="18"/>
          <w:lang w:val="en-US" w:eastAsia="ru-RU"/>
        </w:rPr>
        <w:t xml:space="preserve">Analysis of calculated and simulated data. </w:t>
      </w:r>
      <w:r w:rsidRPr="00837EE0">
        <w:rPr>
          <w:rFonts w:cs="Arial"/>
          <w:szCs w:val="18"/>
          <w:lang w:val="en-US" w:eastAsia="ru-RU"/>
        </w:rPr>
        <w:t>Based on the developed mathematical model, which includes the Archimedes and Reynolds criteria, the initial fluidization velocity and particle entrainment velocity were determined for particles of different sizes and densities. It was also shown that higher-density particles correspond to higher entrainment velocity values compared to low-density particles.</w:t>
      </w:r>
    </w:p>
    <w:p w:rsidR="00837EE0" w:rsidRPr="00837EE0" w:rsidRDefault="00837EE0" w:rsidP="00837EE0">
      <w:pPr>
        <w:tabs>
          <w:tab w:val="clear" w:pos="7100"/>
        </w:tabs>
        <w:spacing w:line="240" w:lineRule="auto"/>
        <w:rPr>
          <w:rFonts w:cs="Arial"/>
          <w:szCs w:val="18"/>
          <w:lang w:val="en-US" w:eastAsia="ru-RU"/>
        </w:rPr>
      </w:pPr>
      <w:r w:rsidRPr="00837EE0">
        <w:rPr>
          <w:rFonts w:cs="Arial"/>
          <w:szCs w:val="18"/>
          <w:lang w:val="en-US" w:eastAsia="ru-RU"/>
        </w:rPr>
        <w:t>The constructed nomograms describing the dependence of entrainment velocity on particle diameter made it possible to identify distinct size-range fractions within which the most efficient separation can be achieved.</w:t>
      </w:r>
    </w:p>
    <w:p w:rsidR="00837EE0" w:rsidRPr="00837EE0" w:rsidRDefault="00837EE0" w:rsidP="00837EE0">
      <w:pPr>
        <w:tabs>
          <w:tab w:val="clear" w:pos="7100"/>
        </w:tabs>
        <w:spacing w:line="240" w:lineRule="auto"/>
        <w:rPr>
          <w:rFonts w:cs="Arial"/>
          <w:szCs w:val="18"/>
          <w:lang w:val="en-US" w:eastAsia="ru-RU"/>
        </w:rPr>
      </w:pPr>
      <w:r w:rsidRPr="00837EE0">
        <w:rPr>
          <w:rFonts w:cs="Arial"/>
          <w:bCs/>
          <w:szCs w:val="18"/>
          <w:lang w:val="en-US" w:eastAsia="ru-RU"/>
        </w:rPr>
        <w:t xml:space="preserve">Optimization of operational parameters. </w:t>
      </w:r>
      <w:r w:rsidRPr="00837EE0">
        <w:rPr>
          <w:rFonts w:cs="Arial"/>
          <w:szCs w:val="18"/>
          <w:lang w:val="en-US" w:eastAsia="ru-RU"/>
        </w:rPr>
        <w:t>Analysis of the graphs showed that the optimal separation regime is achieved when the gas flow velocity is set slightly below the entrainment velocity of the minimum particle size of the target component.</w:t>
      </w:r>
    </w:p>
    <w:p w:rsidR="00837EE0" w:rsidRPr="00837EE0" w:rsidRDefault="00837EE0" w:rsidP="00837EE0">
      <w:pPr>
        <w:tabs>
          <w:tab w:val="clear" w:pos="7100"/>
        </w:tabs>
        <w:spacing w:line="240" w:lineRule="auto"/>
        <w:rPr>
          <w:rFonts w:cs="Arial"/>
          <w:szCs w:val="18"/>
          <w:lang w:val="en-US" w:eastAsia="ru-RU"/>
        </w:rPr>
      </w:pPr>
      <w:r w:rsidRPr="00837EE0">
        <w:rPr>
          <w:rFonts w:cs="Arial"/>
          <w:szCs w:val="18"/>
          <w:lang w:val="en-US" w:eastAsia="ru-RU"/>
        </w:rPr>
        <w:t>This approach ensures process selectivity and minimizes the loss of valuable components. Thus, a clear relationship was established between particle size distribution and the hydrodynamic parameters of the process.</w:t>
      </w:r>
    </w:p>
    <w:p w:rsidR="001E0313" w:rsidRPr="007C276B" w:rsidRDefault="00837EE0" w:rsidP="00837EE0">
      <w:pPr>
        <w:tabs>
          <w:tab w:val="clear" w:pos="7100"/>
          <w:tab w:val="left" w:pos="3306"/>
        </w:tabs>
        <w:rPr>
          <w:rFonts w:cs="Arial"/>
          <w:szCs w:val="18"/>
          <w:lang w:val="en-US" w:eastAsia="ru-RU"/>
        </w:rPr>
      </w:pPr>
      <w:r w:rsidRPr="007C276B">
        <w:t>One of the disadvantages of the fluidized bed apparatus is the low efficiency of the separation process due to the formation of channeling (breakthrough) flows, which can carry heavy components into the cyclone with the conveying air.</w:t>
      </w:r>
    </w:p>
    <w:p w:rsidR="001E0313" w:rsidRPr="007C276B" w:rsidRDefault="001E0313" w:rsidP="001E0313">
      <w:pPr>
        <w:tabs>
          <w:tab w:val="clear" w:pos="7100"/>
        </w:tabs>
        <w:spacing w:line="240" w:lineRule="auto"/>
        <w:rPr>
          <w:rFonts w:cs="Arial"/>
          <w:szCs w:val="18"/>
          <w:lang w:val="en-US" w:eastAsia="ru-RU"/>
        </w:rPr>
      </w:pPr>
      <w:r w:rsidRPr="007C276B">
        <w:rPr>
          <w:rFonts w:cs="Arial"/>
          <w:szCs w:val="18"/>
          <w:lang w:val="en-US" w:eastAsia="ru-RU"/>
        </w:rPr>
        <w:t>Experiments on pneumatic separation in a fluidized bed were carried out on a laboratory single-cell experimental setup (Figs. 3 and 4), consisting of a compressor (1), a rotameter (3), and needle valves (2 and 4) designed to regulate the air flow supplied through a mesh (5) into the laboratory pneumatic separation unit (6), as well as two cyclones (7 and 8) connected in series for capturing light particles. The diameter of the laboratory pneumatic separation unit was 50 mm, and its height was 1 m.</w:t>
      </w:r>
    </w:p>
    <w:p w:rsidR="001E0313" w:rsidRPr="007C276B" w:rsidRDefault="001E0313" w:rsidP="001E0313">
      <w:pPr>
        <w:tabs>
          <w:tab w:val="clear" w:pos="7100"/>
        </w:tabs>
        <w:spacing w:line="240" w:lineRule="auto"/>
        <w:rPr>
          <w:rFonts w:cs="Arial"/>
          <w:szCs w:val="18"/>
          <w:lang w:val="en-US" w:eastAsia="ru-RU"/>
        </w:rPr>
      </w:pPr>
    </w:p>
    <w:tbl>
      <w:tblPr>
        <w:tblW w:w="0" w:type="auto"/>
        <w:jc w:val="center"/>
        <w:tblLook w:val="04A0" w:firstRow="1" w:lastRow="0" w:firstColumn="1" w:lastColumn="0" w:noHBand="0" w:noVBand="1"/>
      </w:tblPr>
      <w:tblGrid>
        <w:gridCol w:w="4259"/>
        <w:gridCol w:w="3963"/>
      </w:tblGrid>
      <w:tr w:rsidR="00657FE3" w:rsidRPr="007C276B" w:rsidTr="00657FE3">
        <w:trPr>
          <w:jc w:val="center"/>
        </w:trPr>
        <w:tc>
          <w:tcPr>
            <w:tcW w:w="4259" w:type="dxa"/>
          </w:tcPr>
          <w:p w:rsidR="00657FE3" w:rsidRPr="007C276B" w:rsidRDefault="00657FE3" w:rsidP="00657FE3">
            <w:pPr>
              <w:spacing w:line="240" w:lineRule="auto"/>
              <w:jc w:val="center"/>
              <w:rPr>
                <w:rFonts w:ascii="Times New Roman" w:hAnsi="Times New Roman"/>
                <w:color w:val="00B0F0"/>
                <w:szCs w:val="18"/>
              </w:rPr>
            </w:pPr>
            <w:r w:rsidRPr="007C276B">
              <w:rPr>
                <w:rFonts w:ascii="Times New Roman" w:hAnsi="Times New Roman"/>
                <w:sz w:val="24"/>
                <w:szCs w:val="24"/>
              </w:rPr>
              <w:object w:dxaOrig="2970" w:dyaOrig="3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8.4pt;height:152.75pt" o:ole="">
                  <v:imagedata r:id="rId12" o:title=""/>
                </v:shape>
                <o:OLEObject Type="Embed" ProgID="PBrush" ShapeID="_x0000_i1026" DrawAspect="Content" ObjectID="_1843027353" r:id="rId13"/>
              </w:object>
            </w:r>
          </w:p>
        </w:tc>
        <w:tc>
          <w:tcPr>
            <w:tcW w:w="3963" w:type="dxa"/>
          </w:tcPr>
          <w:p w:rsidR="00657FE3" w:rsidRPr="007C276B" w:rsidRDefault="00657FE3" w:rsidP="00657FE3">
            <w:pPr>
              <w:spacing w:line="240" w:lineRule="auto"/>
              <w:jc w:val="center"/>
              <w:rPr>
                <w:rFonts w:ascii="Times New Roman" w:hAnsi="Times New Roman"/>
                <w:color w:val="00B0F0"/>
                <w:szCs w:val="18"/>
              </w:rPr>
            </w:pPr>
            <w:r w:rsidRPr="007C276B">
              <w:rPr>
                <w:rFonts w:ascii="Times New Roman" w:hAnsi="Times New Roman"/>
                <w:sz w:val="24"/>
                <w:szCs w:val="24"/>
              </w:rPr>
              <w:object w:dxaOrig="2940" w:dyaOrig="4425">
                <v:shape id="_x0000_i1027" type="#_x0000_t75" style="width:140.85pt;height:212.25pt" o:ole="">
                  <v:imagedata r:id="rId14" o:title=""/>
                </v:shape>
                <o:OLEObject Type="Embed" ProgID="PBrush" ShapeID="_x0000_i1027" DrawAspect="Content" ObjectID="_1843027354" r:id="rId15"/>
              </w:object>
            </w:r>
          </w:p>
        </w:tc>
      </w:tr>
      <w:tr w:rsidR="00657FE3" w:rsidRPr="007C276B" w:rsidTr="00657FE3">
        <w:trPr>
          <w:jc w:val="center"/>
        </w:trPr>
        <w:tc>
          <w:tcPr>
            <w:tcW w:w="4259" w:type="dxa"/>
          </w:tcPr>
          <w:p w:rsidR="00657FE3" w:rsidRPr="007C276B" w:rsidRDefault="00657FE3" w:rsidP="007C276B">
            <w:pPr>
              <w:spacing w:line="240" w:lineRule="auto"/>
              <w:jc w:val="center"/>
              <w:rPr>
                <w:rFonts w:ascii="Times New Roman" w:hAnsi="Times New Roman"/>
                <w:b/>
                <w:i/>
                <w:noProof/>
                <w:color w:val="00B0F0"/>
                <w:szCs w:val="18"/>
                <w:lang w:val="uz-Cyrl-UZ" w:eastAsia="ru-RU"/>
              </w:rPr>
            </w:pPr>
            <w:r w:rsidRPr="007C276B">
              <w:t xml:space="preserve">Fig. </w:t>
            </w:r>
            <w:r w:rsidR="007C276B">
              <w:t>3</w:t>
            </w:r>
            <w:r w:rsidRPr="007C276B">
              <w:t>. Laboratory single-cell experimental fluidized-bed installation</w:t>
            </w:r>
          </w:p>
        </w:tc>
        <w:tc>
          <w:tcPr>
            <w:tcW w:w="3963" w:type="dxa"/>
          </w:tcPr>
          <w:p w:rsidR="00657FE3" w:rsidRPr="007C276B" w:rsidRDefault="00657FE3" w:rsidP="007C276B">
            <w:pPr>
              <w:spacing w:line="240" w:lineRule="auto"/>
              <w:jc w:val="center"/>
              <w:rPr>
                <w:rFonts w:ascii="Times New Roman" w:hAnsi="Times New Roman"/>
                <w:b/>
                <w:i/>
                <w:noProof/>
                <w:color w:val="00B0F0"/>
                <w:szCs w:val="18"/>
                <w:lang w:val="uz-Cyrl-UZ" w:eastAsia="ru-RU"/>
              </w:rPr>
            </w:pPr>
            <w:r w:rsidRPr="007C276B">
              <w:t xml:space="preserve">Fig. </w:t>
            </w:r>
            <w:r w:rsidR="007C276B">
              <w:t>4</w:t>
            </w:r>
            <w:r w:rsidRPr="007C276B">
              <w:t>. Improved laboratory single-cell experimental fluidized-bed installation</w:t>
            </w:r>
          </w:p>
        </w:tc>
      </w:tr>
    </w:tbl>
    <w:p w:rsidR="00DA72FE" w:rsidRPr="007C276B" w:rsidRDefault="00DA72FE" w:rsidP="001E0313">
      <w:pPr>
        <w:rPr>
          <w:rFonts w:cs="Arial"/>
          <w:szCs w:val="18"/>
          <w:lang w:val="en-US" w:eastAsia="ru-RU"/>
        </w:rPr>
      </w:pPr>
    </w:p>
    <w:p w:rsidR="007C276B" w:rsidRPr="007C276B" w:rsidRDefault="007C276B" w:rsidP="007C276B">
      <w:pPr>
        <w:tabs>
          <w:tab w:val="clear" w:pos="7100"/>
        </w:tabs>
        <w:spacing w:line="240" w:lineRule="auto"/>
        <w:rPr>
          <w:rFonts w:cs="Arial"/>
          <w:szCs w:val="18"/>
          <w:lang w:val="en-US" w:eastAsia="ru-RU"/>
        </w:rPr>
      </w:pPr>
      <w:r w:rsidRPr="007C276B">
        <w:rPr>
          <w:rFonts w:cs="Arial"/>
          <w:szCs w:val="18"/>
          <w:lang w:val="en-US" w:eastAsia="ru-RU"/>
        </w:rPr>
        <w:t>Before the experiments, the glass rotameter (3) was calibrated using a volumetric flow meter by switching on the compressor (1). The air flow rate was adjusted using needle valves (2 and 4).</w:t>
      </w:r>
    </w:p>
    <w:p w:rsidR="007C276B" w:rsidRPr="007C276B" w:rsidRDefault="007C276B" w:rsidP="007C276B">
      <w:pPr>
        <w:rPr>
          <w:rFonts w:cs="Arial"/>
          <w:szCs w:val="18"/>
          <w:lang w:val="en-US" w:eastAsia="ru-RU"/>
        </w:rPr>
      </w:pPr>
      <w:r w:rsidRPr="007C276B">
        <w:t xml:space="preserve">Samples were selected for beneficiation in a fluidized bed. The samples were sequentially loaded through the feed nozzle (9) into the pneumatic separation unit (6). Using needle valves (2 and 4), the entrainment velocity was adjusted to ensure the removal of light fractions with particle sizes ranging from 0.050 mm to 0.063 mm </w:t>
      </w:r>
      <w:r w:rsidRPr="007C276B">
        <w:lastRenderedPageBreak/>
        <w:t>(Sample 1). The entrainment process of the light particles lasted 70–80 seconds. The entrained particles were collected in the first cyclone (7), while even finer particles passed into the second cyclone (8).</w:t>
      </w:r>
    </w:p>
    <w:p w:rsidR="007C276B" w:rsidRPr="007C276B" w:rsidRDefault="007C276B" w:rsidP="007C276B">
      <w:pPr>
        <w:tabs>
          <w:tab w:val="clear" w:pos="7100"/>
        </w:tabs>
        <w:spacing w:line="240" w:lineRule="auto"/>
        <w:rPr>
          <w:rFonts w:cs="Arial"/>
          <w:szCs w:val="18"/>
          <w:lang w:val="en-US" w:eastAsia="ru-RU"/>
        </w:rPr>
      </w:pPr>
      <w:r w:rsidRPr="007C276B">
        <w:rPr>
          <w:rFonts w:cs="Arial"/>
          <w:szCs w:val="18"/>
          <w:lang w:val="en-US" w:eastAsia="ru-RU"/>
        </w:rPr>
        <w:t>It was proposed to install expanded zones in the upper part of the column at a height corresponding to two to three fluidized-bed layers. As a result, when the airflow carrying heavy components enters the expanded zone, it loses part of its velocity, causing the heavy particles entrained by the gas stream to return to the fluidized bed.</w:t>
      </w:r>
    </w:p>
    <w:p w:rsidR="007C276B" w:rsidRDefault="007C276B" w:rsidP="007C276B">
      <w:r w:rsidRPr="007C276B">
        <w:rPr>
          <w:rFonts w:cs="Arial"/>
          <w:szCs w:val="18"/>
          <w:lang w:val="en-US" w:eastAsia="ru-RU"/>
        </w:rPr>
        <w:t>Thus, the entrainment of heavy components into the cyclone is prevented, which ensures efficient pneumatic separation and the enrichment of heavy metal particles in the fluidized-bed apparatus.</w:t>
      </w:r>
    </w:p>
    <w:p w:rsidR="00657FE3" w:rsidRPr="007C276B" w:rsidRDefault="00657FE3" w:rsidP="001E0313">
      <w:r w:rsidRPr="007C276B">
        <w:t xml:space="preserve">Experiments on improved fluidized-bed cyclone apparatus were conducted under laboratory conditions at the State Unitary Enterprise “Science and Development” of the </w:t>
      </w:r>
      <w:r w:rsidRPr="007C276B">
        <w:rPr>
          <w:rStyle w:val="whitespace-normal"/>
        </w:rPr>
        <w:t>Tashkent State Technical University named after Islam Karimov</w:t>
      </w:r>
      <w:r w:rsidRPr="007C276B">
        <w:t xml:space="preserve">. </w:t>
      </w:r>
      <w:r w:rsidR="00D35F56" w:rsidRPr="007C276B">
        <w:t>A semi-quantitative emission spectroscopic analysis was performed using a PGS-2 spectrograph at the Central Laboratory of the State Committee for Geology and Mineral Resources of the Republic of Uzbekistan.</w:t>
      </w:r>
      <w:r w:rsidRPr="007C276B">
        <w:t xml:space="preserve"> The experimental results are presented in Table 1.</w:t>
      </w:r>
    </w:p>
    <w:p w:rsidR="00657FE3" w:rsidRPr="007C276B" w:rsidRDefault="00657FE3" w:rsidP="00657FE3">
      <w:pPr>
        <w:jc w:val="right"/>
      </w:pPr>
      <w:r w:rsidRPr="007C276B">
        <w:t>Table 1.</w:t>
      </w:r>
    </w:p>
    <w:p w:rsidR="00657FE3" w:rsidRPr="007C276B" w:rsidRDefault="00657FE3" w:rsidP="00657FE3">
      <w:pPr>
        <w:jc w:val="center"/>
      </w:pPr>
      <w:r w:rsidRPr="007C276B">
        <w:t>Experimental results obtained in a batch-operated laboratory unit</w:t>
      </w:r>
    </w:p>
    <w:tbl>
      <w:tblPr>
        <w:tblStyle w:val="-26"/>
        <w:tblpPr w:leftFromText="180" w:rightFromText="180" w:vertAnchor="text" w:horzAnchor="margin" w:tblpXSpec="center" w:tblpY="93"/>
        <w:tblW w:w="8534" w:type="dxa"/>
        <w:tblLayout w:type="fixed"/>
        <w:tblLook w:val="01E0" w:firstRow="1" w:lastRow="1" w:firstColumn="1" w:lastColumn="1" w:noHBand="0" w:noVBand="0"/>
      </w:tblPr>
      <w:tblGrid>
        <w:gridCol w:w="567"/>
        <w:gridCol w:w="2155"/>
        <w:gridCol w:w="425"/>
        <w:gridCol w:w="425"/>
        <w:gridCol w:w="567"/>
        <w:gridCol w:w="709"/>
        <w:gridCol w:w="851"/>
        <w:gridCol w:w="708"/>
        <w:gridCol w:w="709"/>
        <w:gridCol w:w="567"/>
        <w:gridCol w:w="851"/>
      </w:tblGrid>
      <w:tr w:rsidR="007C3296" w:rsidRPr="007C276B" w:rsidTr="00AE1FE3">
        <w:trPr>
          <w:cnfStyle w:val="100000000000" w:firstRow="1" w:lastRow="0" w:firstColumn="0" w:lastColumn="0" w:oddVBand="0" w:evenVBand="0" w:oddHBand="0"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w:t>
            </w:r>
          </w:p>
        </w:tc>
        <w:tc>
          <w:tcPr>
            <w:cnfStyle w:val="000010000000" w:firstRow="0" w:lastRow="0" w:firstColumn="0" w:lastColumn="0" w:oddVBand="1" w:evenVBand="0" w:oddHBand="0" w:evenHBand="0" w:firstRowFirstColumn="0" w:firstRowLastColumn="0" w:lastRowFirstColumn="0" w:lastRowLastColumn="0"/>
            <w:tcW w:w="2155"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Samples</w:t>
            </w:r>
          </w:p>
        </w:tc>
        <w:tc>
          <w:tcPr>
            <w:tcW w:w="425" w:type="dxa"/>
            <w:tcBorders>
              <w:top w:val="single" w:sz="8" w:space="0" w:color="auto"/>
              <w:bottom w:val="single" w:sz="8" w:space="0" w:color="auto"/>
            </w:tcBorders>
            <w:shd w:val="clear" w:color="auto" w:fill="auto"/>
          </w:tcPr>
          <w:p w:rsidR="007C3296" w:rsidRPr="007C276B" w:rsidRDefault="007C3296" w:rsidP="00AE1FE3">
            <w:pPr>
              <w:pStyle w:val="CETBodytext"/>
              <w:cnfStyle w:val="100000000000" w:firstRow="1" w:lastRow="0" w:firstColumn="0" w:lastColumn="0" w:oddVBand="0" w:evenVBand="0" w:oddHBand="0" w:evenHBand="0" w:firstRowFirstColumn="0" w:firstRowLastColumn="0" w:lastRowFirstColumn="0" w:lastRowLastColumn="0"/>
              <w:rPr>
                <w:b w:val="0"/>
              </w:rPr>
            </w:pPr>
            <w:r w:rsidRPr="007C276B">
              <w:rPr>
                <w:b w:val="0"/>
              </w:rPr>
              <w:t>Si</w:t>
            </w:r>
          </w:p>
        </w:tc>
        <w:tc>
          <w:tcPr>
            <w:cnfStyle w:val="000010000000" w:firstRow="0" w:lastRow="0" w:firstColumn="0" w:lastColumn="0" w:oddVBand="1" w:evenVBand="0" w:oddHBand="0" w:evenHBand="0" w:firstRowFirstColumn="0" w:firstRowLastColumn="0" w:lastRowFirstColumn="0" w:lastRowLastColumn="0"/>
            <w:tcW w:w="425"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Al</w:t>
            </w:r>
          </w:p>
        </w:tc>
        <w:tc>
          <w:tcPr>
            <w:tcW w:w="567" w:type="dxa"/>
            <w:tcBorders>
              <w:top w:val="single" w:sz="8" w:space="0" w:color="auto"/>
              <w:bottom w:val="single" w:sz="8" w:space="0" w:color="auto"/>
            </w:tcBorders>
            <w:shd w:val="clear" w:color="auto" w:fill="auto"/>
          </w:tcPr>
          <w:p w:rsidR="007C3296" w:rsidRPr="007C276B" w:rsidRDefault="007C3296" w:rsidP="00AE1FE3">
            <w:pPr>
              <w:pStyle w:val="CETBodytext"/>
              <w:cnfStyle w:val="100000000000" w:firstRow="1" w:lastRow="0" w:firstColumn="0" w:lastColumn="0" w:oddVBand="0" w:evenVBand="0" w:oddHBand="0" w:evenHBand="0" w:firstRowFirstColumn="0" w:firstRowLastColumn="0" w:lastRowFirstColumn="0" w:lastRowLastColumn="0"/>
              <w:rPr>
                <w:b w:val="0"/>
              </w:rPr>
            </w:pPr>
            <w:r w:rsidRPr="007C276B">
              <w:rPr>
                <w:b w:val="0"/>
              </w:rPr>
              <w:t>Ti</w:t>
            </w:r>
          </w:p>
        </w:tc>
        <w:tc>
          <w:tcPr>
            <w:cnfStyle w:val="000010000000" w:firstRow="0" w:lastRow="0" w:firstColumn="0" w:lastColumn="0" w:oddVBand="1" w:evenVBand="0" w:oddHBand="0" w:evenHBand="0" w:firstRowFirstColumn="0" w:firstRowLastColumn="0" w:lastRowFirstColumn="0" w:lastRowLastColumn="0"/>
            <w:tcW w:w="709"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Cr</w:t>
            </w:r>
          </w:p>
        </w:tc>
        <w:tc>
          <w:tcPr>
            <w:tcW w:w="851" w:type="dxa"/>
            <w:tcBorders>
              <w:top w:val="single" w:sz="8" w:space="0" w:color="auto"/>
              <w:bottom w:val="single" w:sz="8" w:space="0" w:color="auto"/>
            </w:tcBorders>
            <w:shd w:val="clear" w:color="auto" w:fill="auto"/>
          </w:tcPr>
          <w:p w:rsidR="007C3296" w:rsidRPr="007C276B" w:rsidRDefault="007C3296" w:rsidP="00AE1FE3">
            <w:pPr>
              <w:pStyle w:val="CETBodytext"/>
              <w:cnfStyle w:val="100000000000" w:firstRow="1" w:lastRow="0" w:firstColumn="0" w:lastColumn="0" w:oddVBand="0" w:evenVBand="0" w:oddHBand="0" w:evenHBand="0" w:firstRowFirstColumn="0" w:firstRowLastColumn="0" w:lastRowFirstColumn="0" w:lastRowLastColumn="0"/>
              <w:rPr>
                <w:b w:val="0"/>
              </w:rPr>
            </w:pPr>
            <w:r w:rsidRPr="007C276B">
              <w:rPr>
                <w:b w:val="0"/>
              </w:rPr>
              <w:t>Ag</w:t>
            </w:r>
          </w:p>
        </w:tc>
        <w:tc>
          <w:tcPr>
            <w:cnfStyle w:val="000010000000" w:firstRow="0" w:lastRow="0" w:firstColumn="0" w:lastColumn="0" w:oddVBand="1" w:evenVBand="0" w:oddHBand="0" w:evenHBand="0" w:firstRowFirstColumn="0" w:firstRowLastColumn="0" w:lastRowFirstColumn="0" w:lastRowLastColumn="0"/>
            <w:tcW w:w="708"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Cu</w:t>
            </w:r>
          </w:p>
        </w:tc>
        <w:tc>
          <w:tcPr>
            <w:tcW w:w="709" w:type="dxa"/>
            <w:tcBorders>
              <w:top w:val="single" w:sz="8" w:space="0" w:color="auto"/>
              <w:bottom w:val="single" w:sz="8" w:space="0" w:color="auto"/>
            </w:tcBorders>
            <w:shd w:val="clear" w:color="auto" w:fill="auto"/>
          </w:tcPr>
          <w:p w:rsidR="007C3296" w:rsidRPr="007C276B" w:rsidRDefault="007C3296" w:rsidP="00AE1FE3">
            <w:pPr>
              <w:pStyle w:val="CETBodytext"/>
              <w:cnfStyle w:val="100000000000" w:firstRow="1" w:lastRow="0" w:firstColumn="0" w:lastColumn="0" w:oddVBand="0" w:evenVBand="0" w:oddHBand="0" w:evenHBand="0" w:firstRowFirstColumn="0" w:firstRowLastColumn="0" w:lastRowFirstColumn="0" w:lastRowLastColumn="0"/>
              <w:rPr>
                <w:b w:val="0"/>
              </w:rPr>
            </w:pPr>
            <w:r w:rsidRPr="007C276B">
              <w:rPr>
                <w:b w:val="0"/>
              </w:rPr>
              <w:t>Pb</w:t>
            </w:r>
          </w:p>
        </w:tc>
        <w:tc>
          <w:tcPr>
            <w:cnfStyle w:val="000010000000" w:firstRow="0" w:lastRow="0" w:firstColumn="0" w:lastColumn="0" w:oddVBand="1" w:evenVBand="0" w:oddHBand="0" w:evenHBand="0" w:firstRowFirstColumn="0" w:firstRowLastColumn="0" w:lastRowFirstColumn="0" w:lastRowLastColumn="0"/>
            <w:tcW w:w="567"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Fe</w:t>
            </w:r>
          </w:p>
        </w:tc>
        <w:tc>
          <w:tcPr>
            <w:cnfStyle w:val="000100000000" w:firstRow="0" w:lastRow="0" w:firstColumn="0" w:lastColumn="1" w:oddVBand="0" w:evenVBand="0" w:oddHBand="0" w:evenHBand="0" w:firstRowFirstColumn="0" w:firstRowLastColumn="0" w:lastRowFirstColumn="0" w:lastRowLastColumn="0"/>
            <w:tcW w:w="851"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r w:rsidRPr="007C276B">
              <w:rPr>
                <w:b w:val="0"/>
              </w:rPr>
              <w:t>Sn</w:t>
            </w:r>
          </w:p>
        </w:tc>
      </w:tr>
      <w:tr w:rsidR="007C3296" w:rsidRPr="007C276B" w:rsidTr="00AE1FE3">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auto"/>
              <w:bottom w:val="single" w:sz="8" w:space="0" w:color="auto"/>
            </w:tcBorders>
            <w:shd w:val="clear" w:color="auto" w:fill="auto"/>
          </w:tcPr>
          <w:p w:rsidR="007C3296" w:rsidRPr="007C276B" w:rsidRDefault="007C3296" w:rsidP="00AE1FE3">
            <w:pPr>
              <w:pStyle w:val="CETBodytext"/>
              <w:rPr>
                <w:b w:val="0"/>
              </w:rPr>
            </w:pPr>
          </w:p>
        </w:tc>
        <w:tc>
          <w:tcPr>
            <w:cnfStyle w:val="000010000000" w:firstRow="0" w:lastRow="0" w:firstColumn="0" w:lastColumn="0" w:oddVBand="1" w:evenVBand="0" w:oddHBand="0" w:evenHBand="0" w:firstRowFirstColumn="0" w:firstRowLastColumn="0" w:lastRowFirstColumn="0" w:lastRowLastColumn="0"/>
            <w:tcW w:w="2155" w:type="dxa"/>
            <w:tcBorders>
              <w:top w:val="single" w:sz="8" w:space="0" w:color="auto"/>
              <w:bottom w:val="single" w:sz="8" w:space="0" w:color="auto"/>
            </w:tcBorders>
            <w:shd w:val="clear" w:color="auto" w:fill="auto"/>
          </w:tcPr>
          <w:p w:rsidR="007C3296" w:rsidRPr="007C276B" w:rsidRDefault="007C3296" w:rsidP="00AE1FE3">
            <w:pPr>
              <w:pStyle w:val="CETBodytext"/>
            </w:pPr>
          </w:p>
        </w:tc>
        <w:tc>
          <w:tcPr>
            <w:cnfStyle w:val="000100000000" w:firstRow="0" w:lastRow="0" w:firstColumn="0" w:lastColumn="1" w:oddVBand="0" w:evenVBand="0" w:oddHBand="0" w:evenHBand="0" w:firstRowFirstColumn="0" w:firstRowLastColumn="0" w:lastRowFirstColumn="0" w:lastRowLastColumn="0"/>
            <w:tcW w:w="5812" w:type="dxa"/>
            <w:gridSpan w:val="9"/>
            <w:tcBorders>
              <w:top w:val="single" w:sz="4" w:space="0" w:color="000000"/>
              <w:bottom w:val="single" w:sz="8" w:space="0" w:color="auto"/>
              <w:right w:val="single" w:sz="4" w:space="0" w:color="FFFFFF" w:themeColor="background1"/>
            </w:tcBorders>
            <w:shd w:val="clear" w:color="auto" w:fill="auto"/>
          </w:tcPr>
          <w:p w:rsidR="007C3296" w:rsidRPr="007C276B" w:rsidRDefault="007C3296" w:rsidP="00AE1FE3">
            <w:pPr>
              <w:pStyle w:val="CETBodytext"/>
              <w:rPr>
                <w:b w:val="0"/>
              </w:rPr>
            </w:pPr>
            <w:r w:rsidRPr="007C276B">
              <w:rPr>
                <w:b w:val="0"/>
              </w:rPr>
              <w:t>Sample concentrations</w:t>
            </w:r>
          </w:p>
        </w:tc>
      </w:tr>
      <w:tr w:rsidR="007C3296" w:rsidRPr="007C276B" w:rsidTr="00AE1FE3">
        <w:trPr>
          <w:trHeight w:val="592"/>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pPr>
            <w:r w:rsidRPr="007C276B">
              <w:t>1</w:t>
            </w:r>
          </w:p>
        </w:tc>
        <w:tc>
          <w:tcPr>
            <w:cnfStyle w:val="000010000000" w:firstRow="0" w:lastRow="0" w:firstColumn="0" w:lastColumn="0" w:oddVBand="1" w:evenVBand="0" w:oddHBand="0" w:evenHBand="0" w:firstRowFirstColumn="0" w:firstRowLastColumn="0" w:lastRowFirstColumn="0" w:lastRowLastColumn="0"/>
            <w:tcW w:w="2155" w:type="dxa"/>
            <w:tcBorders>
              <w:top w:val="single" w:sz="8" w:space="0" w:color="auto"/>
              <w:bottom w:val="single" w:sz="8" w:space="0" w:color="FFFFFF" w:themeColor="background1"/>
            </w:tcBorders>
            <w:shd w:val="clear" w:color="auto" w:fill="auto"/>
          </w:tcPr>
          <w:p w:rsidR="007C3296" w:rsidRPr="007C276B" w:rsidRDefault="0078183C" w:rsidP="00AE1FE3">
            <w:pPr>
              <w:pStyle w:val="CETBodytext"/>
              <w:spacing w:after="0"/>
              <w:rPr>
                <w:lang w:val="en-US"/>
              </w:rPr>
            </w:pPr>
            <w:r w:rsidRPr="007C276B">
              <w:rPr>
                <w:lang w:val="en-US"/>
              </w:rPr>
              <w:t>Initial particle size fraction of loose materials (0.050–0.063 mm).</w:t>
            </w:r>
          </w:p>
        </w:tc>
        <w:tc>
          <w:tcPr>
            <w:tcW w:w="425"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cnfStyle w:val="000000000000" w:firstRow="0" w:lastRow="0" w:firstColumn="0" w:lastColumn="0" w:oddVBand="0" w:evenVBand="0" w:oddHBand="0" w:evenHBand="0" w:firstRowFirstColumn="0" w:firstRowLastColumn="0" w:lastRowFirstColumn="0" w:lastRowLastColumn="0"/>
            </w:pPr>
            <w:r w:rsidRPr="007C276B">
              <w:t>25</w:t>
            </w:r>
          </w:p>
        </w:tc>
        <w:tc>
          <w:tcPr>
            <w:cnfStyle w:val="000010000000" w:firstRow="0" w:lastRow="0" w:firstColumn="0" w:lastColumn="0" w:oddVBand="1" w:evenVBand="0" w:oddHBand="0" w:evenHBand="0" w:firstRowFirstColumn="0" w:firstRowLastColumn="0" w:lastRowFirstColumn="0" w:lastRowLastColumn="0"/>
            <w:tcW w:w="425"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pPr>
            <w:r w:rsidRPr="007C276B">
              <w:t>4</w:t>
            </w:r>
          </w:p>
        </w:tc>
        <w:tc>
          <w:tcPr>
            <w:tcW w:w="567"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cnfStyle w:val="000000000000" w:firstRow="0" w:lastRow="0" w:firstColumn="0" w:lastColumn="0" w:oddVBand="0" w:evenVBand="0" w:oddHBand="0" w:evenHBand="0" w:firstRowFirstColumn="0" w:firstRowLastColumn="0" w:lastRowFirstColumn="0" w:lastRowLastColumn="0"/>
            </w:pPr>
            <w:r w:rsidRPr="007C276B">
              <w:t>0.3</w:t>
            </w:r>
          </w:p>
        </w:tc>
        <w:tc>
          <w:tcPr>
            <w:cnfStyle w:val="000010000000" w:firstRow="0" w:lastRow="0" w:firstColumn="0" w:lastColumn="0" w:oddVBand="1" w:evenVBand="0" w:oddHBand="0" w:evenHBand="0" w:firstRowFirstColumn="0" w:firstRowLastColumn="0" w:lastRowFirstColumn="0" w:lastRowLastColumn="0"/>
            <w:tcW w:w="709"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pPr>
            <w:r w:rsidRPr="007C276B">
              <w:t>0,004</w:t>
            </w:r>
          </w:p>
        </w:tc>
        <w:tc>
          <w:tcPr>
            <w:tcW w:w="851"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cnfStyle w:val="000000000000" w:firstRow="0" w:lastRow="0" w:firstColumn="0" w:lastColumn="0" w:oddVBand="0" w:evenVBand="0" w:oddHBand="0" w:evenHBand="0" w:firstRowFirstColumn="0" w:firstRowLastColumn="0" w:lastRowFirstColumn="0" w:lastRowLastColumn="0"/>
            </w:pPr>
            <w:r w:rsidRPr="007C276B">
              <w:t>0.0001</w:t>
            </w:r>
          </w:p>
        </w:tc>
        <w:tc>
          <w:tcPr>
            <w:cnfStyle w:val="000010000000" w:firstRow="0" w:lastRow="0" w:firstColumn="0" w:lastColumn="0" w:oddVBand="1" w:evenVBand="0" w:oddHBand="0" w:evenHBand="0" w:firstRowFirstColumn="0" w:firstRowLastColumn="0" w:lastRowFirstColumn="0" w:lastRowLastColumn="0"/>
            <w:tcW w:w="708"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pPr>
            <w:r w:rsidRPr="007C276B">
              <w:t>0,005</w:t>
            </w:r>
          </w:p>
        </w:tc>
        <w:tc>
          <w:tcPr>
            <w:tcW w:w="709"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cnfStyle w:val="000000000000" w:firstRow="0" w:lastRow="0" w:firstColumn="0" w:lastColumn="0" w:oddVBand="0" w:evenVBand="0" w:oddHBand="0" w:evenHBand="0" w:firstRowFirstColumn="0" w:firstRowLastColumn="0" w:lastRowFirstColumn="0" w:lastRowLastColumn="0"/>
            </w:pPr>
            <w:r w:rsidRPr="007C276B">
              <w:t>0,002</w:t>
            </w:r>
          </w:p>
        </w:tc>
        <w:tc>
          <w:tcPr>
            <w:cnfStyle w:val="000010000000" w:firstRow="0" w:lastRow="0" w:firstColumn="0" w:lastColumn="0" w:oddVBand="1" w:evenVBand="0" w:oddHBand="0" w:evenHBand="0" w:firstRowFirstColumn="0" w:firstRowLastColumn="0" w:lastRowFirstColumn="0" w:lastRowLastColumn="0"/>
            <w:tcW w:w="567" w:type="dxa"/>
            <w:tcBorders>
              <w:top w:val="single" w:sz="8" w:space="0" w:color="auto"/>
              <w:bottom w:val="single" w:sz="8" w:space="0" w:color="FFFFFF" w:themeColor="background1"/>
            </w:tcBorders>
            <w:shd w:val="clear" w:color="auto" w:fill="auto"/>
          </w:tcPr>
          <w:p w:rsidR="007C3296" w:rsidRPr="007C276B" w:rsidRDefault="007C3296" w:rsidP="00AE1FE3">
            <w:pPr>
              <w:pStyle w:val="CETBodytext"/>
            </w:pPr>
            <w:r w:rsidRPr="007C276B">
              <w:t>3</w:t>
            </w:r>
          </w:p>
        </w:tc>
        <w:tc>
          <w:tcPr>
            <w:cnfStyle w:val="000100000000" w:firstRow="0" w:lastRow="0" w:firstColumn="0" w:lastColumn="1" w:oddVBand="0" w:evenVBand="0" w:oddHBand="0" w:evenHBand="0" w:firstRowFirstColumn="0" w:firstRowLastColumn="0" w:lastRowFirstColumn="0" w:lastRowLastColumn="0"/>
            <w:tcW w:w="851" w:type="dxa"/>
            <w:tcBorders>
              <w:top w:val="single" w:sz="8" w:space="0" w:color="auto"/>
              <w:bottom w:val="single" w:sz="8" w:space="0" w:color="FFFFFF" w:themeColor="background1"/>
              <w:right w:val="single" w:sz="4" w:space="0" w:color="FFFFFF" w:themeColor="background1"/>
            </w:tcBorders>
            <w:shd w:val="clear" w:color="auto" w:fill="auto"/>
          </w:tcPr>
          <w:p w:rsidR="007C3296" w:rsidRPr="007C276B" w:rsidRDefault="007C3296" w:rsidP="00AE1FE3">
            <w:pPr>
              <w:pStyle w:val="CETBodytext"/>
              <w:rPr>
                <w:b w:val="0"/>
              </w:rPr>
            </w:pPr>
            <w:r w:rsidRPr="007C276B">
              <w:rPr>
                <w:b w:val="0"/>
              </w:rPr>
              <w:t>0.0001</w:t>
            </w:r>
          </w:p>
        </w:tc>
      </w:tr>
      <w:tr w:rsidR="007C3296" w:rsidRPr="007C276B" w:rsidTr="00AE1FE3">
        <w:trPr>
          <w:cnfStyle w:val="000000100000" w:firstRow="0" w:lastRow="0" w:firstColumn="0" w:lastColumn="0" w:oddVBand="0" w:evenVBand="0" w:oddHBand="1" w:evenHBand="0" w:firstRowFirstColumn="0" w:firstRowLastColumn="0" w:lastRowFirstColumn="0" w:lastRowLastColumn="0"/>
          <w:trHeight w:val="818"/>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pPr>
            <w:r w:rsidRPr="007C276B">
              <w:t>2</w:t>
            </w:r>
          </w:p>
        </w:tc>
        <w:tc>
          <w:tcPr>
            <w:cnfStyle w:val="000010000000" w:firstRow="0" w:lastRow="0" w:firstColumn="0" w:lastColumn="0" w:oddVBand="1" w:evenVBand="0" w:oddHBand="0" w:evenHBand="0" w:firstRowFirstColumn="0" w:firstRowLastColumn="0" w:lastRowFirstColumn="0" w:lastRowLastColumn="0"/>
            <w:tcW w:w="2155" w:type="dxa"/>
            <w:tcBorders>
              <w:top w:val="single" w:sz="8" w:space="0" w:color="FFFFFF" w:themeColor="background1"/>
              <w:bottom w:val="single" w:sz="8" w:space="0" w:color="FFFFFF" w:themeColor="background1"/>
            </w:tcBorders>
            <w:shd w:val="clear" w:color="auto" w:fill="auto"/>
          </w:tcPr>
          <w:p w:rsidR="007C3296" w:rsidRPr="007C276B" w:rsidRDefault="0078183C" w:rsidP="00AE1FE3">
            <w:pPr>
              <w:pStyle w:val="CETBodytext"/>
              <w:spacing w:after="0"/>
              <w:rPr>
                <w:lang w:val="en-US"/>
              </w:rPr>
            </w:pPr>
            <w:r w:rsidRPr="007C276B">
              <w:rPr>
                <w:lang w:val="en-US"/>
              </w:rPr>
              <w:t>Concentrations at the outlet of the fluidized-bed unit without an expansion zone.</w:t>
            </w:r>
          </w:p>
        </w:tc>
        <w:tc>
          <w:tcPr>
            <w:tcW w:w="425"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00000100000" w:firstRow="0" w:lastRow="0" w:firstColumn="0" w:lastColumn="0" w:oddVBand="0" w:evenVBand="0" w:oddHBand="1" w:evenHBand="0" w:firstRowFirstColumn="0" w:firstRowLastColumn="0" w:lastRowFirstColumn="0" w:lastRowLastColumn="0"/>
            </w:pPr>
            <w:r w:rsidRPr="007C276B">
              <w:t>25</w:t>
            </w:r>
          </w:p>
        </w:tc>
        <w:tc>
          <w:tcPr>
            <w:cnfStyle w:val="000010000000" w:firstRow="0" w:lastRow="0" w:firstColumn="0" w:lastColumn="0" w:oddVBand="1" w:evenVBand="0" w:oddHBand="0" w:evenHBand="0" w:firstRowFirstColumn="0" w:firstRowLastColumn="0" w:lastRowFirstColumn="0" w:lastRowLastColumn="0"/>
            <w:tcW w:w="425"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pPr>
            <w:r w:rsidRPr="007C276B">
              <w:t>6</w:t>
            </w:r>
          </w:p>
        </w:tc>
        <w:tc>
          <w:tcPr>
            <w:tcW w:w="567"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00000100000" w:firstRow="0" w:lastRow="0" w:firstColumn="0" w:lastColumn="0" w:oddVBand="0" w:evenVBand="0" w:oddHBand="1" w:evenHBand="0" w:firstRowFirstColumn="0" w:firstRowLastColumn="0" w:lastRowFirstColumn="0" w:lastRowLastColumn="0"/>
            </w:pPr>
            <w:r w:rsidRPr="007C276B">
              <w:t>0.4</w:t>
            </w:r>
          </w:p>
        </w:tc>
        <w:tc>
          <w:tcPr>
            <w:cnfStyle w:val="000010000000" w:firstRow="0" w:lastRow="0" w:firstColumn="0" w:lastColumn="0" w:oddVBand="1" w:evenVBand="0" w:oddHBand="0" w:evenHBand="0" w:firstRowFirstColumn="0" w:firstRowLastColumn="0" w:lastRowFirstColumn="0" w:lastRowLastColumn="0"/>
            <w:tcW w:w="709"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pPr>
            <w:r w:rsidRPr="007C276B">
              <w:t>0,004</w:t>
            </w:r>
          </w:p>
        </w:tc>
        <w:tc>
          <w:tcPr>
            <w:tcW w:w="851"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00000100000" w:firstRow="0" w:lastRow="0" w:firstColumn="0" w:lastColumn="0" w:oddVBand="0" w:evenVBand="0" w:oddHBand="1" w:evenHBand="0" w:firstRowFirstColumn="0" w:firstRowLastColumn="0" w:lastRowFirstColumn="0" w:lastRowLastColumn="0"/>
            </w:pPr>
            <w:r w:rsidRPr="007C276B">
              <w:t>0.0003</w:t>
            </w:r>
          </w:p>
        </w:tc>
        <w:tc>
          <w:tcPr>
            <w:cnfStyle w:val="000010000000" w:firstRow="0" w:lastRow="0" w:firstColumn="0" w:lastColumn="0" w:oddVBand="1" w:evenVBand="0" w:oddHBand="0" w:evenHBand="0" w:firstRowFirstColumn="0" w:firstRowLastColumn="0" w:lastRowFirstColumn="0" w:lastRowLastColumn="0"/>
            <w:tcW w:w="708"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pPr>
            <w:r w:rsidRPr="007C276B">
              <w:t>0,006</w:t>
            </w:r>
          </w:p>
        </w:tc>
        <w:tc>
          <w:tcPr>
            <w:tcW w:w="709"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00000100000" w:firstRow="0" w:lastRow="0" w:firstColumn="0" w:lastColumn="0" w:oddVBand="0" w:evenVBand="0" w:oddHBand="1" w:evenHBand="0" w:firstRowFirstColumn="0" w:firstRowLastColumn="0" w:lastRowFirstColumn="0" w:lastRowLastColumn="0"/>
            </w:pPr>
            <w:r w:rsidRPr="007C276B">
              <w:t>0,002</w:t>
            </w:r>
          </w:p>
        </w:tc>
        <w:tc>
          <w:tcPr>
            <w:cnfStyle w:val="000010000000" w:firstRow="0" w:lastRow="0" w:firstColumn="0" w:lastColumn="0" w:oddVBand="1" w:evenVBand="0" w:oddHBand="0" w:evenHBand="0" w:firstRowFirstColumn="0" w:firstRowLastColumn="0" w:lastRowFirstColumn="0" w:lastRowLastColumn="0"/>
            <w:tcW w:w="567"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pPr>
            <w:r w:rsidRPr="007C276B">
              <w:t>3</w:t>
            </w:r>
          </w:p>
        </w:tc>
        <w:tc>
          <w:tcPr>
            <w:cnfStyle w:val="000100000000" w:firstRow="0" w:lastRow="0" w:firstColumn="0" w:lastColumn="1" w:oddVBand="0" w:evenVBand="0" w:oddHBand="0" w:evenHBand="0" w:firstRowFirstColumn="0" w:firstRowLastColumn="0" w:lastRowFirstColumn="0" w:lastRowLastColumn="0"/>
            <w:tcW w:w="851" w:type="dxa"/>
            <w:tcBorders>
              <w:top w:val="single" w:sz="8" w:space="0" w:color="FFFFFF" w:themeColor="background1"/>
              <w:bottom w:val="single" w:sz="8" w:space="0" w:color="FFFFFF" w:themeColor="background1"/>
              <w:right w:val="single" w:sz="4" w:space="0" w:color="FFFFFF" w:themeColor="background1"/>
            </w:tcBorders>
            <w:shd w:val="clear" w:color="auto" w:fill="auto"/>
          </w:tcPr>
          <w:p w:rsidR="007C3296" w:rsidRPr="007C276B" w:rsidRDefault="007C3296" w:rsidP="00AE1FE3">
            <w:pPr>
              <w:pStyle w:val="CETBodytext"/>
              <w:rPr>
                <w:b w:val="0"/>
              </w:rPr>
            </w:pPr>
            <w:r w:rsidRPr="007C276B">
              <w:rPr>
                <w:b w:val="0"/>
              </w:rPr>
              <w:t>0.0002</w:t>
            </w:r>
          </w:p>
        </w:tc>
      </w:tr>
      <w:tr w:rsidR="007C3296" w:rsidRPr="007C276B" w:rsidTr="00AE1FE3">
        <w:trPr>
          <w:cnfStyle w:val="010000000000" w:firstRow="0" w:lastRow="1" w:firstColumn="0" w:lastColumn="0" w:oddVBand="0" w:evenVBand="0" w:oddHBand="0"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567"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pPr>
            <w:r w:rsidRPr="007C276B">
              <w:t>3</w:t>
            </w:r>
          </w:p>
        </w:tc>
        <w:tc>
          <w:tcPr>
            <w:cnfStyle w:val="000010000000" w:firstRow="0" w:lastRow="0" w:firstColumn="0" w:lastColumn="0" w:oddVBand="1" w:evenVBand="0" w:oddHBand="0" w:evenHBand="0" w:firstRowFirstColumn="0" w:firstRowLastColumn="0" w:lastRowFirstColumn="0" w:lastRowLastColumn="0"/>
            <w:tcW w:w="2155" w:type="dxa"/>
            <w:tcBorders>
              <w:top w:val="single" w:sz="8" w:space="0" w:color="FFFFFF" w:themeColor="background1"/>
              <w:bottom w:val="single" w:sz="8" w:space="0" w:color="FFFFFF" w:themeColor="background1"/>
            </w:tcBorders>
            <w:shd w:val="clear" w:color="auto" w:fill="auto"/>
          </w:tcPr>
          <w:p w:rsidR="007C3296" w:rsidRPr="007C276B" w:rsidRDefault="00D35F56" w:rsidP="00AE1FE3">
            <w:pPr>
              <w:pStyle w:val="CETBodytext"/>
              <w:spacing w:after="0"/>
              <w:rPr>
                <w:b w:val="0"/>
                <w:lang w:val="en-US"/>
              </w:rPr>
            </w:pPr>
            <w:r w:rsidRPr="007C276B">
              <w:rPr>
                <w:b w:val="0"/>
                <w:lang w:val="en-US"/>
              </w:rPr>
              <w:t>Outlet concentrations of the fluidized-bed unit with an expansion zone.</w:t>
            </w:r>
          </w:p>
        </w:tc>
        <w:tc>
          <w:tcPr>
            <w:tcW w:w="425"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10000000000" w:firstRow="0" w:lastRow="1" w:firstColumn="0" w:lastColumn="0" w:oddVBand="0" w:evenVBand="0" w:oddHBand="0" w:evenHBand="0" w:firstRowFirstColumn="0" w:firstRowLastColumn="0" w:lastRowFirstColumn="0" w:lastRowLastColumn="0"/>
              <w:rPr>
                <w:b w:val="0"/>
              </w:rPr>
            </w:pPr>
            <w:r w:rsidRPr="007C276B">
              <w:rPr>
                <w:b w:val="0"/>
              </w:rPr>
              <w:t>20</w:t>
            </w:r>
          </w:p>
        </w:tc>
        <w:tc>
          <w:tcPr>
            <w:cnfStyle w:val="000010000000" w:firstRow="0" w:lastRow="0" w:firstColumn="0" w:lastColumn="0" w:oddVBand="1" w:evenVBand="0" w:oddHBand="0" w:evenHBand="0" w:firstRowFirstColumn="0" w:firstRowLastColumn="0" w:lastRowFirstColumn="0" w:lastRowLastColumn="0"/>
            <w:tcW w:w="425"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rPr>
                <w:b w:val="0"/>
              </w:rPr>
            </w:pPr>
            <w:r w:rsidRPr="007C276B">
              <w:rPr>
                <w:b w:val="0"/>
              </w:rPr>
              <w:t>10</w:t>
            </w:r>
          </w:p>
        </w:tc>
        <w:tc>
          <w:tcPr>
            <w:tcW w:w="567"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10000000000" w:firstRow="0" w:lastRow="1" w:firstColumn="0" w:lastColumn="0" w:oddVBand="0" w:evenVBand="0" w:oddHBand="0" w:evenHBand="0" w:firstRowFirstColumn="0" w:firstRowLastColumn="0" w:lastRowFirstColumn="0" w:lastRowLastColumn="0"/>
              <w:rPr>
                <w:b w:val="0"/>
              </w:rPr>
            </w:pPr>
            <w:r w:rsidRPr="007C276B">
              <w:rPr>
                <w:b w:val="0"/>
              </w:rPr>
              <w:t>0.4</w:t>
            </w:r>
          </w:p>
        </w:tc>
        <w:tc>
          <w:tcPr>
            <w:cnfStyle w:val="000010000000" w:firstRow="0" w:lastRow="0" w:firstColumn="0" w:lastColumn="0" w:oddVBand="1" w:evenVBand="0" w:oddHBand="0" w:evenHBand="0" w:firstRowFirstColumn="0" w:firstRowLastColumn="0" w:lastRowFirstColumn="0" w:lastRowLastColumn="0"/>
            <w:tcW w:w="709"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rPr>
                <w:b w:val="0"/>
              </w:rPr>
            </w:pPr>
            <w:r w:rsidRPr="007C276B">
              <w:rPr>
                <w:b w:val="0"/>
              </w:rPr>
              <w:t>0.01</w:t>
            </w:r>
          </w:p>
        </w:tc>
        <w:tc>
          <w:tcPr>
            <w:tcW w:w="851"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10000000000" w:firstRow="0" w:lastRow="1" w:firstColumn="0" w:lastColumn="0" w:oddVBand="0" w:evenVBand="0" w:oddHBand="0" w:evenHBand="0" w:firstRowFirstColumn="0" w:firstRowLastColumn="0" w:lastRowFirstColumn="0" w:lastRowLastColumn="0"/>
              <w:rPr>
                <w:b w:val="0"/>
              </w:rPr>
            </w:pPr>
            <w:r w:rsidRPr="007C276B">
              <w:rPr>
                <w:b w:val="0"/>
              </w:rPr>
              <w:t>0.0005</w:t>
            </w:r>
          </w:p>
        </w:tc>
        <w:tc>
          <w:tcPr>
            <w:cnfStyle w:val="000010000000" w:firstRow="0" w:lastRow="0" w:firstColumn="0" w:lastColumn="0" w:oddVBand="1" w:evenVBand="0" w:oddHBand="0" w:evenHBand="0" w:firstRowFirstColumn="0" w:firstRowLastColumn="0" w:lastRowFirstColumn="0" w:lastRowLastColumn="0"/>
            <w:tcW w:w="708"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rPr>
                <w:b w:val="0"/>
              </w:rPr>
            </w:pPr>
            <w:r w:rsidRPr="007C276B">
              <w:rPr>
                <w:b w:val="0"/>
              </w:rPr>
              <w:t>0,008</w:t>
            </w:r>
          </w:p>
        </w:tc>
        <w:tc>
          <w:tcPr>
            <w:tcW w:w="709"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cnfStyle w:val="010000000000" w:firstRow="0" w:lastRow="1" w:firstColumn="0" w:lastColumn="0" w:oddVBand="0" w:evenVBand="0" w:oddHBand="0" w:evenHBand="0" w:firstRowFirstColumn="0" w:firstRowLastColumn="0" w:lastRowFirstColumn="0" w:lastRowLastColumn="0"/>
              <w:rPr>
                <w:b w:val="0"/>
              </w:rPr>
            </w:pPr>
            <w:r w:rsidRPr="007C276B">
              <w:rPr>
                <w:b w:val="0"/>
              </w:rPr>
              <w:t>0,003</w:t>
            </w:r>
          </w:p>
        </w:tc>
        <w:tc>
          <w:tcPr>
            <w:cnfStyle w:val="000010000000" w:firstRow="0" w:lastRow="0" w:firstColumn="0" w:lastColumn="0" w:oddVBand="1" w:evenVBand="0" w:oddHBand="0" w:evenHBand="0" w:firstRowFirstColumn="0" w:firstRowLastColumn="0" w:lastRowFirstColumn="0" w:lastRowLastColumn="0"/>
            <w:tcW w:w="567"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rPr>
                <w:b w:val="0"/>
              </w:rPr>
            </w:pPr>
            <w:r w:rsidRPr="007C276B">
              <w:rPr>
                <w:b w:val="0"/>
              </w:rPr>
              <w:t>4</w:t>
            </w:r>
          </w:p>
        </w:tc>
        <w:tc>
          <w:tcPr>
            <w:cnfStyle w:val="000100000000" w:firstRow="0" w:lastRow="0" w:firstColumn="0" w:lastColumn="1" w:oddVBand="0" w:evenVBand="0" w:oddHBand="0" w:evenHBand="0" w:firstRowFirstColumn="0" w:firstRowLastColumn="0" w:lastRowFirstColumn="0" w:lastRowLastColumn="0"/>
            <w:tcW w:w="851" w:type="dxa"/>
            <w:tcBorders>
              <w:top w:val="single" w:sz="8" w:space="0" w:color="FFFFFF" w:themeColor="background1"/>
              <w:bottom w:val="single" w:sz="8" w:space="0" w:color="FFFFFF" w:themeColor="background1"/>
            </w:tcBorders>
            <w:shd w:val="clear" w:color="auto" w:fill="auto"/>
          </w:tcPr>
          <w:p w:rsidR="007C3296" w:rsidRPr="007C276B" w:rsidRDefault="007C3296" w:rsidP="00AE1FE3">
            <w:pPr>
              <w:pStyle w:val="CETBodytext"/>
              <w:rPr>
                <w:b w:val="0"/>
              </w:rPr>
            </w:pPr>
            <w:r w:rsidRPr="007C276B">
              <w:rPr>
                <w:b w:val="0"/>
              </w:rPr>
              <w:t>0.0004</w:t>
            </w:r>
          </w:p>
        </w:tc>
      </w:tr>
    </w:tbl>
    <w:p w:rsidR="008E6D42" w:rsidRPr="007C276B" w:rsidRDefault="008E6D42" w:rsidP="008E6D42">
      <w:pPr>
        <w:tabs>
          <w:tab w:val="clear" w:pos="7100"/>
        </w:tabs>
        <w:spacing w:line="240" w:lineRule="auto"/>
        <w:rPr>
          <w:rFonts w:cs="Arial"/>
          <w:szCs w:val="18"/>
          <w:lang w:val="en-US" w:eastAsia="ru-RU"/>
        </w:rPr>
      </w:pPr>
      <w:r w:rsidRPr="007C276B">
        <w:rPr>
          <w:rFonts w:cs="Arial"/>
          <w:szCs w:val="18"/>
          <w:lang w:val="en-US" w:eastAsia="ru-RU"/>
        </w:rPr>
        <w:t>The comparative analysis of the two types of apparatus showed that the best results were achieved in the fluidized-bed cyclone unit equipped with a single expanded zone. Devices without an expanded zone demonstrated lower efficiency, which is associated with reduced hydrodynamic stability of the bed.</w:t>
      </w:r>
    </w:p>
    <w:p w:rsidR="008E6D42" w:rsidRPr="007C276B" w:rsidRDefault="008E6D42" w:rsidP="008E6D42">
      <w:pPr>
        <w:tabs>
          <w:tab w:val="clear" w:pos="7100"/>
        </w:tabs>
        <w:spacing w:line="240" w:lineRule="auto"/>
        <w:rPr>
          <w:rFonts w:cs="Arial"/>
          <w:szCs w:val="18"/>
          <w:lang w:val="en-US" w:eastAsia="ru-RU"/>
        </w:rPr>
      </w:pPr>
      <w:r w:rsidRPr="007C276B">
        <w:rPr>
          <w:rFonts w:cs="Arial"/>
          <w:szCs w:val="18"/>
          <w:lang w:val="en-US" w:eastAsia="ru-RU"/>
        </w:rPr>
        <w:t>In this case, the following effects were observed: a reduction in turbulent losses; confirmation of the high efficiency of the proposed method for extracting rare and valuable metals from technogenic waste; and a decrease in turbulent losses. Systems without an expanded zone showed lower efficiency, which is associated with reduced hydrodynamic stability of the bed.</w:t>
      </w:r>
    </w:p>
    <w:p w:rsidR="008E6D42" w:rsidRPr="007C276B" w:rsidRDefault="008E6D42" w:rsidP="008E6D42">
      <w:pPr>
        <w:rPr>
          <w:rFonts w:cs="Arial"/>
          <w:szCs w:val="18"/>
          <w:lang w:val="en-US" w:eastAsia="ru-RU"/>
        </w:rPr>
      </w:pPr>
      <w:r w:rsidRPr="007C276B">
        <w:t>A control algorithm for the pneumatic separation process in a fluidized bed was developed:</w:t>
      </w:r>
    </w:p>
    <w:p w:rsidR="008E6D42" w:rsidRPr="008E6D42" w:rsidRDefault="008E6D42" w:rsidP="008E6D42">
      <w:pPr>
        <w:tabs>
          <w:tab w:val="clear" w:pos="7100"/>
        </w:tabs>
        <w:spacing w:line="240" w:lineRule="auto"/>
        <w:rPr>
          <w:rFonts w:cs="Arial"/>
          <w:szCs w:val="18"/>
          <w:lang w:val="en-US" w:eastAsia="ru-RU"/>
        </w:rPr>
      </w:pPr>
      <w:r w:rsidRPr="007C276B">
        <w:rPr>
          <w:rFonts w:cs="Arial"/>
          <w:szCs w:val="18"/>
          <w:lang w:val="en-US" w:eastAsia="ru-RU"/>
        </w:rPr>
        <w:t>The pneumatic separation process begins with the feeding of crushed and classified technogenic waste from the hopper with the highest bulk material level. Signals from</w:t>
      </w:r>
      <w:r w:rsidRPr="008E6D42">
        <w:rPr>
          <w:rFonts w:cs="Arial"/>
          <w:szCs w:val="18"/>
          <w:lang w:val="en-US" w:eastAsia="ru-RU"/>
        </w:rPr>
        <w:t xml:space="preserve"> the primary sensors are continuously transmitted to the control system. After this hopper is emptied, the corresponding sand pump is switched off.</w:t>
      </w:r>
    </w:p>
    <w:p w:rsidR="008E6D42" w:rsidRPr="008E6D42" w:rsidRDefault="008E6D42" w:rsidP="008E6D42">
      <w:pPr>
        <w:tabs>
          <w:tab w:val="clear" w:pos="7100"/>
        </w:tabs>
        <w:spacing w:line="240" w:lineRule="auto"/>
        <w:rPr>
          <w:rFonts w:cs="Arial"/>
          <w:szCs w:val="18"/>
          <w:lang w:val="en-US" w:eastAsia="ru-RU"/>
        </w:rPr>
      </w:pPr>
      <w:r w:rsidRPr="008E6D42">
        <w:rPr>
          <w:rFonts w:cs="Arial"/>
          <w:szCs w:val="18"/>
          <w:lang w:val="en-US" w:eastAsia="ru-RU"/>
        </w:rPr>
        <w:t>Next, the material levels in all remaining storage bins are compared, and the pump of the bin with the highest material level is activated. From this bin, the bulk material is delivered to the feeding hopper. The control system then adjusts the air flow velocity according to the new particle size range, ensuring appropriate separation conditions for the given fraction.</w:t>
      </w:r>
    </w:p>
    <w:p w:rsidR="008E6D42" w:rsidRPr="008E6D42" w:rsidRDefault="008E6D42" w:rsidP="008E6D42">
      <w:pPr>
        <w:tabs>
          <w:tab w:val="clear" w:pos="7100"/>
        </w:tabs>
        <w:spacing w:line="240" w:lineRule="auto"/>
        <w:rPr>
          <w:rFonts w:cs="Arial"/>
          <w:szCs w:val="18"/>
          <w:lang w:val="en-US" w:eastAsia="ru-RU"/>
        </w:rPr>
      </w:pPr>
      <w:r w:rsidRPr="008E6D42">
        <w:rPr>
          <w:rFonts w:cs="Arial"/>
          <w:szCs w:val="18"/>
          <w:lang w:val="en-US" w:eastAsia="ru-RU"/>
        </w:rPr>
        <w:t>Whenever the bulk material level reaches the lower limit, the pump of the hopper from which the material is being withdrawn is switched off, and the pump of the hopper with the highest material level is activated. The airflow velocity is then adjusted according to the limited particle size range in that hopper.</w:t>
      </w:r>
    </w:p>
    <w:p w:rsidR="008E6D42" w:rsidRPr="008E6D42" w:rsidRDefault="008E6D42" w:rsidP="008E6D42">
      <w:pPr>
        <w:tabs>
          <w:tab w:val="clear" w:pos="7100"/>
        </w:tabs>
        <w:spacing w:line="240" w:lineRule="auto"/>
        <w:rPr>
          <w:rFonts w:cs="Arial"/>
          <w:szCs w:val="18"/>
          <w:lang w:val="en-US" w:eastAsia="ru-RU"/>
        </w:rPr>
      </w:pPr>
      <w:r w:rsidRPr="008E6D42">
        <w:rPr>
          <w:rFonts w:cs="Arial"/>
          <w:szCs w:val="18"/>
          <w:lang w:val="en-US" w:eastAsia="ru-RU"/>
        </w:rPr>
        <w:t>If the material level in any hopper reaches the permissible maximum limit, the pump of the hopper from which the bulk material is being withdrawn is switched off, and the pump of the hopper that has reached the maximum level is activated. The airflow velocity is then adjusted according to the restricted particle size range in that hopper.</w:t>
      </w:r>
    </w:p>
    <w:p w:rsidR="008E6D42" w:rsidRPr="008E6D42" w:rsidRDefault="008E6D42" w:rsidP="008E6D42">
      <w:pPr>
        <w:tabs>
          <w:tab w:val="clear" w:pos="7100"/>
        </w:tabs>
        <w:spacing w:line="240" w:lineRule="auto"/>
        <w:rPr>
          <w:rFonts w:cs="Arial"/>
          <w:szCs w:val="18"/>
          <w:lang w:val="en-US" w:eastAsia="ru-RU"/>
        </w:rPr>
      </w:pPr>
      <w:r w:rsidRPr="008E6D42">
        <w:rPr>
          <w:rFonts w:cs="Arial"/>
          <w:szCs w:val="18"/>
          <w:lang w:val="en-US" w:eastAsia="ru-RU"/>
        </w:rPr>
        <w:t>Based on the developed control algorithms, the software implementing these algorithms was developed in the CODESYS using the Structured Text (ST) programming language (Yunusov B.I., 2018).</w:t>
      </w:r>
    </w:p>
    <w:p w:rsidR="008E6D42" w:rsidRPr="008E6D42" w:rsidRDefault="008E6D42" w:rsidP="00A56FFD">
      <w:pPr>
        <w:tabs>
          <w:tab w:val="clear" w:pos="7100"/>
        </w:tabs>
        <w:spacing w:line="240" w:lineRule="auto"/>
        <w:rPr>
          <w:rFonts w:cs="Arial"/>
          <w:szCs w:val="18"/>
          <w:lang w:val="en-US" w:eastAsia="ru-RU"/>
        </w:rPr>
      </w:pPr>
      <w:r w:rsidRPr="008E6D42">
        <w:rPr>
          <w:rFonts w:cs="Arial"/>
          <w:b/>
          <w:bCs/>
          <w:szCs w:val="18"/>
          <w:lang w:val="en-US" w:eastAsia="ru-RU"/>
        </w:rPr>
        <w:t>Conclusion</w:t>
      </w:r>
      <w:r w:rsidRPr="008E6D42">
        <w:rPr>
          <w:rFonts w:cs="Arial"/>
          <w:szCs w:val="18"/>
          <w:lang w:val="en-US" w:eastAsia="ru-RU"/>
        </w:rPr>
        <w:br/>
      </w:r>
      <w:r w:rsidR="00A56FFD">
        <w:t>The research results showed that the preliminary classification of technogenic waste into size fractions significantly improves the efficiency of pneumatic separation. Based on the developed mathematical model and nomograms, optimal airflow velocities were determined. The proposed fluidized-bed apparatus with an expanded zone and an automated control system reduces the loss of heavy metal particles, ensures energy efficiency, and enhances the overall effectiveness of technogenic waste processing. The proposed technology has strong potential for industrial application.</w:t>
      </w:r>
    </w:p>
    <w:p w:rsidR="00272AF1" w:rsidRDefault="00272AF1" w:rsidP="00272AF1">
      <w:pPr>
        <w:pStyle w:val="CETReference"/>
      </w:pPr>
      <w:r w:rsidRPr="00B57B36">
        <w:lastRenderedPageBreak/>
        <w:t>References</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Lottermoser B. Mining Waste as a Resource in Construction: Applications, Benefits and</w:t>
      </w:r>
      <w:r w:rsidRPr="00B056AE">
        <w:rPr>
          <w:rFonts w:cs="Arial"/>
          <w:szCs w:val="18"/>
          <w:lang w:val="en-US" w:eastAsia="ru-RU"/>
        </w:rPr>
        <w:t xml:space="preserve"> </w:t>
      </w:r>
      <w:r w:rsidRPr="008B4E1F">
        <w:rPr>
          <w:rFonts w:cs="Arial"/>
          <w:szCs w:val="18"/>
          <w:lang w:val="en-US" w:eastAsia="ru-RU"/>
        </w:rPr>
        <w:t>Environmental Risks // Sustainability. 2026. Vol. 18, № 3. P. 1361.</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Li J., Zhang S., Wang Q. Pneumatic separation and process simulation of waste printed circuit boards // Powder Technology. 2024. Vol. 436.</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Luo Z., Fan M., Zhao Y. Separation Process of Fine Coals by Ultrasonic Vibration Gas-Solid Fluidized Bed // Fuel Processing Technology. 2017. Vol. 156. P. 358–366.</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Zhang H., Liu Y., Wang J. Effects of Inlet Velocity Profile on the Bubble Dynamics in a Fluidized Bed // Fluids. 2024. Vol. 9, № 7. P. 149.</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Chew J.W., Hays R., Findlay J. Elutriation of fines from binary particle mixtures in bubbling fluidized beds // Powder Technology. 2017. Vol. 316. P. 56–67.</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Coelho A., de Brito J. An integrated process for the separation and reuse of construction and demolition waste // Waste Management. 2007. Vol. 27, № 8. P. 1135–1145.</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Cui J., Forssberg E. Separation and recovery of fine particles from waste circuit boards // Waste Management. 2015. Vol. 45. P. 273–281.</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Rajput R., Kumar P. Enhancing Industrial Efficiency through Automation: Leveraging PLC, SCADA, HMI, Batch and DCS Systems for Downtime Mitigation in Industrial Control Projects // ResearchGate. 2024.</w:t>
      </w:r>
    </w:p>
    <w:p w:rsidR="00B056AE" w:rsidRPr="00B056AE" w:rsidRDefault="00B056AE" w:rsidP="00B056AE">
      <w:pPr>
        <w:spacing w:line="240" w:lineRule="auto"/>
        <w:rPr>
          <w:rFonts w:cs="Arial"/>
          <w:szCs w:val="18"/>
          <w:lang w:val="en-US" w:eastAsia="ru-RU"/>
        </w:rPr>
      </w:pPr>
      <w:r w:rsidRPr="008B4E1F">
        <w:rPr>
          <w:rFonts w:cs="Arial"/>
          <w:szCs w:val="18"/>
          <w:lang w:val="en-US" w:eastAsia="ru-RU"/>
        </w:rPr>
        <w:t>Vargas A., Linderholm C., Thunman H. Model predictive control of a dual fluidized bed gasification plant // Applied Energy. 2024. Vol. 370.</w:t>
      </w:r>
    </w:p>
    <w:p w:rsidR="00B056AE" w:rsidRPr="008B4E1F" w:rsidRDefault="00B056AE" w:rsidP="00B056AE">
      <w:pPr>
        <w:spacing w:line="240" w:lineRule="auto"/>
        <w:rPr>
          <w:rFonts w:cs="Arial"/>
          <w:szCs w:val="18"/>
          <w:lang w:val="en-US" w:eastAsia="ru-RU"/>
        </w:rPr>
      </w:pPr>
      <w:r w:rsidRPr="008B4E1F">
        <w:rPr>
          <w:rFonts w:cs="Arial"/>
          <w:szCs w:val="18"/>
          <w:lang w:val="en-US" w:eastAsia="ru-RU"/>
        </w:rPr>
        <w:t>Prasad V., Mudde R., van Ommen J.R. Machine Learning Assisted Experimental Characterization of Bubble Dynamics in Fluidized Beds // Industrial &amp; Engineering Chemistry Research. 2024. Vol. 63, № 18. P. 7854–7866.</w:t>
      </w:r>
    </w:p>
    <w:p w:rsidR="00272AF1" w:rsidRPr="002307CA" w:rsidRDefault="00272AF1" w:rsidP="00272AF1">
      <w:pPr>
        <w:spacing w:line="240" w:lineRule="auto"/>
        <w:rPr>
          <w:rFonts w:cs="Arial"/>
          <w:szCs w:val="18"/>
          <w:lang w:val="en-US" w:eastAsia="ru-RU"/>
        </w:rPr>
      </w:pPr>
      <w:r w:rsidRPr="002307CA">
        <w:rPr>
          <w:rFonts w:cs="Arial"/>
          <w:szCs w:val="18"/>
          <w:lang w:val="en-US" w:eastAsia="ru-RU"/>
        </w:rPr>
        <w:t>Yusupbekov N. R., Yunusov B. I.</w:t>
      </w:r>
      <w:r>
        <w:rPr>
          <w:rFonts w:cs="Arial"/>
          <w:szCs w:val="18"/>
          <w:lang w:val="en-US" w:eastAsia="ru-RU"/>
        </w:rPr>
        <w:t xml:space="preserve"> </w:t>
      </w:r>
      <w:r w:rsidRPr="002307CA">
        <w:rPr>
          <w:rFonts w:cs="Arial"/>
          <w:bCs/>
          <w:szCs w:val="18"/>
          <w:lang w:val="en-US" w:eastAsia="ru-RU"/>
        </w:rPr>
        <w:t>Method of pneumatic separation of solid bulk materials in a fluidized bed</w:t>
      </w:r>
      <w:r w:rsidRPr="002307CA">
        <w:rPr>
          <w:rFonts w:cs="Arial"/>
          <w:szCs w:val="18"/>
          <w:lang w:val="en-US" w:eastAsia="ru-RU"/>
        </w:rPr>
        <w:t xml:space="preserve">: Patent of the Republic of Uzbekistan No. IFP 07513; filed and registered 29.09.2023. </w:t>
      </w:r>
      <w:r>
        <w:rPr>
          <w:rFonts w:cs="Arial"/>
          <w:szCs w:val="18"/>
          <w:lang w:val="en-US" w:eastAsia="ru-RU"/>
        </w:rPr>
        <w:t>(in Russian)</w:t>
      </w:r>
    </w:p>
    <w:p w:rsidR="00272AF1" w:rsidRPr="002307CA" w:rsidRDefault="00272AF1" w:rsidP="00272AF1">
      <w:pPr>
        <w:spacing w:line="240" w:lineRule="auto"/>
        <w:rPr>
          <w:rFonts w:cs="Arial"/>
          <w:szCs w:val="18"/>
          <w:lang w:val="en-US" w:eastAsia="ru-RU"/>
        </w:rPr>
      </w:pPr>
      <w:r w:rsidRPr="002307CA">
        <w:rPr>
          <w:rFonts w:cs="Arial"/>
          <w:szCs w:val="18"/>
          <w:lang w:val="en-US" w:eastAsia="ru-RU"/>
        </w:rPr>
        <w:t>Yusupbekov N. R., Yunusov B. I.</w:t>
      </w:r>
      <w:r>
        <w:rPr>
          <w:rFonts w:cs="Arial"/>
          <w:szCs w:val="18"/>
          <w:lang w:val="en-US" w:eastAsia="ru-RU"/>
        </w:rPr>
        <w:t xml:space="preserve"> </w:t>
      </w:r>
      <w:r w:rsidRPr="002307CA">
        <w:rPr>
          <w:rFonts w:cs="Arial"/>
          <w:bCs/>
          <w:szCs w:val="18"/>
          <w:lang w:val="en-US" w:eastAsia="ru-RU"/>
        </w:rPr>
        <w:t>Device for pneumatic separation of solid bulk materials in a fluidized bed</w:t>
      </w:r>
      <w:r w:rsidRPr="002307CA">
        <w:rPr>
          <w:rFonts w:cs="Arial"/>
          <w:szCs w:val="18"/>
          <w:lang w:val="en-US" w:eastAsia="ru-RU"/>
        </w:rPr>
        <w:t xml:space="preserve">: Patent of the Republic of Uzbekistan No. IFP 07513; filed and registered 29.09.2023. </w:t>
      </w:r>
      <w:r>
        <w:rPr>
          <w:rFonts w:cs="Arial"/>
          <w:szCs w:val="18"/>
          <w:lang w:val="en-US" w:eastAsia="ru-RU"/>
        </w:rPr>
        <w:t>(in Russian)</w:t>
      </w:r>
    </w:p>
    <w:p w:rsidR="00272AF1" w:rsidRPr="002307CA" w:rsidRDefault="00272AF1" w:rsidP="00272AF1">
      <w:pPr>
        <w:spacing w:line="240" w:lineRule="auto"/>
        <w:rPr>
          <w:rFonts w:cs="Arial"/>
          <w:szCs w:val="18"/>
          <w:lang w:val="en-US" w:eastAsia="ru-RU"/>
        </w:rPr>
      </w:pPr>
      <w:r w:rsidRPr="002307CA">
        <w:rPr>
          <w:rFonts w:cs="Arial"/>
          <w:szCs w:val="18"/>
          <w:lang w:val="en-US" w:eastAsia="ru-RU"/>
        </w:rPr>
        <w:t>Yunusov B. I., Khasanov A. S., Artikov A. A., Yunusov I. I.</w:t>
      </w:r>
      <w:r>
        <w:rPr>
          <w:rFonts w:cs="Arial"/>
          <w:szCs w:val="18"/>
          <w:lang w:val="en-US" w:eastAsia="ru-RU"/>
        </w:rPr>
        <w:t xml:space="preserve"> </w:t>
      </w:r>
      <w:r w:rsidRPr="002307CA">
        <w:rPr>
          <w:rFonts w:cs="Arial"/>
          <w:szCs w:val="18"/>
          <w:lang w:val="en-US" w:eastAsia="ru-RU"/>
        </w:rPr>
        <w:t xml:space="preserve">On the development of an optimal design of a fluidized-bed separator for bulk materials // </w:t>
      </w:r>
      <w:r w:rsidRPr="002307CA">
        <w:rPr>
          <w:rFonts w:cs="Arial"/>
          <w:i/>
          <w:iCs/>
          <w:szCs w:val="18"/>
          <w:lang w:val="en-US" w:eastAsia="ru-RU"/>
        </w:rPr>
        <w:t>Mining Bulletin of Uzbekistan</w:t>
      </w:r>
      <w:r w:rsidRPr="002307CA">
        <w:rPr>
          <w:rFonts w:cs="Arial"/>
          <w:szCs w:val="18"/>
          <w:lang w:val="en-US" w:eastAsia="ru-RU"/>
        </w:rPr>
        <w:t xml:space="preserve">. — Navoi, 2016. — No. 4. — pp. 94–97. </w:t>
      </w:r>
      <w:r>
        <w:rPr>
          <w:rFonts w:cs="Arial"/>
          <w:szCs w:val="18"/>
          <w:lang w:val="en-US" w:eastAsia="ru-RU"/>
        </w:rPr>
        <w:t>(in Russian)</w:t>
      </w:r>
    </w:p>
    <w:p w:rsidR="00272AF1" w:rsidRPr="002307CA" w:rsidRDefault="00272AF1" w:rsidP="00272AF1">
      <w:pPr>
        <w:rPr>
          <w:rFonts w:cs="Arial"/>
          <w:szCs w:val="18"/>
          <w:lang w:val="en-US"/>
        </w:rPr>
      </w:pPr>
      <w:r w:rsidRPr="002307CA">
        <w:rPr>
          <w:rFonts w:cs="Arial"/>
          <w:szCs w:val="18"/>
          <w:lang w:val="en-US" w:eastAsia="ru-RU"/>
        </w:rPr>
        <w:t>Yunusov B. I.</w:t>
      </w:r>
      <w:r>
        <w:rPr>
          <w:rFonts w:cs="Arial"/>
          <w:szCs w:val="18"/>
          <w:lang w:val="en-US" w:eastAsia="ru-RU"/>
        </w:rPr>
        <w:t xml:space="preserve"> </w:t>
      </w:r>
      <w:r w:rsidRPr="002307CA">
        <w:rPr>
          <w:rFonts w:cs="Arial"/>
          <w:bCs/>
          <w:szCs w:val="18"/>
          <w:lang w:val="en-US" w:eastAsia="ru-RU"/>
        </w:rPr>
        <w:t>Development of an optimal pneumatic separation process and a plant for metal recovery from mining and metallurgical technogenic waste</w:t>
      </w:r>
      <w:r w:rsidRPr="002307CA">
        <w:rPr>
          <w:rFonts w:cs="Arial"/>
          <w:szCs w:val="18"/>
          <w:lang w:val="en-US" w:eastAsia="ru-RU"/>
        </w:rPr>
        <w:t>: PhD dissertation. — Tashkent, 2018. — 157 p.</w:t>
      </w:r>
      <w:r>
        <w:rPr>
          <w:rFonts w:cs="Arial"/>
          <w:szCs w:val="18"/>
          <w:lang w:val="en-US" w:eastAsia="ru-RU"/>
        </w:rPr>
        <w:t xml:space="preserve"> (in Russian)</w:t>
      </w:r>
    </w:p>
    <w:p w:rsidR="0069262E" w:rsidRDefault="0069262E" w:rsidP="008E6D42">
      <w:pPr>
        <w:rPr>
          <w:rFonts w:cs="Arial"/>
          <w:szCs w:val="18"/>
          <w:lang w:val="en-US" w:eastAsia="ru-RU"/>
        </w:rPr>
      </w:pPr>
    </w:p>
    <w:p w:rsidR="0069262E" w:rsidRPr="0069262E" w:rsidRDefault="0069262E" w:rsidP="0069262E">
      <w:pPr>
        <w:rPr>
          <w:rFonts w:cs="Arial"/>
          <w:szCs w:val="18"/>
          <w:lang w:val="en-US" w:eastAsia="ru-RU"/>
        </w:rPr>
      </w:pPr>
    </w:p>
    <w:p w:rsidR="0069262E" w:rsidRPr="0069262E" w:rsidRDefault="0069262E" w:rsidP="0069262E">
      <w:pPr>
        <w:rPr>
          <w:rFonts w:cs="Arial"/>
          <w:szCs w:val="18"/>
          <w:lang w:val="en-US" w:eastAsia="ru-RU"/>
        </w:rPr>
      </w:pPr>
    </w:p>
    <w:p w:rsidR="0069262E" w:rsidRPr="0069262E" w:rsidRDefault="0069262E" w:rsidP="0069262E">
      <w:pPr>
        <w:rPr>
          <w:rFonts w:cs="Arial"/>
          <w:szCs w:val="18"/>
          <w:lang w:val="en-US" w:eastAsia="ru-RU"/>
        </w:rPr>
      </w:pPr>
    </w:p>
    <w:sectPr w:rsidR="0069262E" w:rsidRPr="0069262E" w:rsidSect="00A14804">
      <w:pgSz w:w="11906" w:h="16838"/>
      <w:pgMar w:top="1701" w:right="1418"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139" w:rsidRDefault="00254139" w:rsidP="00DA72FE">
      <w:pPr>
        <w:spacing w:line="240" w:lineRule="auto"/>
      </w:pPr>
      <w:r>
        <w:separator/>
      </w:r>
    </w:p>
  </w:endnote>
  <w:endnote w:type="continuationSeparator" w:id="0">
    <w:p w:rsidR="00254139" w:rsidRDefault="00254139" w:rsidP="00DA72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dvP6960">
    <w:altName w:val="Times New Roman"/>
    <w:panose1 w:val="00000000000000000000"/>
    <w:charset w:val="4D"/>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139" w:rsidRDefault="00254139" w:rsidP="00DA72FE">
      <w:pPr>
        <w:spacing w:line="240" w:lineRule="auto"/>
      </w:pPr>
      <w:r>
        <w:separator/>
      </w:r>
    </w:p>
  </w:footnote>
  <w:footnote w:type="continuationSeparator" w:id="0">
    <w:p w:rsidR="00254139" w:rsidRDefault="00254139" w:rsidP="00DA72F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1277"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804"/>
    <w:rsid w:val="000356AD"/>
    <w:rsid w:val="000C1F2C"/>
    <w:rsid w:val="00147E9F"/>
    <w:rsid w:val="00165C94"/>
    <w:rsid w:val="001726DD"/>
    <w:rsid w:val="001A62B5"/>
    <w:rsid w:val="001E0313"/>
    <w:rsid w:val="001E763D"/>
    <w:rsid w:val="00202EC5"/>
    <w:rsid w:val="002339C0"/>
    <w:rsid w:val="00254139"/>
    <w:rsid w:val="00272AF1"/>
    <w:rsid w:val="002C7C62"/>
    <w:rsid w:val="002E1959"/>
    <w:rsid w:val="00354D36"/>
    <w:rsid w:val="003F48EA"/>
    <w:rsid w:val="00407D22"/>
    <w:rsid w:val="00421D88"/>
    <w:rsid w:val="00445E3D"/>
    <w:rsid w:val="00657FE3"/>
    <w:rsid w:val="0069262E"/>
    <w:rsid w:val="006F0065"/>
    <w:rsid w:val="00780467"/>
    <w:rsid w:val="0078183C"/>
    <w:rsid w:val="007964E0"/>
    <w:rsid w:val="007C276B"/>
    <w:rsid w:val="007C3296"/>
    <w:rsid w:val="008109DD"/>
    <w:rsid w:val="00837EE0"/>
    <w:rsid w:val="0088184F"/>
    <w:rsid w:val="008E6D42"/>
    <w:rsid w:val="00931579"/>
    <w:rsid w:val="00A14804"/>
    <w:rsid w:val="00A56FFD"/>
    <w:rsid w:val="00B045CC"/>
    <w:rsid w:val="00B056AE"/>
    <w:rsid w:val="00B31925"/>
    <w:rsid w:val="00C251C1"/>
    <w:rsid w:val="00CF12AA"/>
    <w:rsid w:val="00D35F56"/>
    <w:rsid w:val="00D762B8"/>
    <w:rsid w:val="00D91FC4"/>
    <w:rsid w:val="00DA7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F2D244-9635-419C-AB01-904AC3637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CET Top_page"/>
    <w:rsid w:val="00A14804"/>
    <w:pPr>
      <w:tabs>
        <w:tab w:val="right" w:pos="7100"/>
      </w:tabs>
      <w:spacing w:after="0" w:line="264" w:lineRule="auto"/>
      <w:jc w:val="both"/>
    </w:pPr>
    <w:rPr>
      <w:rFonts w:ascii="Arial" w:eastAsia="Times New Roman" w:hAnsi="Arial" w:cs="Times New Roman"/>
      <w:sz w:val="1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TAddress">
    <w:name w:val="CET Address"/>
    <w:link w:val="CETAddressCarattere"/>
    <w:qFormat/>
    <w:rsid w:val="00CF12AA"/>
    <w:pPr>
      <w:keepNext/>
      <w:suppressAutoHyphens/>
      <w:spacing w:after="0" w:line="276" w:lineRule="auto"/>
      <w:contextualSpacing/>
    </w:pPr>
    <w:rPr>
      <w:rFonts w:ascii="Arial" w:eastAsia="Times New Roman" w:hAnsi="Arial" w:cs="Times New Roman"/>
      <w:noProof/>
      <w:sz w:val="16"/>
      <w:szCs w:val="20"/>
      <w:lang w:val="en-GB"/>
    </w:rPr>
  </w:style>
  <w:style w:type="character" w:customStyle="1" w:styleId="CETAddressCarattere">
    <w:name w:val="CET Address Carattere"/>
    <w:link w:val="CETAddress"/>
    <w:rsid w:val="00CF12AA"/>
    <w:rPr>
      <w:rFonts w:ascii="Arial" w:eastAsia="Times New Roman" w:hAnsi="Arial" w:cs="Times New Roman"/>
      <w:noProof/>
      <w:sz w:val="16"/>
      <w:szCs w:val="20"/>
      <w:lang w:val="en-GB"/>
    </w:rPr>
  </w:style>
  <w:style w:type="paragraph" w:customStyle="1" w:styleId="CETAuthors">
    <w:name w:val="CET Authors"/>
    <w:basedOn w:val="CETAddress"/>
    <w:qFormat/>
    <w:rsid w:val="00CF12AA"/>
    <w:rPr>
      <w:sz w:val="24"/>
      <w:szCs w:val="24"/>
      <w:vertAlign w:val="superscript"/>
    </w:rPr>
  </w:style>
  <w:style w:type="paragraph" w:styleId="a3">
    <w:name w:val="Normal (Web)"/>
    <w:basedOn w:val="a"/>
    <w:uiPriority w:val="99"/>
    <w:semiHidden/>
    <w:unhideWhenUsed/>
    <w:rsid w:val="00CF12AA"/>
    <w:pPr>
      <w:tabs>
        <w:tab w:val="clear" w:pos="7100"/>
      </w:tabs>
      <w:spacing w:before="100" w:beforeAutospacing="1" w:after="100" w:afterAutospacing="1" w:line="240" w:lineRule="auto"/>
      <w:jc w:val="left"/>
    </w:pPr>
    <w:rPr>
      <w:rFonts w:ascii="Times New Roman" w:hAnsi="Times New Roman"/>
      <w:sz w:val="24"/>
      <w:szCs w:val="24"/>
      <w:lang w:val="ru-RU" w:eastAsia="ru-RU"/>
    </w:rPr>
  </w:style>
  <w:style w:type="character" w:styleId="a4">
    <w:name w:val="Strong"/>
    <w:basedOn w:val="a0"/>
    <w:uiPriority w:val="22"/>
    <w:qFormat/>
    <w:rsid w:val="00CF12AA"/>
    <w:rPr>
      <w:b/>
      <w:bCs/>
    </w:rPr>
  </w:style>
  <w:style w:type="paragraph" w:customStyle="1" w:styleId="CETBodytext">
    <w:name w:val="CET Body text"/>
    <w:basedOn w:val="a"/>
    <w:link w:val="CETBodytextCarattere"/>
    <w:qFormat/>
    <w:rsid w:val="002339C0"/>
    <w:pPr>
      <w:tabs>
        <w:tab w:val="clear" w:pos="7100"/>
      </w:tabs>
      <w:spacing w:after="160" w:line="259" w:lineRule="auto"/>
    </w:pPr>
    <w:rPr>
      <w:rFonts w:eastAsia="Calibri" w:cs="Arial"/>
      <w:szCs w:val="18"/>
      <w:lang w:val="ru-RU"/>
    </w:rPr>
  </w:style>
  <w:style w:type="paragraph" w:customStyle="1" w:styleId="CETHeading1">
    <w:name w:val="CET Heading1"/>
    <w:next w:val="CETBodytext"/>
    <w:qFormat/>
    <w:rsid w:val="002339C0"/>
    <w:pPr>
      <w:keepNext/>
      <w:numPr>
        <w:ilvl w:val="1"/>
        <w:numId w:val="1"/>
      </w:numPr>
      <w:tabs>
        <w:tab w:val="num" w:pos="360"/>
      </w:tabs>
      <w:suppressAutoHyphens/>
      <w:spacing w:before="240" w:after="120" w:line="240" w:lineRule="auto"/>
      <w:ind w:left="1702"/>
    </w:pPr>
    <w:rPr>
      <w:rFonts w:ascii="Arial" w:eastAsia="Times New Roman" w:hAnsi="Arial" w:cs="Times New Roman"/>
      <w:b/>
      <w:sz w:val="20"/>
      <w:szCs w:val="20"/>
      <w:lang w:val="en-US"/>
    </w:rPr>
  </w:style>
  <w:style w:type="paragraph" w:customStyle="1" w:styleId="CETheadingx">
    <w:name w:val="CET headingx"/>
    <w:next w:val="CETBodytext"/>
    <w:autoRedefine/>
    <w:qFormat/>
    <w:rsid w:val="002339C0"/>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table" w:styleId="1">
    <w:name w:val="Table Simple 1"/>
    <w:basedOn w:val="a1"/>
    <w:semiHidden/>
    <w:rsid w:val="002339C0"/>
    <w:pPr>
      <w:numPr>
        <w:ilvl w:val="3"/>
        <w:numId w:val="1"/>
      </w:numPr>
      <w:spacing w:after="0" w:line="264" w:lineRule="auto"/>
      <w:jc w:val="both"/>
    </w:pPr>
    <w:rPr>
      <w:rFonts w:ascii="Times New Roman" w:eastAsia="Times New Roman" w:hAnsi="Times New Roman" w:cs="Times New Roman"/>
      <w:sz w:val="20"/>
      <w:szCs w:val="20"/>
      <w:lang w:val="it-IT" w:eastAsia="it-IT"/>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2339C0"/>
    <w:rPr>
      <w:rFonts w:ascii="Arial" w:eastAsia="Calibri" w:hAnsi="Arial" w:cs="Arial"/>
      <w:sz w:val="18"/>
      <w:szCs w:val="18"/>
    </w:rPr>
  </w:style>
  <w:style w:type="character" w:customStyle="1" w:styleId="whitespace-normal">
    <w:name w:val="whitespace-normal"/>
    <w:basedOn w:val="a0"/>
    <w:rsid w:val="002339C0"/>
  </w:style>
  <w:style w:type="paragraph" w:styleId="a5">
    <w:name w:val="List Paragraph"/>
    <w:basedOn w:val="a"/>
    <w:qFormat/>
    <w:rsid w:val="002339C0"/>
    <w:pPr>
      <w:ind w:left="720"/>
      <w:contextualSpacing/>
    </w:pPr>
  </w:style>
  <w:style w:type="character" w:styleId="a6">
    <w:name w:val="Placeholder Text"/>
    <w:basedOn w:val="a0"/>
    <w:uiPriority w:val="99"/>
    <w:semiHidden/>
    <w:rsid w:val="00DA72FE"/>
    <w:rPr>
      <w:color w:val="808080"/>
    </w:rPr>
  </w:style>
  <w:style w:type="paragraph" w:styleId="a7">
    <w:name w:val="header"/>
    <w:basedOn w:val="a"/>
    <w:link w:val="a8"/>
    <w:uiPriority w:val="99"/>
    <w:unhideWhenUsed/>
    <w:rsid w:val="00DA72FE"/>
    <w:pPr>
      <w:tabs>
        <w:tab w:val="clear" w:pos="7100"/>
        <w:tab w:val="center" w:pos="4677"/>
        <w:tab w:val="right" w:pos="9355"/>
      </w:tabs>
      <w:spacing w:line="240" w:lineRule="auto"/>
    </w:pPr>
  </w:style>
  <w:style w:type="character" w:customStyle="1" w:styleId="a8">
    <w:name w:val="Верхний колонтитул Знак"/>
    <w:basedOn w:val="a0"/>
    <w:link w:val="a7"/>
    <w:uiPriority w:val="99"/>
    <w:rsid w:val="00DA72FE"/>
    <w:rPr>
      <w:rFonts w:ascii="Arial" w:eastAsia="Times New Roman" w:hAnsi="Arial" w:cs="Times New Roman"/>
      <w:sz w:val="18"/>
      <w:szCs w:val="20"/>
      <w:lang w:val="en-GB"/>
    </w:rPr>
  </w:style>
  <w:style w:type="paragraph" w:styleId="a9">
    <w:name w:val="footer"/>
    <w:basedOn w:val="a"/>
    <w:link w:val="aa"/>
    <w:uiPriority w:val="99"/>
    <w:unhideWhenUsed/>
    <w:rsid w:val="00DA72FE"/>
    <w:pPr>
      <w:tabs>
        <w:tab w:val="clear" w:pos="7100"/>
        <w:tab w:val="center" w:pos="4677"/>
        <w:tab w:val="right" w:pos="9355"/>
      </w:tabs>
      <w:spacing w:line="240" w:lineRule="auto"/>
    </w:pPr>
  </w:style>
  <w:style w:type="character" w:customStyle="1" w:styleId="aa">
    <w:name w:val="Нижний колонтитул Знак"/>
    <w:basedOn w:val="a0"/>
    <w:link w:val="a9"/>
    <w:uiPriority w:val="99"/>
    <w:rsid w:val="00DA72FE"/>
    <w:rPr>
      <w:rFonts w:ascii="Arial" w:eastAsia="Times New Roman" w:hAnsi="Arial" w:cs="Times New Roman"/>
      <w:sz w:val="18"/>
      <w:szCs w:val="20"/>
      <w:lang w:val="en-GB"/>
    </w:rPr>
  </w:style>
  <w:style w:type="paragraph" w:customStyle="1" w:styleId="CETReference">
    <w:name w:val="CET Reference"/>
    <w:qFormat/>
    <w:rsid w:val="00272AF1"/>
    <w:pPr>
      <w:spacing w:before="200" w:after="120" w:line="240" w:lineRule="auto"/>
    </w:pPr>
    <w:rPr>
      <w:rFonts w:ascii="Arial" w:eastAsia="Times New Roman" w:hAnsi="Arial" w:cs="Times New Roman"/>
      <w:b/>
      <w:sz w:val="18"/>
      <w:szCs w:val="20"/>
      <w:lang w:val="en-GB"/>
    </w:rPr>
  </w:style>
  <w:style w:type="table" w:styleId="-26">
    <w:name w:val="List Table 2 Accent 6"/>
    <w:basedOn w:val="a1"/>
    <w:uiPriority w:val="47"/>
    <w:rsid w:val="007C3296"/>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02531">
      <w:bodyDiv w:val="1"/>
      <w:marLeft w:val="0"/>
      <w:marRight w:val="0"/>
      <w:marTop w:val="0"/>
      <w:marBottom w:val="0"/>
      <w:divBdr>
        <w:top w:val="none" w:sz="0" w:space="0" w:color="auto"/>
        <w:left w:val="none" w:sz="0" w:space="0" w:color="auto"/>
        <w:bottom w:val="none" w:sz="0" w:space="0" w:color="auto"/>
        <w:right w:val="none" w:sz="0" w:space="0" w:color="auto"/>
      </w:divBdr>
    </w:div>
    <w:div w:id="74279559">
      <w:bodyDiv w:val="1"/>
      <w:marLeft w:val="0"/>
      <w:marRight w:val="0"/>
      <w:marTop w:val="0"/>
      <w:marBottom w:val="0"/>
      <w:divBdr>
        <w:top w:val="none" w:sz="0" w:space="0" w:color="auto"/>
        <w:left w:val="none" w:sz="0" w:space="0" w:color="auto"/>
        <w:bottom w:val="none" w:sz="0" w:space="0" w:color="auto"/>
        <w:right w:val="none" w:sz="0" w:space="0" w:color="auto"/>
      </w:divBdr>
    </w:div>
    <w:div w:id="137840571">
      <w:bodyDiv w:val="1"/>
      <w:marLeft w:val="0"/>
      <w:marRight w:val="0"/>
      <w:marTop w:val="0"/>
      <w:marBottom w:val="0"/>
      <w:divBdr>
        <w:top w:val="none" w:sz="0" w:space="0" w:color="auto"/>
        <w:left w:val="none" w:sz="0" w:space="0" w:color="auto"/>
        <w:bottom w:val="none" w:sz="0" w:space="0" w:color="auto"/>
        <w:right w:val="none" w:sz="0" w:space="0" w:color="auto"/>
      </w:divBdr>
    </w:div>
    <w:div w:id="140393558">
      <w:bodyDiv w:val="1"/>
      <w:marLeft w:val="0"/>
      <w:marRight w:val="0"/>
      <w:marTop w:val="0"/>
      <w:marBottom w:val="0"/>
      <w:divBdr>
        <w:top w:val="none" w:sz="0" w:space="0" w:color="auto"/>
        <w:left w:val="none" w:sz="0" w:space="0" w:color="auto"/>
        <w:bottom w:val="none" w:sz="0" w:space="0" w:color="auto"/>
        <w:right w:val="none" w:sz="0" w:space="0" w:color="auto"/>
      </w:divBdr>
    </w:div>
    <w:div w:id="203098820">
      <w:bodyDiv w:val="1"/>
      <w:marLeft w:val="0"/>
      <w:marRight w:val="0"/>
      <w:marTop w:val="0"/>
      <w:marBottom w:val="0"/>
      <w:divBdr>
        <w:top w:val="none" w:sz="0" w:space="0" w:color="auto"/>
        <w:left w:val="none" w:sz="0" w:space="0" w:color="auto"/>
        <w:bottom w:val="none" w:sz="0" w:space="0" w:color="auto"/>
        <w:right w:val="none" w:sz="0" w:space="0" w:color="auto"/>
      </w:divBdr>
    </w:div>
    <w:div w:id="309556992">
      <w:bodyDiv w:val="1"/>
      <w:marLeft w:val="0"/>
      <w:marRight w:val="0"/>
      <w:marTop w:val="0"/>
      <w:marBottom w:val="0"/>
      <w:divBdr>
        <w:top w:val="none" w:sz="0" w:space="0" w:color="auto"/>
        <w:left w:val="none" w:sz="0" w:space="0" w:color="auto"/>
        <w:bottom w:val="none" w:sz="0" w:space="0" w:color="auto"/>
        <w:right w:val="none" w:sz="0" w:space="0" w:color="auto"/>
      </w:divBdr>
    </w:div>
    <w:div w:id="428624824">
      <w:bodyDiv w:val="1"/>
      <w:marLeft w:val="0"/>
      <w:marRight w:val="0"/>
      <w:marTop w:val="0"/>
      <w:marBottom w:val="0"/>
      <w:divBdr>
        <w:top w:val="none" w:sz="0" w:space="0" w:color="auto"/>
        <w:left w:val="none" w:sz="0" w:space="0" w:color="auto"/>
        <w:bottom w:val="none" w:sz="0" w:space="0" w:color="auto"/>
        <w:right w:val="none" w:sz="0" w:space="0" w:color="auto"/>
      </w:divBdr>
    </w:div>
    <w:div w:id="432669702">
      <w:bodyDiv w:val="1"/>
      <w:marLeft w:val="0"/>
      <w:marRight w:val="0"/>
      <w:marTop w:val="0"/>
      <w:marBottom w:val="0"/>
      <w:divBdr>
        <w:top w:val="none" w:sz="0" w:space="0" w:color="auto"/>
        <w:left w:val="none" w:sz="0" w:space="0" w:color="auto"/>
        <w:bottom w:val="none" w:sz="0" w:space="0" w:color="auto"/>
        <w:right w:val="none" w:sz="0" w:space="0" w:color="auto"/>
      </w:divBdr>
    </w:div>
    <w:div w:id="434905841">
      <w:bodyDiv w:val="1"/>
      <w:marLeft w:val="0"/>
      <w:marRight w:val="0"/>
      <w:marTop w:val="0"/>
      <w:marBottom w:val="0"/>
      <w:divBdr>
        <w:top w:val="none" w:sz="0" w:space="0" w:color="auto"/>
        <w:left w:val="none" w:sz="0" w:space="0" w:color="auto"/>
        <w:bottom w:val="none" w:sz="0" w:space="0" w:color="auto"/>
        <w:right w:val="none" w:sz="0" w:space="0" w:color="auto"/>
      </w:divBdr>
    </w:div>
    <w:div w:id="585307266">
      <w:bodyDiv w:val="1"/>
      <w:marLeft w:val="0"/>
      <w:marRight w:val="0"/>
      <w:marTop w:val="0"/>
      <w:marBottom w:val="0"/>
      <w:divBdr>
        <w:top w:val="none" w:sz="0" w:space="0" w:color="auto"/>
        <w:left w:val="none" w:sz="0" w:space="0" w:color="auto"/>
        <w:bottom w:val="none" w:sz="0" w:space="0" w:color="auto"/>
        <w:right w:val="none" w:sz="0" w:space="0" w:color="auto"/>
      </w:divBdr>
    </w:div>
    <w:div w:id="717705600">
      <w:bodyDiv w:val="1"/>
      <w:marLeft w:val="0"/>
      <w:marRight w:val="0"/>
      <w:marTop w:val="0"/>
      <w:marBottom w:val="0"/>
      <w:divBdr>
        <w:top w:val="none" w:sz="0" w:space="0" w:color="auto"/>
        <w:left w:val="none" w:sz="0" w:space="0" w:color="auto"/>
        <w:bottom w:val="none" w:sz="0" w:space="0" w:color="auto"/>
        <w:right w:val="none" w:sz="0" w:space="0" w:color="auto"/>
      </w:divBdr>
    </w:div>
    <w:div w:id="773941407">
      <w:bodyDiv w:val="1"/>
      <w:marLeft w:val="0"/>
      <w:marRight w:val="0"/>
      <w:marTop w:val="0"/>
      <w:marBottom w:val="0"/>
      <w:divBdr>
        <w:top w:val="none" w:sz="0" w:space="0" w:color="auto"/>
        <w:left w:val="none" w:sz="0" w:space="0" w:color="auto"/>
        <w:bottom w:val="none" w:sz="0" w:space="0" w:color="auto"/>
        <w:right w:val="none" w:sz="0" w:space="0" w:color="auto"/>
      </w:divBdr>
    </w:div>
    <w:div w:id="793716463">
      <w:bodyDiv w:val="1"/>
      <w:marLeft w:val="0"/>
      <w:marRight w:val="0"/>
      <w:marTop w:val="0"/>
      <w:marBottom w:val="0"/>
      <w:divBdr>
        <w:top w:val="none" w:sz="0" w:space="0" w:color="auto"/>
        <w:left w:val="none" w:sz="0" w:space="0" w:color="auto"/>
        <w:bottom w:val="none" w:sz="0" w:space="0" w:color="auto"/>
        <w:right w:val="none" w:sz="0" w:space="0" w:color="auto"/>
      </w:divBdr>
    </w:div>
    <w:div w:id="817889773">
      <w:bodyDiv w:val="1"/>
      <w:marLeft w:val="0"/>
      <w:marRight w:val="0"/>
      <w:marTop w:val="0"/>
      <w:marBottom w:val="0"/>
      <w:divBdr>
        <w:top w:val="none" w:sz="0" w:space="0" w:color="auto"/>
        <w:left w:val="none" w:sz="0" w:space="0" w:color="auto"/>
        <w:bottom w:val="none" w:sz="0" w:space="0" w:color="auto"/>
        <w:right w:val="none" w:sz="0" w:space="0" w:color="auto"/>
      </w:divBdr>
    </w:div>
    <w:div w:id="825585449">
      <w:bodyDiv w:val="1"/>
      <w:marLeft w:val="0"/>
      <w:marRight w:val="0"/>
      <w:marTop w:val="0"/>
      <w:marBottom w:val="0"/>
      <w:divBdr>
        <w:top w:val="none" w:sz="0" w:space="0" w:color="auto"/>
        <w:left w:val="none" w:sz="0" w:space="0" w:color="auto"/>
        <w:bottom w:val="none" w:sz="0" w:space="0" w:color="auto"/>
        <w:right w:val="none" w:sz="0" w:space="0" w:color="auto"/>
      </w:divBdr>
    </w:div>
    <w:div w:id="846090556">
      <w:bodyDiv w:val="1"/>
      <w:marLeft w:val="0"/>
      <w:marRight w:val="0"/>
      <w:marTop w:val="0"/>
      <w:marBottom w:val="0"/>
      <w:divBdr>
        <w:top w:val="none" w:sz="0" w:space="0" w:color="auto"/>
        <w:left w:val="none" w:sz="0" w:space="0" w:color="auto"/>
        <w:bottom w:val="none" w:sz="0" w:space="0" w:color="auto"/>
        <w:right w:val="none" w:sz="0" w:space="0" w:color="auto"/>
      </w:divBdr>
    </w:div>
    <w:div w:id="890576018">
      <w:bodyDiv w:val="1"/>
      <w:marLeft w:val="0"/>
      <w:marRight w:val="0"/>
      <w:marTop w:val="0"/>
      <w:marBottom w:val="0"/>
      <w:divBdr>
        <w:top w:val="none" w:sz="0" w:space="0" w:color="auto"/>
        <w:left w:val="none" w:sz="0" w:space="0" w:color="auto"/>
        <w:bottom w:val="none" w:sz="0" w:space="0" w:color="auto"/>
        <w:right w:val="none" w:sz="0" w:space="0" w:color="auto"/>
      </w:divBdr>
    </w:div>
    <w:div w:id="1051684828">
      <w:bodyDiv w:val="1"/>
      <w:marLeft w:val="0"/>
      <w:marRight w:val="0"/>
      <w:marTop w:val="0"/>
      <w:marBottom w:val="0"/>
      <w:divBdr>
        <w:top w:val="none" w:sz="0" w:space="0" w:color="auto"/>
        <w:left w:val="none" w:sz="0" w:space="0" w:color="auto"/>
        <w:bottom w:val="none" w:sz="0" w:space="0" w:color="auto"/>
        <w:right w:val="none" w:sz="0" w:space="0" w:color="auto"/>
      </w:divBdr>
    </w:div>
    <w:div w:id="1160736547">
      <w:bodyDiv w:val="1"/>
      <w:marLeft w:val="0"/>
      <w:marRight w:val="0"/>
      <w:marTop w:val="0"/>
      <w:marBottom w:val="0"/>
      <w:divBdr>
        <w:top w:val="none" w:sz="0" w:space="0" w:color="auto"/>
        <w:left w:val="none" w:sz="0" w:space="0" w:color="auto"/>
        <w:bottom w:val="none" w:sz="0" w:space="0" w:color="auto"/>
        <w:right w:val="none" w:sz="0" w:space="0" w:color="auto"/>
      </w:divBdr>
    </w:div>
    <w:div w:id="1409696033">
      <w:bodyDiv w:val="1"/>
      <w:marLeft w:val="0"/>
      <w:marRight w:val="0"/>
      <w:marTop w:val="0"/>
      <w:marBottom w:val="0"/>
      <w:divBdr>
        <w:top w:val="none" w:sz="0" w:space="0" w:color="auto"/>
        <w:left w:val="none" w:sz="0" w:space="0" w:color="auto"/>
        <w:bottom w:val="none" w:sz="0" w:space="0" w:color="auto"/>
        <w:right w:val="none" w:sz="0" w:space="0" w:color="auto"/>
      </w:divBdr>
    </w:div>
    <w:div w:id="1564411121">
      <w:bodyDiv w:val="1"/>
      <w:marLeft w:val="0"/>
      <w:marRight w:val="0"/>
      <w:marTop w:val="0"/>
      <w:marBottom w:val="0"/>
      <w:divBdr>
        <w:top w:val="none" w:sz="0" w:space="0" w:color="auto"/>
        <w:left w:val="none" w:sz="0" w:space="0" w:color="auto"/>
        <w:bottom w:val="none" w:sz="0" w:space="0" w:color="auto"/>
        <w:right w:val="none" w:sz="0" w:space="0" w:color="auto"/>
      </w:divBdr>
    </w:div>
    <w:div w:id="1574437379">
      <w:bodyDiv w:val="1"/>
      <w:marLeft w:val="0"/>
      <w:marRight w:val="0"/>
      <w:marTop w:val="0"/>
      <w:marBottom w:val="0"/>
      <w:divBdr>
        <w:top w:val="none" w:sz="0" w:space="0" w:color="auto"/>
        <w:left w:val="none" w:sz="0" w:space="0" w:color="auto"/>
        <w:bottom w:val="none" w:sz="0" w:space="0" w:color="auto"/>
        <w:right w:val="none" w:sz="0" w:space="0" w:color="auto"/>
      </w:divBdr>
    </w:div>
    <w:div w:id="1637493702">
      <w:bodyDiv w:val="1"/>
      <w:marLeft w:val="0"/>
      <w:marRight w:val="0"/>
      <w:marTop w:val="0"/>
      <w:marBottom w:val="0"/>
      <w:divBdr>
        <w:top w:val="none" w:sz="0" w:space="0" w:color="auto"/>
        <w:left w:val="none" w:sz="0" w:space="0" w:color="auto"/>
        <w:bottom w:val="none" w:sz="0" w:space="0" w:color="auto"/>
        <w:right w:val="none" w:sz="0" w:space="0" w:color="auto"/>
      </w:divBdr>
    </w:div>
    <w:div w:id="1662930843">
      <w:bodyDiv w:val="1"/>
      <w:marLeft w:val="0"/>
      <w:marRight w:val="0"/>
      <w:marTop w:val="0"/>
      <w:marBottom w:val="0"/>
      <w:divBdr>
        <w:top w:val="none" w:sz="0" w:space="0" w:color="auto"/>
        <w:left w:val="none" w:sz="0" w:space="0" w:color="auto"/>
        <w:bottom w:val="none" w:sz="0" w:space="0" w:color="auto"/>
        <w:right w:val="none" w:sz="0" w:space="0" w:color="auto"/>
      </w:divBdr>
    </w:div>
    <w:div w:id="1676835272">
      <w:bodyDiv w:val="1"/>
      <w:marLeft w:val="0"/>
      <w:marRight w:val="0"/>
      <w:marTop w:val="0"/>
      <w:marBottom w:val="0"/>
      <w:divBdr>
        <w:top w:val="none" w:sz="0" w:space="0" w:color="auto"/>
        <w:left w:val="none" w:sz="0" w:space="0" w:color="auto"/>
        <w:bottom w:val="none" w:sz="0" w:space="0" w:color="auto"/>
        <w:right w:val="none" w:sz="0" w:space="0" w:color="auto"/>
      </w:divBdr>
    </w:div>
    <w:div w:id="1684895502">
      <w:bodyDiv w:val="1"/>
      <w:marLeft w:val="0"/>
      <w:marRight w:val="0"/>
      <w:marTop w:val="0"/>
      <w:marBottom w:val="0"/>
      <w:divBdr>
        <w:top w:val="none" w:sz="0" w:space="0" w:color="auto"/>
        <w:left w:val="none" w:sz="0" w:space="0" w:color="auto"/>
        <w:bottom w:val="none" w:sz="0" w:space="0" w:color="auto"/>
        <w:right w:val="none" w:sz="0" w:space="0" w:color="auto"/>
      </w:divBdr>
    </w:div>
    <w:div w:id="2106000023">
      <w:bodyDiv w:val="1"/>
      <w:marLeft w:val="0"/>
      <w:marRight w:val="0"/>
      <w:marTop w:val="0"/>
      <w:marBottom w:val="0"/>
      <w:divBdr>
        <w:top w:val="none" w:sz="0" w:space="0" w:color="auto"/>
        <w:left w:val="none" w:sz="0" w:space="0" w:color="auto"/>
        <w:bottom w:val="none" w:sz="0" w:space="0" w:color="auto"/>
        <w:right w:val="none" w:sz="0" w:space="0" w:color="auto"/>
      </w:divBdr>
    </w:div>
    <w:div w:id="2127775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5556</TotalTime>
  <Pages>7</Pages>
  <Words>3907</Words>
  <Characters>22270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Baxodir</dc:creator>
  <cp:keywords/>
  <dc:description/>
  <cp:lastModifiedBy>Baxodir</cp:lastModifiedBy>
  <cp:revision>4</cp:revision>
  <dcterms:created xsi:type="dcterms:W3CDTF">2026-06-11T08:51:00Z</dcterms:created>
  <dcterms:modified xsi:type="dcterms:W3CDTF">2026-06-15T06:16:00Z</dcterms:modified>
</cp:coreProperties>
</file>