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6"/>
        <w:gridCol w:w="1843"/>
      </w:tblGrid>
      <w:tr w:rsidR="00373F77" w:rsidRPr="00373F77" w14:paraId="04E548AB" w14:textId="77777777" w:rsidTr="00345792">
        <w:trPr>
          <w:trHeight w:val="852"/>
          <w:jc w:val="center"/>
        </w:trPr>
        <w:tc>
          <w:tcPr>
            <w:tcW w:w="6946" w:type="dxa"/>
            <w:vMerge w:val="restart"/>
            <w:tcBorders>
              <w:right w:val="single" w:sz="4" w:space="0" w:color="auto"/>
            </w:tcBorders>
          </w:tcPr>
          <w:p w14:paraId="097E588E" w14:textId="77777777" w:rsidR="00373F77" w:rsidRPr="00373F77" w:rsidRDefault="00373F77" w:rsidP="00373F77">
            <w:pPr>
              <w:tabs>
                <w:tab w:val="left" w:pos="-108"/>
              </w:tabs>
              <w:spacing w:after="0" w:line="264" w:lineRule="auto"/>
              <w:ind w:left="-108"/>
              <w:jc w:val="left"/>
              <w:rPr>
                <w:rFonts w:cs="Arial"/>
                <w:b/>
                <w:bCs/>
                <w:i/>
                <w:iCs/>
                <w:color w:val="000066"/>
                <w:sz w:val="12"/>
                <w:szCs w:val="12"/>
                <w:lang w:eastAsia="it-IT"/>
              </w:rPr>
            </w:pPr>
            <w:bookmarkStart w:id="0" w:name="_Hlk145068772"/>
            <w:r w:rsidRPr="00373F77">
              <w:rPr>
                <w:rFonts w:ascii="AdvP6960" w:hAnsi="AdvP6960" w:cs="AdvP6960"/>
                <w:noProof/>
                <w:color w:val="241F20"/>
                <w:szCs w:val="18"/>
                <w:lang w:val="ru-RU" w:eastAsia="ru-RU"/>
              </w:rPr>
              <w:drawing>
                <wp:inline distT="0" distB="0" distL="0" distR="0" wp14:anchorId="49B8C358" wp14:editId="502AE826">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373F77">
              <w:rPr>
                <w:rFonts w:ascii="AdvP6960" w:hAnsi="AdvP6960" w:cs="AdvP6960"/>
                <w:color w:val="241F20"/>
                <w:szCs w:val="18"/>
                <w:lang w:eastAsia="it-IT"/>
              </w:rPr>
              <w:t xml:space="preserve"> </w:t>
            </w:r>
            <w:r w:rsidRPr="00373F77">
              <w:rPr>
                <w:rFonts w:cs="Arial"/>
                <w:b/>
                <w:bCs/>
                <w:i/>
                <w:iCs/>
                <w:color w:val="000066"/>
                <w:sz w:val="24"/>
                <w:szCs w:val="24"/>
                <w:lang w:eastAsia="it-IT"/>
              </w:rPr>
              <w:t>CHEMICAL ENGINEERING</w:t>
            </w:r>
            <w:r w:rsidRPr="00373F77">
              <w:rPr>
                <w:rFonts w:cs="Arial"/>
                <w:b/>
                <w:bCs/>
                <w:i/>
                <w:iCs/>
                <w:color w:val="0033FF"/>
                <w:sz w:val="24"/>
                <w:szCs w:val="24"/>
                <w:lang w:eastAsia="it-IT"/>
              </w:rPr>
              <w:t xml:space="preserve"> </w:t>
            </w:r>
            <w:r w:rsidRPr="00373F77">
              <w:rPr>
                <w:rFonts w:cs="Arial"/>
                <w:b/>
                <w:bCs/>
                <w:i/>
                <w:iCs/>
                <w:color w:val="666666"/>
                <w:sz w:val="24"/>
                <w:szCs w:val="24"/>
                <w:lang w:eastAsia="it-IT"/>
              </w:rPr>
              <w:t>TRANSACTIONS</w:t>
            </w:r>
            <w:r w:rsidRPr="00373F77">
              <w:rPr>
                <w:color w:val="333333"/>
                <w:sz w:val="24"/>
                <w:szCs w:val="24"/>
                <w:lang w:eastAsia="it-IT"/>
              </w:rPr>
              <w:t xml:space="preserve"> </w:t>
            </w:r>
            <w:r w:rsidRPr="00373F77">
              <w:rPr>
                <w:rFonts w:cs="Arial"/>
                <w:b/>
                <w:bCs/>
                <w:i/>
                <w:iCs/>
                <w:color w:val="000066"/>
                <w:sz w:val="27"/>
                <w:szCs w:val="27"/>
                <w:lang w:eastAsia="it-IT"/>
              </w:rPr>
              <w:br/>
            </w:r>
          </w:p>
          <w:p w14:paraId="4F17EC51" w14:textId="77777777" w:rsidR="00373F77" w:rsidRPr="00373F77" w:rsidRDefault="00373F77" w:rsidP="00373F77">
            <w:pPr>
              <w:tabs>
                <w:tab w:val="left" w:pos="-108"/>
              </w:tabs>
              <w:spacing w:after="0" w:line="264" w:lineRule="auto"/>
              <w:ind w:left="-108"/>
              <w:rPr>
                <w:rFonts w:cs="Arial"/>
                <w:b/>
                <w:bCs/>
                <w:i/>
                <w:iCs/>
                <w:color w:val="000066"/>
                <w:sz w:val="22"/>
                <w:szCs w:val="22"/>
                <w:lang w:eastAsia="it-IT"/>
              </w:rPr>
            </w:pPr>
            <w:r w:rsidRPr="00373F77">
              <w:rPr>
                <w:rFonts w:cs="Arial"/>
                <w:b/>
                <w:bCs/>
                <w:i/>
                <w:iCs/>
                <w:color w:val="000066"/>
                <w:sz w:val="22"/>
                <w:szCs w:val="22"/>
                <w:lang w:eastAsia="it-IT"/>
              </w:rPr>
              <w:t>VOL. xxx, 2026</w:t>
            </w:r>
          </w:p>
        </w:tc>
        <w:tc>
          <w:tcPr>
            <w:tcW w:w="1843" w:type="dxa"/>
            <w:tcBorders>
              <w:left w:val="single" w:sz="4" w:space="0" w:color="auto"/>
              <w:bottom w:val="nil"/>
              <w:right w:val="single" w:sz="4" w:space="0" w:color="auto"/>
            </w:tcBorders>
          </w:tcPr>
          <w:p w14:paraId="63D1CA1F" w14:textId="77777777" w:rsidR="00373F77" w:rsidRPr="00373F77" w:rsidRDefault="00373F77" w:rsidP="00373F77">
            <w:pPr>
              <w:spacing w:after="0" w:line="140" w:lineRule="atLeast"/>
              <w:jc w:val="right"/>
              <w:rPr>
                <w:rFonts w:cs="Arial"/>
                <w:color w:val="auto"/>
                <w:sz w:val="14"/>
                <w:szCs w:val="14"/>
              </w:rPr>
            </w:pPr>
            <w:r w:rsidRPr="00373F77">
              <w:rPr>
                <w:rFonts w:cs="Arial"/>
                <w:color w:val="auto"/>
                <w:sz w:val="14"/>
                <w:szCs w:val="14"/>
              </w:rPr>
              <w:t>A publication of</w:t>
            </w:r>
          </w:p>
          <w:p w14:paraId="0243FA48" w14:textId="77777777" w:rsidR="00373F77" w:rsidRPr="00373F77" w:rsidRDefault="00373F77" w:rsidP="00373F77">
            <w:pPr>
              <w:spacing w:after="0" w:line="264" w:lineRule="auto"/>
              <w:jc w:val="right"/>
              <w:rPr>
                <w:color w:val="auto"/>
              </w:rPr>
            </w:pPr>
            <w:r w:rsidRPr="00373F77">
              <w:rPr>
                <w:noProof/>
                <w:color w:val="auto"/>
                <w:lang w:val="ru-RU" w:eastAsia="ru-RU"/>
              </w:rPr>
              <w:drawing>
                <wp:inline distT="0" distB="0" distL="0" distR="0" wp14:anchorId="1918EA33" wp14:editId="6BDD6BAF">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373F77" w:rsidRPr="00373F77" w14:paraId="2A20DDF6" w14:textId="77777777" w:rsidTr="00345792">
        <w:trPr>
          <w:trHeight w:val="567"/>
          <w:jc w:val="center"/>
        </w:trPr>
        <w:tc>
          <w:tcPr>
            <w:tcW w:w="6946" w:type="dxa"/>
            <w:vMerge/>
            <w:tcBorders>
              <w:right w:val="single" w:sz="4" w:space="0" w:color="auto"/>
            </w:tcBorders>
          </w:tcPr>
          <w:p w14:paraId="6B21778D" w14:textId="77777777" w:rsidR="00373F77" w:rsidRPr="00373F77" w:rsidRDefault="00373F77" w:rsidP="00373F77">
            <w:pPr>
              <w:tabs>
                <w:tab w:val="left" w:pos="-108"/>
              </w:tabs>
              <w:spacing w:after="0" w:line="264" w:lineRule="auto"/>
              <w:rPr>
                <w:color w:val="auto"/>
              </w:rPr>
            </w:pPr>
          </w:p>
        </w:tc>
        <w:tc>
          <w:tcPr>
            <w:tcW w:w="1843" w:type="dxa"/>
            <w:tcBorders>
              <w:left w:val="single" w:sz="4" w:space="0" w:color="auto"/>
              <w:bottom w:val="nil"/>
              <w:right w:val="single" w:sz="4" w:space="0" w:color="auto"/>
            </w:tcBorders>
          </w:tcPr>
          <w:p w14:paraId="7DF44C3A" w14:textId="77777777" w:rsidR="00373F77" w:rsidRPr="00373F77" w:rsidRDefault="00373F77" w:rsidP="00373F77">
            <w:pPr>
              <w:spacing w:after="0" w:line="140" w:lineRule="atLeast"/>
              <w:jc w:val="right"/>
              <w:rPr>
                <w:rFonts w:cs="Arial"/>
                <w:color w:val="auto"/>
                <w:sz w:val="14"/>
                <w:szCs w:val="14"/>
              </w:rPr>
            </w:pPr>
            <w:r w:rsidRPr="00373F77">
              <w:rPr>
                <w:rFonts w:cs="Arial"/>
                <w:color w:val="auto"/>
                <w:sz w:val="14"/>
                <w:szCs w:val="14"/>
              </w:rPr>
              <w:t>The Italian Association</w:t>
            </w:r>
          </w:p>
          <w:p w14:paraId="201D5345" w14:textId="77777777" w:rsidR="00373F77" w:rsidRPr="00373F77" w:rsidRDefault="00373F77" w:rsidP="00373F77">
            <w:pPr>
              <w:spacing w:after="0" w:line="140" w:lineRule="atLeast"/>
              <w:jc w:val="right"/>
              <w:rPr>
                <w:rFonts w:cs="Arial"/>
                <w:color w:val="auto"/>
                <w:sz w:val="14"/>
                <w:szCs w:val="14"/>
              </w:rPr>
            </w:pPr>
            <w:r w:rsidRPr="00373F77">
              <w:rPr>
                <w:rFonts w:cs="Arial"/>
                <w:color w:val="auto"/>
                <w:sz w:val="14"/>
                <w:szCs w:val="14"/>
              </w:rPr>
              <w:t>of Chemical Engineering</w:t>
            </w:r>
          </w:p>
          <w:p w14:paraId="20103DD5" w14:textId="77777777" w:rsidR="00373F77" w:rsidRPr="00373F77" w:rsidRDefault="00373F77" w:rsidP="00373F77">
            <w:pPr>
              <w:spacing w:after="0" w:line="140" w:lineRule="atLeast"/>
              <w:jc w:val="right"/>
              <w:rPr>
                <w:rFonts w:cs="Arial"/>
                <w:color w:val="auto"/>
                <w:sz w:val="13"/>
                <w:szCs w:val="13"/>
              </w:rPr>
            </w:pPr>
            <w:r w:rsidRPr="00373F77">
              <w:rPr>
                <w:rFonts w:cs="Arial"/>
                <w:color w:val="auto"/>
                <w:sz w:val="13"/>
                <w:szCs w:val="13"/>
              </w:rPr>
              <w:t>Online at www.cetjournal.it</w:t>
            </w:r>
          </w:p>
        </w:tc>
      </w:tr>
      <w:tr w:rsidR="00373F77" w:rsidRPr="00373F77" w14:paraId="0F65A6B2" w14:textId="77777777" w:rsidTr="00345792">
        <w:trPr>
          <w:trHeight w:val="68"/>
          <w:jc w:val="center"/>
        </w:trPr>
        <w:tc>
          <w:tcPr>
            <w:tcW w:w="8789" w:type="dxa"/>
            <w:gridSpan w:val="2"/>
          </w:tcPr>
          <w:p w14:paraId="49EFE814" w14:textId="77777777" w:rsidR="00373F77" w:rsidRPr="00373F77" w:rsidRDefault="00373F77" w:rsidP="00373F77">
            <w:pPr>
              <w:spacing w:after="0" w:line="264" w:lineRule="auto"/>
              <w:ind w:left="-107"/>
              <w:outlineLvl w:val="2"/>
              <w:rPr>
                <w:rFonts w:ascii="Tahoma" w:hAnsi="Tahoma" w:cs="Tahoma"/>
                <w:sz w:val="14"/>
                <w:szCs w:val="14"/>
                <w:shd w:val="clear" w:color="auto" w:fill="FFFFFF"/>
                <w:lang w:val="it-IT"/>
              </w:rPr>
            </w:pPr>
            <w:r w:rsidRPr="00373F77">
              <w:rPr>
                <w:rFonts w:ascii="Tahoma" w:hAnsi="Tahoma" w:cs="Tahoma"/>
                <w:iCs/>
                <w:color w:val="333333"/>
                <w:sz w:val="14"/>
                <w:szCs w:val="14"/>
                <w:lang w:val="it-IT" w:eastAsia="it-IT"/>
              </w:rPr>
              <w:t>Guest Editors:</w:t>
            </w:r>
            <w:r w:rsidRPr="00373F77">
              <w:rPr>
                <w:rFonts w:ascii="Tahoma" w:hAnsi="Tahoma" w:cs="Tahoma"/>
                <w:sz w:val="14"/>
                <w:szCs w:val="14"/>
                <w:shd w:val="clear" w:color="auto" w:fill="FFFFFF"/>
                <w:lang w:val="it-IT"/>
              </w:rPr>
              <w:t xml:space="preserve"> Flavio Manenti, Botir Usmonov, Alessandro Di Pretoro</w:t>
            </w:r>
          </w:p>
          <w:p w14:paraId="13A72C92" w14:textId="77777777" w:rsidR="00373F77" w:rsidRPr="00373F77" w:rsidRDefault="00373F77" w:rsidP="00373F77">
            <w:pPr>
              <w:tabs>
                <w:tab w:val="left" w:pos="-108"/>
              </w:tabs>
              <w:spacing w:after="0" w:line="140" w:lineRule="atLeast"/>
              <w:ind w:left="-107"/>
              <w:jc w:val="left"/>
              <w:rPr>
                <w:color w:val="auto"/>
              </w:rPr>
            </w:pPr>
            <w:r w:rsidRPr="00373F77">
              <w:rPr>
                <w:rFonts w:ascii="Tahoma" w:hAnsi="Tahoma" w:cs="Tahoma"/>
                <w:iCs/>
                <w:color w:val="333333"/>
                <w:sz w:val="14"/>
                <w:szCs w:val="14"/>
                <w:lang w:eastAsia="it-IT"/>
              </w:rPr>
              <w:t>Copyright © 2026, AIDIC Servizi S.r.l.</w:t>
            </w:r>
            <w:r w:rsidRPr="00373F77">
              <w:rPr>
                <w:rFonts w:ascii="Tahoma" w:hAnsi="Tahoma" w:cs="Tahoma"/>
                <w:iCs/>
                <w:color w:val="333333"/>
                <w:sz w:val="14"/>
                <w:szCs w:val="14"/>
                <w:lang w:eastAsia="it-IT"/>
              </w:rPr>
              <w:br/>
            </w:r>
            <w:r w:rsidRPr="00373F77">
              <w:rPr>
                <w:rFonts w:ascii="Tahoma" w:hAnsi="Tahoma" w:cs="Tahoma"/>
                <w:b/>
                <w:iCs/>
                <w:sz w:val="14"/>
                <w:szCs w:val="14"/>
                <w:lang w:eastAsia="it-IT"/>
              </w:rPr>
              <w:t>ISBN</w:t>
            </w:r>
            <w:r w:rsidRPr="00373F77">
              <w:rPr>
                <w:rFonts w:ascii="Tahoma" w:hAnsi="Tahoma" w:cs="Tahoma"/>
                <w:iCs/>
                <w:sz w:val="14"/>
                <w:szCs w:val="14"/>
                <w:lang w:eastAsia="it-IT"/>
              </w:rPr>
              <w:t xml:space="preserve"> </w:t>
            </w:r>
            <w:r w:rsidRPr="00373F77">
              <w:rPr>
                <w:rFonts w:ascii="Tahoma" w:hAnsi="Tahoma" w:cs="Tahoma"/>
                <w:color w:val="auto"/>
                <w:sz w:val="14"/>
                <w:szCs w:val="14"/>
              </w:rPr>
              <w:t>979-12-81206-xx-x</w:t>
            </w:r>
            <w:r w:rsidRPr="00373F77">
              <w:rPr>
                <w:rFonts w:ascii="Tahoma" w:hAnsi="Tahoma" w:cs="Tahoma"/>
                <w:iCs/>
                <w:color w:val="333333"/>
                <w:sz w:val="14"/>
                <w:szCs w:val="14"/>
                <w:lang w:eastAsia="it-IT"/>
              </w:rPr>
              <w:t xml:space="preserve">; </w:t>
            </w:r>
            <w:r w:rsidRPr="00373F77">
              <w:rPr>
                <w:rFonts w:ascii="Tahoma" w:hAnsi="Tahoma" w:cs="Tahoma"/>
                <w:b/>
                <w:iCs/>
                <w:color w:val="333333"/>
                <w:sz w:val="14"/>
                <w:szCs w:val="14"/>
                <w:lang w:eastAsia="it-IT"/>
              </w:rPr>
              <w:t>ISSN</w:t>
            </w:r>
            <w:r w:rsidRPr="00373F77">
              <w:rPr>
                <w:rFonts w:ascii="Tahoma" w:hAnsi="Tahoma" w:cs="Tahoma"/>
                <w:iCs/>
                <w:color w:val="333333"/>
                <w:sz w:val="14"/>
                <w:szCs w:val="14"/>
                <w:lang w:eastAsia="it-IT"/>
              </w:rPr>
              <w:t xml:space="preserve"> 2283-9216</w:t>
            </w:r>
          </w:p>
        </w:tc>
      </w:tr>
    </w:tbl>
    <w:bookmarkEnd w:id="0"/>
    <w:p w14:paraId="5CDBEA4C" w14:textId="77777777" w:rsidR="00373F77" w:rsidRPr="00373F77" w:rsidRDefault="00373F77" w:rsidP="00373F77">
      <w:pPr>
        <w:tabs>
          <w:tab w:val="clear" w:pos="7100"/>
        </w:tabs>
        <w:suppressAutoHyphens/>
        <w:spacing w:before="480" w:after="120" w:line="264" w:lineRule="auto"/>
        <w:jc w:val="center"/>
        <w:outlineLvl w:val="0"/>
        <w:rPr>
          <w:color w:val="auto"/>
          <w:sz w:val="32"/>
        </w:rPr>
      </w:pPr>
      <w:r w:rsidRPr="00373F77">
        <w:rPr>
          <w:color w:val="auto"/>
          <w:sz w:val="32"/>
        </w:rPr>
        <w:t>PHYSICOCHEMICAL ANALYSIS OF THE PROCESS OF OBTAINING Na</w:t>
      </w:r>
      <w:r w:rsidRPr="00373F77">
        <w:rPr>
          <w:color w:val="auto"/>
          <w:sz w:val="32"/>
          <w:vertAlign w:val="subscript"/>
        </w:rPr>
        <w:t>2</w:t>
      </w:r>
      <w:r w:rsidRPr="00373F77">
        <w:rPr>
          <w:color w:val="auto"/>
          <w:sz w:val="32"/>
        </w:rPr>
        <w:t>SO</w:t>
      </w:r>
      <w:r w:rsidRPr="00373F77">
        <w:rPr>
          <w:color w:val="auto"/>
          <w:sz w:val="32"/>
          <w:vertAlign w:val="subscript"/>
        </w:rPr>
        <w:t>3</w:t>
      </w:r>
      <w:r w:rsidRPr="00373F77">
        <w:rPr>
          <w:color w:val="auto"/>
          <w:sz w:val="32"/>
        </w:rPr>
        <w:t xml:space="preserve"> FROM WASTE SULFURIC ACID</w:t>
      </w:r>
    </w:p>
    <w:p w14:paraId="7BB84909" w14:textId="77777777" w:rsidR="00373F77" w:rsidRPr="00373F77" w:rsidRDefault="00373F77" w:rsidP="00373F77">
      <w:pPr>
        <w:keepNext/>
        <w:suppressAutoHyphens/>
        <w:spacing w:after="120" w:line="264" w:lineRule="auto"/>
        <w:rPr>
          <w:noProof/>
          <w:color w:val="auto"/>
          <w:sz w:val="24"/>
        </w:rPr>
      </w:pPr>
      <w:r w:rsidRPr="00373F77">
        <w:rPr>
          <w:noProof/>
          <w:color w:val="auto"/>
          <w:sz w:val="24"/>
        </w:rPr>
        <w:t>Toshtemirov A</w:t>
      </w:r>
      <w:r w:rsidRPr="00373F77">
        <w:rPr>
          <w:noProof/>
          <w:color w:val="auto"/>
          <w:sz w:val="24"/>
          <w:vertAlign w:val="superscript"/>
          <w:lang w:val="en-US"/>
        </w:rPr>
        <w:t>*</w:t>
      </w:r>
      <w:r w:rsidRPr="00373F77">
        <w:rPr>
          <w:noProof/>
          <w:color w:val="auto"/>
          <w:sz w:val="24"/>
        </w:rPr>
        <w:t>, Erkayev A</w:t>
      </w:r>
      <w:r w:rsidRPr="00373F77">
        <w:rPr>
          <w:noProof/>
          <w:color w:val="auto"/>
          <w:sz w:val="24"/>
          <w:vertAlign w:val="superscript"/>
        </w:rPr>
        <w:t>*</w:t>
      </w:r>
      <w:r w:rsidRPr="00373F77">
        <w:rPr>
          <w:noProof/>
          <w:color w:val="auto"/>
          <w:sz w:val="24"/>
        </w:rPr>
        <w:t>, Koshanova B</w:t>
      </w:r>
      <w:r w:rsidRPr="00373F77">
        <w:rPr>
          <w:noProof/>
          <w:color w:val="auto"/>
          <w:sz w:val="24"/>
          <w:vertAlign w:val="superscript"/>
        </w:rPr>
        <w:t>*</w:t>
      </w:r>
    </w:p>
    <w:p w14:paraId="67D6DFE5" w14:textId="77777777" w:rsidR="00373F77" w:rsidRPr="00373F77" w:rsidRDefault="00373F77" w:rsidP="00373F77">
      <w:pPr>
        <w:keepNext/>
        <w:tabs>
          <w:tab w:val="clear" w:pos="7100"/>
        </w:tabs>
        <w:suppressAutoHyphens/>
        <w:spacing w:after="0" w:line="276" w:lineRule="auto"/>
        <w:contextualSpacing/>
        <w:jc w:val="left"/>
        <w:rPr>
          <w:noProof/>
          <w:color w:val="auto"/>
          <w:szCs w:val="18"/>
        </w:rPr>
      </w:pPr>
      <w:r w:rsidRPr="00373F77">
        <w:rPr>
          <w:noProof/>
          <w:color w:val="auto"/>
          <w:szCs w:val="18"/>
          <w:vertAlign w:val="superscript"/>
        </w:rPr>
        <w:t>a</w:t>
      </w:r>
      <w:r w:rsidRPr="00373F77">
        <w:rPr>
          <w:noProof/>
          <w:color w:val="auto"/>
          <w:szCs w:val="18"/>
        </w:rPr>
        <w:t xml:space="preserve">Tashkent Institute of Chemical Technology –Navoi Avenue 32, Tashkent-   </w:t>
      </w:r>
      <w:hyperlink r:id="rId10" w:history="1">
        <w:r w:rsidRPr="00373F77">
          <w:rPr>
            <w:noProof/>
            <w:color w:val="0000FF" w:themeColor="hyperlink"/>
            <w:szCs w:val="18"/>
            <w:u w:val="single"/>
          </w:rPr>
          <w:t>info@tkti.uz</w:t>
        </w:r>
      </w:hyperlink>
    </w:p>
    <w:p w14:paraId="39583753" w14:textId="77777777" w:rsidR="00373F77" w:rsidRPr="00373F77" w:rsidRDefault="00373F77" w:rsidP="00373F77">
      <w:pPr>
        <w:spacing w:after="0" w:line="264" w:lineRule="auto"/>
        <w:rPr>
          <w:color w:val="auto"/>
          <w:lang w:val="en-US"/>
        </w:rPr>
      </w:pPr>
      <w:r w:rsidRPr="00373F77">
        <w:rPr>
          <w:color w:val="auto"/>
          <w:lang w:val="en-US"/>
        </w:rPr>
        <w:t xml:space="preserve">*Toshtemirov A -  </w:t>
      </w:r>
      <w:hyperlink r:id="rId11" w:history="1">
        <w:r w:rsidRPr="00373F77">
          <w:rPr>
            <w:color w:val="0000FF" w:themeColor="hyperlink"/>
            <w:u w:val="single"/>
            <w:lang w:val="en-US"/>
          </w:rPr>
          <w:t>azizbek.1999.11.24@gmail.com</w:t>
        </w:r>
      </w:hyperlink>
      <w:r w:rsidRPr="00373F77">
        <w:rPr>
          <w:color w:val="auto"/>
          <w:lang w:val="en-US"/>
        </w:rPr>
        <w:t xml:space="preserve"> </w:t>
      </w:r>
    </w:p>
    <w:p w14:paraId="084F2A8C" w14:textId="77777777" w:rsidR="00373F77" w:rsidRPr="00373F77" w:rsidRDefault="00373F77" w:rsidP="00373F77">
      <w:pPr>
        <w:spacing w:after="0" w:line="264" w:lineRule="auto"/>
        <w:rPr>
          <w:color w:val="auto"/>
          <w:lang w:val="en-US"/>
        </w:rPr>
      </w:pPr>
      <w:r w:rsidRPr="00373F77">
        <w:rPr>
          <w:color w:val="auto"/>
          <w:lang w:val="en-US"/>
        </w:rPr>
        <w:t xml:space="preserve">*Erkayev A -  </w:t>
      </w:r>
      <w:hyperlink r:id="rId12" w:history="1">
        <w:r w:rsidRPr="00373F77">
          <w:rPr>
            <w:color w:val="0000FF" w:themeColor="hyperlink"/>
            <w:u w:val="single"/>
            <w:lang w:val="en-US"/>
          </w:rPr>
          <w:t>Aerkaev61@mail.ru</w:t>
        </w:r>
      </w:hyperlink>
      <w:r w:rsidRPr="00373F77">
        <w:rPr>
          <w:color w:val="auto"/>
          <w:lang w:val="en-US"/>
        </w:rPr>
        <w:t xml:space="preserve"> </w:t>
      </w:r>
    </w:p>
    <w:p w14:paraId="601FE398" w14:textId="77777777" w:rsidR="00373F77" w:rsidRPr="00373F77" w:rsidRDefault="00373F77" w:rsidP="00373F77">
      <w:pPr>
        <w:spacing w:after="0" w:line="264" w:lineRule="auto"/>
        <w:rPr>
          <w:color w:val="auto"/>
          <w:lang w:val="en-US"/>
        </w:rPr>
      </w:pPr>
      <w:r w:rsidRPr="00373F77">
        <w:rPr>
          <w:color w:val="auto"/>
          <w:lang w:val="en-US"/>
        </w:rPr>
        <w:t xml:space="preserve">*Koshanova B –  </w:t>
      </w:r>
      <w:hyperlink r:id="rId13" w:history="1">
        <w:r w:rsidRPr="00373F77">
          <w:rPr>
            <w:color w:val="0000FF" w:themeColor="hyperlink"/>
            <w:u w:val="single"/>
            <w:lang w:val="en-US"/>
          </w:rPr>
          <w:t>koshanova_nmkt@mail.ru</w:t>
        </w:r>
      </w:hyperlink>
      <w:r w:rsidRPr="00373F77">
        <w:rPr>
          <w:color w:val="auto"/>
          <w:lang w:val="en-US"/>
        </w:rPr>
        <w:t xml:space="preserve"> </w:t>
      </w:r>
    </w:p>
    <w:p w14:paraId="4F386233" w14:textId="77777777" w:rsidR="00373F77" w:rsidRDefault="00373F77">
      <w:pPr>
        <w:pStyle w:val="CETBodytext"/>
        <w:rPr>
          <w:lang w:val="ru-RU"/>
        </w:rPr>
      </w:pPr>
    </w:p>
    <w:p w14:paraId="6540757D" w14:textId="4D174A62" w:rsidR="00373F77" w:rsidRPr="00373F77" w:rsidRDefault="00373F77">
      <w:pPr>
        <w:pStyle w:val="CETBodytext"/>
        <w:rPr>
          <w:b/>
          <w:bCs/>
        </w:rPr>
      </w:pPr>
      <w:r w:rsidRPr="00373F77">
        <w:rPr>
          <w:b/>
          <w:bCs/>
        </w:rPr>
        <w:t>Abstract</w:t>
      </w:r>
    </w:p>
    <w:p w14:paraId="05767E7E" w14:textId="1488F58A" w:rsidR="009A62D7" w:rsidRDefault="00000000">
      <w:pPr>
        <w:pStyle w:val="CETBodytext"/>
      </w:pPr>
      <w:r>
        <w:t>Waste sulfuric acid from Navoiyazot JSC was investigated as a secondary sulfur source for sodium sulfite production. The laboratory sequence comprised thermal treatment, condensation, two-stage absorption in sodium hydroxide solution, evaporation, filtration and drying. The reported acid concentration was 84.75 wt.%. Absorbent concentrations of 5–20 % were examined. In the 20 % experiment, the two absorbers yielded 11.85 and 5.92 g of dried solid, respectively, giving a combined recovered mass of 17.77 g. X-ray diffraction was consistent with the presence of crystalline Na</w:t>
      </w:r>
      <w:r w:rsidR="00373F77" w:rsidRPr="00373F77">
        <w:rPr>
          <w:vertAlign w:val="subscript"/>
        </w:rPr>
        <w:t>2</w:t>
      </w:r>
      <w:r>
        <w:t>SO</w:t>
      </w:r>
      <w:r w:rsidR="00373F77" w:rsidRPr="00373F77">
        <w:rPr>
          <w:vertAlign w:val="subscript"/>
        </w:rPr>
        <w:t>3</w:t>
      </w:r>
      <w:r>
        <w:t>, but did not establish quantitative purity. Thermal analysis showed measurable mass changes and a thermal event near 741 °C. Density and viscosity measurements describe the behaviour of the recovered-product solutions. The results support further evaluation of waste-acid conversion, while gas speciation, sulfur recovery and product assay remain necessary to establish selectivity and process performance.</w:t>
      </w:r>
    </w:p>
    <w:p w14:paraId="511F4170" w14:textId="77777777" w:rsidR="00373F77" w:rsidRPr="00373F77" w:rsidRDefault="00373F77" w:rsidP="00373F77">
      <w:pPr>
        <w:pStyle w:val="CETBodytext"/>
      </w:pPr>
      <w:r w:rsidRPr="00373F77">
        <w:rPr>
          <w:b/>
        </w:rPr>
        <w:t xml:space="preserve">Key words: </w:t>
      </w:r>
      <w:r w:rsidRPr="00373F77">
        <w:t>air pollution, WHO (WORLD HEALTH ORGANIZATION), DTA (differential thermal analyses), sodium sulfite, X-ray analyses, rheological analyses.</w:t>
      </w:r>
    </w:p>
    <w:p w14:paraId="66471C8D" w14:textId="77777777" w:rsidR="00373F77" w:rsidRPr="00373F77" w:rsidRDefault="00373F77">
      <w:pPr>
        <w:pStyle w:val="CETBodytext"/>
      </w:pPr>
    </w:p>
    <w:p w14:paraId="2DDF5315" w14:textId="77777777" w:rsidR="009A62D7" w:rsidRDefault="00000000">
      <w:pPr>
        <w:pStyle w:val="CETHeading1"/>
        <w:numPr>
          <w:ilvl w:val="1"/>
          <w:numId w:val="0"/>
        </w:numPr>
      </w:pPr>
      <w:r>
        <w:t>1 Introduction</w:t>
      </w:r>
    </w:p>
    <w:p w14:paraId="6B832604" w14:textId="64958773" w:rsidR="009A62D7" w:rsidRDefault="00000000">
      <w:pPr>
        <w:pStyle w:val="CETBodytext"/>
      </w:pPr>
      <w:r>
        <w:t>The conversion of waste sulfuric acid into usable sulfur compounds can reduce the demand for primary raw materials, provided that contaminants and secondary streams are controlled. The present work concerns waste acid generated in the caustic soda and polyvinyl chloride production area of Navoiyazot JSC. Its practical objective is to investigate a laboratory route to a sodium sulfite-containing solid rather than to assume that acid neutralisation alone produces sulfite.</w:t>
      </w:r>
    </w:p>
    <w:p w14:paraId="21565C0B" w14:textId="56A546B0" w:rsidR="009A62D7" w:rsidRDefault="00000000">
      <w:pPr>
        <w:pStyle w:val="CETBodytext"/>
      </w:pPr>
      <w:r>
        <w:t>Published recovery routes include purification of organic-contaminated acid by steam treatment, filtration and adsorption (Luo et al., 2014), and regenerative processing through iron sulfate intermediates (Klotz, 1998). These routes target acid recovery. In contrast, Yang (2020) describes sulfite production through sulfur dioxide absorption in sodium carbonate solution, adjustment of the reaction liquor and solid recovery. These patents establish process context, but do not validate performance for the waste acid examined here</w:t>
      </w:r>
      <w:r w:rsidR="00F9553F" w:rsidRPr="00F9553F">
        <w:t xml:space="preserve"> </w:t>
      </w:r>
      <w:r w:rsidR="00F9553F">
        <w:rPr>
          <w:rFonts w:cs="Arial"/>
        </w:rPr>
        <w:t>[</w:t>
      </w:r>
      <w:r w:rsidR="00F9553F" w:rsidRPr="00F9553F">
        <w:t>1-4</w:t>
      </w:r>
      <w:r w:rsidR="00F9553F">
        <w:rPr>
          <w:rFonts w:cs="Arial"/>
        </w:rPr>
        <w:t>]</w:t>
      </w:r>
      <w:r>
        <w:t>.</w:t>
      </w:r>
    </w:p>
    <w:p w14:paraId="0915DDC1" w14:textId="2755A61E" w:rsidR="009A62D7" w:rsidRDefault="00000000">
      <w:pPr>
        <w:pStyle w:val="CETBodytext"/>
      </w:pPr>
      <w:r>
        <w:t>Hikita et al. (1977) measured SO₂ absorption into aqueous hydroxide and sulfite solutions and demonstrated the importance of interfacial transport. Wei</w:t>
      </w:r>
      <w:r w:rsidR="00F9553F">
        <w:t>b</w:t>
      </w:r>
      <w:r>
        <w:t xml:space="preserve"> et al. (2021) studied a magnesium-based absorption system and showed that temperature, reagent ratio and solution speciation affect precipitation. Their findings motivate explicit treatment of absorption chemistry and solid formation, although numerical conditions for magnesium systems cannot be transferred directly to sodium solutions</w:t>
      </w:r>
      <w:r w:rsidR="00F9553F" w:rsidRPr="00F9553F">
        <w:t xml:space="preserve"> </w:t>
      </w:r>
      <w:r w:rsidR="00F9553F">
        <w:rPr>
          <w:rFonts w:cs="Arial"/>
        </w:rPr>
        <w:t>[</w:t>
      </w:r>
      <w:r w:rsidR="00F9553F" w:rsidRPr="00F9553F">
        <w:rPr>
          <w:rFonts w:cs="Arial"/>
        </w:rPr>
        <w:t>5-</w:t>
      </w:r>
      <w:r w:rsidR="00F9553F">
        <w:rPr>
          <w:rFonts w:cs="Arial"/>
        </w:rPr>
        <w:t>10]</w:t>
      </w:r>
      <w:r>
        <w:t>.</w:t>
      </w:r>
    </w:p>
    <w:p w14:paraId="26E8DABB" w14:textId="77777777" w:rsidR="009A62D7" w:rsidRDefault="00000000">
      <w:r>
        <w:br w:type="page"/>
      </w:r>
    </w:p>
    <w:p w14:paraId="4E1BF274" w14:textId="77777777" w:rsidR="009A62D7" w:rsidRDefault="00000000">
      <w:pPr>
        <w:pStyle w:val="CETHeading1"/>
        <w:numPr>
          <w:ilvl w:val="1"/>
          <w:numId w:val="0"/>
        </w:numPr>
      </w:pPr>
      <w:r>
        <w:lastRenderedPageBreak/>
        <w:t>2 Materials and methods</w:t>
      </w:r>
    </w:p>
    <w:p w14:paraId="213120A9" w14:textId="1C8E8763" w:rsidR="009A62D7" w:rsidRDefault="00000000">
      <w:pPr>
        <w:pStyle w:val="CETBodytext"/>
      </w:pPr>
      <w:r>
        <w:t>The experimental dataset comprises heating tests on waste acid, absorption experiments with four NaOH concentrations, gravimetric solid recovery, thermal analysis, X-ray diffraction and measurements of solution density and viscosity</w:t>
      </w:r>
      <w:r w:rsidR="00F9553F">
        <w:t xml:space="preserve"> </w:t>
      </w:r>
      <w:r w:rsidR="00F9553F">
        <w:rPr>
          <w:rFonts w:cs="Arial"/>
        </w:rPr>
        <w:t>[</w:t>
      </w:r>
      <w:r w:rsidR="00F9553F">
        <w:t>11, 12</w:t>
      </w:r>
      <w:r w:rsidR="00F9553F">
        <w:rPr>
          <w:rFonts w:cs="Arial"/>
        </w:rPr>
        <w:t>]</w:t>
      </w:r>
      <w:r>
        <w:t>. The available records do not report replicate counts or measurement uncertainties; the results are therefore presented descriptively.</w:t>
      </w:r>
    </w:p>
    <w:p w14:paraId="74BEC909" w14:textId="77777777" w:rsidR="009A62D7" w:rsidRDefault="00000000">
      <w:pPr>
        <w:pStyle w:val="CETheadingx"/>
        <w:numPr>
          <w:ilvl w:val="2"/>
          <w:numId w:val="0"/>
        </w:numPr>
      </w:pPr>
      <w:r>
        <w:t>2.1 Waste acid and thermal treatment</w:t>
      </w:r>
    </w:p>
    <w:p w14:paraId="56334FB6" w14:textId="77777777" w:rsidR="009A62D7" w:rsidRDefault="00000000">
      <w:pPr>
        <w:pStyle w:val="CETBodytext"/>
      </w:pPr>
      <w:r>
        <w:t>The waste acid was reported to contain 84.75 wt.% H₂SO₄ and unspecified impurities. Separate heating tests used initial samples of 50 g. Residual masses and temperatures were recorded at 5, 10, 15, 20 and 40 min under five heating histories. The records do not provide a fixed heating rate or an operating pressure. Accordingly, these observations are not treated as isothermal kinetic measurements. Formation of a black solid residue was observed, but its chemical composition was not determined.</w:t>
      </w:r>
    </w:p>
    <w:p w14:paraId="0985D342" w14:textId="77777777" w:rsidR="009A62D7" w:rsidRDefault="00000000">
      <w:pPr>
        <w:pStyle w:val="CETheadingx"/>
        <w:numPr>
          <w:ilvl w:val="2"/>
          <w:numId w:val="0"/>
        </w:numPr>
      </w:pPr>
      <w:r>
        <w:t>2.2 Absorption and solid recovery</w:t>
      </w:r>
    </w:p>
    <w:p w14:paraId="6E065228" w14:textId="77777777" w:rsidR="009A62D7" w:rsidRDefault="00000000">
      <w:pPr>
        <w:pStyle w:val="CETBodytext"/>
      </w:pPr>
      <w:r>
        <w:t>The gas stream from thermal treatment passed through a condenser and two absorbers connected in series (Figure 1). Each absorber initially contained 85 g of NaOH solution, giving 170 g of absorbent per experiment. The reported NaOH concentrations were 5, 10, 15 and 20 %; the concentration basis was not explicitly stated in the original record. Condensate mass, density and pH, and selected first-absorber liquor properties were recorded. Condensation separated a liquid stream but was not demonstrated to remove all contaminants or to yield pure SO₂.</w:t>
      </w:r>
    </w:p>
    <w:p w14:paraId="038AB7CE" w14:textId="77CAABCA" w:rsidR="009A62D7" w:rsidRDefault="00000000">
      <w:pPr>
        <w:pStyle w:val="CETBodytext"/>
      </w:pPr>
      <w:r>
        <w:t>For the 20 % experiment, the absorber liquors were concentrated at a reported temperature of 100–120 °C and filtered separately. The filtered solids were heated at 150 °C for 90 min before final weighing. The source does not distinguish heater temperature from bulk-liquid temperature during evaporation. It also does not specify filtration temperature, cooling history, washing or drying atmosphere. The mass decrease on drying is reported as loss on drying, rather than as a selective water measurement</w:t>
      </w:r>
      <w:r w:rsidR="00F9553F">
        <w:t xml:space="preserve"> </w:t>
      </w:r>
      <w:r w:rsidR="00F9553F">
        <w:rPr>
          <w:rFonts w:cs="Arial"/>
        </w:rPr>
        <w:t xml:space="preserve">[13, </w:t>
      </w:r>
      <w:r w:rsidR="00F9553F">
        <w:t>14</w:t>
      </w:r>
      <w:r w:rsidR="00F9553F">
        <w:rPr>
          <w:rFonts w:cs="Arial"/>
        </w:rPr>
        <w:t>]</w:t>
      </w:r>
      <w:r>
        <w:t>.</w:t>
      </w:r>
    </w:p>
    <w:p w14:paraId="7BBA0345" w14:textId="77777777" w:rsidR="009A62D7" w:rsidRDefault="00000000">
      <w:pPr>
        <w:pStyle w:val="CETBodytext"/>
      </w:pPr>
      <w:r>
        <w:t>The first-absorber mass in this experiment is reported as 108.5 g in the original table and 106.5 g in the narrative. Both values are retained as an unresolved record discrepancy. No corrected value has been inferred. The second-absorber mass was 89.5 g in both descriptions.</w:t>
      </w:r>
    </w:p>
    <w:p w14:paraId="2A1C5911" w14:textId="77777777" w:rsidR="009A62D7" w:rsidRDefault="00000000">
      <w:pPr>
        <w:keepNext/>
        <w:spacing w:after="40"/>
      </w:pPr>
      <w:r>
        <w:rPr>
          <w:noProof/>
        </w:rPr>
        <w:drawing>
          <wp:inline distT="0" distB="0" distL="0" distR="0" wp14:anchorId="790EE1F5" wp14:editId="4AFF5B7B">
            <wp:extent cx="5400000" cy="20172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ss.png"/>
                    <pic:cNvPicPr/>
                  </pic:nvPicPr>
                  <pic:blipFill>
                    <a:blip r:embed="rId14"/>
                    <a:stretch>
                      <a:fillRect/>
                    </a:stretch>
                  </pic:blipFill>
                  <pic:spPr>
                    <a:xfrm>
                      <a:off x="0" y="0"/>
                      <a:ext cx="5400000" cy="2017277"/>
                    </a:xfrm>
                    <a:prstGeom prst="rect">
                      <a:avLst/>
                    </a:prstGeom>
                  </pic:spPr>
                </pic:pic>
              </a:graphicData>
            </a:graphic>
          </wp:inline>
        </w:drawing>
      </w:r>
    </w:p>
    <w:p w14:paraId="1C91A357" w14:textId="77777777" w:rsidR="009A62D7" w:rsidRDefault="00000000">
      <w:pPr>
        <w:pStyle w:val="CETCaption0"/>
      </w:pPr>
      <w:r>
        <w:t>Figure 1: Process sequence reconstructed from the reported laboratory procedure. Condensate, solid residue, mother liquor and off-gas require separate assessment; the diagram does not imply a closed material balance.</w:t>
      </w:r>
    </w:p>
    <w:p w14:paraId="1A3402FF" w14:textId="77777777" w:rsidR="009A62D7" w:rsidRDefault="00000000">
      <w:pPr>
        <w:pStyle w:val="CETheadingx"/>
        <w:numPr>
          <w:ilvl w:val="2"/>
          <w:numId w:val="0"/>
        </w:numPr>
      </w:pPr>
      <w:r>
        <w:t>2.3 Product characterisation</w:t>
      </w:r>
    </w:p>
    <w:p w14:paraId="5863A190" w14:textId="77777777" w:rsidR="009A62D7" w:rsidRDefault="00000000">
      <w:pPr>
        <w:pStyle w:val="CETBodytext"/>
      </w:pPr>
      <w:r>
        <w:t>The supplied thermal plot contains thermogravimetric and differential thermal signals. The XRD export identifies Cu Kα₁ radiation with a wavelength of 1.540593 Å and the reference entry 96-101-0524 for Na₂SO₃. Density and viscosity were measured for nominal product-solution concentrations of 1–30 % at 20–100 °C. Instrument models, calibration procedures, thermal-analysis atmosphere and the solution-concentration basis were not provided. These omissions limit quantitative comparisons and reproducibility; no missing settings or uncertainties have been reconstructed.</w:t>
      </w:r>
    </w:p>
    <w:p w14:paraId="013A029C" w14:textId="77777777" w:rsidR="009A62D7" w:rsidRDefault="00000000">
      <w:r>
        <w:br w:type="page"/>
      </w:r>
    </w:p>
    <w:p w14:paraId="2982C05D" w14:textId="77777777" w:rsidR="009A62D7" w:rsidRDefault="00000000">
      <w:pPr>
        <w:pStyle w:val="CETHeading1"/>
        <w:numPr>
          <w:ilvl w:val="1"/>
          <w:numId w:val="0"/>
        </w:numPr>
      </w:pPr>
      <w:r>
        <w:lastRenderedPageBreak/>
        <w:t>3 Results and discussion</w:t>
      </w:r>
    </w:p>
    <w:p w14:paraId="181A7147" w14:textId="77777777" w:rsidR="009A62D7" w:rsidRDefault="00000000">
      <w:pPr>
        <w:pStyle w:val="CETBodytext"/>
      </w:pPr>
      <w:r>
        <w:t>The observations are separated into waste-acid heating, gas absorption, solid recovery and product characterisation. Apparent mass changes are distinguished from chemical conversion because the available dataset does not close the sulfur balance.</w:t>
      </w:r>
    </w:p>
    <w:p w14:paraId="49786654" w14:textId="77777777" w:rsidR="009A62D7" w:rsidRDefault="00000000">
      <w:pPr>
        <w:pStyle w:val="CETheadingx"/>
        <w:numPr>
          <w:ilvl w:val="2"/>
          <w:numId w:val="0"/>
        </w:numPr>
      </w:pPr>
      <w:r>
        <w:t>3.1 Heating behaviour of the waste acid</w:t>
      </w:r>
    </w:p>
    <w:p w14:paraId="2AFA892F" w14:textId="77777777" w:rsidR="009A62D7" w:rsidRDefault="00000000">
      <w:pPr>
        <w:pStyle w:val="CETTabletitle0"/>
      </w:pPr>
      <w:r>
        <w:t>Table 1: Residual mass and recorded temperature during heating of 50 g waste-acid samples</w:t>
      </w:r>
    </w:p>
    <w:tbl>
      <w:tblPr>
        <w:tblW w:w="0" w:type="auto"/>
        <w:tblLayout w:type="fixed"/>
        <w:tblLook w:val="04A0" w:firstRow="1" w:lastRow="0" w:firstColumn="1" w:lastColumn="0" w:noHBand="0" w:noVBand="1"/>
      </w:tblPr>
      <w:tblGrid>
        <w:gridCol w:w="1465"/>
        <w:gridCol w:w="1465"/>
        <w:gridCol w:w="1465"/>
        <w:gridCol w:w="1465"/>
        <w:gridCol w:w="1465"/>
        <w:gridCol w:w="1465"/>
      </w:tblGrid>
      <w:tr w:rsidR="009A62D7" w14:paraId="4EC95B42" w14:textId="77777777">
        <w:trPr>
          <w:cantSplit/>
          <w:tblHeader/>
        </w:trPr>
        <w:tc>
          <w:tcPr>
            <w:tcW w:w="1465" w:type="dxa"/>
            <w:tcBorders>
              <w:top w:val="single" w:sz="5" w:space="0" w:color="78A99B"/>
              <w:left w:val="nil"/>
              <w:bottom w:val="single" w:sz="5" w:space="0" w:color="78A99B"/>
              <w:right w:val="nil"/>
            </w:tcBorders>
          </w:tcPr>
          <w:p w14:paraId="686D9801" w14:textId="77777777" w:rsidR="009A62D7" w:rsidRDefault="00000000">
            <w:pPr>
              <w:spacing w:before="60" w:after="60"/>
              <w:jc w:val="left"/>
            </w:pPr>
            <w:r>
              <w:rPr>
                <w:sz w:val="16"/>
              </w:rPr>
              <w:t>Run</w:t>
            </w:r>
          </w:p>
        </w:tc>
        <w:tc>
          <w:tcPr>
            <w:tcW w:w="1465" w:type="dxa"/>
            <w:tcBorders>
              <w:top w:val="single" w:sz="5" w:space="0" w:color="78A99B"/>
              <w:left w:val="nil"/>
              <w:bottom w:val="single" w:sz="5" w:space="0" w:color="78A99B"/>
              <w:right w:val="nil"/>
            </w:tcBorders>
          </w:tcPr>
          <w:p w14:paraId="4F6D4697" w14:textId="77777777" w:rsidR="009A62D7" w:rsidRDefault="00000000">
            <w:pPr>
              <w:spacing w:before="60" w:after="60"/>
              <w:jc w:val="left"/>
            </w:pPr>
            <w:r>
              <w:rPr>
                <w:sz w:val="16"/>
              </w:rPr>
              <w:t>5 min</w:t>
            </w:r>
            <w:r>
              <w:rPr>
                <w:sz w:val="16"/>
              </w:rPr>
              <w:br/>
              <w:t>g / °C</w:t>
            </w:r>
          </w:p>
        </w:tc>
        <w:tc>
          <w:tcPr>
            <w:tcW w:w="1465" w:type="dxa"/>
            <w:tcBorders>
              <w:top w:val="single" w:sz="5" w:space="0" w:color="78A99B"/>
              <w:left w:val="nil"/>
              <w:bottom w:val="single" w:sz="5" w:space="0" w:color="78A99B"/>
              <w:right w:val="nil"/>
            </w:tcBorders>
          </w:tcPr>
          <w:p w14:paraId="2E39DBBC" w14:textId="77777777" w:rsidR="009A62D7" w:rsidRDefault="00000000">
            <w:pPr>
              <w:spacing w:before="60" w:after="60"/>
              <w:jc w:val="left"/>
            </w:pPr>
            <w:r>
              <w:rPr>
                <w:sz w:val="16"/>
              </w:rPr>
              <w:t>10 min</w:t>
            </w:r>
            <w:r>
              <w:rPr>
                <w:sz w:val="16"/>
              </w:rPr>
              <w:br/>
              <w:t>g / °C</w:t>
            </w:r>
          </w:p>
        </w:tc>
        <w:tc>
          <w:tcPr>
            <w:tcW w:w="1465" w:type="dxa"/>
            <w:tcBorders>
              <w:top w:val="single" w:sz="5" w:space="0" w:color="78A99B"/>
              <w:left w:val="nil"/>
              <w:bottom w:val="single" w:sz="5" w:space="0" w:color="78A99B"/>
              <w:right w:val="nil"/>
            </w:tcBorders>
          </w:tcPr>
          <w:p w14:paraId="7CAF7CB5" w14:textId="77777777" w:rsidR="009A62D7" w:rsidRDefault="00000000">
            <w:pPr>
              <w:spacing w:before="60" w:after="60"/>
              <w:jc w:val="left"/>
            </w:pPr>
            <w:r>
              <w:rPr>
                <w:sz w:val="16"/>
              </w:rPr>
              <w:t>15 min</w:t>
            </w:r>
            <w:r>
              <w:rPr>
                <w:sz w:val="16"/>
              </w:rPr>
              <w:br/>
              <w:t>g / °C</w:t>
            </w:r>
          </w:p>
        </w:tc>
        <w:tc>
          <w:tcPr>
            <w:tcW w:w="1465" w:type="dxa"/>
            <w:tcBorders>
              <w:top w:val="single" w:sz="5" w:space="0" w:color="78A99B"/>
              <w:left w:val="nil"/>
              <w:bottom w:val="single" w:sz="5" w:space="0" w:color="78A99B"/>
              <w:right w:val="nil"/>
            </w:tcBorders>
          </w:tcPr>
          <w:p w14:paraId="73501B8B" w14:textId="77777777" w:rsidR="009A62D7" w:rsidRDefault="00000000">
            <w:pPr>
              <w:spacing w:before="60" w:after="60"/>
              <w:jc w:val="left"/>
            </w:pPr>
            <w:r>
              <w:rPr>
                <w:sz w:val="16"/>
              </w:rPr>
              <w:t>20 min</w:t>
            </w:r>
            <w:r>
              <w:rPr>
                <w:sz w:val="16"/>
              </w:rPr>
              <w:br/>
              <w:t>g / °C</w:t>
            </w:r>
          </w:p>
        </w:tc>
        <w:tc>
          <w:tcPr>
            <w:tcW w:w="1465" w:type="dxa"/>
            <w:tcBorders>
              <w:top w:val="single" w:sz="5" w:space="0" w:color="78A99B"/>
              <w:left w:val="nil"/>
              <w:bottom w:val="single" w:sz="5" w:space="0" w:color="78A99B"/>
              <w:right w:val="nil"/>
            </w:tcBorders>
          </w:tcPr>
          <w:p w14:paraId="633DA3FF" w14:textId="77777777" w:rsidR="009A62D7" w:rsidRDefault="00000000">
            <w:pPr>
              <w:spacing w:before="60" w:after="60"/>
              <w:jc w:val="left"/>
            </w:pPr>
            <w:r>
              <w:rPr>
                <w:sz w:val="16"/>
              </w:rPr>
              <w:t>40 min</w:t>
            </w:r>
            <w:r>
              <w:rPr>
                <w:sz w:val="16"/>
              </w:rPr>
              <w:br/>
              <w:t>g / °C</w:t>
            </w:r>
          </w:p>
        </w:tc>
      </w:tr>
      <w:tr w:rsidR="009A62D7" w14:paraId="1CAC041E" w14:textId="77777777">
        <w:trPr>
          <w:cantSplit/>
        </w:trPr>
        <w:tc>
          <w:tcPr>
            <w:tcW w:w="1465" w:type="dxa"/>
            <w:tcBorders>
              <w:top w:val="nil"/>
              <w:left w:val="nil"/>
              <w:bottom w:val="nil"/>
              <w:right w:val="nil"/>
            </w:tcBorders>
          </w:tcPr>
          <w:p w14:paraId="1DBEC2DA" w14:textId="77777777" w:rsidR="009A62D7" w:rsidRDefault="00000000">
            <w:pPr>
              <w:spacing w:before="60" w:after="60"/>
              <w:jc w:val="left"/>
            </w:pPr>
            <w:r>
              <w:rPr>
                <w:sz w:val="16"/>
              </w:rPr>
              <w:t>1</w:t>
            </w:r>
          </w:p>
        </w:tc>
        <w:tc>
          <w:tcPr>
            <w:tcW w:w="1465" w:type="dxa"/>
            <w:tcBorders>
              <w:top w:val="nil"/>
              <w:left w:val="nil"/>
              <w:bottom w:val="nil"/>
              <w:right w:val="nil"/>
            </w:tcBorders>
          </w:tcPr>
          <w:p w14:paraId="3A45F0CC" w14:textId="77777777" w:rsidR="009A62D7" w:rsidRDefault="00000000">
            <w:pPr>
              <w:spacing w:before="60" w:after="60"/>
              <w:jc w:val="left"/>
            </w:pPr>
            <w:r>
              <w:rPr>
                <w:sz w:val="16"/>
              </w:rPr>
              <w:t>37 / 102</w:t>
            </w:r>
          </w:p>
        </w:tc>
        <w:tc>
          <w:tcPr>
            <w:tcW w:w="1465" w:type="dxa"/>
            <w:tcBorders>
              <w:top w:val="nil"/>
              <w:left w:val="nil"/>
              <w:bottom w:val="nil"/>
              <w:right w:val="nil"/>
            </w:tcBorders>
          </w:tcPr>
          <w:p w14:paraId="2833A684" w14:textId="77777777" w:rsidR="009A62D7" w:rsidRDefault="00000000">
            <w:pPr>
              <w:spacing w:before="60" w:after="60"/>
              <w:jc w:val="left"/>
            </w:pPr>
            <w:r>
              <w:rPr>
                <w:sz w:val="16"/>
              </w:rPr>
              <w:t>24.5 / 144</w:t>
            </w:r>
          </w:p>
        </w:tc>
        <w:tc>
          <w:tcPr>
            <w:tcW w:w="1465" w:type="dxa"/>
            <w:tcBorders>
              <w:top w:val="nil"/>
              <w:left w:val="nil"/>
              <w:bottom w:val="nil"/>
              <w:right w:val="nil"/>
            </w:tcBorders>
          </w:tcPr>
          <w:p w14:paraId="6087D8B6" w14:textId="77777777" w:rsidR="009A62D7" w:rsidRDefault="00000000">
            <w:pPr>
              <w:spacing w:before="60" w:after="60"/>
              <w:jc w:val="left"/>
            </w:pPr>
            <w:r>
              <w:rPr>
                <w:sz w:val="16"/>
              </w:rPr>
              <w:t>20.5 / 150</w:t>
            </w:r>
          </w:p>
        </w:tc>
        <w:tc>
          <w:tcPr>
            <w:tcW w:w="1465" w:type="dxa"/>
            <w:tcBorders>
              <w:top w:val="nil"/>
              <w:left w:val="nil"/>
              <w:bottom w:val="nil"/>
              <w:right w:val="nil"/>
            </w:tcBorders>
          </w:tcPr>
          <w:p w14:paraId="5691B840" w14:textId="77777777" w:rsidR="009A62D7" w:rsidRDefault="00000000">
            <w:pPr>
              <w:spacing w:before="60" w:after="60"/>
              <w:jc w:val="left"/>
            </w:pPr>
            <w:r>
              <w:rPr>
                <w:sz w:val="16"/>
              </w:rPr>
              <w:t>16.5 / 280</w:t>
            </w:r>
          </w:p>
        </w:tc>
        <w:tc>
          <w:tcPr>
            <w:tcW w:w="1465" w:type="dxa"/>
            <w:tcBorders>
              <w:top w:val="nil"/>
              <w:left w:val="nil"/>
              <w:bottom w:val="nil"/>
              <w:right w:val="nil"/>
            </w:tcBorders>
          </w:tcPr>
          <w:p w14:paraId="2F564BF0" w14:textId="77777777" w:rsidR="009A62D7" w:rsidRDefault="00000000">
            <w:pPr>
              <w:spacing w:before="60" w:after="60"/>
              <w:jc w:val="left"/>
            </w:pPr>
            <w:r>
              <w:rPr>
                <w:sz w:val="16"/>
              </w:rPr>
              <w:t>7 / 160*</w:t>
            </w:r>
          </w:p>
        </w:tc>
      </w:tr>
      <w:tr w:rsidR="009A62D7" w14:paraId="540F907C" w14:textId="77777777">
        <w:trPr>
          <w:cantSplit/>
        </w:trPr>
        <w:tc>
          <w:tcPr>
            <w:tcW w:w="1465" w:type="dxa"/>
            <w:tcBorders>
              <w:top w:val="nil"/>
              <w:left w:val="nil"/>
              <w:bottom w:val="nil"/>
              <w:right w:val="nil"/>
            </w:tcBorders>
          </w:tcPr>
          <w:p w14:paraId="0E26A2C8" w14:textId="77777777" w:rsidR="009A62D7" w:rsidRDefault="00000000">
            <w:pPr>
              <w:spacing w:before="60" w:after="60"/>
              <w:jc w:val="left"/>
            </w:pPr>
            <w:r>
              <w:rPr>
                <w:sz w:val="16"/>
              </w:rPr>
              <w:t>2</w:t>
            </w:r>
          </w:p>
        </w:tc>
        <w:tc>
          <w:tcPr>
            <w:tcW w:w="1465" w:type="dxa"/>
            <w:tcBorders>
              <w:top w:val="nil"/>
              <w:left w:val="nil"/>
              <w:bottom w:val="nil"/>
              <w:right w:val="nil"/>
            </w:tcBorders>
          </w:tcPr>
          <w:p w14:paraId="7B3F88C0" w14:textId="77777777" w:rsidR="009A62D7" w:rsidRDefault="00000000">
            <w:pPr>
              <w:spacing w:before="60" w:after="60"/>
              <w:jc w:val="left"/>
            </w:pPr>
            <w:r>
              <w:rPr>
                <w:sz w:val="16"/>
              </w:rPr>
              <w:t>34 / 121</w:t>
            </w:r>
          </w:p>
        </w:tc>
        <w:tc>
          <w:tcPr>
            <w:tcW w:w="1465" w:type="dxa"/>
            <w:tcBorders>
              <w:top w:val="nil"/>
              <w:left w:val="nil"/>
              <w:bottom w:val="nil"/>
              <w:right w:val="nil"/>
            </w:tcBorders>
          </w:tcPr>
          <w:p w14:paraId="4F6E337F" w14:textId="77777777" w:rsidR="009A62D7" w:rsidRDefault="00000000">
            <w:pPr>
              <w:spacing w:before="60" w:after="60"/>
              <w:jc w:val="left"/>
            </w:pPr>
            <w:r>
              <w:rPr>
                <w:sz w:val="16"/>
              </w:rPr>
              <w:t>24.5 / 165</w:t>
            </w:r>
          </w:p>
        </w:tc>
        <w:tc>
          <w:tcPr>
            <w:tcW w:w="1465" w:type="dxa"/>
            <w:tcBorders>
              <w:top w:val="nil"/>
              <w:left w:val="nil"/>
              <w:bottom w:val="nil"/>
              <w:right w:val="nil"/>
            </w:tcBorders>
          </w:tcPr>
          <w:p w14:paraId="51BA71D1" w14:textId="77777777" w:rsidR="009A62D7" w:rsidRDefault="00000000">
            <w:pPr>
              <w:spacing w:before="60" w:after="60"/>
              <w:jc w:val="left"/>
            </w:pPr>
            <w:r>
              <w:rPr>
                <w:sz w:val="16"/>
              </w:rPr>
              <w:t>13 / 180</w:t>
            </w:r>
          </w:p>
        </w:tc>
        <w:tc>
          <w:tcPr>
            <w:tcW w:w="1465" w:type="dxa"/>
            <w:tcBorders>
              <w:top w:val="nil"/>
              <w:left w:val="nil"/>
              <w:bottom w:val="nil"/>
              <w:right w:val="nil"/>
            </w:tcBorders>
          </w:tcPr>
          <w:p w14:paraId="78AD413B" w14:textId="77777777" w:rsidR="009A62D7" w:rsidRDefault="00000000">
            <w:pPr>
              <w:spacing w:before="60" w:after="60"/>
              <w:jc w:val="left"/>
            </w:pPr>
            <w:r>
              <w:rPr>
                <w:sz w:val="16"/>
              </w:rPr>
              <w:t>9.5 / 218</w:t>
            </w:r>
          </w:p>
        </w:tc>
        <w:tc>
          <w:tcPr>
            <w:tcW w:w="1465" w:type="dxa"/>
            <w:tcBorders>
              <w:top w:val="nil"/>
              <w:left w:val="nil"/>
              <w:bottom w:val="nil"/>
              <w:right w:val="nil"/>
            </w:tcBorders>
          </w:tcPr>
          <w:p w14:paraId="29AC5A43" w14:textId="77777777" w:rsidR="009A62D7" w:rsidRDefault="00000000">
            <w:pPr>
              <w:spacing w:before="60" w:after="60"/>
              <w:jc w:val="left"/>
            </w:pPr>
            <w:r>
              <w:rPr>
                <w:sz w:val="16"/>
              </w:rPr>
              <w:t>4 / 294</w:t>
            </w:r>
          </w:p>
        </w:tc>
      </w:tr>
      <w:tr w:rsidR="009A62D7" w14:paraId="41893265" w14:textId="77777777">
        <w:trPr>
          <w:cantSplit/>
        </w:trPr>
        <w:tc>
          <w:tcPr>
            <w:tcW w:w="1465" w:type="dxa"/>
            <w:tcBorders>
              <w:top w:val="nil"/>
              <w:left w:val="nil"/>
              <w:bottom w:val="nil"/>
              <w:right w:val="nil"/>
            </w:tcBorders>
          </w:tcPr>
          <w:p w14:paraId="7426BE35" w14:textId="77777777" w:rsidR="009A62D7" w:rsidRDefault="00000000">
            <w:pPr>
              <w:spacing w:before="60" w:after="60"/>
              <w:jc w:val="left"/>
            </w:pPr>
            <w:r>
              <w:rPr>
                <w:sz w:val="16"/>
              </w:rPr>
              <w:t>3</w:t>
            </w:r>
          </w:p>
        </w:tc>
        <w:tc>
          <w:tcPr>
            <w:tcW w:w="1465" w:type="dxa"/>
            <w:tcBorders>
              <w:top w:val="nil"/>
              <w:left w:val="nil"/>
              <w:bottom w:val="nil"/>
              <w:right w:val="nil"/>
            </w:tcBorders>
          </w:tcPr>
          <w:p w14:paraId="0D5BFD4E" w14:textId="77777777" w:rsidR="009A62D7" w:rsidRDefault="00000000">
            <w:pPr>
              <w:spacing w:before="60" w:after="60"/>
              <w:jc w:val="left"/>
            </w:pPr>
            <w:r>
              <w:rPr>
                <w:sz w:val="16"/>
              </w:rPr>
              <w:t>29 / 160</w:t>
            </w:r>
          </w:p>
        </w:tc>
        <w:tc>
          <w:tcPr>
            <w:tcW w:w="1465" w:type="dxa"/>
            <w:tcBorders>
              <w:top w:val="nil"/>
              <w:left w:val="nil"/>
              <w:bottom w:val="nil"/>
              <w:right w:val="nil"/>
            </w:tcBorders>
          </w:tcPr>
          <w:p w14:paraId="1D114B2A" w14:textId="77777777" w:rsidR="009A62D7" w:rsidRDefault="00000000">
            <w:pPr>
              <w:spacing w:before="60" w:after="60"/>
              <w:jc w:val="left"/>
            </w:pPr>
            <w:r>
              <w:rPr>
                <w:sz w:val="16"/>
              </w:rPr>
              <w:t>18.5 / 180</w:t>
            </w:r>
          </w:p>
        </w:tc>
        <w:tc>
          <w:tcPr>
            <w:tcW w:w="1465" w:type="dxa"/>
            <w:tcBorders>
              <w:top w:val="nil"/>
              <w:left w:val="nil"/>
              <w:bottom w:val="nil"/>
              <w:right w:val="nil"/>
            </w:tcBorders>
          </w:tcPr>
          <w:p w14:paraId="3B7D5C15" w14:textId="77777777" w:rsidR="009A62D7" w:rsidRDefault="00000000">
            <w:pPr>
              <w:spacing w:before="60" w:after="60"/>
              <w:jc w:val="left"/>
            </w:pPr>
            <w:r>
              <w:rPr>
                <w:sz w:val="16"/>
              </w:rPr>
              <w:t>9 / 201</w:t>
            </w:r>
          </w:p>
        </w:tc>
        <w:tc>
          <w:tcPr>
            <w:tcW w:w="1465" w:type="dxa"/>
            <w:tcBorders>
              <w:top w:val="nil"/>
              <w:left w:val="nil"/>
              <w:bottom w:val="nil"/>
              <w:right w:val="nil"/>
            </w:tcBorders>
          </w:tcPr>
          <w:p w14:paraId="53425297" w14:textId="77777777" w:rsidR="009A62D7" w:rsidRDefault="00000000">
            <w:pPr>
              <w:spacing w:before="60" w:after="60"/>
              <w:jc w:val="left"/>
            </w:pPr>
            <w:r>
              <w:rPr>
                <w:sz w:val="16"/>
              </w:rPr>
              <w:t>5 / 252</w:t>
            </w:r>
          </w:p>
        </w:tc>
        <w:tc>
          <w:tcPr>
            <w:tcW w:w="1465" w:type="dxa"/>
            <w:tcBorders>
              <w:top w:val="nil"/>
              <w:left w:val="nil"/>
              <w:bottom w:val="nil"/>
              <w:right w:val="nil"/>
            </w:tcBorders>
          </w:tcPr>
          <w:p w14:paraId="32675734" w14:textId="77777777" w:rsidR="009A62D7" w:rsidRDefault="00000000">
            <w:pPr>
              <w:spacing w:before="60" w:after="60"/>
              <w:jc w:val="left"/>
            </w:pPr>
            <w:r>
              <w:rPr>
                <w:sz w:val="16"/>
              </w:rPr>
              <w:t>2 / 304</w:t>
            </w:r>
          </w:p>
        </w:tc>
      </w:tr>
      <w:tr w:rsidR="009A62D7" w14:paraId="3476E06F" w14:textId="77777777">
        <w:trPr>
          <w:cantSplit/>
        </w:trPr>
        <w:tc>
          <w:tcPr>
            <w:tcW w:w="1465" w:type="dxa"/>
            <w:tcBorders>
              <w:top w:val="nil"/>
              <w:left w:val="nil"/>
              <w:bottom w:val="nil"/>
              <w:right w:val="nil"/>
            </w:tcBorders>
          </w:tcPr>
          <w:p w14:paraId="475F11A0" w14:textId="77777777" w:rsidR="009A62D7" w:rsidRDefault="00000000">
            <w:pPr>
              <w:spacing w:before="60" w:after="60"/>
              <w:jc w:val="left"/>
            </w:pPr>
            <w:r>
              <w:rPr>
                <w:sz w:val="16"/>
              </w:rPr>
              <w:t>4</w:t>
            </w:r>
          </w:p>
        </w:tc>
        <w:tc>
          <w:tcPr>
            <w:tcW w:w="1465" w:type="dxa"/>
            <w:tcBorders>
              <w:top w:val="nil"/>
              <w:left w:val="nil"/>
              <w:bottom w:val="nil"/>
              <w:right w:val="nil"/>
            </w:tcBorders>
          </w:tcPr>
          <w:p w14:paraId="25340529" w14:textId="77777777" w:rsidR="009A62D7" w:rsidRDefault="00000000">
            <w:pPr>
              <w:spacing w:before="60" w:after="60"/>
              <w:jc w:val="left"/>
            </w:pPr>
            <w:r>
              <w:rPr>
                <w:sz w:val="16"/>
              </w:rPr>
              <w:t>25 / 180</w:t>
            </w:r>
          </w:p>
        </w:tc>
        <w:tc>
          <w:tcPr>
            <w:tcW w:w="1465" w:type="dxa"/>
            <w:tcBorders>
              <w:top w:val="nil"/>
              <w:left w:val="nil"/>
              <w:bottom w:val="nil"/>
              <w:right w:val="nil"/>
            </w:tcBorders>
          </w:tcPr>
          <w:p w14:paraId="57B6CE29" w14:textId="77777777" w:rsidR="009A62D7" w:rsidRDefault="00000000">
            <w:pPr>
              <w:spacing w:before="60" w:after="60"/>
              <w:jc w:val="left"/>
            </w:pPr>
            <w:r>
              <w:rPr>
                <w:sz w:val="16"/>
              </w:rPr>
              <w:t>14.4 / 218</w:t>
            </w:r>
          </w:p>
        </w:tc>
        <w:tc>
          <w:tcPr>
            <w:tcW w:w="1465" w:type="dxa"/>
            <w:tcBorders>
              <w:top w:val="nil"/>
              <w:left w:val="nil"/>
              <w:bottom w:val="nil"/>
              <w:right w:val="nil"/>
            </w:tcBorders>
          </w:tcPr>
          <w:p w14:paraId="1B0FD3B0" w14:textId="77777777" w:rsidR="009A62D7" w:rsidRDefault="00000000">
            <w:pPr>
              <w:spacing w:before="60" w:after="60"/>
              <w:jc w:val="left"/>
            </w:pPr>
            <w:r>
              <w:rPr>
                <w:sz w:val="16"/>
              </w:rPr>
              <w:t>7.5 / 220</w:t>
            </w:r>
          </w:p>
        </w:tc>
        <w:tc>
          <w:tcPr>
            <w:tcW w:w="1465" w:type="dxa"/>
            <w:tcBorders>
              <w:top w:val="nil"/>
              <w:left w:val="nil"/>
              <w:bottom w:val="nil"/>
              <w:right w:val="nil"/>
            </w:tcBorders>
          </w:tcPr>
          <w:p w14:paraId="4938C3C7" w14:textId="77777777" w:rsidR="009A62D7" w:rsidRDefault="00000000">
            <w:pPr>
              <w:spacing w:before="60" w:after="60"/>
              <w:jc w:val="left"/>
            </w:pPr>
            <w:r>
              <w:rPr>
                <w:sz w:val="16"/>
              </w:rPr>
              <w:t>3.8 / 290</w:t>
            </w:r>
          </w:p>
        </w:tc>
        <w:tc>
          <w:tcPr>
            <w:tcW w:w="1465" w:type="dxa"/>
            <w:tcBorders>
              <w:top w:val="nil"/>
              <w:left w:val="nil"/>
              <w:bottom w:val="nil"/>
              <w:right w:val="nil"/>
            </w:tcBorders>
          </w:tcPr>
          <w:p w14:paraId="21BB9604" w14:textId="77777777" w:rsidR="009A62D7" w:rsidRDefault="00000000">
            <w:pPr>
              <w:spacing w:before="60" w:after="60"/>
              <w:jc w:val="left"/>
            </w:pPr>
            <w:r>
              <w:rPr>
                <w:sz w:val="16"/>
              </w:rPr>
              <w:t>1.5 / 320</w:t>
            </w:r>
          </w:p>
        </w:tc>
      </w:tr>
      <w:tr w:rsidR="009A62D7" w14:paraId="0BE121DD" w14:textId="77777777">
        <w:trPr>
          <w:cantSplit/>
        </w:trPr>
        <w:tc>
          <w:tcPr>
            <w:tcW w:w="1465" w:type="dxa"/>
            <w:tcBorders>
              <w:top w:val="nil"/>
              <w:left w:val="nil"/>
              <w:bottom w:val="single" w:sz="5" w:space="0" w:color="78A99B"/>
              <w:right w:val="nil"/>
            </w:tcBorders>
          </w:tcPr>
          <w:p w14:paraId="4F8CD904" w14:textId="77777777" w:rsidR="009A62D7" w:rsidRDefault="00000000">
            <w:pPr>
              <w:spacing w:before="60" w:after="60"/>
              <w:jc w:val="left"/>
            </w:pPr>
            <w:r>
              <w:rPr>
                <w:sz w:val="16"/>
              </w:rPr>
              <w:t>5</w:t>
            </w:r>
          </w:p>
        </w:tc>
        <w:tc>
          <w:tcPr>
            <w:tcW w:w="1465" w:type="dxa"/>
            <w:tcBorders>
              <w:top w:val="nil"/>
              <w:left w:val="nil"/>
              <w:bottom w:val="single" w:sz="5" w:space="0" w:color="78A99B"/>
              <w:right w:val="nil"/>
            </w:tcBorders>
          </w:tcPr>
          <w:p w14:paraId="696E4E5C" w14:textId="77777777" w:rsidR="009A62D7" w:rsidRDefault="00000000">
            <w:pPr>
              <w:spacing w:before="60" w:after="60"/>
              <w:jc w:val="left"/>
            </w:pPr>
            <w:r>
              <w:rPr>
                <w:sz w:val="16"/>
              </w:rPr>
              <w:t>23 / 218</w:t>
            </w:r>
          </w:p>
        </w:tc>
        <w:tc>
          <w:tcPr>
            <w:tcW w:w="1465" w:type="dxa"/>
            <w:tcBorders>
              <w:top w:val="nil"/>
              <w:left w:val="nil"/>
              <w:bottom w:val="single" w:sz="5" w:space="0" w:color="78A99B"/>
              <w:right w:val="nil"/>
            </w:tcBorders>
          </w:tcPr>
          <w:p w14:paraId="47C10C71" w14:textId="77777777" w:rsidR="009A62D7" w:rsidRDefault="00000000">
            <w:pPr>
              <w:spacing w:before="60" w:after="60"/>
              <w:jc w:val="left"/>
            </w:pPr>
            <w:r>
              <w:rPr>
                <w:sz w:val="16"/>
              </w:rPr>
              <w:t>12.5 / 294</w:t>
            </w:r>
          </w:p>
        </w:tc>
        <w:tc>
          <w:tcPr>
            <w:tcW w:w="1465" w:type="dxa"/>
            <w:tcBorders>
              <w:top w:val="nil"/>
              <w:left w:val="nil"/>
              <w:bottom w:val="single" w:sz="5" w:space="0" w:color="78A99B"/>
              <w:right w:val="nil"/>
            </w:tcBorders>
          </w:tcPr>
          <w:p w14:paraId="54072FE7" w14:textId="77777777" w:rsidR="009A62D7" w:rsidRDefault="00000000">
            <w:pPr>
              <w:spacing w:before="60" w:after="60"/>
              <w:jc w:val="left"/>
            </w:pPr>
            <w:r>
              <w:rPr>
                <w:sz w:val="16"/>
              </w:rPr>
              <w:t>4.5 / 290</w:t>
            </w:r>
          </w:p>
        </w:tc>
        <w:tc>
          <w:tcPr>
            <w:tcW w:w="1465" w:type="dxa"/>
            <w:tcBorders>
              <w:top w:val="nil"/>
              <w:left w:val="nil"/>
              <w:bottom w:val="single" w:sz="5" w:space="0" w:color="78A99B"/>
              <w:right w:val="nil"/>
            </w:tcBorders>
          </w:tcPr>
          <w:p w14:paraId="32C59D7D" w14:textId="77777777" w:rsidR="009A62D7" w:rsidRDefault="00000000">
            <w:pPr>
              <w:spacing w:before="60" w:after="60"/>
              <w:jc w:val="left"/>
            </w:pPr>
            <w:r>
              <w:rPr>
                <w:sz w:val="16"/>
              </w:rPr>
              <w:t>1 / 335</w:t>
            </w:r>
          </w:p>
        </w:tc>
        <w:tc>
          <w:tcPr>
            <w:tcW w:w="1465" w:type="dxa"/>
            <w:tcBorders>
              <w:top w:val="nil"/>
              <w:left w:val="nil"/>
              <w:bottom w:val="single" w:sz="5" w:space="0" w:color="78A99B"/>
              <w:right w:val="nil"/>
            </w:tcBorders>
          </w:tcPr>
          <w:p w14:paraId="6237A5D1" w14:textId="77777777" w:rsidR="009A62D7" w:rsidRDefault="00000000">
            <w:pPr>
              <w:spacing w:before="60" w:after="60"/>
              <w:jc w:val="left"/>
            </w:pPr>
            <w:r>
              <w:rPr>
                <w:sz w:val="16"/>
              </w:rPr>
              <w:t>0.45 / 387</w:t>
            </w:r>
          </w:p>
        </w:tc>
      </w:tr>
    </w:tbl>
    <w:p w14:paraId="56DCD414" w14:textId="77777777" w:rsidR="009A62D7" w:rsidRDefault="00000000">
      <w:pPr>
        <w:pStyle w:val="CETBodytext"/>
      </w:pPr>
      <w:r>
        <w:t>* The reported 160 °C value follows 280 °C in run 1; it is retained without correction and requires confirmation. Different runs represent different recorded temperature histories.</w:t>
      </w:r>
    </w:p>
    <w:p w14:paraId="70C0F754" w14:textId="77777777" w:rsidR="009A62D7" w:rsidRDefault="00000000">
      <w:pPr>
        <w:pStyle w:val="CETBodytext"/>
      </w:pPr>
      <w:r>
        <w:t>After 40 min, residual masses ranged from 7 to 0.45 g, corresponding to apparent mass losses of 86.0–99.1 % of the initial sample. This is not a sulfuric-acid conversion range: water evaporation, acid transfer, gas evolution and impurity transformation may all contribute. The different heating histories prevent isolation of a temperature effect from the time dependence. The data therefore support a qualitative description of thermal processing, not a rate constant or an optimum decomposition temperature.</w:t>
      </w:r>
    </w:p>
    <w:p w14:paraId="35DD3938" w14:textId="77777777" w:rsidR="009A62D7" w:rsidRDefault="00000000">
      <w:pPr>
        <w:pStyle w:val="CETheadingx"/>
        <w:numPr>
          <w:ilvl w:val="2"/>
          <w:numId w:val="0"/>
        </w:numPr>
      </w:pPr>
      <w:r>
        <w:t>3.2 Chemical pathway and selectivity</w:t>
      </w:r>
    </w:p>
    <w:p w14:paraId="02E8DBCF" w14:textId="77777777" w:rsidR="009A62D7" w:rsidRDefault="00000000">
      <w:pPr>
        <w:pStyle w:val="CETBodytext"/>
      </w:pPr>
      <w:r>
        <w:t>Na₂SO₃ formation requires sulfur in oxidation state +IV. Direct neutralisation of H₂SO₄, where sulfur is +VI, produces sulfate according to Eq(1). SO₂ absorption under sufficient alkalinity can produce sulfite according to Eq(2); additional SO₂ can shift the solution towards bisulfite according to Eq(3).</w:t>
      </w:r>
    </w:p>
    <w:p w14:paraId="3A454C19" w14:textId="77777777" w:rsidR="009A62D7" w:rsidRDefault="00000000">
      <w:pPr>
        <w:pStyle w:val="CETBodytext"/>
      </w:pPr>
      <w:r>
        <w:t>H₂SO₄ + 2 NaOH → Na₂SO₄ + 2 H₂O                                      (1)</w:t>
      </w:r>
    </w:p>
    <w:p w14:paraId="0F8521E5" w14:textId="77777777" w:rsidR="009A62D7" w:rsidRDefault="00000000">
      <w:pPr>
        <w:pStyle w:val="CETBodytext"/>
      </w:pPr>
      <w:r>
        <w:t>SO₂ + 2 NaOH → Na₂SO₃ + H₂O                                           (2)</w:t>
      </w:r>
    </w:p>
    <w:p w14:paraId="01720B43" w14:textId="77777777" w:rsidR="009A62D7" w:rsidRDefault="00000000">
      <w:pPr>
        <w:pStyle w:val="CETBodytext"/>
      </w:pPr>
      <w:r>
        <w:t>Na₂SO₃ + SO₂ + H₂O → 2 NaHSO₃                                        (3)</w:t>
      </w:r>
    </w:p>
    <w:p w14:paraId="0F26BE3E" w14:textId="77777777" w:rsidR="009A62D7" w:rsidRDefault="00000000">
      <w:pPr>
        <w:pStyle w:val="CETBodytext"/>
      </w:pPr>
      <w:r>
        <w:t>SO₃ + 2 NaOH → Na₂SO₄ + H₂O                                           (4)</w:t>
      </w:r>
    </w:p>
    <w:p w14:paraId="5C5D0D24" w14:textId="77777777" w:rsidR="009A62D7" w:rsidRDefault="00000000">
      <w:pPr>
        <w:pStyle w:val="CETBodytext"/>
      </w:pPr>
      <w:r>
        <w:t>2 Na₂SO₃ + O₂ → 2 Na₂SO₄                                                (5)</w:t>
      </w:r>
    </w:p>
    <w:p w14:paraId="78CE0164" w14:textId="77777777" w:rsidR="009A62D7" w:rsidRDefault="00000000">
      <w:pPr>
        <w:pStyle w:val="CETBodytext"/>
      </w:pPr>
      <w:r>
        <w:t>Consequently, the generic description “sulfur oxides” is insufficient to establish sulfite selectivity. SO₃ or entrained sulfuric acid can introduce sulfate, while oxygen can oxidise sulfite. Thermal processing of the contaminated acid may involve reduction by organic constituents, but the present data do not identify the reducing species or establish the gas-phase mechanism. A decrease in reactor mass does not distinguish SO₂ formation from acid or water evaporation. Gas analysis and sulfur-species measurements are needed before assigning a conversion mechanism.</w:t>
      </w:r>
    </w:p>
    <w:p w14:paraId="121863A6" w14:textId="77777777" w:rsidR="009A62D7" w:rsidRDefault="00000000">
      <w:pPr>
        <w:pStyle w:val="CETBodytext"/>
      </w:pPr>
      <w:r>
        <w:t>The distinction also affects process design. The condenser provides a separate acidic stream, while the second absorber provides additional gas–liquid contact. Neither feature demonstrates complete sulfur capture without outlet-gas measurements. Chianese et al. (2024) discuss the energy and wastewater implications of adding wet scrubbing to flue-gas treatment. Their work supports including secondary liquid streams and thermal duty when evaluating the environmental benefit of the present route.</w:t>
      </w:r>
    </w:p>
    <w:p w14:paraId="4CB396C5" w14:textId="77777777" w:rsidR="009A62D7" w:rsidRDefault="00000000">
      <w:r>
        <w:br w:type="page"/>
      </w:r>
    </w:p>
    <w:p w14:paraId="20ABD7A3" w14:textId="77777777" w:rsidR="009A62D7" w:rsidRDefault="00000000">
      <w:pPr>
        <w:pStyle w:val="CETheadingx"/>
        <w:numPr>
          <w:ilvl w:val="2"/>
          <w:numId w:val="0"/>
        </w:numPr>
      </w:pPr>
      <w:r>
        <w:lastRenderedPageBreak/>
        <w:t>3.3 Absorption and recovered solid mass</w:t>
      </w:r>
    </w:p>
    <w:p w14:paraId="7B7C5A68" w14:textId="77777777" w:rsidR="009A62D7" w:rsidRDefault="00000000">
      <w:pPr>
        <w:pStyle w:val="CETTabletitle0"/>
      </w:pPr>
      <w:r>
        <w:t>Table 2: Reported absorption experiments using 170 g of total NaOH solution</w:t>
      </w:r>
    </w:p>
    <w:tbl>
      <w:tblPr>
        <w:tblW w:w="0" w:type="auto"/>
        <w:tblLayout w:type="fixed"/>
        <w:tblLook w:val="04A0" w:firstRow="1" w:lastRow="0" w:firstColumn="1" w:lastColumn="0" w:noHBand="0" w:noVBand="1"/>
      </w:tblPr>
      <w:tblGrid>
        <w:gridCol w:w="1098"/>
        <w:gridCol w:w="1098"/>
        <w:gridCol w:w="1098"/>
        <w:gridCol w:w="1098"/>
        <w:gridCol w:w="1098"/>
        <w:gridCol w:w="1098"/>
        <w:gridCol w:w="1098"/>
        <w:gridCol w:w="1098"/>
      </w:tblGrid>
      <w:tr w:rsidR="009A62D7" w14:paraId="67FA1D60" w14:textId="77777777">
        <w:trPr>
          <w:cantSplit/>
          <w:tblHeader/>
        </w:trPr>
        <w:tc>
          <w:tcPr>
            <w:tcW w:w="1098" w:type="dxa"/>
            <w:tcBorders>
              <w:top w:val="single" w:sz="5" w:space="0" w:color="78A99B"/>
              <w:left w:val="nil"/>
              <w:bottom w:val="single" w:sz="5" w:space="0" w:color="78A99B"/>
              <w:right w:val="nil"/>
            </w:tcBorders>
          </w:tcPr>
          <w:p w14:paraId="6CA551F2" w14:textId="77777777" w:rsidR="009A62D7" w:rsidRDefault="00000000">
            <w:pPr>
              <w:spacing w:before="60" w:after="60"/>
              <w:jc w:val="left"/>
            </w:pPr>
            <w:r>
              <w:rPr>
                <w:sz w:val="16"/>
              </w:rPr>
              <w:t>NaOH</w:t>
            </w:r>
            <w:r>
              <w:rPr>
                <w:sz w:val="16"/>
              </w:rPr>
              <w:br/>
              <w:t>%</w:t>
            </w:r>
          </w:p>
        </w:tc>
        <w:tc>
          <w:tcPr>
            <w:tcW w:w="1098" w:type="dxa"/>
            <w:tcBorders>
              <w:top w:val="single" w:sz="5" w:space="0" w:color="78A99B"/>
              <w:left w:val="nil"/>
              <w:bottom w:val="single" w:sz="5" w:space="0" w:color="78A99B"/>
              <w:right w:val="nil"/>
            </w:tcBorders>
          </w:tcPr>
          <w:p w14:paraId="1D45AF05" w14:textId="77777777" w:rsidR="009A62D7" w:rsidRDefault="00000000">
            <w:pPr>
              <w:spacing w:before="60" w:after="60"/>
              <w:jc w:val="left"/>
            </w:pPr>
            <w:r>
              <w:rPr>
                <w:sz w:val="16"/>
              </w:rPr>
              <w:t>Waste</w:t>
            </w:r>
            <w:r>
              <w:rPr>
                <w:sz w:val="16"/>
              </w:rPr>
              <w:br/>
              <w:t>acid g</w:t>
            </w:r>
          </w:p>
        </w:tc>
        <w:tc>
          <w:tcPr>
            <w:tcW w:w="1098" w:type="dxa"/>
            <w:tcBorders>
              <w:top w:val="single" w:sz="5" w:space="0" w:color="78A99B"/>
              <w:left w:val="nil"/>
              <w:bottom w:val="single" w:sz="5" w:space="0" w:color="78A99B"/>
              <w:right w:val="nil"/>
            </w:tcBorders>
          </w:tcPr>
          <w:p w14:paraId="15582145" w14:textId="77777777" w:rsidR="009A62D7" w:rsidRDefault="00000000">
            <w:pPr>
              <w:spacing w:before="60" w:after="60"/>
              <w:jc w:val="left"/>
            </w:pPr>
            <w:r>
              <w:rPr>
                <w:sz w:val="16"/>
              </w:rPr>
              <w:t>Condensate</w:t>
            </w:r>
            <w:r>
              <w:rPr>
                <w:sz w:val="16"/>
              </w:rPr>
              <w:br/>
              <w:t>g</w:t>
            </w:r>
          </w:p>
        </w:tc>
        <w:tc>
          <w:tcPr>
            <w:tcW w:w="1098" w:type="dxa"/>
            <w:tcBorders>
              <w:top w:val="single" w:sz="5" w:space="0" w:color="78A99B"/>
              <w:left w:val="nil"/>
              <w:bottom w:val="single" w:sz="5" w:space="0" w:color="78A99B"/>
              <w:right w:val="nil"/>
            </w:tcBorders>
          </w:tcPr>
          <w:p w14:paraId="71010E5C" w14:textId="77777777" w:rsidR="009A62D7" w:rsidRDefault="00000000">
            <w:pPr>
              <w:spacing w:before="60" w:after="60"/>
              <w:jc w:val="left"/>
            </w:pPr>
            <w:r>
              <w:rPr>
                <w:sz w:val="16"/>
              </w:rPr>
              <w:t>Condensate</w:t>
            </w:r>
            <w:r>
              <w:rPr>
                <w:sz w:val="16"/>
              </w:rPr>
              <w:br/>
              <w:t>g/mL</w:t>
            </w:r>
          </w:p>
        </w:tc>
        <w:tc>
          <w:tcPr>
            <w:tcW w:w="1098" w:type="dxa"/>
            <w:tcBorders>
              <w:top w:val="single" w:sz="5" w:space="0" w:color="78A99B"/>
              <w:left w:val="nil"/>
              <w:bottom w:val="single" w:sz="5" w:space="0" w:color="78A99B"/>
              <w:right w:val="nil"/>
            </w:tcBorders>
          </w:tcPr>
          <w:p w14:paraId="5090C566" w14:textId="77777777" w:rsidR="009A62D7" w:rsidRDefault="00000000">
            <w:pPr>
              <w:spacing w:before="60" w:after="60"/>
              <w:jc w:val="left"/>
            </w:pPr>
            <w:r>
              <w:rPr>
                <w:sz w:val="16"/>
              </w:rPr>
              <w:t>Condensate</w:t>
            </w:r>
            <w:r>
              <w:rPr>
                <w:sz w:val="16"/>
              </w:rPr>
              <w:br/>
              <w:t>pH</w:t>
            </w:r>
          </w:p>
        </w:tc>
        <w:tc>
          <w:tcPr>
            <w:tcW w:w="1098" w:type="dxa"/>
            <w:tcBorders>
              <w:top w:val="single" w:sz="5" w:space="0" w:color="78A99B"/>
              <w:left w:val="nil"/>
              <w:bottom w:val="single" w:sz="5" w:space="0" w:color="78A99B"/>
              <w:right w:val="nil"/>
            </w:tcBorders>
          </w:tcPr>
          <w:p w14:paraId="5CF1BC22" w14:textId="77777777" w:rsidR="009A62D7" w:rsidRDefault="00000000">
            <w:pPr>
              <w:spacing w:before="60" w:after="60"/>
              <w:jc w:val="left"/>
            </w:pPr>
            <w:r>
              <w:rPr>
                <w:sz w:val="16"/>
              </w:rPr>
              <w:t>Absorber 1</w:t>
            </w:r>
            <w:r>
              <w:rPr>
                <w:sz w:val="16"/>
              </w:rPr>
              <w:br/>
              <w:t>g</w:t>
            </w:r>
          </w:p>
        </w:tc>
        <w:tc>
          <w:tcPr>
            <w:tcW w:w="1098" w:type="dxa"/>
            <w:tcBorders>
              <w:top w:val="single" w:sz="5" w:space="0" w:color="78A99B"/>
              <w:left w:val="nil"/>
              <w:bottom w:val="single" w:sz="5" w:space="0" w:color="78A99B"/>
              <w:right w:val="nil"/>
            </w:tcBorders>
          </w:tcPr>
          <w:p w14:paraId="40CB5BA3" w14:textId="77777777" w:rsidR="009A62D7" w:rsidRDefault="00000000">
            <w:pPr>
              <w:spacing w:before="60" w:after="60"/>
              <w:jc w:val="left"/>
            </w:pPr>
            <w:r>
              <w:rPr>
                <w:sz w:val="16"/>
              </w:rPr>
              <w:t>Absorber 1</w:t>
            </w:r>
            <w:r>
              <w:rPr>
                <w:sz w:val="16"/>
              </w:rPr>
              <w:br/>
              <w:t>g/mL</w:t>
            </w:r>
          </w:p>
        </w:tc>
        <w:tc>
          <w:tcPr>
            <w:tcW w:w="1098" w:type="dxa"/>
            <w:tcBorders>
              <w:top w:val="single" w:sz="5" w:space="0" w:color="78A99B"/>
              <w:left w:val="nil"/>
              <w:bottom w:val="single" w:sz="5" w:space="0" w:color="78A99B"/>
              <w:right w:val="nil"/>
            </w:tcBorders>
          </w:tcPr>
          <w:p w14:paraId="54875CA6" w14:textId="77777777" w:rsidR="009A62D7" w:rsidRDefault="00000000">
            <w:pPr>
              <w:spacing w:before="60" w:after="60"/>
              <w:jc w:val="left"/>
            </w:pPr>
            <w:r>
              <w:rPr>
                <w:sz w:val="16"/>
              </w:rPr>
              <w:t>Absorber 1</w:t>
            </w:r>
            <w:r>
              <w:rPr>
                <w:sz w:val="16"/>
              </w:rPr>
              <w:br/>
              <w:t>pH</w:t>
            </w:r>
          </w:p>
        </w:tc>
      </w:tr>
      <w:tr w:rsidR="009A62D7" w14:paraId="72A32330" w14:textId="77777777">
        <w:trPr>
          <w:cantSplit/>
        </w:trPr>
        <w:tc>
          <w:tcPr>
            <w:tcW w:w="1098" w:type="dxa"/>
            <w:tcBorders>
              <w:top w:val="nil"/>
              <w:left w:val="nil"/>
              <w:bottom w:val="nil"/>
              <w:right w:val="nil"/>
            </w:tcBorders>
          </w:tcPr>
          <w:p w14:paraId="0145DA40" w14:textId="77777777" w:rsidR="009A62D7" w:rsidRDefault="00000000">
            <w:pPr>
              <w:spacing w:before="60" w:after="60"/>
              <w:jc w:val="left"/>
            </w:pPr>
            <w:r>
              <w:rPr>
                <w:sz w:val="16"/>
              </w:rPr>
              <w:t>5</w:t>
            </w:r>
          </w:p>
        </w:tc>
        <w:tc>
          <w:tcPr>
            <w:tcW w:w="1098" w:type="dxa"/>
            <w:tcBorders>
              <w:top w:val="nil"/>
              <w:left w:val="nil"/>
              <w:bottom w:val="nil"/>
              <w:right w:val="nil"/>
            </w:tcBorders>
          </w:tcPr>
          <w:p w14:paraId="6FD26BB7" w14:textId="77777777" w:rsidR="009A62D7" w:rsidRDefault="00000000">
            <w:pPr>
              <w:spacing w:before="60" w:after="60"/>
              <w:jc w:val="left"/>
            </w:pPr>
            <w:r>
              <w:rPr>
                <w:sz w:val="16"/>
              </w:rPr>
              <w:t>14.00</w:t>
            </w:r>
          </w:p>
        </w:tc>
        <w:tc>
          <w:tcPr>
            <w:tcW w:w="1098" w:type="dxa"/>
            <w:tcBorders>
              <w:top w:val="nil"/>
              <w:left w:val="nil"/>
              <w:bottom w:val="nil"/>
              <w:right w:val="nil"/>
            </w:tcBorders>
          </w:tcPr>
          <w:p w14:paraId="767B3A99" w14:textId="77777777" w:rsidR="009A62D7" w:rsidRDefault="00000000">
            <w:pPr>
              <w:spacing w:before="60" w:after="60"/>
              <w:jc w:val="left"/>
            </w:pPr>
            <w:r>
              <w:rPr>
                <w:sz w:val="16"/>
              </w:rPr>
              <w:t>2.5</w:t>
            </w:r>
          </w:p>
        </w:tc>
        <w:tc>
          <w:tcPr>
            <w:tcW w:w="1098" w:type="dxa"/>
            <w:tcBorders>
              <w:top w:val="nil"/>
              <w:left w:val="nil"/>
              <w:bottom w:val="nil"/>
              <w:right w:val="nil"/>
            </w:tcBorders>
          </w:tcPr>
          <w:p w14:paraId="7083F358" w14:textId="77777777" w:rsidR="009A62D7" w:rsidRDefault="00000000">
            <w:pPr>
              <w:spacing w:before="60" w:after="60"/>
              <w:jc w:val="left"/>
            </w:pPr>
            <w:r>
              <w:rPr>
                <w:sz w:val="16"/>
              </w:rPr>
              <w:t>1.051</w:t>
            </w:r>
          </w:p>
        </w:tc>
        <w:tc>
          <w:tcPr>
            <w:tcW w:w="1098" w:type="dxa"/>
            <w:tcBorders>
              <w:top w:val="nil"/>
              <w:left w:val="nil"/>
              <w:bottom w:val="nil"/>
              <w:right w:val="nil"/>
            </w:tcBorders>
          </w:tcPr>
          <w:p w14:paraId="111B693D" w14:textId="77777777" w:rsidR="009A62D7" w:rsidRDefault="00000000">
            <w:pPr>
              <w:spacing w:before="60" w:after="60"/>
              <w:jc w:val="left"/>
            </w:pPr>
            <w:r>
              <w:rPr>
                <w:sz w:val="16"/>
              </w:rPr>
              <w:t>1.09</w:t>
            </w:r>
          </w:p>
        </w:tc>
        <w:tc>
          <w:tcPr>
            <w:tcW w:w="1098" w:type="dxa"/>
            <w:tcBorders>
              <w:top w:val="nil"/>
              <w:left w:val="nil"/>
              <w:bottom w:val="nil"/>
              <w:right w:val="nil"/>
            </w:tcBorders>
          </w:tcPr>
          <w:p w14:paraId="63A0FCC9" w14:textId="77777777" w:rsidR="009A62D7" w:rsidRDefault="00000000">
            <w:pPr>
              <w:spacing w:before="60" w:after="60"/>
              <w:jc w:val="left"/>
            </w:pPr>
            <w:r>
              <w:rPr>
                <w:sz w:val="16"/>
              </w:rPr>
              <w:t>92.0</w:t>
            </w:r>
          </w:p>
        </w:tc>
        <w:tc>
          <w:tcPr>
            <w:tcW w:w="1098" w:type="dxa"/>
            <w:tcBorders>
              <w:top w:val="nil"/>
              <w:left w:val="nil"/>
              <w:bottom w:val="nil"/>
              <w:right w:val="nil"/>
            </w:tcBorders>
          </w:tcPr>
          <w:p w14:paraId="320E8AA1" w14:textId="77777777" w:rsidR="009A62D7" w:rsidRDefault="00000000">
            <w:pPr>
              <w:spacing w:before="60" w:after="60"/>
              <w:jc w:val="left"/>
            </w:pPr>
            <w:r>
              <w:rPr>
                <w:sz w:val="16"/>
              </w:rPr>
              <w:t>1.108</w:t>
            </w:r>
          </w:p>
        </w:tc>
        <w:tc>
          <w:tcPr>
            <w:tcW w:w="1098" w:type="dxa"/>
            <w:tcBorders>
              <w:top w:val="nil"/>
              <w:left w:val="nil"/>
              <w:bottom w:val="nil"/>
              <w:right w:val="nil"/>
            </w:tcBorders>
          </w:tcPr>
          <w:p w14:paraId="72E913A2" w14:textId="77777777" w:rsidR="009A62D7" w:rsidRDefault="00000000">
            <w:pPr>
              <w:spacing w:before="60" w:after="60"/>
              <w:jc w:val="left"/>
            </w:pPr>
            <w:r>
              <w:rPr>
                <w:sz w:val="16"/>
              </w:rPr>
              <w:t>5.16</w:t>
            </w:r>
          </w:p>
        </w:tc>
      </w:tr>
      <w:tr w:rsidR="009A62D7" w14:paraId="1E03CC29" w14:textId="77777777">
        <w:trPr>
          <w:cantSplit/>
        </w:trPr>
        <w:tc>
          <w:tcPr>
            <w:tcW w:w="1098" w:type="dxa"/>
            <w:tcBorders>
              <w:top w:val="nil"/>
              <w:left w:val="nil"/>
              <w:bottom w:val="nil"/>
              <w:right w:val="nil"/>
            </w:tcBorders>
          </w:tcPr>
          <w:p w14:paraId="7789D3A8" w14:textId="77777777" w:rsidR="009A62D7" w:rsidRDefault="00000000">
            <w:pPr>
              <w:spacing w:before="60" w:after="60"/>
              <w:jc w:val="left"/>
            </w:pPr>
            <w:r>
              <w:rPr>
                <w:sz w:val="16"/>
              </w:rPr>
              <w:t>10</w:t>
            </w:r>
          </w:p>
        </w:tc>
        <w:tc>
          <w:tcPr>
            <w:tcW w:w="1098" w:type="dxa"/>
            <w:tcBorders>
              <w:top w:val="nil"/>
              <w:left w:val="nil"/>
              <w:bottom w:val="nil"/>
              <w:right w:val="nil"/>
            </w:tcBorders>
          </w:tcPr>
          <w:p w14:paraId="7D89D188" w14:textId="77777777" w:rsidR="009A62D7" w:rsidRDefault="00000000">
            <w:pPr>
              <w:spacing w:before="60" w:after="60"/>
              <w:jc w:val="left"/>
            </w:pPr>
            <w:r>
              <w:rPr>
                <w:sz w:val="16"/>
              </w:rPr>
              <w:t>24.57</w:t>
            </w:r>
          </w:p>
        </w:tc>
        <w:tc>
          <w:tcPr>
            <w:tcW w:w="1098" w:type="dxa"/>
            <w:tcBorders>
              <w:top w:val="nil"/>
              <w:left w:val="nil"/>
              <w:bottom w:val="nil"/>
              <w:right w:val="nil"/>
            </w:tcBorders>
          </w:tcPr>
          <w:p w14:paraId="2B385833" w14:textId="77777777" w:rsidR="009A62D7" w:rsidRDefault="00000000">
            <w:pPr>
              <w:spacing w:before="60" w:after="60"/>
              <w:jc w:val="left"/>
            </w:pPr>
            <w:r>
              <w:rPr>
                <w:sz w:val="16"/>
              </w:rPr>
              <w:t>6.1</w:t>
            </w:r>
          </w:p>
        </w:tc>
        <w:tc>
          <w:tcPr>
            <w:tcW w:w="1098" w:type="dxa"/>
            <w:tcBorders>
              <w:top w:val="nil"/>
              <w:left w:val="nil"/>
              <w:bottom w:val="nil"/>
              <w:right w:val="nil"/>
            </w:tcBorders>
          </w:tcPr>
          <w:p w14:paraId="2B9C77DE" w14:textId="77777777" w:rsidR="009A62D7" w:rsidRDefault="00000000">
            <w:pPr>
              <w:spacing w:before="60" w:after="60"/>
              <w:jc w:val="left"/>
            </w:pPr>
            <w:r>
              <w:rPr>
                <w:sz w:val="16"/>
              </w:rPr>
              <w:t>1.052</w:t>
            </w:r>
          </w:p>
        </w:tc>
        <w:tc>
          <w:tcPr>
            <w:tcW w:w="1098" w:type="dxa"/>
            <w:tcBorders>
              <w:top w:val="nil"/>
              <w:left w:val="nil"/>
              <w:bottom w:val="nil"/>
              <w:right w:val="nil"/>
            </w:tcBorders>
          </w:tcPr>
          <w:p w14:paraId="2CAF433C" w14:textId="77777777" w:rsidR="009A62D7" w:rsidRDefault="00000000">
            <w:pPr>
              <w:spacing w:before="60" w:after="60"/>
              <w:jc w:val="left"/>
            </w:pPr>
            <w:r>
              <w:rPr>
                <w:sz w:val="16"/>
              </w:rPr>
              <w:t>1.00</w:t>
            </w:r>
          </w:p>
        </w:tc>
        <w:tc>
          <w:tcPr>
            <w:tcW w:w="1098" w:type="dxa"/>
            <w:tcBorders>
              <w:top w:val="nil"/>
              <w:left w:val="nil"/>
              <w:bottom w:val="nil"/>
              <w:right w:val="nil"/>
            </w:tcBorders>
          </w:tcPr>
          <w:p w14:paraId="5AB3287E" w14:textId="77777777" w:rsidR="009A62D7" w:rsidRDefault="00000000">
            <w:pPr>
              <w:spacing w:before="60" w:after="60"/>
              <w:jc w:val="left"/>
            </w:pPr>
            <w:r>
              <w:rPr>
                <w:sz w:val="16"/>
              </w:rPr>
              <w:t>93.5</w:t>
            </w:r>
          </w:p>
        </w:tc>
        <w:tc>
          <w:tcPr>
            <w:tcW w:w="1098" w:type="dxa"/>
            <w:tcBorders>
              <w:top w:val="nil"/>
              <w:left w:val="nil"/>
              <w:bottom w:val="nil"/>
              <w:right w:val="nil"/>
            </w:tcBorders>
          </w:tcPr>
          <w:p w14:paraId="26253F7E" w14:textId="77777777" w:rsidR="009A62D7" w:rsidRDefault="00000000">
            <w:pPr>
              <w:spacing w:before="60" w:after="60"/>
              <w:jc w:val="left"/>
            </w:pPr>
            <w:r>
              <w:rPr>
                <w:sz w:val="16"/>
              </w:rPr>
              <w:t>1.154</w:t>
            </w:r>
          </w:p>
        </w:tc>
        <w:tc>
          <w:tcPr>
            <w:tcW w:w="1098" w:type="dxa"/>
            <w:tcBorders>
              <w:top w:val="nil"/>
              <w:left w:val="nil"/>
              <w:bottom w:val="nil"/>
              <w:right w:val="nil"/>
            </w:tcBorders>
          </w:tcPr>
          <w:p w14:paraId="7E0196D1" w14:textId="77777777" w:rsidR="009A62D7" w:rsidRDefault="00000000">
            <w:pPr>
              <w:spacing w:before="60" w:after="60"/>
              <w:jc w:val="left"/>
            </w:pPr>
            <w:r>
              <w:rPr>
                <w:sz w:val="16"/>
              </w:rPr>
              <w:t>6.30</w:t>
            </w:r>
          </w:p>
        </w:tc>
      </w:tr>
      <w:tr w:rsidR="009A62D7" w14:paraId="443E5364" w14:textId="77777777">
        <w:trPr>
          <w:cantSplit/>
        </w:trPr>
        <w:tc>
          <w:tcPr>
            <w:tcW w:w="1098" w:type="dxa"/>
            <w:tcBorders>
              <w:top w:val="nil"/>
              <w:left w:val="nil"/>
              <w:bottom w:val="nil"/>
              <w:right w:val="nil"/>
            </w:tcBorders>
          </w:tcPr>
          <w:p w14:paraId="12BBFAAB" w14:textId="77777777" w:rsidR="009A62D7" w:rsidRDefault="00000000">
            <w:pPr>
              <w:spacing w:before="60" w:after="60"/>
              <w:jc w:val="left"/>
            </w:pPr>
            <w:r>
              <w:rPr>
                <w:sz w:val="16"/>
              </w:rPr>
              <w:t>15</w:t>
            </w:r>
          </w:p>
        </w:tc>
        <w:tc>
          <w:tcPr>
            <w:tcW w:w="1098" w:type="dxa"/>
            <w:tcBorders>
              <w:top w:val="nil"/>
              <w:left w:val="nil"/>
              <w:bottom w:val="nil"/>
              <w:right w:val="nil"/>
            </w:tcBorders>
          </w:tcPr>
          <w:p w14:paraId="508C2752" w14:textId="77777777" w:rsidR="009A62D7" w:rsidRDefault="00000000">
            <w:pPr>
              <w:spacing w:before="60" w:after="60"/>
              <w:jc w:val="left"/>
            </w:pPr>
            <w:r>
              <w:rPr>
                <w:sz w:val="16"/>
              </w:rPr>
              <w:t>36.85</w:t>
            </w:r>
          </w:p>
        </w:tc>
        <w:tc>
          <w:tcPr>
            <w:tcW w:w="1098" w:type="dxa"/>
            <w:tcBorders>
              <w:top w:val="nil"/>
              <w:left w:val="nil"/>
              <w:bottom w:val="nil"/>
              <w:right w:val="nil"/>
            </w:tcBorders>
          </w:tcPr>
          <w:p w14:paraId="2BCD4D48" w14:textId="77777777" w:rsidR="009A62D7" w:rsidRDefault="00000000">
            <w:pPr>
              <w:spacing w:before="60" w:after="60"/>
              <w:jc w:val="left"/>
            </w:pPr>
            <w:r>
              <w:rPr>
                <w:sz w:val="16"/>
              </w:rPr>
              <w:t>7.8</w:t>
            </w:r>
          </w:p>
        </w:tc>
        <w:tc>
          <w:tcPr>
            <w:tcW w:w="1098" w:type="dxa"/>
            <w:tcBorders>
              <w:top w:val="nil"/>
              <w:left w:val="nil"/>
              <w:bottom w:val="nil"/>
              <w:right w:val="nil"/>
            </w:tcBorders>
          </w:tcPr>
          <w:p w14:paraId="7E1A8A7C" w14:textId="77777777" w:rsidR="009A62D7" w:rsidRDefault="00000000">
            <w:pPr>
              <w:spacing w:before="60" w:after="60"/>
              <w:jc w:val="left"/>
            </w:pPr>
            <w:r>
              <w:rPr>
                <w:sz w:val="16"/>
              </w:rPr>
              <w:t>1.053</w:t>
            </w:r>
          </w:p>
        </w:tc>
        <w:tc>
          <w:tcPr>
            <w:tcW w:w="1098" w:type="dxa"/>
            <w:tcBorders>
              <w:top w:val="nil"/>
              <w:left w:val="nil"/>
              <w:bottom w:val="nil"/>
              <w:right w:val="nil"/>
            </w:tcBorders>
          </w:tcPr>
          <w:p w14:paraId="5B3FB440" w14:textId="77777777" w:rsidR="009A62D7" w:rsidRDefault="00000000">
            <w:pPr>
              <w:spacing w:before="60" w:after="60"/>
              <w:jc w:val="left"/>
            </w:pPr>
            <w:r>
              <w:rPr>
                <w:sz w:val="16"/>
              </w:rPr>
              <w:t>0.88</w:t>
            </w:r>
          </w:p>
        </w:tc>
        <w:tc>
          <w:tcPr>
            <w:tcW w:w="1098" w:type="dxa"/>
            <w:tcBorders>
              <w:top w:val="nil"/>
              <w:left w:val="nil"/>
              <w:bottom w:val="nil"/>
              <w:right w:val="nil"/>
            </w:tcBorders>
          </w:tcPr>
          <w:p w14:paraId="35F2E92C" w14:textId="77777777" w:rsidR="009A62D7" w:rsidRDefault="00000000">
            <w:pPr>
              <w:spacing w:before="60" w:after="60"/>
              <w:jc w:val="left"/>
            </w:pPr>
            <w:r>
              <w:rPr>
                <w:sz w:val="16"/>
              </w:rPr>
              <w:t>95.5</w:t>
            </w:r>
          </w:p>
        </w:tc>
        <w:tc>
          <w:tcPr>
            <w:tcW w:w="1098" w:type="dxa"/>
            <w:tcBorders>
              <w:top w:val="nil"/>
              <w:left w:val="nil"/>
              <w:bottom w:val="nil"/>
              <w:right w:val="nil"/>
            </w:tcBorders>
          </w:tcPr>
          <w:p w14:paraId="42E8025E" w14:textId="77777777" w:rsidR="009A62D7" w:rsidRDefault="00000000">
            <w:pPr>
              <w:spacing w:before="60" w:after="60"/>
              <w:jc w:val="left"/>
            </w:pPr>
            <w:r>
              <w:rPr>
                <w:sz w:val="16"/>
              </w:rPr>
              <w:t>1.206</w:t>
            </w:r>
          </w:p>
        </w:tc>
        <w:tc>
          <w:tcPr>
            <w:tcW w:w="1098" w:type="dxa"/>
            <w:tcBorders>
              <w:top w:val="nil"/>
              <w:left w:val="nil"/>
              <w:bottom w:val="nil"/>
              <w:right w:val="nil"/>
            </w:tcBorders>
          </w:tcPr>
          <w:p w14:paraId="59AFB1A1" w14:textId="77777777" w:rsidR="009A62D7" w:rsidRDefault="00000000">
            <w:pPr>
              <w:spacing w:before="60" w:after="60"/>
              <w:jc w:val="left"/>
            </w:pPr>
            <w:r>
              <w:rPr>
                <w:sz w:val="16"/>
              </w:rPr>
              <w:t>7.50</w:t>
            </w:r>
          </w:p>
        </w:tc>
      </w:tr>
      <w:tr w:rsidR="009A62D7" w14:paraId="4BB8A13B" w14:textId="77777777">
        <w:trPr>
          <w:cantSplit/>
        </w:trPr>
        <w:tc>
          <w:tcPr>
            <w:tcW w:w="1098" w:type="dxa"/>
            <w:tcBorders>
              <w:top w:val="nil"/>
              <w:left w:val="nil"/>
              <w:bottom w:val="single" w:sz="5" w:space="0" w:color="78A99B"/>
              <w:right w:val="nil"/>
            </w:tcBorders>
          </w:tcPr>
          <w:p w14:paraId="2611FE5E" w14:textId="77777777" w:rsidR="009A62D7" w:rsidRDefault="00000000">
            <w:pPr>
              <w:spacing w:before="60" w:after="60"/>
              <w:jc w:val="left"/>
            </w:pPr>
            <w:r>
              <w:rPr>
                <w:sz w:val="16"/>
              </w:rPr>
              <w:t>20</w:t>
            </w:r>
          </w:p>
        </w:tc>
        <w:tc>
          <w:tcPr>
            <w:tcW w:w="1098" w:type="dxa"/>
            <w:tcBorders>
              <w:top w:val="nil"/>
              <w:left w:val="nil"/>
              <w:bottom w:val="single" w:sz="5" w:space="0" w:color="78A99B"/>
              <w:right w:val="nil"/>
            </w:tcBorders>
          </w:tcPr>
          <w:p w14:paraId="1B582A3A" w14:textId="77777777" w:rsidR="009A62D7" w:rsidRDefault="00000000">
            <w:pPr>
              <w:spacing w:before="60" w:after="60"/>
              <w:jc w:val="left"/>
            </w:pPr>
            <w:r>
              <w:rPr>
                <w:sz w:val="16"/>
              </w:rPr>
              <w:t>49.14</w:t>
            </w:r>
          </w:p>
        </w:tc>
        <w:tc>
          <w:tcPr>
            <w:tcW w:w="1098" w:type="dxa"/>
            <w:tcBorders>
              <w:top w:val="nil"/>
              <w:left w:val="nil"/>
              <w:bottom w:val="single" w:sz="5" w:space="0" w:color="78A99B"/>
              <w:right w:val="nil"/>
            </w:tcBorders>
          </w:tcPr>
          <w:p w14:paraId="2058B0E3" w14:textId="77777777" w:rsidR="009A62D7" w:rsidRDefault="00000000">
            <w:pPr>
              <w:spacing w:before="60" w:after="60"/>
              <w:jc w:val="left"/>
            </w:pPr>
            <w:r>
              <w:rPr>
                <w:sz w:val="16"/>
              </w:rPr>
              <w:t>12.0</w:t>
            </w:r>
          </w:p>
        </w:tc>
        <w:tc>
          <w:tcPr>
            <w:tcW w:w="1098" w:type="dxa"/>
            <w:tcBorders>
              <w:top w:val="nil"/>
              <w:left w:val="nil"/>
              <w:bottom w:val="single" w:sz="5" w:space="0" w:color="78A99B"/>
              <w:right w:val="nil"/>
            </w:tcBorders>
          </w:tcPr>
          <w:p w14:paraId="0586C8B0" w14:textId="77777777" w:rsidR="009A62D7" w:rsidRDefault="00000000">
            <w:pPr>
              <w:spacing w:before="60" w:after="60"/>
              <w:jc w:val="left"/>
            </w:pPr>
            <w:r>
              <w:rPr>
                <w:sz w:val="16"/>
              </w:rPr>
              <w:t>1.073</w:t>
            </w:r>
          </w:p>
        </w:tc>
        <w:tc>
          <w:tcPr>
            <w:tcW w:w="1098" w:type="dxa"/>
            <w:tcBorders>
              <w:top w:val="nil"/>
              <w:left w:val="nil"/>
              <w:bottom w:val="single" w:sz="5" w:space="0" w:color="78A99B"/>
              <w:right w:val="nil"/>
            </w:tcBorders>
          </w:tcPr>
          <w:p w14:paraId="1ECDC1B6" w14:textId="77777777" w:rsidR="009A62D7" w:rsidRDefault="00000000">
            <w:pPr>
              <w:spacing w:before="60" w:after="60"/>
              <w:jc w:val="left"/>
            </w:pPr>
            <w:r>
              <w:rPr>
                <w:sz w:val="16"/>
              </w:rPr>
              <w:t>0.75</w:t>
            </w:r>
          </w:p>
        </w:tc>
        <w:tc>
          <w:tcPr>
            <w:tcW w:w="1098" w:type="dxa"/>
            <w:tcBorders>
              <w:top w:val="nil"/>
              <w:left w:val="nil"/>
              <w:bottom w:val="single" w:sz="5" w:space="0" w:color="78A99B"/>
              <w:right w:val="nil"/>
            </w:tcBorders>
          </w:tcPr>
          <w:p w14:paraId="568D1851" w14:textId="77777777" w:rsidR="009A62D7" w:rsidRDefault="00000000">
            <w:pPr>
              <w:spacing w:before="60" w:after="60"/>
              <w:jc w:val="left"/>
            </w:pPr>
            <w:r>
              <w:rPr>
                <w:sz w:val="16"/>
              </w:rPr>
              <w:t>108.5*</w:t>
            </w:r>
          </w:p>
        </w:tc>
        <w:tc>
          <w:tcPr>
            <w:tcW w:w="1098" w:type="dxa"/>
            <w:tcBorders>
              <w:top w:val="nil"/>
              <w:left w:val="nil"/>
              <w:bottom w:val="single" w:sz="5" w:space="0" w:color="78A99B"/>
              <w:right w:val="nil"/>
            </w:tcBorders>
          </w:tcPr>
          <w:p w14:paraId="7DEAB3EA" w14:textId="77777777" w:rsidR="009A62D7" w:rsidRDefault="00000000">
            <w:pPr>
              <w:spacing w:before="60" w:after="60"/>
              <w:jc w:val="left"/>
            </w:pPr>
            <w:r>
              <w:rPr>
                <w:sz w:val="16"/>
              </w:rPr>
              <w:t>1.254</w:t>
            </w:r>
          </w:p>
        </w:tc>
        <w:tc>
          <w:tcPr>
            <w:tcW w:w="1098" w:type="dxa"/>
            <w:tcBorders>
              <w:top w:val="nil"/>
              <w:left w:val="nil"/>
              <w:bottom w:val="single" w:sz="5" w:space="0" w:color="78A99B"/>
              <w:right w:val="nil"/>
            </w:tcBorders>
          </w:tcPr>
          <w:p w14:paraId="300505B4" w14:textId="77777777" w:rsidR="009A62D7" w:rsidRDefault="00000000">
            <w:pPr>
              <w:spacing w:before="60" w:after="60"/>
              <w:jc w:val="left"/>
            </w:pPr>
            <w:r>
              <w:rPr>
                <w:sz w:val="16"/>
              </w:rPr>
              <w:t>4.95</w:t>
            </w:r>
          </w:p>
        </w:tc>
      </w:tr>
    </w:tbl>
    <w:p w14:paraId="050E4248" w14:textId="77777777" w:rsidR="009A62D7" w:rsidRDefault="00000000">
      <w:pPr>
        <w:pStyle w:val="CETBodytext"/>
      </w:pPr>
      <w:r>
        <w:t>* The narrative gives 106.5 g. The original “sediment (2 % solution)” pH values were 2.43, 2.48, 2.52 and 2.61, respectively; the material represented by this label is not defined sufficiently for interpretation. Second-absorber final masses were 86, 86, 87 and 89.5 g, respectively. Density measurement temperatures were not specified.</w:t>
      </w:r>
    </w:p>
    <w:p w14:paraId="0F118293" w14:textId="77777777" w:rsidR="009A62D7" w:rsidRDefault="00000000">
      <w:pPr>
        <w:pStyle w:val="CETBodytext"/>
      </w:pPr>
      <w:r>
        <w:t>The condensates were acidic, with reported pH values of 0.75–1.09. Their sulfur content was not measured, so sulfur carried into this stream cannot be included in a recovery calculation. The first-absorber pH values were non-monotonic with initial NaOH concentration because acid charge also changed between experiments. The pH of 4.95 in the 20 % test is inconsistent with assuming an exclusively sulfite-rich alkaline liquor; bisulfite and other acidic species must be considered. A higher initial NaOH concentration alone is therefore not evidence of improved sulfite selectivity.</w:t>
      </w:r>
    </w:p>
    <w:p w14:paraId="2DCB00A5" w14:textId="77777777" w:rsidR="009A62D7" w:rsidRDefault="00000000">
      <w:pPr>
        <w:pStyle w:val="CETTabletitle0"/>
      </w:pPr>
      <w:r>
        <w:t>Table 3: Solid recovery in the experiment using nominal 20 % NaOH solution</w:t>
      </w:r>
    </w:p>
    <w:tbl>
      <w:tblPr>
        <w:tblW w:w="0" w:type="auto"/>
        <w:tblLayout w:type="fixed"/>
        <w:tblLook w:val="04A0" w:firstRow="1" w:lastRow="0" w:firstColumn="1" w:lastColumn="0" w:noHBand="0" w:noVBand="1"/>
      </w:tblPr>
      <w:tblGrid>
        <w:gridCol w:w="2197"/>
        <w:gridCol w:w="2197"/>
        <w:gridCol w:w="2197"/>
        <w:gridCol w:w="2197"/>
      </w:tblGrid>
      <w:tr w:rsidR="009A62D7" w14:paraId="46BAED9E" w14:textId="77777777">
        <w:trPr>
          <w:cantSplit/>
          <w:tblHeader/>
        </w:trPr>
        <w:tc>
          <w:tcPr>
            <w:tcW w:w="2197" w:type="dxa"/>
            <w:tcBorders>
              <w:top w:val="single" w:sz="5" w:space="0" w:color="78A99B"/>
              <w:left w:val="nil"/>
              <w:bottom w:val="single" w:sz="5" w:space="0" w:color="78A99B"/>
              <w:right w:val="nil"/>
            </w:tcBorders>
          </w:tcPr>
          <w:p w14:paraId="5FE4791B" w14:textId="77777777" w:rsidR="009A62D7" w:rsidRDefault="00000000">
            <w:pPr>
              <w:spacing w:before="60" w:after="60"/>
              <w:jc w:val="left"/>
            </w:pPr>
            <w:r>
              <w:rPr>
                <w:sz w:val="16"/>
              </w:rPr>
              <w:t>Quantity</w:t>
            </w:r>
          </w:p>
        </w:tc>
        <w:tc>
          <w:tcPr>
            <w:tcW w:w="2197" w:type="dxa"/>
            <w:tcBorders>
              <w:top w:val="single" w:sz="5" w:space="0" w:color="78A99B"/>
              <w:left w:val="nil"/>
              <w:bottom w:val="single" w:sz="5" w:space="0" w:color="78A99B"/>
              <w:right w:val="nil"/>
            </w:tcBorders>
          </w:tcPr>
          <w:p w14:paraId="5B06DF5E" w14:textId="77777777" w:rsidR="009A62D7" w:rsidRDefault="00000000">
            <w:pPr>
              <w:spacing w:before="60" w:after="60"/>
              <w:jc w:val="left"/>
            </w:pPr>
            <w:r>
              <w:rPr>
                <w:sz w:val="16"/>
              </w:rPr>
              <w:t>Absorber 1</w:t>
            </w:r>
          </w:p>
        </w:tc>
        <w:tc>
          <w:tcPr>
            <w:tcW w:w="2197" w:type="dxa"/>
            <w:tcBorders>
              <w:top w:val="single" w:sz="5" w:space="0" w:color="78A99B"/>
              <w:left w:val="nil"/>
              <w:bottom w:val="single" w:sz="5" w:space="0" w:color="78A99B"/>
              <w:right w:val="nil"/>
            </w:tcBorders>
          </w:tcPr>
          <w:p w14:paraId="31B3FBD5" w14:textId="77777777" w:rsidR="009A62D7" w:rsidRDefault="00000000">
            <w:pPr>
              <w:spacing w:before="60" w:after="60"/>
              <w:jc w:val="left"/>
            </w:pPr>
            <w:r>
              <w:rPr>
                <w:sz w:val="16"/>
              </w:rPr>
              <w:t>Absorber 2</w:t>
            </w:r>
          </w:p>
        </w:tc>
        <w:tc>
          <w:tcPr>
            <w:tcW w:w="2197" w:type="dxa"/>
            <w:tcBorders>
              <w:top w:val="single" w:sz="5" w:space="0" w:color="78A99B"/>
              <w:left w:val="nil"/>
              <w:bottom w:val="single" w:sz="5" w:space="0" w:color="78A99B"/>
              <w:right w:val="nil"/>
            </w:tcBorders>
          </w:tcPr>
          <w:p w14:paraId="60D0D652" w14:textId="77777777" w:rsidR="009A62D7" w:rsidRDefault="00000000">
            <w:pPr>
              <w:spacing w:before="60" w:after="60"/>
              <w:jc w:val="left"/>
            </w:pPr>
            <w:r>
              <w:rPr>
                <w:sz w:val="16"/>
              </w:rPr>
              <w:t>Combined</w:t>
            </w:r>
          </w:p>
        </w:tc>
      </w:tr>
      <w:tr w:rsidR="009A62D7" w14:paraId="1268E417" w14:textId="77777777">
        <w:trPr>
          <w:cantSplit/>
        </w:trPr>
        <w:tc>
          <w:tcPr>
            <w:tcW w:w="2197" w:type="dxa"/>
            <w:tcBorders>
              <w:top w:val="nil"/>
              <w:left w:val="nil"/>
              <w:bottom w:val="nil"/>
              <w:right w:val="nil"/>
            </w:tcBorders>
          </w:tcPr>
          <w:p w14:paraId="0C3A9A79" w14:textId="77777777" w:rsidR="009A62D7" w:rsidRDefault="00000000">
            <w:pPr>
              <w:spacing w:before="60" w:after="60"/>
              <w:jc w:val="left"/>
            </w:pPr>
            <w:r>
              <w:rPr>
                <w:sz w:val="16"/>
              </w:rPr>
              <w:t>Initial absorbent mass, g</w:t>
            </w:r>
          </w:p>
        </w:tc>
        <w:tc>
          <w:tcPr>
            <w:tcW w:w="2197" w:type="dxa"/>
            <w:tcBorders>
              <w:top w:val="nil"/>
              <w:left w:val="nil"/>
              <w:bottom w:val="nil"/>
              <w:right w:val="nil"/>
            </w:tcBorders>
          </w:tcPr>
          <w:p w14:paraId="3F44BFCA" w14:textId="77777777" w:rsidR="009A62D7" w:rsidRDefault="00000000">
            <w:pPr>
              <w:spacing w:before="60" w:after="60"/>
              <w:jc w:val="left"/>
            </w:pPr>
            <w:r>
              <w:rPr>
                <w:sz w:val="16"/>
              </w:rPr>
              <w:t>85.00</w:t>
            </w:r>
          </w:p>
        </w:tc>
        <w:tc>
          <w:tcPr>
            <w:tcW w:w="2197" w:type="dxa"/>
            <w:tcBorders>
              <w:top w:val="nil"/>
              <w:left w:val="nil"/>
              <w:bottom w:val="nil"/>
              <w:right w:val="nil"/>
            </w:tcBorders>
          </w:tcPr>
          <w:p w14:paraId="4B7E8C30" w14:textId="77777777" w:rsidR="009A62D7" w:rsidRDefault="00000000">
            <w:pPr>
              <w:spacing w:before="60" w:after="60"/>
              <w:jc w:val="left"/>
            </w:pPr>
            <w:r>
              <w:rPr>
                <w:sz w:val="16"/>
              </w:rPr>
              <w:t>85.00</w:t>
            </w:r>
          </w:p>
        </w:tc>
        <w:tc>
          <w:tcPr>
            <w:tcW w:w="2197" w:type="dxa"/>
            <w:tcBorders>
              <w:top w:val="nil"/>
              <w:left w:val="nil"/>
              <w:bottom w:val="nil"/>
              <w:right w:val="nil"/>
            </w:tcBorders>
          </w:tcPr>
          <w:p w14:paraId="50D4E52E" w14:textId="77777777" w:rsidR="009A62D7" w:rsidRDefault="00000000">
            <w:pPr>
              <w:spacing w:before="60" w:after="60"/>
              <w:jc w:val="left"/>
            </w:pPr>
            <w:r>
              <w:rPr>
                <w:sz w:val="16"/>
              </w:rPr>
              <w:t>170.00</w:t>
            </w:r>
          </w:p>
        </w:tc>
      </w:tr>
      <w:tr w:rsidR="009A62D7" w14:paraId="522549DB" w14:textId="77777777">
        <w:trPr>
          <w:cantSplit/>
        </w:trPr>
        <w:tc>
          <w:tcPr>
            <w:tcW w:w="2197" w:type="dxa"/>
            <w:tcBorders>
              <w:top w:val="nil"/>
              <w:left w:val="nil"/>
              <w:bottom w:val="nil"/>
              <w:right w:val="nil"/>
            </w:tcBorders>
          </w:tcPr>
          <w:p w14:paraId="5D02F9AE" w14:textId="77777777" w:rsidR="009A62D7" w:rsidRDefault="00000000">
            <w:pPr>
              <w:spacing w:before="60" w:after="60"/>
              <w:jc w:val="left"/>
            </w:pPr>
            <w:r>
              <w:rPr>
                <w:sz w:val="16"/>
              </w:rPr>
              <w:t>Mass after absorption, g</w:t>
            </w:r>
          </w:p>
        </w:tc>
        <w:tc>
          <w:tcPr>
            <w:tcW w:w="2197" w:type="dxa"/>
            <w:tcBorders>
              <w:top w:val="nil"/>
              <w:left w:val="nil"/>
              <w:bottom w:val="nil"/>
              <w:right w:val="nil"/>
            </w:tcBorders>
          </w:tcPr>
          <w:p w14:paraId="5631724F" w14:textId="77777777" w:rsidR="009A62D7" w:rsidRDefault="00000000">
            <w:pPr>
              <w:spacing w:before="60" w:after="60"/>
              <w:jc w:val="left"/>
            </w:pPr>
            <w:r>
              <w:rPr>
                <w:sz w:val="16"/>
              </w:rPr>
              <w:t>106.5 / 108.5*</w:t>
            </w:r>
          </w:p>
        </w:tc>
        <w:tc>
          <w:tcPr>
            <w:tcW w:w="2197" w:type="dxa"/>
            <w:tcBorders>
              <w:top w:val="nil"/>
              <w:left w:val="nil"/>
              <w:bottom w:val="nil"/>
              <w:right w:val="nil"/>
            </w:tcBorders>
          </w:tcPr>
          <w:p w14:paraId="41FB2255" w14:textId="77777777" w:rsidR="009A62D7" w:rsidRDefault="00000000">
            <w:pPr>
              <w:spacing w:before="60" w:after="60"/>
              <w:jc w:val="left"/>
            </w:pPr>
            <w:r>
              <w:rPr>
                <w:sz w:val="16"/>
              </w:rPr>
              <w:t>89.50</w:t>
            </w:r>
          </w:p>
        </w:tc>
        <w:tc>
          <w:tcPr>
            <w:tcW w:w="2197" w:type="dxa"/>
            <w:tcBorders>
              <w:top w:val="nil"/>
              <w:left w:val="nil"/>
              <w:bottom w:val="nil"/>
              <w:right w:val="nil"/>
            </w:tcBorders>
          </w:tcPr>
          <w:p w14:paraId="5A60E45A" w14:textId="77777777" w:rsidR="009A62D7" w:rsidRDefault="00000000">
            <w:pPr>
              <w:spacing w:before="60" w:after="60"/>
              <w:jc w:val="left"/>
            </w:pPr>
            <w:r>
              <w:rPr>
                <w:sz w:val="16"/>
              </w:rPr>
              <w:t>196.0 / 198.0*</w:t>
            </w:r>
          </w:p>
        </w:tc>
      </w:tr>
      <w:tr w:rsidR="009A62D7" w14:paraId="0C5E9A9F" w14:textId="77777777">
        <w:trPr>
          <w:cantSplit/>
        </w:trPr>
        <w:tc>
          <w:tcPr>
            <w:tcW w:w="2197" w:type="dxa"/>
            <w:tcBorders>
              <w:top w:val="nil"/>
              <w:left w:val="nil"/>
              <w:bottom w:val="nil"/>
              <w:right w:val="nil"/>
            </w:tcBorders>
          </w:tcPr>
          <w:p w14:paraId="7B8F2561" w14:textId="77777777" w:rsidR="009A62D7" w:rsidRDefault="00000000">
            <w:pPr>
              <w:spacing w:before="60" w:after="60"/>
              <w:jc w:val="left"/>
            </w:pPr>
            <w:r>
              <w:rPr>
                <w:sz w:val="16"/>
              </w:rPr>
              <w:t>Mass after evaporation, g</w:t>
            </w:r>
          </w:p>
        </w:tc>
        <w:tc>
          <w:tcPr>
            <w:tcW w:w="2197" w:type="dxa"/>
            <w:tcBorders>
              <w:top w:val="nil"/>
              <w:left w:val="nil"/>
              <w:bottom w:val="nil"/>
              <w:right w:val="nil"/>
            </w:tcBorders>
          </w:tcPr>
          <w:p w14:paraId="3D99FDBD" w14:textId="77777777" w:rsidR="009A62D7" w:rsidRDefault="00000000">
            <w:pPr>
              <w:spacing w:before="60" w:after="60"/>
              <w:jc w:val="left"/>
            </w:pPr>
            <w:r>
              <w:rPr>
                <w:sz w:val="16"/>
              </w:rPr>
              <w:t>55.00</w:t>
            </w:r>
          </w:p>
        </w:tc>
        <w:tc>
          <w:tcPr>
            <w:tcW w:w="2197" w:type="dxa"/>
            <w:tcBorders>
              <w:top w:val="nil"/>
              <w:left w:val="nil"/>
              <w:bottom w:val="nil"/>
              <w:right w:val="nil"/>
            </w:tcBorders>
          </w:tcPr>
          <w:p w14:paraId="57A80D1B" w14:textId="77777777" w:rsidR="009A62D7" w:rsidRDefault="00000000">
            <w:pPr>
              <w:spacing w:before="60" w:after="60"/>
              <w:jc w:val="left"/>
            </w:pPr>
            <w:r>
              <w:rPr>
                <w:sz w:val="16"/>
              </w:rPr>
              <w:t>42.00</w:t>
            </w:r>
          </w:p>
        </w:tc>
        <w:tc>
          <w:tcPr>
            <w:tcW w:w="2197" w:type="dxa"/>
            <w:tcBorders>
              <w:top w:val="nil"/>
              <w:left w:val="nil"/>
              <w:bottom w:val="nil"/>
              <w:right w:val="nil"/>
            </w:tcBorders>
          </w:tcPr>
          <w:p w14:paraId="650BAFA8" w14:textId="77777777" w:rsidR="009A62D7" w:rsidRDefault="00000000">
            <w:pPr>
              <w:spacing w:before="60" w:after="60"/>
              <w:jc w:val="left"/>
            </w:pPr>
            <w:r>
              <w:rPr>
                <w:sz w:val="16"/>
              </w:rPr>
              <w:t>97.00</w:t>
            </w:r>
          </w:p>
        </w:tc>
      </w:tr>
      <w:tr w:rsidR="009A62D7" w14:paraId="5280C984" w14:textId="77777777">
        <w:trPr>
          <w:cantSplit/>
        </w:trPr>
        <w:tc>
          <w:tcPr>
            <w:tcW w:w="2197" w:type="dxa"/>
            <w:tcBorders>
              <w:top w:val="nil"/>
              <w:left w:val="nil"/>
              <w:bottom w:val="nil"/>
              <w:right w:val="nil"/>
            </w:tcBorders>
          </w:tcPr>
          <w:p w14:paraId="245E9064" w14:textId="77777777" w:rsidR="009A62D7" w:rsidRDefault="00000000">
            <w:pPr>
              <w:spacing w:before="60" w:after="60"/>
              <w:jc w:val="left"/>
            </w:pPr>
            <w:r>
              <w:rPr>
                <w:sz w:val="16"/>
              </w:rPr>
              <w:t>Wet filtered solid, g</w:t>
            </w:r>
          </w:p>
        </w:tc>
        <w:tc>
          <w:tcPr>
            <w:tcW w:w="2197" w:type="dxa"/>
            <w:tcBorders>
              <w:top w:val="nil"/>
              <w:left w:val="nil"/>
              <w:bottom w:val="nil"/>
              <w:right w:val="nil"/>
            </w:tcBorders>
          </w:tcPr>
          <w:p w14:paraId="5AD622DE" w14:textId="77777777" w:rsidR="009A62D7" w:rsidRDefault="00000000">
            <w:pPr>
              <w:spacing w:before="60" w:after="60"/>
              <w:jc w:val="left"/>
            </w:pPr>
            <w:r>
              <w:rPr>
                <w:sz w:val="16"/>
              </w:rPr>
              <w:t>17.94</w:t>
            </w:r>
          </w:p>
        </w:tc>
        <w:tc>
          <w:tcPr>
            <w:tcW w:w="2197" w:type="dxa"/>
            <w:tcBorders>
              <w:top w:val="nil"/>
              <w:left w:val="nil"/>
              <w:bottom w:val="nil"/>
              <w:right w:val="nil"/>
            </w:tcBorders>
          </w:tcPr>
          <w:p w14:paraId="640496FB" w14:textId="77777777" w:rsidR="009A62D7" w:rsidRDefault="00000000">
            <w:pPr>
              <w:spacing w:before="60" w:after="60"/>
              <w:jc w:val="left"/>
            </w:pPr>
            <w:r>
              <w:rPr>
                <w:sz w:val="16"/>
              </w:rPr>
              <w:t>9.65</w:t>
            </w:r>
          </w:p>
        </w:tc>
        <w:tc>
          <w:tcPr>
            <w:tcW w:w="2197" w:type="dxa"/>
            <w:tcBorders>
              <w:top w:val="nil"/>
              <w:left w:val="nil"/>
              <w:bottom w:val="nil"/>
              <w:right w:val="nil"/>
            </w:tcBorders>
          </w:tcPr>
          <w:p w14:paraId="1F211073" w14:textId="77777777" w:rsidR="009A62D7" w:rsidRDefault="00000000">
            <w:pPr>
              <w:spacing w:before="60" w:after="60"/>
              <w:jc w:val="left"/>
            </w:pPr>
            <w:r>
              <w:rPr>
                <w:sz w:val="16"/>
              </w:rPr>
              <w:t>27.59</w:t>
            </w:r>
          </w:p>
        </w:tc>
      </w:tr>
      <w:tr w:rsidR="009A62D7" w14:paraId="08E88E5E" w14:textId="77777777">
        <w:trPr>
          <w:cantSplit/>
        </w:trPr>
        <w:tc>
          <w:tcPr>
            <w:tcW w:w="2197" w:type="dxa"/>
            <w:tcBorders>
              <w:top w:val="nil"/>
              <w:left w:val="nil"/>
              <w:bottom w:val="nil"/>
              <w:right w:val="nil"/>
            </w:tcBorders>
          </w:tcPr>
          <w:p w14:paraId="31BFC092" w14:textId="77777777" w:rsidR="009A62D7" w:rsidRDefault="00000000">
            <w:pPr>
              <w:spacing w:before="60" w:after="60"/>
              <w:jc w:val="left"/>
            </w:pPr>
            <w:r>
              <w:rPr>
                <w:sz w:val="16"/>
              </w:rPr>
              <w:t>Solid after 150 °C for 90 min, g</w:t>
            </w:r>
          </w:p>
        </w:tc>
        <w:tc>
          <w:tcPr>
            <w:tcW w:w="2197" w:type="dxa"/>
            <w:tcBorders>
              <w:top w:val="nil"/>
              <w:left w:val="nil"/>
              <w:bottom w:val="nil"/>
              <w:right w:val="nil"/>
            </w:tcBorders>
          </w:tcPr>
          <w:p w14:paraId="244B5EEF" w14:textId="77777777" w:rsidR="009A62D7" w:rsidRDefault="00000000">
            <w:pPr>
              <w:spacing w:before="60" w:after="60"/>
              <w:jc w:val="left"/>
            </w:pPr>
            <w:r>
              <w:rPr>
                <w:sz w:val="16"/>
              </w:rPr>
              <w:t>11.85</w:t>
            </w:r>
          </w:p>
        </w:tc>
        <w:tc>
          <w:tcPr>
            <w:tcW w:w="2197" w:type="dxa"/>
            <w:tcBorders>
              <w:top w:val="nil"/>
              <w:left w:val="nil"/>
              <w:bottom w:val="nil"/>
              <w:right w:val="nil"/>
            </w:tcBorders>
          </w:tcPr>
          <w:p w14:paraId="7A85ABA5" w14:textId="77777777" w:rsidR="009A62D7" w:rsidRDefault="00000000">
            <w:pPr>
              <w:spacing w:before="60" w:after="60"/>
              <w:jc w:val="left"/>
            </w:pPr>
            <w:r>
              <w:rPr>
                <w:sz w:val="16"/>
              </w:rPr>
              <w:t>5.92</w:t>
            </w:r>
          </w:p>
        </w:tc>
        <w:tc>
          <w:tcPr>
            <w:tcW w:w="2197" w:type="dxa"/>
            <w:tcBorders>
              <w:top w:val="nil"/>
              <w:left w:val="nil"/>
              <w:bottom w:val="nil"/>
              <w:right w:val="nil"/>
            </w:tcBorders>
          </w:tcPr>
          <w:p w14:paraId="7516DB50" w14:textId="77777777" w:rsidR="009A62D7" w:rsidRDefault="00000000">
            <w:pPr>
              <w:spacing w:before="60" w:after="60"/>
              <w:jc w:val="left"/>
            </w:pPr>
            <w:r>
              <w:rPr>
                <w:sz w:val="16"/>
              </w:rPr>
              <w:t>17.77</w:t>
            </w:r>
          </w:p>
        </w:tc>
      </w:tr>
      <w:tr w:rsidR="009A62D7" w14:paraId="6FAFE8B4" w14:textId="77777777">
        <w:trPr>
          <w:cantSplit/>
        </w:trPr>
        <w:tc>
          <w:tcPr>
            <w:tcW w:w="2197" w:type="dxa"/>
            <w:tcBorders>
              <w:top w:val="nil"/>
              <w:left w:val="nil"/>
              <w:bottom w:val="single" w:sz="5" w:space="0" w:color="78A99B"/>
              <w:right w:val="nil"/>
            </w:tcBorders>
          </w:tcPr>
          <w:p w14:paraId="5CAA5AD4" w14:textId="77777777" w:rsidR="009A62D7" w:rsidRDefault="00000000">
            <w:pPr>
              <w:spacing w:before="60" w:after="60"/>
              <w:jc w:val="left"/>
            </w:pPr>
            <w:r>
              <w:rPr>
                <w:sz w:val="16"/>
              </w:rPr>
              <w:t>Loss on drying, % of wet solid</w:t>
            </w:r>
          </w:p>
        </w:tc>
        <w:tc>
          <w:tcPr>
            <w:tcW w:w="2197" w:type="dxa"/>
            <w:tcBorders>
              <w:top w:val="nil"/>
              <w:left w:val="nil"/>
              <w:bottom w:val="single" w:sz="5" w:space="0" w:color="78A99B"/>
              <w:right w:val="nil"/>
            </w:tcBorders>
          </w:tcPr>
          <w:p w14:paraId="0E6B5714" w14:textId="77777777" w:rsidR="009A62D7" w:rsidRDefault="00000000">
            <w:pPr>
              <w:spacing w:before="60" w:after="60"/>
              <w:jc w:val="left"/>
            </w:pPr>
            <w:r>
              <w:rPr>
                <w:sz w:val="16"/>
              </w:rPr>
              <w:t>33.95</w:t>
            </w:r>
          </w:p>
        </w:tc>
        <w:tc>
          <w:tcPr>
            <w:tcW w:w="2197" w:type="dxa"/>
            <w:tcBorders>
              <w:top w:val="nil"/>
              <w:left w:val="nil"/>
              <w:bottom w:val="single" w:sz="5" w:space="0" w:color="78A99B"/>
              <w:right w:val="nil"/>
            </w:tcBorders>
          </w:tcPr>
          <w:p w14:paraId="46F8487F" w14:textId="77777777" w:rsidR="009A62D7" w:rsidRDefault="00000000">
            <w:pPr>
              <w:spacing w:before="60" w:after="60"/>
              <w:jc w:val="left"/>
            </w:pPr>
            <w:r>
              <w:rPr>
                <w:sz w:val="16"/>
              </w:rPr>
              <w:t>38.65</w:t>
            </w:r>
          </w:p>
        </w:tc>
        <w:tc>
          <w:tcPr>
            <w:tcW w:w="2197" w:type="dxa"/>
            <w:tcBorders>
              <w:top w:val="nil"/>
              <w:left w:val="nil"/>
              <w:bottom w:val="single" w:sz="5" w:space="0" w:color="78A99B"/>
              <w:right w:val="nil"/>
            </w:tcBorders>
          </w:tcPr>
          <w:p w14:paraId="3E020CC0" w14:textId="77777777" w:rsidR="009A62D7" w:rsidRDefault="00000000">
            <w:pPr>
              <w:spacing w:before="60" w:after="60"/>
              <w:jc w:val="left"/>
            </w:pPr>
            <w:r>
              <w:rPr>
                <w:sz w:val="16"/>
              </w:rPr>
              <w:t>35.59</w:t>
            </w:r>
          </w:p>
        </w:tc>
      </w:tr>
    </w:tbl>
    <w:p w14:paraId="4A7F421E" w14:textId="77777777" w:rsidR="009A62D7" w:rsidRDefault="00000000">
      <w:pPr>
        <w:pStyle w:val="CETBodytext"/>
      </w:pPr>
      <w:r>
        <w:t>* Two inconsistent source values. Combined masses are sums, not independent measurements. Loss on drying = 100 × (wet solid − dried solid)/wet solid.</w:t>
      </w:r>
    </w:p>
    <w:p w14:paraId="0F185523" w14:textId="77777777" w:rsidR="009A62D7" w:rsidRDefault="00000000">
      <w:pPr>
        <w:pStyle w:val="CETBodytext"/>
      </w:pPr>
      <w:r>
        <w:t>The first and second absorbers contributed 66.7 and 33.3 % of the total recovered dried mass. The second stage therefore made a substantial contribution to solid recovery in this experiment. This proportion is not the second-stage SO₂ capture efficiency because the gas composition, residual dissolved sulfur and product assay were not measured.</w:t>
      </w:r>
    </w:p>
    <w:p w14:paraId="3386EA32" w14:textId="77777777" w:rsidR="009A62D7" w:rsidRDefault="00000000">
      <w:pPr>
        <w:pStyle w:val="CETBodytext"/>
      </w:pPr>
      <w:r>
        <w:t>If the stated 20 % concentration denotes a mass fraction, 170 g of absorbent contains 34.0 g NaOH (0.850 mol). Eq(2) gives a maximum of approximately 53.6 g Na₂SO₃. Independently, 49.14 g of waste acid at 84.75 wt.% contains approximately 41.65 g H₂SO₄ (0.425 mol), also corresponding to about 53.5 g Na₂SO₃ under complete sulfur conversion and recovery. The dried mass of 17.77 g is about 33.2 % of this conditional stoichiometric amount. It is an apparent recovered-solid ratio, not an assay-corrected product yield or measured acid conversion.</w:t>
      </w:r>
    </w:p>
    <w:p w14:paraId="59D348C5" w14:textId="77777777" w:rsidR="009A62D7" w:rsidRDefault="00000000">
      <w:pPr>
        <w:pStyle w:val="CETBodytext"/>
      </w:pPr>
      <w:r>
        <w:t>A sulfur balance would need to include the solid residue, condensate, both mother liquors, isolated solids and off-gas. Missing these streams precludes claims of complete conversion, complete absorption or waste-free operation. Likewise, economic savings cannot be quantified from the present laboratory masses alone.</w:t>
      </w:r>
    </w:p>
    <w:p w14:paraId="199B87C8" w14:textId="77777777" w:rsidR="009A62D7" w:rsidRDefault="00000000">
      <w:r>
        <w:br w:type="page"/>
      </w:r>
    </w:p>
    <w:p w14:paraId="7EB4D1CE" w14:textId="77777777" w:rsidR="009A62D7" w:rsidRDefault="00000000">
      <w:pPr>
        <w:pStyle w:val="CETheadingx"/>
        <w:numPr>
          <w:ilvl w:val="2"/>
          <w:numId w:val="0"/>
        </w:numPr>
      </w:pPr>
      <w:r>
        <w:lastRenderedPageBreak/>
        <w:t>3.4 Thermal behaviour and phase identification</w:t>
      </w:r>
    </w:p>
    <w:p w14:paraId="79E1B6FB" w14:textId="0E3D1E3E" w:rsidR="009A62D7" w:rsidRDefault="00613438">
      <w:pPr>
        <w:keepNext/>
        <w:spacing w:after="40"/>
      </w:pPr>
      <w:r>
        <w:rPr>
          <w:noProof/>
        </w:rPr>
        <w:drawing>
          <wp:inline distT="0" distB="0" distL="0" distR="0" wp14:anchorId="5EA9EB1F" wp14:editId="0D16A077">
            <wp:extent cx="4902200" cy="3358703"/>
            <wp:effectExtent l="0" t="0" r="0" b="0"/>
            <wp:docPr id="1985838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5789" cy="3361162"/>
                    </a:xfrm>
                    <a:prstGeom prst="rect">
                      <a:avLst/>
                    </a:prstGeom>
                    <a:noFill/>
                  </pic:spPr>
                </pic:pic>
              </a:graphicData>
            </a:graphic>
          </wp:inline>
        </w:drawing>
      </w:r>
    </w:p>
    <w:p w14:paraId="6335B1CB" w14:textId="77777777" w:rsidR="009A62D7" w:rsidRDefault="00000000">
      <w:pPr>
        <w:pStyle w:val="CETCaption0"/>
      </w:pPr>
      <w:r>
        <w:t>Figure 2: Original TG–DTA export for the recovered solid. The plotted mass changes and thermal event are observations; individual reaction assignments remain unverified.</w:t>
      </w:r>
    </w:p>
    <w:p w14:paraId="1DF2A745" w14:textId="77777777" w:rsidR="009A62D7" w:rsidRDefault="00000000">
      <w:pPr>
        <w:pStyle w:val="CETBodytext"/>
      </w:pPr>
      <w:r>
        <w:t>Figure 2 reports a mass decrease of 1.883 % between approximately 16 and 318 °C and a further decrease of 17.601 % between approximately 318 and 564 °C. At higher temperatures the plotted TG trace rises, although the software annotation still uses “weight loss”. The DTA peak is labelled 741.38 °C. Without the atmosphere, heating programme or evolved-gas analysis, these features cannot be assigned uniquely to dehydration, oxidation or decomposition. They do not substantiate the original claim of excellent high-temperature stability.</w:t>
      </w:r>
    </w:p>
    <w:p w14:paraId="0107B279" w14:textId="7E1677AD" w:rsidR="009A62D7" w:rsidRDefault="00613438">
      <w:pPr>
        <w:keepNext/>
        <w:spacing w:after="40"/>
      </w:pPr>
      <w:r>
        <w:rPr>
          <w:noProof/>
        </w:rPr>
        <w:drawing>
          <wp:inline distT="0" distB="0" distL="0" distR="0" wp14:anchorId="7279583B" wp14:editId="1B7B9FA4">
            <wp:extent cx="5198110" cy="3158067"/>
            <wp:effectExtent l="0" t="0" r="2540" b="4445"/>
            <wp:docPr id="13831978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2541" cy="3160759"/>
                    </a:xfrm>
                    <a:prstGeom prst="rect">
                      <a:avLst/>
                    </a:prstGeom>
                    <a:noFill/>
                  </pic:spPr>
                </pic:pic>
              </a:graphicData>
            </a:graphic>
          </wp:inline>
        </w:drawing>
      </w:r>
    </w:p>
    <w:p w14:paraId="1F568C79" w14:textId="77777777" w:rsidR="009A62D7" w:rsidRDefault="00000000">
      <w:pPr>
        <w:pStyle w:val="CETCaption0"/>
      </w:pPr>
      <w:r>
        <w:t>Figure 3: Original XRD export with Na₂SO₃ reference entry 96-101-0524. The export explicitly states that Rietveld calculation and difference curves are unavailable.</w:t>
      </w:r>
    </w:p>
    <w:p w14:paraId="7F809280" w14:textId="79E70922" w:rsidR="009A62D7" w:rsidRDefault="00000000" w:rsidP="00613438">
      <w:pPr>
        <w:pStyle w:val="CETBodytext"/>
      </w:pPr>
      <w:r>
        <w:lastRenderedPageBreak/>
        <w:t>The supplied phase-search output is consistent with crystalline sodium sulfite. However, the displayed “100.0 %” is not accepted as a quantitative purity result because the export states that the Rietveld calculation is unavailable, possibly because refinement was unsuccessful. No calibrated phase quantification, internal-standard analysis or independent sulfite assay was supplied. Minor crystalline phases and amorphous impurities therefore remain unquantified. Phase identification is retained, while the assertion of almost 100 % chemical purity is withdrawn.</w:t>
      </w:r>
    </w:p>
    <w:p w14:paraId="0281303D" w14:textId="77777777" w:rsidR="009A62D7" w:rsidRDefault="00000000">
      <w:pPr>
        <w:pStyle w:val="CETheadingx"/>
        <w:numPr>
          <w:ilvl w:val="2"/>
          <w:numId w:val="0"/>
        </w:numPr>
      </w:pPr>
      <w:r>
        <w:t>3.5 Density and viscosity of recovered-product solutions</w:t>
      </w:r>
    </w:p>
    <w:p w14:paraId="312451D4" w14:textId="77777777" w:rsidR="009A62D7" w:rsidRDefault="00000000">
      <w:pPr>
        <w:pStyle w:val="CETTabletitle0"/>
      </w:pPr>
      <w:r>
        <w:t>Table 4: Reported density ρ in g/mL and dynamic viscosity μ in mPa·s at nominal solution concentrations</w:t>
      </w:r>
    </w:p>
    <w:tbl>
      <w:tblPr>
        <w:tblW w:w="0" w:type="auto"/>
        <w:tblLayout w:type="fixed"/>
        <w:tblLook w:val="04A0" w:firstRow="1" w:lastRow="0" w:firstColumn="1" w:lastColumn="0" w:noHBand="0" w:noVBand="1"/>
      </w:tblPr>
      <w:tblGrid>
        <w:gridCol w:w="879"/>
        <w:gridCol w:w="879"/>
        <w:gridCol w:w="879"/>
        <w:gridCol w:w="879"/>
        <w:gridCol w:w="879"/>
        <w:gridCol w:w="879"/>
        <w:gridCol w:w="879"/>
        <w:gridCol w:w="879"/>
        <w:gridCol w:w="879"/>
        <w:gridCol w:w="879"/>
      </w:tblGrid>
      <w:tr w:rsidR="009A62D7" w14:paraId="6FE2044C" w14:textId="77777777">
        <w:trPr>
          <w:cantSplit/>
          <w:tblHeader/>
        </w:trPr>
        <w:tc>
          <w:tcPr>
            <w:tcW w:w="879" w:type="dxa"/>
            <w:tcBorders>
              <w:top w:val="single" w:sz="5" w:space="0" w:color="78A99B"/>
              <w:left w:val="nil"/>
              <w:bottom w:val="single" w:sz="5" w:space="0" w:color="78A99B"/>
              <w:right w:val="nil"/>
            </w:tcBorders>
          </w:tcPr>
          <w:p w14:paraId="5963F84D" w14:textId="77777777" w:rsidR="009A62D7" w:rsidRDefault="00000000">
            <w:pPr>
              <w:spacing w:before="60" w:after="60"/>
              <w:jc w:val="left"/>
            </w:pPr>
            <w:r>
              <w:rPr>
                <w:sz w:val="16"/>
              </w:rPr>
              <w:t>Property</w:t>
            </w:r>
          </w:p>
        </w:tc>
        <w:tc>
          <w:tcPr>
            <w:tcW w:w="879" w:type="dxa"/>
            <w:tcBorders>
              <w:top w:val="single" w:sz="5" w:space="0" w:color="78A99B"/>
              <w:left w:val="nil"/>
              <w:bottom w:val="single" w:sz="5" w:space="0" w:color="78A99B"/>
              <w:right w:val="nil"/>
            </w:tcBorders>
          </w:tcPr>
          <w:p w14:paraId="6B397AFC" w14:textId="77777777" w:rsidR="009A62D7" w:rsidRDefault="00000000">
            <w:pPr>
              <w:spacing w:before="60" w:after="60"/>
              <w:jc w:val="left"/>
            </w:pPr>
            <w:r>
              <w:rPr>
                <w:sz w:val="16"/>
              </w:rPr>
              <w:t>T, °C</w:t>
            </w:r>
          </w:p>
        </w:tc>
        <w:tc>
          <w:tcPr>
            <w:tcW w:w="879" w:type="dxa"/>
            <w:tcBorders>
              <w:top w:val="single" w:sz="5" w:space="0" w:color="78A99B"/>
              <w:left w:val="nil"/>
              <w:bottom w:val="single" w:sz="5" w:space="0" w:color="78A99B"/>
              <w:right w:val="nil"/>
            </w:tcBorders>
          </w:tcPr>
          <w:p w14:paraId="17300DA9" w14:textId="77777777" w:rsidR="009A62D7" w:rsidRDefault="00000000">
            <w:pPr>
              <w:spacing w:before="60" w:after="60"/>
              <w:jc w:val="left"/>
            </w:pPr>
            <w:r>
              <w:rPr>
                <w:sz w:val="16"/>
              </w:rPr>
              <w:t>1 %</w:t>
            </w:r>
          </w:p>
        </w:tc>
        <w:tc>
          <w:tcPr>
            <w:tcW w:w="879" w:type="dxa"/>
            <w:tcBorders>
              <w:top w:val="single" w:sz="5" w:space="0" w:color="78A99B"/>
              <w:left w:val="nil"/>
              <w:bottom w:val="single" w:sz="5" w:space="0" w:color="78A99B"/>
              <w:right w:val="nil"/>
            </w:tcBorders>
          </w:tcPr>
          <w:p w14:paraId="2988C677" w14:textId="77777777" w:rsidR="009A62D7" w:rsidRDefault="00000000">
            <w:pPr>
              <w:spacing w:before="60" w:after="60"/>
              <w:jc w:val="left"/>
            </w:pPr>
            <w:r>
              <w:rPr>
                <w:sz w:val="16"/>
              </w:rPr>
              <w:t>2.5 %</w:t>
            </w:r>
          </w:p>
        </w:tc>
        <w:tc>
          <w:tcPr>
            <w:tcW w:w="879" w:type="dxa"/>
            <w:tcBorders>
              <w:top w:val="single" w:sz="5" w:space="0" w:color="78A99B"/>
              <w:left w:val="nil"/>
              <w:bottom w:val="single" w:sz="5" w:space="0" w:color="78A99B"/>
              <w:right w:val="nil"/>
            </w:tcBorders>
          </w:tcPr>
          <w:p w14:paraId="7F32944D" w14:textId="77777777" w:rsidR="009A62D7" w:rsidRDefault="00000000">
            <w:pPr>
              <w:spacing w:before="60" w:after="60"/>
              <w:jc w:val="left"/>
            </w:pPr>
            <w:r>
              <w:rPr>
                <w:sz w:val="16"/>
              </w:rPr>
              <w:t>5 %</w:t>
            </w:r>
          </w:p>
        </w:tc>
        <w:tc>
          <w:tcPr>
            <w:tcW w:w="879" w:type="dxa"/>
            <w:tcBorders>
              <w:top w:val="single" w:sz="5" w:space="0" w:color="78A99B"/>
              <w:left w:val="nil"/>
              <w:bottom w:val="single" w:sz="5" w:space="0" w:color="78A99B"/>
              <w:right w:val="nil"/>
            </w:tcBorders>
          </w:tcPr>
          <w:p w14:paraId="52703C57" w14:textId="77777777" w:rsidR="009A62D7" w:rsidRDefault="00000000">
            <w:pPr>
              <w:spacing w:before="60" w:after="60"/>
              <w:jc w:val="left"/>
            </w:pPr>
            <w:r>
              <w:rPr>
                <w:sz w:val="16"/>
              </w:rPr>
              <w:t>10 %</w:t>
            </w:r>
          </w:p>
        </w:tc>
        <w:tc>
          <w:tcPr>
            <w:tcW w:w="879" w:type="dxa"/>
            <w:tcBorders>
              <w:top w:val="single" w:sz="5" w:space="0" w:color="78A99B"/>
              <w:left w:val="nil"/>
              <w:bottom w:val="single" w:sz="5" w:space="0" w:color="78A99B"/>
              <w:right w:val="nil"/>
            </w:tcBorders>
          </w:tcPr>
          <w:p w14:paraId="36C7C4E0" w14:textId="77777777" w:rsidR="009A62D7" w:rsidRDefault="00000000">
            <w:pPr>
              <w:spacing w:before="60" w:after="60"/>
              <w:jc w:val="left"/>
            </w:pPr>
            <w:r>
              <w:rPr>
                <w:sz w:val="16"/>
              </w:rPr>
              <w:t>15 %</w:t>
            </w:r>
          </w:p>
        </w:tc>
        <w:tc>
          <w:tcPr>
            <w:tcW w:w="879" w:type="dxa"/>
            <w:tcBorders>
              <w:top w:val="single" w:sz="5" w:space="0" w:color="78A99B"/>
              <w:left w:val="nil"/>
              <w:bottom w:val="single" w:sz="5" w:space="0" w:color="78A99B"/>
              <w:right w:val="nil"/>
            </w:tcBorders>
          </w:tcPr>
          <w:p w14:paraId="28D8951A" w14:textId="77777777" w:rsidR="009A62D7" w:rsidRDefault="00000000">
            <w:pPr>
              <w:spacing w:before="60" w:after="60"/>
              <w:jc w:val="left"/>
            </w:pPr>
            <w:r>
              <w:rPr>
                <w:sz w:val="16"/>
              </w:rPr>
              <w:t>20 %</w:t>
            </w:r>
          </w:p>
        </w:tc>
        <w:tc>
          <w:tcPr>
            <w:tcW w:w="879" w:type="dxa"/>
            <w:tcBorders>
              <w:top w:val="single" w:sz="5" w:space="0" w:color="78A99B"/>
              <w:left w:val="nil"/>
              <w:bottom w:val="single" w:sz="5" w:space="0" w:color="78A99B"/>
              <w:right w:val="nil"/>
            </w:tcBorders>
          </w:tcPr>
          <w:p w14:paraId="17DCC41D" w14:textId="77777777" w:rsidR="009A62D7" w:rsidRDefault="00000000">
            <w:pPr>
              <w:spacing w:before="60" w:after="60"/>
              <w:jc w:val="left"/>
            </w:pPr>
            <w:r>
              <w:rPr>
                <w:sz w:val="16"/>
              </w:rPr>
              <w:t>25 %</w:t>
            </w:r>
          </w:p>
        </w:tc>
        <w:tc>
          <w:tcPr>
            <w:tcW w:w="879" w:type="dxa"/>
            <w:tcBorders>
              <w:top w:val="single" w:sz="5" w:space="0" w:color="78A99B"/>
              <w:left w:val="nil"/>
              <w:bottom w:val="single" w:sz="5" w:space="0" w:color="78A99B"/>
              <w:right w:val="nil"/>
            </w:tcBorders>
          </w:tcPr>
          <w:p w14:paraId="0B5C52D2" w14:textId="77777777" w:rsidR="009A62D7" w:rsidRDefault="00000000">
            <w:pPr>
              <w:spacing w:before="60" w:after="60"/>
              <w:jc w:val="left"/>
            </w:pPr>
            <w:r>
              <w:rPr>
                <w:sz w:val="16"/>
              </w:rPr>
              <w:t>30 %</w:t>
            </w:r>
          </w:p>
        </w:tc>
      </w:tr>
      <w:tr w:rsidR="009A62D7" w14:paraId="2B34C43B" w14:textId="77777777">
        <w:trPr>
          <w:cantSplit/>
        </w:trPr>
        <w:tc>
          <w:tcPr>
            <w:tcW w:w="879" w:type="dxa"/>
            <w:tcBorders>
              <w:top w:val="nil"/>
              <w:left w:val="nil"/>
              <w:bottom w:val="nil"/>
              <w:right w:val="nil"/>
            </w:tcBorders>
          </w:tcPr>
          <w:p w14:paraId="4CCBD8C9" w14:textId="77777777" w:rsidR="009A62D7" w:rsidRDefault="00000000">
            <w:pPr>
              <w:spacing w:before="60" w:after="60"/>
              <w:jc w:val="left"/>
            </w:pPr>
            <w:r>
              <w:rPr>
                <w:sz w:val="16"/>
              </w:rPr>
              <w:t>ρ</w:t>
            </w:r>
          </w:p>
        </w:tc>
        <w:tc>
          <w:tcPr>
            <w:tcW w:w="879" w:type="dxa"/>
            <w:tcBorders>
              <w:top w:val="nil"/>
              <w:left w:val="nil"/>
              <w:bottom w:val="nil"/>
              <w:right w:val="nil"/>
            </w:tcBorders>
          </w:tcPr>
          <w:p w14:paraId="4348768E" w14:textId="77777777" w:rsidR="009A62D7" w:rsidRDefault="00000000">
            <w:pPr>
              <w:spacing w:before="60" w:after="60"/>
              <w:jc w:val="left"/>
            </w:pPr>
            <w:r>
              <w:rPr>
                <w:sz w:val="16"/>
              </w:rPr>
              <w:t>20</w:t>
            </w:r>
          </w:p>
        </w:tc>
        <w:tc>
          <w:tcPr>
            <w:tcW w:w="879" w:type="dxa"/>
            <w:tcBorders>
              <w:top w:val="nil"/>
              <w:left w:val="nil"/>
              <w:bottom w:val="nil"/>
              <w:right w:val="nil"/>
            </w:tcBorders>
          </w:tcPr>
          <w:p w14:paraId="4DF8EFC4" w14:textId="77777777" w:rsidR="009A62D7" w:rsidRDefault="00000000">
            <w:pPr>
              <w:spacing w:before="60" w:after="60"/>
              <w:jc w:val="left"/>
            </w:pPr>
            <w:r>
              <w:rPr>
                <w:sz w:val="16"/>
              </w:rPr>
              <w:t>1.009</w:t>
            </w:r>
          </w:p>
        </w:tc>
        <w:tc>
          <w:tcPr>
            <w:tcW w:w="879" w:type="dxa"/>
            <w:tcBorders>
              <w:top w:val="nil"/>
              <w:left w:val="nil"/>
              <w:bottom w:val="nil"/>
              <w:right w:val="nil"/>
            </w:tcBorders>
          </w:tcPr>
          <w:p w14:paraId="6213054C" w14:textId="77777777" w:rsidR="009A62D7" w:rsidRDefault="00000000">
            <w:pPr>
              <w:spacing w:before="60" w:after="60"/>
              <w:jc w:val="left"/>
            </w:pPr>
            <w:r>
              <w:rPr>
                <w:sz w:val="16"/>
              </w:rPr>
              <w:t>1.035</w:t>
            </w:r>
          </w:p>
        </w:tc>
        <w:tc>
          <w:tcPr>
            <w:tcW w:w="879" w:type="dxa"/>
            <w:tcBorders>
              <w:top w:val="nil"/>
              <w:left w:val="nil"/>
              <w:bottom w:val="nil"/>
              <w:right w:val="nil"/>
            </w:tcBorders>
          </w:tcPr>
          <w:p w14:paraId="0EBF1F50" w14:textId="77777777" w:rsidR="009A62D7" w:rsidRDefault="00000000">
            <w:pPr>
              <w:spacing w:before="60" w:after="60"/>
              <w:jc w:val="left"/>
            </w:pPr>
            <w:r>
              <w:rPr>
                <w:sz w:val="16"/>
              </w:rPr>
              <w:t>1.047</w:t>
            </w:r>
          </w:p>
        </w:tc>
        <w:tc>
          <w:tcPr>
            <w:tcW w:w="879" w:type="dxa"/>
            <w:tcBorders>
              <w:top w:val="nil"/>
              <w:left w:val="nil"/>
              <w:bottom w:val="nil"/>
              <w:right w:val="nil"/>
            </w:tcBorders>
          </w:tcPr>
          <w:p w14:paraId="5520E65A" w14:textId="77777777" w:rsidR="009A62D7" w:rsidRDefault="00000000">
            <w:pPr>
              <w:spacing w:before="60" w:after="60"/>
              <w:jc w:val="left"/>
            </w:pPr>
            <w:r>
              <w:rPr>
                <w:sz w:val="16"/>
              </w:rPr>
              <w:t>1.095</w:t>
            </w:r>
          </w:p>
        </w:tc>
        <w:tc>
          <w:tcPr>
            <w:tcW w:w="879" w:type="dxa"/>
            <w:tcBorders>
              <w:top w:val="nil"/>
              <w:left w:val="nil"/>
              <w:bottom w:val="nil"/>
              <w:right w:val="nil"/>
            </w:tcBorders>
          </w:tcPr>
          <w:p w14:paraId="6A31DD90" w14:textId="77777777" w:rsidR="009A62D7" w:rsidRDefault="00000000">
            <w:pPr>
              <w:spacing w:before="60" w:after="60"/>
              <w:jc w:val="left"/>
            </w:pPr>
            <w:r>
              <w:rPr>
                <w:sz w:val="16"/>
              </w:rPr>
              <w:t>1.141</w:t>
            </w:r>
          </w:p>
        </w:tc>
        <w:tc>
          <w:tcPr>
            <w:tcW w:w="879" w:type="dxa"/>
            <w:tcBorders>
              <w:top w:val="nil"/>
              <w:left w:val="nil"/>
              <w:bottom w:val="nil"/>
              <w:right w:val="nil"/>
            </w:tcBorders>
          </w:tcPr>
          <w:p w14:paraId="160DD979" w14:textId="77777777" w:rsidR="009A62D7" w:rsidRDefault="00000000">
            <w:pPr>
              <w:spacing w:before="60" w:after="60"/>
              <w:jc w:val="left"/>
            </w:pPr>
            <w:r>
              <w:rPr>
                <w:sz w:val="16"/>
              </w:rPr>
              <w:t>1.122*</w:t>
            </w:r>
          </w:p>
        </w:tc>
        <w:tc>
          <w:tcPr>
            <w:tcW w:w="879" w:type="dxa"/>
            <w:tcBorders>
              <w:top w:val="nil"/>
              <w:left w:val="nil"/>
              <w:bottom w:val="nil"/>
              <w:right w:val="nil"/>
            </w:tcBorders>
          </w:tcPr>
          <w:p w14:paraId="2C5CA99C" w14:textId="77777777" w:rsidR="009A62D7" w:rsidRDefault="00000000">
            <w:pPr>
              <w:spacing w:before="60" w:after="60"/>
              <w:jc w:val="left"/>
            </w:pPr>
            <w:r>
              <w:rPr>
                <w:sz w:val="16"/>
              </w:rPr>
              <w:t>1.245</w:t>
            </w:r>
          </w:p>
        </w:tc>
        <w:tc>
          <w:tcPr>
            <w:tcW w:w="879" w:type="dxa"/>
            <w:tcBorders>
              <w:top w:val="nil"/>
              <w:left w:val="nil"/>
              <w:bottom w:val="nil"/>
              <w:right w:val="nil"/>
            </w:tcBorders>
          </w:tcPr>
          <w:p w14:paraId="79E3976A" w14:textId="77777777" w:rsidR="009A62D7" w:rsidRDefault="00000000">
            <w:pPr>
              <w:spacing w:before="60" w:after="60"/>
              <w:jc w:val="left"/>
            </w:pPr>
            <w:r>
              <w:rPr>
                <w:sz w:val="16"/>
              </w:rPr>
              <w:t>1.281</w:t>
            </w:r>
          </w:p>
        </w:tc>
      </w:tr>
      <w:tr w:rsidR="009A62D7" w14:paraId="26955538" w14:textId="77777777">
        <w:trPr>
          <w:cantSplit/>
        </w:trPr>
        <w:tc>
          <w:tcPr>
            <w:tcW w:w="879" w:type="dxa"/>
            <w:tcBorders>
              <w:top w:val="nil"/>
              <w:left w:val="nil"/>
              <w:bottom w:val="nil"/>
              <w:right w:val="nil"/>
            </w:tcBorders>
          </w:tcPr>
          <w:p w14:paraId="2258D5B1" w14:textId="77777777" w:rsidR="009A62D7" w:rsidRDefault="00000000">
            <w:pPr>
              <w:spacing w:before="60" w:after="60"/>
              <w:jc w:val="left"/>
            </w:pPr>
            <w:r>
              <w:rPr>
                <w:sz w:val="16"/>
              </w:rPr>
              <w:t>ρ</w:t>
            </w:r>
          </w:p>
        </w:tc>
        <w:tc>
          <w:tcPr>
            <w:tcW w:w="879" w:type="dxa"/>
            <w:tcBorders>
              <w:top w:val="nil"/>
              <w:left w:val="nil"/>
              <w:bottom w:val="nil"/>
              <w:right w:val="nil"/>
            </w:tcBorders>
          </w:tcPr>
          <w:p w14:paraId="450A9B00" w14:textId="77777777" w:rsidR="009A62D7" w:rsidRDefault="00000000">
            <w:pPr>
              <w:spacing w:before="60" w:after="60"/>
              <w:jc w:val="left"/>
            </w:pPr>
            <w:r>
              <w:rPr>
                <w:sz w:val="16"/>
              </w:rPr>
              <w:t>40</w:t>
            </w:r>
          </w:p>
        </w:tc>
        <w:tc>
          <w:tcPr>
            <w:tcW w:w="879" w:type="dxa"/>
            <w:tcBorders>
              <w:top w:val="nil"/>
              <w:left w:val="nil"/>
              <w:bottom w:val="nil"/>
              <w:right w:val="nil"/>
            </w:tcBorders>
          </w:tcPr>
          <w:p w14:paraId="42E93594" w14:textId="77777777" w:rsidR="009A62D7" w:rsidRDefault="00000000">
            <w:pPr>
              <w:spacing w:before="60" w:after="60"/>
              <w:jc w:val="left"/>
            </w:pPr>
            <w:r>
              <w:rPr>
                <w:sz w:val="16"/>
              </w:rPr>
              <w:t>1.003</w:t>
            </w:r>
          </w:p>
        </w:tc>
        <w:tc>
          <w:tcPr>
            <w:tcW w:w="879" w:type="dxa"/>
            <w:tcBorders>
              <w:top w:val="nil"/>
              <w:left w:val="nil"/>
              <w:bottom w:val="nil"/>
              <w:right w:val="nil"/>
            </w:tcBorders>
          </w:tcPr>
          <w:p w14:paraId="07B93BCC" w14:textId="77777777" w:rsidR="009A62D7" w:rsidRDefault="00000000">
            <w:pPr>
              <w:spacing w:before="60" w:after="60"/>
              <w:jc w:val="left"/>
            </w:pPr>
            <w:r>
              <w:rPr>
                <w:sz w:val="16"/>
              </w:rPr>
              <w:t>1.021</w:t>
            </w:r>
          </w:p>
        </w:tc>
        <w:tc>
          <w:tcPr>
            <w:tcW w:w="879" w:type="dxa"/>
            <w:tcBorders>
              <w:top w:val="nil"/>
              <w:left w:val="nil"/>
              <w:bottom w:val="nil"/>
              <w:right w:val="nil"/>
            </w:tcBorders>
          </w:tcPr>
          <w:p w14:paraId="6837AA18" w14:textId="77777777" w:rsidR="009A62D7" w:rsidRDefault="00000000">
            <w:pPr>
              <w:spacing w:before="60" w:after="60"/>
              <w:jc w:val="left"/>
            </w:pPr>
            <w:r>
              <w:rPr>
                <w:sz w:val="16"/>
              </w:rPr>
              <w:t>1.043</w:t>
            </w:r>
          </w:p>
        </w:tc>
        <w:tc>
          <w:tcPr>
            <w:tcW w:w="879" w:type="dxa"/>
            <w:tcBorders>
              <w:top w:val="nil"/>
              <w:left w:val="nil"/>
              <w:bottom w:val="nil"/>
              <w:right w:val="nil"/>
            </w:tcBorders>
          </w:tcPr>
          <w:p w14:paraId="3A854245" w14:textId="77777777" w:rsidR="009A62D7" w:rsidRDefault="00000000">
            <w:pPr>
              <w:spacing w:before="60" w:after="60"/>
              <w:jc w:val="left"/>
            </w:pPr>
            <w:r>
              <w:rPr>
                <w:sz w:val="16"/>
              </w:rPr>
              <w:t>1.095</w:t>
            </w:r>
          </w:p>
        </w:tc>
        <w:tc>
          <w:tcPr>
            <w:tcW w:w="879" w:type="dxa"/>
            <w:tcBorders>
              <w:top w:val="nil"/>
              <w:left w:val="nil"/>
              <w:bottom w:val="nil"/>
              <w:right w:val="nil"/>
            </w:tcBorders>
          </w:tcPr>
          <w:p w14:paraId="254C2BF5" w14:textId="77777777" w:rsidR="009A62D7" w:rsidRDefault="00000000">
            <w:pPr>
              <w:spacing w:before="60" w:after="60"/>
              <w:jc w:val="left"/>
            </w:pPr>
            <w:r>
              <w:rPr>
                <w:sz w:val="16"/>
              </w:rPr>
              <w:t>1.131</w:t>
            </w:r>
          </w:p>
        </w:tc>
        <w:tc>
          <w:tcPr>
            <w:tcW w:w="879" w:type="dxa"/>
            <w:tcBorders>
              <w:top w:val="nil"/>
              <w:left w:val="nil"/>
              <w:bottom w:val="nil"/>
              <w:right w:val="nil"/>
            </w:tcBorders>
          </w:tcPr>
          <w:p w14:paraId="763F1624" w14:textId="77777777" w:rsidR="009A62D7" w:rsidRDefault="00000000">
            <w:pPr>
              <w:spacing w:before="60" w:after="60"/>
              <w:jc w:val="left"/>
            </w:pPr>
            <w:r>
              <w:rPr>
                <w:sz w:val="16"/>
              </w:rPr>
              <w:t>1.192</w:t>
            </w:r>
          </w:p>
        </w:tc>
        <w:tc>
          <w:tcPr>
            <w:tcW w:w="879" w:type="dxa"/>
            <w:tcBorders>
              <w:top w:val="nil"/>
              <w:left w:val="nil"/>
              <w:bottom w:val="nil"/>
              <w:right w:val="nil"/>
            </w:tcBorders>
          </w:tcPr>
          <w:p w14:paraId="6D414F7F" w14:textId="77777777" w:rsidR="009A62D7" w:rsidRDefault="00000000">
            <w:pPr>
              <w:spacing w:before="60" w:after="60"/>
              <w:jc w:val="left"/>
            </w:pPr>
            <w:r>
              <w:rPr>
                <w:sz w:val="16"/>
              </w:rPr>
              <w:t>1.221</w:t>
            </w:r>
          </w:p>
        </w:tc>
        <w:tc>
          <w:tcPr>
            <w:tcW w:w="879" w:type="dxa"/>
            <w:tcBorders>
              <w:top w:val="nil"/>
              <w:left w:val="nil"/>
              <w:bottom w:val="nil"/>
              <w:right w:val="nil"/>
            </w:tcBorders>
          </w:tcPr>
          <w:p w14:paraId="7D93B50B" w14:textId="77777777" w:rsidR="009A62D7" w:rsidRDefault="00000000">
            <w:pPr>
              <w:spacing w:before="60" w:after="60"/>
              <w:jc w:val="left"/>
            </w:pPr>
            <w:r>
              <w:rPr>
                <w:sz w:val="16"/>
              </w:rPr>
              <w:t>1.265</w:t>
            </w:r>
          </w:p>
        </w:tc>
      </w:tr>
      <w:tr w:rsidR="009A62D7" w14:paraId="6FCC2DAD" w14:textId="77777777">
        <w:trPr>
          <w:cantSplit/>
        </w:trPr>
        <w:tc>
          <w:tcPr>
            <w:tcW w:w="879" w:type="dxa"/>
            <w:tcBorders>
              <w:top w:val="nil"/>
              <w:left w:val="nil"/>
              <w:bottom w:val="nil"/>
              <w:right w:val="nil"/>
            </w:tcBorders>
          </w:tcPr>
          <w:p w14:paraId="49F30050" w14:textId="77777777" w:rsidR="009A62D7" w:rsidRDefault="00000000">
            <w:pPr>
              <w:spacing w:before="60" w:after="60"/>
              <w:jc w:val="left"/>
            </w:pPr>
            <w:r>
              <w:rPr>
                <w:sz w:val="16"/>
              </w:rPr>
              <w:t>ρ</w:t>
            </w:r>
          </w:p>
        </w:tc>
        <w:tc>
          <w:tcPr>
            <w:tcW w:w="879" w:type="dxa"/>
            <w:tcBorders>
              <w:top w:val="nil"/>
              <w:left w:val="nil"/>
              <w:bottom w:val="nil"/>
              <w:right w:val="nil"/>
            </w:tcBorders>
          </w:tcPr>
          <w:p w14:paraId="0A5FD508" w14:textId="77777777" w:rsidR="009A62D7" w:rsidRDefault="00000000">
            <w:pPr>
              <w:spacing w:before="60" w:after="60"/>
              <w:jc w:val="left"/>
            </w:pPr>
            <w:r>
              <w:rPr>
                <w:sz w:val="16"/>
              </w:rPr>
              <w:t>60</w:t>
            </w:r>
          </w:p>
        </w:tc>
        <w:tc>
          <w:tcPr>
            <w:tcW w:w="879" w:type="dxa"/>
            <w:tcBorders>
              <w:top w:val="nil"/>
              <w:left w:val="nil"/>
              <w:bottom w:val="nil"/>
              <w:right w:val="nil"/>
            </w:tcBorders>
          </w:tcPr>
          <w:p w14:paraId="197C50D3" w14:textId="77777777" w:rsidR="009A62D7" w:rsidRDefault="00000000">
            <w:pPr>
              <w:spacing w:before="60" w:after="60"/>
              <w:jc w:val="left"/>
            </w:pPr>
            <w:r>
              <w:rPr>
                <w:sz w:val="16"/>
              </w:rPr>
              <w:t>1.001</w:t>
            </w:r>
          </w:p>
        </w:tc>
        <w:tc>
          <w:tcPr>
            <w:tcW w:w="879" w:type="dxa"/>
            <w:tcBorders>
              <w:top w:val="nil"/>
              <w:left w:val="nil"/>
              <w:bottom w:val="nil"/>
              <w:right w:val="nil"/>
            </w:tcBorders>
          </w:tcPr>
          <w:p w14:paraId="51357BFA" w14:textId="77777777" w:rsidR="009A62D7" w:rsidRDefault="00000000">
            <w:pPr>
              <w:spacing w:before="60" w:after="60"/>
              <w:jc w:val="left"/>
            </w:pPr>
            <w:r>
              <w:rPr>
                <w:sz w:val="16"/>
              </w:rPr>
              <w:t>1.007</w:t>
            </w:r>
          </w:p>
        </w:tc>
        <w:tc>
          <w:tcPr>
            <w:tcW w:w="879" w:type="dxa"/>
            <w:tcBorders>
              <w:top w:val="nil"/>
              <w:left w:val="nil"/>
              <w:bottom w:val="nil"/>
              <w:right w:val="nil"/>
            </w:tcBorders>
          </w:tcPr>
          <w:p w14:paraId="0BE2110C" w14:textId="77777777" w:rsidR="009A62D7" w:rsidRDefault="00000000">
            <w:pPr>
              <w:spacing w:before="60" w:after="60"/>
              <w:jc w:val="left"/>
            </w:pPr>
            <w:r>
              <w:rPr>
                <w:sz w:val="16"/>
              </w:rPr>
              <w:t>1.041</w:t>
            </w:r>
          </w:p>
        </w:tc>
        <w:tc>
          <w:tcPr>
            <w:tcW w:w="879" w:type="dxa"/>
            <w:tcBorders>
              <w:top w:val="nil"/>
              <w:left w:val="nil"/>
              <w:bottom w:val="nil"/>
              <w:right w:val="nil"/>
            </w:tcBorders>
          </w:tcPr>
          <w:p w14:paraId="7AB4AA0F" w14:textId="77777777" w:rsidR="009A62D7" w:rsidRDefault="00000000">
            <w:pPr>
              <w:spacing w:before="60" w:after="60"/>
              <w:jc w:val="left"/>
            </w:pPr>
            <w:r>
              <w:rPr>
                <w:sz w:val="16"/>
              </w:rPr>
              <w:t>1.085</w:t>
            </w:r>
          </w:p>
        </w:tc>
        <w:tc>
          <w:tcPr>
            <w:tcW w:w="879" w:type="dxa"/>
            <w:tcBorders>
              <w:top w:val="nil"/>
              <w:left w:val="nil"/>
              <w:bottom w:val="nil"/>
              <w:right w:val="nil"/>
            </w:tcBorders>
          </w:tcPr>
          <w:p w14:paraId="7FED0432" w14:textId="77777777" w:rsidR="009A62D7" w:rsidRDefault="00000000">
            <w:pPr>
              <w:spacing w:before="60" w:after="60"/>
              <w:jc w:val="left"/>
            </w:pPr>
            <w:r>
              <w:rPr>
                <w:sz w:val="16"/>
              </w:rPr>
              <w:t>1.131</w:t>
            </w:r>
          </w:p>
        </w:tc>
        <w:tc>
          <w:tcPr>
            <w:tcW w:w="879" w:type="dxa"/>
            <w:tcBorders>
              <w:top w:val="nil"/>
              <w:left w:val="nil"/>
              <w:bottom w:val="nil"/>
              <w:right w:val="nil"/>
            </w:tcBorders>
          </w:tcPr>
          <w:p w14:paraId="42C6F105" w14:textId="77777777" w:rsidR="009A62D7" w:rsidRDefault="00000000">
            <w:pPr>
              <w:spacing w:before="60" w:after="60"/>
              <w:jc w:val="left"/>
            </w:pPr>
            <w:r>
              <w:rPr>
                <w:sz w:val="16"/>
              </w:rPr>
              <w:t>1.753*</w:t>
            </w:r>
          </w:p>
        </w:tc>
        <w:tc>
          <w:tcPr>
            <w:tcW w:w="879" w:type="dxa"/>
            <w:tcBorders>
              <w:top w:val="nil"/>
              <w:left w:val="nil"/>
              <w:bottom w:val="nil"/>
              <w:right w:val="nil"/>
            </w:tcBorders>
          </w:tcPr>
          <w:p w14:paraId="65191439" w14:textId="77777777" w:rsidR="009A62D7" w:rsidRDefault="00000000">
            <w:pPr>
              <w:spacing w:before="60" w:after="60"/>
              <w:jc w:val="left"/>
            </w:pPr>
            <w:r>
              <w:rPr>
                <w:sz w:val="16"/>
              </w:rPr>
              <w:t>1.214</w:t>
            </w:r>
          </w:p>
        </w:tc>
        <w:tc>
          <w:tcPr>
            <w:tcW w:w="879" w:type="dxa"/>
            <w:tcBorders>
              <w:top w:val="nil"/>
              <w:left w:val="nil"/>
              <w:bottom w:val="nil"/>
              <w:right w:val="nil"/>
            </w:tcBorders>
          </w:tcPr>
          <w:p w14:paraId="0E29AC85" w14:textId="77777777" w:rsidR="009A62D7" w:rsidRDefault="00000000">
            <w:pPr>
              <w:spacing w:before="60" w:after="60"/>
              <w:jc w:val="left"/>
            </w:pPr>
            <w:r>
              <w:rPr>
                <w:sz w:val="16"/>
              </w:rPr>
              <w:t>1.252</w:t>
            </w:r>
          </w:p>
        </w:tc>
      </w:tr>
      <w:tr w:rsidR="009A62D7" w14:paraId="54AE72E7" w14:textId="77777777">
        <w:trPr>
          <w:cantSplit/>
        </w:trPr>
        <w:tc>
          <w:tcPr>
            <w:tcW w:w="879" w:type="dxa"/>
            <w:tcBorders>
              <w:top w:val="nil"/>
              <w:left w:val="nil"/>
              <w:bottom w:val="nil"/>
              <w:right w:val="nil"/>
            </w:tcBorders>
          </w:tcPr>
          <w:p w14:paraId="07012B01" w14:textId="77777777" w:rsidR="009A62D7" w:rsidRDefault="00000000">
            <w:pPr>
              <w:spacing w:before="60" w:after="60"/>
              <w:jc w:val="left"/>
            </w:pPr>
            <w:r>
              <w:rPr>
                <w:sz w:val="16"/>
              </w:rPr>
              <w:t>ρ</w:t>
            </w:r>
          </w:p>
        </w:tc>
        <w:tc>
          <w:tcPr>
            <w:tcW w:w="879" w:type="dxa"/>
            <w:tcBorders>
              <w:top w:val="nil"/>
              <w:left w:val="nil"/>
              <w:bottom w:val="nil"/>
              <w:right w:val="nil"/>
            </w:tcBorders>
          </w:tcPr>
          <w:p w14:paraId="52DB813B" w14:textId="77777777" w:rsidR="009A62D7" w:rsidRDefault="00000000">
            <w:pPr>
              <w:spacing w:before="60" w:after="60"/>
              <w:jc w:val="left"/>
            </w:pPr>
            <w:r>
              <w:rPr>
                <w:sz w:val="16"/>
              </w:rPr>
              <w:t>80</w:t>
            </w:r>
          </w:p>
        </w:tc>
        <w:tc>
          <w:tcPr>
            <w:tcW w:w="879" w:type="dxa"/>
            <w:tcBorders>
              <w:top w:val="nil"/>
              <w:left w:val="nil"/>
              <w:bottom w:val="nil"/>
              <w:right w:val="nil"/>
            </w:tcBorders>
          </w:tcPr>
          <w:p w14:paraId="49F9934B" w14:textId="77777777" w:rsidR="009A62D7" w:rsidRDefault="00000000">
            <w:pPr>
              <w:spacing w:before="60" w:after="60"/>
              <w:jc w:val="left"/>
            </w:pPr>
            <w:r>
              <w:rPr>
                <w:sz w:val="16"/>
              </w:rPr>
              <w:t>0.985</w:t>
            </w:r>
          </w:p>
        </w:tc>
        <w:tc>
          <w:tcPr>
            <w:tcW w:w="879" w:type="dxa"/>
            <w:tcBorders>
              <w:top w:val="nil"/>
              <w:left w:val="nil"/>
              <w:bottom w:val="nil"/>
              <w:right w:val="nil"/>
            </w:tcBorders>
          </w:tcPr>
          <w:p w14:paraId="06947C71" w14:textId="77777777" w:rsidR="009A62D7" w:rsidRDefault="00000000">
            <w:pPr>
              <w:spacing w:before="60" w:after="60"/>
              <w:jc w:val="left"/>
            </w:pPr>
            <w:r>
              <w:rPr>
                <w:sz w:val="16"/>
              </w:rPr>
              <w:t>1.005</w:t>
            </w:r>
          </w:p>
        </w:tc>
        <w:tc>
          <w:tcPr>
            <w:tcW w:w="879" w:type="dxa"/>
            <w:tcBorders>
              <w:top w:val="nil"/>
              <w:left w:val="nil"/>
              <w:bottom w:val="nil"/>
              <w:right w:val="nil"/>
            </w:tcBorders>
          </w:tcPr>
          <w:p w14:paraId="0976A683" w14:textId="77777777" w:rsidR="009A62D7" w:rsidRDefault="00000000">
            <w:pPr>
              <w:spacing w:before="60" w:after="60"/>
              <w:jc w:val="left"/>
            </w:pPr>
            <w:r>
              <w:rPr>
                <w:sz w:val="16"/>
              </w:rPr>
              <w:t>1.015</w:t>
            </w:r>
          </w:p>
        </w:tc>
        <w:tc>
          <w:tcPr>
            <w:tcW w:w="879" w:type="dxa"/>
            <w:tcBorders>
              <w:top w:val="nil"/>
              <w:left w:val="nil"/>
              <w:bottom w:val="nil"/>
              <w:right w:val="nil"/>
            </w:tcBorders>
          </w:tcPr>
          <w:p w14:paraId="27DEB08E" w14:textId="77777777" w:rsidR="009A62D7" w:rsidRDefault="00000000">
            <w:pPr>
              <w:spacing w:before="60" w:after="60"/>
              <w:jc w:val="left"/>
            </w:pPr>
            <w:r>
              <w:rPr>
                <w:sz w:val="16"/>
              </w:rPr>
              <w:t>1.072</w:t>
            </w:r>
          </w:p>
        </w:tc>
        <w:tc>
          <w:tcPr>
            <w:tcW w:w="879" w:type="dxa"/>
            <w:tcBorders>
              <w:top w:val="nil"/>
              <w:left w:val="nil"/>
              <w:bottom w:val="nil"/>
              <w:right w:val="nil"/>
            </w:tcBorders>
          </w:tcPr>
          <w:p w14:paraId="2527FD92" w14:textId="77777777" w:rsidR="009A62D7" w:rsidRDefault="00000000">
            <w:pPr>
              <w:spacing w:before="60" w:after="60"/>
              <w:jc w:val="left"/>
            </w:pPr>
            <w:r>
              <w:rPr>
                <w:sz w:val="16"/>
              </w:rPr>
              <w:t>1.124</w:t>
            </w:r>
          </w:p>
        </w:tc>
        <w:tc>
          <w:tcPr>
            <w:tcW w:w="879" w:type="dxa"/>
            <w:tcBorders>
              <w:top w:val="nil"/>
              <w:left w:val="nil"/>
              <w:bottom w:val="nil"/>
              <w:right w:val="nil"/>
            </w:tcBorders>
          </w:tcPr>
          <w:p w14:paraId="0A37968B" w14:textId="77777777" w:rsidR="009A62D7" w:rsidRDefault="00000000">
            <w:pPr>
              <w:spacing w:before="60" w:after="60"/>
              <w:jc w:val="left"/>
            </w:pPr>
            <w:r>
              <w:rPr>
                <w:sz w:val="16"/>
              </w:rPr>
              <w:t>1.162</w:t>
            </w:r>
          </w:p>
        </w:tc>
        <w:tc>
          <w:tcPr>
            <w:tcW w:w="879" w:type="dxa"/>
            <w:tcBorders>
              <w:top w:val="nil"/>
              <w:left w:val="nil"/>
              <w:bottom w:val="nil"/>
              <w:right w:val="nil"/>
            </w:tcBorders>
          </w:tcPr>
          <w:p w14:paraId="1197176F" w14:textId="77777777" w:rsidR="009A62D7" w:rsidRDefault="00000000">
            <w:pPr>
              <w:spacing w:before="60" w:after="60"/>
              <w:jc w:val="left"/>
            </w:pPr>
            <w:r>
              <w:rPr>
                <w:sz w:val="16"/>
              </w:rPr>
              <w:t>1.193</w:t>
            </w:r>
          </w:p>
        </w:tc>
        <w:tc>
          <w:tcPr>
            <w:tcW w:w="879" w:type="dxa"/>
            <w:tcBorders>
              <w:top w:val="nil"/>
              <w:left w:val="nil"/>
              <w:bottom w:val="nil"/>
              <w:right w:val="nil"/>
            </w:tcBorders>
          </w:tcPr>
          <w:p w14:paraId="6C6AB4FE" w14:textId="77777777" w:rsidR="009A62D7" w:rsidRDefault="00000000">
            <w:pPr>
              <w:spacing w:before="60" w:after="60"/>
              <w:jc w:val="left"/>
            </w:pPr>
            <w:r>
              <w:rPr>
                <w:sz w:val="16"/>
              </w:rPr>
              <w:t>1.235</w:t>
            </w:r>
          </w:p>
        </w:tc>
      </w:tr>
      <w:tr w:rsidR="009A62D7" w14:paraId="111CDD56" w14:textId="77777777">
        <w:trPr>
          <w:cantSplit/>
        </w:trPr>
        <w:tc>
          <w:tcPr>
            <w:tcW w:w="879" w:type="dxa"/>
            <w:tcBorders>
              <w:top w:val="nil"/>
              <w:left w:val="nil"/>
              <w:bottom w:val="nil"/>
              <w:right w:val="nil"/>
            </w:tcBorders>
          </w:tcPr>
          <w:p w14:paraId="437AE0DC" w14:textId="77777777" w:rsidR="009A62D7" w:rsidRDefault="00000000">
            <w:pPr>
              <w:spacing w:before="60" w:after="60"/>
              <w:jc w:val="left"/>
            </w:pPr>
            <w:r>
              <w:rPr>
                <w:sz w:val="16"/>
              </w:rPr>
              <w:t>ρ</w:t>
            </w:r>
          </w:p>
        </w:tc>
        <w:tc>
          <w:tcPr>
            <w:tcW w:w="879" w:type="dxa"/>
            <w:tcBorders>
              <w:top w:val="nil"/>
              <w:left w:val="nil"/>
              <w:bottom w:val="nil"/>
              <w:right w:val="nil"/>
            </w:tcBorders>
          </w:tcPr>
          <w:p w14:paraId="5C1122B3" w14:textId="77777777" w:rsidR="009A62D7" w:rsidRDefault="00000000">
            <w:pPr>
              <w:spacing w:before="60" w:after="60"/>
              <w:jc w:val="left"/>
            </w:pPr>
            <w:r>
              <w:rPr>
                <w:sz w:val="16"/>
              </w:rPr>
              <w:t>100</w:t>
            </w:r>
          </w:p>
        </w:tc>
        <w:tc>
          <w:tcPr>
            <w:tcW w:w="879" w:type="dxa"/>
            <w:tcBorders>
              <w:top w:val="nil"/>
              <w:left w:val="nil"/>
              <w:bottom w:val="nil"/>
              <w:right w:val="nil"/>
            </w:tcBorders>
          </w:tcPr>
          <w:p w14:paraId="186D1182" w14:textId="77777777" w:rsidR="009A62D7" w:rsidRDefault="00000000">
            <w:pPr>
              <w:spacing w:before="60" w:after="60"/>
              <w:jc w:val="left"/>
            </w:pPr>
            <w:r>
              <w:rPr>
                <w:sz w:val="16"/>
              </w:rPr>
              <w:t>0.965</w:t>
            </w:r>
          </w:p>
        </w:tc>
        <w:tc>
          <w:tcPr>
            <w:tcW w:w="879" w:type="dxa"/>
            <w:tcBorders>
              <w:top w:val="nil"/>
              <w:left w:val="nil"/>
              <w:bottom w:val="nil"/>
              <w:right w:val="nil"/>
            </w:tcBorders>
          </w:tcPr>
          <w:p w14:paraId="2B4571F5" w14:textId="77777777" w:rsidR="009A62D7" w:rsidRDefault="00000000">
            <w:pPr>
              <w:spacing w:before="60" w:after="60"/>
              <w:jc w:val="left"/>
            </w:pPr>
            <w:r>
              <w:rPr>
                <w:sz w:val="16"/>
              </w:rPr>
              <w:t>0.975</w:t>
            </w:r>
          </w:p>
        </w:tc>
        <w:tc>
          <w:tcPr>
            <w:tcW w:w="879" w:type="dxa"/>
            <w:tcBorders>
              <w:top w:val="nil"/>
              <w:left w:val="nil"/>
              <w:bottom w:val="nil"/>
              <w:right w:val="nil"/>
            </w:tcBorders>
          </w:tcPr>
          <w:p w14:paraId="223193A8" w14:textId="77777777" w:rsidR="009A62D7" w:rsidRDefault="00000000">
            <w:pPr>
              <w:spacing w:before="60" w:after="60"/>
              <w:jc w:val="left"/>
            </w:pPr>
            <w:r>
              <w:rPr>
                <w:sz w:val="16"/>
              </w:rPr>
              <w:t>1.012</w:t>
            </w:r>
          </w:p>
        </w:tc>
        <w:tc>
          <w:tcPr>
            <w:tcW w:w="879" w:type="dxa"/>
            <w:tcBorders>
              <w:top w:val="nil"/>
              <w:left w:val="nil"/>
              <w:bottom w:val="nil"/>
              <w:right w:val="nil"/>
            </w:tcBorders>
          </w:tcPr>
          <w:p w14:paraId="62FA4ABA" w14:textId="77777777" w:rsidR="009A62D7" w:rsidRDefault="00000000">
            <w:pPr>
              <w:spacing w:before="60" w:after="60"/>
              <w:jc w:val="left"/>
            </w:pPr>
            <w:r>
              <w:rPr>
                <w:sz w:val="16"/>
              </w:rPr>
              <w:t>1.043</w:t>
            </w:r>
          </w:p>
        </w:tc>
        <w:tc>
          <w:tcPr>
            <w:tcW w:w="879" w:type="dxa"/>
            <w:tcBorders>
              <w:top w:val="nil"/>
              <w:left w:val="nil"/>
              <w:bottom w:val="nil"/>
              <w:right w:val="nil"/>
            </w:tcBorders>
          </w:tcPr>
          <w:p w14:paraId="3711B257" w14:textId="77777777" w:rsidR="009A62D7" w:rsidRDefault="00000000">
            <w:pPr>
              <w:spacing w:before="60" w:after="60"/>
              <w:jc w:val="left"/>
            </w:pPr>
            <w:r>
              <w:rPr>
                <w:sz w:val="16"/>
              </w:rPr>
              <w:t>1.109</w:t>
            </w:r>
          </w:p>
        </w:tc>
        <w:tc>
          <w:tcPr>
            <w:tcW w:w="879" w:type="dxa"/>
            <w:tcBorders>
              <w:top w:val="nil"/>
              <w:left w:val="nil"/>
              <w:bottom w:val="nil"/>
              <w:right w:val="nil"/>
            </w:tcBorders>
          </w:tcPr>
          <w:p w14:paraId="3CF3753E" w14:textId="77777777" w:rsidR="009A62D7" w:rsidRDefault="00000000">
            <w:pPr>
              <w:spacing w:before="60" w:after="60"/>
              <w:jc w:val="left"/>
            </w:pPr>
            <w:r>
              <w:rPr>
                <w:sz w:val="16"/>
              </w:rPr>
              <w:t>1.134</w:t>
            </w:r>
          </w:p>
        </w:tc>
        <w:tc>
          <w:tcPr>
            <w:tcW w:w="879" w:type="dxa"/>
            <w:tcBorders>
              <w:top w:val="nil"/>
              <w:left w:val="nil"/>
              <w:bottom w:val="nil"/>
              <w:right w:val="nil"/>
            </w:tcBorders>
          </w:tcPr>
          <w:p w14:paraId="62E5A9DB" w14:textId="77777777" w:rsidR="009A62D7" w:rsidRDefault="00000000">
            <w:pPr>
              <w:spacing w:before="60" w:after="60"/>
              <w:jc w:val="left"/>
            </w:pPr>
            <w:r>
              <w:rPr>
                <w:sz w:val="16"/>
              </w:rPr>
              <w:t>1.192</w:t>
            </w:r>
          </w:p>
        </w:tc>
        <w:tc>
          <w:tcPr>
            <w:tcW w:w="879" w:type="dxa"/>
            <w:tcBorders>
              <w:top w:val="nil"/>
              <w:left w:val="nil"/>
              <w:bottom w:val="nil"/>
              <w:right w:val="nil"/>
            </w:tcBorders>
          </w:tcPr>
          <w:p w14:paraId="1FB22AB3" w14:textId="77777777" w:rsidR="009A62D7" w:rsidRDefault="00000000">
            <w:pPr>
              <w:spacing w:before="60" w:after="60"/>
              <w:jc w:val="left"/>
            </w:pPr>
            <w:r>
              <w:rPr>
                <w:sz w:val="16"/>
              </w:rPr>
              <w:t>1.212</w:t>
            </w:r>
          </w:p>
        </w:tc>
      </w:tr>
      <w:tr w:rsidR="009A62D7" w14:paraId="7DEBF690" w14:textId="77777777">
        <w:trPr>
          <w:cantSplit/>
        </w:trPr>
        <w:tc>
          <w:tcPr>
            <w:tcW w:w="879" w:type="dxa"/>
            <w:tcBorders>
              <w:top w:val="nil"/>
              <w:left w:val="nil"/>
              <w:bottom w:val="nil"/>
              <w:right w:val="nil"/>
            </w:tcBorders>
          </w:tcPr>
          <w:p w14:paraId="1B63EA96" w14:textId="77777777" w:rsidR="009A62D7" w:rsidRDefault="00000000">
            <w:pPr>
              <w:spacing w:before="60" w:after="60"/>
              <w:jc w:val="left"/>
            </w:pPr>
            <w:r>
              <w:rPr>
                <w:sz w:val="16"/>
              </w:rPr>
              <w:t>μ</w:t>
            </w:r>
          </w:p>
        </w:tc>
        <w:tc>
          <w:tcPr>
            <w:tcW w:w="879" w:type="dxa"/>
            <w:tcBorders>
              <w:top w:val="nil"/>
              <w:left w:val="nil"/>
              <w:bottom w:val="nil"/>
              <w:right w:val="nil"/>
            </w:tcBorders>
          </w:tcPr>
          <w:p w14:paraId="632B34C3" w14:textId="77777777" w:rsidR="009A62D7" w:rsidRDefault="00000000">
            <w:pPr>
              <w:spacing w:before="60" w:after="60"/>
              <w:jc w:val="left"/>
            </w:pPr>
            <w:r>
              <w:rPr>
                <w:sz w:val="16"/>
              </w:rPr>
              <w:t>20</w:t>
            </w:r>
          </w:p>
        </w:tc>
        <w:tc>
          <w:tcPr>
            <w:tcW w:w="879" w:type="dxa"/>
            <w:tcBorders>
              <w:top w:val="nil"/>
              <w:left w:val="nil"/>
              <w:bottom w:val="nil"/>
              <w:right w:val="nil"/>
            </w:tcBorders>
          </w:tcPr>
          <w:p w14:paraId="0B94067E" w14:textId="77777777" w:rsidR="009A62D7" w:rsidRDefault="00000000">
            <w:pPr>
              <w:spacing w:before="60" w:after="60"/>
              <w:jc w:val="left"/>
            </w:pPr>
            <w:r>
              <w:rPr>
                <w:sz w:val="16"/>
              </w:rPr>
              <w:t>1.010</w:t>
            </w:r>
          </w:p>
        </w:tc>
        <w:tc>
          <w:tcPr>
            <w:tcW w:w="879" w:type="dxa"/>
            <w:tcBorders>
              <w:top w:val="nil"/>
              <w:left w:val="nil"/>
              <w:bottom w:val="nil"/>
              <w:right w:val="nil"/>
            </w:tcBorders>
          </w:tcPr>
          <w:p w14:paraId="48C9C798" w14:textId="77777777" w:rsidR="009A62D7" w:rsidRDefault="00000000">
            <w:pPr>
              <w:spacing w:before="60" w:after="60"/>
              <w:jc w:val="left"/>
            </w:pPr>
            <w:r>
              <w:rPr>
                <w:sz w:val="16"/>
              </w:rPr>
              <w:t>1.045</w:t>
            </w:r>
          </w:p>
        </w:tc>
        <w:tc>
          <w:tcPr>
            <w:tcW w:w="879" w:type="dxa"/>
            <w:tcBorders>
              <w:top w:val="nil"/>
              <w:left w:val="nil"/>
              <w:bottom w:val="nil"/>
              <w:right w:val="nil"/>
            </w:tcBorders>
          </w:tcPr>
          <w:p w14:paraId="7FFAF86B" w14:textId="77777777" w:rsidR="009A62D7" w:rsidRDefault="00000000">
            <w:pPr>
              <w:spacing w:before="60" w:after="60"/>
              <w:jc w:val="left"/>
            </w:pPr>
            <w:r>
              <w:rPr>
                <w:sz w:val="16"/>
              </w:rPr>
              <w:t>1.070</w:t>
            </w:r>
          </w:p>
        </w:tc>
        <w:tc>
          <w:tcPr>
            <w:tcW w:w="879" w:type="dxa"/>
            <w:tcBorders>
              <w:top w:val="nil"/>
              <w:left w:val="nil"/>
              <w:bottom w:val="nil"/>
              <w:right w:val="nil"/>
            </w:tcBorders>
          </w:tcPr>
          <w:p w14:paraId="5A1917C8" w14:textId="77777777" w:rsidR="009A62D7" w:rsidRDefault="00000000">
            <w:pPr>
              <w:spacing w:before="60" w:after="60"/>
              <w:jc w:val="left"/>
            </w:pPr>
            <w:r>
              <w:rPr>
                <w:sz w:val="16"/>
              </w:rPr>
              <w:t>1.150</w:t>
            </w:r>
          </w:p>
        </w:tc>
        <w:tc>
          <w:tcPr>
            <w:tcW w:w="879" w:type="dxa"/>
            <w:tcBorders>
              <w:top w:val="nil"/>
              <w:left w:val="nil"/>
              <w:bottom w:val="nil"/>
              <w:right w:val="nil"/>
            </w:tcBorders>
          </w:tcPr>
          <w:p w14:paraId="0FB237B0" w14:textId="77777777" w:rsidR="009A62D7" w:rsidRDefault="00000000">
            <w:pPr>
              <w:spacing w:before="60" w:after="60"/>
              <w:jc w:val="left"/>
            </w:pPr>
            <w:r>
              <w:rPr>
                <w:sz w:val="16"/>
              </w:rPr>
              <w:t>1.200</w:t>
            </w:r>
          </w:p>
        </w:tc>
        <w:tc>
          <w:tcPr>
            <w:tcW w:w="879" w:type="dxa"/>
            <w:tcBorders>
              <w:top w:val="nil"/>
              <w:left w:val="nil"/>
              <w:bottom w:val="nil"/>
              <w:right w:val="nil"/>
            </w:tcBorders>
          </w:tcPr>
          <w:p w14:paraId="430F2138" w14:textId="77777777" w:rsidR="009A62D7" w:rsidRDefault="00000000">
            <w:pPr>
              <w:spacing w:before="60" w:after="60"/>
              <w:jc w:val="left"/>
            </w:pPr>
            <w:r>
              <w:rPr>
                <w:sz w:val="16"/>
              </w:rPr>
              <w:t>1.400</w:t>
            </w:r>
          </w:p>
        </w:tc>
        <w:tc>
          <w:tcPr>
            <w:tcW w:w="879" w:type="dxa"/>
            <w:tcBorders>
              <w:top w:val="nil"/>
              <w:left w:val="nil"/>
              <w:bottom w:val="nil"/>
              <w:right w:val="nil"/>
            </w:tcBorders>
          </w:tcPr>
          <w:p w14:paraId="367A49B8" w14:textId="77777777" w:rsidR="009A62D7" w:rsidRDefault="00000000">
            <w:pPr>
              <w:spacing w:before="60" w:after="60"/>
              <w:jc w:val="left"/>
            </w:pPr>
            <w:r>
              <w:rPr>
                <w:sz w:val="16"/>
              </w:rPr>
              <w:t>1.700</w:t>
            </w:r>
          </w:p>
        </w:tc>
        <w:tc>
          <w:tcPr>
            <w:tcW w:w="879" w:type="dxa"/>
            <w:tcBorders>
              <w:top w:val="nil"/>
              <w:left w:val="nil"/>
              <w:bottom w:val="nil"/>
              <w:right w:val="nil"/>
            </w:tcBorders>
          </w:tcPr>
          <w:p w14:paraId="0C6AF2A9" w14:textId="77777777" w:rsidR="009A62D7" w:rsidRDefault="00000000">
            <w:pPr>
              <w:spacing w:before="60" w:after="60"/>
              <w:jc w:val="left"/>
            </w:pPr>
            <w:r>
              <w:rPr>
                <w:sz w:val="16"/>
              </w:rPr>
              <w:t>3.000</w:t>
            </w:r>
          </w:p>
        </w:tc>
      </w:tr>
      <w:tr w:rsidR="009A62D7" w14:paraId="133A678A" w14:textId="77777777">
        <w:trPr>
          <w:cantSplit/>
        </w:trPr>
        <w:tc>
          <w:tcPr>
            <w:tcW w:w="879" w:type="dxa"/>
            <w:tcBorders>
              <w:top w:val="nil"/>
              <w:left w:val="nil"/>
              <w:bottom w:val="nil"/>
              <w:right w:val="nil"/>
            </w:tcBorders>
          </w:tcPr>
          <w:p w14:paraId="605EE2DA" w14:textId="77777777" w:rsidR="009A62D7" w:rsidRDefault="00000000">
            <w:pPr>
              <w:spacing w:before="60" w:after="60"/>
              <w:jc w:val="left"/>
            </w:pPr>
            <w:r>
              <w:rPr>
                <w:sz w:val="16"/>
              </w:rPr>
              <w:t>μ</w:t>
            </w:r>
          </w:p>
        </w:tc>
        <w:tc>
          <w:tcPr>
            <w:tcW w:w="879" w:type="dxa"/>
            <w:tcBorders>
              <w:top w:val="nil"/>
              <w:left w:val="nil"/>
              <w:bottom w:val="nil"/>
              <w:right w:val="nil"/>
            </w:tcBorders>
          </w:tcPr>
          <w:p w14:paraId="3331BECE" w14:textId="77777777" w:rsidR="009A62D7" w:rsidRDefault="00000000">
            <w:pPr>
              <w:spacing w:before="60" w:after="60"/>
              <w:jc w:val="left"/>
            </w:pPr>
            <w:r>
              <w:rPr>
                <w:sz w:val="16"/>
              </w:rPr>
              <w:t>40</w:t>
            </w:r>
          </w:p>
        </w:tc>
        <w:tc>
          <w:tcPr>
            <w:tcW w:w="879" w:type="dxa"/>
            <w:tcBorders>
              <w:top w:val="nil"/>
              <w:left w:val="nil"/>
              <w:bottom w:val="nil"/>
              <w:right w:val="nil"/>
            </w:tcBorders>
          </w:tcPr>
          <w:p w14:paraId="1671B71C" w14:textId="77777777" w:rsidR="009A62D7" w:rsidRDefault="00000000">
            <w:pPr>
              <w:spacing w:before="60" w:after="60"/>
              <w:jc w:val="left"/>
            </w:pPr>
            <w:r>
              <w:rPr>
                <w:sz w:val="16"/>
              </w:rPr>
              <w:t>0.670</w:t>
            </w:r>
          </w:p>
        </w:tc>
        <w:tc>
          <w:tcPr>
            <w:tcW w:w="879" w:type="dxa"/>
            <w:tcBorders>
              <w:top w:val="nil"/>
              <w:left w:val="nil"/>
              <w:bottom w:val="nil"/>
              <w:right w:val="nil"/>
            </w:tcBorders>
          </w:tcPr>
          <w:p w14:paraId="238A7195" w14:textId="77777777" w:rsidR="009A62D7" w:rsidRDefault="00000000">
            <w:pPr>
              <w:spacing w:before="60" w:after="60"/>
              <w:jc w:val="left"/>
            </w:pPr>
            <w:r>
              <w:rPr>
                <w:sz w:val="16"/>
              </w:rPr>
              <w:t>0.680</w:t>
            </w:r>
          </w:p>
        </w:tc>
        <w:tc>
          <w:tcPr>
            <w:tcW w:w="879" w:type="dxa"/>
            <w:tcBorders>
              <w:top w:val="nil"/>
              <w:left w:val="nil"/>
              <w:bottom w:val="nil"/>
              <w:right w:val="nil"/>
            </w:tcBorders>
          </w:tcPr>
          <w:p w14:paraId="113434C1" w14:textId="77777777" w:rsidR="009A62D7" w:rsidRDefault="00000000">
            <w:pPr>
              <w:spacing w:before="60" w:after="60"/>
              <w:jc w:val="left"/>
            </w:pPr>
            <w:r>
              <w:rPr>
                <w:sz w:val="16"/>
              </w:rPr>
              <w:t>0.700</w:t>
            </w:r>
          </w:p>
        </w:tc>
        <w:tc>
          <w:tcPr>
            <w:tcW w:w="879" w:type="dxa"/>
            <w:tcBorders>
              <w:top w:val="nil"/>
              <w:left w:val="nil"/>
              <w:bottom w:val="nil"/>
              <w:right w:val="nil"/>
            </w:tcBorders>
          </w:tcPr>
          <w:p w14:paraId="1AD87881" w14:textId="77777777" w:rsidR="009A62D7" w:rsidRDefault="00000000">
            <w:pPr>
              <w:spacing w:before="60" w:after="60"/>
              <w:jc w:val="left"/>
            </w:pPr>
            <w:r>
              <w:rPr>
                <w:sz w:val="16"/>
              </w:rPr>
              <w:t>0.750</w:t>
            </w:r>
          </w:p>
        </w:tc>
        <w:tc>
          <w:tcPr>
            <w:tcW w:w="879" w:type="dxa"/>
            <w:tcBorders>
              <w:top w:val="nil"/>
              <w:left w:val="nil"/>
              <w:bottom w:val="nil"/>
              <w:right w:val="nil"/>
            </w:tcBorders>
          </w:tcPr>
          <w:p w14:paraId="7D939CAA" w14:textId="77777777" w:rsidR="009A62D7" w:rsidRDefault="00000000">
            <w:pPr>
              <w:spacing w:before="60" w:after="60"/>
              <w:jc w:val="left"/>
            </w:pPr>
            <w:r>
              <w:rPr>
                <w:sz w:val="16"/>
              </w:rPr>
              <w:t>0.800</w:t>
            </w:r>
          </w:p>
        </w:tc>
        <w:tc>
          <w:tcPr>
            <w:tcW w:w="879" w:type="dxa"/>
            <w:tcBorders>
              <w:top w:val="nil"/>
              <w:left w:val="nil"/>
              <w:bottom w:val="nil"/>
              <w:right w:val="nil"/>
            </w:tcBorders>
          </w:tcPr>
          <w:p w14:paraId="22EE219E" w14:textId="77777777" w:rsidR="009A62D7" w:rsidRDefault="00000000">
            <w:pPr>
              <w:spacing w:before="60" w:after="60"/>
              <w:jc w:val="left"/>
            </w:pPr>
            <w:r>
              <w:rPr>
                <w:sz w:val="16"/>
              </w:rPr>
              <w:t>1.100</w:t>
            </w:r>
          </w:p>
        </w:tc>
        <w:tc>
          <w:tcPr>
            <w:tcW w:w="879" w:type="dxa"/>
            <w:tcBorders>
              <w:top w:val="nil"/>
              <w:left w:val="nil"/>
              <w:bottom w:val="nil"/>
              <w:right w:val="nil"/>
            </w:tcBorders>
          </w:tcPr>
          <w:p w14:paraId="248C679E" w14:textId="77777777" w:rsidR="009A62D7" w:rsidRDefault="00000000">
            <w:pPr>
              <w:spacing w:before="60" w:after="60"/>
              <w:jc w:val="left"/>
            </w:pPr>
            <w:r>
              <w:rPr>
                <w:sz w:val="16"/>
              </w:rPr>
              <w:t>1.300</w:t>
            </w:r>
          </w:p>
        </w:tc>
        <w:tc>
          <w:tcPr>
            <w:tcW w:w="879" w:type="dxa"/>
            <w:tcBorders>
              <w:top w:val="nil"/>
              <w:left w:val="nil"/>
              <w:bottom w:val="nil"/>
              <w:right w:val="nil"/>
            </w:tcBorders>
          </w:tcPr>
          <w:p w14:paraId="396FDB3C" w14:textId="77777777" w:rsidR="009A62D7" w:rsidRDefault="00000000">
            <w:pPr>
              <w:spacing w:before="60" w:after="60"/>
              <w:jc w:val="left"/>
            </w:pPr>
            <w:r>
              <w:rPr>
                <w:sz w:val="16"/>
              </w:rPr>
              <w:t>1.700</w:t>
            </w:r>
          </w:p>
        </w:tc>
      </w:tr>
      <w:tr w:rsidR="009A62D7" w14:paraId="1FD861B8" w14:textId="77777777">
        <w:trPr>
          <w:cantSplit/>
        </w:trPr>
        <w:tc>
          <w:tcPr>
            <w:tcW w:w="879" w:type="dxa"/>
            <w:tcBorders>
              <w:top w:val="nil"/>
              <w:left w:val="nil"/>
              <w:bottom w:val="nil"/>
              <w:right w:val="nil"/>
            </w:tcBorders>
          </w:tcPr>
          <w:p w14:paraId="42A2CB56" w14:textId="77777777" w:rsidR="009A62D7" w:rsidRDefault="00000000">
            <w:pPr>
              <w:spacing w:before="60" w:after="60"/>
              <w:jc w:val="left"/>
            </w:pPr>
            <w:r>
              <w:rPr>
                <w:sz w:val="16"/>
              </w:rPr>
              <w:t>μ</w:t>
            </w:r>
          </w:p>
        </w:tc>
        <w:tc>
          <w:tcPr>
            <w:tcW w:w="879" w:type="dxa"/>
            <w:tcBorders>
              <w:top w:val="nil"/>
              <w:left w:val="nil"/>
              <w:bottom w:val="nil"/>
              <w:right w:val="nil"/>
            </w:tcBorders>
          </w:tcPr>
          <w:p w14:paraId="7A5F708A" w14:textId="77777777" w:rsidR="009A62D7" w:rsidRDefault="00000000">
            <w:pPr>
              <w:spacing w:before="60" w:after="60"/>
              <w:jc w:val="left"/>
            </w:pPr>
            <w:r>
              <w:rPr>
                <w:sz w:val="16"/>
              </w:rPr>
              <w:t>60</w:t>
            </w:r>
          </w:p>
        </w:tc>
        <w:tc>
          <w:tcPr>
            <w:tcW w:w="879" w:type="dxa"/>
            <w:tcBorders>
              <w:top w:val="nil"/>
              <w:left w:val="nil"/>
              <w:bottom w:val="nil"/>
              <w:right w:val="nil"/>
            </w:tcBorders>
          </w:tcPr>
          <w:p w14:paraId="3A6D5738" w14:textId="77777777" w:rsidR="009A62D7" w:rsidRDefault="00000000">
            <w:pPr>
              <w:spacing w:before="60" w:after="60"/>
              <w:jc w:val="left"/>
            </w:pPr>
            <w:r>
              <w:rPr>
                <w:sz w:val="16"/>
              </w:rPr>
              <w:t>0.470</w:t>
            </w:r>
          </w:p>
        </w:tc>
        <w:tc>
          <w:tcPr>
            <w:tcW w:w="879" w:type="dxa"/>
            <w:tcBorders>
              <w:top w:val="nil"/>
              <w:left w:val="nil"/>
              <w:bottom w:val="nil"/>
              <w:right w:val="nil"/>
            </w:tcBorders>
          </w:tcPr>
          <w:p w14:paraId="0FB7C734" w14:textId="77777777" w:rsidR="009A62D7" w:rsidRDefault="00000000">
            <w:pPr>
              <w:spacing w:before="60" w:after="60"/>
              <w:jc w:val="left"/>
            </w:pPr>
            <w:r>
              <w:rPr>
                <w:sz w:val="16"/>
              </w:rPr>
              <w:t>0.500</w:t>
            </w:r>
          </w:p>
        </w:tc>
        <w:tc>
          <w:tcPr>
            <w:tcW w:w="879" w:type="dxa"/>
            <w:tcBorders>
              <w:top w:val="nil"/>
              <w:left w:val="nil"/>
              <w:bottom w:val="nil"/>
              <w:right w:val="nil"/>
            </w:tcBorders>
          </w:tcPr>
          <w:p w14:paraId="1861D0C9" w14:textId="77777777" w:rsidR="009A62D7" w:rsidRDefault="00000000">
            <w:pPr>
              <w:spacing w:before="60" w:after="60"/>
              <w:jc w:val="left"/>
            </w:pPr>
            <w:r>
              <w:rPr>
                <w:sz w:val="16"/>
              </w:rPr>
              <w:t>0.500</w:t>
            </w:r>
          </w:p>
        </w:tc>
        <w:tc>
          <w:tcPr>
            <w:tcW w:w="879" w:type="dxa"/>
            <w:tcBorders>
              <w:top w:val="nil"/>
              <w:left w:val="nil"/>
              <w:bottom w:val="nil"/>
              <w:right w:val="nil"/>
            </w:tcBorders>
          </w:tcPr>
          <w:p w14:paraId="7B938004" w14:textId="77777777" w:rsidR="009A62D7" w:rsidRDefault="00000000">
            <w:pPr>
              <w:spacing w:before="60" w:after="60"/>
              <w:jc w:val="left"/>
            </w:pPr>
            <w:r>
              <w:rPr>
                <w:sz w:val="16"/>
              </w:rPr>
              <w:t>0.550</w:t>
            </w:r>
          </w:p>
        </w:tc>
        <w:tc>
          <w:tcPr>
            <w:tcW w:w="879" w:type="dxa"/>
            <w:tcBorders>
              <w:top w:val="nil"/>
              <w:left w:val="nil"/>
              <w:bottom w:val="nil"/>
              <w:right w:val="nil"/>
            </w:tcBorders>
          </w:tcPr>
          <w:p w14:paraId="64A300DA" w14:textId="77777777" w:rsidR="009A62D7" w:rsidRDefault="00000000">
            <w:pPr>
              <w:spacing w:before="60" w:after="60"/>
              <w:jc w:val="left"/>
            </w:pPr>
            <w:r>
              <w:rPr>
                <w:sz w:val="16"/>
              </w:rPr>
              <w:t>0.600</w:t>
            </w:r>
          </w:p>
        </w:tc>
        <w:tc>
          <w:tcPr>
            <w:tcW w:w="879" w:type="dxa"/>
            <w:tcBorders>
              <w:top w:val="nil"/>
              <w:left w:val="nil"/>
              <w:bottom w:val="nil"/>
              <w:right w:val="nil"/>
            </w:tcBorders>
          </w:tcPr>
          <w:p w14:paraId="5C649E82" w14:textId="77777777" w:rsidR="009A62D7" w:rsidRDefault="00000000">
            <w:pPr>
              <w:spacing w:before="60" w:after="60"/>
              <w:jc w:val="left"/>
            </w:pPr>
            <w:r>
              <w:rPr>
                <w:sz w:val="16"/>
              </w:rPr>
              <w:t>0.620</w:t>
            </w:r>
          </w:p>
        </w:tc>
        <w:tc>
          <w:tcPr>
            <w:tcW w:w="879" w:type="dxa"/>
            <w:tcBorders>
              <w:top w:val="nil"/>
              <w:left w:val="nil"/>
              <w:bottom w:val="nil"/>
              <w:right w:val="nil"/>
            </w:tcBorders>
          </w:tcPr>
          <w:p w14:paraId="1B21CFF9" w14:textId="77777777" w:rsidR="009A62D7" w:rsidRDefault="00000000">
            <w:pPr>
              <w:spacing w:before="60" w:after="60"/>
              <w:jc w:val="left"/>
            </w:pPr>
            <w:r>
              <w:rPr>
                <w:sz w:val="16"/>
              </w:rPr>
              <w:t>0.650</w:t>
            </w:r>
          </w:p>
        </w:tc>
        <w:tc>
          <w:tcPr>
            <w:tcW w:w="879" w:type="dxa"/>
            <w:tcBorders>
              <w:top w:val="nil"/>
              <w:left w:val="nil"/>
              <w:bottom w:val="nil"/>
              <w:right w:val="nil"/>
            </w:tcBorders>
          </w:tcPr>
          <w:p w14:paraId="7B3448C3" w14:textId="77777777" w:rsidR="009A62D7" w:rsidRDefault="00000000">
            <w:pPr>
              <w:spacing w:before="60" w:after="60"/>
              <w:jc w:val="left"/>
            </w:pPr>
            <w:r>
              <w:rPr>
                <w:sz w:val="16"/>
              </w:rPr>
              <w:t>1.000</w:t>
            </w:r>
          </w:p>
        </w:tc>
      </w:tr>
      <w:tr w:rsidR="009A62D7" w14:paraId="4256F6AB" w14:textId="77777777">
        <w:trPr>
          <w:cantSplit/>
        </w:trPr>
        <w:tc>
          <w:tcPr>
            <w:tcW w:w="879" w:type="dxa"/>
            <w:tcBorders>
              <w:top w:val="nil"/>
              <w:left w:val="nil"/>
              <w:bottom w:val="nil"/>
              <w:right w:val="nil"/>
            </w:tcBorders>
          </w:tcPr>
          <w:p w14:paraId="4B299381" w14:textId="77777777" w:rsidR="009A62D7" w:rsidRDefault="00000000">
            <w:pPr>
              <w:spacing w:before="60" w:after="60"/>
              <w:jc w:val="left"/>
            </w:pPr>
            <w:r>
              <w:rPr>
                <w:sz w:val="16"/>
              </w:rPr>
              <w:t>μ</w:t>
            </w:r>
          </w:p>
        </w:tc>
        <w:tc>
          <w:tcPr>
            <w:tcW w:w="879" w:type="dxa"/>
            <w:tcBorders>
              <w:top w:val="nil"/>
              <w:left w:val="nil"/>
              <w:bottom w:val="nil"/>
              <w:right w:val="nil"/>
            </w:tcBorders>
          </w:tcPr>
          <w:p w14:paraId="150C9688" w14:textId="77777777" w:rsidR="009A62D7" w:rsidRDefault="00000000">
            <w:pPr>
              <w:spacing w:before="60" w:after="60"/>
              <w:jc w:val="left"/>
            </w:pPr>
            <w:r>
              <w:rPr>
                <w:sz w:val="16"/>
              </w:rPr>
              <w:t>80</w:t>
            </w:r>
          </w:p>
        </w:tc>
        <w:tc>
          <w:tcPr>
            <w:tcW w:w="879" w:type="dxa"/>
            <w:tcBorders>
              <w:top w:val="nil"/>
              <w:left w:val="nil"/>
              <w:bottom w:val="nil"/>
              <w:right w:val="nil"/>
            </w:tcBorders>
          </w:tcPr>
          <w:p w14:paraId="1EF78AA4" w14:textId="77777777" w:rsidR="009A62D7" w:rsidRDefault="00000000">
            <w:pPr>
              <w:spacing w:before="60" w:after="60"/>
              <w:jc w:val="left"/>
            </w:pPr>
            <w:r>
              <w:rPr>
                <w:sz w:val="16"/>
              </w:rPr>
              <w:t>0.350</w:t>
            </w:r>
          </w:p>
        </w:tc>
        <w:tc>
          <w:tcPr>
            <w:tcW w:w="879" w:type="dxa"/>
            <w:tcBorders>
              <w:top w:val="nil"/>
              <w:left w:val="nil"/>
              <w:bottom w:val="nil"/>
              <w:right w:val="nil"/>
            </w:tcBorders>
          </w:tcPr>
          <w:p w14:paraId="198E8800" w14:textId="77777777" w:rsidR="009A62D7" w:rsidRDefault="00000000">
            <w:pPr>
              <w:spacing w:before="60" w:after="60"/>
              <w:jc w:val="left"/>
            </w:pPr>
            <w:r>
              <w:rPr>
                <w:sz w:val="16"/>
              </w:rPr>
              <w:t>0.350</w:t>
            </w:r>
          </w:p>
        </w:tc>
        <w:tc>
          <w:tcPr>
            <w:tcW w:w="879" w:type="dxa"/>
            <w:tcBorders>
              <w:top w:val="nil"/>
              <w:left w:val="nil"/>
              <w:bottom w:val="nil"/>
              <w:right w:val="nil"/>
            </w:tcBorders>
          </w:tcPr>
          <w:p w14:paraId="0C043A5A" w14:textId="77777777" w:rsidR="009A62D7" w:rsidRDefault="00000000">
            <w:pPr>
              <w:spacing w:before="60" w:after="60"/>
              <w:jc w:val="left"/>
            </w:pPr>
            <w:r>
              <w:rPr>
                <w:sz w:val="16"/>
              </w:rPr>
              <w:t>0.370</w:t>
            </w:r>
          </w:p>
        </w:tc>
        <w:tc>
          <w:tcPr>
            <w:tcW w:w="879" w:type="dxa"/>
            <w:tcBorders>
              <w:top w:val="nil"/>
              <w:left w:val="nil"/>
              <w:bottom w:val="nil"/>
              <w:right w:val="nil"/>
            </w:tcBorders>
          </w:tcPr>
          <w:p w14:paraId="193F33B6" w14:textId="77777777" w:rsidR="009A62D7" w:rsidRDefault="00000000">
            <w:pPr>
              <w:spacing w:before="60" w:after="60"/>
              <w:jc w:val="left"/>
            </w:pPr>
            <w:r>
              <w:rPr>
                <w:sz w:val="16"/>
              </w:rPr>
              <w:t>0.380</w:t>
            </w:r>
          </w:p>
        </w:tc>
        <w:tc>
          <w:tcPr>
            <w:tcW w:w="879" w:type="dxa"/>
            <w:tcBorders>
              <w:top w:val="nil"/>
              <w:left w:val="nil"/>
              <w:bottom w:val="nil"/>
              <w:right w:val="nil"/>
            </w:tcBorders>
          </w:tcPr>
          <w:p w14:paraId="28AF9C9E" w14:textId="77777777" w:rsidR="009A62D7" w:rsidRDefault="00000000">
            <w:pPr>
              <w:spacing w:before="60" w:after="60"/>
              <w:jc w:val="left"/>
            </w:pPr>
            <w:r>
              <w:rPr>
                <w:sz w:val="16"/>
              </w:rPr>
              <w:t>0.400</w:t>
            </w:r>
          </w:p>
        </w:tc>
        <w:tc>
          <w:tcPr>
            <w:tcW w:w="879" w:type="dxa"/>
            <w:tcBorders>
              <w:top w:val="nil"/>
              <w:left w:val="nil"/>
              <w:bottom w:val="nil"/>
              <w:right w:val="nil"/>
            </w:tcBorders>
          </w:tcPr>
          <w:p w14:paraId="74182885" w14:textId="77777777" w:rsidR="009A62D7" w:rsidRDefault="00000000">
            <w:pPr>
              <w:spacing w:before="60" w:after="60"/>
              <w:jc w:val="left"/>
            </w:pPr>
            <w:r>
              <w:rPr>
                <w:sz w:val="16"/>
              </w:rPr>
              <w:t>0.420</w:t>
            </w:r>
          </w:p>
        </w:tc>
        <w:tc>
          <w:tcPr>
            <w:tcW w:w="879" w:type="dxa"/>
            <w:tcBorders>
              <w:top w:val="nil"/>
              <w:left w:val="nil"/>
              <w:bottom w:val="nil"/>
              <w:right w:val="nil"/>
            </w:tcBorders>
          </w:tcPr>
          <w:p w14:paraId="5DD76F53" w14:textId="77777777" w:rsidR="009A62D7" w:rsidRDefault="00000000">
            <w:pPr>
              <w:spacing w:before="60" w:after="60"/>
              <w:jc w:val="left"/>
            </w:pPr>
            <w:r>
              <w:rPr>
                <w:sz w:val="16"/>
              </w:rPr>
              <w:t>0.600</w:t>
            </w:r>
          </w:p>
        </w:tc>
        <w:tc>
          <w:tcPr>
            <w:tcW w:w="879" w:type="dxa"/>
            <w:tcBorders>
              <w:top w:val="nil"/>
              <w:left w:val="nil"/>
              <w:bottom w:val="nil"/>
              <w:right w:val="nil"/>
            </w:tcBorders>
          </w:tcPr>
          <w:p w14:paraId="2CD6AA7B" w14:textId="77777777" w:rsidR="009A62D7" w:rsidRDefault="00000000">
            <w:pPr>
              <w:spacing w:before="60" w:after="60"/>
              <w:jc w:val="left"/>
            </w:pPr>
            <w:r>
              <w:rPr>
                <w:sz w:val="16"/>
              </w:rPr>
              <w:t>0.800</w:t>
            </w:r>
          </w:p>
        </w:tc>
      </w:tr>
      <w:tr w:rsidR="009A62D7" w14:paraId="3D01C87E" w14:textId="77777777">
        <w:trPr>
          <w:cantSplit/>
        </w:trPr>
        <w:tc>
          <w:tcPr>
            <w:tcW w:w="879" w:type="dxa"/>
            <w:tcBorders>
              <w:top w:val="nil"/>
              <w:left w:val="nil"/>
              <w:bottom w:val="single" w:sz="5" w:space="0" w:color="78A99B"/>
              <w:right w:val="nil"/>
            </w:tcBorders>
          </w:tcPr>
          <w:p w14:paraId="1D41CAA0" w14:textId="77777777" w:rsidR="009A62D7" w:rsidRDefault="00000000">
            <w:pPr>
              <w:spacing w:before="60" w:after="60"/>
              <w:jc w:val="left"/>
            </w:pPr>
            <w:r>
              <w:rPr>
                <w:sz w:val="16"/>
              </w:rPr>
              <w:t>μ</w:t>
            </w:r>
          </w:p>
        </w:tc>
        <w:tc>
          <w:tcPr>
            <w:tcW w:w="879" w:type="dxa"/>
            <w:tcBorders>
              <w:top w:val="nil"/>
              <w:left w:val="nil"/>
              <w:bottom w:val="single" w:sz="5" w:space="0" w:color="78A99B"/>
              <w:right w:val="nil"/>
            </w:tcBorders>
          </w:tcPr>
          <w:p w14:paraId="00072110" w14:textId="77777777" w:rsidR="009A62D7" w:rsidRDefault="00000000">
            <w:pPr>
              <w:spacing w:before="60" w:after="60"/>
              <w:jc w:val="left"/>
            </w:pPr>
            <w:r>
              <w:rPr>
                <w:sz w:val="16"/>
              </w:rPr>
              <w:t>100</w:t>
            </w:r>
          </w:p>
        </w:tc>
        <w:tc>
          <w:tcPr>
            <w:tcW w:w="879" w:type="dxa"/>
            <w:tcBorders>
              <w:top w:val="nil"/>
              <w:left w:val="nil"/>
              <w:bottom w:val="single" w:sz="5" w:space="0" w:color="78A99B"/>
              <w:right w:val="nil"/>
            </w:tcBorders>
          </w:tcPr>
          <w:p w14:paraId="2C8C1A7C" w14:textId="77777777" w:rsidR="009A62D7" w:rsidRDefault="00000000">
            <w:pPr>
              <w:spacing w:before="60" w:after="60"/>
              <w:jc w:val="left"/>
            </w:pPr>
            <w:r>
              <w:rPr>
                <w:sz w:val="16"/>
              </w:rPr>
              <w:t>0.290</w:t>
            </w:r>
          </w:p>
        </w:tc>
        <w:tc>
          <w:tcPr>
            <w:tcW w:w="879" w:type="dxa"/>
            <w:tcBorders>
              <w:top w:val="nil"/>
              <w:left w:val="nil"/>
              <w:bottom w:val="single" w:sz="5" w:space="0" w:color="78A99B"/>
              <w:right w:val="nil"/>
            </w:tcBorders>
          </w:tcPr>
          <w:p w14:paraId="15E0DF51" w14:textId="77777777" w:rsidR="009A62D7" w:rsidRDefault="00000000">
            <w:pPr>
              <w:spacing w:before="60" w:after="60"/>
              <w:jc w:val="left"/>
            </w:pPr>
            <w:r>
              <w:rPr>
                <w:sz w:val="16"/>
              </w:rPr>
              <w:t>0.300</w:t>
            </w:r>
          </w:p>
        </w:tc>
        <w:tc>
          <w:tcPr>
            <w:tcW w:w="879" w:type="dxa"/>
            <w:tcBorders>
              <w:top w:val="nil"/>
              <w:left w:val="nil"/>
              <w:bottom w:val="single" w:sz="5" w:space="0" w:color="78A99B"/>
              <w:right w:val="nil"/>
            </w:tcBorders>
          </w:tcPr>
          <w:p w14:paraId="6EE3E67D" w14:textId="77777777" w:rsidR="009A62D7" w:rsidRDefault="00000000">
            <w:pPr>
              <w:spacing w:before="60" w:after="60"/>
              <w:jc w:val="left"/>
            </w:pPr>
            <w:r>
              <w:rPr>
                <w:sz w:val="16"/>
              </w:rPr>
              <w:t>0.310</w:t>
            </w:r>
          </w:p>
        </w:tc>
        <w:tc>
          <w:tcPr>
            <w:tcW w:w="879" w:type="dxa"/>
            <w:tcBorders>
              <w:top w:val="nil"/>
              <w:left w:val="nil"/>
              <w:bottom w:val="single" w:sz="5" w:space="0" w:color="78A99B"/>
              <w:right w:val="nil"/>
            </w:tcBorders>
          </w:tcPr>
          <w:p w14:paraId="380E2EDD" w14:textId="77777777" w:rsidR="009A62D7" w:rsidRDefault="00000000">
            <w:pPr>
              <w:spacing w:before="60" w:after="60"/>
              <w:jc w:val="left"/>
            </w:pPr>
            <w:r>
              <w:rPr>
                <w:sz w:val="16"/>
              </w:rPr>
              <w:t>0.350</w:t>
            </w:r>
          </w:p>
        </w:tc>
        <w:tc>
          <w:tcPr>
            <w:tcW w:w="879" w:type="dxa"/>
            <w:tcBorders>
              <w:top w:val="nil"/>
              <w:left w:val="nil"/>
              <w:bottom w:val="single" w:sz="5" w:space="0" w:color="78A99B"/>
              <w:right w:val="nil"/>
            </w:tcBorders>
          </w:tcPr>
          <w:p w14:paraId="1328AC07" w14:textId="77777777" w:rsidR="009A62D7" w:rsidRDefault="00000000">
            <w:pPr>
              <w:spacing w:before="60" w:after="60"/>
              <w:jc w:val="left"/>
            </w:pPr>
            <w:r>
              <w:rPr>
                <w:sz w:val="16"/>
              </w:rPr>
              <w:t>0.380</w:t>
            </w:r>
          </w:p>
        </w:tc>
        <w:tc>
          <w:tcPr>
            <w:tcW w:w="879" w:type="dxa"/>
            <w:tcBorders>
              <w:top w:val="nil"/>
              <w:left w:val="nil"/>
              <w:bottom w:val="single" w:sz="5" w:space="0" w:color="78A99B"/>
              <w:right w:val="nil"/>
            </w:tcBorders>
          </w:tcPr>
          <w:p w14:paraId="1A5C56EC" w14:textId="77777777" w:rsidR="009A62D7" w:rsidRDefault="00000000">
            <w:pPr>
              <w:spacing w:before="60" w:after="60"/>
              <w:jc w:val="left"/>
            </w:pPr>
            <w:r>
              <w:rPr>
                <w:sz w:val="16"/>
              </w:rPr>
              <w:t>0.390</w:t>
            </w:r>
          </w:p>
        </w:tc>
        <w:tc>
          <w:tcPr>
            <w:tcW w:w="879" w:type="dxa"/>
            <w:tcBorders>
              <w:top w:val="nil"/>
              <w:left w:val="nil"/>
              <w:bottom w:val="single" w:sz="5" w:space="0" w:color="78A99B"/>
              <w:right w:val="nil"/>
            </w:tcBorders>
          </w:tcPr>
          <w:p w14:paraId="637F4F0F" w14:textId="77777777" w:rsidR="009A62D7" w:rsidRDefault="00000000">
            <w:pPr>
              <w:spacing w:before="60" w:after="60"/>
              <w:jc w:val="left"/>
            </w:pPr>
            <w:r>
              <w:rPr>
                <w:sz w:val="16"/>
              </w:rPr>
              <w:t>0.400</w:t>
            </w:r>
          </w:p>
        </w:tc>
        <w:tc>
          <w:tcPr>
            <w:tcW w:w="879" w:type="dxa"/>
            <w:tcBorders>
              <w:top w:val="nil"/>
              <w:left w:val="nil"/>
              <w:bottom w:val="single" w:sz="5" w:space="0" w:color="78A99B"/>
              <w:right w:val="nil"/>
            </w:tcBorders>
          </w:tcPr>
          <w:p w14:paraId="2608DC8D" w14:textId="77777777" w:rsidR="009A62D7" w:rsidRDefault="00000000">
            <w:pPr>
              <w:spacing w:before="60" w:after="60"/>
              <w:jc w:val="left"/>
            </w:pPr>
            <w:r>
              <w:rPr>
                <w:sz w:val="16"/>
              </w:rPr>
              <w:t>0.400</w:t>
            </w:r>
          </w:p>
        </w:tc>
      </w:tr>
    </w:tbl>
    <w:p w14:paraId="08755741" w14:textId="77777777" w:rsidR="009A62D7" w:rsidRDefault="00000000">
      <w:pPr>
        <w:pStyle w:val="CETBodytext"/>
      </w:pPr>
      <w:r>
        <w:t>* Values retained from the source and requiring verification. The percentage basis and uncertainty were not specified. No interpolation or correction has been applied.</w:t>
      </w:r>
    </w:p>
    <w:p w14:paraId="18A1050C" w14:textId="77777777" w:rsidR="009A62D7" w:rsidRDefault="00000000">
      <w:pPr>
        <w:pStyle w:val="CETBodytext"/>
      </w:pPr>
      <w:r>
        <w:t>Viscosity increased with nominal concentration and decreased with temperature. At 30 %, it fell from 3.00 mPa·s at 20 °C to 0.40 mPa·s at 100 °C. Most density values showed the same temperature trend, but the two marked 20 % values do not follow the neighbouring data consistently. These measurements describe bulk solution properties; they cannot independently prove salt identity or purity. Comparison with reference-property data requires a verified concentration basis and measurement protocol.</w:t>
      </w:r>
    </w:p>
    <w:p w14:paraId="744B6C2E" w14:textId="77777777" w:rsidR="009A62D7" w:rsidRDefault="00000000">
      <w:pPr>
        <w:pStyle w:val="CETHeading1"/>
        <w:numPr>
          <w:ilvl w:val="1"/>
          <w:numId w:val="0"/>
        </w:numPr>
      </w:pPr>
      <w:r>
        <w:t>4 Conclusions</w:t>
      </w:r>
    </w:p>
    <w:p w14:paraId="0C822437" w14:textId="77777777" w:rsidR="009A62D7" w:rsidRDefault="00000000">
      <w:pPr>
        <w:pStyle w:val="CETBodytext"/>
      </w:pPr>
      <w:r>
        <w:t>Laboratory processing of waste acid reported as 84.75 wt.% H₂SO₄ produced 17.77 g of dried solid in a two-absorber experiment using nominal 20 % NaOH solutions. The second absorber contributed 5.92 g, demonstrating its contribution to recovered solid mass. The XRD export supports the presence of crystalline Na₂SO₃, but quantitative purity is not established. Thermal analysis reveals mass changes and a thermal event near 741 °C, so unrestricted thermal stability cannot be claimed.</w:t>
      </w:r>
    </w:p>
    <w:p w14:paraId="77B3FD10" w14:textId="77777777" w:rsidR="009A62D7" w:rsidRDefault="00000000">
      <w:pPr>
        <w:pStyle w:val="CETBodytext"/>
      </w:pPr>
      <w:r>
        <w:t>The results identify a route for further investigation rather than a validated high-yield industrial process. The principal unresolved requirements are identification of the sulfur-containing gas, measurement of sulfite and sulfate, reconciliation of the source-data discrepancies and closure of the sulfur balance. These checks are necessary before assigning an optimum operating condition or claiming environmental and economic performance.</w:t>
      </w:r>
    </w:p>
    <w:p w14:paraId="4F0039A9" w14:textId="77777777" w:rsidR="009A62D7" w:rsidRDefault="00000000">
      <w:pPr>
        <w:pStyle w:val="CETReference0"/>
      </w:pPr>
      <w:r>
        <w:t>References</w:t>
      </w:r>
    </w:p>
    <w:p w14:paraId="709B687A" w14:textId="77777777" w:rsidR="006E75E9" w:rsidRPr="006E75E9" w:rsidRDefault="006E75E9" w:rsidP="006E75E9">
      <w:pPr>
        <w:pStyle w:val="CETReferencetext"/>
        <w:numPr>
          <w:ilvl w:val="0"/>
          <w:numId w:val="24"/>
        </w:numPr>
        <w:ind w:left="0" w:firstLine="567"/>
        <w:rPr>
          <w:lang w:val="en-US"/>
        </w:rPr>
      </w:pPr>
      <w:r w:rsidRPr="006E75E9">
        <w:rPr>
          <w:lang w:val="en-US"/>
        </w:rPr>
        <w:t>Buzek J., Jaschik M., 1995, Gas-liquid equilibria in the system SO</w:t>
      </w:r>
      <w:r w:rsidRPr="006E75E9">
        <w:rPr>
          <w:rFonts w:ascii="Cambria Math" w:hAnsi="Cambria Math" w:cs="Cambria Math"/>
          <w:lang w:val="en-US"/>
        </w:rPr>
        <w:t>₂</w:t>
      </w:r>
      <w:r w:rsidRPr="006E75E9">
        <w:rPr>
          <w:lang w:val="en-US"/>
        </w:rPr>
        <w:t>-aqueous solutions of NaHSO</w:t>
      </w:r>
      <w:r w:rsidRPr="006E75E9">
        <w:rPr>
          <w:rFonts w:ascii="Cambria Math" w:hAnsi="Cambria Math" w:cs="Cambria Math"/>
          <w:lang w:val="en-US"/>
        </w:rPr>
        <w:t>₃</w:t>
      </w:r>
      <w:r w:rsidRPr="006E75E9">
        <w:rPr>
          <w:lang w:val="en-US"/>
        </w:rPr>
        <w:t>/Na</w:t>
      </w:r>
      <w:r w:rsidRPr="006E75E9">
        <w:rPr>
          <w:rFonts w:ascii="Cambria Math" w:hAnsi="Cambria Math" w:cs="Cambria Math"/>
          <w:lang w:val="en-US"/>
        </w:rPr>
        <w:t>₂</w:t>
      </w:r>
      <w:r w:rsidRPr="006E75E9">
        <w:rPr>
          <w:lang w:val="en-US"/>
        </w:rPr>
        <w:t>SO</w:t>
      </w:r>
      <w:r w:rsidRPr="006E75E9">
        <w:rPr>
          <w:rFonts w:ascii="Cambria Math" w:hAnsi="Cambria Math" w:cs="Cambria Math"/>
          <w:lang w:val="en-US"/>
        </w:rPr>
        <w:t>₃</w:t>
      </w:r>
      <w:r w:rsidRPr="006E75E9">
        <w:rPr>
          <w:lang w:val="en-US"/>
        </w:rPr>
        <w:t>/Na</w:t>
      </w:r>
      <w:r w:rsidRPr="006E75E9">
        <w:rPr>
          <w:rFonts w:ascii="Cambria Math" w:hAnsi="Cambria Math" w:cs="Cambria Math"/>
          <w:lang w:val="en-US"/>
        </w:rPr>
        <w:t>₂</w:t>
      </w:r>
      <w:r w:rsidRPr="006E75E9">
        <w:rPr>
          <w:lang w:val="en-US"/>
        </w:rPr>
        <w:t>SO</w:t>
      </w:r>
      <w:r w:rsidRPr="006E75E9">
        <w:rPr>
          <w:rFonts w:ascii="Cambria Math" w:hAnsi="Cambria Math" w:cs="Cambria Math"/>
          <w:lang w:val="en-US"/>
        </w:rPr>
        <w:t>₄</w:t>
      </w:r>
      <w:r w:rsidRPr="006E75E9">
        <w:rPr>
          <w:lang w:val="en-US"/>
        </w:rPr>
        <w:t>, Chemical Engineering Science, 50(19), 3067</w:t>
      </w:r>
      <w:r w:rsidRPr="006E75E9">
        <w:rPr>
          <w:rFonts w:cs="Arial"/>
          <w:lang w:val="en-US"/>
        </w:rPr>
        <w:t>–</w:t>
      </w:r>
      <w:r w:rsidRPr="006E75E9">
        <w:rPr>
          <w:lang w:val="en-US"/>
        </w:rPr>
        <w:t>3075, DOI: 10.1016/0009-2509(95)00144-T.</w:t>
      </w:r>
    </w:p>
    <w:p w14:paraId="1503F481" w14:textId="77777777" w:rsidR="006E75E9" w:rsidRPr="006E75E9" w:rsidRDefault="006E75E9" w:rsidP="006E75E9">
      <w:pPr>
        <w:pStyle w:val="CETReferencetext"/>
        <w:numPr>
          <w:ilvl w:val="0"/>
          <w:numId w:val="24"/>
        </w:numPr>
        <w:ind w:left="0" w:firstLine="567"/>
        <w:rPr>
          <w:lang w:val="en-US"/>
        </w:rPr>
      </w:pPr>
      <w:r w:rsidRPr="006E75E9">
        <w:rPr>
          <w:lang w:val="en-US"/>
        </w:rPr>
        <w:t>Chang C.S., Rochelle G.T., 1985, Sulfur dioxide absorption into sodium hydroxide and sodium sulfite aqueous solutions, Industrial &amp; Engineering Chemistry Fundamentals, 24(1), 7–11, DOI: 10.1021/i100017a002.</w:t>
      </w:r>
    </w:p>
    <w:p w14:paraId="53C7A6CB" w14:textId="77777777" w:rsidR="006E75E9" w:rsidRPr="006E75E9" w:rsidRDefault="006E75E9" w:rsidP="006E75E9">
      <w:pPr>
        <w:pStyle w:val="CETReferencetext"/>
        <w:numPr>
          <w:ilvl w:val="0"/>
          <w:numId w:val="24"/>
        </w:numPr>
        <w:ind w:left="0" w:firstLine="567"/>
        <w:rPr>
          <w:lang w:val="en-US"/>
        </w:rPr>
      </w:pPr>
      <w:r w:rsidRPr="006E75E9">
        <w:rPr>
          <w:lang w:val="en-US"/>
        </w:rPr>
        <w:t>Chianese C., Dal Pozzo A., Cozzani V., 2024, Assessing wet scrubbing as final additional stage for dry waste-to-energy flue gas treatment lines, Chemical Engineering Transactions, 111, 571–576, DOI: 10.3303/CET24111096.</w:t>
      </w:r>
    </w:p>
    <w:p w14:paraId="2D56A0D9" w14:textId="77777777" w:rsidR="006E75E9" w:rsidRPr="006E75E9" w:rsidRDefault="006E75E9" w:rsidP="006E75E9">
      <w:pPr>
        <w:pStyle w:val="CETReferencetext"/>
        <w:numPr>
          <w:ilvl w:val="0"/>
          <w:numId w:val="24"/>
        </w:numPr>
        <w:ind w:left="0" w:firstLine="567"/>
        <w:rPr>
          <w:lang w:val="en-US"/>
        </w:rPr>
      </w:pPr>
      <w:r w:rsidRPr="006E75E9">
        <w:rPr>
          <w:lang w:val="en-US"/>
        </w:rPr>
        <w:t>Goldberg R.N., Parker V.B., 1985, Thermodynamics of solution of SO</w:t>
      </w:r>
      <w:r w:rsidRPr="006E75E9">
        <w:rPr>
          <w:rFonts w:ascii="Cambria Math" w:hAnsi="Cambria Math" w:cs="Cambria Math"/>
          <w:lang w:val="en-US"/>
        </w:rPr>
        <w:t>₂</w:t>
      </w:r>
      <w:r w:rsidRPr="006E75E9">
        <w:rPr>
          <w:lang w:val="en-US"/>
        </w:rPr>
        <w:t>(g) in water and of aqueous sulfur dioxide solutions, Journal of Research of the National Bureau of Standards, 90(5), 341</w:t>
      </w:r>
      <w:r w:rsidRPr="006E75E9">
        <w:rPr>
          <w:rFonts w:cs="Arial"/>
          <w:lang w:val="en-US"/>
        </w:rPr>
        <w:t>–</w:t>
      </w:r>
      <w:r w:rsidRPr="006E75E9">
        <w:rPr>
          <w:lang w:val="en-US"/>
        </w:rPr>
        <w:t>358, DOI: 10.6028/jres.090.024.</w:t>
      </w:r>
    </w:p>
    <w:p w14:paraId="6F657C45" w14:textId="77777777" w:rsidR="006E75E9" w:rsidRPr="006E75E9" w:rsidRDefault="006E75E9" w:rsidP="006E75E9">
      <w:pPr>
        <w:pStyle w:val="CETReferencetext"/>
        <w:numPr>
          <w:ilvl w:val="0"/>
          <w:numId w:val="24"/>
        </w:numPr>
        <w:ind w:left="0" w:firstLine="567"/>
        <w:rPr>
          <w:lang w:val="en-US"/>
        </w:rPr>
      </w:pPr>
      <w:r w:rsidRPr="006E75E9">
        <w:rPr>
          <w:lang w:val="en-US"/>
        </w:rPr>
        <w:lastRenderedPageBreak/>
        <w:t>Hikita H., Asai S., Tsuji T., 1977, Absorption of sulfur dioxide into aqueous sodium hydroxide and sodium sulfite solutions, AIChE Journal, 23(4), 538–544, DOI: 10.1002/aic.690230419.</w:t>
      </w:r>
    </w:p>
    <w:p w14:paraId="235D624C" w14:textId="77777777" w:rsidR="006E75E9" w:rsidRPr="006E75E9" w:rsidRDefault="006E75E9" w:rsidP="006E75E9">
      <w:pPr>
        <w:pStyle w:val="CETReferencetext"/>
        <w:numPr>
          <w:ilvl w:val="0"/>
          <w:numId w:val="24"/>
        </w:numPr>
        <w:ind w:left="0" w:firstLine="567"/>
        <w:rPr>
          <w:lang w:val="en-US"/>
        </w:rPr>
      </w:pPr>
      <w:r w:rsidRPr="006E75E9">
        <w:rPr>
          <w:lang w:val="en-US"/>
        </w:rPr>
        <w:t>Klotz W.L., 1998, Sulfuric acid waste recycling by regenerative process, US Patent US5730950A, United States Patent and Trademark Office, Washington, DC, USA.</w:t>
      </w:r>
    </w:p>
    <w:p w14:paraId="5090C192" w14:textId="77777777" w:rsidR="006E75E9" w:rsidRPr="006E75E9" w:rsidRDefault="006E75E9" w:rsidP="006E75E9">
      <w:pPr>
        <w:pStyle w:val="CETReferencetext"/>
        <w:numPr>
          <w:ilvl w:val="0"/>
          <w:numId w:val="24"/>
        </w:numPr>
        <w:ind w:left="0" w:firstLine="567"/>
        <w:rPr>
          <w:lang w:val="en-US"/>
        </w:rPr>
      </w:pPr>
      <w:r w:rsidRPr="006E75E9">
        <w:rPr>
          <w:lang w:val="en-US"/>
        </w:rPr>
        <w:t>Luo G., Ning Z., Tu Y., Lin Z., Liu M., Wu Y., Wei X., 2014, Purification recovery process of waste sulfuric acid rich in organic impurity, Chinese Patent Application CN103482587A, State Intellectual Property Office, Beijing, China (in Chinese).</w:t>
      </w:r>
    </w:p>
    <w:p w14:paraId="5C5ECE36" w14:textId="77777777" w:rsidR="006E75E9" w:rsidRPr="006E75E9" w:rsidRDefault="006E75E9" w:rsidP="006E75E9">
      <w:pPr>
        <w:pStyle w:val="CETReferencetext"/>
        <w:numPr>
          <w:ilvl w:val="0"/>
          <w:numId w:val="24"/>
        </w:numPr>
        <w:ind w:left="0" w:firstLine="567"/>
        <w:rPr>
          <w:lang w:val="en-US"/>
        </w:rPr>
      </w:pPr>
      <w:r w:rsidRPr="006E75E9">
        <w:rPr>
          <w:lang w:val="en-US"/>
        </w:rPr>
        <w:t>Ogawa S., Shimizu Y., Tone S., Otake T., 1982, Kinetics of the oxidation of aqueous sodium sulfite solutions with air, Journal of Chemical Engineering of Japan, 15(5), 400–402, DOI: 10.1252/jcej.15.400.</w:t>
      </w:r>
    </w:p>
    <w:p w14:paraId="3C19D518" w14:textId="77777777" w:rsidR="006E75E9" w:rsidRPr="006E75E9" w:rsidRDefault="006E75E9" w:rsidP="006E75E9">
      <w:pPr>
        <w:pStyle w:val="CETReferencetext"/>
        <w:numPr>
          <w:ilvl w:val="0"/>
          <w:numId w:val="24"/>
        </w:numPr>
        <w:ind w:left="0" w:firstLine="567"/>
        <w:rPr>
          <w:lang w:val="en-US"/>
        </w:rPr>
      </w:pPr>
      <w:r w:rsidRPr="006E75E9">
        <w:rPr>
          <w:lang w:val="en-US"/>
        </w:rPr>
        <w:t>Schwartz D., Gadiou R., Brilhac J.F., Prado G., Martinez G., 2000, A kinetic study of the decomposition of spent sulfuric acids at high temperature, Industrial &amp; Engineering Chemistry Research, 39(7), 2183–2189, DOI: 10.1021/ie990801e.</w:t>
      </w:r>
    </w:p>
    <w:p w14:paraId="4610CDA3" w14:textId="3E0E77E5" w:rsidR="006E75E9" w:rsidRPr="006E75E9" w:rsidRDefault="006E75E9" w:rsidP="006E75E9">
      <w:pPr>
        <w:pStyle w:val="CETReferencetext"/>
        <w:numPr>
          <w:ilvl w:val="0"/>
          <w:numId w:val="24"/>
        </w:numPr>
        <w:ind w:left="0" w:firstLine="567"/>
        <w:rPr>
          <w:lang w:val="en-US"/>
        </w:rPr>
      </w:pPr>
      <w:r w:rsidRPr="006E75E9">
        <w:rPr>
          <w:lang w:val="en-US"/>
        </w:rPr>
        <w:t>Wei</w:t>
      </w:r>
      <w:r w:rsidR="00F9553F">
        <w:rPr>
          <w:lang w:val="en-US"/>
        </w:rPr>
        <w:t>b</w:t>
      </w:r>
      <w:r w:rsidRPr="006E75E9">
        <w:rPr>
          <w:lang w:val="en-US"/>
        </w:rPr>
        <w:t xml:space="preserve"> B.D., Fuchs W., Harasek M., 2021, Finding optimized process conditions to minimize precipitations in an SO</w:t>
      </w:r>
      <w:r w:rsidRPr="006E75E9">
        <w:rPr>
          <w:rFonts w:ascii="Cambria Math" w:hAnsi="Cambria Math" w:cs="Cambria Math"/>
          <w:lang w:val="en-US"/>
        </w:rPr>
        <w:t>₂</w:t>
      </w:r>
      <w:r w:rsidRPr="006E75E9">
        <w:rPr>
          <w:lang w:val="en-US"/>
        </w:rPr>
        <w:t xml:space="preserve"> absorption process using thermodynamic process simulation, Chemical Engineering Transactions, 88, 535</w:t>
      </w:r>
      <w:r w:rsidRPr="006E75E9">
        <w:rPr>
          <w:rFonts w:cs="Arial"/>
          <w:lang w:val="en-US"/>
        </w:rPr>
        <w:t>–</w:t>
      </w:r>
      <w:r w:rsidRPr="006E75E9">
        <w:rPr>
          <w:lang w:val="en-US"/>
        </w:rPr>
        <w:t>540, DOI: 10.3303/CET2188089.</w:t>
      </w:r>
    </w:p>
    <w:p w14:paraId="0DADD0D7" w14:textId="77777777" w:rsidR="006E75E9" w:rsidRPr="006E75E9" w:rsidRDefault="006E75E9" w:rsidP="006E75E9">
      <w:pPr>
        <w:pStyle w:val="CETReferencetext"/>
        <w:numPr>
          <w:ilvl w:val="0"/>
          <w:numId w:val="24"/>
        </w:numPr>
        <w:ind w:left="0" w:firstLine="567"/>
        <w:rPr>
          <w:lang w:val="en-US"/>
        </w:rPr>
      </w:pPr>
      <w:r w:rsidRPr="006E75E9">
        <w:rPr>
          <w:lang w:val="en-US"/>
        </w:rPr>
        <w:t>Wilkinson P.M., Doldersum B., Cramers P.H.M.R., van Dierendonck L.L., 1993, The kinetics of uncatalyzed sodium sulfite oxidation, Chemical Engineering Science, 48(5), 933–941, DOI: 10.1016/0009-2509(93)80331-J.</w:t>
      </w:r>
    </w:p>
    <w:p w14:paraId="60318DCA" w14:textId="77777777" w:rsidR="006E75E9" w:rsidRPr="006E75E9" w:rsidRDefault="006E75E9" w:rsidP="006E75E9">
      <w:pPr>
        <w:pStyle w:val="CETReferencetext"/>
        <w:numPr>
          <w:ilvl w:val="0"/>
          <w:numId w:val="24"/>
        </w:numPr>
        <w:ind w:left="0" w:firstLine="567"/>
        <w:rPr>
          <w:lang w:val="en-US"/>
        </w:rPr>
      </w:pPr>
      <w:r w:rsidRPr="006E75E9">
        <w:rPr>
          <w:lang w:val="en-US"/>
        </w:rPr>
        <w:t>Xu P., Huang Y., Kong X., Gong D., Fu K., Chen X., Qiu M., Fan Y., 2020, Hydrophilic membrane contactor for improving selective removal of SO</w:t>
      </w:r>
      <w:r w:rsidRPr="006E75E9">
        <w:rPr>
          <w:rFonts w:ascii="Cambria Math" w:hAnsi="Cambria Math" w:cs="Cambria Math"/>
          <w:lang w:val="en-US"/>
        </w:rPr>
        <w:t>₂</w:t>
      </w:r>
      <w:r w:rsidRPr="006E75E9">
        <w:rPr>
          <w:lang w:val="en-US"/>
        </w:rPr>
        <w:t xml:space="preserve"> by NaOH solution, Separation and Purification Technology, 250, 117134, DOI: 10.1016/j.seppur.2020.117134.</w:t>
      </w:r>
    </w:p>
    <w:p w14:paraId="6819555F" w14:textId="77777777" w:rsidR="006E75E9" w:rsidRPr="006E75E9" w:rsidRDefault="006E75E9" w:rsidP="006E75E9">
      <w:pPr>
        <w:pStyle w:val="CETReferencetext"/>
        <w:numPr>
          <w:ilvl w:val="0"/>
          <w:numId w:val="24"/>
        </w:numPr>
        <w:ind w:left="0" w:firstLine="567"/>
        <w:rPr>
          <w:lang w:val="en-US"/>
        </w:rPr>
      </w:pPr>
      <w:r w:rsidRPr="006E75E9">
        <w:rPr>
          <w:lang w:val="en-US"/>
        </w:rPr>
        <w:t>Yang Y., 2020, A kind of production technology of sodium sulfite, Chinese Patent CN108557777B, China National Intellectual Property Administration, Beijing, China (in Chinese).</w:t>
      </w:r>
    </w:p>
    <w:p w14:paraId="2EED194B" w14:textId="77777777" w:rsidR="006E75E9" w:rsidRPr="006E75E9" w:rsidRDefault="006E75E9" w:rsidP="006E75E9">
      <w:pPr>
        <w:pStyle w:val="CETReferencetext"/>
        <w:numPr>
          <w:ilvl w:val="0"/>
          <w:numId w:val="24"/>
        </w:numPr>
        <w:ind w:left="0" w:firstLine="567"/>
        <w:rPr>
          <w:lang w:val="en-US"/>
        </w:rPr>
      </w:pPr>
      <w:r w:rsidRPr="006E75E9">
        <w:rPr>
          <w:lang w:val="en-US"/>
        </w:rPr>
        <w:t>Zhang J., Jin X., Zhao H., Yang C., 2022, Synergistic advanced oxidation process for enhanced degradation of organic pollutants in spent sulfuric acid over recoverable apricot shell-derived biochar catalyst, RSC Advances, 12(4), 1904–1913, DOI: 10.1039/D1RA07814C.</w:t>
      </w:r>
    </w:p>
    <w:p w14:paraId="6AD4996D" w14:textId="7321BEA3" w:rsidR="009A62D7" w:rsidRPr="006E75E9" w:rsidRDefault="009A62D7" w:rsidP="006E75E9">
      <w:pPr>
        <w:pStyle w:val="CETReferencetext"/>
        <w:ind w:left="567" w:firstLine="0"/>
        <w:rPr>
          <w:lang w:val="en-US"/>
        </w:rPr>
      </w:pPr>
    </w:p>
    <w:sectPr w:rsidR="009A62D7" w:rsidRPr="006E75E9" w:rsidSect="008314D7">
      <w:type w:val="continuous"/>
      <w:pgSz w:w="11906" w:h="16838" w:code="9"/>
      <w:pgMar w:top="1701" w:right="1417"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5B4A9" w14:textId="77777777" w:rsidR="00E2388E" w:rsidRDefault="00E2388E" w:rsidP="004F5E36">
      <w:r>
        <w:separator/>
      </w:r>
    </w:p>
  </w:endnote>
  <w:endnote w:type="continuationSeparator" w:id="0">
    <w:p w14:paraId="183BA4EF" w14:textId="77777777" w:rsidR="00E2388E" w:rsidRDefault="00E2388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33AC8" w14:textId="77777777" w:rsidR="00E2388E" w:rsidRDefault="00E2388E" w:rsidP="004F5E36">
      <w:r>
        <w:separator/>
      </w:r>
    </w:p>
  </w:footnote>
  <w:footnote w:type="continuationSeparator" w:id="0">
    <w:p w14:paraId="3C9052A7" w14:textId="77777777" w:rsidR="00E2388E" w:rsidRDefault="00E2388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2B052BDB"/>
    <w:multiLevelType w:val="hybridMultilevel"/>
    <w:tmpl w:val="5B427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D1166AA"/>
    <w:multiLevelType w:val="hybridMultilevel"/>
    <w:tmpl w:val="7E26E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20226085">
    <w:abstractNumId w:val="10"/>
  </w:num>
  <w:num w:numId="2" w16cid:durableId="1875923407">
    <w:abstractNumId w:val="8"/>
  </w:num>
  <w:num w:numId="3" w16cid:durableId="402412608">
    <w:abstractNumId w:val="3"/>
  </w:num>
  <w:num w:numId="4" w16cid:durableId="746416212">
    <w:abstractNumId w:val="2"/>
  </w:num>
  <w:num w:numId="5" w16cid:durableId="1917939291">
    <w:abstractNumId w:val="1"/>
  </w:num>
  <w:num w:numId="6" w16cid:durableId="1151365052">
    <w:abstractNumId w:val="0"/>
  </w:num>
  <w:num w:numId="7" w16cid:durableId="1369259432">
    <w:abstractNumId w:val="9"/>
  </w:num>
  <w:num w:numId="8" w16cid:durableId="2029015787">
    <w:abstractNumId w:val="7"/>
  </w:num>
  <w:num w:numId="9" w16cid:durableId="318919925">
    <w:abstractNumId w:val="6"/>
  </w:num>
  <w:num w:numId="10" w16cid:durableId="385186980">
    <w:abstractNumId w:val="5"/>
  </w:num>
  <w:num w:numId="11" w16cid:durableId="556207763">
    <w:abstractNumId w:val="4"/>
  </w:num>
  <w:num w:numId="12" w16cid:durableId="1033850086">
    <w:abstractNumId w:val="19"/>
  </w:num>
  <w:num w:numId="13" w16cid:durableId="458912814">
    <w:abstractNumId w:val="13"/>
  </w:num>
  <w:num w:numId="14" w16cid:durableId="1394352510">
    <w:abstractNumId w:val="20"/>
  </w:num>
  <w:num w:numId="15" w16cid:durableId="1550461531">
    <w:abstractNumId w:val="22"/>
  </w:num>
  <w:num w:numId="16" w16cid:durableId="677191652">
    <w:abstractNumId w:val="21"/>
  </w:num>
  <w:num w:numId="17" w16cid:durableId="1023901235">
    <w:abstractNumId w:val="12"/>
  </w:num>
  <w:num w:numId="18" w16cid:durableId="2113552641">
    <w:abstractNumId w:val="13"/>
    <w:lvlOverride w:ilvl="0">
      <w:startOverride w:val="1"/>
    </w:lvlOverride>
  </w:num>
  <w:num w:numId="19" w16cid:durableId="1680616751">
    <w:abstractNumId w:val="18"/>
  </w:num>
  <w:num w:numId="20" w16cid:durableId="462970603">
    <w:abstractNumId w:val="17"/>
  </w:num>
  <w:num w:numId="21" w16cid:durableId="115679496">
    <w:abstractNumId w:val="15"/>
  </w:num>
  <w:num w:numId="22" w16cid:durableId="1975796569">
    <w:abstractNumId w:val="14"/>
  </w:num>
  <w:num w:numId="23" w16cid:durableId="1585843175">
    <w:abstractNumId w:val="16"/>
  </w:num>
  <w:num w:numId="24" w16cid:durableId="101000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339A"/>
    <w:rsid w:val="000052FB"/>
    <w:rsid w:val="00005884"/>
    <w:rsid w:val="00005A19"/>
    <w:rsid w:val="000117CB"/>
    <w:rsid w:val="000173F9"/>
    <w:rsid w:val="0003148D"/>
    <w:rsid w:val="00031EEC"/>
    <w:rsid w:val="000451F1"/>
    <w:rsid w:val="00051566"/>
    <w:rsid w:val="000562A9"/>
    <w:rsid w:val="00062A9A"/>
    <w:rsid w:val="00065058"/>
    <w:rsid w:val="00086C39"/>
    <w:rsid w:val="000A03B2"/>
    <w:rsid w:val="000A49F9"/>
    <w:rsid w:val="000A769D"/>
    <w:rsid w:val="000B4116"/>
    <w:rsid w:val="000D0268"/>
    <w:rsid w:val="000D34BE"/>
    <w:rsid w:val="000D3CD2"/>
    <w:rsid w:val="000E102F"/>
    <w:rsid w:val="000E2623"/>
    <w:rsid w:val="000E36F1"/>
    <w:rsid w:val="000E3A73"/>
    <w:rsid w:val="000E414A"/>
    <w:rsid w:val="000E75FD"/>
    <w:rsid w:val="000F093C"/>
    <w:rsid w:val="000F787B"/>
    <w:rsid w:val="00101F02"/>
    <w:rsid w:val="00106C9A"/>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21DA"/>
    <w:rsid w:val="00184AD6"/>
    <w:rsid w:val="00185C3B"/>
    <w:rsid w:val="001919FA"/>
    <w:rsid w:val="00196E8C"/>
    <w:rsid w:val="001A4AF7"/>
    <w:rsid w:val="001B0349"/>
    <w:rsid w:val="001B1E93"/>
    <w:rsid w:val="001B65C1"/>
    <w:rsid w:val="001C260F"/>
    <w:rsid w:val="001C33F1"/>
    <w:rsid w:val="001C684B"/>
    <w:rsid w:val="001D0CFB"/>
    <w:rsid w:val="001D21AF"/>
    <w:rsid w:val="001D3724"/>
    <w:rsid w:val="001D390D"/>
    <w:rsid w:val="001D3A0F"/>
    <w:rsid w:val="001D53FC"/>
    <w:rsid w:val="001F42A5"/>
    <w:rsid w:val="001F7B9D"/>
    <w:rsid w:val="00200A8A"/>
    <w:rsid w:val="00201C93"/>
    <w:rsid w:val="00206900"/>
    <w:rsid w:val="002224B4"/>
    <w:rsid w:val="002447EF"/>
    <w:rsid w:val="00251550"/>
    <w:rsid w:val="00256527"/>
    <w:rsid w:val="00263B05"/>
    <w:rsid w:val="00265551"/>
    <w:rsid w:val="0027221A"/>
    <w:rsid w:val="00275B61"/>
    <w:rsid w:val="00280FAF"/>
    <w:rsid w:val="00282656"/>
    <w:rsid w:val="002969A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38D8"/>
    <w:rsid w:val="00334C09"/>
    <w:rsid w:val="00366353"/>
    <w:rsid w:val="003709F0"/>
    <w:rsid w:val="003713C1"/>
    <w:rsid w:val="003723D4"/>
    <w:rsid w:val="00373F77"/>
    <w:rsid w:val="00376037"/>
    <w:rsid w:val="00381905"/>
    <w:rsid w:val="00384CC8"/>
    <w:rsid w:val="003871FD"/>
    <w:rsid w:val="003A1E30"/>
    <w:rsid w:val="003A2829"/>
    <w:rsid w:val="003A5CD6"/>
    <w:rsid w:val="003A7D1C"/>
    <w:rsid w:val="003B304B"/>
    <w:rsid w:val="003B3146"/>
    <w:rsid w:val="003D1E02"/>
    <w:rsid w:val="003D3CCF"/>
    <w:rsid w:val="003E55EA"/>
    <w:rsid w:val="003F015E"/>
    <w:rsid w:val="003F620B"/>
    <w:rsid w:val="00400414"/>
    <w:rsid w:val="0041446B"/>
    <w:rsid w:val="00417A01"/>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13EA"/>
    <w:rsid w:val="004A24CF"/>
    <w:rsid w:val="004A5E57"/>
    <w:rsid w:val="004C194F"/>
    <w:rsid w:val="004C3D1D"/>
    <w:rsid w:val="004C3D84"/>
    <w:rsid w:val="004C4561"/>
    <w:rsid w:val="004C7913"/>
    <w:rsid w:val="004D44AD"/>
    <w:rsid w:val="004E4DD6"/>
    <w:rsid w:val="004F5E36"/>
    <w:rsid w:val="00507B47"/>
    <w:rsid w:val="00507BEF"/>
    <w:rsid w:val="00507CC9"/>
    <w:rsid w:val="005119A5"/>
    <w:rsid w:val="005278B7"/>
    <w:rsid w:val="00532016"/>
    <w:rsid w:val="005346C8"/>
    <w:rsid w:val="00543E7D"/>
    <w:rsid w:val="00547A68"/>
    <w:rsid w:val="005531C9"/>
    <w:rsid w:val="00570C43"/>
    <w:rsid w:val="00591D6D"/>
    <w:rsid w:val="00592274"/>
    <w:rsid w:val="005B2110"/>
    <w:rsid w:val="005B61E6"/>
    <w:rsid w:val="005C77E1"/>
    <w:rsid w:val="005D668A"/>
    <w:rsid w:val="005D6A2F"/>
    <w:rsid w:val="005E03AE"/>
    <w:rsid w:val="005E0592"/>
    <w:rsid w:val="005E1A82"/>
    <w:rsid w:val="005E794C"/>
    <w:rsid w:val="005F0A28"/>
    <w:rsid w:val="005F0E5E"/>
    <w:rsid w:val="005F7314"/>
    <w:rsid w:val="005F74E7"/>
    <w:rsid w:val="00600535"/>
    <w:rsid w:val="00610CD6"/>
    <w:rsid w:val="00613438"/>
    <w:rsid w:val="00620DEE"/>
    <w:rsid w:val="0062143B"/>
    <w:rsid w:val="00621F92"/>
    <w:rsid w:val="0062280A"/>
    <w:rsid w:val="006231E1"/>
    <w:rsid w:val="00625639"/>
    <w:rsid w:val="00631B33"/>
    <w:rsid w:val="0064184D"/>
    <w:rsid w:val="006422CC"/>
    <w:rsid w:val="00651D18"/>
    <w:rsid w:val="00660C5B"/>
    <w:rsid w:val="00660E3E"/>
    <w:rsid w:val="00662E74"/>
    <w:rsid w:val="00664F9F"/>
    <w:rsid w:val="00680C23"/>
    <w:rsid w:val="00683E23"/>
    <w:rsid w:val="00693766"/>
    <w:rsid w:val="006A02A1"/>
    <w:rsid w:val="006A17BF"/>
    <w:rsid w:val="006A3281"/>
    <w:rsid w:val="006B4888"/>
    <w:rsid w:val="006C2E45"/>
    <w:rsid w:val="006C359C"/>
    <w:rsid w:val="006C5579"/>
    <w:rsid w:val="006D6E8B"/>
    <w:rsid w:val="006D7209"/>
    <w:rsid w:val="006E43DD"/>
    <w:rsid w:val="006E737D"/>
    <w:rsid w:val="006E75E9"/>
    <w:rsid w:val="006F7321"/>
    <w:rsid w:val="00707DD1"/>
    <w:rsid w:val="00713973"/>
    <w:rsid w:val="00720A24"/>
    <w:rsid w:val="00732386"/>
    <w:rsid w:val="0073514D"/>
    <w:rsid w:val="007447F3"/>
    <w:rsid w:val="0075499F"/>
    <w:rsid w:val="007617CC"/>
    <w:rsid w:val="00765DF0"/>
    <w:rsid w:val="007661C8"/>
    <w:rsid w:val="0077098D"/>
    <w:rsid w:val="00785BF9"/>
    <w:rsid w:val="007931FA"/>
    <w:rsid w:val="00795A48"/>
    <w:rsid w:val="007A0829"/>
    <w:rsid w:val="007A4861"/>
    <w:rsid w:val="007A5FB2"/>
    <w:rsid w:val="007A7BBA"/>
    <w:rsid w:val="007B0C50"/>
    <w:rsid w:val="007B48F9"/>
    <w:rsid w:val="007B539E"/>
    <w:rsid w:val="007B56A6"/>
    <w:rsid w:val="007C1A43"/>
    <w:rsid w:val="007D0951"/>
    <w:rsid w:val="007D3B63"/>
    <w:rsid w:val="007F27C8"/>
    <w:rsid w:val="0080013E"/>
    <w:rsid w:val="00813288"/>
    <w:rsid w:val="008168FC"/>
    <w:rsid w:val="00823ADC"/>
    <w:rsid w:val="00830996"/>
    <w:rsid w:val="008314D7"/>
    <w:rsid w:val="008345F1"/>
    <w:rsid w:val="00835AC2"/>
    <w:rsid w:val="00865B07"/>
    <w:rsid w:val="008667EA"/>
    <w:rsid w:val="0087637F"/>
    <w:rsid w:val="00892AD5"/>
    <w:rsid w:val="008A1512"/>
    <w:rsid w:val="008B0784"/>
    <w:rsid w:val="008D32B9"/>
    <w:rsid w:val="008D433B"/>
    <w:rsid w:val="008D4A16"/>
    <w:rsid w:val="008E209A"/>
    <w:rsid w:val="008E45BC"/>
    <w:rsid w:val="008E566E"/>
    <w:rsid w:val="0090161A"/>
    <w:rsid w:val="00901EB6"/>
    <w:rsid w:val="009041F8"/>
    <w:rsid w:val="00904C62"/>
    <w:rsid w:val="00914028"/>
    <w:rsid w:val="00922BA8"/>
    <w:rsid w:val="00924DAC"/>
    <w:rsid w:val="00927058"/>
    <w:rsid w:val="00932EBD"/>
    <w:rsid w:val="00942750"/>
    <w:rsid w:val="009450CE"/>
    <w:rsid w:val="009459BB"/>
    <w:rsid w:val="00947179"/>
    <w:rsid w:val="0095164B"/>
    <w:rsid w:val="00954090"/>
    <w:rsid w:val="009573E7"/>
    <w:rsid w:val="00957C6E"/>
    <w:rsid w:val="00963E05"/>
    <w:rsid w:val="00964A45"/>
    <w:rsid w:val="00967843"/>
    <w:rsid w:val="00967D54"/>
    <w:rsid w:val="00971028"/>
    <w:rsid w:val="00985A14"/>
    <w:rsid w:val="00993B84"/>
    <w:rsid w:val="00996483"/>
    <w:rsid w:val="00996F5A"/>
    <w:rsid w:val="009A62D7"/>
    <w:rsid w:val="009B041A"/>
    <w:rsid w:val="009C37C3"/>
    <w:rsid w:val="009C7C86"/>
    <w:rsid w:val="009D1A64"/>
    <w:rsid w:val="009D2FF7"/>
    <w:rsid w:val="009D668E"/>
    <w:rsid w:val="009E7884"/>
    <w:rsid w:val="009E788A"/>
    <w:rsid w:val="009F0E08"/>
    <w:rsid w:val="009F7911"/>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0460"/>
    <w:rsid w:val="00AA702E"/>
    <w:rsid w:val="00AA7D26"/>
    <w:rsid w:val="00AB0964"/>
    <w:rsid w:val="00AB5011"/>
    <w:rsid w:val="00AC6C92"/>
    <w:rsid w:val="00AC7368"/>
    <w:rsid w:val="00AD0278"/>
    <w:rsid w:val="00AD16B9"/>
    <w:rsid w:val="00AE377D"/>
    <w:rsid w:val="00AF0EBA"/>
    <w:rsid w:val="00AF13E6"/>
    <w:rsid w:val="00B02C8A"/>
    <w:rsid w:val="00B1602F"/>
    <w:rsid w:val="00B17FBD"/>
    <w:rsid w:val="00B23A2E"/>
    <w:rsid w:val="00B315A6"/>
    <w:rsid w:val="00B31813"/>
    <w:rsid w:val="00B33365"/>
    <w:rsid w:val="00B57B36"/>
    <w:rsid w:val="00B57E6F"/>
    <w:rsid w:val="00B709D6"/>
    <w:rsid w:val="00B8686D"/>
    <w:rsid w:val="00B93F69"/>
    <w:rsid w:val="00B95A80"/>
    <w:rsid w:val="00BA3088"/>
    <w:rsid w:val="00BB1DDC"/>
    <w:rsid w:val="00BC30C9"/>
    <w:rsid w:val="00BC5009"/>
    <w:rsid w:val="00BD077D"/>
    <w:rsid w:val="00BD37D8"/>
    <w:rsid w:val="00BD78B1"/>
    <w:rsid w:val="00BE3E58"/>
    <w:rsid w:val="00BF114B"/>
    <w:rsid w:val="00C01616"/>
    <w:rsid w:val="00C0162B"/>
    <w:rsid w:val="00C068ED"/>
    <w:rsid w:val="00C208E9"/>
    <w:rsid w:val="00C22E0C"/>
    <w:rsid w:val="00C26F0F"/>
    <w:rsid w:val="00C345B1"/>
    <w:rsid w:val="00C37838"/>
    <w:rsid w:val="00C40142"/>
    <w:rsid w:val="00C42E50"/>
    <w:rsid w:val="00C52C3C"/>
    <w:rsid w:val="00C57182"/>
    <w:rsid w:val="00C57863"/>
    <w:rsid w:val="00C640AF"/>
    <w:rsid w:val="00C655FD"/>
    <w:rsid w:val="00C75407"/>
    <w:rsid w:val="00C75F04"/>
    <w:rsid w:val="00C828B0"/>
    <w:rsid w:val="00C841C6"/>
    <w:rsid w:val="00C870A8"/>
    <w:rsid w:val="00C94434"/>
    <w:rsid w:val="00CA0D75"/>
    <w:rsid w:val="00CA0DAF"/>
    <w:rsid w:val="00CA1C95"/>
    <w:rsid w:val="00CA5A9C"/>
    <w:rsid w:val="00CB2614"/>
    <w:rsid w:val="00CC4C20"/>
    <w:rsid w:val="00CD3517"/>
    <w:rsid w:val="00CD5FE2"/>
    <w:rsid w:val="00CE7C68"/>
    <w:rsid w:val="00D02B4C"/>
    <w:rsid w:val="00D03D1A"/>
    <w:rsid w:val="00D040C4"/>
    <w:rsid w:val="00D13DEF"/>
    <w:rsid w:val="00D20AD1"/>
    <w:rsid w:val="00D2582C"/>
    <w:rsid w:val="00D46B7E"/>
    <w:rsid w:val="00D57C84"/>
    <w:rsid w:val="00D6057D"/>
    <w:rsid w:val="00D6511A"/>
    <w:rsid w:val="00D71640"/>
    <w:rsid w:val="00D836C5"/>
    <w:rsid w:val="00D84576"/>
    <w:rsid w:val="00D91A7B"/>
    <w:rsid w:val="00DA1399"/>
    <w:rsid w:val="00DA24C6"/>
    <w:rsid w:val="00DA4D7B"/>
    <w:rsid w:val="00DB6C0A"/>
    <w:rsid w:val="00DD271C"/>
    <w:rsid w:val="00DE264A"/>
    <w:rsid w:val="00DF5072"/>
    <w:rsid w:val="00E02D18"/>
    <w:rsid w:val="00E041E7"/>
    <w:rsid w:val="00E2388E"/>
    <w:rsid w:val="00E23CA1"/>
    <w:rsid w:val="00E25EED"/>
    <w:rsid w:val="00E409A8"/>
    <w:rsid w:val="00E47D61"/>
    <w:rsid w:val="00E50C12"/>
    <w:rsid w:val="00E65B91"/>
    <w:rsid w:val="00E7209D"/>
    <w:rsid w:val="00E7227F"/>
    <w:rsid w:val="00E72EAD"/>
    <w:rsid w:val="00E77223"/>
    <w:rsid w:val="00E8528B"/>
    <w:rsid w:val="00E85B94"/>
    <w:rsid w:val="00E86AF1"/>
    <w:rsid w:val="00E978D0"/>
    <w:rsid w:val="00EA1200"/>
    <w:rsid w:val="00EA4613"/>
    <w:rsid w:val="00EA7F91"/>
    <w:rsid w:val="00EB1523"/>
    <w:rsid w:val="00EC0E49"/>
    <w:rsid w:val="00EC101F"/>
    <w:rsid w:val="00EC1D9F"/>
    <w:rsid w:val="00EC7311"/>
    <w:rsid w:val="00ED4741"/>
    <w:rsid w:val="00EE0131"/>
    <w:rsid w:val="00EE17B0"/>
    <w:rsid w:val="00EF06D9"/>
    <w:rsid w:val="00EF0982"/>
    <w:rsid w:val="00F126A5"/>
    <w:rsid w:val="00F3049E"/>
    <w:rsid w:val="00F30C64"/>
    <w:rsid w:val="00F32BA2"/>
    <w:rsid w:val="00F32CDB"/>
    <w:rsid w:val="00F3348F"/>
    <w:rsid w:val="00F35AB1"/>
    <w:rsid w:val="00F37280"/>
    <w:rsid w:val="00F41EE4"/>
    <w:rsid w:val="00F55B1A"/>
    <w:rsid w:val="00F565FE"/>
    <w:rsid w:val="00F63A70"/>
    <w:rsid w:val="00F63D8C"/>
    <w:rsid w:val="00F7534E"/>
    <w:rsid w:val="00F93EDF"/>
    <w:rsid w:val="00F9553F"/>
    <w:rsid w:val="00FA1802"/>
    <w:rsid w:val="00FA21D0"/>
    <w:rsid w:val="00FA5F5F"/>
    <w:rsid w:val="00FB730C"/>
    <w:rsid w:val="00FC2695"/>
    <w:rsid w:val="00FC3E03"/>
    <w:rsid w:val="00FC3FC1"/>
    <w:rsid w:val="00FE4B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E10C03"/>
  <w14:defaultImageDpi w14:val="330"/>
  <w15:docId w15:val="{82FF3963-9672-455A-BE17-416BA068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C37838"/>
    <w:pPr>
      <w:tabs>
        <w:tab w:val="right" w:pos="7100"/>
      </w:tabs>
      <w:spacing w:after="100" w:line="240" w:lineRule="auto"/>
      <w:jc w:val="both"/>
    </w:pPr>
    <w:rPr>
      <w:rFonts w:ascii="Arial" w:eastAsia="Times New Roman" w:hAnsi="Arial" w:cs="Times New Roman"/>
      <w:color w:val="000000"/>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0">
    <w:name w:val="CET Authors Carattere"/>
    <w:rsid w:val="009E788A"/>
    <w:rPr>
      <w:rFonts w:ascii="Arial" w:eastAsia="Times New Roman" w:hAnsi="Arial" w:cs="Times New Roman"/>
      <w:noProof/>
      <w:sz w:val="24"/>
      <w:szCs w:val="20"/>
      <w:lang w:val="en-GB"/>
    </w:rPr>
  </w:style>
  <w:style w:type="character" w:customStyle="1" w:styleId="CETTitleCarattere0">
    <w:name w:val="CET Title Carattere"/>
    <w:rsid w:val="00FB730C"/>
    <w:rPr>
      <w:rFonts w:ascii="Arial" w:eastAsia="Times New Roman" w:hAnsi="Arial" w:cs="Times New Roman"/>
      <w:sz w:val="32"/>
      <w:szCs w:val="20"/>
      <w:lang w:val="en-GB"/>
    </w:rPr>
  </w:style>
  <w:style w:type="paragraph" w:customStyle="1" w:styleId="CETHeading10">
    <w:name w:val="CET Heading1"/>
    <w:next w:val="CETBodytext"/>
    <w:qFormat/>
    <w:rsid w:val="009E788A"/>
    <w:pPr>
      <w:keepNext/>
      <w:tabs>
        <w:tab w:val="num" w:pos="360"/>
      </w:tabs>
      <w:suppressAutoHyphens/>
      <w:spacing w:before="180" w:after="100" w:line="240" w:lineRule="auto"/>
    </w:pPr>
    <w:rPr>
      <w:rFonts w:ascii="Arial" w:eastAsia="Times New Roman" w:hAnsi="Arial" w:cs="Times New Roman"/>
      <w:b/>
      <w:color w:val="000000"/>
      <w:sz w:val="20"/>
      <w:szCs w:val="20"/>
      <w:lang w:val="en-US"/>
    </w:rPr>
  </w:style>
  <w:style w:type="paragraph" w:customStyle="1" w:styleId="CETBodytext0">
    <w:name w:val="CET Body text"/>
    <w:link w:val="CETBodytextCarattere"/>
    <w:qFormat/>
    <w:rsid w:val="000E414A"/>
    <w:pPr>
      <w:tabs>
        <w:tab w:val="right" w:pos="7100"/>
      </w:tabs>
      <w:spacing w:after="100" w:line="240" w:lineRule="auto"/>
      <w:jc w:val="both"/>
    </w:pPr>
    <w:rPr>
      <w:rFonts w:ascii="Arial" w:eastAsia="Times New Roman" w:hAnsi="Arial" w:cs="Times New Roman"/>
      <w:color w:val="000000"/>
      <w:sz w:val="18"/>
      <w:szCs w:val="20"/>
      <w:lang w:val="en-US"/>
    </w:rPr>
  </w:style>
  <w:style w:type="paragraph" w:customStyle="1" w:styleId="CETheadingx0">
    <w:name w:val="CET headingx"/>
    <w:next w:val="CETBodytext0"/>
    <w:link w:val="CETheadingxCarattere"/>
    <w:autoRedefine/>
    <w:qFormat/>
    <w:rsid w:val="00FA5F5F"/>
    <w:pPr>
      <w:keepNext/>
      <w:suppressAutoHyphens/>
      <w:spacing w:before="180" w:after="100" w:line="240" w:lineRule="auto"/>
    </w:pPr>
    <w:rPr>
      <w:rFonts w:ascii="Arial" w:eastAsia="Times New Roman" w:hAnsi="Arial" w:cs="Times New Roman"/>
      <w:b/>
      <w:color w:val="000000"/>
      <w:sz w:val="20"/>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0">
    <w:name w:val="CET Body text Carattere"/>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100" w:line="240" w:lineRule="auto"/>
      <w:jc w:val="both"/>
    </w:pPr>
    <w:rPr>
      <w:rFonts w:ascii="Arial" w:eastAsia="Times New Roman" w:hAnsi="Arial" w:cs="Times New Roman"/>
      <w:i/>
      <w:color w:val="000000"/>
      <w:sz w:val="18"/>
      <w:szCs w:val="20"/>
      <w:lang w:val="en-GB"/>
    </w:rPr>
  </w:style>
  <w:style w:type="character" w:customStyle="1" w:styleId="CETheadingxCarattere0">
    <w:name w:val="CET headingx Carattere"/>
    <w:rsid w:val="00FA5F5F"/>
    <w:rPr>
      <w:rFonts w:ascii="Arial" w:eastAsia="Times New Roman" w:hAnsi="Arial" w:cs="Times New Roman"/>
      <w:b/>
      <w:sz w:val="18"/>
      <w:szCs w:val="20"/>
      <w:lang w:val="en-US"/>
    </w:rPr>
  </w:style>
  <w:style w:type="character" w:customStyle="1" w:styleId="CETCaptionCarattere0">
    <w:name w:val="CET Caption Carattere"/>
    <w:rsid w:val="00F7534E"/>
    <w:rPr>
      <w:rFonts w:ascii="Arial" w:eastAsia="Times New Roman" w:hAnsi="Arial" w:cs="Times New Roman"/>
      <w:i/>
      <w:sz w:val="18"/>
      <w:szCs w:val="20"/>
      <w:lang w:val="en-GB"/>
    </w:rPr>
  </w:style>
  <w:style w:type="paragraph" w:customStyle="1" w:styleId="CETBodytextItalic">
    <w:name w:val="CET Body text (Italic)"/>
    <w:basedOn w:val="CETBodytext0"/>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ind w:left="220" w:hanging="220"/>
    </w:pPr>
  </w:style>
  <w:style w:type="paragraph" w:styleId="27">
    <w:name w:val="index 2"/>
    <w:basedOn w:val="a1"/>
    <w:next w:val="a1"/>
    <w:autoRedefine/>
    <w:uiPriority w:val="99"/>
    <w:semiHidden/>
    <w:unhideWhenUsed/>
    <w:rsid w:val="0003148D"/>
    <w:pPr>
      <w:ind w:left="440" w:hanging="220"/>
    </w:pPr>
  </w:style>
  <w:style w:type="paragraph" w:styleId="37">
    <w:name w:val="index 3"/>
    <w:basedOn w:val="a1"/>
    <w:next w:val="a1"/>
    <w:autoRedefine/>
    <w:uiPriority w:val="99"/>
    <w:semiHidden/>
    <w:unhideWhenUsed/>
    <w:rsid w:val="0003148D"/>
    <w:pPr>
      <w:ind w:left="660" w:hanging="220"/>
    </w:pPr>
  </w:style>
  <w:style w:type="paragraph" w:styleId="45">
    <w:name w:val="index 4"/>
    <w:basedOn w:val="a1"/>
    <w:next w:val="a1"/>
    <w:autoRedefine/>
    <w:uiPriority w:val="99"/>
    <w:semiHidden/>
    <w:unhideWhenUsed/>
    <w:rsid w:val="0003148D"/>
    <w:pPr>
      <w:ind w:left="880" w:hanging="220"/>
    </w:pPr>
  </w:style>
  <w:style w:type="paragraph" w:styleId="55">
    <w:name w:val="index 5"/>
    <w:basedOn w:val="a1"/>
    <w:next w:val="a1"/>
    <w:autoRedefine/>
    <w:uiPriority w:val="99"/>
    <w:semiHidden/>
    <w:unhideWhenUsed/>
    <w:rsid w:val="0003148D"/>
    <w:pPr>
      <w:ind w:left="1100" w:hanging="220"/>
    </w:pPr>
  </w:style>
  <w:style w:type="paragraph" w:styleId="61">
    <w:name w:val="index 6"/>
    <w:basedOn w:val="a1"/>
    <w:next w:val="a1"/>
    <w:autoRedefine/>
    <w:uiPriority w:val="99"/>
    <w:semiHidden/>
    <w:unhideWhenUsed/>
    <w:rsid w:val="0003148D"/>
    <w:pPr>
      <w:ind w:left="1320" w:hanging="220"/>
    </w:pPr>
  </w:style>
  <w:style w:type="paragraph" w:styleId="71">
    <w:name w:val="index 7"/>
    <w:basedOn w:val="a1"/>
    <w:next w:val="a1"/>
    <w:autoRedefine/>
    <w:uiPriority w:val="99"/>
    <w:semiHidden/>
    <w:unhideWhenUsed/>
    <w:rsid w:val="0003148D"/>
    <w:pPr>
      <w:ind w:left="1540" w:hanging="220"/>
    </w:pPr>
  </w:style>
  <w:style w:type="paragraph" w:styleId="81">
    <w:name w:val="index 8"/>
    <w:basedOn w:val="a1"/>
    <w:next w:val="a1"/>
    <w:autoRedefine/>
    <w:uiPriority w:val="99"/>
    <w:semiHidden/>
    <w:unhideWhenUsed/>
    <w:rsid w:val="0003148D"/>
    <w:pPr>
      <w:ind w:left="1760" w:hanging="220"/>
    </w:pPr>
  </w:style>
  <w:style w:type="paragraph" w:styleId="91">
    <w:name w:val="index 9"/>
    <w:basedOn w:val="a1"/>
    <w:next w:val="a1"/>
    <w:autoRedefine/>
    <w:uiPriority w:val="99"/>
    <w:semiHidden/>
    <w:unhideWhenUsed/>
    <w:rsid w:val="0003148D"/>
    <w:pPr>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rPr>
      <w:rFonts w:asciiTheme="majorHAnsi" w:eastAsiaTheme="majorEastAsia" w:hAnsiTheme="majorHAnsi" w:cstheme="majorBidi"/>
    </w:rPr>
  </w:style>
  <w:style w:type="paragraph" w:styleId="afb">
    <w:name w:val="Message Header"/>
    <w:basedOn w:val="a1"/>
    <w:link w:val="afc"/>
    <w:uiPriority w:val="99"/>
    <w:semiHidden/>
    <w:unhideWhenUsed/>
    <w:rsid w:val="0003148D"/>
    <w:pPr>
      <w:shd w:val="pct20" w:color="auto" w:fill="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style>
  <w:style w:type="paragraph" w:styleId="2d">
    <w:name w:val="toc 2"/>
    <w:basedOn w:val="a1"/>
    <w:next w:val="a1"/>
    <w:autoRedefine/>
    <w:uiPriority w:val="39"/>
    <w:semiHidden/>
    <w:unhideWhenUsed/>
    <w:rsid w:val="0003148D"/>
    <w:pPr>
      <w:ind w:left="220"/>
    </w:pPr>
  </w:style>
  <w:style w:type="paragraph" w:styleId="3a">
    <w:name w:val="toc 3"/>
    <w:basedOn w:val="a1"/>
    <w:next w:val="a1"/>
    <w:autoRedefine/>
    <w:uiPriority w:val="39"/>
    <w:semiHidden/>
    <w:unhideWhenUsed/>
    <w:rsid w:val="0003148D"/>
    <w:pPr>
      <w:ind w:left="440"/>
    </w:pPr>
  </w:style>
  <w:style w:type="paragraph" w:styleId="46">
    <w:name w:val="toc 4"/>
    <w:basedOn w:val="a1"/>
    <w:next w:val="a1"/>
    <w:autoRedefine/>
    <w:uiPriority w:val="39"/>
    <w:semiHidden/>
    <w:unhideWhenUsed/>
    <w:rsid w:val="0003148D"/>
    <w:pPr>
      <w:ind w:left="660"/>
    </w:pPr>
  </w:style>
  <w:style w:type="paragraph" w:styleId="56">
    <w:name w:val="toc 5"/>
    <w:basedOn w:val="a1"/>
    <w:next w:val="a1"/>
    <w:autoRedefine/>
    <w:uiPriority w:val="39"/>
    <w:semiHidden/>
    <w:unhideWhenUsed/>
    <w:rsid w:val="0003148D"/>
    <w:pPr>
      <w:ind w:left="880"/>
    </w:pPr>
  </w:style>
  <w:style w:type="paragraph" w:styleId="62">
    <w:name w:val="toc 6"/>
    <w:basedOn w:val="a1"/>
    <w:next w:val="a1"/>
    <w:autoRedefine/>
    <w:uiPriority w:val="39"/>
    <w:semiHidden/>
    <w:unhideWhenUsed/>
    <w:rsid w:val="0003148D"/>
    <w:pPr>
      <w:ind w:left="1100"/>
    </w:pPr>
  </w:style>
  <w:style w:type="paragraph" w:styleId="72">
    <w:name w:val="toc 7"/>
    <w:basedOn w:val="a1"/>
    <w:next w:val="a1"/>
    <w:autoRedefine/>
    <w:uiPriority w:val="39"/>
    <w:semiHidden/>
    <w:unhideWhenUsed/>
    <w:rsid w:val="0003148D"/>
    <w:pPr>
      <w:ind w:left="1320"/>
    </w:pPr>
  </w:style>
  <w:style w:type="paragraph" w:styleId="82">
    <w:name w:val="toc 8"/>
    <w:basedOn w:val="a1"/>
    <w:next w:val="a1"/>
    <w:autoRedefine/>
    <w:uiPriority w:val="39"/>
    <w:semiHidden/>
    <w:unhideWhenUsed/>
    <w:rsid w:val="0003148D"/>
    <w:pPr>
      <w:ind w:left="1540"/>
    </w:pPr>
  </w:style>
  <w:style w:type="paragraph" w:styleId="92">
    <w:name w:val="toc 9"/>
    <w:basedOn w:val="a1"/>
    <w:next w:val="a1"/>
    <w:autoRedefine/>
    <w:uiPriority w:val="39"/>
    <w:semiHidden/>
    <w:unhideWhenUsed/>
    <w:rsid w:val="0003148D"/>
    <w:pPr>
      <w:ind w:left="1760"/>
    </w:pPr>
  </w:style>
  <w:style w:type="paragraph" w:styleId="affb">
    <w:name w:val="Block Text"/>
    <w:basedOn w:val="a1"/>
    <w:uiPriority w:val="99"/>
    <w:semiHidden/>
    <w:unhideWhenUsed/>
    <w:rsid w:val="0003148D"/>
    <w:pP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0"/>
    <w:rsid w:val="009E788A"/>
    <w:pPr>
      <w:spacing w:after="240"/>
    </w:pPr>
    <w:rPr>
      <w:rFonts w:ascii="Arial" w:eastAsia="Times New Roman" w:hAnsi="Arial" w:cs="Times New Roman"/>
      <w:noProof/>
      <w:sz w:val="16"/>
      <w:szCs w:val="20"/>
      <w:lang w:val="en-GB"/>
    </w:rPr>
  </w:style>
  <w:style w:type="character" w:customStyle="1" w:styleId="CETAddressCarattere0">
    <w:name w:val="CET Address Carattere"/>
    <w:basedOn w:val="a2"/>
    <w:rsid w:val="009E788A"/>
    <w:rPr>
      <w:rFonts w:ascii="Arial" w:eastAsia="Times New Roman" w:hAnsi="Arial" w:cs="Times New Roman"/>
      <w:noProof/>
      <w:sz w:val="16"/>
      <w:szCs w:val="20"/>
      <w:lang w:val="en-GB"/>
    </w:rPr>
  </w:style>
  <w:style w:type="paragraph" w:customStyle="1" w:styleId="CETBodytextBold">
    <w:name w:val="CET Body text (Bold)"/>
    <w:basedOn w:val="CETBodytext0"/>
    <w:rsid w:val="00901EB6"/>
    <w:rPr>
      <w:b/>
    </w:rPr>
  </w:style>
  <w:style w:type="paragraph" w:customStyle="1" w:styleId="CETnumberingbullets0">
    <w:name w:val="CET numbering (bullets)"/>
    <w:rsid w:val="008D433B"/>
    <w:pPr>
      <w:spacing w:after="0" w:line="264" w:lineRule="auto"/>
      <w:ind w:left="340" w:hanging="227"/>
    </w:pPr>
    <w:rPr>
      <w:rFonts w:ascii="Arial" w:eastAsia="Times New Roman" w:hAnsi="Arial" w:cs="Times New Roman"/>
      <w:sz w:val="18"/>
      <w:szCs w:val="20"/>
      <w:lang w:val="en-GB"/>
    </w:rPr>
  </w:style>
  <w:style w:type="paragraph" w:customStyle="1" w:styleId="CETnumbering10">
    <w:name w:val="CET numbering (1"/>
    <w:aliases w:val="2..)"/>
    <w:rsid w:val="00B57B36"/>
    <w:pPr>
      <w:spacing w:after="0" w:line="264" w:lineRule="auto"/>
      <w:ind w:left="340" w:hanging="227"/>
    </w:pPr>
    <w:rPr>
      <w:rFonts w:ascii="Arial" w:eastAsia="Times New Roman" w:hAnsi="Arial" w:cs="Times New Roman"/>
      <w:sz w:val="18"/>
      <w:szCs w:val="20"/>
      <w:lang w:val="en-US"/>
    </w:rPr>
  </w:style>
  <w:style w:type="paragraph" w:customStyle="1" w:styleId="CETnumberinga0">
    <w:name w:val="CET numbering (a"/>
    <w:aliases w:val="b,..)"/>
    <w:rsid w:val="00B57B36"/>
    <w:pPr>
      <w:spacing w:after="0" w:line="264" w:lineRule="auto"/>
      <w:ind w:left="340" w:hanging="227"/>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0">
    <w:name w:val="CET Reference text"/>
    <w:qFormat/>
    <w:rsid w:val="00600535"/>
    <w:pPr>
      <w:spacing w:after="100" w:line="240" w:lineRule="auto"/>
      <w:ind w:left="284" w:hanging="284"/>
      <w:jc w:val="both"/>
    </w:pPr>
    <w:rPr>
      <w:rFonts w:ascii="Arial" w:eastAsia="Times New Roman" w:hAnsi="Arial" w:cs="Times New Roman"/>
      <w:color w:val="000000"/>
      <w:sz w:val="18"/>
      <w:szCs w:val="20"/>
      <w:lang w:val="en-GB"/>
    </w:rPr>
  </w:style>
  <w:style w:type="paragraph" w:customStyle="1" w:styleId="CETTabletitle">
    <w:name w:val="CET Table title"/>
    <w:qFormat/>
    <w:rsid w:val="00600535"/>
    <w:pPr>
      <w:keepNext/>
      <w:spacing w:before="240" w:after="100" w:line="240" w:lineRule="auto"/>
    </w:pPr>
    <w:rPr>
      <w:rFonts w:ascii="Arial" w:eastAsia="Times New Roman" w:hAnsi="Arial" w:cs="Times New Roman"/>
      <w:i/>
      <w:color w:val="000000"/>
      <w:sz w:val="18"/>
      <w:szCs w:val="20"/>
      <w:lang w:val="en-GB"/>
    </w:rPr>
  </w:style>
  <w:style w:type="paragraph" w:customStyle="1" w:styleId="CETAcknowledgementstitle">
    <w:name w:val="CET Acknowledgements title"/>
    <w:next w:val="CETBodytext0"/>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0"/>
    <w:next w:val="CETBodytext0"/>
    <w:qFormat/>
    <w:rsid w:val="00600535"/>
    <w:pPr>
      <w:spacing w:before="120" w:after="120"/>
      <w:jc w:val="left"/>
    </w:pPr>
    <w:rPr>
      <w:lang w:val="en-GB"/>
    </w:rPr>
  </w:style>
  <w:style w:type="paragraph" w:customStyle="1" w:styleId="CETHeadingxx">
    <w:name w:val="CET Headingxx"/>
    <w:basedOn w:val="CETheadingx0"/>
    <w:link w:val="CETHeadingxxChar"/>
    <w:qFormat/>
    <w:rsid w:val="000F787B"/>
  </w:style>
  <w:style w:type="character" w:customStyle="1" w:styleId="CETHeadingxxChar0">
    <w:name w:val="CET Headingxx Char"/>
    <w:basedOn w:val="CETheadingxCarattere0"/>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topic-highlight">
    <w:name w:val="topic-highlight"/>
    <w:basedOn w:val="a2"/>
    <w:rsid w:val="003D3CCF"/>
  </w:style>
  <w:style w:type="paragraph" w:styleId="afffe">
    <w:name w:val="Title"/>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customStyle="1" w:styleId="CETAuthors0">
    <w:name w:val="CET Authors"/>
    <w:basedOn w:val="CETBodytext0"/>
    <w:qFormat/>
    <w:rsid w:val="000E414A"/>
    <w:pPr>
      <w:keepNext/>
      <w:suppressAutoHyphens/>
      <w:spacing w:after="120"/>
    </w:pPr>
    <w:rPr>
      <w:noProof/>
      <w:sz w:val="24"/>
      <w:lang w:val="en-GB"/>
    </w:rPr>
  </w:style>
  <w:style w:type="paragraph" w:customStyle="1" w:styleId="CETTitle0">
    <w:name w:val="CET Title"/>
    <w:next w:val="CETAuthors0"/>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0"/>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0">
    <w:name w:val="CET Address"/>
    <w:qFormat/>
    <w:rsid w:val="009E788A"/>
    <w:pPr>
      <w:keepNext/>
      <w:suppressAutoHyphens/>
      <w:spacing w:after="0"/>
      <w:contextualSpacing/>
    </w:pPr>
    <w:rPr>
      <w:rFonts w:ascii="Arial" w:eastAsia="Times New Roman" w:hAnsi="Arial" w:cs="Times New Roman"/>
      <w:noProof/>
      <w:sz w:val="16"/>
      <w:szCs w:val="20"/>
      <w:lang w:val="en-GB"/>
    </w:rPr>
  </w:style>
  <w:style w:type="character" w:customStyle="1" w:styleId="CETBodytextCarattere">
    <w:name w:val="CET Body text Carattere"/>
    <w:link w:val="CETBodytext0"/>
    <w:rsid w:val="000E414A"/>
    <w:rPr>
      <w:rFonts w:ascii="Arial" w:eastAsia="Times New Roman" w:hAnsi="Arial" w:cs="Times New Roman"/>
      <w:sz w:val="18"/>
      <w:szCs w:val="20"/>
      <w:lang w:val="en-US"/>
    </w:rPr>
  </w:style>
  <w:style w:type="paragraph" w:customStyle="1" w:styleId="CETReference0">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0">
    <w:name w:val="CET Caption"/>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0"/>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0">
    <w:name w:val="CET Body text (Italic)"/>
    <w:basedOn w:val="CETBodytext"/>
    <w:qFormat/>
    <w:rsid w:val="004F5E36"/>
    <w:rPr>
      <w:i/>
      <w:lang w:val="en-GB"/>
    </w:rPr>
  </w:style>
  <w:style w:type="paragraph" w:customStyle="1" w:styleId="CETemail0">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link w:val="CETAddress"/>
    <w:rsid w:val="009E788A"/>
    <w:rPr>
      <w:rFonts w:ascii="Arial" w:eastAsia="Times New Roman" w:hAnsi="Arial" w:cs="Times New Roman"/>
      <w:noProof/>
      <w:sz w:val="16"/>
      <w:szCs w:val="20"/>
      <w:lang w:val="en-GB"/>
    </w:rPr>
  </w:style>
  <w:style w:type="paragraph" w:customStyle="1" w:styleId="CETBodytextBold0">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customStyle="1" w:styleId="CETListbullets0">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0">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0">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0">
    <w:name w:val="CET Equation"/>
    <w:basedOn w:val="CETBodytext"/>
    <w:next w:val="CETBodytext"/>
    <w:qFormat/>
    <w:rsid w:val="00600535"/>
    <w:pPr>
      <w:spacing w:before="120" w:after="120"/>
      <w:jc w:val="left"/>
    </w:pPr>
    <w:rPr>
      <w:lang w:val="en-GB"/>
    </w:rPr>
  </w:style>
  <w:style w:type="paragraph" w:customStyle="1" w:styleId="CETHeadingxx0">
    <w:name w:val="CET Headingxx"/>
    <w:basedOn w:val="CETheadingx"/>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character" w:styleId="affff">
    <w:name w:val="Unresolved Mention"/>
    <w:basedOn w:val="a2"/>
    <w:uiPriority w:val="99"/>
    <w:semiHidden/>
    <w:unhideWhenUsed/>
    <w:rsid w:val="00373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75903">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oshanova_nmkt@mail.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erkaev61@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zizbek.1999.11.24@gmail.com"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info@tkti.u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435FF-887F-408B-AF8B-196FD1DF6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9467669</TotalTime>
  <Pages>7</Pages>
  <Words>2955</Words>
  <Characters>16844</Characters>
  <Application>Microsoft Office Word</Application>
  <DocSecurity>0</DocSecurity>
  <Lines>140</Lines>
  <Paragraphs>39</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Windows 11</cp:lastModifiedBy>
  <cp:revision>37</cp:revision>
  <cp:lastPrinted>2015-05-12T18:31:00Z</cp:lastPrinted>
  <dcterms:created xsi:type="dcterms:W3CDTF">2026-02-10T10:00:00Z</dcterms:created>
  <dcterms:modified xsi:type="dcterms:W3CDTF">2026-10-09T05:54:00Z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